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0A9F" w14:textId="22063E63" w:rsidR="001158AD" w:rsidRPr="001158AD" w:rsidRDefault="001158AD" w:rsidP="001158AD">
      <w:pPr>
        <w:jc w:val="center"/>
        <w:rPr>
          <w:i/>
          <w:iCs/>
        </w:rPr>
      </w:pPr>
      <w:r w:rsidRPr="00B96E11">
        <w:rPr>
          <w:color w:val="0C0C0C"/>
          <w:shd w:val="clear" w:color="auto" w:fill="FFFFFF"/>
        </w:rPr>
        <w:t xml:space="preserve">Supreme Court: </w:t>
      </w:r>
      <w:r w:rsidRPr="00B96E11">
        <w:rPr>
          <w:i/>
          <w:iCs/>
        </w:rPr>
        <w:t>October Term 2022</w:t>
      </w:r>
    </w:p>
    <w:p w14:paraId="3F51035E" w14:textId="77777777" w:rsidR="00224A49" w:rsidRDefault="00224A49" w:rsidP="00AC5252">
      <w:pPr>
        <w:jc w:val="center"/>
        <w:rPr>
          <w:color w:val="0C0C0C"/>
          <w:shd w:val="clear" w:color="auto" w:fill="FFFFFF"/>
        </w:rPr>
      </w:pPr>
    </w:p>
    <w:p w14:paraId="65F11122" w14:textId="6651F02E" w:rsidR="00482CBD" w:rsidRDefault="00482CBD" w:rsidP="00AC5252">
      <w:pPr>
        <w:jc w:val="center"/>
        <w:rPr>
          <w:color w:val="0C0C0C"/>
          <w:shd w:val="clear" w:color="auto" w:fill="FFFFFF"/>
        </w:rPr>
      </w:pPr>
      <w:r>
        <w:rPr>
          <w:color w:val="0C0C0C"/>
          <w:shd w:val="clear" w:color="auto" w:fill="FFFFFF"/>
        </w:rPr>
        <w:t>Alumni Weekend</w:t>
      </w:r>
    </w:p>
    <w:p w14:paraId="61C122F0" w14:textId="329C1D24" w:rsidR="00482CBD" w:rsidRDefault="00482CBD" w:rsidP="00482CBD">
      <w:pPr>
        <w:jc w:val="center"/>
        <w:rPr>
          <w:color w:val="0C0C0C"/>
          <w:shd w:val="clear" w:color="auto" w:fill="FFFFFF"/>
        </w:rPr>
      </w:pPr>
      <w:r>
        <w:rPr>
          <w:color w:val="0C0C0C"/>
          <w:shd w:val="clear" w:color="auto" w:fill="FFFFFF"/>
        </w:rPr>
        <w:t>September 23, 2023</w:t>
      </w:r>
    </w:p>
    <w:p w14:paraId="459EC3F3" w14:textId="77777777" w:rsidR="00482CBD" w:rsidRPr="00482CBD" w:rsidRDefault="00482CBD" w:rsidP="00482CBD">
      <w:pPr>
        <w:jc w:val="center"/>
        <w:rPr>
          <w:color w:val="0C0C0C"/>
          <w:shd w:val="clear" w:color="auto" w:fill="FFFFFF"/>
        </w:rPr>
      </w:pPr>
    </w:p>
    <w:p w14:paraId="44BDDC7B" w14:textId="74B90ACA" w:rsidR="00AC5252" w:rsidRPr="00482CBD" w:rsidRDefault="00AC5252" w:rsidP="00482CBD">
      <w:pPr>
        <w:pStyle w:val="ListParagraph"/>
        <w:numPr>
          <w:ilvl w:val="0"/>
          <w:numId w:val="1"/>
        </w:numPr>
        <w:rPr>
          <w:rFonts w:ascii="Times New Roman" w:hAnsi="Times New Roman" w:cs="Times New Roman"/>
          <w:color w:val="0C0C0C"/>
          <w:shd w:val="clear" w:color="auto" w:fill="FFFFFF"/>
        </w:rPr>
      </w:pPr>
      <w:r w:rsidRPr="00482CBD">
        <w:rPr>
          <w:rFonts w:ascii="Times New Roman" w:hAnsi="Times New Roman" w:cs="Times New Roman"/>
          <w:color w:val="0C0C0C"/>
          <w:shd w:val="clear" w:color="auto" w:fill="FFFFFF"/>
        </w:rPr>
        <w:t>Affirmative action</w:t>
      </w:r>
    </w:p>
    <w:p w14:paraId="42C021CA" w14:textId="77777777" w:rsidR="00AC5252" w:rsidRPr="00482CBD" w:rsidRDefault="00AC5252" w:rsidP="00AC5252">
      <w:pPr>
        <w:rPr>
          <w:color w:val="0C0C0C"/>
          <w:shd w:val="clear" w:color="auto" w:fill="FFFFFF"/>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6"/>
      </w:tblGrid>
      <w:tr w:rsidR="00AC5252" w:rsidRPr="00482CBD" w14:paraId="0F9AF7A0" w14:textId="77777777" w:rsidTr="00656D25">
        <w:trPr>
          <w:tblCellSpacing w:w="15" w:type="dxa"/>
        </w:trPr>
        <w:tc>
          <w:tcPr>
            <w:tcW w:w="0" w:type="auto"/>
            <w:vAlign w:val="center"/>
            <w:hideMark/>
          </w:tcPr>
          <w:p w14:paraId="5515A673" w14:textId="1065E6A9" w:rsidR="00AC5252" w:rsidRPr="00482CBD" w:rsidRDefault="00000000" w:rsidP="00656D25">
            <w:pPr>
              <w:rPr>
                <w:color w:val="000000" w:themeColor="text1"/>
              </w:rPr>
            </w:pPr>
            <w:hyperlink r:id="rId7" w:history="1">
              <w:r w:rsidR="00AC5252" w:rsidRPr="00482CBD">
                <w:rPr>
                  <w:rStyle w:val="Hyperlink"/>
                  <w:color w:val="000000" w:themeColor="text1"/>
                </w:rPr>
                <w:t>Students for Fair Admissions Inc. v. President &amp; Fellows of Harvard College</w:t>
              </w:r>
            </w:hyperlink>
            <w:r w:rsidR="00AC5252" w:rsidRPr="00482CBD">
              <w:rPr>
                <w:color w:val="000000" w:themeColor="text1"/>
              </w:rPr>
              <w:t xml:space="preserve">, </w:t>
            </w:r>
          </w:p>
          <w:p w14:paraId="3A9F62B8" w14:textId="77777777" w:rsidR="00AC5252" w:rsidRPr="00482CBD" w:rsidRDefault="00AC5252" w:rsidP="00656D25">
            <w:pPr>
              <w:rPr>
                <w:color w:val="000000" w:themeColor="text1"/>
              </w:rPr>
            </w:pPr>
          </w:p>
        </w:tc>
      </w:tr>
    </w:tbl>
    <w:p w14:paraId="6A5D6D83" w14:textId="329923D5" w:rsidR="00CC5740" w:rsidRPr="00482CBD" w:rsidRDefault="00CC5740" w:rsidP="00CC5740">
      <w:pPr>
        <w:rPr>
          <w:color w:val="0C0C0C"/>
          <w:shd w:val="clear" w:color="auto" w:fill="FFFFFF"/>
        </w:rPr>
      </w:pPr>
      <w:r w:rsidRPr="00482CBD">
        <w:rPr>
          <w:color w:val="0C0C0C"/>
          <w:shd w:val="clear" w:color="auto" w:fill="FFFFFF"/>
        </w:rPr>
        <w:t xml:space="preserve">143 </w:t>
      </w:r>
      <w:proofErr w:type="spellStart"/>
      <w:r w:rsidRPr="00482CBD">
        <w:rPr>
          <w:color w:val="0C0C0C"/>
          <w:shd w:val="clear" w:color="auto" w:fill="FFFFFF"/>
        </w:rPr>
        <w:t>S.Ct</w:t>
      </w:r>
      <w:proofErr w:type="spellEnd"/>
      <w:r w:rsidRPr="00482CBD">
        <w:rPr>
          <w:color w:val="0C0C0C"/>
          <w:shd w:val="clear" w:color="auto" w:fill="FFFFFF"/>
        </w:rPr>
        <w:t xml:space="preserve">. </w:t>
      </w:r>
      <w:r w:rsidR="001305CC" w:rsidRPr="00482CBD">
        <w:rPr>
          <w:color w:val="0C0C0C"/>
          <w:shd w:val="clear" w:color="auto" w:fill="FFFFFF"/>
        </w:rPr>
        <w:t>2141</w:t>
      </w:r>
      <w:r w:rsidRPr="00482CBD">
        <w:rPr>
          <w:color w:val="0C0C0C"/>
          <w:shd w:val="clear" w:color="auto" w:fill="FFFFFF"/>
        </w:rPr>
        <w:t xml:space="preserve"> (2023).  The admissions programs at Harvard College and the University of North Carolina violate Title VI of the 1964 Civil Rights Act and the equal protection clause of the 14th Amendment in using race as a factor in admissions decisions to benefit minorities and enhance diversity.</w:t>
      </w:r>
    </w:p>
    <w:p w14:paraId="1C0D42F3" w14:textId="77777777" w:rsidR="00CC5740" w:rsidRPr="00482CBD" w:rsidRDefault="00CC5740" w:rsidP="00CC5740">
      <w:pPr>
        <w:rPr>
          <w:color w:val="0C0C0C"/>
          <w:shd w:val="clear" w:color="auto" w:fill="FFFFFF"/>
        </w:rPr>
      </w:pPr>
    </w:p>
    <w:p w14:paraId="471A733E" w14:textId="4BFA2FA1" w:rsidR="00AC5252" w:rsidRPr="00482CBD" w:rsidRDefault="00AC5252" w:rsidP="00AC5252">
      <w:pPr>
        <w:pStyle w:val="ListParagraph"/>
        <w:numPr>
          <w:ilvl w:val="0"/>
          <w:numId w:val="1"/>
        </w:numPr>
        <w:rPr>
          <w:rFonts w:ascii="Times New Roman" w:hAnsi="Times New Roman" w:cs="Times New Roman"/>
          <w:color w:val="0C0C0C"/>
          <w:shd w:val="clear" w:color="auto" w:fill="FFFFFF"/>
        </w:rPr>
      </w:pPr>
      <w:r w:rsidRPr="00482CBD">
        <w:rPr>
          <w:rFonts w:ascii="Times New Roman" w:hAnsi="Times New Roman" w:cs="Times New Roman"/>
          <w:color w:val="0C0C0C"/>
          <w:shd w:val="clear" w:color="auto" w:fill="FFFFFF"/>
        </w:rPr>
        <w:t xml:space="preserve"> Civil rights litigation</w:t>
      </w:r>
    </w:p>
    <w:p w14:paraId="0427E7AB" w14:textId="77777777" w:rsidR="00E412FB" w:rsidRPr="00482CBD" w:rsidRDefault="00E412FB" w:rsidP="00AC5252">
      <w:pPr>
        <w:rPr>
          <w:color w:val="000000" w:themeColor="text1"/>
        </w:rPr>
      </w:pPr>
    </w:p>
    <w:p w14:paraId="6170C17A" w14:textId="6511CC7B" w:rsidR="00094E4A" w:rsidRPr="00482CBD" w:rsidRDefault="00094E4A" w:rsidP="00AC5252">
      <w:pPr>
        <w:rPr>
          <w:color w:val="000000" w:themeColor="text1"/>
        </w:rPr>
      </w:pPr>
      <w:r w:rsidRPr="00482CBD">
        <w:rPr>
          <w:color w:val="000000" w:themeColor="text1"/>
          <w:u w:val="single"/>
        </w:rPr>
        <w:t xml:space="preserve">Health and Hospital Corporation of Marion County v. </w:t>
      </w:r>
      <w:proofErr w:type="spellStart"/>
      <w:r w:rsidRPr="00482CBD">
        <w:rPr>
          <w:color w:val="000000" w:themeColor="text1"/>
          <w:u w:val="single"/>
        </w:rPr>
        <w:t>Talevski</w:t>
      </w:r>
      <w:proofErr w:type="spellEnd"/>
      <w:r w:rsidRPr="00482CBD">
        <w:rPr>
          <w:color w:val="000000" w:themeColor="text1"/>
        </w:rPr>
        <w:t xml:space="preserve">, 143 </w:t>
      </w:r>
      <w:proofErr w:type="spellStart"/>
      <w:r w:rsidRPr="00482CBD">
        <w:rPr>
          <w:color w:val="000000" w:themeColor="text1"/>
        </w:rPr>
        <w:t>S.Ct</w:t>
      </w:r>
      <w:proofErr w:type="spellEnd"/>
      <w:r w:rsidRPr="00482CBD">
        <w:rPr>
          <w:color w:val="000000" w:themeColor="text1"/>
        </w:rPr>
        <w:t xml:space="preserve">. 1444 (2023).  </w:t>
      </w:r>
      <w:r w:rsidRPr="00482CBD">
        <w:rPr>
          <w:color w:val="0C0C0C"/>
          <w:shd w:val="clear" w:color="auto" w:fill="FFFFFF"/>
        </w:rPr>
        <w:t xml:space="preserve">The </w:t>
      </w:r>
      <w:r w:rsidRPr="00482CBD">
        <w:rPr>
          <w:color w:val="000000" w:themeColor="text1"/>
          <w:shd w:val="clear" w:color="auto" w:fill="FFFFFF"/>
        </w:rPr>
        <w:t>provisions of the </w:t>
      </w:r>
      <w:hyperlink r:id="rId8" w:history="1">
        <w:r w:rsidRPr="00482CBD">
          <w:rPr>
            <w:rStyle w:val="Hyperlink"/>
            <w:color w:val="000000" w:themeColor="text1"/>
            <w:u w:val="none"/>
            <w:bdr w:val="none" w:sz="0" w:space="0" w:color="auto" w:frame="1"/>
            <w:shd w:val="clear" w:color="auto" w:fill="FFFFFF"/>
          </w:rPr>
          <w:t>Federal Nursing Home Amendments Act of 1987</w:t>
        </w:r>
      </w:hyperlink>
      <w:r w:rsidRPr="00482CBD">
        <w:rPr>
          <w:color w:val="000000" w:themeColor="text1"/>
          <w:shd w:val="clear" w:color="auto" w:fill="FFFFFF"/>
        </w:rPr>
        <w:t> at issue unambiguously create rights enforceable under </w:t>
      </w:r>
      <w:hyperlink r:id="rId9" w:history="1">
        <w:r w:rsidRPr="00482CBD">
          <w:rPr>
            <w:rStyle w:val="Hyperlink"/>
            <w:color w:val="000000" w:themeColor="text1"/>
            <w:u w:val="none"/>
            <w:bdr w:val="none" w:sz="0" w:space="0" w:color="auto" w:frame="1"/>
            <w:shd w:val="clear" w:color="auto" w:fill="FFFFFF"/>
          </w:rPr>
          <w:t>42 U.S.C. § 1983</w:t>
        </w:r>
      </w:hyperlink>
      <w:r w:rsidRPr="00482CBD">
        <w:rPr>
          <w:color w:val="000000" w:themeColor="text1"/>
          <w:shd w:val="clear" w:color="auto" w:fill="FFFFFF"/>
        </w:rPr>
        <w:t>, and private enforcement under Section 1983 is compatible with the FNHRA’s remedial scheme.</w:t>
      </w:r>
    </w:p>
    <w:p w14:paraId="57B4488D" w14:textId="77777777" w:rsidR="00094E4A" w:rsidRPr="00482CBD" w:rsidRDefault="00094E4A" w:rsidP="00AC5252">
      <w:pPr>
        <w:rPr>
          <w:color w:val="000000" w:themeColor="text1"/>
        </w:rPr>
      </w:pPr>
    </w:p>
    <w:p w14:paraId="0E62D091" w14:textId="3A83F73B" w:rsidR="00CC5740" w:rsidRPr="00482CBD" w:rsidRDefault="00000000" w:rsidP="0060673B">
      <w:pPr>
        <w:rPr>
          <w:color w:val="0C0C0C"/>
          <w:shd w:val="clear" w:color="auto" w:fill="FFFFFF"/>
        </w:rPr>
      </w:pPr>
      <w:hyperlink r:id="rId10" w:history="1">
        <w:r w:rsidR="0060673B" w:rsidRPr="00482CBD">
          <w:rPr>
            <w:rStyle w:val="Hyperlink"/>
            <w:color w:val="000000" w:themeColor="text1"/>
          </w:rPr>
          <w:t xml:space="preserve">Groff v. </w:t>
        </w:r>
        <w:proofErr w:type="spellStart"/>
        <w:r w:rsidR="0060673B" w:rsidRPr="00482CBD">
          <w:rPr>
            <w:rStyle w:val="Hyperlink"/>
            <w:color w:val="000000" w:themeColor="text1"/>
          </w:rPr>
          <w:t>DeJoy</w:t>
        </w:r>
        <w:proofErr w:type="spellEnd"/>
      </w:hyperlink>
      <w:r w:rsidR="0060673B" w:rsidRPr="00482CBD">
        <w:rPr>
          <w:color w:val="000000" w:themeColor="text1"/>
        </w:rPr>
        <w:t>,</w:t>
      </w:r>
      <w:r w:rsidR="00CC5740" w:rsidRPr="00482CBD">
        <w:rPr>
          <w:color w:val="000000" w:themeColor="text1"/>
        </w:rPr>
        <w:t xml:space="preserve"> 143 </w:t>
      </w:r>
      <w:proofErr w:type="spellStart"/>
      <w:r w:rsidR="00CC5740" w:rsidRPr="00482CBD">
        <w:rPr>
          <w:color w:val="000000" w:themeColor="text1"/>
        </w:rPr>
        <w:t>S.Ct</w:t>
      </w:r>
      <w:proofErr w:type="spellEnd"/>
      <w:r w:rsidR="00CC5740" w:rsidRPr="00482CBD">
        <w:rPr>
          <w:color w:val="000000" w:themeColor="text1"/>
        </w:rPr>
        <w:t xml:space="preserve">. </w:t>
      </w:r>
      <w:r w:rsidR="001305CC" w:rsidRPr="00482CBD">
        <w:rPr>
          <w:color w:val="000000" w:themeColor="text1"/>
        </w:rPr>
        <w:t>2279</w:t>
      </w:r>
      <w:r w:rsidR="00CC5740" w:rsidRPr="00482CBD">
        <w:rPr>
          <w:color w:val="000000" w:themeColor="text1"/>
        </w:rPr>
        <w:t xml:space="preserve"> (2023).  </w:t>
      </w:r>
      <w:r w:rsidR="00CC5740" w:rsidRPr="00482CBD">
        <w:rPr>
          <w:color w:val="0C0C0C"/>
          <w:shd w:val="clear" w:color="auto" w:fill="FFFFFF"/>
        </w:rPr>
        <w:t xml:space="preserve">Title VII requires an employer that denies a religious accommodation to show that the burden of granting an accommodation would result in substantial increased costs in relation to the conduct of its </w:t>
      </w:r>
      <w:proofErr w:type="gramStart"/>
      <w:r w:rsidR="00CC5740" w:rsidRPr="00482CBD">
        <w:rPr>
          <w:color w:val="0C0C0C"/>
          <w:shd w:val="clear" w:color="auto" w:fill="FFFFFF"/>
        </w:rPr>
        <w:t>particular business</w:t>
      </w:r>
      <w:proofErr w:type="gramEnd"/>
      <w:r w:rsidR="00CC5740" w:rsidRPr="00482CBD">
        <w:rPr>
          <w:color w:val="0C0C0C"/>
          <w:shd w:val="clear" w:color="auto" w:fill="FFFFFF"/>
        </w:rPr>
        <w:t>.</w:t>
      </w:r>
    </w:p>
    <w:p w14:paraId="2CD39FDC" w14:textId="77777777" w:rsidR="00E412FB" w:rsidRPr="00482CBD" w:rsidRDefault="00E412FB" w:rsidP="00AC5252">
      <w:pPr>
        <w:rPr>
          <w:color w:val="0C0C0C"/>
          <w:shd w:val="clear" w:color="auto" w:fill="FFFFFF"/>
        </w:rPr>
      </w:pPr>
    </w:p>
    <w:p w14:paraId="50D3CB89" w14:textId="5F02918A" w:rsidR="00094E4A" w:rsidRPr="00482CBD" w:rsidRDefault="00094E4A" w:rsidP="00094E4A">
      <w:pPr>
        <w:pStyle w:val="ListParagraph"/>
        <w:numPr>
          <w:ilvl w:val="0"/>
          <w:numId w:val="1"/>
        </w:numPr>
        <w:rPr>
          <w:rFonts w:ascii="Times New Roman" w:hAnsi="Times New Roman" w:cs="Times New Roman"/>
          <w:color w:val="0C0C0C"/>
          <w:shd w:val="clear" w:color="auto" w:fill="FFFFFF"/>
        </w:rPr>
      </w:pPr>
      <w:r w:rsidRPr="00482CBD">
        <w:rPr>
          <w:rFonts w:ascii="Times New Roman" w:hAnsi="Times New Roman" w:cs="Times New Roman"/>
          <w:color w:val="0C0C0C"/>
          <w:shd w:val="clear" w:color="auto" w:fill="FFFFFF"/>
        </w:rPr>
        <w:t>Criminal cases</w:t>
      </w:r>
    </w:p>
    <w:p w14:paraId="1FF9296C" w14:textId="77777777" w:rsidR="00094E4A" w:rsidRPr="00482CBD" w:rsidRDefault="00094E4A" w:rsidP="00094E4A">
      <w:pPr>
        <w:rPr>
          <w:color w:val="0C0C0C"/>
          <w:shd w:val="clear" w:color="auto" w:fill="FFFFFF"/>
        </w:rPr>
      </w:pPr>
    </w:p>
    <w:p w14:paraId="4FF1BFBF" w14:textId="731BBA52" w:rsidR="00094E4A" w:rsidRPr="00482CBD" w:rsidRDefault="00094E4A" w:rsidP="00094E4A">
      <w:pPr>
        <w:pStyle w:val="ListParagraph"/>
        <w:numPr>
          <w:ilvl w:val="0"/>
          <w:numId w:val="6"/>
        </w:numPr>
        <w:rPr>
          <w:rFonts w:ascii="Times New Roman" w:hAnsi="Times New Roman" w:cs="Times New Roman"/>
          <w:color w:val="000000" w:themeColor="text1"/>
        </w:rPr>
      </w:pPr>
      <w:r w:rsidRPr="00482CBD">
        <w:rPr>
          <w:rFonts w:ascii="Times New Roman" w:hAnsi="Times New Roman" w:cs="Times New Roman"/>
          <w:color w:val="000000" w:themeColor="text1"/>
        </w:rPr>
        <w:t>Confrontation clause</w:t>
      </w:r>
    </w:p>
    <w:p w14:paraId="0855E479" w14:textId="77777777" w:rsidR="00094E4A" w:rsidRPr="00482CBD" w:rsidRDefault="00094E4A" w:rsidP="00094E4A">
      <w:pPr>
        <w:rPr>
          <w:color w:val="000000" w:themeColor="text1"/>
        </w:rPr>
      </w:pPr>
    </w:p>
    <w:p w14:paraId="622AA084" w14:textId="77777777" w:rsidR="00094E4A" w:rsidRPr="00482CBD" w:rsidRDefault="00094E4A" w:rsidP="00094E4A">
      <w:proofErr w:type="spellStart"/>
      <w:r w:rsidRPr="00482CBD">
        <w:rPr>
          <w:color w:val="0C0C0C"/>
          <w:u w:val="single"/>
          <w:shd w:val="clear" w:color="auto" w:fill="FFFFFF"/>
        </w:rPr>
        <w:t>Samia</w:t>
      </w:r>
      <w:proofErr w:type="spellEnd"/>
      <w:r w:rsidRPr="00482CBD">
        <w:rPr>
          <w:color w:val="0C0C0C"/>
          <w:u w:val="single"/>
          <w:shd w:val="clear" w:color="auto" w:fill="FFFFFF"/>
        </w:rPr>
        <w:t xml:space="preserve"> v. United States</w:t>
      </w:r>
      <w:r w:rsidRPr="00482CBD">
        <w:rPr>
          <w:color w:val="0C0C0C"/>
          <w:shd w:val="clear" w:color="auto" w:fill="FFFFFF"/>
        </w:rPr>
        <w:t xml:space="preserve">, 143 </w:t>
      </w:r>
      <w:proofErr w:type="spellStart"/>
      <w:r w:rsidRPr="00482CBD">
        <w:rPr>
          <w:color w:val="0C0C0C"/>
          <w:shd w:val="clear" w:color="auto" w:fill="FFFFFF"/>
        </w:rPr>
        <w:t>S.Ct</w:t>
      </w:r>
      <w:proofErr w:type="spellEnd"/>
      <w:r w:rsidRPr="00482CBD">
        <w:rPr>
          <w:color w:val="0C0C0C"/>
          <w:shd w:val="clear" w:color="auto" w:fill="FFFFFF"/>
        </w:rPr>
        <w:t xml:space="preserve">. 2004 (2023).  </w:t>
      </w:r>
      <w:r w:rsidRPr="00482CBD">
        <w:t xml:space="preserve">The admission of a </w:t>
      </w:r>
      <w:proofErr w:type="spellStart"/>
      <w:r w:rsidRPr="00482CBD">
        <w:t>nontestifying</w:t>
      </w:r>
      <w:proofErr w:type="spellEnd"/>
      <w:r w:rsidRPr="00482CBD">
        <w:t xml:space="preserve"> codefendant’s confession did not violate the Sixth Amendment’s confrontation clause where the confession as modified did not directly inculpate the defendant but used the descriptor “other person” and the jury was instructed to consider the confession only as to the codefendant.</w:t>
      </w:r>
    </w:p>
    <w:p w14:paraId="185CC863" w14:textId="77777777" w:rsidR="00094E4A" w:rsidRPr="00482CBD" w:rsidRDefault="00094E4A" w:rsidP="00094E4A"/>
    <w:p w14:paraId="3A804F0A" w14:textId="77777777" w:rsidR="00094E4A" w:rsidRPr="00482CBD" w:rsidRDefault="00094E4A" w:rsidP="00094E4A">
      <w:pPr>
        <w:pStyle w:val="ListParagraph"/>
        <w:numPr>
          <w:ilvl w:val="0"/>
          <w:numId w:val="6"/>
        </w:numPr>
        <w:rPr>
          <w:rFonts w:ascii="Times New Roman" w:hAnsi="Times New Roman" w:cs="Times New Roman"/>
          <w:color w:val="0C0C0C"/>
          <w:shd w:val="clear" w:color="auto" w:fill="FFFFFF"/>
        </w:rPr>
      </w:pPr>
      <w:r w:rsidRPr="00482CBD">
        <w:rPr>
          <w:rFonts w:ascii="Times New Roman" w:hAnsi="Times New Roman" w:cs="Times New Roman"/>
          <w:color w:val="0C0C0C"/>
          <w:shd w:val="clear" w:color="auto" w:fill="FFFFFF"/>
        </w:rPr>
        <w:t xml:space="preserve"> Double jeopardy</w:t>
      </w:r>
    </w:p>
    <w:p w14:paraId="6764FAA3" w14:textId="77777777" w:rsidR="00094E4A" w:rsidRPr="00482CBD" w:rsidRDefault="00094E4A" w:rsidP="00094E4A">
      <w:pPr>
        <w:rPr>
          <w:color w:val="0C0C0C"/>
          <w:shd w:val="clear" w:color="auto" w:fill="FFFFFF"/>
        </w:rPr>
      </w:pPr>
    </w:p>
    <w:p w14:paraId="27F02E69" w14:textId="77777777" w:rsidR="00094E4A" w:rsidRPr="00482CBD" w:rsidRDefault="00094E4A" w:rsidP="00094E4A">
      <w:pPr>
        <w:rPr>
          <w:color w:val="0C0C0C"/>
          <w:shd w:val="clear" w:color="auto" w:fill="FFFFFF"/>
        </w:rPr>
      </w:pPr>
      <w:r w:rsidRPr="00482CBD">
        <w:rPr>
          <w:color w:val="0C0C0C"/>
          <w:u w:val="single"/>
          <w:shd w:val="clear" w:color="auto" w:fill="FFFFFF"/>
        </w:rPr>
        <w:t>Smith v. United States</w:t>
      </w:r>
      <w:r w:rsidRPr="00482CBD">
        <w:rPr>
          <w:color w:val="0C0C0C"/>
          <w:shd w:val="clear" w:color="auto" w:fill="FFFFFF"/>
        </w:rPr>
        <w:t xml:space="preserve">, 143 </w:t>
      </w:r>
      <w:proofErr w:type="spellStart"/>
      <w:r w:rsidRPr="00482CBD">
        <w:rPr>
          <w:color w:val="0C0C0C"/>
          <w:shd w:val="clear" w:color="auto" w:fill="FFFFFF"/>
        </w:rPr>
        <w:t>S.Ct</w:t>
      </w:r>
      <w:proofErr w:type="spellEnd"/>
      <w:r w:rsidRPr="00482CBD">
        <w:rPr>
          <w:color w:val="0C0C0C"/>
          <w:shd w:val="clear" w:color="auto" w:fill="FFFFFF"/>
        </w:rPr>
        <w:t xml:space="preserve">. 1594 (2023).  </w:t>
      </w:r>
      <w:r w:rsidRPr="00482CBD">
        <w:t>The Constitution permits the retrial of a defendant following a trial in an improper venue conducted before a jury drawn from the wrong district.</w:t>
      </w:r>
    </w:p>
    <w:p w14:paraId="44313AE6" w14:textId="77777777" w:rsidR="00094E4A" w:rsidRPr="00482CBD" w:rsidRDefault="00094E4A" w:rsidP="00094E4A">
      <w:pPr>
        <w:rPr>
          <w:color w:val="000000" w:themeColor="text1"/>
        </w:rPr>
      </w:pPr>
    </w:p>
    <w:p w14:paraId="2FAD71B5" w14:textId="77777777" w:rsidR="00094E4A" w:rsidRPr="00482CBD" w:rsidRDefault="00094E4A" w:rsidP="00094E4A">
      <w:pPr>
        <w:pStyle w:val="ListParagraph"/>
        <w:numPr>
          <w:ilvl w:val="0"/>
          <w:numId w:val="6"/>
        </w:numPr>
        <w:rPr>
          <w:rFonts w:ascii="Times New Roman" w:hAnsi="Times New Roman" w:cs="Times New Roman"/>
          <w:color w:val="000000" w:themeColor="text1"/>
        </w:rPr>
      </w:pPr>
      <w:r w:rsidRPr="00482CBD">
        <w:rPr>
          <w:rFonts w:ascii="Times New Roman" w:hAnsi="Times New Roman" w:cs="Times New Roman"/>
          <w:color w:val="000000" w:themeColor="text1"/>
        </w:rPr>
        <w:t>Habeas corpus</w:t>
      </w:r>
    </w:p>
    <w:p w14:paraId="2BEFF2AA" w14:textId="77777777" w:rsidR="00094E4A" w:rsidRPr="00482CBD" w:rsidRDefault="00094E4A" w:rsidP="00094E4A">
      <w:pPr>
        <w:rPr>
          <w:color w:val="0C0C0C"/>
          <w:shd w:val="clear" w:color="auto" w:fill="FFFFFF"/>
        </w:rPr>
      </w:pPr>
    </w:p>
    <w:p w14:paraId="2F3D294B" w14:textId="77777777" w:rsidR="00094E4A" w:rsidRPr="00482CBD" w:rsidRDefault="00094E4A" w:rsidP="00094E4A">
      <w:pPr>
        <w:rPr>
          <w:color w:val="0C0C0C"/>
          <w:shd w:val="clear" w:color="auto" w:fill="FFFFFF"/>
        </w:rPr>
      </w:pPr>
      <w:r w:rsidRPr="00482CBD">
        <w:rPr>
          <w:color w:val="0C0C0C"/>
          <w:u w:val="single"/>
          <w:shd w:val="clear" w:color="auto" w:fill="FFFFFF"/>
        </w:rPr>
        <w:t>Jones v. Hendrix</w:t>
      </w:r>
      <w:r w:rsidRPr="00482CBD">
        <w:rPr>
          <w:color w:val="0C0C0C"/>
          <w:shd w:val="clear" w:color="auto" w:fill="FFFFFF"/>
        </w:rPr>
        <w:t xml:space="preserve">, 143 </w:t>
      </w:r>
      <w:proofErr w:type="spellStart"/>
      <w:r w:rsidRPr="00482CBD">
        <w:rPr>
          <w:color w:val="0C0C0C"/>
          <w:shd w:val="clear" w:color="auto" w:fill="FFFFFF"/>
        </w:rPr>
        <w:t>S.Ct</w:t>
      </w:r>
      <w:proofErr w:type="spellEnd"/>
      <w:r w:rsidRPr="00482CBD">
        <w:rPr>
          <w:color w:val="0C0C0C"/>
          <w:shd w:val="clear" w:color="auto" w:fill="FFFFFF"/>
        </w:rPr>
        <w:t>. 1857 (2023).  The saving clause in 28 U.S.C. § 2255(e) does not allow a prisoner asserting an intervening change in the interpretation of a criminal statute to circumvent the Antiterrorism and Effective Death Penalty Act of 1996’s restrictions on second or successive Section 2255 motions by filing a habeas petition under Section 2241.</w:t>
      </w:r>
    </w:p>
    <w:p w14:paraId="5865EB4D" w14:textId="77777777" w:rsidR="00094E4A" w:rsidRPr="00482CBD" w:rsidRDefault="00094E4A" w:rsidP="00094E4A">
      <w:pPr>
        <w:rPr>
          <w:color w:val="0C0C0C"/>
          <w:shd w:val="clear" w:color="auto" w:fill="FFFFFF"/>
        </w:rPr>
      </w:pPr>
    </w:p>
    <w:p w14:paraId="5900C6A2" w14:textId="579BD905" w:rsidR="00094E4A" w:rsidRPr="00482CBD" w:rsidRDefault="00094E4A" w:rsidP="00094E4A">
      <w:pPr>
        <w:pStyle w:val="ListParagraph"/>
        <w:numPr>
          <w:ilvl w:val="0"/>
          <w:numId w:val="6"/>
        </w:numPr>
        <w:rPr>
          <w:rFonts w:ascii="Times New Roman" w:hAnsi="Times New Roman" w:cs="Times New Roman"/>
          <w:color w:val="0C0C0C"/>
          <w:shd w:val="clear" w:color="auto" w:fill="FFFFFF"/>
        </w:rPr>
      </w:pPr>
      <w:r w:rsidRPr="00482CBD">
        <w:rPr>
          <w:rFonts w:ascii="Times New Roman" w:hAnsi="Times New Roman" w:cs="Times New Roman"/>
          <w:color w:val="0C0C0C"/>
          <w:shd w:val="clear" w:color="auto" w:fill="FFFFFF"/>
        </w:rPr>
        <w:lastRenderedPageBreak/>
        <w:t xml:space="preserve"> Statute of limitations for seeking DNA testing</w:t>
      </w:r>
    </w:p>
    <w:p w14:paraId="0DD110A4" w14:textId="77777777" w:rsidR="00094E4A" w:rsidRPr="00482CBD" w:rsidRDefault="00094E4A" w:rsidP="00094E4A">
      <w:pPr>
        <w:rPr>
          <w:color w:val="000000" w:themeColor="text1"/>
          <w:shd w:val="clear" w:color="auto" w:fill="FFFFFF"/>
        </w:rPr>
      </w:pPr>
    </w:p>
    <w:p w14:paraId="28782A9D" w14:textId="77777777" w:rsidR="00094E4A" w:rsidRPr="00482CBD" w:rsidRDefault="00094E4A" w:rsidP="00094E4A">
      <w:pPr>
        <w:rPr>
          <w:color w:val="000000" w:themeColor="text1"/>
          <w:shd w:val="clear" w:color="auto" w:fill="FFFFFF"/>
        </w:rPr>
      </w:pPr>
      <w:r w:rsidRPr="00482CBD">
        <w:rPr>
          <w:color w:val="000000" w:themeColor="text1"/>
          <w:u w:val="single"/>
          <w:shd w:val="clear" w:color="auto" w:fill="FFFFFF"/>
        </w:rPr>
        <w:t>Reed v. Goertz</w:t>
      </w:r>
      <w:r w:rsidRPr="00482CBD">
        <w:rPr>
          <w:color w:val="000000" w:themeColor="text1"/>
          <w:shd w:val="clear" w:color="auto" w:fill="FFFFFF"/>
        </w:rPr>
        <w:t xml:space="preserve">, 143 </w:t>
      </w:r>
      <w:proofErr w:type="spellStart"/>
      <w:r w:rsidRPr="00482CBD">
        <w:rPr>
          <w:color w:val="000000" w:themeColor="text1"/>
          <w:shd w:val="clear" w:color="auto" w:fill="FFFFFF"/>
        </w:rPr>
        <w:t>S.Ct</w:t>
      </w:r>
      <w:proofErr w:type="spellEnd"/>
      <w:r w:rsidRPr="00482CBD">
        <w:rPr>
          <w:color w:val="000000" w:themeColor="text1"/>
          <w:shd w:val="clear" w:color="auto" w:fill="FFFFFF"/>
        </w:rPr>
        <w:t>. 955 (2023).  When a prisoner pursues state post-conviction DNA testing through the state-provided litigation process, the statute of limitations for a</w:t>
      </w:r>
      <w:r w:rsidRPr="00482CBD">
        <w:rPr>
          <w:rStyle w:val="apple-converted-space"/>
          <w:color w:val="000000" w:themeColor="text1"/>
          <w:shd w:val="clear" w:color="auto" w:fill="FFFFFF"/>
        </w:rPr>
        <w:t> </w:t>
      </w:r>
      <w:hyperlink r:id="rId11" w:history="1">
        <w:r w:rsidRPr="00482CBD">
          <w:rPr>
            <w:rStyle w:val="Hyperlink"/>
            <w:color w:val="000000" w:themeColor="text1"/>
            <w:bdr w:val="none" w:sz="0" w:space="0" w:color="auto" w:frame="1"/>
          </w:rPr>
          <w:t>42 U.S.C. § 1983</w:t>
        </w:r>
      </w:hyperlink>
      <w:r w:rsidRPr="00482CBD">
        <w:rPr>
          <w:rStyle w:val="apple-converted-space"/>
          <w:color w:val="000000" w:themeColor="text1"/>
          <w:shd w:val="clear" w:color="auto" w:fill="FFFFFF"/>
        </w:rPr>
        <w:t> </w:t>
      </w:r>
      <w:r w:rsidRPr="00482CBD">
        <w:rPr>
          <w:color w:val="000000" w:themeColor="text1"/>
          <w:shd w:val="clear" w:color="auto" w:fill="FFFFFF"/>
        </w:rPr>
        <w:t>procedural due process claim begins to run when the state litigation ends, in this case when the Texas Court of Criminal Appeals denied Rodney Reed’s motion for rehearing.</w:t>
      </w:r>
    </w:p>
    <w:p w14:paraId="25078401" w14:textId="77777777" w:rsidR="00094E4A" w:rsidRPr="00482CBD" w:rsidRDefault="00094E4A" w:rsidP="00094E4A">
      <w:pPr>
        <w:rPr>
          <w:color w:val="0C0C0C"/>
          <w:shd w:val="clear" w:color="auto" w:fill="FFFFFF"/>
        </w:rPr>
      </w:pPr>
    </w:p>
    <w:p w14:paraId="2C5FF255" w14:textId="77777777" w:rsidR="00094E4A" w:rsidRPr="00482CBD" w:rsidRDefault="00094E4A" w:rsidP="00094E4A">
      <w:pPr>
        <w:pStyle w:val="ListParagraph"/>
        <w:numPr>
          <w:ilvl w:val="0"/>
          <w:numId w:val="6"/>
        </w:numPr>
        <w:rPr>
          <w:rFonts w:ascii="Times New Roman" w:hAnsi="Times New Roman" w:cs="Times New Roman"/>
          <w:color w:val="0C0C0C"/>
          <w:shd w:val="clear" w:color="auto" w:fill="FFFFFF"/>
        </w:rPr>
      </w:pPr>
      <w:r w:rsidRPr="00482CBD">
        <w:rPr>
          <w:rFonts w:ascii="Times New Roman" w:hAnsi="Times New Roman" w:cs="Times New Roman"/>
          <w:color w:val="0C0C0C"/>
          <w:shd w:val="clear" w:color="auto" w:fill="FFFFFF"/>
        </w:rPr>
        <w:t xml:space="preserve"> Supreme Court review of state court decisions</w:t>
      </w:r>
    </w:p>
    <w:p w14:paraId="77E063CB" w14:textId="77777777" w:rsidR="00094E4A" w:rsidRPr="00482CBD" w:rsidRDefault="00094E4A" w:rsidP="00094E4A">
      <w:pPr>
        <w:pStyle w:val="ListParagraph"/>
        <w:ind w:left="1080"/>
        <w:rPr>
          <w:rFonts w:ascii="Times New Roman" w:hAnsi="Times New Roman" w:cs="Times New Roman"/>
          <w:color w:val="0C0C0C"/>
          <w:shd w:val="clear" w:color="auto" w:fill="FFFFFF"/>
        </w:rPr>
      </w:pPr>
    </w:p>
    <w:p w14:paraId="7661566F" w14:textId="77777777" w:rsidR="00094E4A" w:rsidRPr="00482CBD" w:rsidRDefault="00094E4A" w:rsidP="00094E4A">
      <w:pPr>
        <w:rPr>
          <w:color w:val="0C0C0C"/>
          <w:shd w:val="clear" w:color="auto" w:fill="FFFFFF"/>
        </w:rPr>
      </w:pPr>
      <w:r w:rsidRPr="00482CBD">
        <w:rPr>
          <w:color w:val="0C0C0C"/>
          <w:u w:val="single"/>
          <w:shd w:val="clear" w:color="auto" w:fill="FFFFFF"/>
        </w:rPr>
        <w:t>Cruz v. Arizona</w:t>
      </w:r>
      <w:r w:rsidRPr="00482CBD">
        <w:rPr>
          <w:color w:val="0C0C0C"/>
          <w:shd w:val="clear" w:color="auto" w:fill="FFFFFF"/>
        </w:rPr>
        <w:t xml:space="preserve">, 143 </w:t>
      </w:r>
      <w:proofErr w:type="spellStart"/>
      <w:r w:rsidRPr="00482CBD">
        <w:rPr>
          <w:color w:val="0C0C0C"/>
          <w:shd w:val="clear" w:color="auto" w:fill="FFFFFF"/>
        </w:rPr>
        <w:t>S.Ct</w:t>
      </w:r>
      <w:proofErr w:type="spellEnd"/>
      <w:r w:rsidRPr="00482CBD">
        <w:rPr>
          <w:color w:val="0C0C0C"/>
          <w:shd w:val="clear" w:color="auto" w:fill="FFFFFF"/>
        </w:rPr>
        <w:t xml:space="preserve">. 650 (2023).  </w:t>
      </w:r>
      <w:r w:rsidRPr="00482CBD">
        <w:rPr>
          <w:color w:val="000000" w:themeColor="text1"/>
          <w:shd w:val="clear" w:color="auto" w:fill="FFFFFF"/>
        </w:rPr>
        <w:t>The Arizona Supreme Court’s holding below — that</w:t>
      </w:r>
      <w:r w:rsidRPr="00482CBD">
        <w:rPr>
          <w:rStyle w:val="apple-converted-space"/>
          <w:color w:val="000000" w:themeColor="text1"/>
          <w:shd w:val="clear" w:color="auto" w:fill="FFFFFF"/>
        </w:rPr>
        <w:t> </w:t>
      </w:r>
      <w:hyperlink r:id="rId12" w:history="1">
        <w:r w:rsidRPr="00482CBD">
          <w:rPr>
            <w:rStyle w:val="Emphasis"/>
            <w:color w:val="000000" w:themeColor="text1"/>
            <w:bdr w:val="none" w:sz="0" w:space="0" w:color="auto" w:frame="1"/>
          </w:rPr>
          <w:t>Lynch v. Arizona</w:t>
        </w:r>
      </w:hyperlink>
      <w:r w:rsidRPr="00482CBD">
        <w:rPr>
          <w:rStyle w:val="apple-converted-space"/>
          <w:color w:val="000000" w:themeColor="text1"/>
          <w:shd w:val="clear" w:color="auto" w:fill="FFFFFF"/>
        </w:rPr>
        <w:t> </w:t>
      </w:r>
      <w:r w:rsidRPr="00482CBD">
        <w:rPr>
          <w:color w:val="000000" w:themeColor="text1"/>
          <w:shd w:val="clear" w:color="auto" w:fill="FFFFFF"/>
        </w:rPr>
        <w:t>did not represent a “significant change in the law” for purposes of permitting John Montenegro Cruz to file a successive petition for state postconviction relief under</w:t>
      </w:r>
      <w:r w:rsidRPr="00482CBD">
        <w:rPr>
          <w:rStyle w:val="apple-converted-space"/>
          <w:color w:val="000000" w:themeColor="text1"/>
          <w:shd w:val="clear" w:color="auto" w:fill="FFFFFF"/>
        </w:rPr>
        <w:t> </w:t>
      </w:r>
      <w:hyperlink r:id="rId13" w:history="1">
        <w:r w:rsidRPr="00482CBD">
          <w:rPr>
            <w:rStyle w:val="Hyperlink"/>
            <w:color w:val="000000" w:themeColor="text1"/>
            <w:bdr w:val="none" w:sz="0" w:space="0" w:color="auto" w:frame="1"/>
          </w:rPr>
          <w:t>Arizona Rule of Criminal Procedure 32.1(g)</w:t>
        </w:r>
      </w:hyperlink>
      <w:r w:rsidRPr="00482CBD">
        <w:rPr>
          <w:rStyle w:val="apple-converted-space"/>
          <w:color w:val="000000" w:themeColor="text1"/>
          <w:shd w:val="clear" w:color="auto" w:fill="FFFFFF"/>
        </w:rPr>
        <w:t> </w:t>
      </w:r>
      <w:r w:rsidRPr="00482CBD">
        <w:rPr>
          <w:color w:val="000000" w:themeColor="text1"/>
          <w:shd w:val="clear" w:color="auto" w:fill="FFFFFF"/>
        </w:rPr>
        <w:t>— is not an adequate state-law ground supporting that judgment</w:t>
      </w:r>
      <w:r w:rsidRPr="00482CBD">
        <w:rPr>
          <w:color w:val="0C0C0C"/>
          <w:shd w:val="clear" w:color="auto" w:fill="FFFFFF"/>
        </w:rPr>
        <w:t>.</w:t>
      </w:r>
    </w:p>
    <w:p w14:paraId="0F3DCB8D" w14:textId="77777777" w:rsidR="00094E4A" w:rsidRPr="00482CBD" w:rsidRDefault="00094E4A" w:rsidP="00094E4A"/>
    <w:p w14:paraId="74FCD46F" w14:textId="7511D892" w:rsidR="00AC5252" w:rsidRPr="00482CBD" w:rsidRDefault="00AC5252" w:rsidP="00094E4A">
      <w:pPr>
        <w:pStyle w:val="ListParagraph"/>
        <w:numPr>
          <w:ilvl w:val="0"/>
          <w:numId w:val="1"/>
        </w:numPr>
        <w:rPr>
          <w:rFonts w:ascii="Times New Roman" w:hAnsi="Times New Roman" w:cs="Times New Roman"/>
          <w:color w:val="0C0C0C"/>
          <w:shd w:val="clear" w:color="auto" w:fill="FFFFFF"/>
        </w:rPr>
      </w:pPr>
      <w:r w:rsidRPr="00482CBD">
        <w:rPr>
          <w:rFonts w:ascii="Times New Roman" w:hAnsi="Times New Roman" w:cs="Times New Roman"/>
          <w:color w:val="0C0C0C"/>
          <w:shd w:val="clear" w:color="auto" w:fill="FFFFFF"/>
        </w:rPr>
        <w:t>Elections</w:t>
      </w:r>
    </w:p>
    <w:p w14:paraId="226EAD6C" w14:textId="77777777" w:rsidR="00AC5252" w:rsidRPr="00482CBD" w:rsidRDefault="00AC5252" w:rsidP="00AC5252">
      <w:pPr>
        <w:pStyle w:val="ListParagraph"/>
        <w:rPr>
          <w:rFonts w:ascii="Times New Roman" w:hAnsi="Times New Roman" w:cs="Times New Roman"/>
          <w:color w:val="0C0C0C"/>
          <w:shd w:val="clear" w:color="auto" w:fill="FFFFFF"/>
        </w:rPr>
      </w:pPr>
    </w:p>
    <w:p w14:paraId="0AFFCEE5" w14:textId="6A9FE96B" w:rsidR="00AC5252" w:rsidRPr="00482CBD" w:rsidRDefault="001D02EE" w:rsidP="00AC5252">
      <w:pPr>
        <w:rPr>
          <w:u w:val="single"/>
        </w:rPr>
      </w:pPr>
      <w:r w:rsidRPr="00482CBD">
        <w:rPr>
          <w:u w:val="single"/>
        </w:rPr>
        <w:t>Allen</w:t>
      </w:r>
      <w:r w:rsidR="009916AB" w:rsidRPr="00482CBD">
        <w:rPr>
          <w:u w:val="single"/>
        </w:rPr>
        <w:t xml:space="preserve"> v. Milligan</w:t>
      </w:r>
      <w:r w:rsidR="009916AB" w:rsidRPr="00482CBD">
        <w:t>,</w:t>
      </w:r>
      <w:r w:rsidR="00012BC8" w:rsidRPr="00482CBD">
        <w:t xml:space="preserve"> 143 </w:t>
      </w:r>
      <w:proofErr w:type="spellStart"/>
      <w:r w:rsidR="00012BC8" w:rsidRPr="00482CBD">
        <w:t>S.Ct</w:t>
      </w:r>
      <w:proofErr w:type="spellEnd"/>
      <w:r w:rsidR="00012BC8" w:rsidRPr="00482CBD">
        <w:t xml:space="preserve">. </w:t>
      </w:r>
      <w:r w:rsidRPr="00482CBD">
        <w:t>1487</w:t>
      </w:r>
      <w:r w:rsidR="009916AB" w:rsidRPr="00482CBD">
        <w:t xml:space="preserve"> (2023).</w:t>
      </w:r>
      <w:r w:rsidR="00AC5252" w:rsidRPr="00482CBD">
        <w:t xml:space="preserve">  </w:t>
      </w:r>
      <w:r w:rsidR="009916AB" w:rsidRPr="00482CBD">
        <w:t>T</w:t>
      </w:r>
      <w:r w:rsidR="00AC5252" w:rsidRPr="00482CBD">
        <w:t>he state of Alabama’s 2021 redistricting plan for its seven seats in the United States House of Representatives violated Section 2 of</w:t>
      </w:r>
      <w:r w:rsidR="00AC5252" w:rsidRPr="00482CBD">
        <w:rPr>
          <w:color w:val="000000" w:themeColor="text1"/>
        </w:rPr>
        <w:t xml:space="preserve"> the </w:t>
      </w:r>
      <w:hyperlink r:id="rId14" w:history="1">
        <w:r w:rsidR="00AC5252" w:rsidRPr="00482CBD">
          <w:rPr>
            <w:rStyle w:val="Hyperlink"/>
            <w:color w:val="000000" w:themeColor="text1"/>
            <w:u w:val="none"/>
          </w:rPr>
          <w:t>Voting Rights Act</w:t>
        </w:r>
      </w:hyperlink>
      <w:r w:rsidR="00AC5252" w:rsidRPr="00482CBD">
        <w:rPr>
          <w:color w:val="000000" w:themeColor="text1"/>
        </w:rPr>
        <w:t xml:space="preserve">. </w:t>
      </w:r>
    </w:p>
    <w:p w14:paraId="12B0E5AF" w14:textId="77777777" w:rsidR="00AC5252" w:rsidRPr="00482CBD" w:rsidRDefault="00AC5252" w:rsidP="00AC5252">
      <w:pPr>
        <w:rPr>
          <w:color w:val="000000" w:themeColor="text1"/>
        </w:rPr>
      </w:pPr>
    </w:p>
    <w:p w14:paraId="276830C9" w14:textId="243CB762" w:rsidR="00AC5252" w:rsidRPr="00482CBD" w:rsidRDefault="00000000" w:rsidP="00AC5252">
      <w:hyperlink r:id="rId15" w:history="1">
        <w:r w:rsidR="00AC5252" w:rsidRPr="00482CBD">
          <w:rPr>
            <w:rStyle w:val="Hyperlink"/>
            <w:color w:val="000000" w:themeColor="text1"/>
          </w:rPr>
          <w:t>Moore v. Harper</w:t>
        </w:r>
      </w:hyperlink>
      <w:r w:rsidR="00AC5252" w:rsidRPr="00482CBD">
        <w:rPr>
          <w:color w:val="000000" w:themeColor="text1"/>
        </w:rPr>
        <w:t>,</w:t>
      </w:r>
      <w:r w:rsidR="009916AB" w:rsidRPr="00482CBD">
        <w:rPr>
          <w:rStyle w:val="case-info-item"/>
          <w:color w:val="000000" w:themeColor="text1"/>
        </w:rPr>
        <w:t xml:space="preserve"> </w:t>
      </w:r>
      <w:r w:rsidR="00012BC8" w:rsidRPr="00482CBD">
        <w:rPr>
          <w:rStyle w:val="case-info-item"/>
          <w:color w:val="000000" w:themeColor="text1"/>
        </w:rPr>
        <w:t xml:space="preserve">143 </w:t>
      </w:r>
      <w:proofErr w:type="spellStart"/>
      <w:r w:rsidR="00012BC8" w:rsidRPr="00482CBD">
        <w:rPr>
          <w:rStyle w:val="case-info-item"/>
          <w:color w:val="000000" w:themeColor="text1"/>
        </w:rPr>
        <w:t>S.Ct</w:t>
      </w:r>
      <w:proofErr w:type="spellEnd"/>
      <w:r w:rsidR="00012BC8" w:rsidRPr="00482CBD">
        <w:rPr>
          <w:rStyle w:val="case-info-item"/>
          <w:color w:val="000000" w:themeColor="text1"/>
        </w:rPr>
        <w:t xml:space="preserve">. </w:t>
      </w:r>
      <w:r w:rsidR="001305CC" w:rsidRPr="00482CBD">
        <w:rPr>
          <w:rStyle w:val="case-info-item"/>
          <w:color w:val="000000" w:themeColor="text1"/>
        </w:rPr>
        <w:t>2065</w:t>
      </w:r>
      <w:r w:rsidR="00012BC8" w:rsidRPr="00482CBD">
        <w:rPr>
          <w:rStyle w:val="case-info-item"/>
          <w:color w:val="000000" w:themeColor="text1"/>
        </w:rPr>
        <w:t xml:space="preserve"> </w:t>
      </w:r>
      <w:r w:rsidR="009916AB" w:rsidRPr="00482CBD">
        <w:rPr>
          <w:rStyle w:val="case-info-item"/>
          <w:color w:val="000000" w:themeColor="text1"/>
        </w:rPr>
        <w:t>(2023)</w:t>
      </w:r>
      <w:r w:rsidR="00AC5252" w:rsidRPr="00482CBD">
        <w:t xml:space="preserve">.  </w:t>
      </w:r>
      <w:r w:rsidR="002275B9" w:rsidRPr="00482CBD">
        <w:t>The federal elections clause does not vest exclusive and independent authority in state legislatures to set the rules regarding federal elections and therefore did not bar the North Carolina Supreme Court from reviewing the North Carolina legislature’s congressional districting plans for compliance with North Carolina law.</w:t>
      </w:r>
    </w:p>
    <w:p w14:paraId="63244A10" w14:textId="3EC0C9C5" w:rsidR="00AC5252" w:rsidRPr="00482CBD" w:rsidRDefault="00AC5252" w:rsidP="00AC5252">
      <w:pPr>
        <w:rPr>
          <w:color w:val="0C0C0C"/>
          <w:shd w:val="clear" w:color="auto" w:fill="FFFFFF"/>
        </w:rPr>
      </w:pPr>
    </w:p>
    <w:p w14:paraId="05096396" w14:textId="1BF994FD" w:rsidR="00AC5252" w:rsidRPr="00482CBD" w:rsidRDefault="00AC5252" w:rsidP="00094E4A">
      <w:pPr>
        <w:pStyle w:val="ListParagraph"/>
        <w:numPr>
          <w:ilvl w:val="0"/>
          <w:numId w:val="1"/>
        </w:numPr>
        <w:rPr>
          <w:rFonts w:ascii="Times New Roman" w:hAnsi="Times New Roman" w:cs="Times New Roman"/>
          <w:color w:val="0C0C0C"/>
          <w:shd w:val="clear" w:color="auto" w:fill="FFFFFF"/>
        </w:rPr>
      </w:pPr>
      <w:r w:rsidRPr="00482CBD">
        <w:rPr>
          <w:rFonts w:ascii="Times New Roman" w:hAnsi="Times New Roman" w:cs="Times New Roman"/>
          <w:color w:val="0C0C0C"/>
          <w:shd w:val="clear" w:color="auto" w:fill="FFFFFF"/>
        </w:rPr>
        <w:t>Executive power – and state challenges to it</w:t>
      </w:r>
    </w:p>
    <w:p w14:paraId="5119CAAB" w14:textId="77777777" w:rsidR="00AC5252" w:rsidRPr="00482CBD" w:rsidRDefault="00AC5252" w:rsidP="00AC5252">
      <w:pPr>
        <w:rPr>
          <w:color w:val="0C0C0C"/>
          <w:shd w:val="clear" w:color="auto" w:fill="FFFFFF"/>
        </w:rPr>
      </w:pPr>
    </w:p>
    <w:p w14:paraId="5DAD85D0" w14:textId="5B894870" w:rsidR="00224A49" w:rsidRPr="00482CBD" w:rsidRDefault="00000000" w:rsidP="00AC5252">
      <w:pPr>
        <w:rPr>
          <w:color w:val="000000" w:themeColor="text1"/>
        </w:rPr>
      </w:pPr>
      <w:hyperlink r:id="rId16" w:history="1">
        <w:r w:rsidR="00224A49" w:rsidRPr="00482CBD">
          <w:rPr>
            <w:rStyle w:val="Hyperlink"/>
            <w:color w:val="000000" w:themeColor="text1"/>
          </w:rPr>
          <w:t>U.S. v. Texas</w:t>
        </w:r>
      </w:hyperlink>
      <w:r w:rsidR="00224A49" w:rsidRPr="00482CBD">
        <w:rPr>
          <w:color w:val="000000" w:themeColor="text1"/>
        </w:rPr>
        <w:t>,</w:t>
      </w:r>
      <w:r w:rsidR="00224A49" w:rsidRPr="00482CBD">
        <w:rPr>
          <w:rStyle w:val="case-info-item"/>
          <w:color w:val="000000" w:themeColor="text1"/>
        </w:rPr>
        <w:t xml:space="preserve"> 143 </w:t>
      </w:r>
      <w:proofErr w:type="spellStart"/>
      <w:r w:rsidR="00224A49" w:rsidRPr="00482CBD">
        <w:rPr>
          <w:rStyle w:val="case-info-item"/>
          <w:color w:val="000000" w:themeColor="text1"/>
        </w:rPr>
        <w:t>S.Ct</w:t>
      </w:r>
      <w:proofErr w:type="spellEnd"/>
      <w:r w:rsidR="00224A49" w:rsidRPr="00482CBD">
        <w:rPr>
          <w:rStyle w:val="case-info-item"/>
          <w:color w:val="000000" w:themeColor="text1"/>
        </w:rPr>
        <w:t xml:space="preserve">. </w:t>
      </w:r>
      <w:r w:rsidR="001305CC" w:rsidRPr="00482CBD">
        <w:rPr>
          <w:rStyle w:val="case-info-item"/>
          <w:color w:val="000000" w:themeColor="text1"/>
        </w:rPr>
        <w:t>1964</w:t>
      </w:r>
      <w:r w:rsidR="00224A49" w:rsidRPr="00482CBD">
        <w:rPr>
          <w:rStyle w:val="case-info-item"/>
          <w:color w:val="000000" w:themeColor="text1"/>
        </w:rPr>
        <w:t xml:space="preserve"> (2023)</w:t>
      </w:r>
      <w:r w:rsidR="00224A49" w:rsidRPr="00482CBD">
        <w:rPr>
          <w:color w:val="000000" w:themeColor="text1"/>
        </w:rPr>
        <w:t xml:space="preserve">.   </w:t>
      </w:r>
      <w:r w:rsidR="00224A49" w:rsidRPr="00482CBD">
        <w:t>Texas and Louisiana lack Article III standing to challenge immigration-enforcement guidelines promulgated by the Secretary of Homeland Security that prioritize the arrest and removal of certain noncitizens from the United States.</w:t>
      </w:r>
    </w:p>
    <w:p w14:paraId="6782B0DD" w14:textId="77777777" w:rsidR="00224A49" w:rsidRPr="00482CBD" w:rsidRDefault="00224A49" w:rsidP="00AC5252">
      <w:pPr>
        <w:rPr>
          <w:color w:val="0C0C0C"/>
          <w:shd w:val="clear" w:color="auto" w:fill="FFFFFF"/>
        </w:rPr>
      </w:pPr>
    </w:p>
    <w:p w14:paraId="107539EA" w14:textId="54C99255" w:rsidR="00CC5740" w:rsidRPr="00482CBD" w:rsidRDefault="00000000" w:rsidP="00AC5252">
      <w:hyperlink r:id="rId17" w:history="1">
        <w:r w:rsidR="00AC5252" w:rsidRPr="00482CBD">
          <w:rPr>
            <w:rStyle w:val="Hyperlink"/>
            <w:color w:val="000000" w:themeColor="text1"/>
          </w:rPr>
          <w:t>Biden v. Nebraska</w:t>
        </w:r>
      </w:hyperlink>
      <w:r w:rsidR="00AC5252" w:rsidRPr="00482CBD">
        <w:rPr>
          <w:color w:val="000000" w:themeColor="text1"/>
        </w:rPr>
        <w:t xml:space="preserve">, </w:t>
      </w:r>
      <w:r w:rsidR="00CC5740" w:rsidRPr="00482CBD">
        <w:rPr>
          <w:rStyle w:val="case-info-item"/>
          <w:color w:val="000000" w:themeColor="text1"/>
        </w:rPr>
        <w:t xml:space="preserve">143 </w:t>
      </w:r>
      <w:proofErr w:type="spellStart"/>
      <w:r w:rsidR="00CC5740" w:rsidRPr="00482CBD">
        <w:rPr>
          <w:rStyle w:val="case-info-item"/>
          <w:color w:val="000000" w:themeColor="text1"/>
        </w:rPr>
        <w:t>S.Ct</w:t>
      </w:r>
      <w:proofErr w:type="spellEnd"/>
      <w:r w:rsidR="00CC5740" w:rsidRPr="00482CBD">
        <w:rPr>
          <w:rStyle w:val="case-info-item"/>
          <w:color w:val="000000" w:themeColor="text1"/>
        </w:rPr>
        <w:t xml:space="preserve">. </w:t>
      </w:r>
      <w:r w:rsidR="001305CC" w:rsidRPr="00482CBD">
        <w:rPr>
          <w:rStyle w:val="case-info-item"/>
          <w:color w:val="000000" w:themeColor="text1"/>
        </w:rPr>
        <w:t>2355</w:t>
      </w:r>
      <w:r w:rsidR="00CC5740" w:rsidRPr="00482CBD">
        <w:rPr>
          <w:rStyle w:val="case-info-item"/>
          <w:color w:val="000000" w:themeColor="text1"/>
        </w:rPr>
        <w:t xml:space="preserve"> (2023).  </w:t>
      </w:r>
      <w:r w:rsidR="00CC5740" w:rsidRPr="00482CBD">
        <w:rPr>
          <w:color w:val="0C0C0C"/>
          <w:shd w:val="clear" w:color="auto" w:fill="FFFFFF"/>
        </w:rPr>
        <w:t>The Secretary of Education does not have authority under the Higher Education Relief Opportunities for Students Act of 2003 to establish a student loan forgiveness program that will cancel roughly $430 billion in debt principal and affect nearly all borrowers.</w:t>
      </w:r>
    </w:p>
    <w:p w14:paraId="69F52E11" w14:textId="678633B1" w:rsidR="00094E4A" w:rsidRPr="00482CBD" w:rsidRDefault="00094E4A" w:rsidP="00AC5252"/>
    <w:p w14:paraId="023A26C0" w14:textId="3BC7C447" w:rsidR="00AC5252" w:rsidRPr="00482CBD" w:rsidRDefault="00AC5252" w:rsidP="00094E4A">
      <w:pPr>
        <w:pStyle w:val="ListParagraph"/>
        <w:numPr>
          <w:ilvl w:val="0"/>
          <w:numId w:val="1"/>
        </w:numPr>
        <w:rPr>
          <w:rFonts w:ascii="Times New Roman" w:hAnsi="Times New Roman" w:cs="Times New Roman"/>
          <w:color w:val="0C0C0C"/>
          <w:shd w:val="clear" w:color="auto" w:fill="FFFFFF"/>
        </w:rPr>
      </w:pPr>
      <w:r w:rsidRPr="00482CBD">
        <w:rPr>
          <w:rFonts w:ascii="Times New Roman" w:hAnsi="Times New Roman" w:cs="Times New Roman"/>
          <w:color w:val="0C0C0C"/>
          <w:shd w:val="clear" w:color="auto" w:fill="FFFFFF"/>
        </w:rPr>
        <w:t>First Amendment</w:t>
      </w:r>
      <w:r w:rsidR="002275B9" w:rsidRPr="00482CBD">
        <w:rPr>
          <w:rFonts w:ascii="Times New Roman" w:hAnsi="Times New Roman" w:cs="Times New Roman"/>
          <w:color w:val="0C0C0C"/>
          <w:shd w:val="clear" w:color="auto" w:fill="FFFFFF"/>
        </w:rPr>
        <w:t xml:space="preserve">:  </w:t>
      </w:r>
      <w:r w:rsidRPr="00482CBD">
        <w:rPr>
          <w:rFonts w:ascii="Times New Roman" w:hAnsi="Times New Roman" w:cs="Times New Roman"/>
          <w:color w:val="0C0C0C"/>
          <w:shd w:val="clear" w:color="auto" w:fill="FFFFFF"/>
        </w:rPr>
        <w:t>speec</w:t>
      </w:r>
      <w:r w:rsidR="002275B9" w:rsidRPr="00482CBD">
        <w:rPr>
          <w:rFonts w:ascii="Times New Roman" w:hAnsi="Times New Roman" w:cs="Times New Roman"/>
          <w:color w:val="0C0C0C"/>
          <w:shd w:val="clear" w:color="auto" w:fill="FFFFFF"/>
        </w:rPr>
        <w:t>h</w:t>
      </w:r>
    </w:p>
    <w:p w14:paraId="5DB67628" w14:textId="77777777" w:rsidR="00E412FB" w:rsidRPr="00482CBD" w:rsidRDefault="00E412FB" w:rsidP="00A45C2A">
      <w:pPr>
        <w:rPr>
          <w:color w:val="0C0C0C"/>
          <w:shd w:val="clear" w:color="auto" w:fill="FFFFFF"/>
        </w:rPr>
      </w:pPr>
    </w:p>
    <w:p w14:paraId="51582A5C" w14:textId="7A7BFE7D" w:rsidR="009916AB" w:rsidRPr="00482CBD" w:rsidRDefault="00000000" w:rsidP="009916AB">
      <w:hyperlink r:id="rId18" w:history="1">
        <w:r w:rsidR="009916AB" w:rsidRPr="00482CBD">
          <w:rPr>
            <w:rStyle w:val="Hyperlink"/>
            <w:color w:val="000000" w:themeColor="text1"/>
          </w:rPr>
          <w:t>Counterman v. Colorado</w:t>
        </w:r>
      </w:hyperlink>
      <w:r w:rsidR="009916AB" w:rsidRPr="00482CBD">
        <w:rPr>
          <w:color w:val="000000" w:themeColor="text1"/>
        </w:rPr>
        <w:t>,</w:t>
      </w:r>
      <w:r w:rsidR="00012BC8" w:rsidRPr="00482CBD">
        <w:rPr>
          <w:color w:val="000000" w:themeColor="text1"/>
        </w:rPr>
        <w:t xml:space="preserve"> 143 </w:t>
      </w:r>
      <w:proofErr w:type="spellStart"/>
      <w:r w:rsidR="00012BC8" w:rsidRPr="00482CBD">
        <w:rPr>
          <w:color w:val="000000" w:themeColor="text1"/>
        </w:rPr>
        <w:t>S.Ct</w:t>
      </w:r>
      <w:proofErr w:type="spellEnd"/>
      <w:r w:rsidR="00012BC8" w:rsidRPr="00482CBD">
        <w:rPr>
          <w:color w:val="000000" w:themeColor="text1"/>
        </w:rPr>
        <w:t xml:space="preserve">. </w:t>
      </w:r>
      <w:r w:rsidR="001305CC" w:rsidRPr="00482CBD">
        <w:rPr>
          <w:color w:val="000000" w:themeColor="text1"/>
        </w:rPr>
        <w:t>2106</w:t>
      </w:r>
      <w:r w:rsidR="009916AB" w:rsidRPr="00482CBD">
        <w:rPr>
          <w:color w:val="000000" w:themeColor="text1"/>
        </w:rPr>
        <w:t xml:space="preserve"> </w:t>
      </w:r>
      <w:r w:rsidR="009916AB" w:rsidRPr="00482CBD">
        <w:rPr>
          <w:rStyle w:val="case-info-item"/>
          <w:color w:val="000000" w:themeColor="text1"/>
        </w:rPr>
        <w:t xml:space="preserve">(2023).  </w:t>
      </w:r>
      <w:r w:rsidR="002275B9" w:rsidRPr="00482CBD">
        <w:t>To establish that a statement is a “true threat” unprotected by the First Amendment, the state must prove that the defendant had some subjective understanding of the statements’ threatening nature, based on a showing no more demanding than recklessness.</w:t>
      </w:r>
    </w:p>
    <w:p w14:paraId="329B93BD" w14:textId="77777777" w:rsidR="009916AB" w:rsidRPr="00482CBD" w:rsidRDefault="009916AB" w:rsidP="00AC5252">
      <w:pPr>
        <w:pStyle w:val="ListParagraph"/>
        <w:rPr>
          <w:rFonts w:ascii="Times New Roman" w:hAnsi="Times New Roman" w:cs="Times New Roman"/>
          <w:color w:val="0C0C0C"/>
          <w:shd w:val="clear" w:color="auto" w:fill="FFFFFF"/>
        </w:rPr>
      </w:pPr>
    </w:p>
    <w:p w14:paraId="299E6490" w14:textId="3C6D0579" w:rsidR="00AC5252" w:rsidRPr="00482CBD" w:rsidRDefault="00000000" w:rsidP="00AC5252">
      <w:hyperlink r:id="rId19" w:history="1">
        <w:r w:rsidR="00AC5252" w:rsidRPr="00482CBD">
          <w:rPr>
            <w:rStyle w:val="Hyperlink"/>
            <w:color w:val="000000" w:themeColor="text1"/>
          </w:rPr>
          <w:t xml:space="preserve">303 Creative LLC v. </w:t>
        </w:r>
        <w:proofErr w:type="spellStart"/>
        <w:r w:rsidR="00AC5252" w:rsidRPr="00482CBD">
          <w:rPr>
            <w:rStyle w:val="Hyperlink"/>
            <w:color w:val="000000" w:themeColor="text1"/>
          </w:rPr>
          <w:t>Elenis</w:t>
        </w:r>
        <w:proofErr w:type="spellEnd"/>
      </w:hyperlink>
      <w:r w:rsidR="00AC5252" w:rsidRPr="00482CBD">
        <w:rPr>
          <w:color w:val="000000" w:themeColor="text1"/>
        </w:rPr>
        <w:t>,</w:t>
      </w:r>
      <w:r w:rsidR="009722C7" w:rsidRPr="00482CBD">
        <w:rPr>
          <w:rStyle w:val="case-info-item"/>
          <w:color w:val="000000" w:themeColor="text1"/>
        </w:rPr>
        <w:t xml:space="preserve"> 143 </w:t>
      </w:r>
      <w:proofErr w:type="spellStart"/>
      <w:r w:rsidR="009722C7" w:rsidRPr="00482CBD">
        <w:rPr>
          <w:rStyle w:val="case-info-item"/>
          <w:color w:val="000000" w:themeColor="text1"/>
        </w:rPr>
        <w:t>S.Ct</w:t>
      </w:r>
      <w:proofErr w:type="spellEnd"/>
      <w:r w:rsidR="009722C7" w:rsidRPr="00482CBD">
        <w:rPr>
          <w:rStyle w:val="case-info-item"/>
          <w:color w:val="000000" w:themeColor="text1"/>
        </w:rPr>
        <w:t xml:space="preserve">. </w:t>
      </w:r>
      <w:r w:rsidR="001305CC" w:rsidRPr="00482CBD">
        <w:rPr>
          <w:rStyle w:val="case-info-item"/>
          <w:color w:val="000000" w:themeColor="text1"/>
        </w:rPr>
        <w:t>2298</w:t>
      </w:r>
      <w:r w:rsidR="009722C7" w:rsidRPr="00482CBD">
        <w:rPr>
          <w:rStyle w:val="case-info-item"/>
          <w:color w:val="000000" w:themeColor="text1"/>
        </w:rPr>
        <w:t xml:space="preserve"> (2023)</w:t>
      </w:r>
      <w:r w:rsidR="00AC5252" w:rsidRPr="00482CBD">
        <w:t xml:space="preserve">. </w:t>
      </w:r>
      <w:r w:rsidR="00CC5740" w:rsidRPr="00482CBD">
        <w:rPr>
          <w:color w:val="0C0C0C"/>
          <w:shd w:val="clear" w:color="auto" w:fill="FFFFFF"/>
        </w:rPr>
        <w:t>The First Amendment prohibits Colorado from forcing a website designer to create expressive designs speaking messages with which the designer disagrees.</w:t>
      </w:r>
    </w:p>
    <w:p w14:paraId="14C5E6FF" w14:textId="77777777" w:rsidR="00012BC8" w:rsidRPr="00482CBD" w:rsidRDefault="00012BC8" w:rsidP="00AC5252">
      <w:pPr>
        <w:rPr>
          <w:color w:val="0C0C0C"/>
          <w:shd w:val="clear" w:color="auto" w:fill="FFFFFF"/>
        </w:rPr>
      </w:pPr>
    </w:p>
    <w:p w14:paraId="11CA97A5" w14:textId="77777777" w:rsidR="00AC5252" w:rsidRPr="00482CBD" w:rsidRDefault="00AC5252" w:rsidP="00094E4A">
      <w:pPr>
        <w:pStyle w:val="ListParagraph"/>
        <w:numPr>
          <w:ilvl w:val="0"/>
          <w:numId w:val="1"/>
        </w:numPr>
        <w:rPr>
          <w:rFonts w:ascii="Times New Roman" w:hAnsi="Times New Roman" w:cs="Times New Roman"/>
          <w:color w:val="0C0C0C"/>
          <w:shd w:val="clear" w:color="auto" w:fill="FFFFFF"/>
        </w:rPr>
      </w:pPr>
      <w:r w:rsidRPr="00482CBD">
        <w:rPr>
          <w:rFonts w:ascii="Times New Roman" w:hAnsi="Times New Roman" w:cs="Times New Roman"/>
          <w:color w:val="0C0C0C"/>
          <w:shd w:val="clear" w:color="auto" w:fill="FFFFFF"/>
        </w:rPr>
        <w:t xml:space="preserve"> Indian Child Welfare Act</w:t>
      </w:r>
    </w:p>
    <w:p w14:paraId="242846FF" w14:textId="77777777" w:rsidR="00AC5252" w:rsidRPr="00482CBD" w:rsidRDefault="00AC5252" w:rsidP="00AC5252">
      <w:pPr>
        <w:pStyle w:val="ListParagraph"/>
        <w:rPr>
          <w:rFonts w:ascii="Times New Roman" w:hAnsi="Times New Roman" w:cs="Times New Roman"/>
          <w:color w:val="0C0C0C"/>
          <w:shd w:val="clear" w:color="auto" w:fill="FFFFFF"/>
        </w:rPr>
      </w:pPr>
    </w:p>
    <w:p w14:paraId="5E63E842" w14:textId="71F05AA2" w:rsidR="00B96E11" w:rsidRPr="00482CBD" w:rsidRDefault="00000000" w:rsidP="00AC5252">
      <w:pPr>
        <w:rPr>
          <w:color w:val="000000" w:themeColor="text1"/>
        </w:rPr>
      </w:pPr>
      <w:hyperlink r:id="rId20" w:history="1">
        <w:proofErr w:type="spellStart"/>
        <w:r w:rsidR="00AC5252" w:rsidRPr="00482CBD">
          <w:rPr>
            <w:rStyle w:val="Hyperlink"/>
            <w:color w:val="000000" w:themeColor="text1"/>
          </w:rPr>
          <w:t>Haaland</w:t>
        </w:r>
        <w:proofErr w:type="spellEnd"/>
        <w:r w:rsidR="00AC5252" w:rsidRPr="00482CBD">
          <w:rPr>
            <w:rStyle w:val="Hyperlink"/>
            <w:color w:val="000000" w:themeColor="text1"/>
          </w:rPr>
          <w:t xml:space="preserve"> v. </w:t>
        </w:r>
        <w:proofErr w:type="spellStart"/>
        <w:r w:rsidR="00AC5252" w:rsidRPr="00482CBD">
          <w:rPr>
            <w:rStyle w:val="Hyperlink"/>
            <w:color w:val="000000" w:themeColor="text1"/>
          </w:rPr>
          <w:t>Brackeen</w:t>
        </w:r>
        <w:proofErr w:type="spellEnd"/>
      </w:hyperlink>
      <w:r w:rsidR="00AC5252" w:rsidRPr="00482CBD">
        <w:rPr>
          <w:color w:val="000000" w:themeColor="text1"/>
        </w:rPr>
        <w:t>,</w:t>
      </w:r>
      <w:r w:rsidR="009916AB" w:rsidRPr="00482CBD">
        <w:rPr>
          <w:rStyle w:val="case-info-item"/>
          <w:color w:val="000000" w:themeColor="text1"/>
        </w:rPr>
        <w:t xml:space="preserve"> </w:t>
      </w:r>
      <w:r w:rsidR="00012BC8" w:rsidRPr="00482CBD">
        <w:rPr>
          <w:rStyle w:val="case-info-item"/>
          <w:color w:val="000000" w:themeColor="text1"/>
        </w:rPr>
        <w:t xml:space="preserve">143 </w:t>
      </w:r>
      <w:proofErr w:type="spellStart"/>
      <w:r w:rsidR="00012BC8" w:rsidRPr="00482CBD">
        <w:rPr>
          <w:rStyle w:val="case-info-item"/>
          <w:color w:val="000000" w:themeColor="text1"/>
        </w:rPr>
        <w:t>S.Ct</w:t>
      </w:r>
      <w:proofErr w:type="spellEnd"/>
      <w:r w:rsidR="00012BC8" w:rsidRPr="00482CBD">
        <w:rPr>
          <w:rStyle w:val="case-info-item"/>
          <w:color w:val="000000" w:themeColor="text1"/>
        </w:rPr>
        <w:t xml:space="preserve">. </w:t>
      </w:r>
      <w:r w:rsidR="001305CC" w:rsidRPr="00482CBD">
        <w:rPr>
          <w:rStyle w:val="case-info-item"/>
          <w:color w:val="000000" w:themeColor="text1"/>
        </w:rPr>
        <w:t xml:space="preserve">1609 </w:t>
      </w:r>
      <w:r w:rsidR="009916AB" w:rsidRPr="00482CBD">
        <w:rPr>
          <w:rStyle w:val="case-info-item"/>
          <w:color w:val="000000" w:themeColor="text1"/>
        </w:rPr>
        <w:t>(2023)</w:t>
      </w:r>
      <w:r w:rsidR="00AC5252" w:rsidRPr="00482CBD">
        <w:rPr>
          <w:color w:val="000000" w:themeColor="text1"/>
        </w:rPr>
        <w:t xml:space="preserve">.  (1) Whether various provisions of the Indian Child Welfare Act of 1978 — namely, the minimum standards of </w:t>
      </w:r>
      <w:hyperlink r:id="rId21" w:history="1">
        <w:r w:rsidR="00AC5252" w:rsidRPr="00482CBD">
          <w:rPr>
            <w:rStyle w:val="Hyperlink"/>
            <w:color w:val="000000" w:themeColor="text1"/>
            <w:u w:val="none"/>
          </w:rPr>
          <w:t>Section 1912(a), (d), (e), and (f)</w:t>
        </w:r>
      </w:hyperlink>
      <w:r w:rsidR="00AC5252" w:rsidRPr="00482CBD">
        <w:rPr>
          <w:color w:val="000000" w:themeColor="text1"/>
        </w:rPr>
        <w:t xml:space="preserve">; the placement-preference provisions of </w:t>
      </w:r>
      <w:hyperlink r:id="rId22" w:history="1">
        <w:r w:rsidR="00AC5252" w:rsidRPr="00482CBD">
          <w:rPr>
            <w:rStyle w:val="Hyperlink"/>
            <w:color w:val="000000" w:themeColor="text1"/>
            <w:u w:val="none"/>
          </w:rPr>
          <w:t>Section 1915(a) and (b)</w:t>
        </w:r>
      </w:hyperlink>
      <w:r w:rsidR="00AC5252" w:rsidRPr="00482CBD">
        <w:rPr>
          <w:color w:val="000000" w:themeColor="text1"/>
        </w:rPr>
        <w:t xml:space="preserve">; and the recordkeeping provisions of </w:t>
      </w:r>
      <w:hyperlink r:id="rId23" w:history="1">
        <w:r w:rsidR="00AC5252" w:rsidRPr="00482CBD">
          <w:rPr>
            <w:rStyle w:val="Hyperlink"/>
            <w:color w:val="000000" w:themeColor="text1"/>
            <w:u w:val="none"/>
          </w:rPr>
          <w:t>Sections 1915(e)</w:t>
        </w:r>
      </w:hyperlink>
      <w:r w:rsidR="00AC5252" w:rsidRPr="00482CBD">
        <w:rPr>
          <w:color w:val="000000" w:themeColor="text1"/>
        </w:rPr>
        <w:t xml:space="preserve"> and </w:t>
      </w:r>
      <w:hyperlink r:id="rId24" w:history="1">
        <w:r w:rsidR="00AC5252" w:rsidRPr="00482CBD">
          <w:rPr>
            <w:rStyle w:val="Hyperlink"/>
            <w:color w:val="000000" w:themeColor="text1"/>
            <w:u w:val="none"/>
          </w:rPr>
          <w:t>1951(a)</w:t>
        </w:r>
      </w:hyperlink>
      <w:r w:rsidR="00AC5252" w:rsidRPr="00482CBD">
        <w:rPr>
          <w:color w:val="000000" w:themeColor="text1"/>
        </w:rPr>
        <w:t xml:space="preserve"> — violate the anticommandeering doctrine of the 10th Amendment; (2) whether the individual plaintiffs have Article III standing to challenge ICWA’s placement preferences for “other Indian families” and for “Indian foster home[s]”; and (3) whether Section 1915(a)(3) and (b)(iii) are rationally related to legitimate governmental interests and therefore consistent with equal protection. </w:t>
      </w:r>
    </w:p>
    <w:p w14:paraId="4452B418" w14:textId="77777777" w:rsidR="00E412FB" w:rsidRPr="00482CBD" w:rsidRDefault="00E412FB" w:rsidP="00AC5252">
      <w:pPr>
        <w:rPr>
          <w:color w:val="000000" w:themeColor="text1"/>
        </w:rPr>
      </w:pPr>
    </w:p>
    <w:p w14:paraId="15A0FB2A" w14:textId="5F4C7AB4" w:rsidR="00224A49" w:rsidRPr="00482CBD" w:rsidRDefault="00224A49" w:rsidP="00094E4A">
      <w:pPr>
        <w:pStyle w:val="ListParagraph"/>
        <w:numPr>
          <w:ilvl w:val="0"/>
          <w:numId w:val="1"/>
        </w:numPr>
        <w:rPr>
          <w:rFonts w:ascii="Times New Roman" w:hAnsi="Times New Roman" w:cs="Times New Roman"/>
          <w:color w:val="000000" w:themeColor="text1"/>
        </w:rPr>
      </w:pPr>
      <w:r w:rsidRPr="00482CBD">
        <w:rPr>
          <w:rFonts w:ascii="Times New Roman" w:hAnsi="Times New Roman" w:cs="Times New Roman"/>
          <w:color w:val="000000" w:themeColor="text1"/>
        </w:rPr>
        <w:t>Labor law</w:t>
      </w:r>
    </w:p>
    <w:p w14:paraId="5BD03201" w14:textId="77777777" w:rsidR="00224A49" w:rsidRPr="00482CBD" w:rsidRDefault="00224A49" w:rsidP="00224A49"/>
    <w:p w14:paraId="75677FE6" w14:textId="42D9A781" w:rsidR="00224A49" w:rsidRPr="00482CBD" w:rsidRDefault="00224A49" w:rsidP="00AC5252">
      <w:pPr>
        <w:rPr>
          <w:color w:val="000000" w:themeColor="text1"/>
        </w:rPr>
      </w:pPr>
      <w:r w:rsidRPr="00482CBD">
        <w:rPr>
          <w:u w:val="single"/>
        </w:rPr>
        <w:t>Glacier Northwest v. International Brotherhood of</w:t>
      </w:r>
      <w:r w:rsidRPr="00482CBD">
        <w:t xml:space="preserve"> Teamsters, 143 </w:t>
      </w:r>
      <w:proofErr w:type="spellStart"/>
      <w:r w:rsidRPr="00482CBD">
        <w:t>S.Ct</w:t>
      </w:r>
      <w:proofErr w:type="spellEnd"/>
      <w:r w:rsidRPr="00482CBD">
        <w:t xml:space="preserve">. 1404 (2023).  The </w:t>
      </w:r>
      <w:hyperlink r:id="rId25" w:history="1">
        <w:r w:rsidRPr="00482CBD">
          <w:rPr>
            <w:rStyle w:val="Hyperlink"/>
            <w:color w:val="000000" w:themeColor="text1"/>
            <w:u w:val="none"/>
          </w:rPr>
          <w:t>National Labor Relations Act</w:t>
        </w:r>
      </w:hyperlink>
      <w:r w:rsidRPr="00482CBD">
        <w:t xml:space="preserve"> did not preempt Glacier’s state tort claims related to the destruction of company property during a labor dispute where the union failed to take reasonable precautions to avoid foreseeable and imminent danger to the property.</w:t>
      </w:r>
    </w:p>
    <w:p w14:paraId="5DBEE5BE" w14:textId="77777777" w:rsidR="00224A49" w:rsidRPr="00482CBD" w:rsidRDefault="00224A49" w:rsidP="00AC5252">
      <w:pPr>
        <w:rPr>
          <w:color w:val="000000" w:themeColor="text1"/>
        </w:rPr>
      </w:pPr>
    </w:p>
    <w:p w14:paraId="575F5165" w14:textId="6CAF2EAB" w:rsidR="00AC5252" w:rsidRPr="00482CBD" w:rsidRDefault="00AC5252" w:rsidP="00094E4A">
      <w:pPr>
        <w:pStyle w:val="ListParagraph"/>
        <w:numPr>
          <w:ilvl w:val="0"/>
          <w:numId w:val="1"/>
        </w:numPr>
        <w:rPr>
          <w:rFonts w:ascii="Times New Roman" w:hAnsi="Times New Roman" w:cs="Times New Roman"/>
          <w:color w:val="0C0C0C"/>
          <w:shd w:val="clear" w:color="auto" w:fill="FFFFFF"/>
        </w:rPr>
      </w:pPr>
      <w:r w:rsidRPr="00482CBD">
        <w:rPr>
          <w:rFonts w:ascii="Times New Roman" w:hAnsi="Times New Roman" w:cs="Times New Roman"/>
          <w:color w:val="0C0C0C"/>
          <w:shd w:val="clear" w:color="auto" w:fill="FFFFFF"/>
        </w:rPr>
        <w:t>Personal jurisdiction</w:t>
      </w:r>
    </w:p>
    <w:p w14:paraId="7EC278D0" w14:textId="77777777" w:rsidR="00AC5252" w:rsidRPr="00482CBD" w:rsidRDefault="00AC5252" w:rsidP="00AC5252">
      <w:pPr>
        <w:rPr>
          <w:color w:val="0C0C0C"/>
          <w:shd w:val="clear" w:color="auto" w:fill="FFFFFF"/>
        </w:rPr>
      </w:pPr>
    </w:p>
    <w:p w14:paraId="28F73280" w14:textId="24AB0358" w:rsidR="00AC5252" w:rsidRPr="00482CBD" w:rsidRDefault="00000000" w:rsidP="00AC5252">
      <w:pPr>
        <w:rPr>
          <w:color w:val="000000" w:themeColor="text1"/>
        </w:rPr>
      </w:pPr>
      <w:hyperlink r:id="rId26" w:history="1">
        <w:r w:rsidR="00AC5252" w:rsidRPr="00482CBD">
          <w:rPr>
            <w:rStyle w:val="Hyperlink"/>
            <w:color w:val="000000" w:themeColor="text1"/>
          </w:rPr>
          <w:t>Mallory v. Norfolk Southern Railway Co</w:t>
        </w:r>
        <w:r w:rsidR="00AC5252" w:rsidRPr="00482CBD">
          <w:rPr>
            <w:rStyle w:val="Hyperlink"/>
            <w:i/>
            <w:iCs/>
            <w:color w:val="000000" w:themeColor="text1"/>
            <w:u w:val="none"/>
          </w:rPr>
          <w:t>.</w:t>
        </w:r>
      </w:hyperlink>
      <w:r w:rsidR="00AC5252" w:rsidRPr="00482CBD">
        <w:rPr>
          <w:color w:val="000000" w:themeColor="text1"/>
        </w:rPr>
        <w:t>,</w:t>
      </w:r>
      <w:r w:rsidR="00012BC8" w:rsidRPr="00482CBD">
        <w:rPr>
          <w:color w:val="000000" w:themeColor="text1"/>
        </w:rPr>
        <w:t xml:space="preserve"> 143 </w:t>
      </w:r>
      <w:proofErr w:type="spellStart"/>
      <w:r w:rsidR="00012BC8" w:rsidRPr="00482CBD">
        <w:rPr>
          <w:color w:val="000000" w:themeColor="text1"/>
        </w:rPr>
        <w:t>S.Ct</w:t>
      </w:r>
      <w:proofErr w:type="spellEnd"/>
      <w:r w:rsidR="00012BC8" w:rsidRPr="00482CBD">
        <w:rPr>
          <w:color w:val="000000" w:themeColor="text1"/>
        </w:rPr>
        <w:t xml:space="preserve">. </w:t>
      </w:r>
      <w:r w:rsidR="001305CC" w:rsidRPr="00482CBD">
        <w:rPr>
          <w:color w:val="000000" w:themeColor="text1"/>
        </w:rPr>
        <w:t>2028</w:t>
      </w:r>
      <w:r w:rsidR="00AC5252" w:rsidRPr="00482CBD">
        <w:rPr>
          <w:color w:val="000000" w:themeColor="text1"/>
        </w:rPr>
        <w:t xml:space="preserve"> </w:t>
      </w:r>
      <w:r w:rsidR="009916AB" w:rsidRPr="00482CBD">
        <w:rPr>
          <w:rStyle w:val="case-info-item"/>
          <w:color w:val="000000" w:themeColor="text1"/>
        </w:rPr>
        <w:t>(2023).</w:t>
      </w:r>
      <w:r w:rsidR="009916AB" w:rsidRPr="00482CBD">
        <w:rPr>
          <w:color w:val="000000" w:themeColor="text1"/>
        </w:rPr>
        <w:t xml:space="preserve">  </w:t>
      </w:r>
      <w:r w:rsidR="00AC5252" w:rsidRPr="00482CBD">
        <w:rPr>
          <w:color w:val="000000" w:themeColor="text1"/>
        </w:rPr>
        <w:t xml:space="preserve">Whether the due process clause of the 14th Amendment prohibits a state from requiring a corporation to consent to personal jurisdiction to do business in the state. </w:t>
      </w:r>
    </w:p>
    <w:p w14:paraId="2ABAFEFE" w14:textId="41EBAE1A" w:rsidR="0060673B" w:rsidRPr="00482CBD" w:rsidRDefault="0060673B" w:rsidP="0060673B">
      <w:pPr>
        <w:rPr>
          <w:color w:val="000000" w:themeColor="text1"/>
        </w:rPr>
      </w:pPr>
      <w:r w:rsidRPr="00482CBD">
        <w:t xml:space="preserve"> </w:t>
      </w:r>
    </w:p>
    <w:sectPr w:rsidR="0060673B" w:rsidRPr="00482CBD" w:rsidSect="00370FC3">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CD04" w14:textId="77777777" w:rsidR="005D7F6F" w:rsidRDefault="005D7F6F">
      <w:r>
        <w:separator/>
      </w:r>
    </w:p>
  </w:endnote>
  <w:endnote w:type="continuationSeparator" w:id="0">
    <w:p w14:paraId="50846656" w14:textId="77777777" w:rsidR="005D7F6F" w:rsidRDefault="005D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833941"/>
      <w:docPartObj>
        <w:docPartGallery w:val="Page Numbers (Bottom of Page)"/>
        <w:docPartUnique/>
      </w:docPartObj>
    </w:sdtPr>
    <w:sdtContent>
      <w:p w14:paraId="37D561E5" w14:textId="77777777" w:rsidR="00D65EE7" w:rsidRDefault="00000000" w:rsidP="00953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950CE" w14:textId="77777777" w:rsidR="00D65EE7" w:rsidRDefault="00D65EE7" w:rsidP="008A7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950375"/>
      <w:docPartObj>
        <w:docPartGallery w:val="Page Numbers (Bottom of Page)"/>
        <w:docPartUnique/>
      </w:docPartObj>
    </w:sdtPr>
    <w:sdtContent>
      <w:p w14:paraId="7848E90C" w14:textId="77777777" w:rsidR="00D65EE7" w:rsidRDefault="00000000" w:rsidP="00953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2164E7" w14:textId="77777777" w:rsidR="00D65EE7" w:rsidRDefault="00D65EE7" w:rsidP="008A7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21B9" w14:textId="77777777" w:rsidR="005D7F6F" w:rsidRDefault="005D7F6F">
      <w:r>
        <w:separator/>
      </w:r>
    </w:p>
  </w:footnote>
  <w:footnote w:type="continuationSeparator" w:id="0">
    <w:p w14:paraId="0E3801B1" w14:textId="77777777" w:rsidR="005D7F6F" w:rsidRDefault="005D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1DD8"/>
    <w:multiLevelType w:val="hybridMultilevel"/>
    <w:tmpl w:val="1706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D10FB"/>
    <w:multiLevelType w:val="hybridMultilevel"/>
    <w:tmpl w:val="B158F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D27A51"/>
    <w:multiLevelType w:val="hybridMultilevel"/>
    <w:tmpl w:val="B158F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E64392"/>
    <w:multiLevelType w:val="hybridMultilevel"/>
    <w:tmpl w:val="B158F446"/>
    <w:lvl w:ilvl="0" w:tplc="F69A06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72526"/>
    <w:multiLevelType w:val="hybridMultilevel"/>
    <w:tmpl w:val="B158F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7747064"/>
    <w:multiLevelType w:val="hybridMultilevel"/>
    <w:tmpl w:val="B158F44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29010792">
    <w:abstractNumId w:val="3"/>
  </w:num>
  <w:num w:numId="2" w16cid:durableId="396516102">
    <w:abstractNumId w:val="1"/>
  </w:num>
  <w:num w:numId="3" w16cid:durableId="1314875330">
    <w:abstractNumId w:val="2"/>
  </w:num>
  <w:num w:numId="4" w16cid:durableId="139925505">
    <w:abstractNumId w:val="5"/>
  </w:num>
  <w:num w:numId="5" w16cid:durableId="1415736999">
    <w:abstractNumId w:val="4"/>
  </w:num>
  <w:num w:numId="6" w16cid:durableId="7105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52"/>
    <w:rsid w:val="00012BC8"/>
    <w:rsid w:val="00020FC7"/>
    <w:rsid w:val="00027824"/>
    <w:rsid w:val="00094E4A"/>
    <w:rsid w:val="001158AD"/>
    <w:rsid w:val="001305CC"/>
    <w:rsid w:val="001574CD"/>
    <w:rsid w:val="001D02EE"/>
    <w:rsid w:val="00224A49"/>
    <w:rsid w:val="002275B9"/>
    <w:rsid w:val="00230B24"/>
    <w:rsid w:val="00270229"/>
    <w:rsid w:val="00276226"/>
    <w:rsid w:val="0029152C"/>
    <w:rsid w:val="002F6ADA"/>
    <w:rsid w:val="003A6BC4"/>
    <w:rsid w:val="004407C9"/>
    <w:rsid w:val="00482CBD"/>
    <w:rsid w:val="00485C65"/>
    <w:rsid w:val="004A5C7F"/>
    <w:rsid w:val="004E323B"/>
    <w:rsid w:val="005D7F6F"/>
    <w:rsid w:val="0060673B"/>
    <w:rsid w:val="00675F28"/>
    <w:rsid w:val="00734806"/>
    <w:rsid w:val="0076280F"/>
    <w:rsid w:val="00775601"/>
    <w:rsid w:val="007E2818"/>
    <w:rsid w:val="0086587B"/>
    <w:rsid w:val="008C01ED"/>
    <w:rsid w:val="009722C7"/>
    <w:rsid w:val="009916AB"/>
    <w:rsid w:val="00A1333B"/>
    <w:rsid w:val="00A45C2A"/>
    <w:rsid w:val="00A509BF"/>
    <w:rsid w:val="00AC5252"/>
    <w:rsid w:val="00B541DE"/>
    <w:rsid w:val="00B61EDF"/>
    <w:rsid w:val="00B9183B"/>
    <w:rsid w:val="00B958D8"/>
    <w:rsid w:val="00B96E11"/>
    <w:rsid w:val="00C06078"/>
    <w:rsid w:val="00CA518C"/>
    <w:rsid w:val="00CA63BD"/>
    <w:rsid w:val="00CC5740"/>
    <w:rsid w:val="00D65EE7"/>
    <w:rsid w:val="00D81D85"/>
    <w:rsid w:val="00E35B2C"/>
    <w:rsid w:val="00E40C7D"/>
    <w:rsid w:val="00E412FB"/>
    <w:rsid w:val="00E710F6"/>
    <w:rsid w:val="00F530C5"/>
    <w:rsid w:val="00FC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E99E8"/>
  <w15:chartTrackingRefBased/>
  <w15:docId w15:val="{9C8E9B00-00A6-4C46-BD6E-C06E551E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2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252"/>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AC5252"/>
    <w:rPr>
      <w:color w:val="0000FF"/>
      <w:u w:val="single"/>
    </w:rPr>
  </w:style>
  <w:style w:type="character" w:styleId="Emphasis">
    <w:name w:val="Emphasis"/>
    <w:basedOn w:val="DefaultParagraphFont"/>
    <w:uiPriority w:val="20"/>
    <w:qFormat/>
    <w:rsid w:val="00AC5252"/>
    <w:rPr>
      <w:i/>
      <w:iCs/>
    </w:rPr>
  </w:style>
  <w:style w:type="paragraph" w:styleId="Footer">
    <w:name w:val="footer"/>
    <w:basedOn w:val="Normal"/>
    <w:link w:val="FooterChar"/>
    <w:uiPriority w:val="99"/>
    <w:unhideWhenUsed/>
    <w:rsid w:val="00AC525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C5252"/>
  </w:style>
  <w:style w:type="character" w:styleId="PageNumber">
    <w:name w:val="page number"/>
    <w:basedOn w:val="DefaultParagraphFont"/>
    <w:uiPriority w:val="99"/>
    <w:semiHidden/>
    <w:unhideWhenUsed/>
    <w:rsid w:val="00AC5252"/>
  </w:style>
  <w:style w:type="character" w:customStyle="1" w:styleId="case-info-item">
    <w:name w:val="case-info-item"/>
    <w:basedOn w:val="DefaultParagraphFont"/>
    <w:rsid w:val="00AC5252"/>
  </w:style>
  <w:style w:type="character" w:styleId="FollowedHyperlink">
    <w:name w:val="FollowedHyperlink"/>
    <w:basedOn w:val="DefaultParagraphFont"/>
    <w:uiPriority w:val="99"/>
    <w:semiHidden/>
    <w:unhideWhenUsed/>
    <w:rsid w:val="0060673B"/>
    <w:rPr>
      <w:color w:val="954F72" w:themeColor="followedHyperlink"/>
      <w:u w:val="single"/>
    </w:rPr>
  </w:style>
  <w:style w:type="character" w:customStyle="1" w:styleId="apple-converted-space">
    <w:name w:val="apple-converted-space"/>
    <w:basedOn w:val="DefaultParagraphFont"/>
    <w:rsid w:val="0029152C"/>
  </w:style>
  <w:style w:type="paragraph" w:styleId="EndnoteText">
    <w:name w:val="endnote text"/>
    <w:basedOn w:val="Normal"/>
    <w:link w:val="EndnoteTextChar"/>
    <w:uiPriority w:val="99"/>
    <w:semiHidden/>
    <w:unhideWhenUsed/>
    <w:rsid w:val="009916AB"/>
    <w:rPr>
      <w:sz w:val="20"/>
      <w:szCs w:val="20"/>
    </w:rPr>
  </w:style>
  <w:style w:type="character" w:customStyle="1" w:styleId="EndnoteTextChar">
    <w:name w:val="Endnote Text Char"/>
    <w:basedOn w:val="DefaultParagraphFont"/>
    <w:link w:val="EndnoteText"/>
    <w:uiPriority w:val="99"/>
    <w:semiHidden/>
    <w:rsid w:val="009916A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16AB"/>
    <w:rPr>
      <w:vertAlign w:val="superscript"/>
    </w:rPr>
  </w:style>
  <w:style w:type="paragraph" w:styleId="FootnoteText">
    <w:name w:val="footnote text"/>
    <w:basedOn w:val="Normal"/>
    <w:link w:val="FootnoteTextChar"/>
    <w:uiPriority w:val="99"/>
    <w:semiHidden/>
    <w:unhideWhenUsed/>
    <w:rsid w:val="009916AB"/>
    <w:rPr>
      <w:sz w:val="20"/>
      <w:szCs w:val="20"/>
    </w:rPr>
  </w:style>
  <w:style w:type="character" w:customStyle="1" w:styleId="FootnoteTextChar">
    <w:name w:val="Footnote Text Char"/>
    <w:basedOn w:val="DefaultParagraphFont"/>
    <w:link w:val="FootnoteText"/>
    <w:uiPriority w:val="99"/>
    <w:semiHidden/>
    <w:rsid w:val="009916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1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5446">
      <w:bodyDiv w:val="1"/>
      <w:marLeft w:val="0"/>
      <w:marRight w:val="0"/>
      <w:marTop w:val="0"/>
      <w:marBottom w:val="0"/>
      <w:divBdr>
        <w:top w:val="none" w:sz="0" w:space="0" w:color="auto"/>
        <w:left w:val="none" w:sz="0" w:space="0" w:color="auto"/>
        <w:bottom w:val="none" w:sz="0" w:space="0" w:color="auto"/>
        <w:right w:val="none" w:sz="0" w:space="0" w:color="auto"/>
      </w:divBdr>
      <w:divsChild>
        <w:div w:id="2088646510">
          <w:marLeft w:val="0"/>
          <w:marRight w:val="0"/>
          <w:marTop w:val="0"/>
          <w:marBottom w:val="0"/>
          <w:divBdr>
            <w:top w:val="none" w:sz="0" w:space="0" w:color="auto"/>
            <w:left w:val="none" w:sz="0" w:space="0" w:color="auto"/>
            <w:bottom w:val="none" w:sz="0" w:space="0" w:color="auto"/>
            <w:right w:val="none" w:sz="0" w:space="0" w:color="auto"/>
          </w:divBdr>
        </w:div>
        <w:div w:id="557207417">
          <w:marLeft w:val="0"/>
          <w:marRight w:val="0"/>
          <w:marTop w:val="0"/>
          <w:marBottom w:val="0"/>
          <w:divBdr>
            <w:top w:val="none" w:sz="0" w:space="0" w:color="auto"/>
            <w:left w:val="none" w:sz="0" w:space="0" w:color="auto"/>
            <w:bottom w:val="none" w:sz="0" w:space="0" w:color="auto"/>
            <w:right w:val="none" w:sz="0" w:space="0" w:color="auto"/>
          </w:divBdr>
        </w:div>
      </w:divsChild>
    </w:div>
    <w:div w:id="263464025">
      <w:bodyDiv w:val="1"/>
      <w:marLeft w:val="0"/>
      <w:marRight w:val="0"/>
      <w:marTop w:val="0"/>
      <w:marBottom w:val="0"/>
      <w:divBdr>
        <w:top w:val="none" w:sz="0" w:space="0" w:color="auto"/>
        <w:left w:val="none" w:sz="0" w:space="0" w:color="auto"/>
        <w:bottom w:val="none" w:sz="0" w:space="0" w:color="auto"/>
        <w:right w:val="none" w:sz="0" w:space="0" w:color="auto"/>
      </w:divBdr>
      <w:divsChild>
        <w:div w:id="187112267">
          <w:marLeft w:val="0"/>
          <w:marRight w:val="0"/>
          <w:marTop w:val="0"/>
          <w:marBottom w:val="150"/>
          <w:divBdr>
            <w:top w:val="none" w:sz="0" w:space="0" w:color="auto"/>
            <w:left w:val="none" w:sz="0" w:space="0" w:color="auto"/>
            <w:bottom w:val="none" w:sz="0" w:space="0" w:color="auto"/>
            <w:right w:val="none" w:sz="0" w:space="0" w:color="auto"/>
          </w:divBdr>
        </w:div>
      </w:divsChild>
    </w:div>
    <w:div w:id="422647892">
      <w:bodyDiv w:val="1"/>
      <w:marLeft w:val="0"/>
      <w:marRight w:val="0"/>
      <w:marTop w:val="0"/>
      <w:marBottom w:val="0"/>
      <w:divBdr>
        <w:top w:val="none" w:sz="0" w:space="0" w:color="auto"/>
        <w:left w:val="none" w:sz="0" w:space="0" w:color="auto"/>
        <w:bottom w:val="none" w:sz="0" w:space="0" w:color="auto"/>
        <w:right w:val="none" w:sz="0" w:space="0" w:color="auto"/>
      </w:divBdr>
      <w:divsChild>
        <w:div w:id="1100030412">
          <w:marLeft w:val="0"/>
          <w:marRight w:val="0"/>
          <w:marTop w:val="0"/>
          <w:marBottom w:val="0"/>
          <w:divBdr>
            <w:top w:val="none" w:sz="0" w:space="0" w:color="auto"/>
            <w:left w:val="none" w:sz="0" w:space="0" w:color="auto"/>
            <w:bottom w:val="none" w:sz="0" w:space="0" w:color="auto"/>
            <w:right w:val="none" w:sz="0" w:space="0" w:color="auto"/>
          </w:divBdr>
        </w:div>
        <w:div w:id="325938044">
          <w:marLeft w:val="0"/>
          <w:marRight w:val="0"/>
          <w:marTop w:val="0"/>
          <w:marBottom w:val="0"/>
          <w:divBdr>
            <w:top w:val="none" w:sz="0" w:space="0" w:color="auto"/>
            <w:left w:val="none" w:sz="0" w:space="0" w:color="auto"/>
            <w:bottom w:val="none" w:sz="0" w:space="0" w:color="auto"/>
            <w:right w:val="none" w:sz="0" w:space="0" w:color="auto"/>
          </w:divBdr>
        </w:div>
      </w:divsChild>
    </w:div>
    <w:div w:id="569578601">
      <w:bodyDiv w:val="1"/>
      <w:marLeft w:val="0"/>
      <w:marRight w:val="0"/>
      <w:marTop w:val="0"/>
      <w:marBottom w:val="0"/>
      <w:divBdr>
        <w:top w:val="none" w:sz="0" w:space="0" w:color="auto"/>
        <w:left w:val="none" w:sz="0" w:space="0" w:color="auto"/>
        <w:bottom w:val="none" w:sz="0" w:space="0" w:color="auto"/>
        <w:right w:val="none" w:sz="0" w:space="0" w:color="auto"/>
      </w:divBdr>
      <w:divsChild>
        <w:div w:id="591400548">
          <w:marLeft w:val="0"/>
          <w:marRight w:val="0"/>
          <w:marTop w:val="0"/>
          <w:marBottom w:val="0"/>
          <w:divBdr>
            <w:top w:val="none" w:sz="0" w:space="0" w:color="auto"/>
            <w:left w:val="none" w:sz="0" w:space="0" w:color="auto"/>
            <w:bottom w:val="none" w:sz="0" w:space="0" w:color="auto"/>
            <w:right w:val="none" w:sz="0" w:space="0" w:color="auto"/>
          </w:divBdr>
        </w:div>
        <w:div w:id="360128311">
          <w:marLeft w:val="0"/>
          <w:marRight w:val="0"/>
          <w:marTop w:val="0"/>
          <w:marBottom w:val="0"/>
          <w:divBdr>
            <w:top w:val="none" w:sz="0" w:space="0" w:color="auto"/>
            <w:left w:val="none" w:sz="0" w:space="0" w:color="auto"/>
            <w:bottom w:val="none" w:sz="0" w:space="0" w:color="auto"/>
            <w:right w:val="none" w:sz="0" w:space="0" w:color="auto"/>
          </w:divBdr>
        </w:div>
      </w:divsChild>
    </w:div>
    <w:div w:id="778837368">
      <w:bodyDiv w:val="1"/>
      <w:marLeft w:val="0"/>
      <w:marRight w:val="0"/>
      <w:marTop w:val="0"/>
      <w:marBottom w:val="0"/>
      <w:divBdr>
        <w:top w:val="none" w:sz="0" w:space="0" w:color="auto"/>
        <w:left w:val="none" w:sz="0" w:space="0" w:color="auto"/>
        <w:bottom w:val="none" w:sz="0" w:space="0" w:color="auto"/>
        <w:right w:val="none" w:sz="0" w:space="0" w:color="auto"/>
      </w:divBdr>
      <w:divsChild>
        <w:div w:id="126165948">
          <w:marLeft w:val="0"/>
          <w:marRight w:val="0"/>
          <w:marTop w:val="0"/>
          <w:marBottom w:val="0"/>
          <w:divBdr>
            <w:top w:val="none" w:sz="0" w:space="0" w:color="auto"/>
            <w:left w:val="none" w:sz="0" w:space="0" w:color="auto"/>
            <w:bottom w:val="none" w:sz="0" w:space="0" w:color="auto"/>
            <w:right w:val="none" w:sz="0" w:space="0" w:color="auto"/>
          </w:divBdr>
        </w:div>
        <w:div w:id="2062366515">
          <w:marLeft w:val="0"/>
          <w:marRight w:val="0"/>
          <w:marTop w:val="0"/>
          <w:marBottom w:val="0"/>
          <w:divBdr>
            <w:top w:val="none" w:sz="0" w:space="0" w:color="auto"/>
            <w:left w:val="none" w:sz="0" w:space="0" w:color="auto"/>
            <w:bottom w:val="none" w:sz="0" w:space="0" w:color="auto"/>
            <w:right w:val="none" w:sz="0" w:space="0" w:color="auto"/>
          </w:divBdr>
        </w:div>
      </w:divsChild>
    </w:div>
    <w:div w:id="882713218">
      <w:bodyDiv w:val="1"/>
      <w:marLeft w:val="0"/>
      <w:marRight w:val="0"/>
      <w:marTop w:val="0"/>
      <w:marBottom w:val="0"/>
      <w:divBdr>
        <w:top w:val="none" w:sz="0" w:space="0" w:color="auto"/>
        <w:left w:val="none" w:sz="0" w:space="0" w:color="auto"/>
        <w:bottom w:val="none" w:sz="0" w:space="0" w:color="auto"/>
        <w:right w:val="none" w:sz="0" w:space="0" w:color="auto"/>
      </w:divBdr>
      <w:divsChild>
        <w:div w:id="1067146097">
          <w:marLeft w:val="0"/>
          <w:marRight w:val="0"/>
          <w:marTop w:val="0"/>
          <w:marBottom w:val="0"/>
          <w:divBdr>
            <w:top w:val="none" w:sz="0" w:space="0" w:color="auto"/>
            <w:left w:val="none" w:sz="0" w:space="0" w:color="auto"/>
            <w:bottom w:val="none" w:sz="0" w:space="0" w:color="auto"/>
            <w:right w:val="none" w:sz="0" w:space="0" w:color="auto"/>
          </w:divBdr>
        </w:div>
        <w:div w:id="742486012">
          <w:marLeft w:val="0"/>
          <w:marRight w:val="0"/>
          <w:marTop w:val="0"/>
          <w:marBottom w:val="0"/>
          <w:divBdr>
            <w:top w:val="none" w:sz="0" w:space="0" w:color="auto"/>
            <w:left w:val="none" w:sz="0" w:space="0" w:color="auto"/>
            <w:bottom w:val="none" w:sz="0" w:space="0" w:color="auto"/>
            <w:right w:val="none" w:sz="0" w:space="0" w:color="auto"/>
          </w:divBdr>
        </w:div>
      </w:divsChild>
    </w:div>
    <w:div w:id="1290477211">
      <w:bodyDiv w:val="1"/>
      <w:marLeft w:val="0"/>
      <w:marRight w:val="0"/>
      <w:marTop w:val="0"/>
      <w:marBottom w:val="0"/>
      <w:divBdr>
        <w:top w:val="none" w:sz="0" w:space="0" w:color="auto"/>
        <w:left w:val="none" w:sz="0" w:space="0" w:color="auto"/>
        <w:bottom w:val="none" w:sz="0" w:space="0" w:color="auto"/>
        <w:right w:val="none" w:sz="0" w:space="0" w:color="auto"/>
      </w:divBdr>
      <w:divsChild>
        <w:div w:id="87964388">
          <w:marLeft w:val="0"/>
          <w:marRight w:val="0"/>
          <w:marTop w:val="0"/>
          <w:marBottom w:val="150"/>
          <w:divBdr>
            <w:top w:val="none" w:sz="0" w:space="0" w:color="auto"/>
            <w:left w:val="none" w:sz="0" w:space="0" w:color="auto"/>
            <w:bottom w:val="none" w:sz="0" w:space="0" w:color="auto"/>
            <w:right w:val="none" w:sz="0" w:space="0" w:color="auto"/>
          </w:divBdr>
        </w:div>
      </w:divsChild>
    </w:div>
    <w:div w:id="1502156672">
      <w:bodyDiv w:val="1"/>
      <w:marLeft w:val="0"/>
      <w:marRight w:val="0"/>
      <w:marTop w:val="0"/>
      <w:marBottom w:val="0"/>
      <w:divBdr>
        <w:top w:val="none" w:sz="0" w:space="0" w:color="auto"/>
        <w:left w:val="none" w:sz="0" w:space="0" w:color="auto"/>
        <w:bottom w:val="none" w:sz="0" w:space="0" w:color="auto"/>
        <w:right w:val="none" w:sz="0" w:space="0" w:color="auto"/>
      </w:divBdr>
      <w:divsChild>
        <w:div w:id="818153250">
          <w:marLeft w:val="0"/>
          <w:marRight w:val="0"/>
          <w:marTop w:val="0"/>
          <w:marBottom w:val="0"/>
          <w:divBdr>
            <w:top w:val="none" w:sz="0" w:space="0" w:color="auto"/>
            <w:left w:val="none" w:sz="0" w:space="0" w:color="auto"/>
            <w:bottom w:val="none" w:sz="0" w:space="0" w:color="auto"/>
            <w:right w:val="none" w:sz="0" w:space="0" w:color="auto"/>
          </w:divBdr>
        </w:div>
        <w:div w:id="817722252">
          <w:marLeft w:val="0"/>
          <w:marRight w:val="0"/>
          <w:marTop w:val="0"/>
          <w:marBottom w:val="0"/>
          <w:divBdr>
            <w:top w:val="none" w:sz="0" w:space="0" w:color="auto"/>
            <w:left w:val="none" w:sz="0" w:space="0" w:color="auto"/>
            <w:bottom w:val="none" w:sz="0" w:space="0" w:color="auto"/>
            <w:right w:val="none" w:sz="0" w:space="0" w:color="auto"/>
          </w:divBdr>
        </w:div>
      </w:divsChild>
    </w:div>
    <w:div w:id="1723364189">
      <w:bodyDiv w:val="1"/>
      <w:marLeft w:val="0"/>
      <w:marRight w:val="0"/>
      <w:marTop w:val="0"/>
      <w:marBottom w:val="0"/>
      <w:divBdr>
        <w:top w:val="none" w:sz="0" w:space="0" w:color="auto"/>
        <w:left w:val="none" w:sz="0" w:space="0" w:color="auto"/>
        <w:bottom w:val="none" w:sz="0" w:space="0" w:color="auto"/>
        <w:right w:val="none" w:sz="0" w:space="0" w:color="auto"/>
      </w:divBdr>
      <w:divsChild>
        <w:div w:id="2054769656">
          <w:marLeft w:val="0"/>
          <w:marRight w:val="0"/>
          <w:marTop w:val="0"/>
          <w:marBottom w:val="0"/>
          <w:divBdr>
            <w:top w:val="none" w:sz="0" w:space="0" w:color="auto"/>
            <w:left w:val="none" w:sz="0" w:space="0" w:color="auto"/>
            <w:bottom w:val="none" w:sz="0" w:space="0" w:color="auto"/>
            <w:right w:val="none" w:sz="0" w:space="0" w:color="auto"/>
          </w:divBdr>
        </w:div>
        <w:div w:id="76248392">
          <w:marLeft w:val="0"/>
          <w:marRight w:val="0"/>
          <w:marTop w:val="0"/>
          <w:marBottom w:val="0"/>
          <w:divBdr>
            <w:top w:val="none" w:sz="0" w:space="0" w:color="auto"/>
            <w:left w:val="none" w:sz="0" w:space="0" w:color="auto"/>
            <w:bottom w:val="none" w:sz="0" w:space="0" w:color="auto"/>
            <w:right w:val="none" w:sz="0" w:space="0" w:color="auto"/>
          </w:divBdr>
        </w:div>
      </w:divsChild>
    </w:div>
    <w:div w:id="1754207172">
      <w:bodyDiv w:val="1"/>
      <w:marLeft w:val="0"/>
      <w:marRight w:val="0"/>
      <w:marTop w:val="0"/>
      <w:marBottom w:val="0"/>
      <w:divBdr>
        <w:top w:val="none" w:sz="0" w:space="0" w:color="auto"/>
        <w:left w:val="none" w:sz="0" w:space="0" w:color="auto"/>
        <w:bottom w:val="none" w:sz="0" w:space="0" w:color="auto"/>
        <w:right w:val="none" w:sz="0" w:space="0" w:color="auto"/>
      </w:divBdr>
      <w:divsChild>
        <w:div w:id="122890709">
          <w:marLeft w:val="0"/>
          <w:marRight w:val="0"/>
          <w:marTop w:val="0"/>
          <w:marBottom w:val="150"/>
          <w:divBdr>
            <w:top w:val="none" w:sz="0" w:space="0" w:color="auto"/>
            <w:left w:val="none" w:sz="0" w:space="0" w:color="auto"/>
            <w:bottom w:val="none" w:sz="0" w:space="0" w:color="auto"/>
            <w:right w:val="none" w:sz="0" w:space="0" w:color="auto"/>
          </w:divBdr>
        </w:div>
      </w:divsChild>
    </w:div>
    <w:div w:id="1881554218">
      <w:bodyDiv w:val="1"/>
      <w:marLeft w:val="0"/>
      <w:marRight w:val="0"/>
      <w:marTop w:val="0"/>
      <w:marBottom w:val="0"/>
      <w:divBdr>
        <w:top w:val="none" w:sz="0" w:space="0" w:color="auto"/>
        <w:left w:val="none" w:sz="0" w:space="0" w:color="auto"/>
        <w:bottom w:val="none" w:sz="0" w:space="0" w:color="auto"/>
        <w:right w:val="none" w:sz="0" w:space="0" w:color="auto"/>
      </w:divBdr>
      <w:divsChild>
        <w:div w:id="1305355939">
          <w:marLeft w:val="0"/>
          <w:marRight w:val="0"/>
          <w:marTop w:val="0"/>
          <w:marBottom w:val="0"/>
          <w:divBdr>
            <w:top w:val="none" w:sz="0" w:space="0" w:color="auto"/>
            <w:left w:val="none" w:sz="0" w:space="0" w:color="auto"/>
            <w:bottom w:val="none" w:sz="0" w:space="0" w:color="auto"/>
            <w:right w:val="none" w:sz="0" w:space="0" w:color="auto"/>
          </w:divBdr>
        </w:div>
        <w:div w:id="1595868573">
          <w:marLeft w:val="0"/>
          <w:marRight w:val="0"/>
          <w:marTop w:val="0"/>
          <w:marBottom w:val="0"/>
          <w:divBdr>
            <w:top w:val="none" w:sz="0" w:space="0" w:color="auto"/>
            <w:left w:val="none" w:sz="0" w:space="0" w:color="auto"/>
            <w:bottom w:val="none" w:sz="0" w:space="0" w:color="auto"/>
            <w:right w:val="none" w:sz="0" w:space="0" w:color="auto"/>
          </w:divBdr>
        </w:div>
      </w:divsChild>
    </w:div>
    <w:div w:id="2125691426">
      <w:bodyDiv w:val="1"/>
      <w:marLeft w:val="0"/>
      <w:marRight w:val="0"/>
      <w:marTop w:val="0"/>
      <w:marBottom w:val="0"/>
      <w:divBdr>
        <w:top w:val="none" w:sz="0" w:space="0" w:color="auto"/>
        <w:left w:val="none" w:sz="0" w:space="0" w:color="auto"/>
        <w:bottom w:val="none" w:sz="0" w:space="0" w:color="auto"/>
        <w:right w:val="none" w:sz="0" w:space="0" w:color="auto"/>
      </w:divBdr>
      <w:divsChild>
        <w:div w:id="265191196">
          <w:marLeft w:val="0"/>
          <w:marRight w:val="0"/>
          <w:marTop w:val="0"/>
          <w:marBottom w:val="0"/>
          <w:divBdr>
            <w:top w:val="none" w:sz="0" w:space="0" w:color="auto"/>
            <w:left w:val="none" w:sz="0" w:space="0" w:color="auto"/>
            <w:bottom w:val="none" w:sz="0" w:space="0" w:color="auto"/>
            <w:right w:val="none" w:sz="0" w:space="0" w:color="auto"/>
          </w:divBdr>
        </w:div>
        <w:div w:id="35392910">
          <w:marLeft w:val="0"/>
          <w:marRight w:val="0"/>
          <w:marTop w:val="0"/>
          <w:marBottom w:val="0"/>
          <w:divBdr>
            <w:top w:val="none" w:sz="0" w:space="0" w:color="auto"/>
            <w:left w:val="none" w:sz="0" w:space="0" w:color="auto"/>
            <w:bottom w:val="none" w:sz="0" w:space="0" w:color="auto"/>
            <w:right w:val="none" w:sz="0" w:space="0" w:color="auto"/>
          </w:divBdr>
        </w:div>
      </w:divsChild>
    </w:div>
    <w:div w:id="2132092166">
      <w:bodyDiv w:val="1"/>
      <w:marLeft w:val="0"/>
      <w:marRight w:val="0"/>
      <w:marTop w:val="0"/>
      <w:marBottom w:val="0"/>
      <w:divBdr>
        <w:top w:val="none" w:sz="0" w:space="0" w:color="auto"/>
        <w:left w:val="none" w:sz="0" w:space="0" w:color="auto"/>
        <w:bottom w:val="none" w:sz="0" w:space="0" w:color="auto"/>
        <w:right w:val="none" w:sz="0" w:space="0" w:color="auto"/>
      </w:divBdr>
      <w:divsChild>
        <w:div w:id="504173467">
          <w:marLeft w:val="0"/>
          <w:marRight w:val="0"/>
          <w:marTop w:val="0"/>
          <w:marBottom w:val="0"/>
          <w:divBdr>
            <w:top w:val="none" w:sz="0" w:space="0" w:color="auto"/>
            <w:left w:val="none" w:sz="0" w:space="0" w:color="auto"/>
            <w:bottom w:val="none" w:sz="0" w:space="0" w:color="auto"/>
            <w:right w:val="none" w:sz="0" w:space="0" w:color="auto"/>
          </w:divBdr>
        </w:div>
        <w:div w:id="62836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statute/united-states-code/title-42-the-public-health-and-welfare/chapter-7-social-security/subchapter-xix-grants-to-states-for-medical-assistance-programs/section-1396r-requirements-for-nursing-facilities" TargetMode="External"/><Relationship Id="rId13" Type="http://schemas.openxmlformats.org/officeDocument/2006/relationships/hyperlink" Target="https://casetext.com/rule/arizona-court-rules/arizona-rules-of-criminal-procedure/appeal-and-other-post-conviction-relief/rule-32-post-conviction-relief-for-defendants-sentenced-following-a-trial-or-a-contested-probation-violation-hearing/rule-321-scope-of-remedy" TargetMode="External"/><Relationship Id="rId18" Type="http://schemas.openxmlformats.org/officeDocument/2006/relationships/hyperlink" Target="https://www.scotusblog.com/case-files/cases/counterman-v-colorado/" TargetMode="External"/><Relationship Id="rId26" Type="http://schemas.openxmlformats.org/officeDocument/2006/relationships/hyperlink" Target="https://www.scotusblog.com/case-files/cases/mallory-v-norfolk-southern-railway-co/" TargetMode="External"/><Relationship Id="rId3" Type="http://schemas.openxmlformats.org/officeDocument/2006/relationships/settings" Target="settings.xml"/><Relationship Id="rId21" Type="http://schemas.openxmlformats.org/officeDocument/2006/relationships/hyperlink" Target="https://casetext.com/statute/united-states-code/title-25-indians/chapter-21-indian-child-welfare/subchapter-i-child-custody-proceedings/section-1912-pending-court-proceedings" TargetMode="External"/><Relationship Id="rId7" Type="http://schemas.openxmlformats.org/officeDocument/2006/relationships/hyperlink" Target="https://www.scotusblog.com/case-files/cases/students-for-fair-admissions-inc-v-president-fellows-of-harvard-college/" TargetMode="External"/><Relationship Id="rId12" Type="http://schemas.openxmlformats.org/officeDocument/2006/relationships/hyperlink" Target="https://casetext.com/case/lynch-v-arizona" TargetMode="External"/><Relationship Id="rId17" Type="http://schemas.openxmlformats.org/officeDocument/2006/relationships/hyperlink" Target="https://www.scotusblog.com/case-files/cases/biden-v-nebraska-2/" TargetMode="External"/><Relationship Id="rId25" Type="http://schemas.openxmlformats.org/officeDocument/2006/relationships/hyperlink" Target="https://www.ilo.org/dyn/travail/docs/2367/NationalLaborRelationsAct.pdf" TargetMode="External"/><Relationship Id="rId2" Type="http://schemas.openxmlformats.org/officeDocument/2006/relationships/styles" Target="styles.xml"/><Relationship Id="rId16" Type="http://schemas.openxmlformats.org/officeDocument/2006/relationships/hyperlink" Target="https://www.scotusblog.com/case-files/cases/united-states-v-texas-5/" TargetMode="External"/><Relationship Id="rId20" Type="http://schemas.openxmlformats.org/officeDocument/2006/relationships/hyperlink" Target="https://www.scotusblog.com/case-files/cases/haaland-v-bracke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text.com/statute/united-states-code/title-42-the-public-health-and-welfare/chapter-21-civil-rights/subchapter-i-generally/section-1983-civil-action-for-deprivation-of-rights" TargetMode="External"/><Relationship Id="rId24" Type="http://schemas.openxmlformats.org/officeDocument/2006/relationships/hyperlink" Target="https://casetext.com/statute/united-states-code/title-25-indians/chapter-21-indian-child-welfare/subchapter-iii-recordkeeping-information-availability-and-timetables/section-1951-information-availability-to-and-disclosure-by-secretary" TargetMode="External"/><Relationship Id="rId5" Type="http://schemas.openxmlformats.org/officeDocument/2006/relationships/footnotes" Target="footnotes.xml"/><Relationship Id="rId15" Type="http://schemas.openxmlformats.org/officeDocument/2006/relationships/hyperlink" Target="https://www.scotusblog.com/case-files/cases/moore-v-harper-2/" TargetMode="External"/><Relationship Id="rId23" Type="http://schemas.openxmlformats.org/officeDocument/2006/relationships/hyperlink" Target="https://casetext.com/statute/united-states-code/title-25-indians/chapter-21-indian-child-welfare/subchapter-i-child-custody-proceedings/section-1915-placement-of-indian-children" TargetMode="External"/><Relationship Id="rId28" Type="http://schemas.openxmlformats.org/officeDocument/2006/relationships/footer" Target="footer2.xml"/><Relationship Id="rId10" Type="http://schemas.openxmlformats.org/officeDocument/2006/relationships/hyperlink" Target="https://www.scotusblog.com/case-files/cases/groff-v-dejoy/" TargetMode="External"/><Relationship Id="rId19" Type="http://schemas.openxmlformats.org/officeDocument/2006/relationships/hyperlink" Target="https://www.scotusblog.com/case-files/cases/303-creative-llc-v-elenis/" TargetMode="External"/><Relationship Id="rId4" Type="http://schemas.openxmlformats.org/officeDocument/2006/relationships/webSettings" Target="webSettings.xml"/><Relationship Id="rId9" Type="http://schemas.openxmlformats.org/officeDocument/2006/relationships/hyperlink" Target="https://casetext.com/statute/united-states-code/title-42-the-public-health-and-welfare/chapter-21-civil-rights/subchapter-i-generally/section-1983-civil-action-for-deprivation-of-rights" TargetMode="External"/><Relationship Id="rId14" Type="http://schemas.openxmlformats.org/officeDocument/2006/relationships/hyperlink" Target="https://casetext.com/statute/united-states-code/title-52-voting-and-elections/subtitle-i-voting-rights/chapter-103-enforcement-of-voting-rights/section-10301-denial-or-abridgement-of-right-to-vote-on-account-of-race-or-color-through-voting-qualifications-or-prerequisites-establishment-of-violation" TargetMode="External"/><Relationship Id="rId22" Type="http://schemas.openxmlformats.org/officeDocument/2006/relationships/hyperlink" Target="https://casetext.com/statute/united-states-code/title-25-indians/chapter-21-indian-child-welfare/subchapter-i-child-custody-proceedings/section-1915-placement-of-indian-childr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1488</Words>
  <Characters>7505</Characters>
  <Application>Microsoft Office Word</Application>
  <DocSecurity>0</DocSecurity>
  <Lines>234</Lines>
  <Paragraphs>67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Chemerinsky</dc:creator>
  <cp:keywords/>
  <dc:description/>
  <cp:lastModifiedBy>Erwin Chemerinsky</cp:lastModifiedBy>
  <cp:revision>5</cp:revision>
  <cp:lastPrinted>2023-07-18T03:20:00Z</cp:lastPrinted>
  <dcterms:created xsi:type="dcterms:W3CDTF">2023-09-13T03:45:00Z</dcterms:created>
  <dcterms:modified xsi:type="dcterms:W3CDTF">2023-09-13T03:51:00Z</dcterms:modified>
</cp:coreProperties>
</file>