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34EF4" w14:textId="603C7959" w:rsidR="00C978CC" w:rsidRPr="00C978CC" w:rsidRDefault="00C978CC" w:rsidP="00C978CC">
      <w:pPr>
        <w:shd w:val="clear" w:color="auto" w:fill="FFFFFF"/>
        <w:spacing w:after="100" w:afterAutospacing="1" w:line="240" w:lineRule="auto"/>
        <w:rPr>
          <w:rFonts w:ascii="Times New Roman" w:eastAsia="Times New Roman" w:hAnsi="Times New Roman" w:cs="Times New Roman"/>
          <w:color w:val="6C6B73"/>
          <w:sz w:val="25"/>
          <w:szCs w:val="25"/>
        </w:rPr>
      </w:pPr>
      <w:bookmarkStart w:id="0" w:name="_GoBack"/>
      <w:bookmarkEnd w:id="0"/>
      <w:r w:rsidRPr="00C978CC">
        <w:rPr>
          <w:rFonts w:ascii="Times New Roman" w:eastAsia="Times New Roman" w:hAnsi="Times New Roman" w:cs="Times New Roman"/>
          <w:color w:val="6C6B73"/>
          <w:sz w:val="25"/>
          <w:szCs w:val="25"/>
        </w:rPr>
        <w:t xml:space="preserve">Robin B. Johansen is a partner with Olson </w:t>
      </w:r>
      <w:proofErr w:type="spellStart"/>
      <w:r w:rsidRPr="00C978CC">
        <w:rPr>
          <w:rFonts w:ascii="Times New Roman" w:eastAsia="Times New Roman" w:hAnsi="Times New Roman" w:cs="Times New Roman"/>
          <w:color w:val="6C6B73"/>
          <w:sz w:val="25"/>
          <w:szCs w:val="25"/>
        </w:rPr>
        <w:t>Remcho</w:t>
      </w:r>
      <w:proofErr w:type="spellEnd"/>
      <w:r w:rsidRPr="00C978CC">
        <w:rPr>
          <w:rFonts w:ascii="Times New Roman" w:eastAsia="Times New Roman" w:hAnsi="Times New Roman" w:cs="Times New Roman"/>
          <w:color w:val="6C6B73"/>
          <w:sz w:val="25"/>
          <w:szCs w:val="25"/>
        </w:rPr>
        <w:t xml:space="preserve">.  She previously co-founded the law firm of </w:t>
      </w:r>
      <w:proofErr w:type="spellStart"/>
      <w:r w:rsidRPr="00C978CC">
        <w:rPr>
          <w:rFonts w:ascii="Times New Roman" w:eastAsia="Times New Roman" w:hAnsi="Times New Roman" w:cs="Times New Roman"/>
          <w:color w:val="6C6B73"/>
          <w:sz w:val="25"/>
          <w:szCs w:val="25"/>
        </w:rPr>
        <w:t>Remcho</w:t>
      </w:r>
      <w:proofErr w:type="spellEnd"/>
      <w:r w:rsidRPr="00C978CC">
        <w:rPr>
          <w:rFonts w:ascii="Times New Roman" w:eastAsia="Times New Roman" w:hAnsi="Times New Roman" w:cs="Times New Roman"/>
          <w:color w:val="6C6B73"/>
          <w:sz w:val="25"/>
          <w:szCs w:val="25"/>
        </w:rPr>
        <w:t xml:space="preserve"> Johansen &amp; Purcell which merged with Olson Hagel &amp; </w:t>
      </w:r>
      <w:proofErr w:type="spellStart"/>
      <w:r w:rsidRPr="00C978CC">
        <w:rPr>
          <w:rFonts w:ascii="Times New Roman" w:eastAsia="Times New Roman" w:hAnsi="Times New Roman" w:cs="Times New Roman"/>
          <w:color w:val="6C6B73"/>
          <w:sz w:val="25"/>
          <w:szCs w:val="25"/>
        </w:rPr>
        <w:t>Fishburn</w:t>
      </w:r>
      <w:proofErr w:type="spellEnd"/>
      <w:r w:rsidRPr="00C978CC">
        <w:rPr>
          <w:rFonts w:ascii="Times New Roman" w:eastAsia="Times New Roman" w:hAnsi="Times New Roman" w:cs="Times New Roman"/>
          <w:color w:val="6C6B73"/>
          <w:sz w:val="25"/>
          <w:szCs w:val="25"/>
        </w:rPr>
        <w:t xml:space="preserve"> LLP in January 2020 to form Olson </w:t>
      </w:r>
      <w:proofErr w:type="spellStart"/>
      <w:r w:rsidRPr="00C978CC">
        <w:rPr>
          <w:rFonts w:ascii="Times New Roman" w:eastAsia="Times New Roman" w:hAnsi="Times New Roman" w:cs="Times New Roman"/>
          <w:color w:val="6C6B73"/>
          <w:sz w:val="25"/>
          <w:szCs w:val="25"/>
        </w:rPr>
        <w:t>Remcho</w:t>
      </w:r>
      <w:proofErr w:type="spellEnd"/>
      <w:r w:rsidRPr="00C978CC">
        <w:rPr>
          <w:rFonts w:ascii="Times New Roman" w:eastAsia="Times New Roman" w:hAnsi="Times New Roman" w:cs="Times New Roman"/>
          <w:color w:val="6C6B73"/>
          <w:sz w:val="25"/>
          <w:szCs w:val="25"/>
        </w:rPr>
        <w:t>.  Ms. Johansen was admitted to the California Bar in 1977 and the Bar of the District of Columbia in 1979.  She is a graduate of the University of Illinois (B.A., </w:t>
      </w:r>
      <w:r w:rsidRPr="00C978CC">
        <w:rPr>
          <w:rFonts w:ascii="Times New Roman" w:eastAsia="Times New Roman" w:hAnsi="Times New Roman" w:cs="Times New Roman"/>
          <w:i/>
          <w:iCs/>
          <w:color w:val="6C6B73"/>
          <w:sz w:val="25"/>
          <w:szCs w:val="25"/>
        </w:rPr>
        <w:t>cum laude</w:t>
      </w:r>
      <w:r w:rsidRPr="00C978CC">
        <w:rPr>
          <w:rFonts w:ascii="Times New Roman" w:eastAsia="Times New Roman" w:hAnsi="Times New Roman" w:cs="Times New Roman"/>
          <w:color w:val="6C6B73"/>
          <w:sz w:val="25"/>
          <w:szCs w:val="25"/>
        </w:rPr>
        <w:t>, 1968) and Stanford Law School (J.D., 1977).</w:t>
      </w:r>
    </w:p>
    <w:p w14:paraId="1A689B18" w14:textId="77777777" w:rsidR="00C978CC" w:rsidRPr="00C978CC" w:rsidRDefault="00C978CC" w:rsidP="00C978CC">
      <w:pPr>
        <w:shd w:val="clear" w:color="auto" w:fill="FFFFFF"/>
        <w:spacing w:after="100" w:afterAutospacing="1" w:line="240" w:lineRule="auto"/>
        <w:rPr>
          <w:rFonts w:ascii="Times New Roman" w:eastAsia="Times New Roman" w:hAnsi="Times New Roman" w:cs="Times New Roman"/>
          <w:color w:val="6C6B73"/>
          <w:sz w:val="25"/>
          <w:szCs w:val="25"/>
        </w:rPr>
      </w:pPr>
      <w:r w:rsidRPr="00C978CC">
        <w:rPr>
          <w:rFonts w:ascii="Times New Roman" w:eastAsia="Times New Roman" w:hAnsi="Times New Roman" w:cs="Times New Roman"/>
          <w:color w:val="6C6B73"/>
          <w:sz w:val="25"/>
          <w:szCs w:val="25"/>
        </w:rPr>
        <w:t>Ms. Johansen was Senior Article Editor, Stanford Law Review, Volume 29, and is the author of “The New Federalism: Toward a Principled Interpretation of the State Constitution,” 29 Stanford Law Review 297, 1977 and “Searches and Seizures on Church Premises: Weighing the Privacy Rights of Religious Bodies” in Kelley, Government Intervention in Religious Affairs II.</w:t>
      </w:r>
    </w:p>
    <w:p w14:paraId="3A12A0E4" w14:textId="77777777" w:rsidR="00C978CC" w:rsidRPr="00C978CC" w:rsidRDefault="00C978CC" w:rsidP="00C978CC">
      <w:pPr>
        <w:shd w:val="clear" w:color="auto" w:fill="FFFFFF"/>
        <w:spacing w:after="100" w:afterAutospacing="1" w:line="240" w:lineRule="auto"/>
        <w:rPr>
          <w:rFonts w:ascii="Times New Roman" w:eastAsia="Times New Roman" w:hAnsi="Times New Roman" w:cs="Times New Roman"/>
          <w:color w:val="6C6B73"/>
          <w:sz w:val="25"/>
          <w:szCs w:val="25"/>
        </w:rPr>
      </w:pPr>
      <w:r w:rsidRPr="00C978CC">
        <w:rPr>
          <w:rFonts w:ascii="Times New Roman" w:eastAsia="Times New Roman" w:hAnsi="Times New Roman" w:cs="Times New Roman"/>
          <w:color w:val="6C6B73"/>
          <w:sz w:val="25"/>
          <w:szCs w:val="25"/>
        </w:rPr>
        <w:t>Ms. Johansen is a member of the California Academy of Appellate Lawyers and appears on the Northern California Super Lawyers list.  She served on the Board of Directors of First Place for Youth, a statewide organization serving former foster youth and on the Board of Directors of Coro Northern California.  From 1992 to 1993, she was a member of the State Citizens’ Commission on Ballot Initiatives, and in 1974, Ms. Johansen was a research assistant to the U.S. House of Representatives’ Impeachment Inquiry staff.</w:t>
      </w:r>
    </w:p>
    <w:p w14:paraId="77B31501" w14:textId="77777777" w:rsidR="00C978CC" w:rsidRPr="00C978CC" w:rsidRDefault="00C978CC" w:rsidP="00C978CC">
      <w:pPr>
        <w:shd w:val="clear" w:color="auto" w:fill="FFFFFF"/>
        <w:spacing w:after="100" w:afterAutospacing="1" w:line="240" w:lineRule="auto"/>
        <w:rPr>
          <w:rFonts w:ascii="Times New Roman" w:eastAsia="Times New Roman" w:hAnsi="Times New Roman" w:cs="Times New Roman"/>
          <w:color w:val="6C6B73"/>
          <w:sz w:val="25"/>
          <w:szCs w:val="25"/>
        </w:rPr>
      </w:pPr>
      <w:r w:rsidRPr="00C978CC">
        <w:rPr>
          <w:rFonts w:ascii="Times New Roman" w:eastAsia="Times New Roman" w:hAnsi="Times New Roman" w:cs="Times New Roman"/>
          <w:color w:val="6C6B73"/>
          <w:sz w:val="25"/>
          <w:szCs w:val="25"/>
        </w:rPr>
        <w:t>Ms. Johansen has represented numerous local governmental entities on a variety of public policy issues and has worked extensively on matters involving the initiative and referendum process at both the state and local levels, and on matters of redistricting.  She has also represented a broad range of clients, including the California Legislature, the State Superintendent of Public Instruction and the State Controller, in public policy, school finance, and constitutional litigation in both state and federal courts.</w:t>
      </w:r>
    </w:p>
    <w:p w14:paraId="60B2561C" w14:textId="2CF8F06F" w:rsidR="00C978CC" w:rsidRDefault="00C978CC">
      <w:r>
        <w:br w:type="page"/>
      </w:r>
    </w:p>
    <w:p w14:paraId="39FBEFBE" w14:textId="77777777" w:rsidR="00C978CC" w:rsidRPr="00C978CC" w:rsidRDefault="00C978CC" w:rsidP="00C978CC">
      <w:pPr>
        <w:shd w:val="clear" w:color="auto" w:fill="FFFFFF"/>
        <w:spacing w:after="100" w:afterAutospacing="1" w:line="240" w:lineRule="auto"/>
        <w:rPr>
          <w:rFonts w:ascii="Times New Roman" w:eastAsia="Times New Roman" w:hAnsi="Times New Roman" w:cs="Times New Roman"/>
          <w:color w:val="6C6B73"/>
          <w:sz w:val="25"/>
          <w:szCs w:val="25"/>
        </w:rPr>
      </w:pPr>
      <w:r w:rsidRPr="00C978CC">
        <w:rPr>
          <w:rFonts w:ascii="Times New Roman" w:eastAsia="Times New Roman" w:hAnsi="Times New Roman" w:cs="Times New Roman"/>
          <w:color w:val="6C6B73"/>
          <w:sz w:val="25"/>
          <w:szCs w:val="25"/>
        </w:rPr>
        <w:lastRenderedPageBreak/>
        <w:t>Thomas A. Willis is a partner specializing in election, redistricting, and campaign finance law. </w:t>
      </w:r>
    </w:p>
    <w:p w14:paraId="112918FA" w14:textId="77777777" w:rsidR="00C978CC" w:rsidRPr="00C978CC" w:rsidRDefault="00C978CC" w:rsidP="00C978CC">
      <w:pPr>
        <w:shd w:val="clear" w:color="auto" w:fill="FFFFFF"/>
        <w:spacing w:after="100" w:afterAutospacing="1" w:line="240" w:lineRule="auto"/>
        <w:rPr>
          <w:rFonts w:ascii="Times New Roman" w:eastAsia="Times New Roman" w:hAnsi="Times New Roman" w:cs="Times New Roman"/>
          <w:color w:val="6C6B73"/>
          <w:sz w:val="25"/>
          <w:szCs w:val="25"/>
        </w:rPr>
      </w:pPr>
      <w:r w:rsidRPr="00C978CC">
        <w:rPr>
          <w:rFonts w:ascii="Times New Roman" w:eastAsia="Times New Roman" w:hAnsi="Times New Roman" w:cs="Times New Roman"/>
          <w:color w:val="6C6B73"/>
          <w:sz w:val="25"/>
          <w:szCs w:val="25"/>
        </w:rPr>
        <w:t>He is campaign counsel for Governor Gavin Newsom and served in the same role for the previous two Democratic Governors. He also represents the California Democratic Party.</w:t>
      </w:r>
    </w:p>
    <w:p w14:paraId="70AFF733" w14:textId="77777777" w:rsidR="00C978CC" w:rsidRPr="00C978CC" w:rsidRDefault="00C978CC" w:rsidP="00C978CC">
      <w:pPr>
        <w:shd w:val="clear" w:color="auto" w:fill="FFFFFF"/>
        <w:spacing w:after="100" w:afterAutospacing="1" w:line="240" w:lineRule="auto"/>
        <w:rPr>
          <w:rFonts w:ascii="Times New Roman" w:eastAsia="Times New Roman" w:hAnsi="Times New Roman" w:cs="Times New Roman"/>
          <w:color w:val="6C6B73"/>
          <w:sz w:val="25"/>
          <w:szCs w:val="25"/>
        </w:rPr>
      </w:pPr>
      <w:r w:rsidRPr="00C978CC">
        <w:rPr>
          <w:rFonts w:ascii="Times New Roman" w:eastAsia="Times New Roman" w:hAnsi="Times New Roman" w:cs="Times New Roman"/>
          <w:color w:val="6C6B73"/>
          <w:sz w:val="25"/>
          <w:szCs w:val="25"/>
        </w:rPr>
        <w:t>He also has advised many ballot measure committees, including the Governor’s committees for Propositions 1 and 2 and Airbnb’s committee opposing San Francisco’s Measure F, and the San Francisco Giants’ committees in support of Measure D (Mission Rock).  </w:t>
      </w:r>
    </w:p>
    <w:p w14:paraId="29AB4B33" w14:textId="77777777" w:rsidR="00C978CC" w:rsidRPr="00C978CC" w:rsidRDefault="00C978CC" w:rsidP="00C978CC">
      <w:pPr>
        <w:shd w:val="clear" w:color="auto" w:fill="FFFFFF"/>
        <w:spacing w:after="100" w:afterAutospacing="1" w:line="240" w:lineRule="auto"/>
        <w:rPr>
          <w:rFonts w:ascii="Times New Roman" w:eastAsia="Times New Roman" w:hAnsi="Times New Roman" w:cs="Times New Roman"/>
          <w:color w:val="6C6B73"/>
          <w:sz w:val="25"/>
          <w:szCs w:val="25"/>
        </w:rPr>
      </w:pPr>
      <w:r w:rsidRPr="00C978CC">
        <w:rPr>
          <w:rFonts w:ascii="Times New Roman" w:eastAsia="Times New Roman" w:hAnsi="Times New Roman" w:cs="Times New Roman"/>
          <w:color w:val="6C6B73"/>
          <w:sz w:val="25"/>
          <w:szCs w:val="25"/>
        </w:rPr>
        <w:t xml:space="preserve">Mr. Willis has litigated </w:t>
      </w:r>
      <w:proofErr w:type="gramStart"/>
      <w:r w:rsidRPr="00C978CC">
        <w:rPr>
          <w:rFonts w:ascii="Times New Roman" w:eastAsia="Times New Roman" w:hAnsi="Times New Roman" w:cs="Times New Roman"/>
          <w:color w:val="6C6B73"/>
          <w:sz w:val="25"/>
          <w:szCs w:val="25"/>
        </w:rPr>
        <w:t>a number of</w:t>
      </w:r>
      <w:proofErr w:type="gramEnd"/>
      <w:r w:rsidRPr="00C978CC">
        <w:rPr>
          <w:rFonts w:ascii="Times New Roman" w:eastAsia="Times New Roman" w:hAnsi="Times New Roman" w:cs="Times New Roman"/>
          <w:color w:val="6C6B73"/>
          <w:sz w:val="25"/>
          <w:szCs w:val="25"/>
        </w:rPr>
        <w:t xml:space="preserve"> important election law, redistricting and campaign finance cases, including successfully defending the California Legislature’s 2011 redistricting plan. </w:t>
      </w:r>
      <w:r w:rsidRPr="00C978CC">
        <w:rPr>
          <w:rFonts w:ascii="Times New Roman" w:eastAsia="Times New Roman" w:hAnsi="Times New Roman" w:cs="Times New Roman"/>
          <w:i/>
          <w:iCs/>
          <w:color w:val="6C6B73"/>
          <w:sz w:val="25"/>
          <w:szCs w:val="25"/>
        </w:rPr>
        <w:t>Nadler v. Schwarzenegger</w:t>
      </w:r>
      <w:r w:rsidRPr="00C978CC">
        <w:rPr>
          <w:rFonts w:ascii="Times New Roman" w:eastAsia="Times New Roman" w:hAnsi="Times New Roman" w:cs="Times New Roman"/>
          <w:color w:val="6C6B73"/>
          <w:sz w:val="25"/>
          <w:szCs w:val="25"/>
        </w:rPr>
        <w:t>, 137 Cal. App. 4th 1327 (2006); </w:t>
      </w:r>
      <w:r w:rsidRPr="00C978CC">
        <w:rPr>
          <w:rFonts w:ascii="Times New Roman" w:eastAsia="Times New Roman" w:hAnsi="Times New Roman" w:cs="Times New Roman"/>
          <w:i/>
          <w:iCs/>
          <w:color w:val="6C6B73"/>
          <w:sz w:val="25"/>
          <w:szCs w:val="25"/>
        </w:rPr>
        <w:t>Cano v. Davis</w:t>
      </w:r>
      <w:r w:rsidRPr="00C978CC">
        <w:rPr>
          <w:rFonts w:ascii="Times New Roman" w:eastAsia="Times New Roman" w:hAnsi="Times New Roman" w:cs="Times New Roman"/>
          <w:color w:val="6C6B73"/>
          <w:sz w:val="25"/>
          <w:szCs w:val="25"/>
        </w:rPr>
        <w:t>, 191 F. Supp. </w:t>
      </w:r>
      <w:proofErr w:type="spellStart"/>
      <w:r w:rsidRPr="00C978CC">
        <w:rPr>
          <w:rFonts w:ascii="Times New Roman" w:eastAsia="Times New Roman" w:hAnsi="Times New Roman" w:cs="Times New Roman"/>
          <w:color w:val="6C6B73"/>
          <w:sz w:val="25"/>
          <w:szCs w:val="25"/>
        </w:rPr>
        <w:t>2d</w:t>
      </w:r>
      <w:proofErr w:type="spellEnd"/>
      <w:r w:rsidRPr="00C978CC">
        <w:rPr>
          <w:rFonts w:ascii="Times New Roman" w:eastAsia="Times New Roman" w:hAnsi="Times New Roman" w:cs="Times New Roman"/>
          <w:color w:val="6C6B73"/>
          <w:sz w:val="25"/>
          <w:szCs w:val="25"/>
        </w:rPr>
        <w:t xml:space="preserve"> 1135 (C.D. Cal. 2001); 211 F. Supp. </w:t>
      </w:r>
      <w:proofErr w:type="spellStart"/>
      <w:r w:rsidRPr="00C978CC">
        <w:rPr>
          <w:rFonts w:ascii="Times New Roman" w:eastAsia="Times New Roman" w:hAnsi="Times New Roman" w:cs="Times New Roman"/>
          <w:color w:val="6C6B73"/>
          <w:sz w:val="25"/>
          <w:szCs w:val="25"/>
        </w:rPr>
        <w:t>2d</w:t>
      </w:r>
      <w:proofErr w:type="spellEnd"/>
      <w:r w:rsidRPr="00C978CC">
        <w:rPr>
          <w:rFonts w:ascii="Times New Roman" w:eastAsia="Times New Roman" w:hAnsi="Times New Roman" w:cs="Times New Roman"/>
          <w:color w:val="6C6B73"/>
          <w:sz w:val="25"/>
          <w:szCs w:val="25"/>
        </w:rPr>
        <w:t xml:space="preserve"> 1208 (C.D. Cal. 2002), aff’d., 537 U.S. 1100 (2003). Most recently, he successfully defended in the trial and appellate court the City of Los Angeles’ redistricting plan. </w:t>
      </w:r>
      <w:r w:rsidRPr="00C978CC">
        <w:rPr>
          <w:rFonts w:ascii="Times New Roman" w:eastAsia="Times New Roman" w:hAnsi="Times New Roman" w:cs="Times New Roman"/>
          <w:i/>
          <w:iCs/>
          <w:color w:val="6C6B73"/>
          <w:sz w:val="25"/>
          <w:szCs w:val="25"/>
        </w:rPr>
        <w:t>Lee v. City of Los Angeles</w:t>
      </w:r>
      <w:r w:rsidRPr="00C978CC">
        <w:rPr>
          <w:rFonts w:ascii="Times New Roman" w:eastAsia="Times New Roman" w:hAnsi="Times New Roman" w:cs="Times New Roman"/>
          <w:color w:val="6C6B73"/>
          <w:sz w:val="25"/>
          <w:szCs w:val="25"/>
        </w:rPr>
        <w:t xml:space="preserve">, 88 F. Supp. </w:t>
      </w:r>
      <w:proofErr w:type="spellStart"/>
      <w:r w:rsidRPr="00C978CC">
        <w:rPr>
          <w:rFonts w:ascii="Times New Roman" w:eastAsia="Times New Roman" w:hAnsi="Times New Roman" w:cs="Times New Roman"/>
          <w:color w:val="6C6B73"/>
          <w:sz w:val="25"/>
          <w:szCs w:val="25"/>
        </w:rPr>
        <w:t>3d</w:t>
      </w:r>
      <w:proofErr w:type="spellEnd"/>
      <w:r w:rsidRPr="00C978CC">
        <w:rPr>
          <w:rFonts w:ascii="Times New Roman" w:eastAsia="Times New Roman" w:hAnsi="Times New Roman" w:cs="Times New Roman"/>
          <w:color w:val="6C6B73"/>
          <w:sz w:val="25"/>
          <w:szCs w:val="25"/>
        </w:rPr>
        <w:t xml:space="preserve"> 1140 (C.D. Cal. 2015), aff’d 908 </w:t>
      </w:r>
      <w:proofErr w:type="spellStart"/>
      <w:r w:rsidRPr="00C978CC">
        <w:rPr>
          <w:rFonts w:ascii="Times New Roman" w:eastAsia="Times New Roman" w:hAnsi="Times New Roman" w:cs="Times New Roman"/>
          <w:color w:val="6C6B73"/>
          <w:sz w:val="25"/>
          <w:szCs w:val="25"/>
        </w:rPr>
        <w:t>F.3d</w:t>
      </w:r>
      <w:proofErr w:type="spellEnd"/>
      <w:r w:rsidRPr="00C978CC">
        <w:rPr>
          <w:rFonts w:ascii="Times New Roman" w:eastAsia="Times New Roman" w:hAnsi="Times New Roman" w:cs="Times New Roman"/>
          <w:color w:val="6C6B73"/>
          <w:sz w:val="25"/>
          <w:szCs w:val="25"/>
        </w:rPr>
        <w:t xml:space="preserve"> 1175 (9th Cir. 2018).</w:t>
      </w:r>
    </w:p>
    <w:p w14:paraId="2B70BE1E" w14:textId="77777777" w:rsidR="00C978CC" w:rsidRPr="00C978CC" w:rsidRDefault="00C978CC" w:rsidP="00C978CC">
      <w:pPr>
        <w:shd w:val="clear" w:color="auto" w:fill="FFFFFF"/>
        <w:spacing w:after="100" w:afterAutospacing="1" w:line="240" w:lineRule="auto"/>
        <w:rPr>
          <w:rFonts w:ascii="Times New Roman" w:eastAsia="Times New Roman" w:hAnsi="Times New Roman" w:cs="Times New Roman"/>
          <w:color w:val="6C6B73"/>
          <w:sz w:val="25"/>
          <w:szCs w:val="25"/>
        </w:rPr>
      </w:pPr>
      <w:r w:rsidRPr="00C978CC">
        <w:rPr>
          <w:rFonts w:ascii="Times New Roman" w:eastAsia="Times New Roman" w:hAnsi="Times New Roman" w:cs="Times New Roman"/>
          <w:color w:val="6C6B73"/>
          <w:sz w:val="25"/>
          <w:szCs w:val="25"/>
        </w:rPr>
        <w:t>His other notable cases include </w:t>
      </w:r>
      <w:r w:rsidRPr="00C978CC">
        <w:rPr>
          <w:rFonts w:ascii="Times New Roman" w:eastAsia="Times New Roman" w:hAnsi="Times New Roman" w:cs="Times New Roman"/>
          <w:i/>
          <w:iCs/>
          <w:color w:val="6C6B73"/>
          <w:sz w:val="25"/>
          <w:szCs w:val="25"/>
        </w:rPr>
        <w:t>McDonough v. Superior Court</w:t>
      </w:r>
      <w:r w:rsidRPr="00C978CC">
        <w:rPr>
          <w:rFonts w:ascii="Times New Roman" w:eastAsia="Times New Roman" w:hAnsi="Times New Roman" w:cs="Times New Roman"/>
          <w:color w:val="6C6B73"/>
          <w:sz w:val="25"/>
          <w:szCs w:val="25"/>
        </w:rPr>
        <w:t>, 204 Cal. App. 4th 1169 (2012) (challenge to ballot question for San Jose pension initiative); </w:t>
      </w:r>
      <w:r w:rsidRPr="00C978CC">
        <w:rPr>
          <w:rFonts w:ascii="Times New Roman" w:eastAsia="Times New Roman" w:hAnsi="Times New Roman" w:cs="Times New Roman"/>
          <w:i/>
          <w:iCs/>
          <w:color w:val="6C6B73"/>
          <w:sz w:val="25"/>
          <w:szCs w:val="25"/>
        </w:rPr>
        <w:t>Americans for Safe Access v. County of Alameda</w:t>
      </w:r>
      <w:r w:rsidRPr="00C978CC">
        <w:rPr>
          <w:rFonts w:ascii="Times New Roman" w:eastAsia="Times New Roman" w:hAnsi="Times New Roman" w:cs="Times New Roman"/>
          <w:color w:val="6C6B73"/>
          <w:sz w:val="25"/>
          <w:szCs w:val="25"/>
        </w:rPr>
        <w:t>, 174 Cal. App. 4th 1287 (2009) (defending county’s recount procedures); </w:t>
      </w:r>
      <w:proofErr w:type="spellStart"/>
      <w:r w:rsidRPr="00C978CC">
        <w:rPr>
          <w:rFonts w:ascii="Times New Roman" w:eastAsia="Times New Roman" w:hAnsi="Times New Roman" w:cs="Times New Roman"/>
          <w:i/>
          <w:iCs/>
          <w:color w:val="6C6B73"/>
          <w:sz w:val="25"/>
          <w:szCs w:val="25"/>
        </w:rPr>
        <w:t>Lindelli</w:t>
      </w:r>
      <w:proofErr w:type="spellEnd"/>
      <w:r w:rsidRPr="00C978CC">
        <w:rPr>
          <w:rFonts w:ascii="Times New Roman" w:eastAsia="Times New Roman" w:hAnsi="Times New Roman" w:cs="Times New Roman"/>
          <w:i/>
          <w:iCs/>
          <w:color w:val="6C6B73"/>
          <w:sz w:val="25"/>
          <w:szCs w:val="25"/>
        </w:rPr>
        <w:t xml:space="preserve"> v. Town of San Anselmo</w:t>
      </w:r>
      <w:r w:rsidRPr="00C978CC">
        <w:rPr>
          <w:rFonts w:ascii="Times New Roman" w:eastAsia="Times New Roman" w:hAnsi="Times New Roman" w:cs="Times New Roman"/>
          <w:color w:val="6C6B73"/>
          <w:sz w:val="25"/>
          <w:szCs w:val="25"/>
        </w:rPr>
        <w:t>, 111 Cal. App. 4th 1099 (2003) (contesting use of referendum for interim contract); </w:t>
      </w:r>
      <w:r w:rsidRPr="00C978CC">
        <w:rPr>
          <w:rFonts w:ascii="Times New Roman" w:eastAsia="Times New Roman" w:hAnsi="Times New Roman" w:cs="Times New Roman"/>
          <w:i/>
          <w:iCs/>
          <w:color w:val="6C6B73"/>
          <w:sz w:val="25"/>
          <w:szCs w:val="25"/>
        </w:rPr>
        <w:t>People ex rel. Found. for Taxpayer &amp; Consumer Rights v. Duque</w:t>
      </w:r>
      <w:r w:rsidRPr="00C978CC">
        <w:rPr>
          <w:rFonts w:ascii="Times New Roman" w:eastAsia="Times New Roman" w:hAnsi="Times New Roman" w:cs="Times New Roman"/>
          <w:color w:val="6C6B73"/>
          <w:sz w:val="25"/>
          <w:szCs w:val="25"/>
        </w:rPr>
        <w:t xml:space="preserve">, 105 Cal. App. 4th 259 (2003) (defending members of </w:t>
      </w:r>
      <w:proofErr w:type="spellStart"/>
      <w:r w:rsidRPr="00C978CC">
        <w:rPr>
          <w:rFonts w:ascii="Times New Roman" w:eastAsia="Times New Roman" w:hAnsi="Times New Roman" w:cs="Times New Roman"/>
          <w:color w:val="6C6B73"/>
          <w:sz w:val="25"/>
          <w:szCs w:val="25"/>
        </w:rPr>
        <w:t>CPUC</w:t>
      </w:r>
      <w:proofErr w:type="spellEnd"/>
      <w:r w:rsidRPr="00C978CC">
        <w:rPr>
          <w:rFonts w:ascii="Times New Roman" w:eastAsia="Times New Roman" w:hAnsi="Times New Roman" w:cs="Times New Roman"/>
          <w:color w:val="6C6B73"/>
          <w:sz w:val="25"/>
          <w:szCs w:val="25"/>
        </w:rPr>
        <w:t xml:space="preserve"> from quo </w:t>
      </w:r>
      <w:proofErr w:type="spellStart"/>
      <w:r w:rsidRPr="00C978CC">
        <w:rPr>
          <w:rFonts w:ascii="Times New Roman" w:eastAsia="Times New Roman" w:hAnsi="Times New Roman" w:cs="Times New Roman"/>
          <w:color w:val="6C6B73"/>
          <w:sz w:val="25"/>
          <w:szCs w:val="25"/>
        </w:rPr>
        <w:t>warranto</w:t>
      </w:r>
      <w:proofErr w:type="spellEnd"/>
      <w:r w:rsidRPr="00C978CC">
        <w:rPr>
          <w:rFonts w:ascii="Times New Roman" w:eastAsia="Times New Roman" w:hAnsi="Times New Roman" w:cs="Times New Roman"/>
          <w:color w:val="6C6B73"/>
          <w:sz w:val="25"/>
          <w:szCs w:val="25"/>
        </w:rPr>
        <w:t>).  </w:t>
      </w:r>
    </w:p>
    <w:p w14:paraId="1F3A4F88" w14:textId="77777777" w:rsidR="00C978CC" w:rsidRPr="00C978CC" w:rsidRDefault="00C978CC" w:rsidP="00C978CC">
      <w:pPr>
        <w:shd w:val="clear" w:color="auto" w:fill="FFFFFF"/>
        <w:spacing w:after="100" w:afterAutospacing="1" w:line="240" w:lineRule="auto"/>
        <w:rPr>
          <w:rFonts w:ascii="Times New Roman" w:eastAsia="Times New Roman" w:hAnsi="Times New Roman" w:cs="Times New Roman"/>
          <w:color w:val="6C6B73"/>
          <w:sz w:val="25"/>
          <w:szCs w:val="25"/>
        </w:rPr>
      </w:pPr>
      <w:r w:rsidRPr="00C978CC">
        <w:rPr>
          <w:rFonts w:ascii="Times New Roman" w:eastAsia="Times New Roman" w:hAnsi="Times New Roman" w:cs="Times New Roman"/>
          <w:color w:val="6C6B73"/>
          <w:sz w:val="25"/>
          <w:szCs w:val="25"/>
        </w:rPr>
        <w:t xml:space="preserve">Mr. Willis is an expert on the California Voting Rights Act and advises </w:t>
      </w:r>
      <w:proofErr w:type="gramStart"/>
      <w:r w:rsidRPr="00C978CC">
        <w:rPr>
          <w:rFonts w:ascii="Times New Roman" w:eastAsia="Times New Roman" w:hAnsi="Times New Roman" w:cs="Times New Roman"/>
          <w:color w:val="6C6B73"/>
          <w:sz w:val="25"/>
          <w:szCs w:val="25"/>
        </w:rPr>
        <w:t>a number of</w:t>
      </w:r>
      <w:proofErr w:type="gramEnd"/>
      <w:r w:rsidRPr="00C978CC">
        <w:rPr>
          <w:rFonts w:ascii="Times New Roman" w:eastAsia="Times New Roman" w:hAnsi="Times New Roman" w:cs="Times New Roman"/>
          <w:color w:val="6C6B73"/>
          <w:sz w:val="25"/>
          <w:szCs w:val="25"/>
        </w:rPr>
        <w:t xml:space="preserve"> municipalities on compliance under the Act’s requirements.  </w:t>
      </w:r>
    </w:p>
    <w:p w14:paraId="1B09C496" w14:textId="77777777" w:rsidR="00C978CC" w:rsidRPr="00C978CC" w:rsidRDefault="00C978CC" w:rsidP="00C978CC">
      <w:pPr>
        <w:shd w:val="clear" w:color="auto" w:fill="FFFFFF"/>
        <w:spacing w:after="100" w:afterAutospacing="1" w:line="240" w:lineRule="auto"/>
        <w:rPr>
          <w:rFonts w:ascii="Times New Roman" w:eastAsia="Times New Roman" w:hAnsi="Times New Roman" w:cs="Times New Roman"/>
          <w:color w:val="6C6B73"/>
          <w:sz w:val="25"/>
          <w:szCs w:val="25"/>
        </w:rPr>
      </w:pPr>
      <w:r w:rsidRPr="00C978CC">
        <w:rPr>
          <w:rFonts w:ascii="Times New Roman" w:eastAsia="Times New Roman" w:hAnsi="Times New Roman" w:cs="Times New Roman"/>
          <w:color w:val="6C6B73"/>
          <w:sz w:val="25"/>
          <w:szCs w:val="25"/>
        </w:rPr>
        <w:t>Mr. Willis also advises state and local agencies on redistricting, election law, conflicts of interest, and initiatives and referenda.  Those clients have included the Governor’s Office, the State Assembly, the City of Oakland, the City of Richmond, the City of Redwood City, and San Francisco Unified School District.  Mr. Willis also represents clients before the Federal Elections Commission, the California Fair Political Practices Commission, and the San Francisco Ethics Commission.  He advises candidates, state and local agencies, campaign committees, initiative and referendum committees, corporations and nonprofits about these laws and the electoral process, including election procedures.</w:t>
      </w:r>
    </w:p>
    <w:p w14:paraId="652CA112" w14:textId="77777777" w:rsidR="003117C2" w:rsidRDefault="00AE1C57" w:rsidP="00C978CC"/>
    <w:sectPr w:rsidR="003117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8CC"/>
    <w:rsid w:val="00011946"/>
    <w:rsid w:val="002F4FFC"/>
    <w:rsid w:val="00AE1C57"/>
    <w:rsid w:val="00C978CC"/>
    <w:rsid w:val="00DC70B9"/>
    <w:rsid w:val="00E73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993AE"/>
  <w15:chartTrackingRefBased/>
  <w15:docId w15:val="{993A4370-F285-4E16-9B98-8F0810E5A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978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685759">
      <w:bodyDiv w:val="1"/>
      <w:marLeft w:val="0"/>
      <w:marRight w:val="0"/>
      <w:marTop w:val="0"/>
      <w:marBottom w:val="0"/>
      <w:divBdr>
        <w:top w:val="none" w:sz="0" w:space="0" w:color="auto"/>
        <w:left w:val="none" w:sz="0" w:space="0" w:color="auto"/>
        <w:bottom w:val="none" w:sz="0" w:space="0" w:color="auto"/>
        <w:right w:val="none" w:sz="0" w:space="0" w:color="auto"/>
      </w:divBdr>
    </w:div>
    <w:div w:id="75578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777A4DF7F9C543BFE7201DDC4A4F53" ma:contentTypeVersion="15" ma:contentTypeDescription="Create a new document." ma:contentTypeScope="" ma:versionID="e607c703f2f193ade449a4fb20a20266">
  <xsd:schema xmlns:xsd="http://www.w3.org/2001/XMLSchema" xmlns:xs="http://www.w3.org/2001/XMLSchema" xmlns:p="http://schemas.microsoft.com/office/2006/metadata/properties" xmlns:ns1="http://schemas.microsoft.com/sharepoint/v3" xmlns:ns3="cc63151a-9eca-4e4a-9502-4edcb84b8038" xmlns:ns4="b2a9f217-7bf4-478f-84a1-6f53d1c9c50a" targetNamespace="http://schemas.microsoft.com/office/2006/metadata/properties" ma:root="true" ma:fieldsID="d5d96ecead158e36afc9a41e70f20240" ns1:_="" ns3:_="" ns4:_="">
    <xsd:import namespace="http://schemas.microsoft.com/sharepoint/v3"/>
    <xsd:import namespace="cc63151a-9eca-4e4a-9502-4edcb84b8038"/>
    <xsd:import namespace="b2a9f217-7bf4-478f-84a1-6f53d1c9c50a"/>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OCR" minOccurs="0"/>
                <xsd:element ref="ns3:SharedWithDetails" minOccurs="0"/>
                <xsd:element ref="ns3:SharingHintHash" minOccurs="0"/>
                <xsd:element ref="ns4:MediaServiceDateTaken" minOccurs="0"/>
                <xsd:element ref="ns4:MediaServiceEventHashCode" minOccurs="0"/>
                <xsd:element ref="ns4:MediaServiceGenerationTime" minOccurs="0"/>
                <xsd:element ref="ns1:_ip_UnifiedCompliancePolicyProperties" minOccurs="0"/>
                <xsd:element ref="ns1:_ip_UnifiedCompliancePolicyUIActio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63151a-9eca-4e4a-9502-4edcb84b80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a9f217-7bf4-478f-84a1-6f53d1c9c50a"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7535AAA-4EFC-48DD-BD74-D25241260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63151a-9eca-4e4a-9502-4edcb84b8038"/>
    <ds:schemaRef ds:uri="b2a9f217-7bf4-478f-84a1-6f53d1c9c5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4012AF-BDA0-465B-8B38-4542478FBA16}">
  <ds:schemaRefs>
    <ds:schemaRef ds:uri="http://schemas.microsoft.com/sharepoint/v3/contenttype/forms"/>
  </ds:schemaRefs>
</ds:datastoreItem>
</file>

<file path=customXml/itemProps3.xml><?xml version="1.0" encoding="utf-8"?>
<ds:datastoreItem xmlns:ds="http://schemas.openxmlformats.org/officeDocument/2006/customXml" ds:itemID="{3667641C-8711-4E47-BDC8-23F605B5260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Ewing</dc:creator>
  <cp:keywords/>
  <dc:description/>
  <cp:lastModifiedBy>Rob Ewing</cp:lastModifiedBy>
  <cp:revision>2</cp:revision>
  <dcterms:created xsi:type="dcterms:W3CDTF">2020-03-05T19:55:00Z</dcterms:created>
  <dcterms:modified xsi:type="dcterms:W3CDTF">2020-03-05T19:58:00Z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0x010100FD777A4DF7F9C543BFE7201DDC4A4F53</vt:lpwstr>
  </property>
</Properties>
</file>