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401AE" w14:textId="6C1D2293" w:rsidR="00F20B84" w:rsidRDefault="009E5099" w:rsidP="00CA2C0A">
      <w:pPr>
        <w:jc w:val="center"/>
        <w:outlineLvl w:val="0"/>
        <w:rPr>
          <w:rFonts w:cs="Times New Roman"/>
          <w:b/>
        </w:rPr>
      </w:pPr>
      <w:bookmarkStart w:id="0" w:name="_Toc526093229"/>
      <w:bookmarkStart w:id="1" w:name="_Toc526368120"/>
      <w:r w:rsidRPr="00677ABE">
        <w:rPr>
          <w:rFonts w:cs="Times New Roman"/>
          <w:b/>
        </w:rPr>
        <w:t>RECENT DEVELOPMENTS IN PATENT LAW (</w:t>
      </w:r>
      <w:r w:rsidR="00593FD1">
        <w:rPr>
          <w:rFonts w:cs="Times New Roman"/>
          <w:b/>
        </w:rPr>
        <w:t>FALL</w:t>
      </w:r>
      <w:r w:rsidR="009F02DC">
        <w:rPr>
          <w:rFonts w:cs="Times New Roman"/>
          <w:b/>
        </w:rPr>
        <w:t xml:space="preserve"> 2019</w:t>
      </w:r>
      <w:r w:rsidRPr="00677ABE">
        <w:rPr>
          <w:rFonts w:cs="Times New Roman"/>
          <w:b/>
        </w:rPr>
        <w:t>)</w:t>
      </w:r>
      <w:bookmarkEnd w:id="0"/>
      <w:bookmarkEnd w:id="1"/>
    </w:p>
    <w:p w14:paraId="2D55C6A8" w14:textId="7736BD92" w:rsidR="00F20B84" w:rsidRDefault="009E5099" w:rsidP="00CA2C0A">
      <w:pPr>
        <w:jc w:val="center"/>
        <w:outlineLvl w:val="0"/>
        <w:rPr>
          <w:rFonts w:cs="Times New Roman"/>
          <w:b/>
        </w:rPr>
      </w:pPr>
      <w:bookmarkStart w:id="2" w:name="_Toc526093230"/>
      <w:bookmarkStart w:id="3" w:name="_Toc526368121"/>
      <w:r w:rsidRPr="00677ABE">
        <w:rPr>
          <w:rFonts w:cs="Times New Roman"/>
          <w:b/>
        </w:rPr>
        <w:t xml:space="preserve">UPDATED THROUGH </w:t>
      </w:r>
      <w:bookmarkEnd w:id="2"/>
      <w:bookmarkEnd w:id="3"/>
      <w:r w:rsidR="00480CEF">
        <w:rPr>
          <w:rFonts w:cs="Times New Roman"/>
          <w:b/>
        </w:rPr>
        <w:t>12/08</w:t>
      </w:r>
      <w:r w:rsidR="005749BC">
        <w:rPr>
          <w:rFonts w:cs="Times New Roman"/>
          <w:b/>
        </w:rPr>
        <w:t>/2019</w:t>
      </w:r>
    </w:p>
    <w:p w14:paraId="647349DA" w14:textId="41ECE5BC" w:rsidR="00C73A18" w:rsidRPr="000C1368" w:rsidRDefault="009E5099" w:rsidP="001E54CA">
      <w:pPr>
        <w:jc w:val="center"/>
        <w:outlineLvl w:val="0"/>
        <w:rPr>
          <w:rFonts w:cs="Times New Roman"/>
          <w:b/>
        </w:rPr>
      </w:pPr>
      <w:bookmarkStart w:id="4" w:name="_Toc526093231"/>
      <w:bookmarkStart w:id="5" w:name="_Toc526368122"/>
      <w:r w:rsidRPr="00677ABE">
        <w:rPr>
          <w:rFonts w:cs="Times New Roman"/>
          <w:b/>
        </w:rPr>
        <w:t>Mark Lemley</w:t>
      </w:r>
      <w:r w:rsidR="00184E1D">
        <w:rPr>
          <w:rFonts w:cs="Times New Roman"/>
          <w:b/>
        </w:rPr>
        <w:t>,</w:t>
      </w:r>
      <w:r w:rsidRPr="005A669A">
        <w:rPr>
          <w:rStyle w:val="FootnoteReference"/>
        </w:rPr>
        <w:footnoteReference w:id="1"/>
      </w:r>
      <w:r w:rsidRPr="00677ABE">
        <w:rPr>
          <w:rFonts w:cs="Times New Roman"/>
          <w:b/>
        </w:rPr>
        <w:t>Andrew McCreary</w:t>
      </w:r>
      <w:r w:rsidRPr="005A669A">
        <w:rPr>
          <w:rStyle w:val="FootnoteReference"/>
        </w:rPr>
        <w:footnoteReference w:id="2"/>
      </w:r>
      <w:r w:rsidR="00184E1D">
        <w:rPr>
          <w:rFonts w:cs="Times New Roman"/>
          <w:b/>
        </w:rPr>
        <w:t xml:space="preserve"> &amp; Tyler Robbins</w:t>
      </w:r>
      <w:r w:rsidR="00184E1D">
        <w:rPr>
          <w:rStyle w:val="FootnoteReference"/>
          <w:rFonts w:cs="Times New Roman"/>
          <w:b/>
        </w:rPr>
        <w:footnoteReference w:id="3"/>
      </w:r>
      <w:bookmarkEnd w:id="4"/>
      <w:bookmarkEnd w:id="5"/>
    </w:p>
    <w:p w14:paraId="005C5EA6" w14:textId="6A6676E2" w:rsidR="002876EF" w:rsidRDefault="00576C8B">
      <w:pPr>
        <w:pStyle w:val="TOC1"/>
        <w:rPr>
          <w:rFonts w:asciiTheme="minorHAnsi" w:hAnsiTheme="minorHAnsi" w:cstheme="minorBidi"/>
          <w:b w:val="0"/>
          <w:bCs w:val="0"/>
          <w:caps w:val="0"/>
          <w:spacing w:val="0"/>
          <w:sz w:val="22"/>
          <w:szCs w:val="22"/>
        </w:rPr>
      </w:pPr>
      <w:r>
        <w:rPr>
          <w:i/>
        </w:rPr>
        <w:fldChar w:fldCharType="begin"/>
      </w:r>
      <w:r>
        <w:rPr>
          <w:i/>
        </w:rPr>
        <w:instrText xml:space="preserve"> TOC \o "1-4" </w:instrText>
      </w:r>
      <w:r>
        <w:rPr>
          <w:i/>
        </w:rPr>
        <w:fldChar w:fldCharType="separate"/>
      </w:r>
      <w:bookmarkStart w:id="6" w:name="_GoBack"/>
      <w:bookmarkEnd w:id="6"/>
      <w:r w:rsidR="002876EF" w:rsidRPr="00D72BF1">
        <w:t>PATENTABLE SUBJECT MATTER</w:t>
      </w:r>
      <w:r w:rsidR="002876EF">
        <w:tab/>
      </w:r>
      <w:r w:rsidR="002876EF">
        <w:fldChar w:fldCharType="begin"/>
      </w:r>
      <w:r w:rsidR="002876EF">
        <w:instrText xml:space="preserve"> PAGEREF _Toc26792735 \h </w:instrText>
      </w:r>
      <w:r w:rsidR="002876EF">
        <w:fldChar w:fldCharType="separate"/>
      </w:r>
      <w:r w:rsidR="002876EF">
        <w:t>5</w:t>
      </w:r>
      <w:r w:rsidR="002876EF">
        <w:fldChar w:fldCharType="end"/>
      </w:r>
    </w:p>
    <w:p w14:paraId="72A7A3E6" w14:textId="76BABB22" w:rsidR="002876EF" w:rsidRDefault="002876EF">
      <w:pPr>
        <w:pStyle w:val="TOC4"/>
        <w:rPr>
          <w:rFonts w:asciiTheme="minorHAnsi" w:hAnsiTheme="minorHAnsi" w:cstheme="minorBidi"/>
          <w:sz w:val="22"/>
          <w:szCs w:val="22"/>
        </w:rPr>
      </w:pPr>
      <w:r w:rsidRPr="00D72BF1">
        <w:rPr>
          <w:iCs/>
        </w:rPr>
        <w:t>Mechanical Inventions</w:t>
      </w:r>
      <w:r>
        <w:tab/>
      </w:r>
      <w:r>
        <w:fldChar w:fldCharType="begin"/>
      </w:r>
      <w:r>
        <w:instrText xml:space="preserve"> PAGEREF _Toc26792736 \h </w:instrText>
      </w:r>
      <w:r>
        <w:fldChar w:fldCharType="separate"/>
      </w:r>
      <w:r>
        <w:t>5</w:t>
      </w:r>
      <w:r>
        <w:fldChar w:fldCharType="end"/>
      </w:r>
    </w:p>
    <w:p w14:paraId="2447A518" w14:textId="5C316629" w:rsidR="002876EF" w:rsidRDefault="002876EF">
      <w:pPr>
        <w:pStyle w:val="TOC4"/>
        <w:rPr>
          <w:rFonts w:asciiTheme="minorHAnsi" w:hAnsiTheme="minorHAnsi" w:cstheme="minorBidi"/>
          <w:sz w:val="22"/>
          <w:szCs w:val="22"/>
        </w:rPr>
      </w:pPr>
      <w:r w:rsidRPr="00D72BF1">
        <w:rPr>
          <w:i/>
          <w:iCs/>
        </w:rPr>
        <w:t>Am. Axle &amp; Mfg., Inc. v. Neapco Holdings LLC</w:t>
      </w:r>
      <w:r>
        <w:t>, 939 F.3d 1355 (Fed. Cir.  October 3, 2019)</w:t>
      </w:r>
      <w:r>
        <w:tab/>
      </w:r>
      <w:r>
        <w:fldChar w:fldCharType="begin"/>
      </w:r>
      <w:r>
        <w:instrText xml:space="preserve"> PAGEREF _Toc26792737 \h </w:instrText>
      </w:r>
      <w:r>
        <w:fldChar w:fldCharType="separate"/>
      </w:r>
      <w:r>
        <w:t>5</w:t>
      </w:r>
      <w:r>
        <w:fldChar w:fldCharType="end"/>
      </w:r>
    </w:p>
    <w:p w14:paraId="6B955937" w14:textId="3EA96C4D" w:rsidR="002876EF" w:rsidRDefault="002876EF">
      <w:pPr>
        <w:pStyle w:val="TOC4"/>
        <w:rPr>
          <w:rFonts w:asciiTheme="minorHAnsi" w:hAnsiTheme="minorHAnsi" w:cstheme="minorBidi"/>
          <w:sz w:val="22"/>
          <w:szCs w:val="22"/>
        </w:rPr>
      </w:pPr>
      <w:r w:rsidRPr="00D72BF1">
        <w:rPr>
          <w:i/>
          <w:iCs/>
        </w:rPr>
        <w:t>Chamberlain Grp., Inc. v. Techtronic Indus. Co.,</w:t>
      </w:r>
      <w:r>
        <w:t xml:space="preserve"> 935 F.3d 1341 (Fed. Cir. August 21, 2019)</w:t>
      </w:r>
      <w:r>
        <w:tab/>
      </w:r>
      <w:r>
        <w:fldChar w:fldCharType="begin"/>
      </w:r>
      <w:r>
        <w:instrText xml:space="preserve"> PAGEREF _Toc26792738 \h </w:instrText>
      </w:r>
      <w:r>
        <w:fldChar w:fldCharType="separate"/>
      </w:r>
      <w:r>
        <w:t>6</w:t>
      </w:r>
      <w:r>
        <w:fldChar w:fldCharType="end"/>
      </w:r>
    </w:p>
    <w:p w14:paraId="5B8C8877" w14:textId="2080C4A2" w:rsidR="002876EF" w:rsidRDefault="002876EF">
      <w:pPr>
        <w:pStyle w:val="TOC2"/>
        <w:tabs>
          <w:tab w:val="right" w:leader="dot" w:pos="8630"/>
        </w:tabs>
        <w:rPr>
          <w:rFonts w:asciiTheme="minorHAnsi" w:hAnsiTheme="minorHAnsi"/>
          <w:b w:val="0"/>
          <w:bCs w:val="0"/>
          <w:noProof/>
          <w:sz w:val="22"/>
          <w:szCs w:val="22"/>
        </w:rPr>
      </w:pPr>
      <w:r>
        <w:rPr>
          <w:noProof/>
        </w:rPr>
        <w:t>Software and Business Method Cases</w:t>
      </w:r>
      <w:r>
        <w:rPr>
          <w:noProof/>
        </w:rPr>
        <w:tab/>
      </w:r>
      <w:r>
        <w:rPr>
          <w:noProof/>
        </w:rPr>
        <w:fldChar w:fldCharType="begin"/>
      </w:r>
      <w:r>
        <w:rPr>
          <w:noProof/>
        </w:rPr>
        <w:instrText xml:space="preserve"> PAGEREF _Toc26792739 \h </w:instrText>
      </w:r>
      <w:r>
        <w:rPr>
          <w:noProof/>
        </w:rPr>
      </w:r>
      <w:r>
        <w:rPr>
          <w:noProof/>
        </w:rPr>
        <w:fldChar w:fldCharType="separate"/>
      </w:r>
      <w:r>
        <w:rPr>
          <w:noProof/>
        </w:rPr>
        <w:t>7</w:t>
      </w:r>
      <w:r>
        <w:rPr>
          <w:noProof/>
        </w:rPr>
        <w:fldChar w:fldCharType="end"/>
      </w:r>
    </w:p>
    <w:p w14:paraId="395C363E" w14:textId="69A50F0C" w:rsidR="002876EF" w:rsidRDefault="002876EF">
      <w:pPr>
        <w:pStyle w:val="TOC3"/>
        <w:rPr>
          <w:rFonts w:asciiTheme="minorHAnsi" w:hAnsiTheme="minorHAnsi"/>
          <w:b w:val="0"/>
          <w:sz w:val="22"/>
          <w:szCs w:val="22"/>
        </w:rPr>
      </w:pPr>
      <w:r>
        <w:t>Unpatentable</w:t>
      </w:r>
      <w:r>
        <w:tab/>
      </w:r>
      <w:r>
        <w:fldChar w:fldCharType="begin"/>
      </w:r>
      <w:r>
        <w:instrText xml:space="preserve"> PAGEREF _Toc26792740 \h </w:instrText>
      </w:r>
      <w:r>
        <w:fldChar w:fldCharType="separate"/>
      </w:r>
      <w:r>
        <w:t>7</w:t>
      </w:r>
      <w:r>
        <w:fldChar w:fldCharType="end"/>
      </w:r>
    </w:p>
    <w:p w14:paraId="2199A96A" w14:textId="61AD770E" w:rsidR="002876EF" w:rsidRDefault="002876EF">
      <w:pPr>
        <w:pStyle w:val="TOC4"/>
        <w:rPr>
          <w:rFonts w:asciiTheme="minorHAnsi" w:hAnsiTheme="minorHAnsi" w:cstheme="minorBidi"/>
          <w:sz w:val="22"/>
          <w:szCs w:val="22"/>
        </w:rPr>
      </w:pPr>
      <w:r w:rsidRPr="00D72BF1">
        <w:rPr>
          <w:i/>
        </w:rPr>
        <w:t>Solutran, Inc. v. Evalon, Inc.</w:t>
      </w:r>
      <w:r>
        <w:t>, 931 F.3d 1161 (Fed. Cir. July 30, 2019).</w:t>
      </w:r>
      <w:r>
        <w:tab/>
      </w:r>
      <w:r>
        <w:fldChar w:fldCharType="begin"/>
      </w:r>
      <w:r>
        <w:instrText xml:space="preserve"> PAGEREF _Toc26792741 \h </w:instrText>
      </w:r>
      <w:r>
        <w:fldChar w:fldCharType="separate"/>
      </w:r>
      <w:r>
        <w:t>7</w:t>
      </w:r>
      <w:r>
        <w:fldChar w:fldCharType="end"/>
      </w:r>
    </w:p>
    <w:p w14:paraId="1F050686" w14:textId="26FC31FC" w:rsidR="002876EF" w:rsidRDefault="002876EF">
      <w:pPr>
        <w:pStyle w:val="TOC4"/>
        <w:rPr>
          <w:rFonts w:asciiTheme="minorHAnsi" w:hAnsiTheme="minorHAnsi" w:cstheme="minorBidi"/>
          <w:sz w:val="22"/>
          <w:szCs w:val="22"/>
        </w:rPr>
      </w:pPr>
      <w:r w:rsidRPr="00D72BF1">
        <w:rPr>
          <w:i/>
        </w:rPr>
        <w:t xml:space="preserve">Trading Techs. </w:t>
      </w:r>
      <w:r w:rsidRPr="00D72BF1">
        <w:rPr>
          <w:i/>
          <w:lang w:val="es-ES"/>
        </w:rPr>
        <w:t>Int’l, Inc. v. IBG LLC</w:t>
      </w:r>
      <w:r w:rsidRPr="00D72BF1">
        <w:rPr>
          <w:lang w:val="es-ES"/>
        </w:rPr>
        <w:t xml:space="preserve">, Nos. 2017-2257, 2017-2621, 2018-1063 (Fed. Cir. </w:t>
      </w:r>
      <w:r>
        <w:t>Apr. 18, 2019).</w:t>
      </w:r>
      <w:r>
        <w:tab/>
      </w:r>
      <w:r>
        <w:fldChar w:fldCharType="begin"/>
      </w:r>
      <w:r>
        <w:instrText xml:space="preserve"> PAGEREF _Toc26792742 \h </w:instrText>
      </w:r>
      <w:r>
        <w:fldChar w:fldCharType="separate"/>
      </w:r>
      <w:r>
        <w:t>8</w:t>
      </w:r>
      <w:r>
        <w:fldChar w:fldCharType="end"/>
      </w:r>
    </w:p>
    <w:p w14:paraId="1ED8134E" w14:textId="6E2AC79E" w:rsidR="002876EF" w:rsidRDefault="002876EF">
      <w:pPr>
        <w:pStyle w:val="TOC4"/>
        <w:rPr>
          <w:rFonts w:asciiTheme="minorHAnsi" w:hAnsiTheme="minorHAnsi" w:cstheme="minorBidi"/>
          <w:sz w:val="22"/>
          <w:szCs w:val="22"/>
        </w:rPr>
      </w:pPr>
      <w:r w:rsidRPr="00D72BF1">
        <w:rPr>
          <w:i/>
        </w:rPr>
        <w:t>ChargePoint, Inc. v. SemaConnect, Inc.</w:t>
      </w:r>
      <w:r>
        <w:t>, 920 F.3d 759 (Fed. Cir. Mar. 28, 2019)</w:t>
      </w:r>
      <w:r>
        <w:tab/>
      </w:r>
      <w:r>
        <w:fldChar w:fldCharType="begin"/>
      </w:r>
      <w:r>
        <w:instrText xml:space="preserve"> PAGEREF _Toc26792743 \h </w:instrText>
      </w:r>
      <w:r>
        <w:fldChar w:fldCharType="separate"/>
      </w:r>
      <w:r>
        <w:t>9</w:t>
      </w:r>
      <w:r>
        <w:fldChar w:fldCharType="end"/>
      </w:r>
    </w:p>
    <w:p w14:paraId="62695BE5" w14:textId="7C593EB6" w:rsidR="002876EF" w:rsidRDefault="002876EF">
      <w:pPr>
        <w:pStyle w:val="TOC4"/>
        <w:rPr>
          <w:rFonts w:asciiTheme="minorHAnsi" w:hAnsiTheme="minorHAnsi" w:cstheme="minorBidi"/>
          <w:sz w:val="22"/>
          <w:szCs w:val="22"/>
        </w:rPr>
      </w:pPr>
      <w:r w:rsidRPr="00D72BF1">
        <w:rPr>
          <w:i/>
        </w:rPr>
        <w:t>University of Florida Research Found. v. General Elec. Co.</w:t>
      </w:r>
      <w:r>
        <w:t>, 916 F.3d 1363 (Fed. Cir. Feb. 26, 2019).</w:t>
      </w:r>
      <w:r>
        <w:tab/>
      </w:r>
      <w:r>
        <w:fldChar w:fldCharType="begin"/>
      </w:r>
      <w:r>
        <w:instrText xml:space="preserve"> PAGEREF _Toc26792744 \h </w:instrText>
      </w:r>
      <w:r>
        <w:fldChar w:fldCharType="separate"/>
      </w:r>
      <w:r>
        <w:t>10</w:t>
      </w:r>
      <w:r>
        <w:fldChar w:fldCharType="end"/>
      </w:r>
    </w:p>
    <w:p w14:paraId="7EF741BF" w14:textId="3D58F362" w:rsidR="002876EF" w:rsidRDefault="002876EF">
      <w:pPr>
        <w:pStyle w:val="TOC3"/>
        <w:rPr>
          <w:rFonts w:asciiTheme="minorHAnsi" w:hAnsiTheme="minorHAnsi"/>
          <w:b w:val="0"/>
          <w:sz w:val="22"/>
          <w:szCs w:val="22"/>
        </w:rPr>
      </w:pPr>
      <w:r w:rsidRPr="00D72BF1">
        <w:rPr>
          <w:lang w:val="es-ES"/>
        </w:rPr>
        <w:t>Patentable</w:t>
      </w:r>
      <w:r>
        <w:tab/>
      </w:r>
      <w:r>
        <w:fldChar w:fldCharType="begin"/>
      </w:r>
      <w:r>
        <w:instrText xml:space="preserve"> PAGEREF _Toc26792745 \h </w:instrText>
      </w:r>
      <w:r>
        <w:fldChar w:fldCharType="separate"/>
      </w:r>
      <w:r>
        <w:t>11</w:t>
      </w:r>
      <w:r>
        <w:fldChar w:fldCharType="end"/>
      </w:r>
    </w:p>
    <w:p w14:paraId="6EA22941" w14:textId="5042CED1" w:rsidR="002876EF" w:rsidRDefault="002876EF">
      <w:pPr>
        <w:pStyle w:val="TOC4"/>
        <w:rPr>
          <w:rFonts w:asciiTheme="minorHAnsi" w:hAnsiTheme="minorHAnsi" w:cstheme="minorBidi"/>
          <w:sz w:val="22"/>
          <w:szCs w:val="22"/>
        </w:rPr>
      </w:pPr>
      <w:r w:rsidRPr="00D72BF1">
        <w:rPr>
          <w:i/>
          <w:iCs/>
          <w:lang w:val="es-ES"/>
        </w:rPr>
        <w:t>Koninklijke KPN N.V. v. Gemalto M2M GmbH</w:t>
      </w:r>
      <w:r w:rsidRPr="00D72BF1">
        <w:rPr>
          <w:lang w:val="es-ES"/>
        </w:rPr>
        <w:t>, 942 F.3d 1143 (Fed. Cir.  Nov. 15, 2019)</w:t>
      </w:r>
      <w:r>
        <w:tab/>
      </w:r>
      <w:r>
        <w:fldChar w:fldCharType="begin"/>
      </w:r>
      <w:r>
        <w:instrText xml:space="preserve"> PAGEREF _Toc26792746 \h </w:instrText>
      </w:r>
      <w:r>
        <w:fldChar w:fldCharType="separate"/>
      </w:r>
      <w:r>
        <w:t>11</w:t>
      </w:r>
      <w:r>
        <w:fldChar w:fldCharType="end"/>
      </w:r>
    </w:p>
    <w:p w14:paraId="5E159FF8" w14:textId="3BEA63CE" w:rsidR="002876EF" w:rsidRDefault="002876EF">
      <w:pPr>
        <w:pStyle w:val="TOC4"/>
        <w:rPr>
          <w:rFonts w:asciiTheme="minorHAnsi" w:hAnsiTheme="minorHAnsi" w:cstheme="minorBidi"/>
          <w:sz w:val="22"/>
          <w:szCs w:val="22"/>
        </w:rPr>
      </w:pPr>
      <w:r w:rsidRPr="00D72BF1">
        <w:rPr>
          <w:i/>
        </w:rPr>
        <w:t>SRI Int’l, Inc. v. Cisco Sys., Inc.</w:t>
      </w:r>
      <w:r>
        <w:t>, 930 F.3d 1295 (Fed. Cir. Mar. 20, 2019, modified July 12, 2019)</w:t>
      </w:r>
      <w:r>
        <w:tab/>
      </w:r>
      <w:r>
        <w:fldChar w:fldCharType="begin"/>
      </w:r>
      <w:r>
        <w:instrText xml:space="preserve"> PAGEREF _Toc26792747 \h </w:instrText>
      </w:r>
      <w:r>
        <w:fldChar w:fldCharType="separate"/>
      </w:r>
      <w:r>
        <w:t>12</w:t>
      </w:r>
      <w:r>
        <w:fldChar w:fldCharType="end"/>
      </w:r>
    </w:p>
    <w:p w14:paraId="7EA6C295" w14:textId="729967E4" w:rsidR="002876EF" w:rsidRDefault="002876EF">
      <w:pPr>
        <w:pStyle w:val="TOC4"/>
        <w:rPr>
          <w:rFonts w:asciiTheme="minorHAnsi" w:hAnsiTheme="minorHAnsi" w:cstheme="minorBidi"/>
          <w:sz w:val="22"/>
          <w:szCs w:val="22"/>
        </w:rPr>
      </w:pPr>
      <w:r w:rsidRPr="00D72BF1">
        <w:rPr>
          <w:i/>
        </w:rPr>
        <w:t>Cellspin Soft, Inc. v. Fitbit, Inc.</w:t>
      </w:r>
      <w:r>
        <w:t>, 927 F.3d 1306 (Fed. Cir. June 25, 2019).</w:t>
      </w:r>
      <w:r>
        <w:tab/>
      </w:r>
      <w:r>
        <w:fldChar w:fldCharType="begin"/>
      </w:r>
      <w:r>
        <w:instrText xml:space="preserve"> PAGEREF _Toc26792748 \h </w:instrText>
      </w:r>
      <w:r>
        <w:fldChar w:fldCharType="separate"/>
      </w:r>
      <w:r>
        <w:t>13</w:t>
      </w:r>
      <w:r>
        <w:fldChar w:fldCharType="end"/>
      </w:r>
    </w:p>
    <w:p w14:paraId="5E83D7FF" w14:textId="2C3B6DD0" w:rsidR="002876EF" w:rsidRDefault="002876EF">
      <w:pPr>
        <w:pStyle w:val="TOC4"/>
        <w:rPr>
          <w:rFonts w:asciiTheme="minorHAnsi" w:hAnsiTheme="minorHAnsi" w:cstheme="minorBidi"/>
          <w:sz w:val="22"/>
          <w:szCs w:val="22"/>
        </w:rPr>
      </w:pPr>
      <w:r w:rsidRPr="00D72BF1">
        <w:rPr>
          <w:i/>
          <w:iCs/>
        </w:rPr>
        <w:t>MyMail, Ltd. v. ooVoo, LLC</w:t>
      </w:r>
      <w:r>
        <w:t>, 934 F.3d 1373 (Fed. Cir. August 16, 2019)</w:t>
      </w:r>
      <w:r>
        <w:tab/>
      </w:r>
      <w:r>
        <w:fldChar w:fldCharType="begin"/>
      </w:r>
      <w:r>
        <w:instrText xml:space="preserve"> PAGEREF _Toc26792749 \h </w:instrText>
      </w:r>
      <w:r>
        <w:fldChar w:fldCharType="separate"/>
      </w:r>
      <w:r>
        <w:t>15</w:t>
      </w:r>
      <w:r>
        <w:fldChar w:fldCharType="end"/>
      </w:r>
    </w:p>
    <w:p w14:paraId="030233DF" w14:textId="3A2ACE1D" w:rsidR="002876EF" w:rsidRDefault="002876EF">
      <w:pPr>
        <w:pStyle w:val="TOC2"/>
        <w:tabs>
          <w:tab w:val="right" w:leader="dot" w:pos="8630"/>
        </w:tabs>
        <w:rPr>
          <w:rFonts w:asciiTheme="minorHAnsi" w:hAnsiTheme="minorHAnsi"/>
          <w:b w:val="0"/>
          <w:bCs w:val="0"/>
          <w:noProof/>
          <w:sz w:val="22"/>
          <w:szCs w:val="22"/>
        </w:rPr>
      </w:pPr>
      <w:r>
        <w:rPr>
          <w:noProof/>
        </w:rPr>
        <w:t>Life Sciences Claims</w:t>
      </w:r>
      <w:r>
        <w:rPr>
          <w:noProof/>
        </w:rPr>
        <w:tab/>
      </w:r>
      <w:r>
        <w:rPr>
          <w:noProof/>
        </w:rPr>
        <w:fldChar w:fldCharType="begin"/>
      </w:r>
      <w:r>
        <w:rPr>
          <w:noProof/>
        </w:rPr>
        <w:instrText xml:space="preserve"> PAGEREF _Toc26792750 \h </w:instrText>
      </w:r>
      <w:r>
        <w:rPr>
          <w:noProof/>
        </w:rPr>
      </w:r>
      <w:r>
        <w:rPr>
          <w:noProof/>
        </w:rPr>
        <w:fldChar w:fldCharType="separate"/>
      </w:r>
      <w:r>
        <w:rPr>
          <w:noProof/>
        </w:rPr>
        <w:t>16</w:t>
      </w:r>
      <w:r>
        <w:rPr>
          <w:noProof/>
        </w:rPr>
        <w:fldChar w:fldCharType="end"/>
      </w:r>
    </w:p>
    <w:p w14:paraId="068CAA83" w14:textId="4F12C168" w:rsidR="002876EF" w:rsidRDefault="002876EF">
      <w:pPr>
        <w:pStyle w:val="TOC3"/>
        <w:rPr>
          <w:rFonts w:asciiTheme="minorHAnsi" w:hAnsiTheme="minorHAnsi"/>
          <w:b w:val="0"/>
          <w:sz w:val="22"/>
          <w:szCs w:val="22"/>
        </w:rPr>
      </w:pPr>
      <w:r>
        <w:t>Unpatentable</w:t>
      </w:r>
      <w:r>
        <w:tab/>
      </w:r>
      <w:r>
        <w:fldChar w:fldCharType="begin"/>
      </w:r>
      <w:r>
        <w:instrText xml:space="preserve"> PAGEREF _Toc26792751 \h </w:instrText>
      </w:r>
      <w:r>
        <w:fldChar w:fldCharType="separate"/>
      </w:r>
      <w:r>
        <w:t>16</w:t>
      </w:r>
      <w:r>
        <w:fldChar w:fldCharType="end"/>
      </w:r>
    </w:p>
    <w:p w14:paraId="5D76156B" w14:textId="6EBD6B56" w:rsidR="002876EF" w:rsidRDefault="002876EF">
      <w:pPr>
        <w:pStyle w:val="TOC4"/>
        <w:rPr>
          <w:rFonts w:asciiTheme="minorHAnsi" w:hAnsiTheme="minorHAnsi" w:cstheme="minorBidi"/>
          <w:sz w:val="22"/>
          <w:szCs w:val="22"/>
        </w:rPr>
      </w:pPr>
      <w:r w:rsidRPr="00D72BF1">
        <w:rPr>
          <w:i/>
        </w:rPr>
        <w:t>Cleveland Clinic Found. v. True Health Diagnostics LLC</w:t>
      </w:r>
      <w:r>
        <w:t>, No. 2018-1218, 2019 WL 1452697 (Fed. Cir. Apr. 1, 2019)</w:t>
      </w:r>
      <w:r>
        <w:tab/>
      </w:r>
      <w:r>
        <w:fldChar w:fldCharType="begin"/>
      </w:r>
      <w:r>
        <w:instrText xml:space="preserve"> PAGEREF _Toc26792752 \h </w:instrText>
      </w:r>
      <w:r>
        <w:fldChar w:fldCharType="separate"/>
      </w:r>
      <w:r>
        <w:t>16</w:t>
      </w:r>
      <w:r>
        <w:fldChar w:fldCharType="end"/>
      </w:r>
    </w:p>
    <w:p w14:paraId="162092B0" w14:textId="06C8A287" w:rsidR="002876EF" w:rsidRDefault="002876EF">
      <w:pPr>
        <w:pStyle w:val="TOC4"/>
        <w:rPr>
          <w:rFonts w:asciiTheme="minorHAnsi" w:hAnsiTheme="minorHAnsi" w:cstheme="minorBidi"/>
          <w:sz w:val="22"/>
          <w:szCs w:val="22"/>
        </w:rPr>
      </w:pPr>
      <w:r w:rsidRPr="00D72BF1">
        <w:rPr>
          <w:i/>
        </w:rPr>
        <w:t>Athena Diagnostics, Inc. v. Mayo Collaborative Servs., LLC</w:t>
      </w:r>
      <w:r>
        <w:t xml:space="preserve">, 915 F.3d 743 (Fed. Cir. Feb. 6, 2019), </w:t>
      </w:r>
      <w:r w:rsidRPr="00D72BF1">
        <w:rPr>
          <w:i/>
        </w:rPr>
        <w:t>reh’g and reh’g en banc denied</w:t>
      </w:r>
      <w:r>
        <w:t>, 927 F.3d 1333 (Fed. Cir. July 3, 2019).</w:t>
      </w:r>
      <w:r>
        <w:tab/>
      </w:r>
      <w:r>
        <w:fldChar w:fldCharType="begin"/>
      </w:r>
      <w:r>
        <w:instrText xml:space="preserve"> PAGEREF _Toc26792753 \h </w:instrText>
      </w:r>
      <w:r>
        <w:fldChar w:fldCharType="separate"/>
      </w:r>
      <w:r>
        <w:t>17</w:t>
      </w:r>
      <w:r>
        <w:fldChar w:fldCharType="end"/>
      </w:r>
    </w:p>
    <w:p w14:paraId="7AA838E9" w14:textId="0CB9217B" w:rsidR="002876EF" w:rsidRDefault="002876EF">
      <w:pPr>
        <w:pStyle w:val="TOC3"/>
        <w:rPr>
          <w:rFonts w:asciiTheme="minorHAnsi" w:hAnsiTheme="minorHAnsi"/>
          <w:b w:val="0"/>
          <w:sz w:val="22"/>
          <w:szCs w:val="22"/>
        </w:rPr>
      </w:pPr>
      <w:r>
        <w:t>Patentable</w:t>
      </w:r>
      <w:r>
        <w:tab/>
      </w:r>
      <w:r>
        <w:fldChar w:fldCharType="begin"/>
      </w:r>
      <w:r>
        <w:instrText xml:space="preserve"> PAGEREF _Toc26792754 \h </w:instrText>
      </w:r>
      <w:r>
        <w:fldChar w:fldCharType="separate"/>
      </w:r>
      <w:r>
        <w:t>24</w:t>
      </w:r>
      <w:r>
        <w:fldChar w:fldCharType="end"/>
      </w:r>
    </w:p>
    <w:p w14:paraId="229C2DB8" w14:textId="642C23DF" w:rsidR="002876EF" w:rsidRDefault="002876EF">
      <w:pPr>
        <w:pStyle w:val="TOC4"/>
        <w:rPr>
          <w:rFonts w:asciiTheme="minorHAnsi" w:hAnsiTheme="minorHAnsi" w:cstheme="minorBidi"/>
          <w:sz w:val="22"/>
          <w:szCs w:val="22"/>
        </w:rPr>
      </w:pPr>
      <w:r w:rsidRPr="00D72BF1">
        <w:rPr>
          <w:i/>
        </w:rPr>
        <w:t>Natural Alternatives Int’l, Inc. v. Creative Compounds, LLC</w:t>
      </w:r>
      <w:r>
        <w:t>, 918 F.3d 1338 (Fed. Cir. Mar. 15, 2019)</w:t>
      </w:r>
      <w:r>
        <w:tab/>
      </w:r>
      <w:r>
        <w:fldChar w:fldCharType="begin"/>
      </w:r>
      <w:r>
        <w:instrText xml:space="preserve"> PAGEREF _Toc26792755 \h </w:instrText>
      </w:r>
      <w:r>
        <w:fldChar w:fldCharType="separate"/>
      </w:r>
      <w:r>
        <w:t>24</w:t>
      </w:r>
      <w:r>
        <w:fldChar w:fldCharType="end"/>
      </w:r>
    </w:p>
    <w:p w14:paraId="5C92B50C" w14:textId="2051F60E" w:rsidR="002876EF" w:rsidRDefault="002876EF">
      <w:pPr>
        <w:pStyle w:val="TOC4"/>
        <w:rPr>
          <w:rFonts w:asciiTheme="minorHAnsi" w:hAnsiTheme="minorHAnsi" w:cstheme="minorBidi"/>
          <w:sz w:val="22"/>
          <w:szCs w:val="22"/>
        </w:rPr>
      </w:pPr>
      <w:r w:rsidRPr="00D72BF1">
        <w:rPr>
          <w:i/>
        </w:rPr>
        <w:t xml:space="preserve">Endo Pharms. Inc. v. Teva Pharms. </w:t>
      </w:r>
      <w:r w:rsidRPr="00D72BF1">
        <w:rPr>
          <w:i/>
          <w:lang w:val="es-ES"/>
        </w:rPr>
        <w:t>USA, Inc.</w:t>
      </w:r>
      <w:r w:rsidRPr="00D72BF1">
        <w:rPr>
          <w:lang w:val="es-ES"/>
        </w:rPr>
        <w:t>, 919 F.3d 1347 (Fed. Cir. Mar. 28, 2019)</w:t>
      </w:r>
      <w:r>
        <w:tab/>
      </w:r>
      <w:r>
        <w:fldChar w:fldCharType="begin"/>
      </w:r>
      <w:r>
        <w:instrText xml:space="preserve"> PAGEREF _Toc26792756 \h </w:instrText>
      </w:r>
      <w:r>
        <w:fldChar w:fldCharType="separate"/>
      </w:r>
      <w:r>
        <w:t>26</w:t>
      </w:r>
      <w:r>
        <w:fldChar w:fldCharType="end"/>
      </w:r>
    </w:p>
    <w:p w14:paraId="033878F6" w14:textId="07458FFD" w:rsidR="002876EF" w:rsidRDefault="002876EF">
      <w:pPr>
        <w:pStyle w:val="TOC2"/>
        <w:tabs>
          <w:tab w:val="right" w:leader="dot" w:pos="8630"/>
        </w:tabs>
        <w:rPr>
          <w:rFonts w:asciiTheme="minorHAnsi" w:hAnsiTheme="minorHAnsi"/>
          <w:b w:val="0"/>
          <w:bCs w:val="0"/>
          <w:noProof/>
          <w:sz w:val="22"/>
          <w:szCs w:val="22"/>
        </w:rPr>
      </w:pPr>
      <w:r>
        <w:rPr>
          <w:noProof/>
        </w:rPr>
        <w:lastRenderedPageBreak/>
        <w:t>Printed Matter</w:t>
      </w:r>
      <w:r>
        <w:rPr>
          <w:noProof/>
        </w:rPr>
        <w:tab/>
      </w:r>
      <w:r>
        <w:rPr>
          <w:noProof/>
        </w:rPr>
        <w:fldChar w:fldCharType="begin"/>
      </w:r>
      <w:r>
        <w:rPr>
          <w:noProof/>
        </w:rPr>
        <w:instrText xml:space="preserve"> PAGEREF _Toc26792757 \h </w:instrText>
      </w:r>
      <w:r>
        <w:rPr>
          <w:noProof/>
        </w:rPr>
      </w:r>
      <w:r>
        <w:rPr>
          <w:noProof/>
        </w:rPr>
        <w:fldChar w:fldCharType="separate"/>
      </w:r>
      <w:r>
        <w:rPr>
          <w:noProof/>
        </w:rPr>
        <w:t>27</w:t>
      </w:r>
      <w:r>
        <w:rPr>
          <w:noProof/>
        </w:rPr>
        <w:fldChar w:fldCharType="end"/>
      </w:r>
    </w:p>
    <w:p w14:paraId="2885228D" w14:textId="209F2CB5" w:rsidR="002876EF" w:rsidRDefault="002876EF">
      <w:pPr>
        <w:pStyle w:val="TOC4"/>
        <w:rPr>
          <w:rFonts w:asciiTheme="minorHAnsi" w:hAnsiTheme="minorHAnsi" w:cstheme="minorBidi"/>
          <w:sz w:val="22"/>
          <w:szCs w:val="22"/>
        </w:rPr>
      </w:pPr>
      <w:r w:rsidRPr="00D72BF1">
        <w:rPr>
          <w:i/>
        </w:rPr>
        <w:t>In re Guldenaar Holding B.V.</w:t>
      </w:r>
      <w:r>
        <w:t>, 911 F.3d 1157 (Fed. Cir. Dec. 28, 2018)</w:t>
      </w:r>
      <w:r>
        <w:tab/>
      </w:r>
      <w:r>
        <w:fldChar w:fldCharType="begin"/>
      </w:r>
      <w:r>
        <w:instrText xml:space="preserve"> PAGEREF _Toc26792758 \h </w:instrText>
      </w:r>
      <w:r>
        <w:fldChar w:fldCharType="separate"/>
      </w:r>
      <w:r>
        <w:t>27</w:t>
      </w:r>
      <w:r>
        <w:fldChar w:fldCharType="end"/>
      </w:r>
    </w:p>
    <w:p w14:paraId="168B4302" w14:textId="42F8E3B7" w:rsidR="002876EF" w:rsidRDefault="002876EF">
      <w:pPr>
        <w:pStyle w:val="TOC1"/>
        <w:rPr>
          <w:rFonts w:asciiTheme="minorHAnsi" w:hAnsiTheme="minorHAnsi" w:cstheme="minorBidi"/>
          <w:b w:val="0"/>
          <w:bCs w:val="0"/>
          <w:caps w:val="0"/>
          <w:spacing w:val="0"/>
          <w:sz w:val="22"/>
          <w:szCs w:val="22"/>
        </w:rPr>
      </w:pPr>
      <w:r w:rsidRPr="00D72BF1">
        <w:t>DISCLOSURE</w:t>
      </w:r>
      <w:r>
        <w:tab/>
      </w:r>
      <w:r>
        <w:fldChar w:fldCharType="begin"/>
      </w:r>
      <w:r>
        <w:instrText xml:space="preserve"> PAGEREF _Toc26792759 \h </w:instrText>
      </w:r>
      <w:r>
        <w:fldChar w:fldCharType="separate"/>
      </w:r>
      <w:r>
        <w:t>29</w:t>
      </w:r>
      <w:r>
        <w:fldChar w:fldCharType="end"/>
      </w:r>
    </w:p>
    <w:p w14:paraId="77966EA7" w14:textId="52EBDBB4" w:rsidR="002876EF" w:rsidRDefault="002876EF">
      <w:pPr>
        <w:pStyle w:val="TOC2"/>
        <w:tabs>
          <w:tab w:val="right" w:leader="dot" w:pos="8630"/>
        </w:tabs>
        <w:rPr>
          <w:rFonts w:asciiTheme="minorHAnsi" w:hAnsiTheme="minorHAnsi"/>
          <w:b w:val="0"/>
          <w:bCs w:val="0"/>
          <w:noProof/>
          <w:sz w:val="22"/>
          <w:szCs w:val="22"/>
        </w:rPr>
      </w:pPr>
      <w:r w:rsidRPr="00D72BF1">
        <w:rPr>
          <w:rFonts w:cs="Times New Roman"/>
          <w:noProof/>
        </w:rPr>
        <w:t>Definiteness</w:t>
      </w:r>
      <w:r>
        <w:rPr>
          <w:noProof/>
        </w:rPr>
        <w:tab/>
      </w:r>
      <w:r>
        <w:rPr>
          <w:noProof/>
        </w:rPr>
        <w:fldChar w:fldCharType="begin"/>
      </w:r>
      <w:r>
        <w:rPr>
          <w:noProof/>
        </w:rPr>
        <w:instrText xml:space="preserve"> PAGEREF _Toc26792760 \h </w:instrText>
      </w:r>
      <w:r>
        <w:rPr>
          <w:noProof/>
        </w:rPr>
      </w:r>
      <w:r>
        <w:rPr>
          <w:noProof/>
        </w:rPr>
        <w:fldChar w:fldCharType="separate"/>
      </w:r>
      <w:r>
        <w:rPr>
          <w:noProof/>
        </w:rPr>
        <w:t>29</w:t>
      </w:r>
      <w:r>
        <w:rPr>
          <w:noProof/>
        </w:rPr>
        <w:fldChar w:fldCharType="end"/>
      </w:r>
    </w:p>
    <w:p w14:paraId="611FEF15" w14:textId="1BA14C6E" w:rsidR="002876EF" w:rsidRDefault="002876EF">
      <w:pPr>
        <w:pStyle w:val="TOC4"/>
        <w:rPr>
          <w:rFonts w:asciiTheme="minorHAnsi" w:hAnsiTheme="minorHAnsi" w:cstheme="minorBidi"/>
          <w:sz w:val="22"/>
          <w:szCs w:val="22"/>
        </w:rPr>
      </w:pPr>
      <w:r w:rsidRPr="00D72BF1">
        <w:rPr>
          <w:i/>
          <w:iCs/>
        </w:rPr>
        <w:t>HZNP Medicines LLC v. Actavis Labs. UT, Inc.</w:t>
      </w:r>
      <w:r>
        <w:t>, No. 2017-2149, 2019 WL 5076226 (Fed. Cir. Oct. 10, 2019)</w:t>
      </w:r>
      <w:r>
        <w:tab/>
      </w:r>
      <w:r>
        <w:fldChar w:fldCharType="begin"/>
      </w:r>
      <w:r>
        <w:instrText xml:space="preserve"> PAGEREF _Toc26792761 \h </w:instrText>
      </w:r>
      <w:r>
        <w:fldChar w:fldCharType="separate"/>
      </w:r>
      <w:r>
        <w:t>29</w:t>
      </w:r>
      <w:r>
        <w:fldChar w:fldCharType="end"/>
      </w:r>
    </w:p>
    <w:p w14:paraId="2123E08F" w14:textId="24E29BDD" w:rsidR="002876EF" w:rsidRDefault="002876EF">
      <w:pPr>
        <w:pStyle w:val="TOC2"/>
        <w:tabs>
          <w:tab w:val="right" w:leader="dot" w:pos="8630"/>
        </w:tabs>
        <w:rPr>
          <w:rFonts w:asciiTheme="minorHAnsi" w:hAnsiTheme="minorHAnsi"/>
          <w:b w:val="0"/>
          <w:bCs w:val="0"/>
          <w:noProof/>
          <w:sz w:val="22"/>
          <w:szCs w:val="22"/>
        </w:rPr>
      </w:pPr>
      <w:r w:rsidRPr="00D72BF1">
        <w:rPr>
          <w:rFonts w:cs="Times New Roman"/>
          <w:noProof/>
        </w:rPr>
        <w:t>Enablement and Written Description</w:t>
      </w:r>
      <w:r>
        <w:rPr>
          <w:noProof/>
        </w:rPr>
        <w:tab/>
      </w:r>
      <w:r>
        <w:rPr>
          <w:noProof/>
        </w:rPr>
        <w:fldChar w:fldCharType="begin"/>
      </w:r>
      <w:r>
        <w:rPr>
          <w:noProof/>
        </w:rPr>
        <w:instrText xml:space="preserve"> PAGEREF _Toc26792762 \h </w:instrText>
      </w:r>
      <w:r>
        <w:rPr>
          <w:noProof/>
        </w:rPr>
      </w:r>
      <w:r>
        <w:rPr>
          <w:noProof/>
        </w:rPr>
        <w:fldChar w:fldCharType="separate"/>
      </w:r>
      <w:r>
        <w:rPr>
          <w:noProof/>
        </w:rPr>
        <w:t>30</w:t>
      </w:r>
      <w:r>
        <w:rPr>
          <w:noProof/>
        </w:rPr>
        <w:fldChar w:fldCharType="end"/>
      </w:r>
    </w:p>
    <w:p w14:paraId="786A7EF3" w14:textId="0D31542F" w:rsidR="002876EF" w:rsidRDefault="002876EF">
      <w:pPr>
        <w:pStyle w:val="TOC4"/>
        <w:rPr>
          <w:rFonts w:asciiTheme="minorHAnsi" w:hAnsiTheme="minorHAnsi" w:cstheme="minorBidi"/>
          <w:sz w:val="22"/>
          <w:szCs w:val="22"/>
        </w:rPr>
      </w:pPr>
      <w:r w:rsidRPr="00D72BF1">
        <w:rPr>
          <w:i/>
        </w:rPr>
        <w:t>Idenix Pharm. LLC v. Gilead Scis. Inc.</w:t>
      </w:r>
      <w:r w:rsidRPr="00D72BF1">
        <w:rPr>
          <w:iCs/>
        </w:rPr>
        <w:t>, 941 F.3d 1149 (Fed. Cir. Oct. 30, 2019)</w:t>
      </w:r>
      <w:r>
        <w:tab/>
      </w:r>
      <w:r>
        <w:fldChar w:fldCharType="begin"/>
      </w:r>
      <w:r>
        <w:instrText xml:space="preserve"> PAGEREF _Toc26792763 \h </w:instrText>
      </w:r>
      <w:r>
        <w:fldChar w:fldCharType="separate"/>
      </w:r>
      <w:r>
        <w:t>30</w:t>
      </w:r>
      <w:r>
        <w:fldChar w:fldCharType="end"/>
      </w:r>
    </w:p>
    <w:p w14:paraId="2895288A" w14:textId="5943E577" w:rsidR="002876EF" w:rsidRDefault="002876EF">
      <w:pPr>
        <w:pStyle w:val="TOC4"/>
        <w:rPr>
          <w:rFonts w:asciiTheme="minorHAnsi" w:hAnsiTheme="minorHAnsi" w:cstheme="minorBidi"/>
          <w:sz w:val="22"/>
          <w:szCs w:val="22"/>
        </w:rPr>
      </w:pPr>
      <w:r w:rsidRPr="00D72BF1">
        <w:rPr>
          <w:i/>
        </w:rPr>
        <w:t>Enzo Life Scis., Inc. v. Roche Molecular Sys.</w:t>
      </w:r>
      <w:r>
        <w:t>, 928 F.3d 1340 (Fed. Cir. July 5, 2019)</w:t>
      </w:r>
      <w:r>
        <w:tab/>
      </w:r>
      <w:r>
        <w:fldChar w:fldCharType="begin"/>
      </w:r>
      <w:r>
        <w:instrText xml:space="preserve"> PAGEREF _Toc26792764 \h </w:instrText>
      </w:r>
      <w:r>
        <w:fldChar w:fldCharType="separate"/>
      </w:r>
      <w:r>
        <w:t>31</w:t>
      </w:r>
      <w:r>
        <w:fldChar w:fldCharType="end"/>
      </w:r>
    </w:p>
    <w:p w14:paraId="7D40FE23" w14:textId="3D2E3269" w:rsidR="002876EF" w:rsidRDefault="002876EF">
      <w:pPr>
        <w:pStyle w:val="TOC4"/>
        <w:rPr>
          <w:rFonts w:asciiTheme="minorHAnsi" w:hAnsiTheme="minorHAnsi" w:cstheme="minorBidi"/>
          <w:sz w:val="22"/>
          <w:szCs w:val="22"/>
        </w:rPr>
      </w:pPr>
      <w:r w:rsidRPr="00D72BF1">
        <w:rPr>
          <w:i/>
        </w:rPr>
        <w:t>Nuvo Pharms. (Ireland) Designated Activity Co.  v. Dr. Reddy’s Labs. Inc.</w:t>
      </w:r>
      <w:r>
        <w:t>, 923 F.3d 1368 (Fed. Cir. May 15, 2019)</w:t>
      </w:r>
      <w:r>
        <w:tab/>
      </w:r>
      <w:r>
        <w:fldChar w:fldCharType="begin"/>
      </w:r>
      <w:r>
        <w:instrText xml:space="preserve"> PAGEREF _Toc26792765 \h </w:instrText>
      </w:r>
      <w:r>
        <w:fldChar w:fldCharType="separate"/>
      </w:r>
      <w:r>
        <w:t>32</w:t>
      </w:r>
      <w:r>
        <w:fldChar w:fldCharType="end"/>
      </w:r>
    </w:p>
    <w:p w14:paraId="416273E9" w14:textId="19E823B8" w:rsidR="002876EF" w:rsidRDefault="002876EF">
      <w:pPr>
        <w:pStyle w:val="TOC4"/>
        <w:rPr>
          <w:rFonts w:asciiTheme="minorHAnsi" w:hAnsiTheme="minorHAnsi" w:cstheme="minorBidi"/>
          <w:sz w:val="22"/>
          <w:szCs w:val="22"/>
        </w:rPr>
      </w:pPr>
      <w:r w:rsidRPr="00D72BF1">
        <w:rPr>
          <w:i/>
        </w:rPr>
        <w:t>Centrak, Inc. v. Sonitor Techs.. Inc.</w:t>
      </w:r>
      <w:r>
        <w:t>, 915 F.3d 1360 (Fed. Cir. Feb. 14, 2019)</w:t>
      </w:r>
      <w:r>
        <w:tab/>
      </w:r>
      <w:r>
        <w:fldChar w:fldCharType="begin"/>
      </w:r>
      <w:r>
        <w:instrText xml:space="preserve"> PAGEREF _Toc26792766 \h </w:instrText>
      </w:r>
      <w:r>
        <w:fldChar w:fldCharType="separate"/>
      </w:r>
      <w:r>
        <w:t>33</w:t>
      </w:r>
      <w:r>
        <w:fldChar w:fldCharType="end"/>
      </w:r>
    </w:p>
    <w:p w14:paraId="79057A66" w14:textId="3939AD48" w:rsidR="002876EF" w:rsidRDefault="002876EF">
      <w:pPr>
        <w:pStyle w:val="TOC1"/>
        <w:rPr>
          <w:rFonts w:asciiTheme="minorHAnsi" w:hAnsiTheme="minorHAnsi" w:cstheme="minorBidi"/>
          <w:b w:val="0"/>
          <w:bCs w:val="0"/>
          <w:caps w:val="0"/>
          <w:spacing w:val="0"/>
          <w:sz w:val="22"/>
          <w:szCs w:val="22"/>
        </w:rPr>
      </w:pPr>
      <w:r w:rsidRPr="00D72BF1">
        <w:t>SECTION 102</w:t>
      </w:r>
      <w:r>
        <w:tab/>
      </w:r>
      <w:r>
        <w:fldChar w:fldCharType="begin"/>
      </w:r>
      <w:r>
        <w:instrText xml:space="preserve"> PAGEREF _Toc26792767 \h </w:instrText>
      </w:r>
      <w:r>
        <w:fldChar w:fldCharType="separate"/>
      </w:r>
      <w:r>
        <w:t>35</w:t>
      </w:r>
      <w:r>
        <w:fldChar w:fldCharType="end"/>
      </w:r>
    </w:p>
    <w:p w14:paraId="62358334" w14:textId="49873B26" w:rsidR="002876EF" w:rsidRDefault="002876EF">
      <w:pPr>
        <w:pStyle w:val="TOC2"/>
        <w:tabs>
          <w:tab w:val="right" w:leader="dot" w:pos="8630"/>
        </w:tabs>
        <w:rPr>
          <w:rFonts w:asciiTheme="minorHAnsi" w:hAnsiTheme="minorHAnsi"/>
          <w:b w:val="0"/>
          <w:bCs w:val="0"/>
          <w:noProof/>
          <w:sz w:val="22"/>
          <w:szCs w:val="22"/>
        </w:rPr>
      </w:pPr>
      <w:r w:rsidRPr="00D72BF1">
        <w:rPr>
          <w:rFonts w:cs="Times New Roman"/>
          <w:noProof/>
        </w:rPr>
        <w:t>On-Sale Bar</w:t>
      </w:r>
      <w:r>
        <w:rPr>
          <w:noProof/>
        </w:rPr>
        <w:tab/>
      </w:r>
      <w:r>
        <w:rPr>
          <w:noProof/>
        </w:rPr>
        <w:fldChar w:fldCharType="begin"/>
      </w:r>
      <w:r>
        <w:rPr>
          <w:noProof/>
        </w:rPr>
        <w:instrText xml:space="preserve"> PAGEREF _Toc26792768 \h </w:instrText>
      </w:r>
      <w:r>
        <w:rPr>
          <w:noProof/>
        </w:rPr>
      </w:r>
      <w:r>
        <w:rPr>
          <w:noProof/>
        </w:rPr>
        <w:fldChar w:fldCharType="separate"/>
      </w:r>
      <w:r>
        <w:rPr>
          <w:noProof/>
        </w:rPr>
        <w:t>35</w:t>
      </w:r>
      <w:r>
        <w:rPr>
          <w:noProof/>
        </w:rPr>
        <w:fldChar w:fldCharType="end"/>
      </w:r>
    </w:p>
    <w:p w14:paraId="39F74E50" w14:textId="50E5E71F" w:rsidR="002876EF" w:rsidRDefault="002876EF">
      <w:pPr>
        <w:pStyle w:val="TOC4"/>
        <w:rPr>
          <w:rFonts w:asciiTheme="minorHAnsi" w:hAnsiTheme="minorHAnsi" w:cstheme="minorBidi"/>
          <w:sz w:val="22"/>
          <w:szCs w:val="22"/>
        </w:rPr>
      </w:pPr>
      <w:r w:rsidRPr="00D72BF1">
        <w:rPr>
          <w:i/>
        </w:rPr>
        <w:t>Barry v. Medtronic, Inc.</w:t>
      </w:r>
      <w:r>
        <w:t>, 914 F.3d 1310 (Fed. Cir. Jan. 24, 2019)</w:t>
      </w:r>
      <w:r>
        <w:tab/>
      </w:r>
      <w:r>
        <w:fldChar w:fldCharType="begin"/>
      </w:r>
      <w:r>
        <w:instrText xml:space="preserve"> PAGEREF _Toc26792769 \h </w:instrText>
      </w:r>
      <w:r>
        <w:fldChar w:fldCharType="separate"/>
      </w:r>
      <w:r>
        <w:t>35</w:t>
      </w:r>
      <w:r>
        <w:fldChar w:fldCharType="end"/>
      </w:r>
    </w:p>
    <w:p w14:paraId="5F842688" w14:textId="4DA134C5" w:rsidR="002876EF" w:rsidRDefault="002876EF">
      <w:pPr>
        <w:pStyle w:val="TOC4"/>
        <w:rPr>
          <w:rFonts w:asciiTheme="minorHAnsi" w:hAnsiTheme="minorHAnsi" w:cstheme="minorBidi"/>
          <w:sz w:val="22"/>
          <w:szCs w:val="22"/>
        </w:rPr>
      </w:pPr>
      <w:r w:rsidRPr="00D72BF1">
        <w:rPr>
          <w:i/>
        </w:rPr>
        <w:t>Helsinn Healthcare S.A. v. Teva Pharms. USA, Inc.</w:t>
      </w:r>
      <w:r>
        <w:t>, 139 S.Ct. 628 (Jan. 22, 2019).</w:t>
      </w:r>
      <w:r>
        <w:tab/>
      </w:r>
      <w:r>
        <w:fldChar w:fldCharType="begin"/>
      </w:r>
      <w:r>
        <w:instrText xml:space="preserve"> PAGEREF _Toc26792770 \h </w:instrText>
      </w:r>
      <w:r>
        <w:fldChar w:fldCharType="separate"/>
      </w:r>
      <w:r>
        <w:t>37</w:t>
      </w:r>
      <w:r>
        <w:fldChar w:fldCharType="end"/>
      </w:r>
    </w:p>
    <w:p w14:paraId="6BC71695" w14:textId="6E2091D3" w:rsidR="002876EF" w:rsidRDefault="002876EF">
      <w:pPr>
        <w:pStyle w:val="TOC1"/>
        <w:rPr>
          <w:rFonts w:asciiTheme="minorHAnsi" w:hAnsiTheme="minorHAnsi" w:cstheme="minorBidi"/>
          <w:b w:val="0"/>
          <w:bCs w:val="0"/>
          <w:caps w:val="0"/>
          <w:spacing w:val="0"/>
          <w:sz w:val="22"/>
          <w:szCs w:val="22"/>
        </w:rPr>
      </w:pPr>
      <w:r w:rsidRPr="00D72BF1">
        <w:t>OBVIOUSNESS</w:t>
      </w:r>
      <w:r>
        <w:tab/>
      </w:r>
      <w:r>
        <w:fldChar w:fldCharType="begin"/>
      </w:r>
      <w:r>
        <w:instrText xml:space="preserve"> PAGEREF _Toc26792771 \h </w:instrText>
      </w:r>
      <w:r>
        <w:fldChar w:fldCharType="separate"/>
      </w:r>
      <w:r>
        <w:t>39</w:t>
      </w:r>
      <w:r>
        <w:fldChar w:fldCharType="end"/>
      </w:r>
    </w:p>
    <w:p w14:paraId="4FBA308A" w14:textId="04F41F33" w:rsidR="002876EF" w:rsidRDefault="002876EF">
      <w:pPr>
        <w:pStyle w:val="TOC4"/>
        <w:rPr>
          <w:rFonts w:asciiTheme="minorHAnsi" w:hAnsiTheme="minorHAnsi" w:cstheme="minorBidi"/>
          <w:sz w:val="22"/>
          <w:szCs w:val="22"/>
        </w:rPr>
      </w:pPr>
      <w:r w:rsidRPr="00D72BF1">
        <w:rPr>
          <w:i/>
          <w:iCs/>
        </w:rPr>
        <w:t>Airbus S.A.S. v. Firepass Corp.</w:t>
      </w:r>
      <w:r>
        <w:t>, 941 F.3d 1374 (Fed. Cir. Nov. 4, 2019)</w:t>
      </w:r>
      <w:r>
        <w:tab/>
      </w:r>
      <w:r>
        <w:fldChar w:fldCharType="begin"/>
      </w:r>
      <w:r>
        <w:instrText xml:space="preserve"> PAGEREF _Toc26792772 \h </w:instrText>
      </w:r>
      <w:r>
        <w:fldChar w:fldCharType="separate"/>
      </w:r>
      <w:r>
        <w:t>39</w:t>
      </w:r>
      <w:r>
        <w:fldChar w:fldCharType="end"/>
      </w:r>
    </w:p>
    <w:p w14:paraId="34E4F2E1" w14:textId="6C3D36A5" w:rsidR="002876EF" w:rsidRDefault="002876EF">
      <w:pPr>
        <w:pStyle w:val="TOC4"/>
        <w:rPr>
          <w:rFonts w:asciiTheme="minorHAnsi" w:hAnsiTheme="minorHAnsi" w:cstheme="minorBidi"/>
          <w:sz w:val="22"/>
          <w:szCs w:val="22"/>
        </w:rPr>
      </w:pPr>
      <w:r w:rsidRPr="00D72BF1">
        <w:rPr>
          <w:i/>
        </w:rPr>
        <w:t xml:space="preserve">OSI Pharm., LLC v. Apotex Inc., </w:t>
      </w:r>
      <w:r w:rsidRPr="00D72BF1">
        <w:rPr>
          <w:iCs/>
        </w:rPr>
        <w:t>939 F.3d 1375 (Fed. Cir. Oct. 4, 2019)</w:t>
      </w:r>
      <w:r>
        <w:tab/>
      </w:r>
      <w:r>
        <w:fldChar w:fldCharType="begin"/>
      </w:r>
      <w:r>
        <w:instrText xml:space="preserve"> PAGEREF _Toc26792773 \h </w:instrText>
      </w:r>
      <w:r>
        <w:fldChar w:fldCharType="separate"/>
      </w:r>
      <w:r>
        <w:t>40</w:t>
      </w:r>
      <w:r>
        <w:fldChar w:fldCharType="end"/>
      </w:r>
    </w:p>
    <w:p w14:paraId="4E4665EC" w14:textId="09132AAC" w:rsidR="002876EF" w:rsidRDefault="002876EF">
      <w:pPr>
        <w:pStyle w:val="TOC4"/>
        <w:rPr>
          <w:rFonts w:asciiTheme="minorHAnsi" w:hAnsiTheme="minorHAnsi" w:cstheme="minorBidi"/>
          <w:sz w:val="22"/>
          <w:szCs w:val="22"/>
        </w:rPr>
      </w:pPr>
      <w:r w:rsidRPr="00D72BF1">
        <w:rPr>
          <w:i/>
        </w:rPr>
        <w:t>Endo Pharms. Inc. v. Actavis LLC</w:t>
      </w:r>
      <w:r>
        <w:t>, 922 F.3d 1365 (Fed. Cir. May 3, 2019)</w:t>
      </w:r>
      <w:r>
        <w:tab/>
      </w:r>
      <w:r>
        <w:fldChar w:fldCharType="begin"/>
      </w:r>
      <w:r>
        <w:instrText xml:space="preserve"> PAGEREF _Toc26792774 \h </w:instrText>
      </w:r>
      <w:r>
        <w:fldChar w:fldCharType="separate"/>
      </w:r>
      <w:r>
        <w:t>41</w:t>
      </w:r>
      <w:r>
        <w:fldChar w:fldCharType="end"/>
      </w:r>
    </w:p>
    <w:p w14:paraId="7DC0F3CF" w14:textId="23DAC15E" w:rsidR="002876EF" w:rsidRDefault="002876EF">
      <w:pPr>
        <w:pStyle w:val="TOC4"/>
        <w:rPr>
          <w:rFonts w:asciiTheme="minorHAnsi" w:hAnsiTheme="minorHAnsi" w:cstheme="minorBidi"/>
          <w:sz w:val="22"/>
          <w:szCs w:val="22"/>
        </w:rPr>
      </w:pPr>
      <w:r w:rsidRPr="00D72BF1">
        <w:rPr>
          <w:i/>
        </w:rPr>
        <w:t xml:space="preserve">Grunenthal GMBH v. Alkem Labs. </w:t>
      </w:r>
      <w:r w:rsidRPr="00D72BF1">
        <w:rPr>
          <w:i/>
          <w:lang w:val="es-ES"/>
        </w:rPr>
        <w:t>Lmtd.</w:t>
      </w:r>
      <w:r w:rsidRPr="00D72BF1">
        <w:rPr>
          <w:lang w:val="es-ES"/>
        </w:rPr>
        <w:t>, 919 F.3d 1333 (Fed. Cir. Mar. 28, 2019)</w:t>
      </w:r>
      <w:r>
        <w:tab/>
      </w:r>
      <w:r>
        <w:fldChar w:fldCharType="begin"/>
      </w:r>
      <w:r>
        <w:instrText xml:space="preserve"> PAGEREF _Toc26792775 \h </w:instrText>
      </w:r>
      <w:r>
        <w:fldChar w:fldCharType="separate"/>
      </w:r>
      <w:r>
        <w:t>43</w:t>
      </w:r>
      <w:r>
        <w:fldChar w:fldCharType="end"/>
      </w:r>
    </w:p>
    <w:p w14:paraId="6E564DAC" w14:textId="7C93772B" w:rsidR="002876EF" w:rsidRDefault="002876EF">
      <w:pPr>
        <w:pStyle w:val="TOC4"/>
        <w:rPr>
          <w:rFonts w:asciiTheme="minorHAnsi" w:hAnsiTheme="minorHAnsi" w:cstheme="minorBidi"/>
          <w:sz w:val="22"/>
          <w:szCs w:val="22"/>
        </w:rPr>
      </w:pPr>
      <w:r>
        <w:t>Secondary Considerations</w:t>
      </w:r>
      <w:r>
        <w:tab/>
      </w:r>
      <w:r>
        <w:fldChar w:fldCharType="begin"/>
      </w:r>
      <w:r>
        <w:instrText xml:space="preserve"> PAGEREF _Toc26792776 \h </w:instrText>
      </w:r>
      <w:r>
        <w:fldChar w:fldCharType="separate"/>
      </w:r>
      <w:r>
        <w:t>44</w:t>
      </w:r>
      <w:r>
        <w:fldChar w:fldCharType="end"/>
      </w:r>
    </w:p>
    <w:p w14:paraId="7FEEBAE3" w14:textId="40ED59BB" w:rsidR="002876EF" w:rsidRDefault="002876EF">
      <w:pPr>
        <w:pStyle w:val="TOC4"/>
        <w:rPr>
          <w:rFonts w:asciiTheme="minorHAnsi" w:hAnsiTheme="minorHAnsi" w:cstheme="minorBidi"/>
          <w:sz w:val="22"/>
          <w:szCs w:val="22"/>
        </w:rPr>
      </w:pPr>
      <w:r w:rsidRPr="00D72BF1">
        <w:rPr>
          <w:i/>
        </w:rPr>
        <w:t>Forest Labs., LLC v. SigmaPharm Labs., LLC</w:t>
      </w:r>
      <w:r>
        <w:t>, 918 F.3d 928 (Fed. Cir. Mar. 14, 2019)</w:t>
      </w:r>
      <w:r>
        <w:tab/>
      </w:r>
      <w:r>
        <w:fldChar w:fldCharType="begin"/>
      </w:r>
      <w:r>
        <w:instrText xml:space="preserve"> PAGEREF _Toc26792777 \h </w:instrText>
      </w:r>
      <w:r>
        <w:fldChar w:fldCharType="separate"/>
      </w:r>
      <w:r>
        <w:t>44</w:t>
      </w:r>
      <w:r>
        <w:fldChar w:fldCharType="end"/>
      </w:r>
    </w:p>
    <w:p w14:paraId="04849CF7" w14:textId="62FBCADF" w:rsidR="002876EF" w:rsidRDefault="002876EF">
      <w:pPr>
        <w:pStyle w:val="TOC4"/>
        <w:rPr>
          <w:rFonts w:asciiTheme="minorHAnsi" w:hAnsiTheme="minorHAnsi" w:cstheme="minorBidi"/>
          <w:sz w:val="22"/>
          <w:szCs w:val="22"/>
        </w:rPr>
      </w:pPr>
      <w:r w:rsidRPr="00D72BF1">
        <w:rPr>
          <w:i/>
        </w:rPr>
        <w:t>Realtime Data, LLC v. Iancu</w:t>
      </w:r>
      <w:r>
        <w:t>, 912 F.3d 1368 (Fed. Cir. Jan. 10, 2019)</w:t>
      </w:r>
      <w:r>
        <w:tab/>
      </w:r>
      <w:r>
        <w:fldChar w:fldCharType="begin"/>
      </w:r>
      <w:r>
        <w:instrText xml:space="preserve"> PAGEREF _Toc26792778 \h </w:instrText>
      </w:r>
      <w:r>
        <w:fldChar w:fldCharType="separate"/>
      </w:r>
      <w:r>
        <w:t>46</w:t>
      </w:r>
      <w:r>
        <w:fldChar w:fldCharType="end"/>
      </w:r>
    </w:p>
    <w:p w14:paraId="6E866501" w14:textId="28B4BDBC" w:rsidR="002876EF" w:rsidRDefault="002876EF">
      <w:pPr>
        <w:pStyle w:val="TOC1"/>
        <w:rPr>
          <w:rFonts w:asciiTheme="minorHAnsi" w:hAnsiTheme="minorHAnsi" w:cstheme="minorBidi"/>
          <w:b w:val="0"/>
          <w:bCs w:val="0"/>
          <w:caps w:val="0"/>
          <w:spacing w:val="0"/>
          <w:sz w:val="22"/>
          <w:szCs w:val="22"/>
        </w:rPr>
      </w:pPr>
      <w:r w:rsidRPr="00D72BF1">
        <w:t>CLAIM CONSTRUCTION</w:t>
      </w:r>
      <w:r>
        <w:tab/>
      </w:r>
      <w:r>
        <w:fldChar w:fldCharType="begin"/>
      </w:r>
      <w:r>
        <w:instrText xml:space="preserve"> PAGEREF _Toc26792779 \h </w:instrText>
      </w:r>
      <w:r>
        <w:fldChar w:fldCharType="separate"/>
      </w:r>
      <w:r>
        <w:t>48</w:t>
      </w:r>
      <w:r>
        <w:fldChar w:fldCharType="end"/>
      </w:r>
    </w:p>
    <w:p w14:paraId="34DDB6D3" w14:textId="6D051D29" w:rsidR="002876EF" w:rsidRDefault="002876EF">
      <w:pPr>
        <w:pStyle w:val="TOC4"/>
        <w:rPr>
          <w:rFonts w:asciiTheme="minorHAnsi" w:hAnsiTheme="minorHAnsi" w:cstheme="minorBidi"/>
          <w:sz w:val="22"/>
          <w:szCs w:val="22"/>
        </w:rPr>
      </w:pPr>
      <w:r w:rsidRPr="00D72BF1">
        <w:rPr>
          <w:i/>
          <w:iCs/>
        </w:rPr>
        <w:t>MTD Prod. Inc. v. Iancu</w:t>
      </w:r>
      <w:r>
        <w:t>, 933 F.3d 1336 (Fed. Cir. August 12, 2019)</w:t>
      </w:r>
      <w:r>
        <w:tab/>
      </w:r>
      <w:r>
        <w:fldChar w:fldCharType="begin"/>
      </w:r>
      <w:r>
        <w:instrText xml:space="preserve"> PAGEREF _Toc26792780 \h </w:instrText>
      </w:r>
      <w:r>
        <w:fldChar w:fldCharType="separate"/>
      </w:r>
      <w:r>
        <w:t>48</w:t>
      </w:r>
      <w:r>
        <w:fldChar w:fldCharType="end"/>
      </w:r>
    </w:p>
    <w:p w14:paraId="38BB8003" w14:textId="79784452" w:rsidR="002876EF" w:rsidRDefault="002876EF">
      <w:pPr>
        <w:pStyle w:val="TOC4"/>
        <w:rPr>
          <w:rFonts w:asciiTheme="minorHAnsi" w:hAnsiTheme="minorHAnsi" w:cstheme="minorBidi"/>
          <w:sz w:val="22"/>
          <w:szCs w:val="22"/>
        </w:rPr>
      </w:pPr>
      <w:r w:rsidRPr="00D72BF1">
        <w:rPr>
          <w:i/>
        </w:rPr>
        <w:t xml:space="preserve">Ajinomoto Co. v. ITC, </w:t>
      </w:r>
      <w:r w:rsidRPr="00D72BF1">
        <w:rPr>
          <w:iCs/>
        </w:rPr>
        <w:t>932 F.3d 1342 (Fed. Cir. August 6, 2019)</w:t>
      </w:r>
      <w:r>
        <w:tab/>
      </w:r>
      <w:r>
        <w:fldChar w:fldCharType="begin"/>
      </w:r>
      <w:r>
        <w:instrText xml:space="preserve"> PAGEREF _Toc26792781 \h </w:instrText>
      </w:r>
      <w:r>
        <w:fldChar w:fldCharType="separate"/>
      </w:r>
      <w:r>
        <w:t>49</w:t>
      </w:r>
      <w:r>
        <w:fldChar w:fldCharType="end"/>
      </w:r>
    </w:p>
    <w:p w14:paraId="0C2AD83F" w14:textId="32224E36" w:rsidR="002876EF" w:rsidRDefault="002876EF">
      <w:pPr>
        <w:pStyle w:val="TOC4"/>
        <w:rPr>
          <w:rFonts w:asciiTheme="minorHAnsi" w:hAnsiTheme="minorHAnsi" w:cstheme="minorBidi"/>
          <w:sz w:val="22"/>
          <w:szCs w:val="22"/>
        </w:rPr>
      </w:pPr>
      <w:r w:rsidRPr="00D72BF1">
        <w:rPr>
          <w:i/>
        </w:rPr>
        <w:t>Sony Corp. v. Iancu</w:t>
      </w:r>
      <w:r>
        <w:t>, 924 F.3d 1235 (Fed. Cir. May 22, 2019)</w:t>
      </w:r>
      <w:r>
        <w:tab/>
      </w:r>
      <w:r>
        <w:fldChar w:fldCharType="begin"/>
      </w:r>
      <w:r>
        <w:instrText xml:space="preserve"> PAGEREF _Toc26792782 \h </w:instrText>
      </w:r>
      <w:r>
        <w:fldChar w:fldCharType="separate"/>
      </w:r>
      <w:r>
        <w:t>50</w:t>
      </w:r>
      <w:r>
        <w:fldChar w:fldCharType="end"/>
      </w:r>
    </w:p>
    <w:p w14:paraId="62B6A49A" w14:textId="5D494794" w:rsidR="002876EF" w:rsidRDefault="002876EF">
      <w:pPr>
        <w:pStyle w:val="TOC4"/>
        <w:rPr>
          <w:rFonts w:asciiTheme="minorHAnsi" w:hAnsiTheme="minorHAnsi" w:cstheme="minorBidi"/>
          <w:sz w:val="22"/>
          <w:szCs w:val="22"/>
        </w:rPr>
      </w:pPr>
      <w:r w:rsidRPr="00D72BF1">
        <w:rPr>
          <w:i/>
        </w:rPr>
        <w:t>BTG Int’l Ltd. v. Amneal Pharms. LLC</w:t>
      </w:r>
      <w:r>
        <w:t>, 923 F.3d 1063 (Fed. Cir. May 14, 2019)</w:t>
      </w:r>
      <w:r>
        <w:tab/>
      </w:r>
      <w:r>
        <w:fldChar w:fldCharType="begin"/>
      </w:r>
      <w:r>
        <w:instrText xml:space="preserve"> PAGEREF _Toc26792783 \h </w:instrText>
      </w:r>
      <w:r>
        <w:fldChar w:fldCharType="separate"/>
      </w:r>
      <w:r>
        <w:t>50</w:t>
      </w:r>
      <w:r>
        <w:fldChar w:fldCharType="end"/>
      </w:r>
    </w:p>
    <w:p w14:paraId="13D59F3C" w14:textId="0234A6A6" w:rsidR="002876EF" w:rsidRDefault="002876EF">
      <w:pPr>
        <w:pStyle w:val="TOC4"/>
        <w:rPr>
          <w:rFonts w:asciiTheme="minorHAnsi" w:hAnsiTheme="minorHAnsi" w:cstheme="minorBidi"/>
          <w:sz w:val="22"/>
          <w:szCs w:val="22"/>
        </w:rPr>
      </w:pPr>
      <w:r w:rsidRPr="00D72BF1">
        <w:rPr>
          <w:i/>
        </w:rPr>
        <w:t>Amgen Inc. v. Sandoz Inc</w:t>
      </w:r>
      <w:r>
        <w:t>, 923 F.3d 1023 (Fed. Cir. May 8, 2019)</w:t>
      </w:r>
      <w:r>
        <w:tab/>
      </w:r>
      <w:r>
        <w:fldChar w:fldCharType="begin"/>
      </w:r>
      <w:r>
        <w:instrText xml:space="preserve"> PAGEREF _Toc26792784 \h </w:instrText>
      </w:r>
      <w:r>
        <w:fldChar w:fldCharType="separate"/>
      </w:r>
      <w:r>
        <w:t>51</w:t>
      </w:r>
      <w:r>
        <w:fldChar w:fldCharType="end"/>
      </w:r>
    </w:p>
    <w:p w14:paraId="054A7ADF" w14:textId="2EEBDA10" w:rsidR="002876EF" w:rsidRDefault="002876EF">
      <w:pPr>
        <w:pStyle w:val="TOC4"/>
        <w:rPr>
          <w:rFonts w:asciiTheme="minorHAnsi" w:hAnsiTheme="minorHAnsi" w:cstheme="minorBidi"/>
          <w:sz w:val="22"/>
          <w:szCs w:val="22"/>
        </w:rPr>
      </w:pPr>
      <w:r w:rsidRPr="00D72BF1">
        <w:rPr>
          <w:i/>
        </w:rPr>
        <w:t>Du Pont v. Unifrax I LLC</w:t>
      </w:r>
      <w:r>
        <w:t>, No. 2017-2575, 2019 WL 1646491 (Fed. Cir. Apr. 17, 2019)</w:t>
      </w:r>
      <w:r>
        <w:tab/>
      </w:r>
      <w:r>
        <w:fldChar w:fldCharType="begin"/>
      </w:r>
      <w:r>
        <w:instrText xml:space="preserve"> PAGEREF _Toc26792785 \h </w:instrText>
      </w:r>
      <w:r>
        <w:fldChar w:fldCharType="separate"/>
      </w:r>
      <w:r>
        <w:t>52</w:t>
      </w:r>
      <w:r>
        <w:fldChar w:fldCharType="end"/>
      </w:r>
    </w:p>
    <w:p w14:paraId="155867B9" w14:textId="1F83EEC0" w:rsidR="002876EF" w:rsidRDefault="002876EF">
      <w:pPr>
        <w:pStyle w:val="TOC4"/>
        <w:rPr>
          <w:rFonts w:asciiTheme="minorHAnsi" w:hAnsiTheme="minorHAnsi" w:cstheme="minorBidi"/>
          <w:sz w:val="22"/>
          <w:szCs w:val="22"/>
        </w:rPr>
      </w:pPr>
      <w:r w:rsidRPr="00D72BF1">
        <w:rPr>
          <w:i/>
        </w:rPr>
        <w:t>Continental Circuits LLC v. Intel Corp.</w:t>
      </w:r>
      <w:r>
        <w:t>, 915 F.3d 788 (Fed. Cir. Feb. 8, 2019)</w:t>
      </w:r>
      <w:r>
        <w:tab/>
      </w:r>
      <w:r>
        <w:fldChar w:fldCharType="begin"/>
      </w:r>
      <w:r>
        <w:instrText xml:space="preserve"> PAGEREF _Toc26792786 \h </w:instrText>
      </w:r>
      <w:r>
        <w:fldChar w:fldCharType="separate"/>
      </w:r>
      <w:r>
        <w:t>54</w:t>
      </w:r>
      <w:r>
        <w:fldChar w:fldCharType="end"/>
      </w:r>
    </w:p>
    <w:p w14:paraId="7B8FEC36" w14:textId="530F5C1E" w:rsidR="002876EF" w:rsidRDefault="002876EF">
      <w:pPr>
        <w:pStyle w:val="TOC1"/>
        <w:rPr>
          <w:rFonts w:asciiTheme="minorHAnsi" w:hAnsiTheme="minorHAnsi" w:cstheme="minorBidi"/>
          <w:b w:val="0"/>
          <w:bCs w:val="0"/>
          <w:caps w:val="0"/>
          <w:spacing w:val="0"/>
          <w:sz w:val="22"/>
          <w:szCs w:val="22"/>
        </w:rPr>
      </w:pPr>
      <w:r w:rsidRPr="00D72BF1">
        <w:lastRenderedPageBreak/>
        <w:t>INFRINGEMENT</w:t>
      </w:r>
      <w:r>
        <w:tab/>
      </w:r>
      <w:r>
        <w:fldChar w:fldCharType="begin"/>
      </w:r>
      <w:r>
        <w:instrText xml:space="preserve"> PAGEREF _Toc26792787 \h </w:instrText>
      </w:r>
      <w:r>
        <w:fldChar w:fldCharType="separate"/>
      </w:r>
      <w:r>
        <w:t>56</w:t>
      </w:r>
      <w:r>
        <w:fldChar w:fldCharType="end"/>
      </w:r>
    </w:p>
    <w:p w14:paraId="5B65C2CF" w14:textId="0C6A3CC0" w:rsidR="002876EF" w:rsidRDefault="002876EF">
      <w:pPr>
        <w:pStyle w:val="TOC2"/>
        <w:tabs>
          <w:tab w:val="right" w:leader="dot" w:pos="8630"/>
        </w:tabs>
        <w:rPr>
          <w:rFonts w:asciiTheme="minorHAnsi" w:hAnsiTheme="minorHAnsi"/>
          <w:b w:val="0"/>
          <w:bCs w:val="0"/>
          <w:noProof/>
          <w:sz w:val="22"/>
          <w:szCs w:val="22"/>
        </w:rPr>
      </w:pPr>
      <w:r w:rsidRPr="00D72BF1">
        <w:rPr>
          <w:rFonts w:cs="Times New Roman"/>
          <w:noProof/>
        </w:rPr>
        <w:t>Joint Infringement</w:t>
      </w:r>
      <w:r>
        <w:rPr>
          <w:noProof/>
        </w:rPr>
        <w:tab/>
      </w:r>
      <w:r>
        <w:rPr>
          <w:noProof/>
        </w:rPr>
        <w:fldChar w:fldCharType="begin"/>
      </w:r>
      <w:r>
        <w:rPr>
          <w:noProof/>
        </w:rPr>
        <w:instrText xml:space="preserve"> PAGEREF _Toc26792788 \h </w:instrText>
      </w:r>
      <w:r>
        <w:rPr>
          <w:noProof/>
        </w:rPr>
      </w:r>
      <w:r>
        <w:rPr>
          <w:noProof/>
        </w:rPr>
        <w:fldChar w:fldCharType="separate"/>
      </w:r>
      <w:r>
        <w:rPr>
          <w:noProof/>
        </w:rPr>
        <w:t>56</w:t>
      </w:r>
      <w:r>
        <w:rPr>
          <w:noProof/>
        </w:rPr>
        <w:fldChar w:fldCharType="end"/>
      </w:r>
    </w:p>
    <w:p w14:paraId="69EF6E51" w14:textId="362674B8" w:rsidR="002876EF" w:rsidRDefault="002876EF">
      <w:pPr>
        <w:pStyle w:val="TOC4"/>
        <w:rPr>
          <w:rFonts w:asciiTheme="minorHAnsi" w:hAnsiTheme="minorHAnsi" w:cstheme="minorBidi"/>
          <w:sz w:val="22"/>
          <w:szCs w:val="22"/>
        </w:rPr>
      </w:pPr>
      <w:r w:rsidRPr="00D72BF1">
        <w:rPr>
          <w:i/>
        </w:rPr>
        <w:t>Omega Patents, LLC v. CalAmp Corp.</w:t>
      </w:r>
      <w:r>
        <w:t>, No. 2018-1309, 2019 WL 1510676 (Fed. Cir. Apr. 8, 2019)</w:t>
      </w:r>
      <w:r>
        <w:tab/>
      </w:r>
      <w:r>
        <w:fldChar w:fldCharType="begin"/>
      </w:r>
      <w:r>
        <w:instrText xml:space="preserve"> PAGEREF _Toc26792789 \h </w:instrText>
      </w:r>
      <w:r>
        <w:fldChar w:fldCharType="separate"/>
      </w:r>
      <w:r>
        <w:t>56</w:t>
      </w:r>
      <w:r>
        <w:fldChar w:fldCharType="end"/>
      </w:r>
    </w:p>
    <w:p w14:paraId="21680194" w14:textId="26A254DA" w:rsidR="002876EF" w:rsidRDefault="002876EF">
      <w:pPr>
        <w:pStyle w:val="TOC2"/>
        <w:tabs>
          <w:tab w:val="right" w:leader="dot" w:pos="8630"/>
        </w:tabs>
        <w:rPr>
          <w:rFonts w:asciiTheme="minorHAnsi" w:hAnsiTheme="minorHAnsi"/>
          <w:b w:val="0"/>
          <w:bCs w:val="0"/>
          <w:noProof/>
          <w:sz w:val="22"/>
          <w:szCs w:val="22"/>
        </w:rPr>
      </w:pPr>
      <w:r w:rsidRPr="00D72BF1">
        <w:rPr>
          <w:rFonts w:cs="Times New Roman"/>
          <w:noProof/>
        </w:rPr>
        <w:t>Doctrine of Equivalents</w:t>
      </w:r>
      <w:r>
        <w:rPr>
          <w:noProof/>
        </w:rPr>
        <w:tab/>
      </w:r>
      <w:r>
        <w:rPr>
          <w:noProof/>
        </w:rPr>
        <w:fldChar w:fldCharType="begin"/>
      </w:r>
      <w:r>
        <w:rPr>
          <w:noProof/>
        </w:rPr>
        <w:instrText xml:space="preserve"> PAGEREF _Toc26792790 \h </w:instrText>
      </w:r>
      <w:r>
        <w:rPr>
          <w:noProof/>
        </w:rPr>
      </w:r>
      <w:r>
        <w:rPr>
          <w:noProof/>
        </w:rPr>
        <w:fldChar w:fldCharType="separate"/>
      </w:r>
      <w:r>
        <w:rPr>
          <w:noProof/>
        </w:rPr>
        <w:t>57</w:t>
      </w:r>
      <w:r>
        <w:rPr>
          <w:noProof/>
        </w:rPr>
        <w:fldChar w:fldCharType="end"/>
      </w:r>
    </w:p>
    <w:p w14:paraId="2E1150AD" w14:textId="30B85DBD" w:rsidR="002876EF" w:rsidRDefault="002876EF">
      <w:pPr>
        <w:pStyle w:val="TOC4"/>
        <w:rPr>
          <w:rFonts w:asciiTheme="minorHAnsi" w:hAnsiTheme="minorHAnsi" w:cstheme="minorBidi"/>
          <w:sz w:val="22"/>
          <w:szCs w:val="22"/>
        </w:rPr>
      </w:pPr>
      <w:r w:rsidRPr="00D72BF1">
        <w:rPr>
          <w:i/>
        </w:rPr>
        <w:t>Eli Lilly &amp; Co. v. Hospira, Inc.</w:t>
      </w:r>
      <w:r>
        <w:t>, 2019 WL 3756065, at *1 (Fed. Cir. Aug. 9, 2019)</w:t>
      </w:r>
      <w:r>
        <w:tab/>
      </w:r>
      <w:r>
        <w:fldChar w:fldCharType="begin"/>
      </w:r>
      <w:r>
        <w:instrText xml:space="preserve"> PAGEREF _Toc26792791 \h </w:instrText>
      </w:r>
      <w:r>
        <w:fldChar w:fldCharType="separate"/>
      </w:r>
      <w:r>
        <w:t>57</w:t>
      </w:r>
      <w:r>
        <w:fldChar w:fldCharType="end"/>
      </w:r>
    </w:p>
    <w:p w14:paraId="6950C261" w14:textId="7A3F144B" w:rsidR="002876EF" w:rsidRDefault="002876EF">
      <w:pPr>
        <w:pStyle w:val="TOC4"/>
        <w:rPr>
          <w:rFonts w:asciiTheme="minorHAnsi" w:hAnsiTheme="minorHAnsi" w:cstheme="minorBidi"/>
          <w:sz w:val="22"/>
          <w:szCs w:val="22"/>
        </w:rPr>
      </w:pPr>
      <w:r w:rsidRPr="00D72BF1">
        <w:rPr>
          <w:i/>
        </w:rPr>
        <w:t>Amgen Inc. v. Coherus Biosciences Inc.</w:t>
      </w:r>
      <w:r>
        <w:t>, 931 F.3d 1154 (Fed. Cir. July 29, 2019)</w:t>
      </w:r>
      <w:r>
        <w:tab/>
      </w:r>
      <w:r>
        <w:fldChar w:fldCharType="begin"/>
      </w:r>
      <w:r>
        <w:instrText xml:space="preserve"> PAGEREF _Toc26792792 \h </w:instrText>
      </w:r>
      <w:r>
        <w:fldChar w:fldCharType="separate"/>
      </w:r>
      <w:r>
        <w:t>58</w:t>
      </w:r>
      <w:r>
        <w:fldChar w:fldCharType="end"/>
      </w:r>
    </w:p>
    <w:p w14:paraId="5A3DF2A8" w14:textId="14F377CD" w:rsidR="002876EF" w:rsidRDefault="002876EF">
      <w:pPr>
        <w:pStyle w:val="TOC1"/>
        <w:rPr>
          <w:rFonts w:asciiTheme="minorHAnsi" w:hAnsiTheme="minorHAnsi" w:cstheme="minorBidi"/>
          <w:b w:val="0"/>
          <w:bCs w:val="0"/>
          <w:caps w:val="0"/>
          <w:spacing w:val="0"/>
          <w:sz w:val="22"/>
          <w:szCs w:val="22"/>
        </w:rPr>
      </w:pPr>
      <w:r w:rsidRPr="00D72BF1">
        <w:t>DEFENSES</w:t>
      </w:r>
      <w:r>
        <w:tab/>
      </w:r>
      <w:r>
        <w:fldChar w:fldCharType="begin"/>
      </w:r>
      <w:r>
        <w:instrText xml:space="preserve"> PAGEREF _Toc26792793 \h </w:instrText>
      </w:r>
      <w:r>
        <w:fldChar w:fldCharType="separate"/>
      </w:r>
      <w:r>
        <w:t>60</w:t>
      </w:r>
      <w:r>
        <w:fldChar w:fldCharType="end"/>
      </w:r>
    </w:p>
    <w:p w14:paraId="1592F4B2" w14:textId="44429F22" w:rsidR="002876EF" w:rsidRDefault="002876EF">
      <w:pPr>
        <w:pStyle w:val="TOC2"/>
        <w:tabs>
          <w:tab w:val="right" w:leader="dot" w:pos="8630"/>
        </w:tabs>
        <w:rPr>
          <w:rFonts w:asciiTheme="minorHAnsi" w:hAnsiTheme="minorHAnsi"/>
          <w:b w:val="0"/>
          <w:bCs w:val="0"/>
          <w:noProof/>
          <w:sz w:val="22"/>
          <w:szCs w:val="22"/>
        </w:rPr>
      </w:pPr>
      <w:r w:rsidRPr="00D72BF1">
        <w:rPr>
          <w:rFonts w:cs="Times New Roman"/>
          <w:noProof/>
        </w:rPr>
        <w:t>Claim and Issue Preclusion</w:t>
      </w:r>
      <w:r>
        <w:rPr>
          <w:noProof/>
        </w:rPr>
        <w:tab/>
      </w:r>
      <w:r>
        <w:rPr>
          <w:noProof/>
        </w:rPr>
        <w:fldChar w:fldCharType="begin"/>
      </w:r>
      <w:r>
        <w:rPr>
          <w:noProof/>
        </w:rPr>
        <w:instrText xml:space="preserve"> PAGEREF _Toc26792794 \h </w:instrText>
      </w:r>
      <w:r>
        <w:rPr>
          <w:noProof/>
        </w:rPr>
      </w:r>
      <w:r>
        <w:rPr>
          <w:noProof/>
        </w:rPr>
        <w:fldChar w:fldCharType="separate"/>
      </w:r>
      <w:r>
        <w:rPr>
          <w:noProof/>
        </w:rPr>
        <w:t>60</w:t>
      </w:r>
      <w:r>
        <w:rPr>
          <w:noProof/>
        </w:rPr>
        <w:fldChar w:fldCharType="end"/>
      </w:r>
    </w:p>
    <w:p w14:paraId="41C20617" w14:textId="768EABE0" w:rsidR="002876EF" w:rsidRDefault="002876EF">
      <w:pPr>
        <w:pStyle w:val="TOC4"/>
        <w:rPr>
          <w:rFonts w:asciiTheme="minorHAnsi" w:hAnsiTheme="minorHAnsi" w:cstheme="minorBidi"/>
          <w:sz w:val="22"/>
          <w:szCs w:val="22"/>
        </w:rPr>
      </w:pPr>
      <w:r w:rsidRPr="00D72BF1">
        <w:rPr>
          <w:i/>
          <w:iCs/>
        </w:rPr>
        <w:t>CFL Techs. LLC v. Osram Sylvania, Inc.</w:t>
      </w:r>
      <w:r>
        <w:t>, No. 1:18-cv-01445-RGA, 2019 WL 2995815, at *1 (D. Del. July 9, 2019).</w:t>
      </w:r>
      <w:r>
        <w:tab/>
      </w:r>
      <w:r>
        <w:fldChar w:fldCharType="begin"/>
      </w:r>
      <w:r>
        <w:instrText xml:space="preserve"> PAGEREF _Toc26792795 \h </w:instrText>
      </w:r>
      <w:r>
        <w:fldChar w:fldCharType="separate"/>
      </w:r>
      <w:r>
        <w:t>60</w:t>
      </w:r>
      <w:r>
        <w:fldChar w:fldCharType="end"/>
      </w:r>
    </w:p>
    <w:p w14:paraId="4B706763" w14:textId="33D3806F" w:rsidR="002876EF" w:rsidRDefault="002876EF">
      <w:pPr>
        <w:pStyle w:val="TOC1"/>
        <w:rPr>
          <w:rFonts w:asciiTheme="minorHAnsi" w:hAnsiTheme="minorHAnsi" w:cstheme="minorBidi"/>
          <w:b w:val="0"/>
          <w:bCs w:val="0"/>
          <w:caps w:val="0"/>
          <w:spacing w:val="0"/>
          <w:sz w:val="22"/>
          <w:szCs w:val="22"/>
        </w:rPr>
      </w:pPr>
      <w:r w:rsidRPr="00D72BF1">
        <w:t>REMEDIES</w:t>
      </w:r>
      <w:r>
        <w:tab/>
      </w:r>
      <w:r>
        <w:fldChar w:fldCharType="begin"/>
      </w:r>
      <w:r>
        <w:instrText xml:space="preserve"> PAGEREF _Toc26792796 \h </w:instrText>
      </w:r>
      <w:r>
        <w:fldChar w:fldCharType="separate"/>
      </w:r>
      <w:r>
        <w:t>62</w:t>
      </w:r>
      <w:r>
        <w:fldChar w:fldCharType="end"/>
      </w:r>
    </w:p>
    <w:p w14:paraId="323B224C" w14:textId="020CA0E0" w:rsidR="002876EF" w:rsidRDefault="002876EF">
      <w:pPr>
        <w:pStyle w:val="TOC2"/>
        <w:tabs>
          <w:tab w:val="right" w:leader="dot" w:pos="8630"/>
        </w:tabs>
        <w:rPr>
          <w:rFonts w:asciiTheme="minorHAnsi" w:hAnsiTheme="minorHAnsi"/>
          <w:b w:val="0"/>
          <w:bCs w:val="0"/>
          <w:noProof/>
          <w:sz w:val="22"/>
          <w:szCs w:val="22"/>
        </w:rPr>
      </w:pPr>
      <w:r w:rsidRPr="00D72BF1">
        <w:rPr>
          <w:rFonts w:cs="Times New Roman"/>
          <w:noProof/>
        </w:rPr>
        <w:t>Damages</w:t>
      </w:r>
      <w:r>
        <w:rPr>
          <w:noProof/>
        </w:rPr>
        <w:tab/>
      </w:r>
      <w:r>
        <w:rPr>
          <w:noProof/>
        </w:rPr>
        <w:fldChar w:fldCharType="begin"/>
      </w:r>
      <w:r>
        <w:rPr>
          <w:noProof/>
        </w:rPr>
        <w:instrText xml:space="preserve"> PAGEREF _Toc26792797 \h </w:instrText>
      </w:r>
      <w:r>
        <w:rPr>
          <w:noProof/>
        </w:rPr>
      </w:r>
      <w:r>
        <w:rPr>
          <w:noProof/>
        </w:rPr>
        <w:fldChar w:fldCharType="separate"/>
      </w:r>
      <w:r>
        <w:rPr>
          <w:noProof/>
        </w:rPr>
        <w:t>62</w:t>
      </w:r>
      <w:r>
        <w:rPr>
          <w:noProof/>
        </w:rPr>
        <w:fldChar w:fldCharType="end"/>
      </w:r>
    </w:p>
    <w:p w14:paraId="219F9594" w14:textId="2C676926" w:rsidR="002876EF" w:rsidRDefault="002876EF">
      <w:pPr>
        <w:pStyle w:val="TOC4"/>
        <w:rPr>
          <w:rFonts w:asciiTheme="minorHAnsi" w:hAnsiTheme="minorHAnsi" w:cstheme="minorBidi"/>
          <w:sz w:val="22"/>
          <w:szCs w:val="22"/>
        </w:rPr>
      </w:pPr>
      <w:r w:rsidRPr="00D72BF1">
        <w:rPr>
          <w:i/>
        </w:rPr>
        <w:t>Omega Patents, LLC v. CalAmp Corp.</w:t>
      </w:r>
      <w:r>
        <w:t>, No. 2018-1309, 2019 WL 1510676 (Fed. Cir. Apr. 8, 2019)</w:t>
      </w:r>
      <w:r>
        <w:tab/>
      </w:r>
      <w:r>
        <w:fldChar w:fldCharType="begin"/>
      </w:r>
      <w:r>
        <w:instrText xml:space="preserve"> PAGEREF _Toc26792798 \h </w:instrText>
      </w:r>
      <w:r>
        <w:fldChar w:fldCharType="separate"/>
      </w:r>
      <w:r>
        <w:t>62</w:t>
      </w:r>
      <w:r>
        <w:fldChar w:fldCharType="end"/>
      </w:r>
    </w:p>
    <w:p w14:paraId="023A0BB0" w14:textId="3625E225" w:rsidR="002876EF" w:rsidRDefault="002876EF">
      <w:pPr>
        <w:pStyle w:val="TOC4"/>
        <w:rPr>
          <w:rFonts w:asciiTheme="minorHAnsi" w:hAnsiTheme="minorHAnsi" w:cstheme="minorBidi"/>
          <w:sz w:val="22"/>
          <w:szCs w:val="22"/>
        </w:rPr>
      </w:pPr>
      <w:r w:rsidRPr="00D72BF1">
        <w:rPr>
          <w:i/>
        </w:rPr>
        <w:t>WesternGeco LLC v. Ion Geophysical Corp.</w:t>
      </w:r>
      <w:r>
        <w:t>, 913 F.3d 1067 (Fed. Cir. Jan. 11, 2019)</w:t>
      </w:r>
      <w:r>
        <w:tab/>
      </w:r>
      <w:r>
        <w:fldChar w:fldCharType="begin"/>
      </w:r>
      <w:r>
        <w:instrText xml:space="preserve"> PAGEREF _Toc26792799 \h </w:instrText>
      </w:r>
      <w:r>
        <w:fldChar w:fldCharType="separate"/>
      </w:r>
      <w:r>
        <w:t>62</w:t>
      </w:r>
      <w:r>
        <w:fldChar w:fldCharType="end"/>
      </w:r>
    </w:p>
    <w:p w14:paraId="07DF05E7" w14:textId="1842C507" w:rsidR="002876EF" w:rsidRDefault="002876EF">
      <w:pPr>
        <w:pStyle w:val="TOC4"/>
        <w:rPr>
          <w:rFonts w:asciiTheme="minorHAnsi" w:hAnsiTheme="minorHAnsi" w:cstheme="minorBidi"/>
          <w:sz w:val="22"/>
          <w:szCs w:val="22"/>
        </w:rPr>
      </w:pPr>
      <w:r>
        <w:t>Attorneys Fees</w:t>
      </w:r>
      <w:r>
        <w:tab/>
      </w:r>
      <w:r>
        <w:fldChar w:fldCharType="begin"/>
      </w:r>
      <w:r>
        <w:instrText xml:space="preserve"> PAGEREF _Toc26792800 \h </w:instrText>
      </w:r>
      <w:r>
        <w:fldChar w:fldCharType="separate"/>
      </w:r>
      <w:r>
        <w:t>64</w:t>
      </w:r>
      <w:r>
        <w:fldChar w:fldCharType="end"/>
      </w:r>
    </w:p>
    <w:p w14:paraId="11F233C8" w14:textId="0D4FF0E3" w:rsidR="002876EF" w:rsidRDefault="002876EF">
      <w:pPr>
        <w:pStyle w:val="TOC4"/>
        <w:rPr>
          <w:rFonts w:asciiTheme="minorHAnsi" w:hAnsiTheme="minorHAnsi" w:cstheme="minorBidi"/>
          <w:sz w:val="22"/>
          <w:szCs w:val="22"/>
        </w:rPr>
      </w:pPr>
      <w:r w:rsidRPr="00D72BF1">
        <w:rPr>
          <w:i/>
        </w:rPr>
        <w:t>NantKwest, Inc. v. Iancu</w:t>
      </w:r>
      <w:r>
        <w:t>, 898 F.3d 1177 (Fed. Cir. July 27, 2018) (en banc)</w:t>
      </w:r>
      <w:r>
        <w:tab/>
      </w:r>
      <w:r>
        <w:fldChar w:fldCharType="begin"/>
      </w:r>
      <w:r>
        <w:instrText xml:space="preserve"> PAGEREF _Toc26792801 \h </w:instrText>
      </w:r>
      <w:r>
        <w:fldChar w:fldCharType="separate"/>
      </w:r>
      <w:r>
        <w:t>64</w:t>
      </w:r>
      <w:r>
        <w:fldChar w:fldCharType="end"/>
      </w:r>
    </w:p>
    <w:p w14:paraId="13B9475B" w14:textId="15A01F70" w:rsidR="002876EF" w:rsidRDefault="002876EF">
      <w:pPr>
        <w:pStyle w:val="TOC1"/>
        <w:rPr>
          <w:rFonts w:asciiTheme="minorHAnsi" w:hAnsiTheme="minorHAnsi" w:cstheme="minorBidi"/>
          <w:b w:val="0"/>
          <w:bCs w:val="0"/>
          <w:caps w:val="0"/>
          <w:spacing w:val="0"/>
          <w:sz w:val="22"/>
          <w:szCs w:val="22"/>
        </w:rPr>
      </w:pPr>
      <w:r w:rsidRPr="00D72BF1">
        <w:t>PRACTICE AND PROCEDURE</w:t>
      </w:r>
      <w:r>
        <w:tab/>
      </w:r>
      <w:r>
        <w:fldChar w:fldCharType="begin"/>
      </w:r>
      <w:r>
        <w:instrText xml:space="preserve"> PAGEREF _Toc26792802 \h </w:instrText>
      </w:r>
      <w:r>
        <w:fldChar w:fldCharType="separate"/>
      </w:r>
      <w:r>
        <w:t>66</w:t>
      </w:r>
      <w:r>
        <w:fldChar w:fldCharType="end"/>
      </w:r>
    </w:p>
    <w:p w14:paraId="45F33222" w14:textId="6AD8326C" w:rsidR="002876EF" w:rsidRDefault="002876EF">
      <w:pPr>
        <w:pStyle w:val="TOC2"/>
        <w:tabs>
          <w:tab w:val="right" w:leader="dot" w:pos="8630"/>
        </w:tabs>
        <w:rPr>
          <w:rFonts w:asciiTheme="minorHAnsi" w:hAnsiTheme="minorHAnsi"/>
          <w:b w:val="0"/>
          <w:bCs w:val="0"/>
          <w:noProof/>
          <w:sz w:val="22"/>
          <w:szCs w:val="22"/>
        </w:rPr>
      </w:pPr>
      <w:r w:rsidRPr="00D72BF1">
        <w:rPr>
          <w:rFonts w:cs="Times New Roman"/>
          <w:noProof/>
        </w:rPr>
        <w:t>Forum Selection / Governing Law Clauses in License Agreements</w:t>
      </w:r>
      <w:r>
        <w:rPr>
          <w:noProof/>
        </w:rPr>
        <w:tab/>
      </w:r>
      <w:r>
        <w:rPr>
          <w:noProof/>
        </w:rPr>
        <w:fldChar w:fldCharType="begin"/>
      </w:r>
      <w:r>
        <w:rPr>
          <w:noProof/>
        </w:rPr>
        <w:instrText xml:space="preserve"> PAGEREF _Toc26792803 \h </w:instrText>
      </w:r>
      <w:r>
        <w:rPr>
          <w:noProof/>
        </w:rPr>
      </w:r>
      <w:r>
        <w:rPr>
          <w:noProof/>
        </w:rPr>
        <w:fldChar w:fldCharType="separate"/>
      </w:r>
      <w:r>
        <w:rPr>
          <w:noProof/>
        </w:rPr>
        <w:t>66</w:t>
      </w:r>
      <w:r>
        <w:rPr>
          <w:noProof/>
        </w:rPr>
        <w:fldChar w:fldCharType="end"/>
      </w:r>
    </w:p>
    <w:p w14:paraId="1DD709CC" w14:textId="0611BA91" w:rsidR="002876EF" w:rsidRDefault="002876EF">
      <w:pPr>
        <w:pStyle w:val="TOC4"/>
        <w:rPr>
          <w:rFonts w:asciiTheme="minorHAnsi" w:hAnsiTheme="minorHAnsi" w:cstheme="minorBidi"/>
          <w:sz w:val="22"/>
          <w:szCs w:val="22"/>
        </w:rPr>
      </w:pPr>
      <w:r w:rsidRPr="00D72BF1">
        <w:rPr>
          <w:i/>
        </w:rPr>
        <w:t>Dodocase VR, Inc. v. MerchSource, LLC</w:t>
      </w:r>
      <w:r>
        <w:t>, No. 2018-1724, 2019 WL 1758481 (Fed. Cir. Apr. 18, 2019)</w:t>
      </w:r>
      <w:r>
        <w:tab/>
      </w:r>
      <w:r>
        <w:fldChar w:fldCharType="begin"/>
      </w:r>
      <w:r>
        <w:instrText xml:space="preserve"> PAGEREF _Toc26792804 \h </w:instrText>
      </w:r>
      <w:r>
        <w:fldChar w:fldCharType="separate"/>
      </w:r>
      <w:r>
        <w:t>66</w:t>
      </w:r>
      <w:r>
        <w:fldChar w:fldCharType="end"/>
      </w:r>
    </w:p>
    <w:p w14:paraId="5D9FA52F" w14:textId="5054CDC8" w:rsidR="002876EF" w:rsidRDefault="002876EF">
      <w:pPr>
        <w:pStyle w:val="TOC2"/>
        <w:tabs>
          <w:tab w:val="right" w:leader="dot" w:pos="8630"/>
        </w:tabs>
        <w:rPr>
          <w:rFonts w:asciiTheme="minorHAnsi" w:hAnsiTheme="minorHAnsi"/>
          <w:b w:val="0"/>
          <w:bCs w:val="0"/>
          <w:noProof/>
          <w:sz w:val="22"/>
          <w:szCs w:val="22"/>
        </w:rPr>
      </w:pPr>
      <w:r>
        <w:rPr>
          <w:noProof/>
        </w:rPr>
        <w:t>Venue</w:t>
      </w:r>
      <w:r>
        <w:rPr>
          <w:noProof/>
        </w:rPr>
        <w:tab/>
      </w:r>
      <w:r>
        <w:rPr>
          <w:noProof/>
        </w:rPr>
        <w:fldChar w:fldCharType="begin"/>
      </w:r>
      <w:r>
        <w:rPr>
          <w:noProof/>
        </w:rPr>
        <w:instrText xml:space="preserve"> PAGEREF _Toc26792805 \h </w:instrText>
      </w:r>
      <w:r>
        <w:rPr>
          <w:noProof/>
        </w:rPr>
      </w:r>
      <w:r>
        <w:rPr>
          <w:noProof/>
        </w:rPr>
        <w:fldChar w:fldCharType="separate"/>
      </w:r>
      <w:r>
        <w:rPr>
          <w:noProof/>
        </w:rPr>
        <w:t>67</w:t>
      </w:r>
      <w:r>
        <w:rPr>
          <w:noProof/>
        </w:rPr>
        <w:fldChar w:fldCharType="end"/>
      </w:r>
    </w:p>
    <w:p w14:paraId="5090E041" w14:textId="78A81563" w:rsidR="002876EF" w:rsidRDefault="002876EF">
      <w:pPr>
        <w:pStyle w:val="TOC4"/>
        <w:rPr>
          <w:rFonts w:asciiTheme="minorHAnsi" w:hAnsiTheme="minorHAnsi" w:cstheme="minorBidi"/>
          <w:sz w:val="22"/>
          <w:szCs w:val="22"/>
        </w:rPr>
      </w:pPr>
      <w:r w:rsidRPr="00D72BF1">
        <w:rPr>
          <w:i/>
        </w:rPr>
        <w:t>Westech Aerosol Corp. v. 3M Co.</w:t>
      </w:r>
      <w:r>
        <w:t>, 927 F.3d 1378 (Fed. Cir. July 5, 2019)</w:t>
      </w:r>
      <w:r>
        <w:tab/>
      </w:r>
      <w:r>
        <w:fldChar w:fldCharType="begin"/>
      </w:r>
      <w:r>
        <w:instrText xml:space="preserve"> PAGEREF _Toc26792806 \h </w:instrText>
      </w:r>
      <w:r>
        <w:fldChar w:fldCharType="separate"/>
      </w:r>
      <w:r>
        <w:t>67</w:t>
      </w:r>
      <w:r>
        <w:fldChar w:fldCharType="end"/>
      </w:r>
    </w:p>
    <w:p w14:paraId="60F7F1D5" w14:textId="57495172" w:rsidR="002876EF" w:rsidRDefault="002876EF">
      <w:pPr>
        <w:pStyle w:val="TOC4"/>
        <w:rPr>
          <w:rFonts w:asciiTheme="minorHAnsi" w:hAnsiTheme="minorHAnsi" w:cstheme="minorBidi"/>
          <w:sz w:val="22"/>
          <w:szCs w:val="22"/>
        </w:rPr>
      </w:pPr>
      <w:r w:rsidRPr="00D72BF1">
        <w:rPr>
          <w:i/>
        </w:rPr>
        <w:t>In re Google Inc.</w:t>
      </w:r>
      <w:r>
        <w:t xml:space="preserve">, No. 2018-152, 2018 WL 5536478 (Fed. Cir. Oct. 29, 2018), </w:t>
      </w:r>
      <w:r w:rsidRPr="00D72BF1">
        <w:rPr>
          <w:i/>
        </w:rPr>
        <w:t>reh’g denied</w:t>
      </w:r>
      <w:r>
        <w:t xml:space="preserve">, </w:t>
      </w:r>
      <w:r w:rsidRPr="00D72BF1">
        <w:rPr>
          <w:i/>
        </w:rPr>
        <w:t>In re Google Inc.</w:t>
      </w:r>
      <w:r>
        <w:t>, 914 F.3d 1377 (Fed. Cir. Feb. 5, 2019)</w:t>
      </w:r>
      <w:r>
        <w:tab/>
      </w:r>
      <w:r>
        <w:fldChar w:fldCharType="begin"/>
      </w:r>
      <w:r>
        <w:instrText xml:space="preserve"> PAGEREF _Toc26792807 \h </w:instrText>
      </w:r>
      <w:r>
        <w:fldChar w:fldCharType="separate"/>
      </w:r>
      <w:r>
        <w:t>67</w:t>
      </w:r>
      <w:r>
        <w:fldChar w:fldCharType="end"/>
      </w:r>
    </w:p>
    <w:p w14:paraId="23055884" w14:textId="17ED0491" w:rsidR="002876EF" w:rsidRDefault="002876EF">
      <w:pPr>
        <w:pStyle w:val="TOC2"/>
        <w:tabs>
          <w:tab w:val="right" w:leader="dot" w:pos="8630"/>
        </w:tabs>
        <w:rPr>
          <w:rFonts w:asciiTheme="minorHAnsi" w:hAnsiTheme="minorHAnsi"/>
          <w:b w:val="0"/>
          <w:bCs w:val="0"/>
          <w:noProof/>
          <w:sz w:val="22"/>
          <w:szCs w:val="22"/>
        </w:rPr>
      </w:pPr>
      <w:r w:rsidRPr="00D72BF1">
        <w:rPr>
          <w:rFonts w:cs="Times New Roman"/>
          <w:noProof/>
        </w:rPr>
        <w:t>Unreasonable Delay and Patent Term Adjustment</w:t>
      </w:r>
      <w:r>
        <w:rPr>
          <w:noProof/>
        </w:rPr>
        <w:tab/>
      </w:r>
      <w:r>
        <w:rPr>
          <w:noProof/>
        </w:rPr>
        <w:fldChar w:fldCharType="begin"/>
      </w:r>
      <w:r>
        <w:rPr>
          <w:noProof/>
        </w:rPr>
        <w:instrText xml:space="preserve"> PAGEREF _Toc26792808 \h </w:instrText>
      </w:r>
      <w:r>
        <w:rPr>
          <w:noProof/>
        </w:rPr>
      </w:r>
      <w:r>
        <w:rPr>
          <w:noProof/>
        </w:rPr>
        <w:fldChar w:fldCharType="separate"/>
      </w:r>
      <w:r>
        <w:rPr>
          <w:noProof/>
        </w:rPr>
        <w:t>70</w:t>
      </w:r>
      <w:r>
        <w:rPr>
          <w:noProof/>
        </w:rPr>
        <w:fldChar w:fldCharType="end"/>
      </w:r>
    </w:p>
    <w:p w14:paraId="1F217528" w14:textId="623D37C5" w:rsidR="002876EF" w:rsidRDefault="002876EF">
      <w:pPr>
        <w:pStyle w:val="TOC4"/>
        <w:rPr>
          <w:rFonts w:asciiTheme="minorHAnsi" w:hAnsiTheme="minorHAnsi" w:cstheme="minorBidi"/>
          <w:sz w:val="22"/>
          <w:szCs w:val="22"/>
        </w:rPr>
      </w:pPr>
      <w:r w:rsidRPr="00D72BF1">
        <w:rPr>
          <w:i/>
        </w:rPr>
        <w:t>Supernus Pharms., Inc. v. Iancu</w:t>
      </w:r>
      <w:r>
        <w:t>, 913 F.3d 1351 (Fed. Cir. Jan. 23, 2019)</w:t>
      </w:r>
      <w:r>
        <w:tab/>
      </w:r>
      <w:r>
        <w:fldChar w:fldCharType="begin"/>
      </w:r>
      <w:r>
        <w:instrText xml:space="preserve"> PAGEREF _Toc26792809 \h </w:instrText>
      </w:r>
      <w:r>
        <w:fldChar w:fldCharType="separate"/>
      </w:r>
      <w:r>
        <w:t>70</w:t>
      </w:r>
      <w:r>
        <w:fldChar w:fldCharType="end"/>
      </w:r>
    </w:p>
    <w:p w14:paraId="619831A8" w14:textId="51D2AEC4" w:rsidR="002876EF" w:rsidRDefault="002876EF">
      <w:pPr>
        <w:pStyle w:val="TOC1"/>
        <w:rPr>
          <w:rFonts w:asciiTheme="minorHAnsi" w:hAnsiTheme="minorHAnsi" w:cstheme="minorBidi"/>
          <w:b w:val="0"/>
          <w:bCs w:val="0"/>
          <w:caps w:val="0"/>
          <w:spacing w:val="0"/>
          <w:sz w:val="22"/>
          <w:szCs w:val="22"/>
        </w:rPr>
      </w:pPr>
      <w:r w:rsidRPr="00D72BF1">
        <w:t>PATENT TRIAL AND APPEAL BOARD</w:t>
      </w:r>
      <w:r>
        <w:tab/>
      </w:r>
      <w:r>
        <w:fldChar w:fldCharType="begin"/>
      </w:r>
      <w:r>
        <w:instrText xml:space="preserve"> PAGEREF _Toc26792810 \h </w:instrText>
      </w:r>
      <w:r>
        <w:fldChar w:fldCharType="separate"/>
      </w:r>
      <w:r>
        <w:t>72</w:t>
      </w:r>
      <w:r>
        <w:fldChar w:fldCharType="end"/>
      </w:r>
    </w:p>
    <w:p w14:paraId="26B5E7BA" w14:textId="5E5D95A4" w:rsidR="002876EF" w:rsidRDefault="002876EF">
      <w:pPr>
        <w:pStyle w:val="TOC4"/>
        <w:rPr>
          <w:rFonts w:asciiTheme="minorHAnsi" w:hAnsiTheme="minorHAnsi" w:cstheme="minorBidi"/>
          <w:sz w:val="22"/>
          <w:szCs w:val="22"/>
        </w:rPr>
      </w:pPr>
      <w:r w:rsidRPr="00D72BF1">
        <w:rPr>
          <w:i/>
          <w:iCs/>
        </w:rPr>
        <w:t>Arthrex, Inc. v. Smith &amp; Nephew, Inc.</w:t>
      </w:r>
      <w:r>
        <w:t>,</w:t>
      </w:r>
      <w:r w:rsidRPr="00D72BF1">
        <w:rPr>
          <w:i/>
          <w:iCs/>
        </w:rPr>
        <w:t xml:space="preserve"> </w:t>
      </w:r>
      <w:r>
        <w:t>941 F.3d 1320 (Fed. Cir. October 31, 2019)</w:t>
      </w:r>
      <w:r>
        <w:tab/>
      </w:r>
      <w:r>
        <w:fldChar w:fldCharType="begin"/>
      </w:r>
      <w:r>
        <w:instrText xml:space="preserve"> PAGEREF _Toc26792811 \h </w:instrText>
      </w:r>
      <w:r>
        <w:fldChar w:fldCharType="separate"/>
      </w:r>
      <w:r>
        <w:t>72</w:t>
      </w:r>
      <w:r>
        <w:fldChar w:fldCharType="end"/>
      </w:r>
    </w:p>
    <w:p w14:paraId="2B87A16A" w14:textId="36A81B7A" w:rsidR="002876EF" w:rsidRDefault="002876EF">
      <w:pPr>
        <w:pStyle w:val="TOC4"/>
        <w:rPr>
          <w:rFonts w:asciiTheme="minorHAnsi" w:hAnsiTheme="minorHAnsi" w:cstheme="minorBidi"/>
          <w:sz w:val="22"/>
          <w:szCs w:val="22"/>
        </w:rPr>
      </w:pPr>
      <w:r w:rsidRPr="00D72BF1">
        <w:rPr>
          <w:i/>
          <w:iCs/>
        </w:rPr>
        <w:t>Bedgear, LLC v. Fredman Bros. Furniture Co.</w:t>
      </w:r>
      <w:r>
        <w:t>, 783 Fed.Appx. 1029 (Mem) (Fed. Cir. Nov. 7, 2019)</w:t>
      </w:r>
      <w:r>
        <w:tab/>
      </w:r>
      <w:r>
        <w:fldChar w:fldCharType="begin"/>
      </w:r>
      <w:r>
        <w:instrText xml:space="preserve"> PAGEREF _Toc26792812 \h </w:instrText>
      </w:r>
      <w:r>
        <w:fldChar w:fldCharType="separate"/>
      </w:r>
      <w:r>
        <w:t>73</w:t>
      </w:r>
      <w:r>
        <w:fldChar w:fldCharType="end"/>
      </w:r>
    </w:p>
    <w:p w14:paraId="0D4826FE" w14:textId="5B4F69E8" w:rsidR="002876EF" w:rsidRDefault="002876EF">
      <w:pPr>
        <w:pStyle w:val="TOC2"/>
        <w:tabs>
          <w:tab w:val="right" w:leader="dot" w:pos="8630"/>
        </w:tabs>
        <w:rPr>
          <w:rFonts w:asciiTheme="minorHAnsi" w:hAnsiTheme="minorHAnsi"/>
          <w:b w:val="0"/>
          <w:bCs w:val="0"/>
          <w:noProof/>
          <w:sz w:val="22"/>
          <w:szCs w:val="22"/>
        </w:rPr>
      </w:pPr>
      <w:r w:rsidRPr="00D72BF1">
        <w:rPr>
          <w:rFonts w:cs="Times New Roman"/>
          <w:noProof/>
        </w:rPr>
        <w:lastRenderedPageBreak/>
        <w:t>Inter Partes Review Procedure</w:t>
      </w:r>
      <w:r>
        <w:rPr>
          <w:noProof/>
        </w:rPr>
        <w:tab/>
      </w:r>
      <w:r>
        <w:rPr>
          <w:noProof/>
        </w:rPr>
        <w:fldChar w:fldCharType="begin"/>
      </w:r>
      <w:r>
        <w:rPr>
          <w:noProof/>
        </w:rPr>
        <w:instrText xml:space="preserve"> PAGEREF _Toc26792813 \h </w:instrText>
      </w:r>
      <w:r>
        <w:rPr>
          <w:noProof/>
        </w:rPr>
      </w:r>
      <w:r>
        <w:rPr>
          <w:noProof/>
        </w:rPr>
        <w:fldChar w:fldCharType="separate"/>
      </w:r>
      <w:r>
        <w:rPr>
          <w:noProof/>
        </w:rPr>
        <w:t>74</w:t>
      </w:r>
      <w:r>
        <w:rPr>
          <w:noProof/>
        </w:rPr>
        <w:fldChar w:fldCharType="end"/>
      </w:r>
    </w:p>
    <w:p w14:paraId="240C9CB1" w14:textId="101A8866" w:rsidR="002876EF" w:rsidRDefault="002876EF">
      <w:pPr>
        <w:pStyle w:val="TOC4"/>
        <w:rPr>
          <w:rFonts w:asciiTheme="minorHAnsi" w:hAnsiTheme="minorHAnsi" w:cstheme="minorBidi"/>
          <w:sz w:val="22"/>
          <w:szCs w:val="22"/>
        </w:rPr>
      </w:pPr>
      <w:r w:rsidRPr="00D72BF1">
        <w:rPr>
          <w:i/>
          <w:iCs/>
        </w:rPr>
        <w:t>BioDelivery Sciences International, Inc. v. Aquestive Therapeutics, Inc.</w:t>
      </w:r>
      <w:r>
        <w:t>, 935 F.3d 1362 (Fed. Cir. August 29, 2019)</w:t>
      </w:r>
      <w:r>
        <w:tab/>
      </w:r>
      <w:r>
        <w:fldChar w:fldCharType="begin"/>
      </w:r>
      <w:r>
        <w:instrText xml:space="preserve"> PAGEREF _Toc26792814 \h </w:instrText>
      </w:r>
      <w:r>
        <w:fldChar w:fldCharType="separate"/>
      </w:r>
      <w:r>
        <w:t>74</w:t>
      </w:r>
      <w:r>
        <w:fldChar w:fldCharType="end"/>
      </w:r>
    </w:p>
    <w:p w14:paraId="12E3F18B" w14:textId="0860B078" w:rsidR="002876EF" w:rsidRDefault="002876EF">
      <w:pPr>
        <w:pStyle w:val="TOC4"/>
        <w:rPr>
          <w:rFonts w:asciiTheme="minorHAnsi" w:hAnsiTheme="minorHAnsi" w:cstheme="minorBidi"/>
          <w:sz w:val="22"/>
          <w:szCs w:val="22"/>
        </w:rPr>
      </w:pPr>
      <w:r w:rsidRPr="00D72BF1">
        <w:rPr>
          <w:i/>
        </w:rPr>
        <w:t>Celgene Corp. v. Peter</w:t>
      </w:r>
      <w:r>
        <w:t>, 931 F.3d 1342 (Fed. Cir. July 30, 2019)</w:t>
      </w:r>
      <w:r>
        <w:tab/>
      </w:r>
      <w:r>
        <w:fldChar w:fldCharType="begin"/>
      </w:r>
      <w:r>
        <w:instrText xml:space="preserve"> PAGEREF _Toc26792815 \h </w:instrText>
      </w:r>
      <w:r>
        <w:fldChar w:fldCharType="separate"/>
      </w:r>
      <w:r>
        <w:t>75</w:t>
      </w:r>
      <w:r>
        <w:fldChar w:fldCharType="end"/>
      </w:r>
    </w:p>
    <w:p w14:paraId="4DB620A9" w14:textId="07AC6708" w:rsidR="002876EF" w:rsidRDefault="002876EF">
      <w:pPr>
        <w:pStyle w:val="TOC4"/>
        <w:rPr>
          <w:rFonts w:asciiTheme="minorHAnsi" w:hAnsiTheme="minorHAnsi" w:cstheme="minorBidi"/>
          <w:sz w:val="22"/>
          <w:szCs w:val="22"/>
        </w:rPr>
      </w:pPr>
      <w:r w:rsidRPr="00D72BF1">
        <w:rPr>
          <w:i/>
        </w:rPr>
        <w:t>DexMedia Inc. v. Click-to-Call Techs., LP</w:t>
      </w:r>
      <w:r>
        <w:t>, 139 S.Ct. 2742 (June 24, 2019)</w:t>
      </w:r>
      <w:r>
        <w:tab/>
      </w:r>
      <w:r>
        <w:fldChar w:fldCharType="begin"/>
      </w:r>
      <w:r>
        <w:instrText xml:space="preserve"> PAGEREF _Toc26792816 \h </w:instrText>
      </w:r>
      <w:r>
        <w:fldChar w:fldCharType="separate"/>
      </w:r>
      <w:r>
        <w:t>76</w:t>
      </w:r>
      <w:r>
        <w:fldChar w:fldCharType="end"/>
      </w:r>
    </w:p>
    <w:p w14:paraId="5F0FD1F4" w14:textId="558BA9DB" w:rsidR="002876EF" w:rsidRDefault="002876EF">
      <w:pPr>
        <w:pStyle w:val="TOC4"/>
        <w:rPr>
          <w:rFonts w:asciiTheme="minorHAnsi" w:hAnsiTheme="minorHAnsi" w:cstheme="minorBidi"/>
          <w:sz w:val="22"/>
          <w:szCs w:val="22"/>
        </w:rPr>
      </w:pPr>
      <w:r w:rsidRPr="00D72BF1">
        <w:rPr>
          <w:i/>
        </w:rPr>
        <w:t>Return Mail, Inc. v. U.S. Postal Service</w:t>
      </w:r>
      <w:r>
        <w:t>, 139 S. Ct. 1853, 1867-68 (U.S. June 10, 2019).</w:t>
      </w:r>
      <w:r>
        <w:tab/>
      </w:r>
      <w:r>
        <w:fldChar w:fldCharType="begin"/>
      </w:r>
      <w:r>
        <w:instrText xml:space="preserve"> PAGEREF _Toc26792817 \h </w:instrText>
      </w:r>
      <w:r>
        <w:fldChar w:fldCharType="separate"/>
      </w:r>
      <w:r>
        <w:t>76</w:t>
      </w:r>
      <w:r>
        <w:fldChar w:fldCharType="end"/>
      </w:r>
    </w:p>
    <w:p w14:paraId="7CF66051" w14:textId="516F2715" w:rsidR="002876EF" w:rsidRDefault="002876EF">
      <w:pPr>
        <w:pStyle w:val="TOC1"/>
        <w:rPr>
          <w:rFonts w:asciiTheme="minorHAnsi" w:hAnsiTheme="minorHAnsi" w:cstheme="minorBidi"/>
          <w:b w:val="0"/>
          <w:bCs w:val="0"/>
          <w:caps w:val="0"/>
          <w:spacing w:val="0"/>
          <w:sz w:val="22"/>
          <w:szCs w:val="22"/>
        </w:rPr>
      </w:pPr>
      <w:r w:rsidRPr="00D72BF1">
        <w:t>DESIGN PATENTS</w:t>
      </w:r>
      <w:r>
        <w:tab/>
      </w:r>
      <w:r>
        <w:fldChar w:fldCharType="begin"/>
      </w:r>
      <w:r>
        <w:instrText xml:space="preserve"> PAGEREF _Toc26792818 \h </w:instrText>
      </w:r>
      <w:r>
        <w:fldChar w:fldCharType="separate"/>
      </w:r>
      <w:r>
        <w:t>77</w:t>
      </w:r>
      <w:r>
        <w:fldChar w:fldCharType="end"/>
      </w:r>
    </w:p>
    <w:p w14:paraId="12DA0C19" w14:textId="67C82499" w:rsidR="002876EF" w:rsidRDefault="002876EF">
      <w:pPr>
        <w:pStyle w:val="TOC2"/>
        <w:tabs>
          <w:tab w:val="right" w:leader="dot" w:pos="8630"/>
        </w:tabs>
        <w:rPr>
          <w:rFonts w:asciiTheme="minorHAnsi" w:hAnsiTheme="minorHAnsi"/>
          <w:b w:val="0"/>
          <w:bCs w:val="0"/>
          <w:noProof/>
          <w:sz w:val="22"/>
          <w:szCs w:val="22"/>
        </w:rPr>
      </w:pPr>
      <w:r>
        <w:rPr>
          <w:noProof/>
        </w:rPr>
        <w:t>Design Patent Exhaustion</w:t>
      </w:r>
      <w:r>
        <w:rPr>
          <w:noProof/>
        </w:rPr>
        <w:tab/>
      </w:r>
      <w:r>
        <w:rPr>
          <w:noProof/>
        </w:rPr>
        <w:fldChar w:fldCharType="begin"/>
      </w:r>
      <w:r>
        <w:rPr>
          <w:noProof/>
        </w:rPr>
        <w:instrText xml:space="preserve"> PAGEREF _Toc26792819 \h </w:instrText>
      </w:r>
      <w:r>
        <w:rPr>
          <w:noProof/>
        </w:rPr>
      </w:r>
      <w:r>
        <w:rPr>
          <w:noProof/>
        </w:rPr>
        <w:fldChar w:fldCharType="separate"/>
      </w:r>
      <w:r>
        <w:rPr>
          <w:noProof/>
        </w:rPr>
        <w:t>77</w:t>
      </w:r>
      <w:r>
        <w:rPr>
          <w:noProof/>
        </w:rPr>
        <w:fldChar w:fldCharType="end"/>
      </w:r>
    </w:p>
    <w:p w14:paraId="520EDA8C" w14:textId="14A35B09" w:rsidR="002876EF" w:rsidRDefault="002876EF">
      <w:pPr>
        <w:pStyle w:val="TOC4"/>
        <w:rPr>
          <w:rFonts w:asciiTheme="minorHAnsi" w:hAnsiTheme="minorHAnsi" w:cstheme="minorBidi"/>
          <w:sz w:val="22"/>
          <w:szCs w:val="22"/>
        </w:rPr>
      </w:pPr>
      <w:r w:rsidRPr="00D72BF1">
        <w:rPr>
          <w:i/>
          <w:iCs/>
        </w:rPr>
        <w:t>Automotive Body Parts Ass’n v. Ford Global Techs., LLC</w:t>
      </w:r>
      <w:r w:rsidRPr="00D72BF1">
        <w:rPr>
          <w:iCs/>
        </w:rPr>
        <w:t>, 930 F.3d 1314</w:t>
      </w:r>
      <w:r>
        <w:t xml:space="preserve"> (Fed. Cir. July 23, 2019).</w:t>
      </w:r>
      <w:r>
        <w:tab/>
      </w:r>
      <w:r>
        <w:fldChar w:fldCharType="begin"/>
      </w:r>
      <w:r>
        <w:instrText xml:space="preserve"> PAGEREF _Toc26792820 \h </w:instrText>
      </w:r>
      <w:r>
        <w:fldChar w:fldCharType="separate"/>
      </w:r>
      <w:r>
        <w:t>77</w:t>
      </w:r>
      <w:r>
        <w:fldChar w:fldCharType="end"/>
      </w:r>
    </w:p>
    <w:p w14:paraId="31DAA5AB" w14:textId="7AD2B450" w:rsidR="00087284" w:rsidRPr="00CA2C0A" w:rsidRDefault="00576C8B" w:rsidP="00CA2C0A">
      <w:pPr>
        <w:rPr>
          <w:rFonts w:cs="Times New Roman"/>
        </w:rPr>
      </w:pPr>
      <w:r>
        <w:rPr>
          <w:b/>
          <w:bCs/>
          <w:i/>
          <w:caps/>
          <w:spacing w:val="-4"/>
        </w:rPr>
        <w:fldChar w:fldCharType="end"/>
      </w:r>
      <w:r w:rsidR="00087284" w:rsidRPr="00677ABE">
        <w:rPr>
          <w:rFonts w:cs="Times New Roman"/>
          <w:b/>
        </w:rPr>
        <w:br w:type="page"/>
      </w:r>
    </w:p>
    <w:p w14:paraId="46BA3165" w14:textId="17050234" w:rsidR="00F20B84" w:rsidRDefault="00347940" w:rsidP="00CA2C0A">
      <w:pPr>
        <w:pStyle w:val="Heading1"/>
        <w:rPr>
          <w:rFonts w:cs="Times New Roman"/>
          <w:szCs w:val="24"/>
        </w:rPr>
      </w:pPr>
      <w:bookmarkStart w:id="7" w:name="_Toc26792735"/>
      <w:r w:rsidRPr="00677ABE">
        <w:rPr>
          <w:rFonts w:cs="Times New Roman"/>
          <w:szCs w:val="24"/>
        </w:rPr>
        <w:lastRenderedPageBreak/>
        <w:t>PATENTABLE SUBJECT MATTER</w:t>
      </w:r>
      <w:bookmarkEnd w:id="7"/>
    </w:p>
    <w:p w14:paraId="5A281F29" w14:textId="5175F5C2" w:rsidR="00182AA8" w:rsidRPr="0033193D" w:rsidRDefault="00182AA8" w:rsidP="00FC0527">
      <w:pPr>
        <w:pStyle w:val="Heading4"/>
        <w:rPr>
          <w:iCs/>
        </w:rPr>
      </w:pPr>
      <w:bookmarkStart w:id="8" w:name="_Toc26792736"/>
      <w:r>
        <w:rPr>
          <w:iCs/>
        </w:rPr>
        <w:t>Mechanical Inventions</w:t>
      </w:r>
      <w:bookmarkEnd w:id="8"/>
    </w:p>
    <w:p w14:paraId="1480DE7C" w14:textId="77777777" w:rsidR="00182AA8" w:rsidRDefault="00182AA8" w:rsidP="00FC0527">
      <w:pPr>
        <w:pStyle w:val="Heading4"/>
        <w:rPr>
          <w:i/>
          <w:iCs/>
        </w:rPr>
      </w:pPr>
    </w:p>
    <w:p w14:paraId="45257C13" w14:textId="68B21FF5" w:rsidR="00FC0527" w:rsidRDefault="00080809" w:rsidP="00FC0527">
      <w:pPr>
        <w:pStyle w:val="Heading4"/>
      </w:pPr>
      <w:bookmarkStart w:id="9" w:name="_Toc26792737"/>
      <w:r w:rsidRPr="00080809">
        <w:rPr>
          <w:i/>
          <w:iCs/>
        </w:rPr>
        <w:t>Am. Axle &amp; Mfg., Inc. v. Neapco Holdings LLC</w:t>
      </w:r>
      <w:r w:rsidR="00FC0527" w:rsidRPr="00FC0527">
        <w:t xml:space="preserve">, 939 F.3d 1355 (Fed. Cir. </w:t>
      </w:r>
      <w:r w:rsidR="00031A2C">
        <w:t xml:space="preserve"> October 3, </w:t>
      </w:r>
      <w:r w:rsidR="00FC0527" w:rsidRPr="00FC0527">
        <w:t>2019)</w:t>
      </w:r>
      <w:bookmarkEnd w:id="9"/>
    </w:p>
    <w:p w14:paraId="2EE69230" w14:textId="787E5FB7" w:rsidR="00EE69A8" w:rsidRDefault="00EE69A8" w:rsidP="00080809">
      <w:pPr>
        <w:ind w:firstLine="720"/>
      </w:pPr>
      <w:r>
        <w:t>In this appeal from the District of Delaware, the Federal Circuit</w:t>
      </w:r>
      <w:r w:rsidR="00FC0527">
        <w:t xml:space="preserve"> (Judges Dyk and Taranto)</w:t>
      </w:r>
      <w:r>
        <w:t xml:space="preserve"> affirmed the claims</w:t>
      </w:r>
      <w:r w:rsidR="00E83CC2">
        <w:t xml:space="preserve"> for propeller shaft vibration attenuation liners</w:t>
      </w:r>
      <w:r>
        <w:t xml:space="preserve"> </w:t>
      </w:r>
      <w:r w:rsidR="008E6CF1">
        <w:t>were</w:t>
      </w:r>
      <w:r w:rsidR="00626F12">
        <w:t xml:space="preserve"> patent ineligible for being directed towards</w:t>
      </w:r>
      <w:r w:rsidR="00465B65">
        <w:t xml:space="preserve"> </w:t>
      </w:r>
      <w:r w:rsidR="00465B65" w:rsidRPr="00080809">
        <w:t>Hooke’s</w:t>
      </w:r>
      <w:r w:rsidR="00465B65">
        <w:t xml:space="preserve"> law</w:t>
      </w:r>
      <w:r w:rsidR="00626F12">
        <w:t>, a law of physics concerning elasticity, without an inventive concept.</w:t>
      </w:r>
      <w:r w:rsidR="00626F12">
        <w:rPr>
          <w:rStyle w:val="FootnoteReference"/>
        </w:rPr>
        <w:footnoteReference w:id="4"/>
      </w:r>
      <w:r w:rsidR="00626F12">
        <w:t xml:space="preserve">  </w:t>
      </w:r>
      <w:r w:rsidR="00FC0527">
        <w:t>Judge Moore dissented.</w:t>
      </w:r>
    </w:p>
    <w:p w14:paraId="4FBB65C9" w14:textId="39A7D686" w:rsidR="00626F12" w:rsidRDefault="00626F12">
      <w:r>
        <w:tab/>
      </w:r>
      <w:r w:rsidR="008706C1">
        <w:t>American Axle &amp; Manufacturing’s (“AMM”)</w:t>
      </w:r>
      <w:r>
        <w:t xml:space="preserve"> ‘911 patent</w:t>
      </w:r>
      <w:r w:rsidR="00D143E6">
        <w:t xml:space="preserve"> involve</w:t>
      </w:r>
      <w:r w:rsidR="008706C1">
        <w:t>d</w:t>
      </w:r>
      <w:r>
        <w:t xml:space="preserve"> a </w:t>
      </w:r>
      <w:r w:rsidR="008637B0">
        <w:t>“</w:t>
      </w:r>
      <w:r>
        <w:t>method for manufacturing driveline propeller shaft</w:t>
      </w:r>
      <w:r w:rsidR="008637B0">
        <w:t>s (‘propshafts’)</w:t>
      </w:r>
      <w:r>
        <w:t xml:space="preserve"> with liners designed to</w:t>
      </w:r>
      <w:r w:rsidR="008637B0">
        <w:t xml:space="preserve"> attenuate vibrations through a shaft assembly.”</w:t>
      </w:r>
      <w:r w:rsidR="008637B0">
        <w:rPr>
          <w:rStyle w:val="FootnoteReference"/>
        </w:rPr>
        <w:footnoteReference w:id="5"/>
      </w:r>
      <w:r w:rsidR="008706C1">
        <w:t xml:space="preserve"> </w:t>
      </w:r>
      <w:r w:rsidR="00D143E6">
        <w:t xml:space="preserve">Propshafts </w:t>
      </w:r>
      <w:r w:rsidR="008706C1">
        <w:t>in operation generate noise through three different</w:t>
      </w:r>
      <w:r w:rsidR="00D64D93">
        <w:t xml:space="preserve"> modes</w:t>
      </w:r>
      <w:r w:rsidR="008706C1">
        <w:t xml:space="preserve"> of vibration at different frequencies.</w:t>
      </w:r>
      <w:r w:rsidR="008706C1">
        <w:rPr>
          <w:rStyle w:val="FootnoteReference"/>
        </w:rPr>
        <w:footnoteReference w:id="6"/>
      </w:r>
      <w:r w:rsidR="008706C1">
        <w:t xml:space="preserve"> Prior art</w:t>
      </w:r>
      <w:r w:rsidR="00D64D93">
        <w:t xml:space="preserve"> used liners or weights to dampen individual modes of vibration.</w:t>
      </w:r>
      <w:r w:rsidR="00D64D93">
        <w:rPr>
          <w:rStyle w:val="FootnoteReference"/>
        </w:rPr>
        <w:footnoteReference w:id="7"/>
      </w:r>
      <w:r w:rsidR="00D64D93">
        <w:t xml:space="preserve"> The ‘911 patent claim</w:t>
      </w:r>
      <w:r w:rsidR="00853A56">
        <w:t>s included an instruction to</w:t>
      </w:r>
      <w:r w:rsidR="00D64D93">
        <w:t xml:space="preserve"> “tun</w:t>
      </w:r>
      <w:r w:rsidR="00853A56">
        <w:t>e</w:t>
      </w:r>
      <w:r w:rsidR="00D64D93">
        <w:t>” a liner to dampen two modes of vibration at once.</w:t>
      </w:r>
      <w:r w:rsidR="00D64D93">
        <w:rPr>
          <w:rStyle w:val="FootnoteReference"/>
        </w:rPr>
        <w:footnoteReference w:id="8"/>
      </w:r>
      <w:r w:rsidR="00CD4A54">
        <w:t xml:space="preserve"> The district court found the claims </w:t>
      </w:r>
      <w:r w:rsidR="00D837C9">
        <w:t>were essentially just a direction to apply</w:t>
      </w:r>
      <w:r w:rsidR="00CD4A54">
        <w:t xml:space="preserve"> Hooke’s Law, a law of physics describing an object’s elasticity and vibration frequency, and did not provide a means of crafting the liner or propshaft</w:t>
      </w:r>
      <w:r w:rsidR="00627852">
        <w:t>.</w:t>
      </w:r>
      <w:r w:rsidR="00D837C9">
        <w:rPr>
          <w:rStyle w:val="FootnoteReference"/>
        </w:rPr>
        <w:footnoteReference w:id="9"/>
      </w:r>
      <w:r w:rsidR="00FC0527">
        <w:t xml:space="preserve"> Because the claims were directed toward a law of nature without an inventive concept, the district court help the patent invalid.</w:t>
      </w:r>
      <w:r w:rsidR="00FC0527">
        <w:rPr>
          <w:rStyle w:val="FootnoteReference"/>
        </w:rPr>
        <w:footnoteReference w:id="10"/>
      </w:r>
    </w:p>
    <w:p w14:paraId="6608D5D4" w14:textId="683052AE" w:rsidR="00FC0527" w:rsidRDefault="00FC0527">
      <w:r>
        <w:tab/>
        <w:t xml:space="preserve">The Federal Circuit affirmed. </w:t>
      </w:r>
      <w:r w:rsidR="00DF3F76">
        <w:t xml:space="preserve">At step one of the </w:t>
      </w:r>
      <w:r w:rsidR="00DF3F76">
        <w:rPr>
          <w:i/>
          <w:iCs/>
        </w:rPr>
        <w:t>Alice</w:t>
      </w:r>
      <w:r w:rsidR="00DF3F76">
        <w:t xml:space="preserve"> test, the court found the claims were directed towards a law of nature.</w:t>
      </w:r>
      <w:r w:rsidR="00031A2C">
        <w:rPr>
          <w:rStyle w:val="FootnoteReference"/>
        </w:rPr>
        <w:footnoteReference w:id="11"/>
      </w:r>
      <w:r w:rsidR="00DF3F76">
        <w:t xml:space="preserve"> While the method of actually tuning the liner for the desired result may have been more complex than merely applying Hooke’s law, such a method was not claimed in the patent.</w:t>
      </w:r>
      <w:r w:rsidR="00031A2C">
        <w:rPr>
          <w:rStyle w:val="FootnoteReference"/>
        </w:rPr>
        <w:footnoteReference w:id="12"/>
      </w:r>
      <w:r w:rsidR="00B57550">
        <w:t xml:space="preserve"> Essentially</w:t>
      </w:r>
      <w:r w:rsidR="000E6399">
        <w:t xml:space="preserve">, the claim’s instruction was </w:t>
      </w:r>
      <w:r w:rsidR="00B57550">
        <w:t>to perform “</w:t>
      </w:r>
      <w:r w:rsidR="000E6399">
        <w:t>an ad hoc trial-and-error process of changing the characteristics</w:t>
      </w:r>
      <w:r w:rsidR="00B57550">
        <w:t xml:space="preserve"> until a desired result is achieved</w:t>
      </w:r>
      <w:r w:rsidR="000E6399">
        <w:t>” using known laws of physics.</w:t>
      </w:r>
      <w:r w:rsidR="000E6399">
        <w:rPr>
          <w:rStyle w:val="FootnoteReference"/>
        </w:rPr>
        <w:footnoteReference w:id="13"/>
      </w:r>
      <w:r w:rsidR="000E6399">
        <w:t xml:space="preserve"> </w:t>
      </w:r>
      <w:r w:rsidR="00B57550">
        <w:t>Since the claim involved applying natural law</w:t>
      </w:r>
      <w:r w:rsidR="00F83019">
        <w:t>s</w:t>
      </w:r>
      <w:r w:rsidR="00B57550">
        <w:t xml:space="preserve">, it failed step one of </w:t>
      </w:r>
      <w:r w:rsidR="00B57550">
        <w:rPr>
          <w:i/>
          <w:iCs/>
        </w:rPr>
        <w:t>Alice.</w:t>
      </w:r>
      <w:r w:rsidR="00031A2C">
        <w:rPr>
          <w:rStyle w:val="FootnoteReference"/>
          <w:i/>
          <w:iCs/>
        </w:rPr>
        <w:footnoteReference w:id="14"/>
      </w:r>
      <w:r w:rsidR="00FF3C86">
        <w:rPr>
          <w:i/>
          <w:iCs/>
        </w:rPr>
        <w:t xml:space="preserve"> </w:t>
      </w:r>
      <w:r w:rsidR="00FF3C86">
        <w:t xml:space="preserve">At step 2 of the </w:t>
      </w:r>
      <w:r w:rsidR="00FF3C86">
        <w:rPr>
          <w:i/>
          <w:iCs/>
        </w:rPr>
        <w:t>Alice</w:t>
      </w:r>
      <w:r w:rsidR="00FF3C86">
        <w:t xml:space="preserve"> test, the court found no inventive concept because the </w:t>
      </w:r>
      <w:r w:rsidR="004C077F">
        <w:t xml:space="preserve">steps cited in the claims were either conventional or </w:t>
      </w:r>
      <w:r w:rsidR="00480CEF">
        <w:t xml:space="preserve">in the </w:t>
      </w:r>
      <w:r w:rsidR="004C077F">
        <w:t>prior art.</w:t>
      </w:r>
      <w:r w:rsidR="004C077F">
        <w:rPr>
          <w:rStyle w:val="FootnoteReference"/>
        </w:rPr>
        <w:footnoteReference w:id="15"/>
      </w:r>
      <w:r w:rsidR="0031243B">
        <w:t xml:space="preserve"> The court declined to separately consider the dependent claims because AAM did not argue the dependent claims would change the eligibility analysis and thus waived the argument.</w:t>
      </w:r>
      <w:r w:rsidR="0031243B">
        <w:rPr>
          <w:rStyle w:val="FootnoteReference"/>
        </w:rPr>
        <w:footnoteReference w:id="16"/>
      </w:r>
    </w:p>
    <w:p w14:paraId="421FEAE7" w14:textId="47C98187" w:rsidR="00E83CC2" w:rsidRDefault="004C077F">
      <w:r>
        <w:lastRenderedPageBreak/>
        <w:tab/>
        <w:t xml:space="preserve">Judge Moore dissented. </w:t>
      </w:r>
      <w:r w:rsidR="00B6300E">
        <w:t xml:space="preserve">At step one of </w:t>
      </w:r>
      <w:r w:rsidR="00B6300E" w:rsidRPr="00080809">
        <w:rPr>
          <w:i/>
          <w:iCs/>
        </w:rPr>
        <w:t>Alice</w:t>
      </w:r>
      <w:r w:rsidR="00B6300E">
        <w:t xml:space="preserve">, </w:t>
      </w:r>
      <w:r w:rsidR="009578B6">
        <w:t>s</w:t>
      </w:r>
      <w:r w:rsidR="00406FBA" w:rsidRPr="00080809">
        <w:t>he</w:t>
      </w:r>
      <w:r w:rsidR="00406FBA">
        <w:t xml:space="preserve"> would have held the claims not directed at a law of nature </w:t>
      </w:r>
      <w:r w:rsidR="00F83019">
        <w:t xml:space="preserve">because the independent claims involved more than just applying Hooke’s law and the </w:t>
      </w:r>
      <w:r w:rsidR="00406FBA">
        <w:t>dependent claims limited “the physical characteristics of the liners to be used and their positioning within the drive shaft.”</w:t>
      </w:r>
      <w:r w:rsidR="00406FBA">
        <w:rPr>
          <w:rStyle w:val="FootnoteReference"/>
        </w:rPr>
        <w:footnoteReference w:id="17"/>
      </w:r>
      <w:r w:rsidR="00406FBA">
        <w:t xml:space="preserve"> </w:t>
      </w:r>
      <w:r w:rsidR="00F83019">
        <w:t xml:space="preserve">At step two of </w:t>
      </w:r>
      <w:r w:rsidR="00F83019">
        <w:rPr>
          <w:i/>
          <w:iCs/>
        </w:rPr>
        <w:t>Alice</w:t>
      </w:r>
      <w:r w:rsidR="00F83019">
        <w:t>, she would have held the claims contained “many” inventive concepts</w:t>
      </w:r>
      <w:r w:rsidR="00EA370F">
        <w:t xml:space="preserve"> that at least should have been tried as questions of fact.</w:t>
      </w:r>
      <w:r w:rsidR="00F83019">
        <w:rPr>
          <w:rStyle w:val="FootnoteReference"/>
        </w:rPr>
        <w:footnoteReference w:id="18"/>
      </w:r>
      <w:r w:rsidR="00EA370F">
        <w:t xml:space="preserve"> In particular, she found persuasive AAM’s assertion that liners had not </w:t>
      </w:r>
      <w:r w:rsidR="00896B97">
        <w:t xml:space="preserve">previously </w:t>
      </w:r>
      <w:r w:rsidR="00EA370F">
        <w:t>been used to attenuate “bending mode”</w:t>
      </w:r>
      <w:r w:rsidR="00896B97">
        <w:t xml:space="preserve"> vibrations in propshafts.</w:t>
      </w:r>
      <w:r w:rsidR="00896B97">
        <w:rPr>
          <w:rStyle w:val="FootnoteReference"/>
        </w:rPr>
        <w:footnoteReference w:id="19"/>
      </w:r>
      <w:r w:rsidR="00EA370F">
        <w:t xml:space="preserve"> </w:t>
      </w:r>
      <w:r w:rsidR="00896B97">
        <w:t xml:space="preserve">Further, she believed the majority’s issue with the claims were really with enablement, not eligibility, and thus improperly ruled the patent ineligible under </w:t>
      </w:r>
      <w:r w:rsidR="00896B97" w:rsidRPr="00896B97">
        <w:t>§ 101</w:t>
      </w:r>
      <w:r w:rsidR="00896B97">
        <w:t>.</w:t>
      </w:r>
      <w:r w:rsidR="00896B97">
        <w:rPr>
          <w:rStyle w:val="FootnoteReference"/>
        </w:rPr>
        <w:footnoteReference w:id="20"/>
      </w:r>
      <w:r w:rsidR="00896B97">
        <w:t xml:space="preserve"> </w:t>
      </w:r>
    </w:p>
    <w:p w14:paraId="493943EC" w14:textId="5D555AB4" w:rsidR="00E83CC2" w:rsidRDefault="00873291" w:rsidP="00E83CC2">
      <w:pPr>
        <w:pStyle w:val="Heading4"/>
      </w:pPr>
      <w:bookmarkStart w:id="10" w:name="_Toc26792738"/>
      <w:r w:rsidRPr="00873291">
        <w:rPr>
          <w:i/>
          <w:iCs/>
        </w:rPr>
        <w:t>Chamberlain Grp., Inc. v. Techtronic Indus. Co</w:t>
      </w:r>
      <w:r w:rsidR="00E83CC2" w:rsidRPr="0033193D">
        <w:rPr>
          <w:i/>
          <w:iCs/>
        </w:rPr>
        <w:t>.,</w:t>
      </w:r>
      <w:r w:rsidR="00E83CC2" w:rsidRPr="00E83CC2">
        <w:t xml:space="preserve"> 935 F.3d 1341 (Fed. Cir. </w:t>
      </w:r>
      <w:r w:rsidR="00264236">
        <w:t xml:space="preserve">August 21, </w:t>
      </w:r>
      <w:r w:rsidR="00E83CC2" w:rsidRPr="00E83CC2">
        <w:t>2019)</w:t>
      </w:r>
      <w:bookmarkEnd w:id="10"/>
    </w:p>
    <w:p w14:paraId="05314C7D" w14:textId="17522FA6" w:rsidR="00E83CC2" w:rsidRDefault="00E83CC2" w:rsidP="00E83CC2">
      <w:pPr>
        <w:ind w:firstLine="720"/>
      </w:pPr>
      <w:r>
        <w:t>In this appeal from the Northern District of Illinois, the Federal Circuit</w:t>
      </w:r>
      <w:r w:rsidR="000D2FF5">
        <w:t xml:space="preserve"> (Judges Lourie, O’Malley, and Chen)</w:t>
      </w:r>
      <w:r>
        <w:t xml:space="preserve"> reversed a decision of patent eligibility, holding </w:t>
      </w:r>
      <w:r w:rsidR="00B6226A">
        <w:t>claims for a moveable barrier operator that wirelessly communicated its status was directed to the abstract idea of wireless communication without an inventive concept.</w:t>
      </w:r>
      <w:r w:rsidR="00F34C0C">
        <w:rPr>
          <w:rStyle w:val="FootnoteReference"/>
        </w:rPr>
        <w:footnoteReference w:id="21"/>
      </w:r>
    </w:p>
    <w:p w14:paraId="47CE866E" w14:textId="2A1ECBD3" w:rsidR="00E83CC2" w:rsidRDefault="00E83CC2" w:rsidP="00E83CC2">
      <w:pPr>
        <w:ind w:firstLine="720"/>
      </w:pPr>
      <w:r>
        <w:t>Chamberlain Group</w:t>
      </w:r>
      <w:r w:rsidR="004D7C3D">
        <w:t>’s (“CG”) ‘275 patent involved an apparatus and method for wirelessly communicating status information of moveable barriers, such as garage doors.</w:t>
      </w:r>
      <w:r w:rsidR="004D7C3D">
        <w:rPr>
          <w:rStyle w:val="FootnoteReference"/>
        </w:rPr>
        <w:footnoteReference w:id="22"/>
      </w:r>
      <w:r w:rsidR="004D7C3D">
        <w:t xml:space="preserve"> </w:t>
      </w:r>
      <w:r w:rsidR="004D1845">
        <w:t>T</w:t>
      </w:r>
      <w:r w:rsidR="004D7C3D">
        <w:t>he district court held</w:t>
      </w:r>
      <w:r w:rsidR="002B71B1">
        <w:t xml:space="preserve"> found</w:t>
      </w:r>
      <w:r w:rsidR="004D7C3D">
        <w:t xml:space="preserve"> claims were</w:t>
      </w:r>
      <w:r w:rsidR="000455CE">
        <w:t xml:space="preserve"> </w:t>
      </w:r>
      <w:r w:rsidR="004D7C3D">
        <w:t>directed</w:t>
      </w:r>
      <w:r w:rsidR="004D1845">
        <w:t xml:space="preserve"> towards wireless, status-transmitting garage door openers, not just</w:t>
      </w:r>
      <w:r w:rsidR="004D7C3D">
        <w:t xml:space="preserve"> the abstract idea of data transmission</w:t>
      </w:r>
      <w:r w:rsidR="000455CE">
        <w:t>.</w:t>
      </w:r>
      <w:r w:rsidR="000455CE">
        <w:rPr>
          <w:rStyle w:val="FootnoteReference"/>
        </w:rPr>
        <w:footnoteReference w:id="23"/>
      </w:r>
      <w:r w:rsidR="000455CE">
        <w:t xml:space="preserve"> </w:t>
      </w:r>
      <w:r w:rsidR="004D1845">
        <w:t>Further, the court found the invention was an improvement over the data transmitting process in the prior art.</w:t>
      </w:r>
      <w:r w:rsidR="004D1845">
        <w:rPr>
          <w:rStyle w:val="FootnoteReference"/>
        </w:rPr>
        <w:footnoteReference w:id="24"/>
      </w:r>
    </w:p>
    <w:p w14:paraId="0B73625F" w14:textId="38DB0619" w:rsidR="009C0530" w:rsidRDefault="00F34C0C" w:rsidP="009578B6">
      <w:pPr>
        <w:ind w:firstLine="720"/>
      </w:pPr>
      <w:r>
        <w:t>The Federal Circuit reversed.</w:t>
      </w:r>
      <w:r>
        <w:rPr>
          <w:rStyle w:val="FootnoteReference"/>
        </w:rPr>
        <w:footnoteReference w:id="25"/>
      </w:r>
      <w:r w:rsidR="003A1CE3">
        <w:t xml:space="preserve"> At step one of the </w:t>
      </w:r>
      <w:r w:rsidR="003A1CE3">
        <w:rPr>
          <w:i/>
          <w:iCs/>
        </w:rPr>
        <w:t>Alice</w:t>
      </w:r>
      <w:r w:rsidR="003A1CE3">
        <w:t xml:space="preserve"> test, t</w:t>
      </w:r>
      <w:r w:rsidR="004D1845" w:rsidRPr="003A1CE3">
        <w:t>he</w:t>
      </w:r>
      <w:r w:rsidR="004D1845">
        <w:t xml:space="preserve"> court found the</w:t>
      </w:r>
      <w:r w:rsidR="00C65762">
        <w:t xml:space="preserve"> only</w:t>
      </w:r>
      <w:r w:rsidR="004D1845">
        <w:t xml:space="preserve"> difference in the claimed moveable barrier operator from the prior art was that it communicated status information wirelessly.</w:t>
      </w:r>
      <w:r w:rsidR="004D1845">
        <w:rPr>
          <w:rStyle w:val="FootnoteReference"/>
        </w:rPr>
        <w:footnoteReference w:id="26"/>
      </w:r>
      <w:r w:rsidR="004D1845">
        <w:t xml:space="preserve"> Thus, the</w:t>
      </w:r>
      <w:r w:rsidR="009C0530">
        <w:t xml:space="preserve"> claim</w:t>
      </w:r>
      <w:r w:rsidR="004D1845">
        <w:t xml:space="preserve"> was directed to “wirelessly communicating status information about a system.”</w:t>
      </w:r>
      <w:r w:rsidR="004D1845">
        <w:rPr>
          <w:rStyle w:val="FootnoteReference"/>
        </w:rPr>
        <w:footnoteReference w:id="27"/>
      </w:r>
      <w:r w:rsidR="00C65762">
        <w:t xml:space="preserve"> </w:t>
      </w:r>
      <w:r w:rsidR="009C0530">
        <w:t>Having already found similar claims to be abstract ideas in past cases, the court held the “broad concept of communicating information wirelessly, without more, is an abstract idea.”</w:t>
      </w:r>
      <w:r w:rsidR="009C0530">
        <w:rPr>
          <w:rStyle w:val="FootnoteReference"/>
        </w:rPr>
        <w:footnoteReference w:id="28"/>
      </w:r>
    </w:p>
    <w:p w14:paraId="7E821449" w14:textId="2A5D3C1F" w:rsidR="00012E38" w:rsidRDefault="003A1CE3" w:rsidP="0033193D">
      <w:r>
        <w:tab/>
        <w:t>At step two, the court found no inventive concept in the patent.</w:t>
      </w:r>
      <w:r>
        <w:rPr>
          <w:rStyle w:val="FootnoteReference"/>
        </w:rPr>
        <w:footnoteReference w:id="29"/>
      </w:r>
      <w:r>
        <w:t xml:space="preserve"> The invention included “conventional components, all recited in a generic way</w:t>
      </w:r>
      <w:r w:rsidR="00E62F05">
        <w:t>.</w:t>
      </w:r>
      <w:r>
        <w:t>”</w:t>
      </w:r>
      <w:r w:rsidR="00E62F05">
        <w:rPr>
          <w:rStyle w:val="FootnoteReference"/>
        </w:rPr>
        <w:footnoteReference w:id="30"/>
      </w:r>
      <w:r>
        <w:t xml:space="preserve"> </w:t>
      </w:r>
      <w:r w:rsidR="00E62F05">
        <w:t xml:space="preserve">While the prior art </w:t>
      </w:r>
      <w:r w:rsidR="00E62F05">
        <w:lastRenderedPageBreak/>
        <w:t>may not have combined the components in such a way, the alleged inventive concept was just wireless transmission.</w:t>
      </w:r>
      <w:r w:rsidR="00E62F05">
        <w:rPr>
          <w:rStyle w:val="FootnoteReference"/>
        </w:rPr>
        <w:footnoteReference w:id="31"/>
      </w:r>
      <w:r w:rsidR="00B6226A">
        <w:t xml:space="preserve"> The court held “[w]</w:t>
      </w:r>
      <w:r w:rsidR="00E62F05">
        <w:t>ireless communication cannot be an inventive concept here, because it is the abstract idea that the claims are directed to.</w:t>
      </w:r>
      <w:r w:rsidR="00B6226A">
        <w:t>”</w:t>
      </w:r>
      <w:r w:rsidR="00E62F05">
        <w:rPr>
          <w:rStyle w:val="FootnoteReference"/>
        </w:rPr>
        <w:footnoteReference w:id="32"/>
      </w:r>
      <w:r w:rsidR="00E62F05">
        <w:t xml:space="preserve"> </w:t>
      </w:r>
    </w:p>
    <w:p w14:paraId="7827D42E" w14:textId="77777777" w:rsidR="00012E38" w:rsidRPr="00080809" w:rsidRDefault="00012E38" w:rsidP="0033193D">
      <w:pPr>
        <w:ind w:firstLine="720"/>
      </w:pPr>
    </w:p>
    <w:p w14:paraId="057F423B" w14:textId="3132FBD0" w:rsidR="002770B6" w:rsidRDefault="00AE73C3" w:rsidP="00051F21">
      <w:pPr>
        <w:pStyle w:val="Heading2"/>
      </w:pPr>
      <w:bookmarkStart w:id="11" w:name="_Toc516586519"/>
      <w:bookmarkStart w:id="12" w:name="_Toc26792739"/>
      <w:r>
        <w:t>Software and Business Method Cases</w:t>
      </w:r>
      <w:bookmarkStart w:id="13" w:name="_Toc516586524"/>
      <w:bookmarkEnd w:id="11"/>
      <w:bookmarkEnd w:id="12"/>
    </w:p>
    <w:p w14:paraId="609D5667" w14:textId="20F42658" w:rsidR="00137024" w:rsidRPr="00136E52" w:rsidRDefault="00051F21" w:rsidP="00136E52">
      <w:pPr>
        <w:pStyle w:val="Heading3"/>
      </w:pPr>
      <w:bookmarkStart w:id="14" w:name="_Toc26792740"/>
      <w:r w:rsidRPr="00136E52">
        <w:t>Unpatentable</w:t>
      </w:r>
      <w:bookmarkEnd w:id="14"/>
    </w:p>
    <w:p w14:paraId="5DFF3BE2" w14:textId="138510C5" w:rsidR="00F967B5" w:rsidRPr="007D794F" w:rsidRDefault="00F967B5" w:rsidP="00136E52">
      <w:pPr>
        <w:pStyle w:val="Heading4"/>
      </w:pPr>
      <w:bookmarkStart w:id="15" w:name="_Toc26792741"/>
      <w:r w:rsidRPr="007D794F">
        <w:rPr>
          <w:i/>
        </w:rPr>
        <w:t>Solutran, Inc. v. Evalon, Inc.</w:t>
      </w:r>
      <w:r w:rsidRPr="007D794F">
        <w:t>, 931 F.3d 1161</w:t>
      </w:r>
      <w:r w:rsidR="007D794F" w:rsidRPr="007D794F">
        <w:t xml:space="preserve"> (Fed. Cir. July 30, 2019)</w:t>
      </w:r>
      <w:r w:rsidRPr="007D794F">
        <w:t>.</w:t>
      </w:r>
      <w:bookmarkEnd w:id="15"/>
    </w:p>
    <w:p w14:paraId="6EC8BA65" w14:textId="7B5D5CF0" w:rsidR="007D794F" w:rsidRDefault="003E3601" w:rsidP="007D794F">
      <w:pPr>
        <w:ind w:firstLine="720"/>
        <w:rPr>
          <w:rFonts w:cs="Times New Roman"/>
        </w:rPr>
      </w:pPr>
      <w:r>
        <w:rPr>
          <w:rFonts w:cs="Times New Roman"/>
        </w:rPr>
        <w:t xml:space="preserve">In this appeal from the District </w:t>
      </w:r>
      <w:r w:rsidR="004340DF">
        <w:rPr>
          <w:rFonts w:cs="Times New Roman"/>
        </w:rPr>
        <w:t>of Minnesota,</w:t>
      </w:r>
      <w:r>
        <w:rPr>
          <w:rFonts w:cs="Times New Roman"/>
        </w:rPr>
        <w:t xml:space="preserve"> </w:t>
      </w:r>
      <w:r w:rsidR="004340DF">
        <w:rPr>
          <w:rFonts w:cs="Times New Roman"/>
        </w:rPr>
        <w:t xml:space="preserve">the Federal Circuit reversed </w:t>
      </w:r>
      <w:r w:rsidR="0072352F">
        <w:rPr>
          <w:rFonts w:cs="Times New Roman"/>
        </w:rPr>
        <w:t xml:space="preserve">and held the patent </w:t>
      </w:r>
      <w:r w:rsidR="00130510">
        <w:rPr>
          <w:rFonts w:cs="Times New Roman"/>
        </w:rPr>
        <w:t xml:space="preserve">was </w:t>
      </w:r>
      <w:r w:rsidR="005527CB">
        <w:rPr>
          <w:rFonts w:cs="Times New Roman"/>
        </w:rPr>
        <w:t>“</w:t>
      </w:r>
      <w:r w:rsidR="005527CB" w:rsidRPr="005527CB">
        <w:rPr>
          <w:rFonts w:cs="Times New Roman"/>
        </w:rPr>
        <w:t>directed to the abstract idea of crediting a merchant’s account as early as possible while el</w:t>
      </w:r>
      <w:r w:rsidR="00130510">
        <w:rPr>
          <w:rFonts w:cs="Times New Roman"/>
        </w:rPr>
        <w:t>ectronically processing a check” and without inventive concept.</w:t>
      </w:r>
      <w:r w:rsidR="00D07627">
        <w:rPr>
          <w:rStyle w:val="FootnoteReference"/>
          <w:rFonts w:cs="Times New Roman"/>
        </w:rPr>
        <w:footnoteReference w:id="33"/>
      </w:r>
    </w:p>
    <w:p w14:paraId="390E0717" w14:textId="11B26B06" w:rsidR="0025505C" w:rsidRDefault="0025505C" w:rsidP="007D794F">
      <w:pPr>
        <w:ind w:firstLine="720"/>
        <w:rPr>
          <w:rFonts w:cs="Times New Roman"/>
        </w:rPr>
      </w:pPr>
      <w:r>
        <w:rPr>
          <w:rFonts w:cs="Times New Roman"/>
        </w:rPr>
        <w:t xml:space="preserve">The ’945 patent </w:t>
      </w:r>
      <w:r w:rsidR="00D07627">
        <w:rPr>
          <w:rFonts w:cs="Times New Roman"/>
        </w:rPr>
        <w:t>claimed</w:t>
      </w:r>
      <w:r>
        <w:rPr>
          <w:rFonts w:cs="Times New Roman"/>
        </w:rPr>
        <w:t xml:space="preserve"> a method </w:t>
      </w:r>
      <w:r w:rsidR="00256E39">
        <w:rPr>
          <w:rFonts w:cs="Times New Roman"/>
        </w:rPr>
        <w:t xml:space="preserve">for </w:t>
      </w:r>
      <w:r>
        <w:rPr>
          <w:rFonts w:cs="Times New Roman"/>
        </w:rPr>
        <w:t xml:space="preserve">processing </w:t>
      </w:r>
      <w:r w:rsidR="006A1191">
        <w:rPr>
          <w:rFonts w:cs="Times New Roman"/>
        </w:rPr>
        <w:t>checks</w:t>
      </w:r>
      <w:r w:rsidR="00D07627">
        <w:rPr>
          <w:rFonts w:cs="Times New Roman"/>
        </w:rPr>
        <w:t>.</w:t>
      </w:r>
      <w:r w:rsidR="00D07627">
        <w:rPr>
          <w:rStyle w:val="FootnoteReference"/>
          <w:rFonts w:cs="Times New Roman"/>
        </w:rPr>
        <w:footnoteReference w:id="34"/>
      </w:r>
      <w:r w:rsidR="00256E39">
        <w:rPr>
          <w:rFonts w:cs="Times New Roman"/>
        </w:rPr>
        <w:t xml:space="preserve"> </w:t>
      </w:r>
      <w:r w:rsidR="00922E59">
        <w:rPr>
          <w:rFonts w:cs="Times New Roman"/>
        </w:rPr>
        <w:t xml:space="preserve"> </w:t>
      </w:r>
      <w:r w:rsidR="00213536">
        <w:rPr>
          <w:rFonts w:cs="Times New Roman"/>
        </w:rPr>
        <w:t>To</w:t>
      </w:r>
      <w:r w:rsidR="00A724B5">
        <w:rPr>
          <w:rFonts w:cs="Times New Roman"/>
        </w:rPr>
        <w:t xml:space="preserve"> paraphrase</w:t>
      </w:r>
      <w:r w:rsidR="00213536">
        <w:rPr>
          <w:rFonts w:cs="Times New Roman"/>
        </w:rPr>
        <w:t xml:space="preserve">, banks would </w:t>
      </w:r>
      <w:r w:rsidR="006A1191">
        <w:rPr>
          <w:rFonts w:cs="Times New Roman"/>
        </w:rPr>
        <w:t xml:space="preserve">1) </w:t>
      </w:r>
      <w:r w:rsidR="00213536">
        <w:rPr>
          <w:rFonts w:cs="Times New Roman"/>
        </w:rPr>
        <w:t>receive</w:t>
      </w:r>
      <w:r w:rsidR="00A724B5">
        <w:rPr>
          <w:rFonts w:cs="Times New Roman"/>
        </w:rPr>
        <w:t xml:space="preserve"> </w:t>
      </w:r>
      <w:r w:rsidR="00256E39">
        <w:rPr>
          <w:rFonts w:cs="Times New Roman"/>
        </w:rPr>
        <w:t xml:space="preserve">data captured </w:t>
      </w:r>
      <w:r w:rsidR="00213536">
        <w:rPr>
          <w:rFonts w:cs="Times New Roman"/>
        </w:rPr>
        <w:t xml:space="preserve">at sale </w:t>
      </w:r>
      <w:r w:rsidR="00256E39">
        <w:rPr>
          <w:rFonts w:cs="Times New Roman"/>
        </w:rPr>
        <w:t xml:space="preserve">through </w:t>
      </w:r>
      <w:r w:rsidR="00A724B5">
        <w:rPr>
          <w:rFonts w:cs="Times New Roman"/>
        </w:rPr>
        <w:t>magnetic ink character recognition</w:t>
      </w:r>
      <w:r w:rsidR="00213536">
        <w:rPr>
          <w:rFonts w:cs="Times New Roman"/>
        </w:rPr>
        <w:t xml:space="preserve"> (MICR)</w:t>
      </w:r>
      <w:r w:rsidR="00A724B5">
        <w:rPr>
          <w:rFonts w:cs="Times New Roman"/>
        </w:rPr>
        <w:t xml:space="preserve">, 2) </w:t>
      </w:r>
      <w:r w:rsidR="00213536">
        <w:rPr>
          <w:rFonts w:cs="Times New Roman"/>
        </w:rPr>
        <w:t>immediately credit</w:t>
      </w:r>
      <w:r w:rsidR="00A724B5">
        <w:rPr>
          <w:rFonts w:cs="Times New Roman"/>
        </w:rPr>
        <w:t xml:space="preserve"> the merchant’s account, 3) </w:t>
      </w:r>
      <w:r w:rsidR="00213536">
        <w:rPr>
          <w:rFonts w:cs="Times New Roman"/>
        </w:rPr>
        <w:t>later receive</w:t>
      </w:r>
      <w:r w:rsidR="00A724B5">
        <w:rPr>
          <w:rFonts w:cs="Times New Roman"/>
        </w:rPr>
        <w:t xml:space="preserve"> the check </w:t>
      </w:r>
      <w:r w:rsidR="00213536">
        <w:rPr>
          <w:rFonts w:cs="Times New Roman"/>
        </w:rPr>
        <w:t>at</w:t>
      </w:r>
      <w:r w:rsidR="00A724B5">
        <w:rPr>
          <w:rFonts w:cs="Times New Roman"/>
        </w:rPr>
        <w:t xml:space="preserve"> the bank </w:t>
      </w:r>
      <w:r w:rsidR="00213536">
        <w:rPr>
          <w:rFonts w:cs="Times New Roman"/>
        </w:rPr>
        <w:t>and take a digital scan</w:t>
      </w:r>
      <w:r w:rsidR="00A724B5">
        <w:rPr>
          <w:rFonts w:cs="Times New Roman"/>
        </w:rPr>
        <w:t>,</w:t>
      </w:r>
      <w:r w:rsidR="00213536">
        <w:rPr>
          <w:rFonts w:cs="Times New Roman"/>
        </w:rPr>
        <w:t xml:space="preserve"> 4) compare the MICR data and the scanned image.</w:t>
      </w:r>
      <w:r w:rsidR="00213536">
        <w:rPr>
          <w:rStyle w:val="FootnoteReference"/>
          <w:rFonts w:cs="Times New Roman"/>
        </w:rPr>
        <w:footnoteReference w:id="35"/>
      </w:r>
      <w:r w:rsidR="009D53CD">
        <w:rPr>
          <w:rFonts w:cs="Times New Roman"/>
        </w:rPr>
        <w:t xml:space="preserve">  The district court</w:t>
      </w:r>
      <w:r w:rsidR="001E4B44">
        <w:rPr>
          <w:rFonts w:cs="Times New Roman"/>
        </w:rPr>
        <w:t xml:space="preserve"> agreed with</w:t>
      </w:r>
      <w:r w:rsidR="009D53CD">
        <w:rPr>
          <w:rFonts w:cs="Times New Roman"/>
        </w:rPr>
        <w:t xml:space="preserve"> </w:t>
      </w:r>
      <w:r w:rsidR="00C66BA6">
        <w:rPr>
          <w:rFonts w:cs="Times New Roman"/>
        </w:rPr>
        <w:t>an</w:t>
      </w:r>
      <w:r w:rsidR="009D53CD">
        <w:rPr>
          <w:rFonts w:cs="Times New Roman"/>
        </w:rPr>
        <w:t xml:space="preserve"> earlier Patent Trial </w:t>
      </w:r>
      <w:r w:rsidR="001E4B44">
        <w:rPr>
          <w:rFonts w:cs="Times New Roman"/>
        </w:rPr>
        <w:t xml:space="preserve">and </w:t>
      </w:r>
      <w:r w:rsidR="009D53CD">
        <w:rPr>
          <w:rFonts w:cs="Times New Roman"/>
        </w:rPr>
        <w:t>Appeal Board covered business method review</w:t>
      </w:r>
      <w:r w:rsidR="00C66BA6">
        <w:rPr>
          <w:rFonts w:cs="Times New Roman"/>
        </w:rPr>
        <w:t xml:space="preserve">.  Both reasoned </w:t>
      </w:r>
      <w:r w:rsidR="009D53CD">
        <w:rPr>
          <w:rFonts w:cs="Times New Roman"/>
        </w:rPr>
        <w:t xml:space="preserve">that the patent was directed towards processing paper checks, not </w:t>
      </w:r>
      <w:r w:rsidR="00130510">
        <w:rPr>
          <w:rFonts w:cs="Times New Roman"/>
        </w:rPr>
        <w:t xml:space="preserve">towards processing </w:t>
      </w:r>
      <w:r w:rsidR="009D53CD">
        <w:rPr>
          <w:rFonts w:cs="Times New Roman"/>
        </w:rPr>
        <w:t>data abstracted from the checks</w:t>
      </w:r>
      <w:r w:rsidR="00130510">
        <w:rPr>
          <w:rFonts w:cs="Times New Roman"/>
        </w:rPr>
        <w:t xml:space="preserve"> </w:t>
      </w:r>
      <w:r w:rsidR="009D53CD">
        <w:rPr>
          <w:rFonts w:cs="Times New Roman"/>
        </w:rPr>
        <w:t>—</w:t>
      </w:r>
      <w:r w:rsidR="00130510">
        <w:rPr>
          <w:rFonts w:cs="Times New Roman"/>
        </w:rPr>
        <w:t xml:space="preserve"> </w:t>
      </w:r>
      <w:r w:rsidR="009D53CD">
        <w:rPr>
          <w:rFonts w:cs="Times New Roman"/>
        </w:rPr>
        <w:t>and so not directed to an abstract idea.</w:t>
      </w:r>
      <w:r w:rsidR="009D53CD">
        <w:rPr>
          <w:rStyle w:val="FootnoteReference"/>
          <w:rFonts w:cs="Times New Roman"/>
        </w:rPr>
        <w:footnoteReference w:id="36"/>
      </w:r>
      <w:r w:rsidR="00B759CA">
        <w:rPr>
          <w:rFonts w:cs="Times New Roman"/>
        </w:rPr>
        <w:t xml:space="preserve">  </w:t>
      </w:r>
      <w:r w:rsidR="00593FD1">
        <w:rPr>
          <w:rFonts w:cs="Times New Roman"/>
        </w:rPr>
        <w:t>T</w:t>
      </w:r>
      <w:r w:rsidR="00B759CA">
        <w:rPr>
          <w:rFonts w:cs="Times New Roman"/>
        </w:rPr>
        <w:t xml:space="preserve">he district court </w:t>
      </w:r>
      <w:r w:rsidR="0030702C">
        <w:rPr>
          <w:rFonts w:cs="Times New Roman"/>
        </w:rPr>
        <w:t xml:space="preserve">alternatively </w:t>
      </w:r>
      <w:r w:rsidR="00B759CA">
        <w:rPr>
          <w:rFonts w:cs="Times New Roman"/>
        </w:rPr>
        <w:t xml:space="preserve">found </w:t>
      </w:r>
      <w:r w:rsidR="00C66BA6">
        <w:rPr>
          <w:rFonts w:cs="Times New Roman"/>
        </w:rPr>
        <w:t>that, even if directed to an abstract idea, the</w:t>
      </w:r>
      <w:r w:rsidR="00B759CA">
        <w:rPr>
          <w:rFonts w:cs="Times New Roman"/>
        </w:rPr>
        <w:t xml:space="preserve"> patent </w:t>
      </w:r>
      <w:r w:rsidR="005527CB">
        <w:rPr>
          <w:rFonts w:cs="Times New Roman"/>
        </w:rPr>
        <w:t>disclosed an inventive concept (here a nonobvious combination of steps) and passed the machine-or-transformation test (transforming paper checks into digital images).</w:t>
      </w:r>
      <w:r w:rsidR="005527CB">
        <w:rPr>
          <w:rStyle w:val="FootnoteReference"/>
          <w:rFonts w:cs="Times New Roman"/>
        </w:rPr>
        <w:footnoteReference w:id="37"/>
      </w:r>
    </w:p>
    <w:p w14:paraId="48091E8B" w14:textId="1543010D" w:rsidR="00610256" w:rsidRDefault="005527CB" w:rsidP="00C66BA6">
      <w:pPr>
        <w:ind w:firstLine="720"/>
      </w:pPr>
      <w:r>
        <w:t>The Federal Circuit reversed.</w:t>
      </w:r>
      <w:r w:rsidR="00CB3115">
        <w:rPr>
          <w:rStyle w:val="FootnoteReference"/>
        </w:rPr>
        <w:footnoteReference w:id="38"/>
      </w:r>
      <w:r w:rsidR="00CB3115">
        <w:t xml:space="preserve">  </w:t>
      </w:r>
      <w:r w:rsidR="00322FE8">
        <w:t xml:space="preserve">The Board and lower court </w:t>
      </w:r>
      <w:r w:rsidR="00C66BA6">
        <w:t>wrongly believed</w:t>
      </w:r>
      <w:r w:rsidR="00322FE8">
        <w:t xml:space="preserve"> that patent claims involving physical objects could not be directed to abstract idea</w:t>
      </w:r>
      <w:r w:rsidR="00C66BA6">
        <w:t>s</w:t>
      </w:r>
      <w:r w:rsidR="00322FE8">
        <w:t>.</w:t>
      </w:r>
      <w:r w:rsidR="00322FE8">
        <w:rPr>
          <w:rStyle w:val="FootnoteReference"/>
        </w:rPr>
        <w:footnoteReference w:id="39"/>
      </w:r>
      <w:r w:rsidR="00322FE8">
        <w:t xml:space="preserve">  </w:t>
      </w:r>
      <w:r w:rsidR="00780966">
        <w:t>At step one, the claims were directed towards “</w:t>
      </w:r>
      <w:r w:rsidR="0055091D">
        <w:t>crediting the merchant’s account</w:t>
      </w:r>
      <w:r w:rsidR="00780966">
        <w:t>” as soon as possible, or mo</w:t>
      </w:r>
      <w:r w:rsidR="00322FE8">
        <w:t>re</w:t>
      </w:r>
      <w:r w:rsidR="00780966">
        <w:t xml:space="preserve"> specifically</w:t>
      </w:r>
      <w:r w:rsidR="00322FE8">
        <w:t xml:space="preserve"> towards crediting the account</w:t>
      </w:r>
      <w:r w:rsidR="00780966">
        <w:t xml:space="preserve"> “</w:t>
      </w:r>
      <w:r w:rsidR="0055091D">
        <w:t>before the paper check is scanned</w:t>
      </w:r>
      <w:r w:rsidR="00AA7B6D">
        <w:t xml:space="preserve">” — and </w:t>
      </w:r>
      <w:r w:rsidR="0055091D">
        <w:t>“this is an abstract idea.”</w:t>
      </w:r>
      <w:r w:rsidR="0055091D">
        <w:rPr>
          <w:rStyle w:val="FootnoteReference"/>
        </w:rPr>
        <w:footnoteReference w:id="40"/>
      </w:r>
      <w:r w:rsidR="0055091D">
        <w:t xml:space="preserve">  </w:t>
      </w:r>
      <w:r w:rsidR="00C66BA6">
        <w:t>Rapidly crediting a merchant’s account</w:t>
      </w:r>
      <w:r w:rsidR="00780966">
        <w:t xml:space="preserve"> </w:t>
      </w:r>
      <w:r w:rsidR="00AA7B6D">
        <w:t>was</w:t>
      </w:r>
      <w:r w:rsidR="00780966">
        <w:t xml:space="preserve"> a “long-standing commercial practice,” just as hedging was in </w:t>
      </w:r>
      <w:r w:rsidR="00780966">
        <w:rPr>
          <w:i/>
          <w:iCs/>
        </w:rPr>
        <w:t>Bilski v. Kappos</w:t>
      </w:r>
      <w:r w:rsidR="00780966">
        <w:t>.</w:t>
      </w:r>
      <w:r w:rsidR="00780966">
        <w:rPr>
          <w:rStyle w:val="FootnoteReference"/>
        </w:rPr>
        <w:footnoteReference w:id="41"/>
      </w:r>
      <w:r w:rsidR="00780966">
        <w:t xml:space="preserve">  And </w:t>
      </w:r>
      <w:r w:rsidR="00322FE8">
        <w:lastRenderedPageBreak/>
        <w:t>the check processing steps</w:t>
      </w:r>
      <w:r w:rsidR="00C66BA6">
        <w:t xml:space="preserve"> used here</w:t>
      </w:r>
      <w:r w:rsidR="00322FE8">
        <w:t xml:space="preserve"> were akin to the</w:t>
      </w:r>
      <w:r w:rsidR="005501BD">
        <w:t xml:space="preserve"> </w:t>
      </w:r>
      <w:r w:rsidR="00CB3115">
        <w:t xml:space="preserve">“data collection, recognition, and storage” </w:t>
      </w:r>
      <w:r w:rsidR="00FF455E">
        <w:t>steps</w:t>
      </w:r>
      <w:r w:rsidR="00CB3115">
        <w:t xml:space="preserve"> </w:t>
      </w:r>
      <w:r w:rsidR="00322FE8">
        <w:t xml:space="preserve">deemed abstract </w:t>
      </w:r>
      <w:r w:rsidR="00C66BA6">
        <w:t>elsewhere</w:t>
      </w:r>
      <w:r w:rsidR="00016C02">
        <w:t>.</w:t>
      </w:r>
      <w:r w:rsidR="00CB3115">
        <w:rPr>
          <w:rStyle w:val="FootnoteReference"/>
        </w:rPr>
        <w:footnoteReference w:id="42"/>
      </w:r>
      <w:r w:rsidR="00CB3115">
        <w:t xml:space="preserve"> </w:t>
      </w:r>
      <w:r w:rsidR="00C6009D">
        <w:t xml:space="preserve"> Indeed, “the specification states</w:t>
      </w:r>
      <w:r w:rsidR="00FF455E">
        <w:t xml:space="preserve"> . . . </w:t>
      </w:r>
      <w:r w:rsidR="00C6009D" w:rsidRPr="00C6009D">
        <w:t xml:space="preserve">that the steps of the claim </w:t>
      </w:r>
      <w:r w:rsidR="00780966">
        <w:t>[we]</w:t>
      </w:r>
      <w:r w:rsidR="00C6009D" w:rsidRPr="00C6009D">
        <w:t>re conventional processes</w:t>
      </w:r>
      <w:r w:rsidR="007F6102">
        <w:t>.</w:t>
      </w:r>
      <w:r w:rsidR="00C6009D">
        <w:t>”</w:t>
      </w:r>
      <w:r w:rsidR="00C6009D">
        <w:rPr>
          <w:rStyle w:val="FootnoteReference"/>
        </w:rPr>
        <w:footnoteReference w:id="43"/>
      </w:r>
      <w:r w:rsidR="00C6009D">
        <w:t xml:space="preserve">  </w:t>
      </w:r>
      <w:r w:rsidR="00E71899">
        <w:t>No caveat</w:t>
      </w:r>
      <w:r w:rsidR="005501BD">
        <w:t xml:space="preserve"> </w:t>
      </w:r>
      <w:r w:rsidR="00C126A8">
        <w:t>could</w:t>
      </w:r>
      <w:r w:rsidR="00C909B0">
        <w:t xml:space="preserve"> save</w:t>
      </w:r>
      <w:r w:rsidR="005501BD">
        <w:t xml:space="preserve"> the</w:t>
      </w:r>
      <w:r w:rsidR="00C909B0">
        <w:t xml:space="preserve"> claims from abstraction.  </w:t>
      </w:r>
      <w:r w:rsidR="00C126A8">
        <w:t>They</w:t>
      </w:r>
      <w:r w:rsidR="005059BE">
        <w:t xml:space="preserve"> did not </w:t>
      </w:r>
      <w:r w:rsidR="00C909B0">
        <w:t>disclose</w:t>
      </w:r>
      <w:r w:rsidR="005059BE">
        <w:t xml:space="preserve"> </w:t>
      </w:r>
      <w:r w:rsidR="00640014">
        <w:t>“a specific improvement to the way computers operate</w:t>
      </w:r>
      <w:r w:rsidR="0047359E">
        <w:t>,</w:t>
      </w:r>
      <w:r w:rsidR="00FC1496">
        <w:t>”</w:t>
      </w:r>
      <w:r w:rsidR="00FC1496">
        <w:rPr>
          <w:rStyle w:val="FootnoteReference"/>
        </w:rPr>
        <w:footnoteReference w:id="44"/>
      </w:r>
      <w:r w:rsidR="0047359E">
        <w:t xml:space="preserve"> nor </w:t>
      </w:r>
      <w:r w:rsidR="00A77BC1">
        <w:t xml:space="preserve">“‘rules with specific characteristics’ [used] to create a technical </w:t>
      </w:r>
      <w:r w:rsidR="00042553">
        <w:t>effect.</w:t>
      </w:r>
      <w:r w:rsidR="00A77BC1">
        <w:t>”</w:t>
      </w:r>
      <w:r w:rsidR="00FA2E32">
        <w:rPr>
          <w:rStyle w:val="FootnoteReference"/>
        </w:rPr>
        <w:footnoteReference w:id="45"/>
      </w:r>
      <w:r w:rsidR="00042553">
        <w:t xml:space="preserve">  </w:t>
      </w:r>
    </w:p>
    <w:p w14:paraId="056C2F08" w14:textId="0BE9C203" w:rsidR="00B92DB2" w:rsidRDefault="00780966" w:rsidP="00052847">
      <w:pPr>
        <w:ind w:firstLine="720"/>
      </w:pPr>
      <w:r>
        <w:t>At step two,</w:t>
      </w:r>
      <w:r w:rsidR="007F744E">
        <w:t xml:space="preserve"> the court did not find </w:t>
      </w:r>
      <w:r w:rsidR="00C126A8">
        <w:t>an</w:t>
      </w:r>
      <w:r w:rsidR="007F744E">
        <w:t xml:space="preserve"> inventive concept. </w:t>
      </w:r>
      <w:r>
        <w:t xml:space="preserve"> “Reordering the [prior art] steps so that account crediting occurs before check </w:t>
      </w:r>
      <w:r w:rsidR="007F744E">
        <w:t xml:space="preserve">scanning” was precisely what the court found </w:t>
      </w:r>
      <w:r w:rsidR="00C126A8">
        <w:t xml:space="preserve">as </w:t>
      </w:r>
      <w:r w:rsidR="007F744E">
        <w:t>“</w:t>
      </w:r>
      <w:r>
        <w:t>the abstract idea in the claim, making it insufficient to constitute an inventive concept.”</w:t>
      </w:r>
      <w:r w:rsidR="007F744E">
        <w:rPr>
          <w:rStyle w:val="FootnoteReference"/>
        </w:rPr>
        <w:footnoteReference w:id="46"/>
      </w:r>
      <w:r w:rsidR="004874F0">
        <w:t xml:space="preserve">  </w:t>
      </w:r>
      <w:r w:rsidR="00E71899">
        <w:t>The court</w:t>
      </w:r>
      <w:r w:rsidR="004874F0">
        <w:t xml:space="preserve"> also rejected the </w:t>
      </w:r>
      <w:r w:rsidR="00C126A8">
        <w:t>argument</w:t>
      </w:r>
      <w:r w:rsidR="004874F0">
        <w:t xml:space="preserve"> that scanning check</w:t>
      </w:r>
      <w:r w:rsidR="00E71899">
        <w:t>s pass</w:t>
      </w:r>
      <w:r w:rsidR="00C126A8">
        <w:t>ed</w:t>
      </w:r>
      <w:r w:rsidR="004874F0">
        <w:t xml:space="preserve"> a machine-or-transformation test</w:t>
      </w:r>
      <w:r w:rsidR="00E71899">
        <w:t>, should such a test be good law.</w:t>
      </w:r>
      <w:r w:rsidR="00E71899">
        <w:rPr>
          <w:rStyle w:val="FootnoteReference"/>
        </w:rPr>
        <w:footnoteReference w:id="47"/>
      </w:r>
      <w:r w:rsidR="004874F0">
        <w:t xml:space="preserve">  </w:t>
      </w:r>
      <w:r w:rsidR="00E71899">
        <w:t>“Merely using a general-purpose computer and scanner to perform conventional activities in the way they always have, as the claims do here, does not amount to an inventive concept.”</w:t>
      </w:r>
      <w:r w:rsidR="00E71899">
        <w:rPr>
          <w:rStyle w:val="FootnoteReference"/>
        </w:rPr>
        <w:footnoteReference w:id="48"/>
      </w:r>
    </w:p>
    <w:p w14:paraId="2021EE67" w14:textId="622526D7" w:rsidR="009135B0" w:rsidRPr="00F63957" w:rsidRDefault="009135B0" w:rsidP="00136E52">
      <w:pPr>
        <w:pStyle w:val="Heading4"/>
      </w:pPr>
      <w:bookmarkStart w:id="16" w:name="_Toc26792742"/>
      <w:r>
        <w:rPr>
          <w:i/>
        </w:rPr>
        <w:t xml:space="preserve">Trading Techs. </w:t>
      </w:r>
      <w:r w:rsidRPr="00052847">
        <w:rPr>
          <w:i/>
          <w:lang w:val="es-ES"/>
        </w:rPr>
        <w:t>Int’l, Inc. v. IBG LLC</w:t>
      </w:r>
      <w:r w:rsidRPr="00052847">
        <w:rPr>
          <w:lang w:val="es-ES"/>
        </w:rPr>
        <w:t>, Nos. 2017-2257, 2017-2621, 2018-1063 (</w:t>
      </w:r>
      <w:r w:rsidR="00052847" w:rsidRPr="00052847">
        <w:rPr>
          <w:lang w:val="es-ES"/>
        </w:rPr>
        <w:t xml:space="preserve">Fed. Cir. </w:t>
      </w:r>
      <w:r w:rsidRPr="00F63957">
        <w:t>Apr. 18, 2019)</w:t>
      </w:r>
      <w:r w:rsidR="003D241D" w:rsidRPr="00F63957">
        <w:t>.</w:t>
      </w:r>
      <w:bookmarkEnd w:id="16"/>
    </w:p>
    <w:p w14:paraId="1A00D380" w14:textId="72EDD87B" w:rsidR="009605B1" w:rsidRDefault="001B5C03" w:rsidP="00E16A6B">
      <w:pPr>
        <w:rPr>
          <w:rFonts w:cs="Times New Roman"/>
        </w:rPr>
      </w:pPr>
      <w:r>
        <w:rPr>
          <w:rFonts w:cs="Times New Roman"/>
        </w:rPr>
        <w:tab/>
        <w:t>In this appeal from the Patent Trial and Appeals Board (“PTAB”), the Federal Circuit</w:t>
      </w:r>
      <w:r w:rsidR="00E0124F">
        <w:rPr>
          <w:rFonts w:cs="Times New Roman"/>
        </w:rPr>
        <w:t xml:space="preserve"> (Moore, J., with </w:t>
      </w:r>
      <w:r w:rsidR="00D33022">
        <w:rPr>
          <w:rFonts w:cs="Times New Roman"/>
        </w:rPr>
        <w:t>Mayer and Linn, JJ.)</w:t>
      </w:r>
      <w:r>
        <w:rPr>
          <w:rFonts w:cs="Times New Roman"/>
        </w:rPr>
        <w:t xml:space="preserve"> affirmed that </w:t>
      </w:r>
      <w:r w:rsidR="00AB10E1">
        <w:rPr>
          <w:rFonts w:cs="Times New Roman"/>
        </w:rPr>
        <w:t xml:space="preserve">claims </w:t>
      </w:r>
      <w:r>
        <w:rPr>
          <w:rFonts w:cs="Times New Roman"/>
        </w:rPr>
        <w:t>directed towards a graphical user interface for electronic trading</w:t>
      </w:r>
      <w:r w:rsidR="00AB10E1">
        <w:rPr>
          <w:rFonts w:cs="Times New Roman"/>
        </w:rPr>
        <w:t xml:space="preserve"> were </w:t>
      </w:r>
      <w:r w:rsidR="009605B1">
        <w:rPr>
          <w:rFonts w:cs="Times New Roman"/>
        </w:rPr>
        <w:t>patent-</w:t>
      </w:r>
      <w:r w:rsidR="00AB10E1">
        <w:rPr>
          <w:rFonts w:cs="Times New Roman"/>
        </w:rPr>
        <w:t>ineligible</w:t>
      </w:r>
      <w:r>
        <w:rPr>
          <w:rFonts w:cs="Times New Roman"/>
        </w:rPr>
        <w:t>.</w:t>
      </w:r>
      <w:r w:rsidRPr="005A669A">
        <w:rPr>
          <w:rStyle w:val="FootnoteReference"/>
        </w:rPr>
        <w:footnoteReference w:id="49"/>
      </w:r>
      <w:r w:rsidR="009605B1">
        <w:rPr>
          <w:rFonts w:cs="Times New Roman"/>
        </w:rPr>
        <w:t xml:space="preserve"> </w:t>
      </w:r>
    </w:p>
    <w:p w14:paraId="3E15F9CA" w14:textId="648D2318" w:rsidR="009605B1" w:rsidRDefault="009605B1" w:rsidP="00E16A6B">
      <w:pPr>
        <w:rPr>
          <w:rFonts w:cs="Times New Roman"/>
        </w:rPr>
      </w:pPr>
      <w:r>
        <w:rPr>
          <w:rFonts w:cs="Times New Roman"/>
        </w:rPr>
        <w:tab/>
        <w:t>The case concerned the ’99</w:t>
      </w:r>
      <w:r w:rsidR="00727E69">
        <w:rPr>
          <w:rFonts w:cs="Times New Roman"/>
        </w:rPr>
        <w:t xml:space="preserve">9, </w:t>
      </w:r>
      <w:r w:rsidR="001D71E6">
        <w:rPr>
          <w:rFonts w:cs="Times New Roman"/>
        </w:rPr>
        <w:t>’056</w:t>
      </w:r>
      <w:r w:rsidR="00727E69">
        <w:rPr>
          <w:rFonts w:cs="Times New Roman"/>
        </w:rPr>
        <w:t>, and ’347</w:t>
      </w:r>
      <w:r>
        <w:rPr>
          <w:rFonts w:cs="Times New Roman"/>
        </w:rPr>
        <w:t xml:space="preserve"> patent</w:t>
      </w:r>
      <w:r w:rsidR="001D71E6">
        <w:rPr>
          <w:rFonts w:cs="Times New Roman"/>
        </w:rPr>
        <w:t>s</w:t>
      </w:r>
      <w:r w:rsidR="00AF1ADE">
        <w:rPr>
          <w:rFonts w:cs="Times New Roman"/>
        </w:rPr>
        <w:t>, which generally</w:t>
      </w:r>
      <w:r w:rsidR="00EB4471">
        <w:rPr>
          <w:rFonts w:cs="Times New Roman"/>
        </w:rPr>
        <w:t xml:space="preserve"> disclosed receiving bid and offer information, displaying indicators for them, receiving user input</w:t>
      </w:r>
      <w:r w:rsidR="007F452B">
        <w:rPr>
          <w:rFonts w:cs="Times New Roman"/>
        </w:rPr>
        <w:t>s</w:t>
      </w:r>
      <w:r w:rsidR="00EB4471">
        <w:rPr>
          <w:rFonts w:cs="Times New Roman"/>
        </w:rPr>
        <w:t>, and sending orders</w:t>
      </w:r>
      <w:r w:rsidR="00727E69">
        <w:rPr>
          <w:rFonts w:cs="Times New Roman"/>
        </w:rPr>
        <w:t>.</w:t>
      </w:r>
      <w:r w:rsidR="00EB4471" w:rsidRPr="005A669A">
        <w:rPr>
          <w:rStyle w:val="FootnoteReference"/>
        </w:rPr>
        <w:footnoteReference w:id="50"/>
      </w:r>
      <w:r w:rsidR="00727E69">
        <w:rPr>
          <w:rFonts w:cs="Times New Roman"/>
        </w:rPr>
        <w:t xml:space="preserve"> Each “</w:t>
      </w:r>
      <w:r w:rsidR="00727E69" w:rsidRPr="00727E69">
        <w:rPr>
          <w:rFonts w:cs="Times New Roman"/>
        </w:rPr>
        <w:t>disclose</w:t>
      </w:r>
      <w:r w:rsidR="00727E69">
        <w:rPr>
          <w:rFonts w:cs="Times New Roman"/>
        </w:rPr>
        <w:t>[d]</w:t>
      </w:r>
      <w:r w:rsidR="00727E69" w:rsidRPr="00727E69">
        <w:rPr>
          <w:rFonts w:cs="Times New Roman"/>
        </w:rPr>
        <w:t xml:space="preserve"> different ways of submitting orders and use</w:t>
      </w:r>
      <w:r w:rsidR="00727E69">
        <w:rPr>
          <w:rFonts w:cs="Times New Roman"/>
        </w:rPr>
        <w:t>[d]</w:t>
      </w:r>
      <w:r w:rsidR="00727E69" w:rsidRPr="00727E69">
        <w:rPr>
          <w:rFonts w:cs="Times New Roman"/>
        </w:rPr>
        <w:t xml:space="preserve"> slightly different terminology,</w:t>
      </w:r>
      <w:r w:rsidR="00727E69">
        <w:rPr>
          <w:rFonts w:cs="Times New Roman"/>
        </w:rPr>
        <w:t>” such as dictating the use of a graphed axis, but</w:t>
      </w:r>
      <w:r w:rsidR="00CD0CFF">
        <w:rPr>
          <w:rFonts w:cs="Times New Roman"/>
        </w:rPr>
        <w:t xml:space="preserve"> </w:t>
      </w:r>
      <w:r w:rsidR="00727E69">
        <w:rPr>
          <w:rFonts w:cs="Times New Roman"/>
        </w:rPr>
        <w:t>“</w:t>
      </w:r>
      <w:r w:rsidR="00727E69" w:rsidRPr="00727E69">
        <w:rPr>
          <w:rFonts w:cs="Times New Roman"/>
        </w:rPr>
        <w:t xml:space="preserve">these differences </w:t>
      </w:r>
      <w:r w:rsidR="00727E69">
        <w:rPr>
          <w:rFonts w:cs="Times New Roman"/>
        </w:rPr>
        <w:t>ha[d]</w:t>
      </w:r>
      <w:r w:rsidR="00727E69" w:rsidRPr="00727E69">
        <w:rPr>
          <w:rFonts w:cs="Times New Roman"/>
        </w:rPr>
        <w:t xml:space="preserve"> no effect on </w:t>
      </w:r>
      <w:r w:rsidR="001E71E2">
        <w:rPr>
          <w:rFonts w:cs="Times New Roman"/>
        </w:rPr>
        <w:t>[the Federal Circuit’s]</w:t>
      </w:r>
      <w:r w:rsidR="00727E69" w:rsidRPr="00727E69">
        <w:rPr>
          <w:rFonts w:cs="Times New Roman"/>
        </w:rPr>
        <w:t xml:space="preserve"> eligibility determination</w:t>
      </w:r>
      <w:r w:rsidR="00CD0CFF">
        <w:rPr>
          <w:rFonts w:cs="Times New Roman"/>
        </w:rPr>
        <w:t xml:space="preserve"> at step one,</w:t>
      </w:r>
      <w:r w:rsidR="00A33C57">
        <w:rPr>
          <w:rFonts w:cs="Times New Roman"/>
        </w:rPr>
        <w:t>”</w:t>
      </w:r>
      <w:r w:rsidR="00CD0CFF">
        <w:rPr>
          <w:rFonts w:cs="Times New Roman"/>
        </w:rPr>
        <w:t xml:space="preserve"> and </w:t>
      </w:r>
      <w:r w:rsidR="00AB22F2">
        <w:rPr>
          <w:rFonts w:cs="Times New Roman"/>
        </w:rPr>
        <w:t>little</w:t>
      </w:r>
      <w:r w:rsidR="007F452B">
        <w:rPr>
          <w:rFonts w:cs="Times New Roman"/>
        </w:rPr>
        <w:t>, it seemed, at step two</w:t>
      </w:r>
      <w:r w:rsidR="00CD0CFF">
        <w:rPr>
          <w:rFonts w:cs="Times New Roman"/>
        </w:rPr>
        <w:t>.</w:t>
      </w:r>
      <w:r w:rsidR="00A33C57" w:rsidRPr="005A669A">
        <w:rPr>
          <w:rStyle w:val="FootnoteReference"/>
        </w:rPr>
        <w:footnoteReference w:id="51"/>
      </w:r>
    </w:p>
    <w:p w14:paraId="1936EA62" w14:textId="25F82AB9" w:rsidR="00E845AC" w:rsidRDefault="00E845AC" w:rsidP="00297B61">
      <w:pPr>
        <w:rPr>
          <w:rFonts w:cs="Times New Roman"/>
        </w:rPr>
      </w:pPr>
      <w:r>
        <w:rPr>
          <w:rFonts w:cs="Times New Roman"/>
        </w:rPr>
        <w:tab/>
        <w:t xml:space="preserve">At step one, the Federal Circuit </w:t>
      </w:r>
      <w:r w:rsidR="00BA47B5">
        <w:rPr>
          <w:rFonts w:cs="Times New Roman"/>
        </w:rPr>
        <w:t>affirmed the</w:t>
      </w:r>
      <w:r w:rsidR="001E71E2">
        <w:rPr>
          <w:rFonts w:cs="Times New Roman"/>
        </w:rPr>
        <w:t xml:space="preserve"> PTAB’s finding that the</w:t>
      </w:r>
      <w:r w:rsidR="00BA47B5">
        <w:rPr>
          <w:rFonts w:cs="Times New Roman"/>
        </w:rPr>
        <w:t xml:space="preserve"> claims</w:t>
      </w:r>
      <w:r>
        <w:rPr>
          <w:rFonts w:cs="Times New Roman"/>
        </w:rPr>
        <w:t xml:space="preserve"> were directed to </w:t>
      </w:r>
      <w:r w:rsidRPr="00E845AC">
        <w:rPr>
          <w:rFonts w:cs="Times New Roman"/>
        </w:rPr>
        <w:t>“the abstract idea of graphing (or displaying) bids and offers to assist a trader to make an order.”</w:t>
      </w:r>
      <w:r w:rsidR="00BA47B5" w:rsidRPr="005A669A">
        <w:rPr>
          <w:rStyle w:val="FootnoteReference"/>
        </w:rPr>
        <w:footnoteReference w:id="52"/>
      </w:r>
      <w:r w:rsidR="00297B61">
        <w:rPr>
          <w:rFonts w:cs="Times New Roman"/>
        </w:rPr>
        <w:t xml:space="preserve"> “</w:t>
      </w:r>
      <w:r w:rsidR="00297B61" w:rsidRPr="00297B61">
        <w:rPr>
          <w:rFonts w:cs="Times New Roman"/>
        </w:rPr>
        <w:t xml:space="preserve">The fact that the claims add a degree of particularity as to how an order is placed in </w:t>
      </w:r>
      <w:r w:rsidR="007F452B">
        <w:rPr>
          <w:rFonts w:cs="Times New Roman"/>
        </w:rPr>
        <w:t>[a given]</w:t>
      </w:r>
      <w:r w:rsidR="00297B61">
        <w:rPr>
          <w:rFonts w:cs="Times New Roman"/>
        </w:rPr>
        <w:t xml:space="preserve"> </w:t>
      </w:r>
      <w:r w:rsidR="00297B61" w:rsidRPr="00297B61">
        <w:rPr>
          <w:rFonts w:cs="Times New Roman"/>
        </w:rPr>
        <w:t>case does not impact our analysis at step one</w:t>
      </w:r>
      <w:r w:rsidR="00297B61">
        <w:rPr>
          <w:rFonts w:cs="Times New Roman"/>
        </w:rPr>
        <w:t>.”</w:t>
      </w:r>
      <w:r w:rsidR="00297B61" w:rsidRPr="005A669A">
        <w:rPr>
          <w:rStyle w:val="FootnoteReference"/>
        </w:rPr>
        <w:footnoteReference w:id="53"/>
      </w:r>
      <w:r w:rsidR="00A257AA">
        <w:rPr>
          <w:rFonts w:cs="Times New Roman"/>
        </w:rPr>
        <w:t xml:space="preserve"> Nor did the fact </w:t>
      </w:r>
      <w:r w:rsidR="006529B1">
        <w:rPr>
          <w:rFonts w:cs="Times New Roman"/>
        </w:rPr>
        <w:t>the patents concerned</w:t>
      </w:r>
      <w:r w:rsidR="00C50320">
        <w:rPr>
          <w:rFonts w:cs="Times New Roman"/>
        </w:rPr>
        <w:t xml:space="preserve"> </w:t>
      </w:r>
      <w:r w:rsidR="00A257AA">
        <w:rPr>
          <w:rFonts w:cs="Times New Roman"/>
        </w:rPr>
        <w:t>a “computer-based method”</w:t>
      </w:r>
      <w:r w:rsidR="00AB22F2">
        <w:rPr>
          <w:rFonts w:cs="Times New Roman"/>
        </w:rPr>
        <w:t xml:space="preserve"> </w:t>
      </w:r>
      <w:r w:rsidR="00BF0751">
        <w:rPr>
          <w:rFonts w:cs="Times New Roman"/>
        </w:rPr>
        <w:t>save</w:t>
      </w:r>
      <w:r w:rsidR="00AB22F2">
        <w:rPr>
          <w:rFonts w:cs="Times New Roman"/>
        </w:rPr>
        <w:t xml:space="preserve"> the claims </w:t>
      </w:r>
      <w:r w:rsidR="00BF0751">
        <w:rPr>
          <w:rFonts w:cs="Times New Roman"/>
        </w:rPr>
        <w:t>from being found</w:t>
      </w:r>
      <w:r w:rsidR="00AB22F2">
        <w:rPr>
          <w:rFonts w:cs="Times New Roman"/>
        </w:rPr>
        <w:t xml:space="preserve"> </w:t>
      </w:r>
      <w:r w:rsidR="00AB22F2">
        <w:rPr>
          <w:rFonts w:cs="Times New Roman"/>
        </w:rPr>
        <w:lastRenderedPageBreak/>
        <w:t>abstract;</w:t>
      </w:r>
      <w:r w:rsidR="00C50320">
        <w:rPr>
          <w:rFonts w:cs="Times New Roman"/>
        </w:rPr>
        <w:t xml:space="preserve"> </w:t>
      </w:r>
      <w:r w:rsidR="006529B1">
        <w:rPr>
          <w:rFonts w:cs="Times New Roman"/>
        </w:rPr>
        <w:t>the</w:t>
      </w:r>
      <w:r w:rsidR="0037061B">
        <w:rPr>
          <w:rFonts w:cs="Times New Roman"/>
        </w:rPr>
        <w:t xml:space="preserve"> method</w:t>
      </w:r>
      <w:r w:rsidR="006529B1">
        <w:rPr>
          <w:rFonts w:cs="Times New Roman"/>
        </w:rPr>
        <w:t>s</w:t>
      </w:r>
      <w:r w:rsidR="0037061B">
        <w:rPr>
          <w:rFonts w:cs="Times New Roman"/>
        </w:rPr>
        <w:t xml:space="preserve"> “[did]</w:t>
      </w:r>
      <w:r w:rsidR="0037061B" w:rsidRPr="0037061B">
        <w:rPr>
          <w:rFonts w:cs="Times New Roman"/>
        </w:rPr>
        <w:t xml:space="preserve"> not improve the functioning of the computer, make it operate more efficiently, or solve any technological problem</w:t>
      </w:r>
      <w:r w:rsidR="0037061B">
        <w:rPr>
          <w:rFonts w:cs="Times New Roman"/>
        </w:rPr>
        <w:t>.”</w:t>
      </w:r>
      <w:r w:rsidR="0037061B" w:rsidRPr="005A669A">
        <w:rPr>
          <w:rStyle w:val="FootnoteReference"/>
        </w:rPr>
        <w:footnoteReference w:id="54"/>
      </w:r>
    </w:p>
    <w:p w14:paraId="6028F25F" w14:textId="07AADECA" w:rsidR="00CD0CFF" w:rsidRPr="009605B1" w:rsidRDefault="00CD0CFF" w:rsidP="00297B61">
      <w:pPr>
        <w:rPr>
          <w:rFonts w:cs="Times New Roman"/>
        </w:rPr>
      </w:pPr>
      <w:r>
        <w:rPr>
          <w:rFonts w:cs="Times New Roman"/>
        </w:rPr>
        <w:tab/>
      </w:r>
      <w:r w:rsidR="00682FD4">
        <w:rPr>
          <w:rFonts w:cs="Times New Roman"/>
        </w:rPr>
        <w:t>At step two</w:t>
      </w:r>
      <w:r w:rsidR="00AB22F2">
        <w:rPr>
          <w:rFonts w:cs="Times New Roman"/>
        </w:rPr>
        <w:t>, the court’s</w:t>
      </w:r>
      <w:r w:rsidR="00682FD4">
        <w:rPr>
          <w:rFonts w:cs="Times New Roman"/>
        </w:rPr>
        <w:t xml:space="preserve"> </w:t>
      </w:r>
      <w:r w:rsidR="006529B1">
        <w:rPr>
          <w:rFonts w:cs="Times New Roman"/>
        </w:rPr>
        <w:t>discussion differed</w:t>
      </w:r>
      <w:r w:rsidR="00AB22F2">
        <w:rPr>
          <w:rFonts w:cs="Times New Roman"/>
        </w:rPr>
        <w:t xml:space="preserve"> little </w:t>
      </w:r>
      <w:r w:rsidR="006529B1">
        <w:rPr>
          <w:rFonts w:cs="Times New Roman"/>
        </w:rPr>
        <w:t>between the patents</w:t>
      </w:r>
      <w:r w:rsidR="00761929">
        <w:rPr>
          <w:rFonts w:cs="Times New Roman"/>
        </w:rPr>
        <w:t xml:space="preserve">. </w:t>
      </w:r>
      <w:r w:rsidR="00DA082F">
        <w:rPr>
          <w:rFonts w:cs="Times New Roman"/>
        </w:rPr>
        <w:t>While each may have improved</w:t>
      </w:r>
      <w:r w:rsidR="00AB22F2">
        <w:rPr>
          <w:rFonts w:cs="Times New Roman"/>
        </w:rPr>
        <w:t xml:space="preserve"> the intuitiveness of the process for traders</w:t>
      </w:r>
      <w:r w:rsidR="00DA082F">
        <w:rPr>
          <w:rFonts w:cs="Times New Roman"/>
        </w:rPr>
        <w:t xml:space="preserve">, </w:t>
      </w:r>
      <w:r w:rsidR="007E5B49">
        <w:rPr>
          <w:rFonts w:cs="Times New Roman"/>
        </w:rPr>
        <w:t xml:space="preserve">each did so using conventional graphical elements, and such improvement </w:t>
      </w:r>
      <w:r w:rsidR="00BF0751">
        <w:rPr>
          <w:rFonts w:cs="Times New Roman"/>
        </w:rPr>
        <w:t xml:space="preserve">was not the same as </w:t>
      </w:r>
      <w:r w:rsidR="00AB22F2">
        <w:rPr>
          <w:rFonts w:cs="Times New Roman"/>
        </w:rPr>
        <w:t>improving computer</w:t>
      </w:r>
      <w:r w:rsidR="00DA082F">
        <w:rPr>
          <w:rFonts w:cs="Times New Roman"/>
        </w:rPr>
        <w:t xml:space="preserve">s </w:t>
      </w:r>
      <w:r w:rsidR="00AB22F2">
        <w:rPr>
          <w:rFonts w:cs="Times New Roman"/>
        </w:rPr>
        <w:t>themselves</w:t>
      </w:r>
      <w:r w:rsidR="00BF0751">
        <w:rPr>
          <w:rFonts w:cs="Times New Roman"/>
        </w:rPr>
        <w:t xml:space="preserve">—and </w:t>
      </w:r>
      <w:r w:rsidR="007E5B49">
        <w:rPr>
          <w:rFonts w:cs="Times New Roman"/>
        </w:rPr>
        <w:t xml:space="preserve">so </w:t>
      </w:r>
      <w:r w:rsidR="00BF0751">
        <w:rPr>
          <w:rFonts w:cs="Times New Roman"/>
        </w:rPr>
        <w:t>not patentable</w:t>
      </w:r>
      <w:r w:rsidR="00D477A7">
        <w:rPr>
          <w:rFonts w:cs="Times New Roman"/>
        </w:rPr>
        <w:t>.</w:t>
      </w:r>
      <w:r w:rsidR="00D477A7" w:rsidRPr="005A669A">
        <w:rPr>
          <w:rStyle w:val="FootnoteReference"/>
        </w:rPr>
        <w:footnoteReference w:id="55"/>
      </w:r>
    </w:p>
    <w:p w14:paraId="3091CAFB" w14:textId="23112DED" w:rsidR="00980849" w:rsidRPr="00F31966" w:rsidRDefault="00980849" w:rsidP="00980849">
      <w:pPr>
        <w:pStyle w:val="Heading4"/>
      </w:pPr>
      <w:bookmarkStart w:id="17" w:name="_Toc26792743"/>
      <w:bookmarkEnd w:id="13"/>
      <w:r>
        <w:rPr>
          <w:i/>
        </w:rPr>
        <w:t>ChargePoint, Inc. v. SemaConnect, Inc.</w:t>
      </w:r>
      <w:r w:rsidRPr="00F31966">
        <w:t>,</w:t>
      </w:r>
      <w:r>
        <w:t xml:space="preserve"> 920 F.3d 759 (Fed. Cir. Mar. 28, 2019)</w:t>
      </w:r>
      <w:bookmarkEnd w:id="17"/>
    </w:p>
    <w:p w14:paraId="276A3577" w14:textId="55D77A5B" w:rsidR="00980849" w:rsidRDefault="00980849" w:rsidP="00980849">
      <w:r>
        <w:tab/>
        <w:t>In this appeal from the District Court of Maryland, the Federal Circuit</w:t>
      </w:r>
      <w:r w:rsidR="00CE2561">
        <w:t xml:space="preserve"> (Prost, C.J., with Reyna and Taranto, JJ.)</w:t>
      </w:r>
      <w:r>
        <w:t xml:space="preserve"> affirmed that claims</w:t>
      </w:r>
      <w:r w:rsidR="00EC7878">
        <w:t xml:space="preserve"> to apparatuses and methods for networking electric</w:t>
      </w:r>
      <w:r w:rsidR="00D74C47">
        <w:t>-</w:t>
      </w:r>
      <w:r w:rsidR="00EC7878">
        <w:t>vehicle charging stations</w:t>
      </w:r>
      <w:r>
        <w:t xml:space="preserve"> were </w:t>
      </w:r>
      <w:r w:rsidR="00EC7878">
        <w:t>patent-</w:t>
      </w:r>
      <w:r>
        <w:t>ineligible</w:t>
      </w:r>
      <w:r w:rsidR="00D74C47">
        <w:t xml:space="preserve"> at step two</w:t>
      </w:r>
      <w:r>
        <w:t>.</w:t>
      </w:r>
      <w:r w:rsidRPr="005A669A">
        <w:rPr>
          <w:rStyle w:val="FootnoteReference"/>
        </w:rPr>
        <w:footnoteReference w:id="56"/>
      </w:r>
    </w:p>
    <w:p w14:paraId="1E1303CF" w14:textId="23718F58" w:rsidR="00CE2561" w:rsidRDefault="00CE2561" w:rsidP="0078203F">
      <w:r>
        <w:tab/>
      </w:r>
      <w:r w:rsidR="0078203F">
        <w:t>The</w:t>
      </w:r>
      <w:r w:rsidR="00041C8F">
        <w:t xml:space="preserve"> case concerned</w:t>
      </w:r>
      <w:r w:rsidR="00C01483">
        <w:t xml:space="preserve"> f</w:t>
      </w:r>
      <w:r w:rsidR="00A6356A">
        <w:t>o</w:t>
      </w:r>
      <w:r w:rsidR="00C01483">
        <w:t>ur patents</w:t>
      </w:r>
      <w:r w:rsidR="00680EC9">
        <w:t xml:space="preserve"> enabling</w:t>
      </w:r>
      <w:r w:rsidR="00EC7878">
        <w:t xml:space="preserve"> “</w:t>
      </w:r>
      <w:r w:rsidR="0078203F">
        <w:t>site hosts, drivers, and utility companies to communicate in real time,” such as</w:t>
      </w:r>
      <w:r w:rsidR="00EC7878">
        <w:t xml:space="preserve"> for</w:t>
      </w:r>
      <w:r w:rsidR="0078203F">
        <w:t xml:space="preserve"> demand management and vehicle-to-grid energy transfer.</w:t>
      </w:r>
      <w:r w:rsidR="0078203F" w:rsidRPr="005A669A">
        <w:rPr>
          <w:rStyle w:val="FootnoteReference"/>
        </w:rPr>
        <w:footnoteReference w:id="57"/>
      </w:r>
      <w:r>
        <w:t xml:space="preserve"> </w:t>
      </w:r>
    </w:p>
    <w:p w14:paraId="2C0D053F" w14:textId="5EDAA602" w:rsidR="00130A2A" w:rsidRDefault="00130A2A" w:rsidP="00E00CB1">
      <w:r>
        <w:tab/>
      </w:r>
      <w:r w:rsidR="00093B6F">
        <w:t>T</w:t>
      </w:r>
      <w:r w:rsidR="005C06FA">
        <w:t>he</w:t>
      </w:r>
      <w:r>
        <w:t xml:space="preserve"> court </w:t>
      </w:r>
      <w:r w:rsidR="005C06FA">
        <w:t>carefully</w:t>
      </w:r>
      <w:r>
        <w:t xml:space="preserve"> </w:t>
      </w:r>
      <w:r w:rsidR="00E103B5">
        <w:t>explain</w:t>
      </w:r>
      <w:r w:rsidR="005C06FA">
        <w:t>ed</w:t>
      </w:r>
      <w:r w:rsidR="00E103B5">
        <w:t xml:space="preserve"> the</w:t>
      </w:r>
      <w:r>
        <w:t xml:space="preserve"> </w:t>
      </w:r>
      <w:r w:rsidR="00E27830">
        <w:t>“tools”</w:t>
      </w:r>
      <w:r>
        <w:t xml:space="preserve"> for interpreting</w:t>
      </w:r>
      <w:r w:rsidR="00E27830">
        <w:t xml:space="preserve"> whether</w:t>
      </w:r>
      <w:r w:rsidR="00C276BA">
        <w:t xml:space="preserve"> </w:t>
      </w:r>
      <w:r w:rsidR="00E27830">
        <w:t xml:space="preserve">claims are </w:t>
      </w:r>
      <w:r w:rsidR="005A6C16">
        <w:t>“</w:t>
      </w:r>
      <w:r w:rsidR="00E27830">
        <w:t xml:space="preserve">directed </w:t>
      </w:r>
      <w:r w:rsidR="005A6C16">
        <w:t>to”</w:t>
      </w:r>
      <w:r w:rsidR="00E27830">
        <w:t xml:space="preserve"> abstract ideas</w:t>
      </w:r>
      <w:r w:rsidR="005C06FA">
        <w:t xml:space="preserve"> at step one</w:t>
      </w:r>
      <w:r w:rsidR="00E27830">
        <w:t>.</w:t>
      </w:r>
      <w:r w:rsidR="00E27830" w:rsidRPr="005A669A">
        <w:rPr>
          <w:rStyle w:val="FootnoteReference"/>
        </w:rPr>
        <w:footnoteReference w:id="58"/>
      </w:r>
      <w:r w:rsidR="00E27830">
        <w:t xml:space="preserve"> One tool is to look </w:t>
      </w:r>
      <w:r w:rsidR="00E103B5">
        <w:t>at</w:t>
      </w:r>
      <w:r w:rsidR="00E27830">
        <w:t xml:space="preserve"> the specification </w:t>
      </w:r>
      <w:r w:rsidR="00E103B5">
        <w:t>for</w:t>
      </w:r>
      <w:r w:rsidR="00E27830">
        <w:t xml:space="preserve"> “the problem facing the inventor”; </w:t>
      </w:r>
      <w:r w:rsidR="00E77304">
        <w:t>if the problem is abstract,</w:t>
      </w:r>
      <w:r w:rsidR="00E103B5">
        <w:t xml:space="preserve"> </w:t>
      </w:r>
      <w:r w:rsidR="005A6C16">
        <w:t xml:space="preserve">even </w:t>
      </w:r>
      <w:r w:rsidR="00E77304">
        <w:t xml:space="preserve">the existence of technical details in the specification or tangible components in the claim body </w:t>
      </w:r>
      <w:r w:rsidR="005A6C16">
        <w:t>will not likely save the</w:t>
      </w:r>
      <w:r w:rsidR="00E77304">
        <w:t xml:space="preserve"> patent </w:t>
      </w:r>
      <w:r w:rsidR="005A6C16">
        <w:t>from being directed to an abstract idea</w:t>
      </w:r>
      <w:r w:rsidR="00E77304">
        <w:t>.</w:t>
      </w:r>
      <w:r w:rsidR="003267F8" w:rsidRPr="005A669A">
        <w:rPr>
          <w:rStyle w:val="FootnoteReference"/>
        </w:rPr>
        <w:footnoteReference w:id="59"/>
      </w:r>
      <w:r w:rsidR="00E77304">
        <w:t xml:space="preserve"> </w:t>
      </w:r>
      <w:r w:rsidR="003267F8">
        <w:t>A</w:t>
      </w:r>
      <w:r w:rsidR="00E27830">
        <w:t>nother</w:t>
      </w:r>
      <w:r w:rsidR="003267F8">
        <w:t xml:space="preserve"> tool</w:t>
      </w:r>
      <w:r w:rsidR="00E27830">
        <w:t xml:space="preserve"> is to evaluate whether the claims would preempt </w:t>
      </w:r>
      <w:r w:rsidR="00A11B32">
        <w:t>a longstanding practice or a building block impairing “the entire industry’s ability” to innovate.</w:t>
      </w:r>
      <w:r w:rsidR="008B0D6A" w:rsidRPr="005A669A">
        <w:rPr>
          <w:rStyle w:val="FootnoteReference"/>
        </w:rPr>
        <w:footnoteReference w:id="60"/>
      </w:r>
      <w:r w:rsidR="00423B80">
        <w:t xml:space="preserve"> </w:t>
      </w:r>
      <w:r w:rsidR="005A6C16">
        <w:t>If so, even</w:t>
      </w:r>
      <w:r w:rsidR="003267F8">
        <w:t xml:space="preserve"> a tangible component </w:t>
      </w:r>
      <w:r w:rsidR="005A6C16">
        <w:t>is likely</w:t>
      </w:r>
      <w:r w:rsidR="003267F8">
        <w:t xml:space="preserve"> a “mere conduit” or </w:t>
      </w:r>
      <w:r w:rsidR="007D18ED">
        <w:t>“technological environment”</w:t>
      </w:r>
      <w:r w:rsidR="003267F8">
        <w:t xml:space="preserve"> for an abstract idea.</w:t>
      </w:r>
      <w:r w:rsidR="003267F8" w:rsidRPr="005A669A">
        <w:rPr>
          <w:rStyle w:val="FootnoteReference"/>
        </w:rPr>
        <w:footnoteReference w:id="61"/>
      </w:r>
      <w:r w:rsidR="003267F8">
        <w:t xml:space="preserve"> </w:t>
      </w:r>
      <w:r w:rsidR="008005DF">
        <w:t xml:space="preserve"> </w:t>
      </w:r>
    </w:p>
    <w:p w14:paraId="4E16D3A5" w14:textId="0D5628E7" w:rsidR="00EC7878" w:rsidRDefault="00C276BA" w:rsidP="00C276BA">
      <w:r>
        <w:tab/>
      </w:r>
      <w:r w:rsidR="00093B6F">
        <w:t>At</w:t>
      </w:r>
      <w:r>
        <w:t xml:space="preserve"> step one, the court found that</w:t>
      </w:r>
      <w:r w:rsidR="00E00CB1">
        <w:t xml:space="preserve"> </w:t>
      </w:r>
      <w:r w:rsidR="005A6C16">
        <w:t xml:space="preserve">while the </w:t>
      </w:r>
      <w:r w:rsidR="005E4587">
        <w:t>challenged</w:t>
      </w:r>
      <w:r w:rsidR="005A6C16">
        <w:t xml:space="preserve"> claims “</w:t>
      </w:r>
      <w:r w:rsidR="005F2870" w:rsidRPr="005F2870">
        <w:t>vary in some respects, they are all directed to the abstract idea of communicating over a network for device interaction</w:t>
      </w:r>
      <w:r w:rsidR="005F2870">
        <w:t>.”</w:t>
      </w:r>
      <w:r w:rsidR="005F2870" w:rsidRPr="005A669A">
        <w:rPr>
          <w:rStyle w:val="FootnoteReference"/>
        </w:rPr>
        <w:footnoteReference w:id="62"/>
      </w:r>
      <w:r w:rsidR="0054455F">
        <w:t xml:space="preserve"> </w:t>
      </w:r>
      <w:r w:rsidR="00AD67D5">
        <w:t>The specification</w:t>
      </w:r>
      <w:r w:rsidR="005E4587">
        <w:t>s</w:t>
      </w:r>
      <w:r w:rsidR="00AD67D5">
        <w:t xml:space="preserve"> made</w:t>
      </w:r>
      <w:r>
        <w:t xml:space="preserve"> clear “</w:t>
      </w:r>
      <w:r w:rsidRPr="00041C8F">
        <w:t>the inventors here had the good idea to add networking capabilities to existing charging stations to facilitate various business interactions</w:t>
      </w:r>
      <w:r w:rsidR="00093B6F">
        <w:t>.</w:t>
      </w:r>
      <w:r>
        <w:t>”</w:t>
      </w:r>
      <w:r w:rsidR="00E00925">
        <w:t xml:space="preserve"> </w:t>
      </w:r>
      <w:r w:rsidR="00093B6F">
        <w:t xml:space="preserve">However, </w:t>
      </w:r>
      <w:r w:rsidR="00492DF7">
        <w:t>given this was an abstract solution to an abstract problem</w:t>
      </w:r>
      <w:r w:rsidR="00E00925">
        <w:t xml:space="preserve">, </w:t>
      </w:r>
      <w:r>
        <w:t>even tangible</w:t>
      </w:r>
      <w:r w:rsidR="004B7FE7">
        <w:t xml:space="preserve"> but </w:t>
      </w:r>
      <w:r w:rsidR="00492DF7">
        <w:t xml:space="preserve">not-yet detailed </w:t>
      </w:r>
      <w:r w:rsidR="004B7FE7">
        <w:t>claim elements</w:t>
      </w:r>
      <w:r w:rsidR="00E00925">
        <w:t xml:space="preserve">, such as “electrical couple,” did not </w:t>
      </w:r>
      <w:r w:rsidR="004B7FE7">
        <w:t>make the claims specific at step one</w:t>
      </w:r>
      <w:r w:rsidR="00462F0F">
        <w:t>.</w:t>
      </w:r>
      <w:r w:rsidR="00462F0F" w:rsidRPr="005A669A">
        <w:rPr>
          <w:rStyle w:val="FootnoteReference"/>
        </w:rPr>
        <w:footnoteReference w:id="63"/>
      </w:r>
      <w:r w:rsidR="00462F0F">
        <w:t xml:space="preserve"> Similarly, </w:t>
      </w:r>
      <w:r w:rsidR="004B7FE7">
        <w:t xml:space="preserve">the concept of </w:t>
      </w:r>
      <w:r w:rsidR="00462F0F">
        <w:t>network</w:t>
      </w:r>
      <w:r w:rsidR="0054455F">
        <w:t xml:space="preserve"> communication </w:t>
      </w:r>
      <w:r w:rsidR="00AD67D5">
        <w:t>is</w:t>
      </w:r>
      <w:r w:rsidR="0054455F">
        <w:t xml:space="preserve"> a “building block of the modern economy</w:t>
      </w:r>
      <w:r w:rsidR="00EC7878">
        <w:t>,</w:t>
      </w:r>
      <w:r w:rsidR="0054455F">
        <w:t>”</w:t>
      </w:r>
      <w:r w:rsidR="00EC7878">
        <w:t xml:space="preserve"> </w:t>
      </w:r>
      <w:r w:rsidR="00462F0F">
        <w:t>and so the</w:t>
      </w:r>
      <w:r>
        <w:t xml:space="preserve"> claims</w:t>
      </w:r>
      <w:r w:rsidR="00462F0F">
        <w:t xml:space="preserve"> adding </w:t>
      </w:r>
      <w:r w:rsidR="00AD67D5">
        <w:t>such communication</w:t>
      </w:r>
      <w:r w:rsidR="00462F0F">
        <w:t xml:space="preserve"> to electric vehicle rechargers</w:t>
      </w:r>
      <w:r>
        <w:t xml:space="preserve"> went</w:t>
      </w:r>
      <w:r w:rsidR="00EC7878">
        <w:t xml:space="preserve"> </w:t>
      </w:r>
      <w:r w:rsidR="00E00CB1">
        <w:t xml:space="preserve">beyond </w:t>
      </w:r>
      <w:r w:rsidR="00AD67D5">
        <w:t>what</w:t>
      </w:r>
      <w:r w:rsidR="00E00CB1">
        <w:t xml:space="preserve"> § 101 permits</w:t>
      </w:r>
      <w:r w:rsidR="00093B6F">
        <w:t xml:space="preserve"> and risked preempting large swaths of technology</w:t>
      </w:r>
      <w:r w:rsidR="00E00CB1">
        <w:t>.</w:t>
      </w:r>
      <w:r w:rsidR="00E00CB1" w:rsidRPr="005A669A">
        <w:rPr>
          <w:rStyle w:val="FootnoteReference"/>
        </w:rPr>
        <w:footnoteReference w:id="64"/>
      </w:r>
      <w:r w:rsidR="00E00CB1">
        <w:t xml:space="preserve"> </w:t>
      </w:r>
    </w:p>
    <w:p w14:paraId="631EB777" w14:textId="67630C7B" w:rsidR="005F2870" w:rsidRPr="00980849" w:rsidRDefault="00EC7878" w:rsidP="008F4543">
      <w:pPr>
        <w:ind w:firstLine="720"/>
      </w:pPr>
      <w:r>
        <w:t xml:space="preserve">On the second step, </w:t>
      </w:r>
      <w:r w:rsidR="009B3639">
        <w:t xml:space="preserve">the court rejected ChargePoint’s assertion that applying network control to charge stations was an unconventional way to solve problems </w:t>
      </w:r>
      <w:r w:rsidR="00024576">
        <w:t>in</w:t>
      </w:r>
      <w:r w:rsidR="009B3639">
        <w:t xml:space="preserve"> </w:t>
      </w:r>
      <w:r w:rsidR="00024576">
        <w:lastRenderedPageBreak/>
        <w:t>charging</w:t>
      </w:r>
      <w:r w:rsidR="009B3639">
        <w:t xml:space="preserve"> management. That was because “</w:t>
      </w:r>
      <w:r w:rsidR="009B3639" w:rsidRPr="009B3639">
        <w:t xml:space="preserve">network control is the abstract idea itself, and </w:t>
      </w:r>
      <w:r w:rsidR="009B3639">
        <w:t>‘</w:t>
      </w:r>
      <w:r w:rsidR="009B3639" w:rsidRPr="009B3639">
        <w:t>a claimed invention</w:t>
      </w:r>
      <w:r w:rsidR="00CB7AAB">
        <w:t>’s</w:t>
      </w:r>
      <w:r w:rsidR="009B3639" w:rsidRPr="009B3639">
        <w:t xml:space="preserve"> use of the ineligible concept to which it is directed cannot supply the inventive concept that renders the invention significantly more</w:t>
      </w:r>
      <w:r w:rsidR="00CB7AAB">
        <w:t xml:space="preserve"> t</w:t>
      </w:r>
      <w:r w:rsidR="009B3639" w:rsidRPr="009B3639">
        <w:t>han that ineligible concept.</w:t>
      </w:r>
      <w:r w:rsidR="00CB7AAB">
        <w:t>’</w:t>
      </w:r>
      <w:r w:rsidR="009B3639">
        <w:t>”</w:t>
      </w:r>
      <w:r w:rsidR="00B20EF6" w:rsidRPr="005A669A">
        <w:rPr>
          <w:rStyle w:val="FootnoteReference"/>
        </w:rPr>
        <w:footnoteReference w:id="65"/>
      </w:r>
      <w:r w:rsidR="009C0FE0">
        <w:t xml:space="preserve"> </w:t>
      </w:r>
      <w:r w:rsidR="00A27C1D">
        <w:t>Or, reading</w:t>
      </w:r>
      <w:r w:rsidR="00024576">
        <w:t xml:space="preserve"> the claims</w:t>
      </w:r>
      <w:r w:rsidR="009C0FE0">
        <w:t xml:space="preserve"> another way, “demand response” was a conventional business </w:t>
      </w:r>
      <w:r w:rsidR="00024576">
        <w:t>practice</w:t>
      </w:r>
      <w:r w:rsidR="009C0FE0">
        <w:t xml:space="preserve">, and applying </w:t>
      </w:r>
      <w:r w:rsidR="00A27C1D">
        <w:t>the</w:t>
      </w:r>
      <w:r w:rsidR="009C0FE0">
        <w:t xml:space="preserve"> concept</w:t>
      </w:r>
      <w:r w:rsidR="00A27C1D">
        <w:t xml:space="preserve"> of “demand response”</w:t>
      </w:r>
      <w:r w:rsidR="009C0FE0">
        <w:t xml:space="preserve"> </w:t>
      </w:r>
      <w:r w:rsidR="00A27C1D">
        <w:t xml:space="preserve">to </w:t>
      </w:r>
      <w:r w:rsidR="00024576">
        <w:t>charging stations</w:t>
      </w:r>
      <w:r w:rsidR="00652DE3">
        <w:t xml:space="preserve"> was not sufficiently inventive, either.</w:t>
      </w:r>
      <w:r w:rsidR="00652DE3" w:rsidRPr="005A669A">
        <w:rPr>
          <w:rStyle w:val="FootnoteReference"/>
        </w:rPr>
        <w:footnoteReference w:id="66"/>
      </w:r>
    </w:p>
    <w:p w14:paraId="1DA86EC9" w14:textId="77777777" w:rsidR="00DB4BAD" w:rsidRPr="00052847" w:rsidRDefault="00DB4BAD" w:rsidP="00DB4BAD">
      <w:pPr>
        <w:pStyle w:val="Heading4"/>
      </w:pPr>
      <w:bookmarkStart w:id="18" w:name="_Toc26792744"/>
      <w:r w:rsidRPr="00774A63">
        <w:rPr>
          <w:i/>
        </w:rPr>
        <w:t>Univ</w:t>
      </w:r>
      <w:r>
        <w:rPr>
          <w:i/>
        </w:rPr>
        <w:t>ersity</w:t>
      </w:r>
      <w:r w:rsidRPr="00774A63">
        <w:rPr>
          <w:i/>
        </w:rPr>
        <w:t xml:space="preserve"> of Florida</w:t>
      </w:r>
      <w:r>
        <w:rPr>
          <w:i/>
        </w:rPr>
        <w:t xml:space="preserve"> Research Found. v. General Elec. Co.</w:t>
      </w:r>
      <w:r>
        <w:t>, 916 F.3d 1363 (Fed. Cir. Feb. 26, 2019).</w:t>
      </w:r>
      <w:bookmarkEnd w:id="18"/>
    </w:p>
    <w:p w14:paraId="61AEE963" w14:textId="77777777" w:rsidR="00DB4BAD" w:rsidRPr="00052847" w:rsidRDefault="00DB4BAD" w:rsidP="00DB4BAD">
      <w:r>
        <w:tab/>
        <w:t>In this appeal from the Northern District of Florida, the Federal Circuit affirmed that the patent claims were directed towards implementing the abstract idea of collecting and analyzing bedside data using a computer and lacked inventive concept.</w:t>
      </w:r>
      <w:r>
        <w:rPr>
          <w:rStyle w:val="FootnoteReference"/>
        </w:rPr>
        <w:footnoteReference w:id="67"/>
      </w:r>
    </w:p>
    <w:p w14:paraId="0E3C690A" w14:textId="77777777" w:rsidR="00DB4BAD" w:rsidRDefault="00DB4BAD" w:rsidP="00DB4BAD">
      <w:pPr>
        <w:ind w:firstLine="720"/>
      </w:pPr>
      <w:r>
        <w:t>The University of Florida’s ’251 patent claimed a method of integrating treatment data from bedside machines by receiving data, converting it into more universal formats, performing operations at a remote location, and presenting results back on bedside interfaces.</w:t>
      </w:r>
      <w:r>
        <w:rPr>
          <w:rStyle w:val="FootnoteReference"/>
        </w:rPr>
        <w:footnoteReference w:id="68"/>
      </w:r>
      <w:r>
        <w:t xml:space="preserve">  The district court found the claims directed to the abstract idea of “collecting, analyzing, manipulating, and displaying data,” and without inventive concept.</w:t>
      </w:r>
      <w:r>
        <w:rPr>
          <w:rStyle w:val="FootnoteReference"/>
        </w:rPr>
        <w:footnoteReference w:id="69"/>
      </w:r>
    </w:p>
    <w:p w14:paraId="3E965197" w14:textId="77777777" w:rsidR="00DB4BAD" w:rsidRDefault="00DB4BAD" w:rsidP="00DB4BAD">
      <w:pPr>
        <w:ind w:firstLine="720"/>
      </w:pPr>
      <w:r>
        <w:t>The Federal Circuit affirmed.</w:t>
      </w:r>
      <w:r>
        <w:rPr>
          <w:rStyle w:val="FootnoteReference"/>
        </w:rPr>
        <w:footnoteReference w:id="70"/>
      </w:r>
      <w:r>
        <w:t xml:space="preserve">  This was “a quintessential ‘do it on a computer’ patent: it acknowledges that data from bedside machines was previously collected, analyzed, manipulated, and displayed manually [using paper and pencils], and it simply proposes doing so with a computer.”</w:t>
      </w:r>
      <w:r>
        <w:rPr>
          <w:rStyle w:val="FootnoteReference"/>
        </w:rPr>
        <w:footnoteReference w:id="71"/>
      </w:r>
      <w:r>
        <w:t xml:space="preserve">  Rather than improve computers, the claims merely use computers as tools to implement an abstract idea.</w:t>
      </w:r>
      <w:r>
        <w:rPr>
          <w:rStyle w:val="FootnoteReference"/>
        </w:rPr>
        <w:footnoteReference w:id="72"/>
      </w:r>
      <w:r>
        <w:t xml:space="preserve">  The “converting” step did not change this result.  A method for converting data from multiple formats into one might be a patentable improvement to computers — but nothing in the claims disclosed how such conversion was to be specifically accomplished.</w:t>
      </w:r>
      <w:r>
        <w:rPr>
          <w:rStyle w:val="FootnoteReference"/>
        </w:rPr>
        <w:footnoteReference w:id="73"/>
      </w:r>
    </w:p>
    <w:p w14:paraId="27C4E719" w14:textId="77777777" w:rsidR="00DB4BAD" w:rsidRPr="006E3445" w:rsidRDefault="00DB4BAD" w:rsidP="00DB4BAD">
      <w:pPr>
        <w:ind w:right="720"/>
      </w:pPr>
      <w:r>
        <w:tab/>
        <w:t>At step two, no inventive concept saved the claims.</w:t>
      </w:r>
      <w:r>
        <w:rPr>
          <w:rStyle w:val="FootnoteReference"/>
        </w:rPr>
        <w:footnoteReference w:id="74"/>
      </w:r>
      <w:r>
        <w:t xml:space="preserve">  The court distinguished </w:t>
      </w:r>
      <w:r w:rsidRPr="00E017EF">
        <w:rPr>
          <w:i/>
          <w:iCs/>
        </w:rPr>
        <w:t>BASCOM Global Internet Services, Inc. v. AT&amp;T Mobility LLC</w:t>
      </w:r>
      <w:r>
        <w:t>.</w:t>
      </w:r>
      <w:r>
        <w:rPr>
          <w:rStyle w:val="FootnoteReference"/>
        </w:rPr>
        <w:footnoteReference w:id="75"/>
      </w:r>
      <w:r>
        <w:t xml:space="preserve">  There, the uniquely remote location for a web filtering mechanism improved the </w:t>
      </w:r>
      <w:r>
        <w:lastRenderedPageBreak/>
        <w:t>filtering process and, this court stressed, thereby made the filtering method inventive and patentable.</w:t>
      </w:r>
      <w:r>
        <w:rPr>
          <w:rStyle w:val="FootnoteReference"/>
        </w:rPr>
        <w:footnoteReference w:id="76"/>
      </w:r>
      <w:r>
        <w:t xml:space="preserve">  In this case, even if remote analysis were unique, such remote analysis was not shown to clearly contribute to improved data processing.</w:t>
      </w:r>
      <w:r>
        <w:rPr>
          <w:rStyle w:val="FootnoteReference"/>
        </w:rPr>
        <w:footnoteReference w:id="77"/>
      </w:r>
      <w:r>
        <w:t xml:space="preserve"> </w:t>
      </w:r>
    </w:p>
    <w:p w14:paraId="62080D3E" w14:textId="7AE9E111" w:rsidR="00F20B84" w:rsidRDefault="00F20B84" w:rsidP="00CA2C0A">
      <w:pPr>
        <w:ind w:firstLine="720"/>
        <w:rPr>
          <w:rFonts w:cs="Times New Roman"/>
        </w:rPr>
      </w:pPr>
    </w:p>
    <w:p w14:paraId="6BDF4502" w14:textId="4B136D60" w:rsidR="00DF1F31" w:rsidRDefault="00AB3F62" w:rsidP="00DF1F31">
      <w:pPr>
        <w:pStyle w:val="Heading3"/>
        <w:rPr>
          <w:lang w:val="es-ES"/>
        </w:rPr>
      </w:pPr>
      <w:bookmarkStart w:id="19" w:name="_Toc516586529"/>
      <w:bookmarkStart w:id="20" w:name="_Toc26792745"/>
      <w:r w:rsidRPr="000465C1">
        <w:rPr>
          <w:lang w:val="es-ES"/>
        </w:rPr>
        <w:t>Patentable</w:t>
      </w:r>
      <w:bookmarkEnd w:id="20"/>
    </w:p>
    <w:p w14:paraId="4357CA1A" w14:textId="3383EF6B" w:rsidR="00A26449" w:rsidRDefault="00A26449" w:rsidP="00A26449">
      <w:pPr>
        <w:pStyle w:val="Heading4"/>
        <w:rPr>
          <w:lang w:val="es-ES"/>
        </w:rPr>
      </w:pPr>
      <w:bookmarkStart w:id="21" w:name="_Toc26792746"/>
      <w:r w:rsidRPr="00A26449">
        <w:rPr>
          <w:i/>
          <w:iCs/>
          <w:lang w:val="es-ES"/>
        </w:rPr>
        <w:t>Koninklijke KPN N.V. v. Gemalto M2M GmbH</w:t>
      </w:r>
      <w:r w:rsidRPr="00A26449">
        <w:rPr>
          <w:lang w:val="es-ES"/>
        </w:rPr>
        <w:t>, 942 F.3d 1143 (Fed. Cir.  Nov. 15, 2019)</w:t>
      </w:r>
      <w:bookmarkEnd w:id="21"/>
    </w:p>
    <w:p w14:paraId="35454B22" w14:textId="70224BD5" w:rsidR="00A26449" w:rsidRPr="00A26449" w:rsidRDefault="00A26449" w:rsidP="00A26449">
      <w:pPr>
        <w:rPr>
          <w:lang w:val="es-ES"/>
        </w:rPr>
      </w:pPr>
      <w:r>
        <w:rPr>
          <w:lang w:val="es-ES"/>
        </w:rPr>
        <w:tab/>
        <w:t>In this appeal from the District of Delaware, the Fedearl Circuit reversed</w:t>
      </w:r>
      <w:r w:rsidR="0086320A">
        <w:rPr>
          <w:lang w:val="es-ES"/>
        </w:rPr>
        <w:t xml:space="preserve"> a judgment on the pleadings</w:t>
      </w:r>
      <w:r>
        <w:rPr>
          <w:lang w:val="es-ES"/>
        </w:rPr>
        <w:t xml:space="preserve">, holding the disputed </w:t>
      </w:r>
      <w:r w:rsidR="0086320A">
        <w:rPr>
          <w:lang w:val="es-ES"/>
        </w:rPr>
        <w:t xml:space="preserve">method and devices for detecting data transmission errors were not directed </w:t>
      </w:r>
      <w:r w:rsidR="00360012">
        <w:rPr>
          <w:lang w:val="es-ES"/>
        </w:rPr>
        <w:t>towards</w:t>
      </w:r>
      <w:r w:rsidR="0086320A">
        <w:rPr>
          <w:lang w:val="es-ES"/>
        </w:rPr>
        <w:t xml:space="preserve"> the abstract idea of data manipulation and were therefore patent eligible.</w:t>
      </w:r>
      <w:r w:rsidR="0086320A">
        <w:rPr>
          <w:rStyle w:val="FootnoteReference"/>
          <w:lang w:val="es-ES"/>
        </w:rPr>
        <w:footnoteReference w:id="78"/>
      </w:r>
    </w:p>
    <w:p w14:paraId="08271AB0" w14:textId="528FD388" w:rsidR="00A26449" w:rsidRDefault="0086320A" w:rsidP="00A26449">
      <w:pPr>
        <w:rPr>
          <w:rStyle w:val="cosearchterm"/>
        </w:rPr>
      </w:pPr>
      <w:r>
        <w:rPr>
          <w:lang w:val="es-ES"/>
        </w:rPr>
        <w:tab/>
      </w:r>
      <w:r>
        <w:rPr>
          <w:rStyle w:val="cosearchterm"/>
        </w:rPr>
        <w:t xml:space="preserve">Koninklijke’s ‘662 patent claims a method and devices for </w:t>
      </w:r>
      <w:r w:rsidR="00360012">
        <w:rPr>
          <w:rStyle w:val="cosearchterm"/>
        </w:rPr>
        <w:t>dynamically generating “check data,” data compared on each end of a communication channel to see if any errors occurred during transmission.</w:t>
      </w:r>
      <w:r w:rsidR="00360012">
        <w:rPr>
          <w:rStyle w:val="FootnoteReference"/>
        </w:rPr>
        <w:footnoteReference w:id="79"/>
      </w:r>
      <w:r w:rsidR="00360012">
        <w:rPr>
          <w:rStyle w:val="cosearchterm"/>
        </w:rPr>
        <w:t xml:space="preserve"> According to the patent, the prior art is prone to “systematic errors” because it may produce the same check data by coincidence even if a data block was corrupted.</w:t>
      </w:r>
      <w:r w:rsidR="00360012">
        <w:rPr>
          <w:rStyle w:val="FootnoteReference"/>
        </w:rPr>
        <w:footnoteReference w:id="80"/>
      </w:r>
      <w:r w:rsidR="00360012">
        <w:rPr>
          <w:rStyle w:val="cosearchterm"/>
        </w:rPr>
        <w:t xml:space="preserve"> At step one of the </w:t>
      </w:r>
      <w:r w:rsidR="00360012">
        <w:rPr>
          <w:rStyle w:val="cosearchterm"/>
          <w:i/>
          <w:iCs/>
        </w:rPr>
        <w:t>Alice</w:t>
      </w:r>
      <w:r w:rsidR="00360012">
        <w:rPr>
          <w:rStyle w:val="cosearchterm"/>
        </w:rPr>
        <w:t xml:space="preserve"> test, the district court found the claims were directed </w:t>
      </w:r>
      <w:r w:rsidR="00103BFA">
        <w:rPr>
          <w:rStyle w:val="cosearchterm"/>
        </w:rPr>
        <w:t xml:space="preserve">towards </w:t>
      </w:r>
      <w:r w:rsidR="00360012">
        <w:rPr>
          <w:rStyle w:val="cosearchterm"/>
        </w:rPr>
        <w:t xml:space="preserve">the abstract ideas of “reordering data and generating additional data” because the claims did not say how to actually reorder the data, generate </w:t>
      </w:r>
      <w:r w:rsidR="00D2056E">
        <w:rPr>
          <w:rStyle w:val="cosearchterm"/>
        </w:rPr>
        <w:t>more data, or how to use or transmit the reordered and generated data.</w:t>
      </w:r>
      <w:r w:rsidR="00360012">
        <w:rPr>
          <w:rStyle w:val="FootnoteReference"/>
        </w:rPr>
        <w:footnoteReference w:id="81"/>
      </w:r>
      <w:r w:rsidR="00D2056E">
        <w:rPr>
          <w:rStyle w:val="cosearchterm"/>
        </w:rPr>
        <w:t xml:space="preserve"> At step two, the district </w:t>
      </w:r>
      <w:r w:rsidR="00480CEF">
        <w:rPr>
          <w:rStyle w:val="cosearchterm"/>
        </w:rPr>
        <w:t>court held the proposed inventive</w:t>
      </w:r>
      <w:r w:rsidR="00D2056E">
        <w:rPr>
          <w:rStyle w:val="cosearchterm"/>
        </w:rPr>
        <w:t xml:space="preserve"> concept was not captured by the claims.</w:t>
      </w:r>
      <w:r w:rsidR="00D2056E">
        <w:rPr>
          <w:rStyle w:val="FootnoteReference"/>
        </w:rPr>
        <w:footnoteReference w:id="82"/>
      </w:r>
    </w:p>
    <w:p w14:paraId="30EAA5DB" w14:textId="1553E732" w:rsidR="00D2056E" w:rsidRPr="00D2056E" w:rsidRDefault="00D2056E" w:rsidP="00D2056E">
      <w:pPr>
        <w:rPr>
          <w:lang w:val="es-ES"/>
        </w:rPr>
      </w:pPr>
      <w:r>
        <w:rPr>
          <w:rStyle w:val="cosearchterm"/>
        </w:rPr>
        <w:tab/>
        <w:t>The Federal Circuit reversed.</w:t>
      </w:r>
      <w:r>
        <w:rPr>
          <w:rStyle w:val="FootnoteReference"/>
        </w:rPr>
        <w:footnoteReference w:id="83"/>
      </w:r>
      <w:r>
        <w:rPr>
          <w:rStyle w:val="cosearchterm"/>
        </w:rPr>
        <w:t xml:space="preserve"> At step one of the </w:t>
      </w:r>
      <w:r>
        <w:rPr>
          <w:rStyle w:val="cosearchterm"/>
          <w:i/>
          <w:iCs/>
        </w:rPr>
        <w:t>Alice</w:t>
      </w:r>
      <w:r>
        <w:rPr>
          <w:rStyle w:val="cosearchterm"/>
        </w:rPr>
        <w:t xml:space="preserve"> test, the Court concluded the disputed claims were patent-eligible because “</w:t>
      </w:r>
      <w:r>
        <w:t>they are directed to a non-abstract improvement in an existing technological process (i.e., error checking in data transmissions).”</w:t>
      </w:r>
      <w:r>
        <w:rPr>
          <w:rStyle w:val="FootnoteReference"/>
        </w:rPr>
        <w:footnoteReference w:id="84"/>
      </w:r>
      <w:r>
        <w:t xml:space="preserve"> </w:t>
      </w:r>
      <w:r w:rsidR="00292F59">
        <w:t>The claimed invention “enables the detection of persistent systematic errors in data transmissions that prior art systems were previously not equipped to detect.”</w:t>
      </w:r>
      <w:r w:rsidR="00292F59">
        <w:rPr>
          <w:rStyle w:val="FootnoteReference"/>
        </w:rPr>
        <w:footnoteReference w:id="85"/>
      </w:r>
      <w:r w:rsidR="00292F59">
        <w:t xml:space="preserve"> Furthermore, t</w:t>
      </w:r>
      <w:r>
        <w:t>he</w:t>
      </w:r>
      <w:r w:rsidR="00103BFA">
        <w:t xml:space="preserve"> claims</w:t>
      </w:r>
      <w:r w:rsidR="00292F59">
        <w:t xml:space="preserve"> recite a specific method of varying check data generation by instructing</w:t>
      </w:r>
      <w:r w:rsidR="00480CEF">
        <w:t xml:space="preserve"> that</w:t>
      </w:r>
      <w:r w:rsidR="00292F59">
        <w:t xml:space="preserve"> the original data be modified “in time.”</w:t>
      </w:r>
      <w:r w:rsidR="00292F59">
        <w:rPr>
          <w:rStyle w:val="FootnoteReference"/>
        </w:rPr>
        <w:footnoteReference w:id="86"/>
      </w:r>
      <w:r w:rsidR="00292F59">
        <w:t xml:space="preserve"> While the claims involve data processing, </w:t>
      </w:r>
      <w:r w:rsidR="00D90D35">
        <w:t xml:space="preserve">they cite a specific use for the permutation and the specific </w:t>
      </w:r>
      <w:r w:rsidR="00D90D35">
        <w:lastRenderedPageBreak/>
        <w:t>implementation enables the improvement over the prior art. Thus, the disputed claims are patent-eligible.</w:t>
      </w:r>
      <w:r w:rsidR="00D90D35">
        <w:rPr>
          <w:rStyle w:val="FootnoteReference"/>
        </w:rPr>
        <w:footnoteReference w:id="87"/>
      </w:r>
    </w:p>
    <w:p w14:paraId="14BE7C45" w14:textId="0AE770CE" w:rsidR="00DA2F9E" w:rsidRPr="00E676AA" w:rsidRDefault="009D0231" w:rsidP="00136E52">
      <w:pPr>
        <w:pStyle w:val="Heading4"/>
      </w:pPr>
      <w:bookmarkStart w:id="22" w:name="_Toc26792747"/>
      <w:r w:rsidRPr="00E676AA">
        <w:rPr>
          <w:i/>
        </w:rPr>
        <w:t>SRI Int’l, Inc. v. Cisco Sys., Inc</w:t>
      </w:r>
      <w:r w:rsidR="00DA2F9E" w:rsidRPr="00E676AA">
        <w:rPr>
          <w:i/>
        </w:rPr>
        <w:t>.</w:t>
      </w:r>
      <w:r w:rsidR="00DA2F9E" w:rsidRPr="00E676AA">
        <w:t xml:space="preserve">, </w:t>
      </w:r>
      <w:r w:rsidR="00E676AA" w:rsidRPr="00E676AA">
        <w:t>930</w:t>
      </w:r>
      <w:r w:rsidRPr="00E676AA">
        <w:t xml:space="preserve"> F.3d </w:t>
      </w:r>
      <w:r w:rsidR="00E676AA" w:rsidRPr="00E676AA">
        <w:t>1295</w:t>
      </w:r>
      <w:r w:rsidR="00DA2F9E" w:rsidRPr="00E676AA">
        <w:t xml:space="preserve"> (Fed. Cir. </w:t>
      </w:r>
      <w:r w:rsidRPr="00E676AA">
        <w:t>Mar. 20, 2019</w:t>
      </w:r>
      <w:r w:rsidR="00E676AA" w:rsidRPr="00E676AA">
        <w:t>, modified July 12, 2019</w:t>
      </w:r>
      <w:r w:rsidRPr="00E676AA">
        <w:t>)</w:t>
      </w:r>
      <w:bookmarkEnd w:id="22"/>
    </w:p>
    <w:p w14:paraId="41DAAA87" w14:textId="2F39110C" w:rsidR="002B0C47" w:rsidRDefault="009D0231" w:rsidP="00DA2F9E">
      <w:pPr>
        <w:rPr>
          <w:rFonts w:cs="Times New Roman"/>
        </w:rPr>
      </w:pPr>
      <w:r w:rsidRPr="00E676AA">
        <w:rPr>
          <w:rFonts w:cs="Times New Roman"/>
        </w:rPr>
        <w:tab/>
      </w:r>
      <w:r>
        <w:rPr>
          <w:rFonts w:cs="Times New Roman"/>
        </w:rPr>
        <w:t>In this appeal from the District of Delaware, the Federal Circuit (</w:t>
      </w:r>
      <w:r w:rsidR="002B0C47">
        <w:rPr>
          <w:rFonts w:cs="Times New Roman"/>
        </w:rPr>
        <w:t>Stoll, J., with O’Malley</w:t>
      </w:r>
      <w:r w:rsidR="00114E4B">
        <w:rPr>
          <w:rFonts w:cs="Times New Roman"/>
        </w:rPr>
        <w:t>, J.</w:t>
      </w:r>
      <w:r w:rsidR="002B0C47">
        <w:rPr>
          <w:rFonts w:cs="Times New Roman"/>
        </w:rPr>
        <w:t xml:space="preserve">) </w:t>
      </w:r>
      <w:r w:rsidR="004D6F20">
        <w:rPr>
          <w:rFonts w:cs="Times New Roman"/>
        </w:rPr>
        <w:t>affirmed the denial of</w:t>
      </w:r>
      <w:r w:rsidR="00583E19">
        <w:rPr>
          <w:rFonts w:cs="Times New Roman"/>
        </w:rPr>
        <w:t xml:space="preserve"> </w:t>
      </w:r>
      <w:r w:rsidR="004D6F20">
        <w:rPr>
          <w:rFonts w:cs="Times New Roman"/>
        </w:rPr>
        <w:t xml:space="preserve">summary of </w:t>
      </w:r>
      <w:r w:rsidR="00583E19">
        <w:rPr>
          <w:rFonts w:cs="Times New Roman"/>
        </w:rPr>
        <w:t>judgment on ineligibility, holding that</w:t>
      </w:r>
      <w:r w:rsidR="002B0C47">
        <w:rPr>
          <w:rFonts w:cs="Times New Roman"/>
        </w:rPr>
        <w:t xml:space="preserve"> patents teaching network security methods </w:t>
      </w:r>
      <w:r w:rsidR="004D6F20">
        <w:rPr>
          <w:rFonts w:cs="Times New Roman"/>
        </w:rPr>
        <w:t>were</w:t>
      </w:r>
      <w:r w:rsidR="002B0C47">
        <w:rPr>
          <w:rFonts w:cs="Times New Roman"/>
        </w:rPr>
        <w:t xml:space="preserve"> </w:t>
      </w:r>
      <w:r w:rsidR="004D6F20">
        <w:rPr>
          <w:rFonts w:cs="Times New Roman"/>
        </w:rPr>
        <w:t>eligible under § 101</w:t>
      </w:r>
      <w:r w:rsidR="00114E4B">
        <w:rPr>
          <w:rFonts w:cs="Times New Roman"/>
        </w:rPr>
        <w:t xml:space="preserve"> at step one</w:t>
      </w:r>
      <w:r w:rsidR="002B0C47">
        <w:rPr>
          <w:rFonts w:cs="Times New Roman"/>
        </w:rPr>
        <w:t>.</w:t>
      </w:r>
      <w:r w:rsidR="002B0C47" w:rsidRPr="005A669A">
        <w:rPr>
          <w:rStyle w:val="FootnoteReference"/>
        </w:rPr>
        <w:footnoteReference w:id="88"/>
      </w:r>
      <w:r w:rsidR="002B0C47">
        <w:rPr>
          <w:rFonts w:cs="Times New Roman"/>
        </w:rPr>
        <w:t xml:space="preserve"> Judge Lourie dissented.</w:t>
      </w:r>
      <w:r w:rsidR="003701DE" w:rsidRPr="005A669A">
        <w:rPr>
          <w:rStyle w:val="FootnoteReference"/>
        </w:rPr>
        <w:footnoteReference w:id="89"/>
      </w:r>
    </w:p>
    <w:p w14:paraId="4AB254C0" w14:textId="5E9B3B46" w:rsidR="00DA2F9E" w:rsidRDefault="002B0C47" w:rsidP="00DF6ABE">
      <w:pPr>
        <w:rPr>
          <w:rFonts w:cs="Times New Roman"/>
        </w:rPr>
      </w:pPr>
      <w:r>
        <w:rPr>
          <w:rFonts w:cs="Times New Roman"/>
        </w:rPr>
        <w:tab/>
      </w:r>
      <w:r w:rsidR="00B948CF">
        <w:rPr>
          <w:rFonts w:cs="Times New Roman"/>
        </w:rPr>
        <w:t>Two network security patents were at issue</w:t>
      </w:r>
      <w:r w:rsidR="00247997">
        <w:rPr>
          <w:rFonts w:cs="Times New Roman"/>
        </w:rPr>
        <w:t>. Th</w:t>
      </w:r>
      <w:r w:rsidR="00B948CF">
        <w:rPr>
          <w:rFonts w:cs="Times New Roman"/>
        </w:rPr>
        <w:t xml:space="preserve">e ’615 </w:t>
      </w:r>
      <w:r w:rsidR="00F20697">
        <w:rPr>
          <w:rFonts w:cs="Times New Roman"/>
        </w:rPr>
        <w:t xml:space="preserve">and ’203 </w:t>
      </w:r>
      <w:r w:rsidR="00B948CF">
        <w:rPr>
          <w:rFonts w:cs="Times New Roman"/>
        </w:rPr>
        <w:t>patent</w:t>
      </w:r>
      <w:r w:rsidR="00F20697">
        <w:rPr>
          <w:rFonts w:cs="Times New Roman"/>
        </w:rPr>
        <w:t xml:space="preserve">s </w:t>
      </w:r>
      <w:r w:rsidR="00247997">
        <w:rPr>
          <w:rFonts w:cs="Times New Roman"/>
        </w:rPr>
        <w:t>disclose</w:t>
      </w:r>
      <w:r w:rsidR="00B948CF">
        <w:rPr>
          <w:rFonts w:cs="Times New Roman"/>
        </w:rPr>
        <w:t xml:space="preserve"> method</w:t>
      </w:r>
      <w:r w:rsidR="00F20697">
        <w:rPr>
          <w:rFonts w:cs="Times New Roman"/>
        </w:rPr>
        <w:t>s</w:t>
      </w:r>
      <w:r w:rsidR="00B948CF">
        <w:rPr>
          <w:rFonts w:cs="Times New Roman"/>
        </w:rPr>
        <w:t xml:space="preserve"> of computer-automated hierarchical event monitoring</w:t>
      </w:r>
      <w:r w:rsidR="00247997">
        <w:rPr>
          <w:rFonts w:cs="Times New Roman"/>
        </w:rPr>
        <w:t xml:space="preserve">, wherein network monitors are deployed, detect activity, and submit reports to </w:t>
      </w:r>
      <w:r w:rsidR="00F20697">
        <w:rPr>
          <w:rFonts w:cs="Times New Roman"/>
        </w:rPr>
        <w:t xml:space="preserve">a </w:t>
      </w:r>
      <w:r w:rsidR="00247997">
        <w:rPr>
          <w:rFonts w:cs="Times New Roman"/>
        </w:rPr>
        <w:t>superior monitor</w:t>
      </w:r>
      <w:r w:rsidR="00F20697">
        <w:rPr>
          <w:rFonts w:cs="Times New Roman"/>
        </w:rPr>
        <w:t xml:space="preserve"> (which looks for patterns)</w:t>
      </w:r>
      <w:r w:rsidR="00247997">
        <w:rPr>
          <w:rFonts w:cs="Times New Roman"/>
        </w:rPr>
        <w:t>.</w:t>
      </w:r>
      <w:r w:rsidR="00247997" w:rsidRPr="005A669A">
        <w:rPr>
          <w:rStyle w:val="FootnoteReference"/>
        </w:rPr>
        <w:footnoteReference w:id="90"/>
      </w:r>
      <w:r w:rsidR="00DF6ABE">
        <w:rPr>
          <w:rFonts w:cs="Times New Roman"/>
        </w:rPr>
        <w:t xml:space="preserve"> The district court </w:t>
      </w:r>
      <w:r w:rsidR="004E2B86">
        <w:rPr>
          <w:rFonts w:cs="Times New Roman"/>
        </w:rPr>
        <w:t>found the patents directed towards eligible subject matter</w:t>
      </w:r>
      <w:r w:rsidR="00DF6ABE">
        <w:rPr>
          <w:rFonts w:cs="Times New Roman"/>
        </w:rPr>
        <w:t>.</w:t>
      </w:r>
      <w:r w:rsidR="00DF6ABE" w:rsidRPr="005A669A">
        <w:rPr>
          <w:rStyle w:val="FootnoteReference"/>
        </w:rPr>
        <w:footnoteReference w:id="91"/>
      </w:r>
      <w:r w:rsidR="00DF6ABE">
        <w:rPr>
          <w:rFonts w:cs="Times New Roman"/>
        </w:rPr>
        <w:t xml:space="preserve"> </w:t>
      </w:r>
    </w:p>
    <w:p w14:paraId="347E378E" w14:textId="5F8C72F0" w:rsidR="004E2B86" w:rsidRDefault="00697697" w:rsidP="004E2B86">
      <w:pPr>
        <w:rPr>
          <w:rFonts w:cs="Times New Roman"/>
        </w:rPr>
      </w:pPr>
      <w:r>
        <w:rPr>
          <w:rFonts w:cs="Times New Roman"/>
        </w:rPr>
        <w:tab/>
        <w:t xml:space="preserve">The Federal Circuit </w:t>
      </w:r>
      <w:r w:rsidR="00DF6ABE">
        <w:rPr>
          <w:rFonts w:cs="Times New Roman"/>
        </w:rPr>
        <w:t>agreed</w:t>
      </w:r>
      <w:r w:rsidR="00C372C4">
        <w:rPr>
          <w:rFonts w:cs="Times New Roman"/>
        </w:rPr>
        <w:t xml:space="preserve">, </w:t>
      </w:r>
      <w:r w:rsidR="00FA06D2">
        <w:rPr>
          <w:rFonts w:cs="Times New Roman"/>
        </w:rPr>
        <w:t>“</w:t>
      </w:r>
      <w:r>
        <w:rPr>
          <w:rFonts w:cs="Times New Roman"/>
        </w:rPr>
        <w:t>resolv</w:t>
      </w:r>
      <w:r w:rsidR="004E2B86">
        <w:rPr>
          <w:rFonts w:cs="Times New Roman"/>
        </w:rPr>
        <w:t>[</w:t>
      </w:r>
      <w:r w:rsidR="00C372C4">
        <w:rPr>
          <w:rFonts w:cs="Times New Roman"/>
        </w:rPr>
        <w:t>ing</w:t>
      </w:r>
      <w:r w:rsidR="004E2B86">
        <w:rPr>
          <w:rFonts w:cs="Times New Roman"/>
        </w:rPr>
        <w:t>]</w:t>
      </w:r>
      <w:r>
        <w:rPr>
          <w:rFonts w:cs="Times New Roman"/>
        </w:rPr>
        <w:t xml:space="preserve"> the eligibility issue at </w:t>
      </w:r>
      <w:r>
        <w:rPr>
          <w:rFonts w:cs="Times New Roman"/>
          <w:i/>
        </w:rPr>
        <w:t xml:space="preserve">Alice </w:t>
      </w:r>
      <w:r>
        <w:rPr>
          <w:rFonts w:cs="Times New Roman"/>
        </w:rPr>
        <w:t>step one</w:t>
      </w:r>
      <w:r w:rsidR="00C372C4">
        <w:rPr>
          <w:rFonts w:cs="Times New Roman"/>
        </w:rPr>
        <w:t>.</w:t>
      </w:r>
      <w:r>
        <w:rPr>
          <w:rFonts w:cs="Times New Roman"/>
        </w:rPr>
        <w:t>”</w:t>
      </w:r>
      <w:r w:rsidRPr="005A669A">
        <w:rPr>
          <w:rStyle w:val="FootnoteReference"/>
        </w:rPr>
        <w:footnoteReference w:id="92"/>
      </w:r>
      <w:r w:rsidR="004E2B86">
        <w:rPr>
          <w:rFonts w:cs="Times New Roman"/>
        </w:rPr>
        <w:t xml:space="preserve"> </w:t>
      </w:r>
      <w:r w:rsidR="00DD4AC3">
        <w:rPr>
          <w:rFonts w:cs="Times New Roman"/>
        </w:rPr>
        <w:t>“[T]</w:t>
      </w:r>
      <w:r w:rsidR="00FA06D2" w:rsidRPr="00DF6ABE">
        <w:rPr>
          <w:rFonts w:cs="Times New Roman"/>
        </w:rPr>
        <w:t>he claims are more complex than merely reciting the performance of a known business practice on the Internet and are better understood as being necessarily rooted in computer technology in order to solve a specific problem in the realm of</w:t>
      </w:r>
      <w:r w:rsidR="00FA06D2">
        <w:rPr>
          <w:rFonts w:cs="Times New Roman"/>
        </w:rPr>
        <w:t xml:space="preserve"> </w:t>
      </w:r>
      <w:r w:rsidR="00FA06D2" w:rsidRPr="00DF6ABE">
        <w:rPr>
          <w:rFonts w:cs="Times New Roman"/>
        </w:rPr>
        <w:t>computer networks</w:t>
      </w:r>
      <w:r w:rsidR="006C7F15">
        <w:rPr>
          <w:rFonts w:cs="Times New Roman"/>
        </w:rPr>
        <w:t>.</w:t>
      </w:r>
      <w:r w:rsidR="00FA06D2">
        <w:rPr>
          <w:rFonts w:cs="Times New Roman"/>
        </w:rPr>
        <w:t>”</w:t>
      </w:r>
      <w:r w:rsidR="00FA06D2" w:rsidRPr="005A669A">
        <w:rPr>
          <w:rStyle w:val="FootnoteReference"/>
        </w:rPr>
        <w:footnoteReference w:id="93"/>
      </w:r>
      <w:r w:rsidR="00FA06D2">
        <w:rPr>
          <w:rFonts w:cs="Times New Roman"/>
        </w:rPr>
        <w:t xml:space="preserve"> </w:t>
      </w:r>
      <w:r w:rsidR="006C7F15">
        <w:rPr>
          <w:rFonts w:cs="Times New Roman"/>
        </w:rPr>
        <w:t>That is,</w:t>
      </w:r>
    </w:p>
    <w:p w14:paraId="13003DDC" w14:textId="3D6BCE28" w:rsidR="004E2B86" w:rsidRDefault="00163ED6" w:rsidP="004E2B86">
      <w:pPr>
        <w:ind w:left="720" w:right="720"/>
        <w:rPr>
          <w:rFonts w:cs="Times New Roman"/>
        </w:rPr>
      </w:pPr>
      <w:r>
        <w:rPr>
          <w:rFonts w:cs="Times New Roman"/>
        </w:rPr>
        <w:t>[t]</w:t>
      </w:r>
      <w:r w:rsidR="004E2B86" w:rsidRPr="004E2B86">
        <w:rPr>
          <w:rFonts w:cs="Times New Roman"/>
        </w:rPr>
        <w:t>he claims are directed to using a specific technique—using a plurality of network monitors that each analyze specific types of data on the network and integrating reports from the monitors—to solve a technological problem arising in computer networks: identifying hackers or potential intruders into the network.</w:t>
      </w:r>
      <w:r w:rsidR="007A5389" w:rsidRPr="005A669A">
        <w:rPr>
          <w:rStyle w:val="FootnoteReference"/>
        </w:rPr>
        <w:footnoteReference w:id="94"/>
      </w:r>
    </w:p>
    <w:p w14:paraId="14B60A06" w14:textId="78A86308" w:rsidR="007A5389" w:rsidRDefault="00C01466" w:rsidP="005A581D">
      <w:pPr>
        <w:ind w:right="720"/>
        <w:rPr>
          <w:rFonts w:cs="Times New Roman"/>
        </w:rPr>
      </w:pPr>
      <w:r>
        <w:rPr>
          <w:rFonts w:cs="Times New Roman"/>
        </w:rPr>
        <w:t xml:space="preserve">In so holding, </w:t>
      </w:r>
      <w:r w:rsidR="006C7F15">
        <w:rPr>
          <w:rFonts w:cs="Times New Roman"/>
        </w:rPr>
        <w:t>the court</w:t>
      </w:r>
      <w:r>
        <w:rPr>
          <w:rFonts w:cs="Times New Roman"/>
        </w:rPr>
        <w:t xml:space="preserve"> rejected three of Cisco’s arguments: that the patent</w:t>
      </w:r>
      <w:r w:rsidR="006C7F15">
        <w:rPr>
          <w:rFonts w:cs="Times New Roman"/>
        </w:rPr>
        <w:t>s</w:t>
      </w:r>
      <w:r>
        <w:rPr>
          <w:rFonts w:cs="Times New Roman"/>
        </w:rPr>
        <w:t xml:space="preserve"> </w:t>
      </w:r>
      <w:r w:rsidR="006C7F15">
        <w:rPr>
          <w:rFonts w:cs="Times New Roman"/>
        </w:rPr>
        <w:t>were</w:t>
      </w:r>
      <w:r>
        <w:rPr>
          <w:rFonts w:cs="Times New Roman"/>
        </w:rPr>
        <w:t xml:space="preserve"> directed to collecting and analyzing data (they were directed to improving computers in a particular way), that </w:t>
      </w:r>
      <w:r w:rsidR="0027408B">
        <w:rPr>
          <w:rFonts w:cs="Times New Roman"/>
        </w:rPr>
        <w:t>the patent did not teach any improvements to computers (</w:t>
      </w:r>
      <w:r w:rsidR="006A0DD2">
        <w:rPr>
          <w:rFonts w:cs="Times New Roman"/>
        </w:rPr>
        <w:t xml:space="preserve">these practices improved </w:t>
      </w:r>
      <w:r w:rsidR="00B74EDA">
        <w:rPr>
          <w:rFonts w:cs="Times New Roman"/>
        </w:rPr>
        <w:t>computers</w:t>
      </w:r>
      <w:r w:rsidR="0027408B">
        <w:rPr>
          <w:rFonts w:cs="Times New Roman"/>
        </w:rPr>
        <w:t xml:space="preserve">), and </w:t>
      </w:r>
      <w:r w:rsidR="001C1BE0">
        <w:rPr>
          <w:rFonts w:cs="Times New Roman"/>
        </w:rPr>
        <w:t>that the human mind could infringe by going through these steps (</w:t>
      </w:r>
      <w:r w:rsidR="006A0DD2">
        <w:rPr>
          <w:rFonts w:cs="Times New Roman"/>
        </w:rPr>
        <w:t xml:space="preserve">it could </w:t>
      </w:r>
      <w:r w:rsidR="001C1BE0">
        <w:rPr>
          <w:rFonts w:cs="Times New Roman"/>
        </w:rPr>
        <w:t>not at the scale of network activity contemplated by the patent).</w:t>
      </w:r>
      <w:r w:rsidR="001C1BE0" w:rsidRPr="005A669A">
        <w:rPr>
          <w:rStyle w:val="FootnoteReference"/>
        </w:rPr>
        <w:footnoteReference w:id="95"/>
      </w:r>
      <w:r w:rsidR="0027408B">
        <w:rPr>
          <w:rFonts w:cs="Times New Roman"/>
        </w:rPr>
        <w:t xml:space="preserve"> </w:t>
      </w:r>
      <w:r w:rsidR="005A581D">
        <w:rPr>
          <w:rFonts w:cs="Times New Roman"/>
        </w:rPr>
        <w:t xml:space="preserve">No </w:t>
      </w:r>
      <w:r w:rsidR="007A5389">
        <w:rPr>
          <w:rFonts w:cs="Times New Roman"/>
        </w:rPr>
        <w:t>step</w:t>
      </w:r>
      <w:r w:rsidR="00B74EDA">
        <w:rPr>
          <w:rFonts w:cs="Times New Roman"/>
        </w:rPr>
        <w:t xml:space="preserve"> </w:t>
      </w:r>
      <w:r w:rsidR="007A5389">
        <w:rPr>
          <w:rFonts w:cs="Times New Roman"/>
        </w:rPr>
        <w:t>two analysis was needed.</w:t>
      </w:r>
    </w:p>
    <w:p w14:paraId="43E70B70" w14:textId="6C3DA957" w:rsidR="00697697" w:rsidRDefault="007A5389" w:rsidP="00B0778A">
      <w:pPr>
        <w:ind w:right="720"/>
        <w:rPr>
          <w:rFonts w:cs="Times New Roman"/>
        </w:rPr>
      </w:pPr>
      <w:r>
        <w:rPr>
          <w:rFonts w:cs="Times New Roman"/>
        </w:rPr>
        <w:tab/>
        <w:t>In dissent, Judge Lourie</w:t>
      </w:r>
      <w:r w:rsidR="005A581D">
        <w:rPr>
          <w:rFonts w:cs="Times New Roman"/>
        </w:rPr>
        <w:t xml:space="preserve"> said the claims should have been found </w:t>
      </w:r>
      <w:r w:rsidR="008F486B">
        <w:rPr>
          <w:rFonts w:cs="Times New Roman"/>
        </w:rPr>
        <w:t xml:space="preserve">analogous to those in </w:t>
      </w:r>
      <w:r w:rsidR="008F486B">
        <w:rPr>
          <w:rFonts w:cs="Times New Roman"/>
          <w:i/>
        </w:rPr>
        <w:t xml:space="preserve">Electric Power Group, LLC v. Alstom, S.A. </w:t>
      </w:r>
      <w:r w:rsidR="008F486B">
        <w:rPr>
          <w:rFonts w:cs="Times New Roman"/>
        </w:rPr>
        <w:t>and so ineligible.</w:t>
      </w:r>
      <w:r w:rsidR="008F486B" w:rsidRPr="005A669A">
        <w:rPr>
          <w:rStyle w:val="FootnoteReference"/>
        </w:rPr>
        <w:footnoteReference w:id="96"/>
      </w:r>
      <w:r w:rsidR="00C43D29">
        <w:rPr>
          <w:rFonts w:cs="Times New Roman"/>
        </w:rPr>
        <w:t xml:space="preserve"> There, </w:t>
      </w:r>
      <w:r w:rsidR="00344057">
        <w:rPr>
          <w:rFonts w:cs="Times New Roman"/>
        </w:rPr>
        <w:t xml:space="preserve">the </w:t>
      </w:r>
      <w:r w:rsidR="006A0DD2">
        <w:rPr>
          <w:rFonts w:cs="Times New Roman"/>
        </w:rPr>
        <w:t xml:space="preserve">claims </w:t>
      </w:r>
      <w:r w:rsidR="00586E0F">
        <w:rPr>
          <w:rFonts w:cs="Times New Roman"/>
        </w:rPr>
        <w:t xml:space="preserve">were directed </w:t>
      </w:r>
      <w:r w:rsidR="00344057">
        <w:rPr>
          <w:rFonts w:cs="Times New Roman"/>
        </w:rPr>
        <w:t>to selecting, collecting, analyzing, and displaying data</w:t>
      </w:r>
      <w:r w:rsidR="00586E0F">
        <w:rPr>
          <w:rFonts w:cs="Times New Roman"/>
        </w:rPr>
        <w:t xml:space="preserve">; their limitation to </w:t>
      </w:r>
      <w:r w:rsidR="00344057">
        <w:rPr>
          <w:rFonts w:cs="Times New Roman"/>
        </w:rPr>
        <w:t>the technological environment of power-grid monitoring</w:t>
      </w:r>
      <w:r w:rsidR="00586E0F">
        <w:rPr>
          <w:rFonts w:cs="Times New Roman"/>
        </w:rPr>
        <w:t xml:space="preserve"> did not </w:t>
      </w:r>
      <w:r w:rsidR="00586E0F">
        <w:rPr>
          <w:rFonts w:cs="Times New Roman"/>
        </w:rPr>
        <w:lastRenderedPageBreak/>
        <w:t>make them patent-eligible.</w:t>
      </w:r>
      <w:r w:rsidR="00586E0F" w:rsidRPr="005A669A">
        <w:rPr>
          <w:rStyle w:val="FootnoteReference"/>
        </w:rPr>
        <w:footnoteReference w:id="97"/>
      </w:r>
      <w:r w:rsidR="009F2F61">
        <w:rPr>
          <w:rFonts w:cs="Times New Roman"/>
        </w:rPr>
        <w:t xml:space="preserve"> </w:t>
      </w:r>
      <w:r w:rsidR="00694C24">
        <w:rPr>
          <w:rFonts w:cs="Times New Roman"/>
        </w:rPr>
        <w:t>H</w:t>
      </w:r>
      <w:r w:rsidR="00205E97">
        <w:rPr>
          <w:rFonts w:cs="Times New Roman"/>
        </w:rPr>
        <w:t>ere</w:t>
      </w:r>
      <w:r w:rsidR="009B107E">
        <w:rPr>
          <w:rFonts w:cs="Times New Roman"/>
        </w:rPr>
        <w:t>,</w:t>
      </w:r>
      <w:r w:rsidR="00136A25">
        <w:rPr>
          <w:rFonts w:cs="Times New Roman"/>
        </w:rPr>
        <w:t xml:space="preserve"> at step one,</w:t>
      </w:r>
      <w:r w:rsidR="009B107E">
        <w:rPr>
          <w:rFonts w:cs="Times New Roman"/>
        </w:rPr>
        <w:t xml:space="preserve"> </w:t>
      </w:r>
      <w:r w:rsidR="00CE6FBD">
        <w:rPr>
          <w:rFonts w:cs="Times New Roman"/>
        </w:rPr>
        <w:t>Judge Lourie would have held the</w:t>
      </w:r>
      <w:r w:rsidR="009B107E">
        <w:rPr>
          <w:rFonts w:cs="Times New Roman"/>
        </w:rPr>
        <w:t xml:space="preserve"> claims directed to </w:t>
      </w:r>
      <w:r w:rsidR="00CE6FBD">
        <w:rPr>
          <w:rFonts w:cs="Times New Roman"/>
        </w:rPr>
        <w:t>the abstract idea of network security (</w:t>
      </w:r>
      <w:r w:rsidR="00205E97">
        <w:rPr>
          <w:rFonts w:cs="Times New Roman"/>
        </w:rPr>
        <w:t xml:space="preserve">or </w:t>
      </w:r>
      <w:r w:rsidR="00686B23">
        <w:rPr>
          <w:rFonts w:cs="Times New Roman"/>
        </w:rPr>
        <w:t xml:space="preserve">even simply “moving </w:t>
      </w:r>
      <w:r w:rsidR="00BD23A2">
        <w:rPr>
          <w:rFonts w:cs="Times New Roman"/>
        </w:rPr>
        <w:t xml:space="preserve">of </w:t>
      </w:r>
      <w:r w:rsidR="00686B23">
        <w:rPr>
          <w:rFonts w:cs="Times New Roman"/>
        </w:rPr>
        <w:t>information”</w:t>
      </w:r>
      <w:r w:rsidR="00BB6E65">
        <w:rPr>
          <w:rFonts w:cs="Times New Roman"/>
        </w:rPr>
        <w:t>)</w:t>
      </w:r>
      <w:r w:rsidR="00136A25">
        <w:rPr>
          <w:rFonts w:cs="Times New Roman"/>
        </w:rPr>
        <w:t>.</w:t>
      </w:r>
      <w:r w:rsidR="00136A25" w:rsidRPr="005A669A">
        <w:rPr>
          <w:rStyle w:val="FootnoteReference"/>
        </w:rPr>
        <w:footnoteReference w:id="98"/>
      </w:r>
      <w:r w:rsidR="00136A25">
        <w:rPr>
          <w:rFonts w:cs="Times New Roman"/>
        </w:rPr>
        <w:t xml:space="preserve"> At step two, Judge Lourie would have </w:t>
      </w:r>
      <w:r w:rsidR="009F2F61">
        <w:rPr>
          <w:rFonts w:cs="Times New Roman"/>
        </w:rPr>
        <w:t>held there was no inventive concept, as the specification did not disclose the need for anything other than conventional computers and the claims did not teach any “</w:t>
      </w:r>
      <w:r w:rsidR="009F2F61">
        <w:rPr>
          <w:rFonts w:cs="Times New Roman"/>
          <w:i/>
        </w:rPr>
        <w:t xml:space="preserve">specific way </w:t>
      </w:r>
      <w:r w:rsidR="009F2F61">
        <w:rPr>
          <w:rFonts w:cs="Times New Roman"/>
        </w:rPr>
        <w:t xml:space="preserve">of enabling a computer to monitor </w:t>
      </w:r>
      <w:r w:rsidR="004F6A12">
        <w:rPr>
          <w:rFonts w:cs="Times New Roman"/>
        </w:rPr>
        <w:t>network activity.”</w:t>
      </w:r>
      <w:r w:rsidR="004F6A12" w:rsidRPr="005A669A">
        <w:rPr>
          <w:rStyle w:val="FootnoteReference"/>
        </w:rPr>
        <w:footnoteReference w:id="99"/>
      </w:r>
      <w:r w:rsidR="00843483">
        <w:rPr>
          <w:rFonts w:cs="Times New Roman"/>
        </w:rPr>
        <w:t xml:space="preserve"> Here, just as in </w:t>
      </w:r>
      <w:r w:rsidR="00843483">
        <w:rPr>
          <w:rFonts w:cs="Times New Roman"/>
          <w:i/>
        </w:rPr>
        <w:t>Electric Power</w:t>
      </w:r>
      <w:r w:rsidR="00843483">
        <w:rPr>
          <w:rFonts w:cs="Times New Roman"/>
        </w:rPr>
        <w:t>, Judge Lourie would have found the claims “d</w:t>
      </w:r>
      <w:r w:rsidR="00694C24" w:rsidRPr="00C43D29">
        <w:rPr>
          <w:rFonts w:cs="Times New Roman"/>
        </w:rPr>
        <w:t>rawn to using computers as tools to solve a problem, rather than improving the functionality of computers and computer networks.</w:t>
      </w:r>
      <w:r w:rsidR="00694C24">
        <w:rPr>
          <w:rFonts w:cs="Times New Roman"/>
        </w:rPr>
        <w:t>”</w:t>
      </w:r>
      <w:r w:rsidR="00843483" w:rsidRPr="00843483">
        <w:rPr>
          <w:rStyle w:val="FootnoteReference"/>
          <w:rFonts w:cs="Times New Roman"/>
        </w:rPr>
        <w:t xml:space="preserve"> </w:t>
      </w:r>
      <w:r w:rsidR="00843483" w:rsidRPr="005A669A">
        <w:rPr>
          <w:rStyle w:val="FootnoteReference"/>
        </w:rPr>
        <w:footnoteReference w:id="100"/>
      </w:r>
      <w:r w:rsidR="00843483">
        <w:rPr>
          <w:rFonts w:cs="Times New Roman"/>
        </w:rPr>
        <w:t xml:space="preserve"> In </w:t>
      </w:r>
      <w:r w:rsidR="00843483">
        <w:rPr>
          <w:rFonts w:cs="Times New Roman"/>
          <w:i/>
        </w:rPr>
        <w:t xml:space="preserve">Electric </w:t>
      </w:r>
      <w:r w:rsidR="00843483" w:rsidRPr="00843483">
        <w:rPr>
          <w:rFonts w:cs="Times New Roman"/>
          <w:i/>
        </w:rPr>
        <w:t>Power</w:t>
      </w:r>
      <w:r w:rsidR="00843483">
        <w:rPr>
          <w:rFonts w:cs="Times New Roman"/>
        </w:rPr>
        <w:t>,</w:t>
      </w:r>
      <w:r w:rsidR="00E11EE7">
        <w:rPr>
          <w:rFonts w:cs="Times New Roman"/>
        </w:rPr>
        <w:t xml:space="preserve"> as here,</w:t>
      </w:r>
      <w:r w:rsidR="00843483">
        <w:rPr>
          <w:rFonts w:cs="Times New Roman"/>
        </w:rPr>
        <w:t xml:space="preserve"> </w:t>
      </w:r>
      <w:r w:rsidR="00843483" w:rsidRPr="00843483">
        <w:rPr>
          <w:rFonts w:cs="Times New Roman"/>
        </w:rPr>
        <w:t>the</w:t>
      </w:r>
      <w:r w:rsidR="00843483">
        <w:rPr>
          <w:rFonts w:cs="Times New Roman"/>
        </w:rPr>
        <w:t xml:space="preserve"> claims were “</w:t>
      </w:r>
      <w:r w:rsidR="00843483" w:rsidRPr="009F2F61">
        <w:rPr>
          <w:rFonts w:cs="Times New Roman"/>
        </w:rPr>
        <w:t>rooted in computer technology only to the extent that the broadly-recited steps required a computer</w:t>
      </w:r>
      <w:r w:rsidR="00843483">
        <w:rPr>
          <w:rFonts w:cs="Times New Roman"/>
        </w:rPr>
        <w:t>.”</w:t>
      </w:r>
      <w:r w:rsidR="00843483" w:rsidRPr="005A669A">
        <w:rPr>
          <w:rStyle w:val="FootnoteReference"/>
        </w:rPr>
        <w:footnoteReference w:id="101"/>
      </w:r>
      <w:r w:rsidR="00843483">
        <w:rPr>
          <w:rFonts w:cs="Times New Roman"/>
        </w:rPr>
        <w:t xml:space="preserve"> </w:t>
      </w:r>
    </w:p>
    <w:p w14:paraId="149660B9" w14:textId="1AE54A4E" w:rsidR="00473048" w:rsidRPr="00B0778A" w:rsidRDefault="00473048" w:rsidP="00B0778A">
      <w:pPr>
        <w:ind w:right="720"/>
        <w:rPr>
          <w:rFonts w:cs="Times New Roman"/>
        </w:rPr>
      </w:pPr>
      <w:r>
        <w:rPr>
          <w:rFonts w:cs="Times New Roman"/>
        </w:rPr>
        <w:tab/>
      </w:r>
      <w:r w:rsidR="005800EE">
        <w:rPr>
          <w:rFonts w:cs="Times New Roman"/>
        </w:rPr>
        <w:t>In response to</w:t>
      </w:r>
      <w:r w:rsidR="002D7D72">
        <w:rPr>
          <w:rFonts w:cs="Times New Roman"/>
        </w:rPr>
        <w:t xml:space="preserve"> </w:t>
      </w:r>
      <w:r w:rsidR="005800EE">
        <w:rPr>
          <w:rFonts w:cs="Times New Roman"/>
        </w:rPr>
        <w:t>a combined petition for rehearing and rehearing en banc, r</w:t>
      </w:r>
      <w:r>
        <w:rPr>
          <w:rFonts w:cs="Times New Roman"/>
        </w:rPr>
        <w:t>ehearing en banc was denied</w:t>
      </w:r>
      <w:r w:rsidR="001C37DD">
        <w:rPr>
          <w:rFonts w:cs="Times New Roman"/>
        </w:rPr>
        <w:t>.</w:t>
      </w:r>
      <w:r w:rsidR="00D05052">
        <w:rPr>
          <w:rStyle w:val="FootnoteReference"/>
          <w:rFonts w:cs="Times New Roman"/>
        </w:rPr>
        <w:footnoteReference w:id="102"/>
      </w:r>
      <w:r w:rsidR="00396207">
        <w:rPr>
          <w:rFonts w:cs="Times New Roman"/>
        </w:rPr>
        <w:t xml:space="preserve"> </w:t>
      </w:r>
      <w:r w:rsidR="001C37DD">
        <w:rPr>
          <w:rFonts w:cs="Times New Roman"/>
        </w:rPr>
        <w:t xml:space="preserve"> R</w:t>
      </w:r>
      <w:r w:rsidR="00396207">
        <w:rPr>
          <w:rFonts w:cs="Times New Roman"/>
        </w:rPr>
        <w:t xml:space="preserve">ehearing </w:t>
      </w:r>
      <w:r w:rsidR="001C37DD">
        <w:rPr>
          <w:rFonts w:cs="Times New Roman"/>
        </w:rPr>
        <w:t xml:space="preserve">was </w:t>
      </w:r>
      <w:r w:rsidR="00396207">
        <w:rPr>
          <w:rFonts w:cs="Times New Roman"/>
        </w:rPr>
        <w:t>granted in part and denied in part</w:t>
      </w:r>
      <w:r w:rsidR="001C37DD">
        <w:rPr>
          <w:rFonts w:cs="Times New Roman"/>
        </w:rPr>
        <w:t>.</w:t>
      </w:r>
      <w:r w:rsidR="00C073FC">
        <w:rPr>
          <w:rStyle w:val="FootnoteReference"/>
          <w:rFonts w:cs="Times New Roman"/>
        </w:rPr>
        <w:footnoteReference w:id="103"/>
      </w:r>
      <w:r w:rsidR="001C37DD">
        <w:rPr>
          <w:rFonts w:cs="Times New Roman"/>
        </w:rPr>
        <w:t xml:space="preserve">  T</w:t>
      </w:r>
      <w:r w:rsidR="00396207">
        <w:rPr>
          <w:rFonts w:cs="Times New Roman"/>
        </w:rPr>
        <w:t>he panel</w:t>
      </w:r>
      <w:r>
        <w:rPr>
          <w:rFonts w:cs="Times New Roman"/>
        </w:rPr>
        <w:t xml:space="preserve"> reissued </w:t>
      </w:r>
      <w:r w:rsidR="00396207">
        <w:rPr>
          <w:rFonts w:cs="Times New Roman"/>
        </w:rPr>
        <w:t xml:space="preserve">its opinion </w:t>
      </w:r>
      <w:r>
        <w:rPr>
          <w:rFonts w:cs="Times New Roman"/>
        </w:rPr>
        <w:t>with amendments</w:t>
      </w:r>
      <w:r w:rsidR="001C37DD">
        <w:rPr>
          <w:rFonts w:cs="Times New Roman"/>
        </w:rPr>
        <w:t>, but only</w:t>
      </w:r>
      <w:r w:rsidR="00D05052">
        <w:rPr>
          <w:rFonts w:cs="Times New Roman"/>
        </w:rPr>
        <w:t xml:space="preserve"> to </w:t>
      </w:r>
      <w:r w:rsidR="00396207">
        <w:rPr>
          <w:rFonts w:cs="Times New Roman"/>
        </w:rPr>
        <w:t>the part concerning attorneys</w:t>
      </w:r>
      <w:r w:rsidR="005800EE">
        <w:rPr>
          <w:rFonts w:cs="Times New Roman"/>
        </w:rPr>
        <w:t>’</w:t>
      </w:r>
      <w:r w:rsidR="00396207">
        <w:rPr>
          <w:rFonts w:cs="Times New Roman"/>
        </w:rPr>
        <w:t xml:space="preserve"> fees</w:t>
      </w:r>
      <w:r w:rsidR="001C37DD">
        <w:rPr>
          <w:rFonts w:cs="Times New Roman"/>
        </w:rPr>
        <w:t>, not addressed in this review.</w:t>
      </w:r>
      <w:r w:rsidR="00677BD5">
        <w:rPr>
          <w:rStyle w:val="FootnoteReference"/>
          <w:rFonts w:cs="Times New Roman"/>
        </w:rPr>
        <w:footnoteReference w:id="104"/>
      </w:r>
      <w:r>
        <w:rPr>
          <w:rFonts w:cs="Times New Roman"/>
        </w:rPr>
        <w:t xml:space="preserve"> </w:t>
      </w:r>
    </w:p>
    <w:p w14:paraId="394EE6CF" w14:textId="77777777" w:rsidR="00DF1F31" w:rsidRPr="00E676AA" w:rsidRDefault="00DF1F31" w:rsidP="00DF1F31">
      <w:pPr>
        <w:pStyle w:val="Heading4"/>
      </w:pPr>
      <w:bookmarkStart w:id="23" w:name="_Toc26792748"/>
      <w:r>
        <w:rPr>
          <w:i/>
        </w:rPr>
        <w:t>Cellspin Soft, Inc. v. Fitbit, Inc.</w:t>
      </w:r>
      <w:r w:rsidRPr="00E676AA">
        <w:t xml:space="preserve">, </w:t>
      </w:r>
      <w:r>
        <w:t>927 F.3d 1306</w:t>
      </w:r>
      <w:r w:rsidRPr="00E676AA">
        <w:t xml:space="preserve"> (Fed. Cir. </w:t>
      </w:r>
      <w:r>
        <w:t>June 25</w:t>
      </w:r>
      <w:r w:rsidRPr="00E676AA">
        <w:t>, 2019</w:t>
      </w:r>
      <w:r>
        <w:t>).</w:t>
      </w:r>
      <w:bookmarkEnd w:id="23"/>
    </w:p>
    <w:p w14:paraId="22F95F67" w14:textId="7D483048" w:rsidR="00DF1F31" w:rsidRDefault="00DF1F31" w:rsidP="00DF1F31">
      <w:pPr>
        <w:rPr>
          <w:rFonts w:cs="Times New Roman"/>
        </w:rPr>
      </w:pPr>
      <w:r w:rsidRPr="00E676AA">
        <w:rPr>
          <w:rFonts w:cs="Times New Roman"/>
        </w:rPr>
        <w:tab/>
      </w:r>
      <w:r>
        <w:rPr>
          <w:rFonts w:cs="Times New Roman"/>
        </w:rPr>
        <w:t>In this appeal</w:t>
      </w:r>
      <w:r w:rsidR="00986081">
        <w:rPr>
          <w:rFonts w:cs="Times New Roman"/>
        </w:rPr>
        <w:t xml:space="preserve"> from the Northern District of California, the Federal Circuit vacated </w:t>
      </w:r>
      <w:r w:rsidR="00BB099A">
        <w:rPr>
          <w:rFonts w:cs="Times New Roman"/>
        </w:rPr>
        <w:t xml:space="preserve">a decision of patent ineligibility and </w:t>
      </w:r>
      <w:r w:rsidR="006332FA">
        <w:rPr>
          <w:rFonts w:cs="Times New Roman"/>
        </w:rPr>
        <w:t xml:space="preserve">held that “plausible and specific factual allegations” of an inventive concept in the complaint (even if not in the specification, as in </w:t>
      </w:r>
      <w:r w:rsidR="006332FA" w:rsidRPr="006332FA">
        <w:rPr>
          <w:rFonts w:cs="Times New Roman"/>
          <w:i/>
          <w:iCs/>
        </w:rPr>
        <w:t>Berkheimer</w:t>
      </w:r>
      <w:r w:rsidR="00CA74A0">
        <w:rPr>
          <w:rFonts w:cs="Times New Roman"/>
          <w:i/>
          <w:iCs/>
        </w:rPr>
        <w:t xml:space="preserve"> v. HP Inc.</w:t>
      </w:r>
      <w:r w:rsidR="006332FA">
        <w:rPr>
          <w:rFonts w:cs="Times New Roman"/>
        </w:rPr>
        <w:t xml:space="preserve">) </w:t>
      </w:r>
      <w:r w:rsidR="006332FA" w:rsidRPr="006332FA">
        <w:rPr>
          <w:rFonts w:cs="Times New Roman"/>
        </w:rPr>
        <w:t>precluded</w:t>
      </w:r>
      <w:r w:rsidR="006332FA">
        <w:rPr>
          <w:rFonts w:cs="Times New Roman"/>
        </w:rPr>
        <w:t xml:space="preserve"> a finding of ineligibility on a motion to</w:t>
      </w:r>
      <w:r w:rsidR="00DB4BAD">
        <w:rPr>
          <w:rFonts w:cs="Times New Roman"/>
        </w:rPr>
        <w:t xml:space="preserve"> dismiss</w:t>
      </w:r>
      <w:r w:rsidR="00BB099A">
        <w:rPr>
          <w:rFonts w:cs="Times New Roman"/>
        </w:rPr>
        <w:t>.</w:t>
      </w:r>
      <w:r w:rsidR="00BB099A">
        <w:rPr>
          <w:rStyle w:val="FootnoteReference"/>
          <w:rFonts w:cs="Times New Roman"/>
        </w:rPr>
        <w:footnoteReference w:id="105"/>
      </w:r>
      <w:r w:rsidR="00BB099A">
        <w:rPr>
          <w:rFonts w:cs="Times New Roman"/>
        </w:rPr>
        <w:t xml:space="preserve"> </w:t>
      </w:r>
      <w:r w:rsidR="006332FA">
        <w:rPr>
          <w:rFonts w:cs="Times New Roman"/>
        </w:rPr>
        <w:t xml:space="preserve"> </w:t>
      </w:r>
    </w:p>
    <w:p w14:paraId="3CE90F28" w14:textId="058858E2" w:rsidR="00CA74A0" w:rsidRDefault="00EE68E7" w:rsidP="00DF1F31">
      <w:pPr>
        <w:rPr>
          <w:rFonts w:cs="Times New Roman"/>
        </w:rPr>
      </w:pPr>
      <w:r>
        <w:rPr>
          <w:rFonts w:cs="Times New Roman"/>
        </w:rPr>
        <w:tab/>
        <w:t>The four asserted patents</w:t>
      </w:r>
      <w:r w:rsidR="009F5EDE">
        <w:rPr>
          <w:rFonts w:cs="Times New Roman"/>
        </w:rPr>
        <w:t xml:space="preserve"> </w:t>
      </w:r>
      <w:r w:rsidR="005C43E8">
        <w:rPr>
          <w:rFonts w:cs="Times New Roman"/>
        </w:rPr>
        <w:t xml:space="preserve">shared a specification; they </w:t>
      </w:r>
      <w:r w:rsidR="00D90826">
        <w:rPr>
          <w:rFonts w:cs="Times New Roman"/>
        </w:rPr>
        <w:t xml:space="preserve">disclosed connecting a digital device, like a camera, to a mobile device </w:t>
      </w:r>
      <w:r w:rsidR="005C43E8">
        <w:rPr>
          <w:rFonts w:cs="Times New Roman"/>
        </w:rPr>
        <w:t>so that</w:t>
      </w:r>
      <w:r w:rsidR="00D90826">
        <w:rPr>
          <w:rFonts w:cs="Times New Roman"/>
        </w:rPr>
        <w:t xml:space="preserve"> a user </w:t>
      </w:r>
      <w:r w:rsidR="005C43E8">
        <w:rPr>
          <w:rFonts w:cs="Times New Roman"/>
        </w:rPr>
        <w:t>could</w:t>
      </w:r>
      <w:r w:rsidR="00D90826">
        <w:rPr>
          <w:rFonts w:cs="Times New Roman"/>
        </w:rPr>
        <w:t xml:space="preserve"> immediately post media to a website.</w:t>
      </w:r>
      <w:r w:rsidR="00D90826">
        <w:rPr>
          <w:rStyle w:val="FootnoteReference"/>
          <w:rFonts w:cs="Times New Roman"/>
        </w:rPr>
        <w:footnoteReference w:id="106"/>
      </w:r>
      <w:r w:rsidR="00D90826">
        <w:rPr>
          <w:rFonts w:cs="Times New Roman"/>
        </w:rPr>
        <w:t xml:space="preserve"> </w:t>
      </w:r>
      <w:r w:rsidR="009F5EDE">
        <w:rPr>
          <w:rFonts w:cs="Times New Roman"/>
        </w:rPr>
        <w:t xml:space="preserve"> </w:t>
      </w:r>
      <w:r w:rsidR="005C43E8">
        <w:rPr>
          <w:rFonts w:cs="Times New Roman"/>
        </w:rPr>
        <w:t>The patents</w:t>
      </w:r>
      <w:r w:rsidR="00EE6137">
        <w:rPr>
          <w:rFonts w:cs="Times New Roman"/>
        </w:rPr>
        <w:t xml:space="preserve"> were said to improve upon the prior art of tran</w:t>
      </w:r>
      <w:r w:rsidR="005C43E8">
        <w:rPr>
          <w:rFonts w:cs="Times New Roman"/>
        </w:rPr>
        <w:t>sferring data using a USB cable or using one device.</w:t>
      </w:r>
      <w:r w:rsidR="00EE6137">
        <w:rPr>
          <w:rStyle w:val="FootnoteReference"/>
          <w:rFonts w:cs="Times New Roman"/>
        </w:rPr>
        <w:footnoteReference w:id="107"/>
      </w:r>
      <w:r w:rsidR="00EE6137">
        <w:rPr>
          <w:rFonts w:cs="Times New Roman"/>
        </w:rPr>
        <w:t xml:space="preserve">  </w:t>
      </w:r>
      <w:r w:rsidR="005C43E8">
        <w:rPr>
          <w:rFonts w:cs="Times New Roman"/>
        </w:rPr>
        <w:t>One patent, the</w:t>
      </w:r>
      <w:r w:rsidR="00CE0EF5">
        <w:rPr>
          <w:rFonts w:cs="Times New Roman"/>
        </w:rPr>
        <w:t xml:space="preserve"> ’794 patent</w:t>
      </w:r>
      <w:r w:rsidR="005C43E8">
        <w:rPr>
          <w:rFonts w:cs="Times New Roman"/>
        </w:rPr>
        <w:t>,</w:t>
      </w:r>
      <w:r w:rsidR="00CE0EF5">
        <w:rPr>
          <w:rFonts w:cs="Times New Roman"/>
        </w:rPr>
        <w:t xml:space="preserve"> </w:t>
      </w:r>
      <w:r w:rsidR="006059CD">
        <w:rPr>
          <w:rFonts w:cs="Times New Roman"/>
        </w:rPr>
        <w:t xml:space="preserve">generally </w:t>
      </w:r>
      <w:r w:rsidR="00CE0EF5">
        <w:rPr>
          <w:rFonts w:cs="Times New Roman"/>
        </w:rPr>
        <w:t>taught providing Bluetooth software on both devices, pairing them, detecting and transferring new data</w:t>
      </w:r>
      <w:r w:rsidR="006059CD">
        <w:rPr>
          <w:rFonts w:cs="Times New Roman"/>
        </w:rPr>
        <w:t xml:space="preserve"> from the digital device to the mobile device, and then sending the data from there to </w:t>
      </w:r>
      <w:r w:rsidR="005C43E8">
        <w:rPr>
          <w:rFonts w:cs="Times New Roman"/>
        </w:rPr>
        <w:t>a</w:t>
      </w:r>
      <w:r w:rsidR="006059CD">
        <w:rPr>
          <w:rFonts w:cs="Times New Roman"/>
        </w:rPr>
        <w:t xml:space="preserve"> website.</w:t>
      </w:r>
      <w:r w:rsidR="006059CD">
        <w:rPr>
          <w:rStyle w:val="FootnoteReference"/>
          <w:rFonts w:cs="Times New Roman"/>
        </w:rPr>
        <w:footnoteReference w:id="108"/>
      </w:r>
      <w:r w:rsidR="00CE0EF5">
        <w:rPr>
          <w:rFonts w:cs="Times New Roman"/>
        </w:rPr>
        <w:t xml:space="preserve"> </w:t>
      </w:r>
      <w:r w:rsidR="00436FC4">
        <w:rPr>
          <w:rFonts w:cs="Times New Roman"/>
        </w:rPr>
        <w:t xml:space="preserve"> The ’</w:t>
      </w:r>
      <w:r w:rsidR="00762ED9">
        <w:rPr>
          <w:rFonts w:cs="Times New Roman"/>
        </w:rPr>
        <w:t xml:space="preserve">752 patent further required </w:t>
      </w:r>
      <w:r w:rsidR="005C43E8">
        <w:rPr>
          <w:rFonts w:cs="Times New Roman"/>
        </w:rPr>
        <w:t>using</w:t>
      </w:r>
      <w:r w:rsidR="00762ED9">
        <w:rPr>
          <w:rFonts w:cs="Times New Roman"/>
        </w:rPr>
        <w:t xml:space="preserve"> a cryptographic key</w:t>
      </w:r>
      <w:r w:rsidR="005C43E8">
        <w:rPr>
          <w:rFonts w:cs="Times New Roman"/>
        </w:rPr>
        <w:t>, as well as</w:t>
      </w:r>
      <w:r w:rsidR="00762ED9">
        <w:rPr>
          <w:rFonts w:cs="Times New Roman"/>
        </w:rPr>
        <w:t xml:space="preserve"> HTTP</w:t>
      </w:r>
      <w:r w:rsidR="005C43E8">
        <w:rPr>
          <w:rFonts w:cs="Times New Roman"/>
        </w:rPr>
        <w:t xml:space="preserve"> for the final web transfer</w:t>
      </w:r>
      <w:r w:rsidR="00762ED9">
        <w:rPr>
          <w:rFonts w:cs="Times New Roman"/>
        </w:rPr>
        <w:t>.</w:t>
      </w:r>
      <w:r w:rsidR="00762ED9">
        <w:rPr>
          <w:rStyle w:val="FootnoteReference"/>
          <w:rFonts w:cs="Times New Roman"/>
        </w:rPr>
        <w:footnoteReference w:id="109"/>
      </w:r>
      <w:r w:rsidR="003A659A">
        <w:rPr>
          <w:rFonts w:cs="Times New Roman"/>
        </w:rPr>
        <w:t xml:space="preserve">  </w:t>
      </w:r>
      <w:r w:rsidR="005C43E8">
        <w:rPr>
          <w:rFonts w:cs="Times New Roman"/>
        </w:rPr>
        <w:t xml:space="preserve">The </w:t>
      </w:r>
      <w:r w:rsidR="006F74A2">
        <w:rPr>
          <w:rFonts w:cs="Times New Roman"/>
        </w:rPr>
        <w:t>’847 patent was similar.</w:t>
      </w:r>
      <w:r w:rsidR="006F74A2">
        <w:rPr>
          <w:rStyle w:val="FootnoteReference"/>
          <w:rFonts w:cs="Times New Roman"/>
        </w:rPr>
        <w:footnoteReference w:id="110"/>
      </w:r>
      <w:r w:rsidR="006F74A2">
        <w:rPr>
          <w:rFonts w:cs="Times New Roman"/>
        </w:rPr>
        <w:t xml:space="preserve">  </w:t>
      </w:r>
      <w:r w:rsidR="005C43E8">
        <w:rPr>
          <w:rFonts w:cs="Times New Roman"/>
        </w:rPr>
        <w:lastRenderedPageBreak/>
        <w:t>Finally, a fourth patent, the</w:t>
      </w:r>
      <w:r w:rsidR="003A659A">
        <w:rPr>
          <w:rFonts w:cs="Times New Roman"/>
        </w:rPr>
        <w:t xml:space="preserve"> ’698 patent</w:t>
      </w:r>
      <w:r w:rsidR="005C43E8">
        <w:rPr>
          <w:rFonts w:cs="Times New Roman"/>
        </w:rPr>
        <w:t>,</w:t>
      </w:r>
      <w:r w:rsidR="003A659A">
        <w:rPr>
          <w:rFonts w:cs="Times New Roman"/>
        </w:rPr>
        <w:t xml:space="preserve"> more generally treated devices using “short-range wireless,” not </w:t>
      </w:r>
      <w:r w:rsidR="00CA74A0">
        <w:rPr>
          <w:rFonts w:cs="Times New Roman"/>
        </w:rPr>
        <w:t>just</w:t>
      </w:r>
      <w:r w:rsidR="003A659A">
        <w:rPr>
          <w:rFonts w:cs="Times New Roman"/>
        </w:rPr>
        <w:t xml:space="preserve"> Bluetooth, </w:t>
      </w:r>
      <w:r w:rsidR="00CA74A0">
        <w:rPr>
          <w:rFonts w:cs="Times New Roman"/>
        </w:rPr>
        <w:t>and yet</w:t>
      </w:r>
      <w:r w:rsidR="003A659A">
        <w:rPr>
          <w:rFonts w:cs="Times New Roman"/>
        </w:rPr>
        <w:t xml:space="preserve"> more specifically treated digital cameras, not</w:t>
      </w:r>
      <w:r w:rsidR="00CA74A0">
        <w:rPr>
          <w:rFonts w:cs="Times New Roman"/>
        </w:rPr>
        <w:t xml:space="preserve"> just</w:t>
      </w:r>
      <w:r w:rsidR="003A659A">
        <w:rPr>
          <w:rFonts w:cs="Times New Roman"/>
        </w:rPr>
        <w:t xml:space="preserve"> generic </w:t>
      </w:r>
      <w:r w:rsidR="00CA74A0">
        <w:rPr>
          <w:rFonts w:cs="Times New Roman"/>
        </w:rPr>
        <w:t>data-gathering devices</w:t>
      </w:r>
      <w:r w:rsidR="003A659A">
        <w:rPr>
          <w:rFonts w:cs="Times New Roman"/>
        </w:rPr>
        <w:t>.</w:t>
      </w:r>
      <w:r w:rsidR="003A659A">
        <w:rPr>
          <w:rStyle w:val="FootnoteReference"/>
          <w:rFonts w:cs="Times New Roman"/>
        </w:rPr>
        <w:footnoteReference w:id="111"/>
      </w:r>
      <w:r w:rsidR="006F74A2">
        <w:rPr>
          <w:rFonts w:cs="Times New Roman"/>
        </w:rPr>
        <w:t xml:space="preserve">  </w:t>
      </w:r>
    </w:p>
    <w:p w14:paraId="10FEB548" w14:textId="69466CE9" w:rsidR="00EE68E7" w:rsidRDefault="00CA74A0" w:rsidP="00CA74A0">
      <w:pPr>
        <w:ind w:firstLine="720"/>
        <w:rPr>
          <w:rFonts w:cs="Times New Roman"/>
        </w:rPr>
      </w:pPr>
      <w:r>
        <w:rPr>
          <w:rFonts w:cs="Times New Roman"/>
        </w:rPr>
        <w:t>In district court, a</w:t>
      </w:r>
      <w:r w:rsidR="00525758">
        <w:rPr>
          <w:rFonts w:cs="Times New Roman"/>
        </w:rPr>
        <w:t>t step one the patents</w:t>
      </w:r>
      <w:r w:rsidR="006F74A2">
        <w:rPr>
          <w:rFonts w:cs="Times New Roman"/>
        </w:rPr>
        <w:t xml:space="preserve"> </w:t>
      </w:r>
      <w:r w:rsidR="00525758">
        <w:rPr>
          <w:rFonts w:cs="Times New Roman"/>
        </w:rPr>
        <w:t>were</w:t>
      </w:r>
      <w:r>
        <w:rPr>
          <w:rFonts w:cs="Times New Roman"/>
        </w:rPr>
        <w:t xml:space="preserve"> found</w:t>
      </w:r>
      <w:r w:rsidR="00525758">
        <w:rPr>
          <w:rFonts w:cs="Times New Roman"/>
        </w:rPr>
        <w:t xml:space="preserve"> “</w:t>
      </w:r>
      <w:r w:rsidR="00525758" w:rsidRPr="00525758">
        <w:rPr>
          <w:rFonts w:cs="Times New Roman"/>
        </w:rPr>
        <w:t xml:space="preserve">directed to the abstract idea of </w:t>
      </w:r>
      <w:r w:rsidR="00525758">
        <w:rPr>
          <w:rFonts w:cs="Times New Roman"/>
        </w:rPr>
        <w:t>‘</w:t>
      </w:r>
      <w:r w:rsidR="00525758" w:rsidRPr="00525758">
        <w:rPr>
          <w:rFonts w:cs="Times New Roman"/>
        </w:rPr>
        <w:t>acquiring, transferring, and publishing data and multimedia content on one or more websites.</w:t>
      </w:r>
      <w:r w:rsidR="00525758">
        <w:rPr>
          <w:rFonts w:cs="Times New Roman"/>
        </w:rPr>
        <w:t>’</w:t>
      </w:r>
      <w:r w:rsidR="00525758" w:rsidRPr="00525758">
        <w:rPr>
          <w:rFonts w:cs="Times New Roman"/>
        </w:rPr>
        <w:t>”</w:t>
      </w:r>
      <w:r w:rsidR="00525758">
        <w:rPr>
          <w:rStyle w:val="FootnoteReference"/>
          <w:rFonts w:cs="Times New Roman"/>
        </w:rPr>
        <w:footnoteReference w:id="112"/>
      </w:r>
      <w:r w:rsidR="00EE6137">
        <w:rPr>
          <w:rFonts w:cs="Times New Roman"/>
        </w:rPr>
        <w:t xml:space="preserve"> </w:t>
      </w:r>
      <w:r w:rsidR="001B3AD1">
        <w:rPr>
          <w:rFonts w:cs="Times New Roman"/>
        </w:rPr>
        <w:t>At step two, the district court found no inventive concept</w:t>
      </w:r>
      <w:r w:rsidR="00BE0917">
        <w:rPr>
          <w:rFonts w:cs="Times New Roman"/>
        </w:rPr>
        <w:t xml:space="preserve">.  Cellspin argued that there was a factual dispute as to whether the combination of elements was “well-understood, routine and conventional,” </w:t>
      </w:r>
      <w:r w:rsidR="00E15DBC">
        <w:rPr>
          <w:rFonts w:cs="Times New Roman"/>
        </w:rPr>
        <w:t xml:space="preserve">citing </w:t>
      </w:r>
      <w:r w:rsidR="00E15DBC" w:rsidRPr="00CA74A0">
        <w:rPr>
          <w:rFonts w:cs="Times New Roman"/>
          <w:i/>
          <w:iCs/>
        </w:rPr>
        <w:t>Berkheimer</w:t>
      </w:r>
      <w:r>
        <w:rPr>
          <w:rFonts w:cs="Times New Roman"/>
          <w:iCs/>
        </w:rPr>
        <w:t xml:space="preserve">, then newly announced, </w:t>
      </w:r>
      <w:r w:rsidR="00E15DBC" w:rsidRPr="00CA74A0">
        <w:rPr>
          <w:rFonts w:cs="Times New Roman"/>
        </w:rPr>
        <w:t>for</w:t>
      </w:r>
      <w:r w:rsidR="00E15DBC">
        <w:rPr>
          <w:rFonts w:cs="Times New Roman"/>
        </w:rPr>
        <w:t xml:space="preserve"> the proposition that </w:t>
      </w:r>
      <w:r>
        <w:rPr>
          <w:rFonts w:cs="Times New Roman"/>
        </w:rPr>
        <w:t>such disputed facts</w:t>
      </w:r>
      <w:r w:rsidR="00E15DBC">
        <w:rPr>
          <w:rFonts w:cs="Times New Roman"/>
        </w:rPr>
        <w:t xml:space="preserve"> precluded summary judgment.</w:t>
      </w:r>
      <w:r w:rsidR="00E15DBC">
        <w:rPr>
          <w:rStyle w:val="FootnoteReference"/>
          <w:rFonts w:cs="Times New Roman"/>
        </w:rPr>
        <w:footnoteReference w:id="113"/>
      </w:r>
      <w:r w:rsidR="009A5366">
        <w:rPr>
          <w:rFonts w:cs="Times New Roman"/>
        </w:rPr>
        <w:t xml:space="preserve">  But </w:t>
      </w:r>
      <w:r w:rsidR="00346926">
        <w:rPr>
          <w:rFonts w:cs="Times New Roman"/>
        </w:rPr>
        <w:t xml:space="preserve">the district court </w:t>
      </w:r>
      <w:r w:rsidR="006A5C7E">
        <w:rPr>
          <w:rFonts w:cs="Times New Roman"/>
        </w:rPr>
        <w:t>viewed</w:t>
      </w:r>
      <w:r w:rsidR="00346926">
        <w:rPr>
          <w:rFonts w:cs="Times New Roman"/>
        </w:rPr>
        <w:t xml:space="preserve"> </w:t>
      </w:r>
      <w:r w:rsidR="006A5C7E">
        <w:rPr>
          <w:rFonts w:cs="Times New Roman"/>
          <w:i/>
        </w:rPr>
        <w:t xml:space="preserve">Berkheimer </w:t>
      </w:r>
      <w:r w:rsidR="006A5C7E">
        <w:rPr>
          <w:rFonts w:cs="Times New Roman"/>
        </w:rPr>
        <w:t>as inapplicable</w:t>
      </w:r>
      <w:r w:rsidR="00346926">
        <w:rPr>
          <w:rFonts w:cs="Times New Roman"/>
        </w:rPr>
        <w:t>, as this</w:t>
      </w:r>
      <w:r w:rsidR="009A5366">
        <w:rPr>
          <w:rFonts w:cs="Times New Roman"/>
        </w:rPr>
        <w:t xml:space="preserve"> was a motion to dismiss, and</w:t>
      </w:r>
      <w:r w:rsidR="00346926">
        <w:rPr>
          <w:rFonts w:cs="Times New Roman"/>
        </w:rPr>
        <w:t xml:space="preserve"> </w:t>
      </w:r>
      <w:r w:rsidR="00D20AF0">
        <w:rPr>
          <w:rFonts w:cs="Times New Roman"/>
        </w:rPr>
        <w:t>as</w:t>
      </w:r>
      <w:r w:rsidR="009A5366">
        <w:rPr>
          <w:rFonts w:cs="Times New Roman"/>
        </w:rPr>
        <w:t xml:space="preserve"> the plaintiff had failed to identify where its specification treated the inventive concepts </w:t>
      </w:r>
      <w:r w:rsidR="00D20AF0">
        <w:rPr>
          <w:rFonts w:cs="Times New Roman"/>
        </w:rPr>
        <w:t xml:space="preserve">it </w:t>
      </w:r>
      <w:r w:rsidR="009A5366">
        <w:rPr>
          <w:rFonts w:cs="Times New Roman"/>
        </w:rPr>
        <w:t xml:space="preserve">claimed in its </w:t>
      </w:r>
      <w:r w:rsidR="00D20AF0">
        <w:rPr>
          <w:rFonts w:cs="Times New Roman"/>
        </w:rPr>
        <w:t>complaints</w:t>
      </w:r>
      <w:r w:rsidR="009A5366">
        <w:rPr>
          <w:rFonts w:cs="Times New Roman"/>
        </w:rPr>
        <w:t>.</w:t>
      </w:r>
      <w:r w:rsidR="009A5366">
        <w:rPr>
          <w:rStyle w:val="FootnoteReference"/>
          <w:rFonts w:cs="Times New Roman"/>
        </w:rPr>
        <w:footnoteReference w:id="114"/>
      </w:r>
    </w:p>
    <w:p w14:paraId="0CDFB6B6" w14:textId="60FB7453" w:rsidR="009A5366" w:rsidRDefault="009A5366" w:rsidP="00B7244B">
      <w:pPr>
        <w:rPr>
          <w:rFonts w:cs="Times New Roman"/>
        </w:rPr>
      </w:pPr>
      <w:r>
        <w:rPr>
          <w:rFonts w:cs="Times New Roman"/>
        </w:rPr>
        <w:tab/>
      </w:r>
      <w:r w:rsidR="00346926">
        <w:rPr>
          <w:rFonts w:cs="Times New Roman"/>
        </w:rPr>
        <w:t>On appeal, the Federal Circuit accepted the district court’s findings at step one,</w:t>
      </w:r>
      <w:r w:rsidR="00B7244B">
        <w:rPr>
          <w:rStyle w:val="FootnoteReference"/>
          <w:rFonts w:cs="Times New Roman"/>
        </w:rPr>
        <w:footnoteReference w:id="115"/>
      </w:r>
      <w:r w:rsidR="00346926">
        <w:rPr>
          <w:rFonts w:cs="Times New Roman"/>
        </w:rPr>
        <w:t xml:space="preserve"> but</w:t>
      </w:r>
      <w:r w:rsidR="00F6363A">
        <w:rPr>
          <w:rFonts w:cs="Times New Roman"/>
        </w:rPr>
        <w:t xml:space="preserve"> </w:t>
      </w:r>
      <w:r w:rsidR="0021267D">
        <w:rPr>
          <w:rFonts w:cs="Times New Roman"/>
        </w:rPr>
        <w:t>at step two extended</w:t>
      </w:r>
      <w:r w:rsidR="00F6363A">
        <w:rPr>
          <w:rFonts w:cs="Times New Roman"/>
        </w:rPr>
        <w:t xml:space="preserve"> </w:t>
      </w:r>
      <w:r w:rsidR="00F6363A">
        <w:rPr>
          <w:rFonts w:cs="Times New Roman"/>
          <w:i/>
          <w:iCs/>
        </w:rPr>
        <w:t>Berkheimer</w:t>
      </w:r>
      <w:r w:rsidR="00346926">
        <w:rPr>
          <w:rFonts w:cs="Times New Roman"/>
        </w:rPr>
        <w:t xml:space="preserve"> </w:t>
      </w:r>
      <w:r w:rsidR="0021267D">
        <w:rPr>
          <w:rFonts w:cs="Times New Roman"/>
        </w:rPr>
        <w:t>to hold</w:t>
      </w:r>
      <w:r w:rsidR="00346926">
        <w:rPr>
          <w:rFonts w:cs="Times New Roman"/>
        </w:rPr>
        <w:t xml:space="preserve"> that </w:t>
      </w:r>
      <w:r w:rsidR="00D830DE">
        <w:rPr>
          <w:rFonts w:cs="Times New Roman"/>
        </w:rPr>
        <w:t xml:space="preserve">a </w:t>
      </w:r>
      <w:r w:rsidR="00F6363A">
        <w:rPr>
          <w:rFonts w:cs="Times New Roman"/>
        </w:rPr>
        <w:t>factual dispute</w:t>
      </w:r>
      <w:r w:rsidR="00D830DE">
        <w:rPr>
          <w:rFonts w:cs="Times New Roman"/>
        </w:rPr>
        <w:t xml:space="preserve"> about inventive </w:t>
      </w:r>
      <w:r w:rsidR="00D20AF0">
        <w:rPr>
          <w:rFonts w:cs="Times New Roman"/>
        </w:rPr>
        <w:t xml:space="preserve">concept, </w:t>
      </w:r>
      <w:r w:rsidR="00D830DE" w:rsidRPr="00D830DE">
        <w:rPr>
          <w:rFonts w:cs="Times New Roman"/>
        </w:rPr>
        <w:t>even</w:t>
      </w:r>
      <w:r w:rsidR="00D20AF0">
        <w:rPr>
          <w:rFonts w:cs="Times New Roman"/>
        </w:rPr>
        <w:t xml:space="preserve"> if generated</w:t>
      </w:r>
      <w:r w:rsidR="00D830DE" w:rsidRPr="00D830DE">
        <w:rPr>
          <w:rFonts w:cs="Times New Roman"/>
        </w:rPr>
        <w:t xml:space="preserve"> </w:t>
      </w:r>
      <w:r w:rsidR="00D20AF0">
        <w:rPr>
          <w:rFonts w:cs="Times New Roman"/>
        </w:rPr>
        <w:t>by</w:t>
      </w:r>
      <w:r w:rsidR="00D830DE" w:rsidRPr="00D830DE">
        <w:rPr>
          <w:rFonts w:cs="Times New Roman"/>
        </w:rPr>
        <w:t xml:space="preserve"> a complaint</w:t>
      </w:r>
      <w:r w:rsidR="00D830DE">
        <w:rPr>
          <w:rFonts w:cs="Times New Roman"/>
        </w:rPr>
        <w:t xml:space="preserve"> (not just a specificat</w:t>
      </w:r>
      <w:r w:rsidR="00D20AF0">
        <w:rPr>
          <w:rFonts w:cs="Times New Roman"/>
        </w:rPr>
        <w:t xml:space="preserve">ion), </w:t>
      </w:r>
      <w:r w:rsidR="00D830DE">
        <w:rPr>
          <w:rFonts w:cs="Times New Roman"/>
        </w:rPr>
        <w:t xml:space="preserve">can </w:t>
      </w:r>
      <w:r w:rsidR="00F6363A">
        <w:rPr>
          <w:rFonts w:cs="Times New Roman"/>
        </w:rPr>
        <w:t>preclude resolution of patent eligibility</w:t>
      </w:r>
      <w:r w:rsidR="00325E27">
        <w:rPr>
          <w:rFonts w:cs="Times New Roman"/>
        </w:rPr>
        <w:t xml:space="preserve"> on</w:t>
      </w:r>
      <w:r w:rsidR="00D20AF0">
        <w:rPr>
          <w:rFonts w:cs="Times New Roman"/>
        </w:rPr>
        <w:t xml:space="preserve"> a</w:t>
      </w:r>
      <w:r w:rsidR="00F6363A">
        <w:rPr>
          <w:rFonts w:cs="Times New Roman"/>
        </w:rPr>
        <w:t xml:space="preserve"> motion to dismiss</w:t>
      </w:r>
      <w:r w:rsidR="00346926">
        <w:rPr>
          <w:rFonts w:cs="Times New Roman"/>
        </w:rPr>
        <w:t>.</w:t>
      </w:r>
      <w:r w:rsidR="00F6363A">
        <w:rPr>
          <w:rStyle w:val="FootnoteReference"/>
          <w:rFonts w:cs="Times New Roman"/>
        </w:rPr>
        <w:footnoteReference w:id="116"/>
      </w:r>
      <w:r w:rsidR="00F01532">
        <w:rPr>
          <w:rFonts w:cs="Times New Roman"/>
        </w:rPr>
        <w:t xml:space="preserve"> </w:t>
      </w:r>
      <w:r w:rsidR="00D830DE">
        <w:rPr>
          <w:rFonts w:cs="Times New Roman"/>
        </w:rPr>
        <w:t xml:space="preserve">The </w:t>
      </w:r>
      <w:r w:rsidR="00C0170B">
        <w:rPr>
          <w:rFonts w:cs="Times New Roman"/>
        </w:rPr>
        <w:t>specification</w:t>
      </w:r>
      <w:r w:rsidR="00BB12B9">
        <w:rPr>
          <w:rFonts w:cs="Times New Roman"/>
        </w:rPr>
        <w:t xml:space="preserve">’s failure to underscore </w:t>
      </w:r>
      <w:r w:rsidR="00152248">
        <w:rPr>
          <w:rFonts w:cs="Times New Roman"/>
        </w:rPr>
        <w:t>the inventive contribution did</w:t>
      </w:r>
      <w:r w:rsidR="00C0170B">
        <w:rPr>
          <w:rFonts w:cs="Times New Roman"/>
        </w:rPr>
        <w:t xml:space="preserve"> not matter:</w:t>
      </w:r>
    </w:p>
    <w:p w14:paraId="72143777" w14:textId="48B95027" w:rsidR="00C0170B" w:rsidRDefault="00C0170B" w:rsidP="005C0088">
      <w:pPr>
        <w:ind w:left="720" w:right="720"/>
      </w:pPr>
      <w:r>
        <w:t xml:space="preserve">While we do not read </w:t>
      </w:r>
      <w:r w:rsidRPr="00C0170B">
        <w:rPr>
          <w:i/>
          <w:iCs/>
        </w:rPr>
        <w:t>Aatrix</w:t>
      </w:r>
      <w:r>
        <w:t xml:space="preserve"> [</w:t>
      </w:r>
      <w:r w:rsidRPr="00C0170B">
        <w:rPr>
          <w:i/>
          <w:iCs/>
        </w:rPr>
        <w:t>Software, Inc. v. Green Shades Software, Inc.</w:t>
      </w:r>
      <w:r w:rsidR="005C0088">
        <w:t xml:space="preserve">, which came after </w:t>
      </w:r>
      <w:r w:rsidR="005C0088">
        <w:rPr>
          <w:i/>
          <w:iCs/>
        </w:rPr>
        <w:t>Berkheimer</w:t>
      </w:r>
      <w:r w:rsidR="005C0088">
        <w:t>,]</w:t>
      </w:r>
      <w:r>
        <w:t xml:space="preserve"> to say that any allegation</w:t>
      </w:r>
      <w:r w:rsidR="005C0088">
        <w:t xml:space="preserve"> </w:t>
      </w:r>
      <w:r>
        <w:t>about inventiveness</w:t>
      </w:r>
      <w:r w:rsidR="005C0088">
        <w:t xml:space="preserve"> [made in a complaint]</w:t>
      </w:r>
      <w:r>
        <w:t>, wholly divorced from the claims or the specification, defeats a motion to dismiss, plausible and specific factual allegations that aspects of the claims are inventive are sufficient</w:t>
      </w:r>
      <w:r w:rsidR="00193017">
        <w:t xml:space="preserve">.  </w:t>
      </w:r>
      <w:r>
        <w:t>As long as what makes the claims inventive is recited by the claims, the specification need not expressly list all the reasons why this claimed structure is unconventional.</w:t>
      </w:r>
      <w:r w:rsidR="00193017">
        <w:rPr>
          <w:rStyle w:val="FootnoteReference"/>
        </w:rPr>
        <w:footnoteReference w:id="117"/>
      </w:r>
    </w:p>
    <w:p w14:paraId="5BDA29B4" w14:textId="77777777" w:rsidR="00552D65" w:rsidRDefault="00BB12B9" w:rsidP="00BB12B9">
      <w:pPr>
        <w:ind w:right="720"/>
        <w:rPr>
          <w:rFonts w:cs="Times New Roman"/>
        </w:rPr>
      </w:pPr>
      <w:r>
        <w:t>Here, Cellspin</w:t>
      </w:r>
      <w:r w:rsidR="00B96257">
        <w:t>’s complaint alleged</w:t>
      </w:r>
      <w:r w:rsidR="00152248">
        <w:t xml:space="preserve"> </w:t>
      </w:r>
      <w:r w:rsidR="00B96257">
        <w:t>plausibly</w:t>
      </w:r>
      <w:r w:rsidR="00152248">
        <w:t xml:space="preserve"> inventive contributions.  </w:t>
      </w:r>
      <w:r w:rsidR="00552D65">
        <w:t>P</w:t>
      </w:r>
      <w:r w:rsidR="00B96257">
        <w:t>rior</w:t>
      </w:r>
      <w:r w:rsidR="00152248">
        <w:t xml:space="preserve"> </w:t>
      </w:r>
      <w:r w:rsidR="00152248">
        <w:rPr>
          <w:rFonts w:cs="Times New Roman"/>
        </w:rPr>
        <w:t xml:space="preserve">art allegedly </w:t>
      </w:r>
    </w:p>
    <w:p w14:paraId="28DE5110" w14:textId="77777777" w:rsidR="00552D65" w:rsidRPr="00552D65" w:rsidRDefault="00152248" w:rsidP="00552D65">
      <w:pPr>
        <w:pStyle w:val="ListParagraph"/>
        <w:numPr>
          <w:ilvl w:val="0"/>
          <w:numId w:val="23"/>
        </w:numPr>
        <w:ind w:right="720"/>
      </w:pPr>
      <w:r w:rsidRPr="00552D65">
        <w:rPr>
          <w:rFonts w:cs="Times New Roman"/>
        </w:rPr>
        <w:t xml:space="preserve">relied either on wireline transfer or on </w:t>
      </w:r>
      <w:r w:rsidR="00552D65" w:rsidRPr="00552D65">
        <w:rPr>
          <w:rFonts w:cs="Times New Roman"/>
        </w:rPr>
        <w:t>a single</w:t>
      </w:r>
      <w:r w:rsidRPr="00552D65">
        <w:rPr>
          <w:rFonts w:cs="Times New Roman"/>
        </w:rPr>
        <w:t xml:space="preserve"> device, </w:t>
      </w:r>
      <w:r w:rsidR="00B96257" w:rsidRPr="00552D65">
        <w:rPr>
          <w:rFonts w:cs="Times New Roman"/>
        </w:rPr>
        <w:t>and the wireless</w:t>
      </w:r>
      <w:r w:rsidR="00552D65" w:rsidRPr="00552D65">
        <w:rPr>
          <w:rFonts w:cs="Times New Roman"/>
        </w:rPr>
        <w:t>,</w:t>
      </w:r>
      <w:r w:rsidR="00B96257" w:rsidRPr="00552D65">
        <w:rPr>
          <w:rFonts w:cs="Times New Roman"/>
        </w:rPr>
        <w:t xml:space="preserve"> two-device process eliminated</w:t>
      </w:r>
      <w:r w:rsidRPr="00552D65">
        <w:rPr>
          <w:rFonts w:cs="Times New Roman"/>
        </w:rPr>
        <w:t xml:space="preserve"> inconvenience </w:t>
      </w:r>
      <w:r w:rsidR="00B96257" w:rsidRPr="00552D65">
        <w:rPr>
          <w:rFonts w:cs="Times New Roman"/>
        </w:rPr>
        <w:t>and</w:t>
      </w:r>
      <w:r w:rsidRPr="00552D65">
        <w:rPr>
          <w:rFonts w:cs="Times New Roman"/>
        </w:rPr>
        <w:t xml:space="preserve"> heft; </w:t>
      </w:r>
    </w:p>
    <w:p w14:paraId="3A8A226E" w14:textId="77777777" w:rsidR="00552D65" w:rsidRPr="00552D65" w:rsidRDefault="00152248" w:rsidP="00552D65">
      <w:pPr>
        <w:pStyle w:val="ListParagraph"/>
        <w:numPr>
          <w:ilvl w:val="0"/>
          <w:numId w:val="23"/>
        </w:numPr>
        <w:ind w:right="720"/>
      </w:pPr>
      <w:r w:rsidRPr="00552D65">
        <w:rPr>
          <w:rFonts w:cs="Times New Roman"/>
        </w:rPr>
        <w:t xml:space="preserve">did not wait to pair before attempting transfer, </w:t>
      </w:r>
      <w:r w:rsidR="00B96257" w:rsidRPr="00552D65">
        <w:rPr>
          <w:rFonts w:cs="Times New Roman"/>
        </w:rPr>
        <w:t>and the claimed process saved this potentially wasted</w:t>
      </w:r>
      <w:r w:rsidRPr="00552D65">
        <w:rPr>
          <w:rFonts w:cs="Times New Roman"/>
        </w:rPr>
        <w:t xml:space="preserve"> effort; </w:t>
      </w:r>
    </w:p>
    <w:p w14:paraId="23F9F166" w14:textId="77777777" w:rsidR="00552D65" w:rsidRDefault="00152248" w:rsidP="00552D65">
      <w:pPr>
        <w:pStyle w:val="ListParagraph"/>
        <w:numPr>
          <w:ilvl w:val="0"/>
          <w:numId w:val="23"/>
        </w:numPr>
        <w:ind w:right="720"/>
      </w:pPr>
      <w:r w:rsidRPr="00552D65">
        <w:rPr>
          <w:rFonts w:cs="Times New Roman"/>
        </w:rPr>
        <w:t xml:space="preserve">did not use </w:t>
      </w:r>
      <w:r w:rsidR="00BE7E84" w:rsidRPr="00552D65">
        <w:rPr>
          <w:rFonts w:cs="Times New Roman"/>
        </w:rPr>
        <w:t xml:space="preserve">an </w:t>
      </w:r>
      <w:r w:rsidRPr="00552D65">
        <w:rPr>
          <w:rFonts w:cs="Times New Roman"/>
        </w:rPr>
        <w:t>HTTP transfer from the last device to the website.</w:t>
      </w:r>
      <w:r>
        <w:rPr>
          <w:rStyle w:val="FootnoteReference"/>
          <w:rFonts w:cs="Times New Roman"/>
        </w:rPr>
        <w:footnoteReference w:id="118"/>
      </w:r>
      <w:r w:rsidRPr="00552D65">
        <w:rPr>
          <w:rFonts w:cs="Times New Roman"/>
        </w:rPr>
        <w:t xml:space="preserve">  </w:t>
      </w:r>
    </w:p>
    <w:p w14:paraId="54940A06" w14:textId="012C9999" w:rsidR="008B12F5" w:rsidRPr="00DF1F31" w:rsidRDefault="00F06027" w:rsidP="001A49F3">
      <w:pPr>
        <w:ind w:right="720"/>
      </w:pPr>
      <w:r>
        <w:t xml:space="preserve">Further, even if individual elements (using Bluetooth, for instance) </w:t>
      </w:r>
      <w:r w:rsidR="00DC6DDF">
        <w:t>were</w:t>
      </w:r>
      <w:r>
        <w:t xml:space="preserve"> conventional, “</w:t>
      </w:r>
      <w:r w:rsidRPr="00F06027">
        <w:t>implementing a well-known technique with particular devices in a specific combination</w:t>
      </w:r>
      <w:r w:rsidR="00F959B8">
        <w:t> . . .</w:t>
      </w:r>
      <w:r w:rsidRPr="00F06027">
        <w:t xml:space="preserve"> can be inventive</w:t>
      </w:r>
      <w:r>
        <w:t>.”</w:t>
      </w:r>
      <w:r>
        <w:rPr>
          <w:rStyle w:val="FootnoteReference"/>
        </w:rPr>
        <w:footnoteReference w:id="119"/>
      </w:r>
      <w:r w:rsidR="008B12F5">
        <w:t xml:space="preserve">  </w:t>
      </w:r>
      <w:r w:rsidR="001A49F3">
        <w:t>T</w:t>
      </w:r>
      <w:r w:rsidR="00F959B8">
        <w:t xml:space="preserve">he complaint </w:t>
      </w:r>
      <w:r w:rsidR="00883BA6">
        <w:t xml:space="preserve">plausibly </w:t>
      </w:r>
      <w:r w:rsidR="00F959B8">
        <w:t xml:space="preserve">alleged </w:t>
      </w:r>
      <w:r w:rsidR="008B12F5">
        <w:lastRenderedPageBreak/>
        <w:t>“</w:t>
      </w:r>
      <w:r w:rsidR="008B12F5" w:rsidRPr="00552D65">
        <w:rPr>
          <w:i/>
          <w:iCs/>
        </w:rPr>
        <w:t>significantly more</w:t>
      </w:r>
      <w:r w:rsidR="008B12F5" w:rsidRPr="008B12F5">
        <w:t xml:space="preserve"> than the idea of capturing, transferring, or publishing data</w:t>
      </w:r>
      <w:r w:rsidR="00F959B8">
        <w:t xml:space="preserve">,” </w:t>
      </w:r>
      <w:r w:rsidR="00150E15">
        <w:t>making motion to dismiss inappropriate.</w:t>
      </w:r>
      <w:r w:rsidR="00150E15">
        <w:rPr>
          <w:rStyle w:val="FootnoteReference"/>
        </w:rPr>
        <w:footnoteReference w:id="120"/>
      </w:r>
    </w:p>
    <w:p w14:paraId="3650E546" w14:textId="77777777" w:rsidR="0033193D" w:rsidRPr="00985B4F" w:rsidRDefault="0033193D" w:rsidP="0033193D">
      <w:pPr>
        <w:pStyle w:val="Heading4"/>
        <w:rPr>
          <w:rFonts w:cs="Times New Roman"/>
          <w:color w:val="000000" w:themeColor="text1"/>
        </w:rPr>
      </w:pPr>
      <w:bookmarkStart w:id="24" w:name="_Toc26792749"/>
      <w:r w:rsidRPr="00985B4F">
        <w:rPr>
          <w:i/>
          <w:iCs/>
        </w:rPr>
        <w:t>MyMail, Ltd. v. ooVoo, LLC</w:t>
      </w:r>
      <w:r w:rsidRPr="00730B6B">
        <w:t>, 934 F.3d 1373</w:t>
      </w:r>
      <w:r>
        <w:t xml:space="preserve"> </w:t>
      </w:r>
      <w:r w:rsidRPr="00730B6B">
        <w:t xml:space="preserve">(Fed. Cir. </w:t>
      </w:r>
      <w:r>
        <w:t xml:space="preserve">August 16, </w:t>
      </w:r>
      <w:r w:rsidRPr="00730B6B">
        <w:t>2019)</w:t>
      </w:r>
      <w:bookmarkEnd w:id="24"/>
    </w:p>
    <w:p w14:paraId="587870BD" w14:textId="77777777" w:rsidR="0033193D" w:rsidRDefault="0033193D" w:rsidP="0033193D">
      <w:pPr>
        <w:ind w:firstLine="720"/>
      </w:pPr>
      <w:r>
        <w:t xml:space="preserve">In this appeal from the Northern District of California, the Federal Circuit vacated and remanded a finding of patent ineligibility for methods of modifying a software toolbar without user interaction. </w:t>
      </w:r>
      <w:r>
        <w:rPr>
          <w:rStyle w:val="FootnoteReference"/>
        </w:rPr>
        <w:footnoteReference w:id="121"/>
      </w:r>
    </w:p>
    <w:p w14:paraId="1F89F959" w14:textId="77777777" w:rsidR="0033193D" w:rsidRDefault="0033193D" w:rsidP="0033193D">
      <w:pPr>
        <w:ind w:firstLine="720"/>
      </w:pPr>
      <w:r>
        <w:t>MyMail’s ‘863 and ‘070 involve methods of automatically updating a toolbar on an internet connected device without user input by communicating with a server.</w:t>
      </w:r>
      <w:r>
        <w:rPr>
          <w:rStyle w:val="FootnoteReference"/>
        </w:rPr>
        <w:footnoteReference w:id="122"/>
      </w:r>
      <w:r>
        <w:t xml:space="preserve"> At step one of the </w:t>
      </w:r>
      <w:r>
        <w:rPr>
          <w:i/>
          <w:iCs/>
        </w:rPr>
        <w:t>Alice</w:t>
      </w:r>
      <w:r>
        <w:t xml:space="preserve"> test, the district court held the claimed inventions were directed at the abstract of ideas of processing information and using network communication to update software.</w:t>
      </w:r>
      <w:r>
        <w:rPr>
          <w:rStyle w:val="FootnoteReference"/>
        </w:rPr>
        <w:footnoteReference w:id="123"/>
      </w:r>
      <w:r>
        <w:t xml:space="preserve"> At step two of the </w:t>
      </w:r>
      <w:r>
        <w:rPr>
          <w:i/>
          <w:iCs/>
        </w:rPr>
        <w:t>Alice</w:t>
      </w:r>
      <w:r>
        <w:t xml:space="preserve"> test, the district court held there was no inventive concept to save the claims because toolbars and servers are widely used components and modifying toolbars based on databases on a server is common practice.</w:t>
      </w:r>
      <w:r>
        <w:rPr>
          <w:rStyle w:val="FootnoteReference"/>
        </w:rPr>
        <w:footnoteReference w:id="124"/>
      </w:r>
      <w:r>
        <w:t xml:space="preserve"> Thus, the district court held the patents were ineligible under </w:t>
      </w:r>
      <w:r w:rsidRPr="00056D14">
        <w:t>§ 101</w:t>
      </w:r>
      <w:r>
        <w:t xml:space="preserve"> and granted ooVoo’s motion for judgement on the pleadings.</w:t>
      </w:r>
      <w:r>
        <w:rPr>
          <w:rStyle w:val="FootnoteReference"/>
        </w:rPr>
        <w:footnoteReference w:id="125"/>
      </w:r>
    </w:p>
    <w:p w14:paraId="0B2F9A63" w14:textId="77777777" w:rsidR="0033193D" w:rsidRPr="00080809" w:rsidRDefault="0033193D" w:rsidP="0033193D">
      <w:pPr>
        <w:ind w:firstLine="720"/>
      </w:pPr>
      <w:r>
        <w:t>The Federal Circuit vacated and remanded. The parties had disagreed on the construction of the term “toolbar”, but the district court did not construe the term or address the construction dispute at all.</w:t>
      </w:r>
      <w:r>
        <w:rPr>
          <w:rStyle w:val="FootnoteReference"/>
        </w:rPr>
        <w:footnoteReference w:id="126"/>
      </w:r>
      <w:r>
        <w:t xml:space="preserve"> However, “i</w:t>
      </w:r>
      <w:r w:rsidRPr="006F7371">
        <w:t>f the parties raise a claim construction dispute at the Rule 12(c) stage, the district court must either adopt the non-moving party’s constructions or resolve the dispute to whatever extent is needed to conduct the § 101 analysis.</w:t>
      </w:r>
      <w:r>
        <w:t>”</w:t>
      </w:r>
      <w:r>
        <w:rPr>
          <w:rStyle w:val="FootnoteReference"/>
        </w:rPr>
        <w:footnoteReference w:id="127"/>
      </w:r>
      <w:r>
        <w:t xml:space="preserve"> Thus, the district court erred by not addressing the construction dispute before ruling on eligibility under </w:t>
      </w:r>
      <w:r w:rsidRPr="006F7371">
        <w:t>§ 10</w:t>
      </w:r>
      <w:r>
        <w:t>1.</w:t>
      </w:r>
      <w:r>
        <w:rPr>
          <w:rStyle w:val="FootnoteReference"/>
        </w:rPr>
        <w:footnoteReference w:id="128"/>
      </w:r>
      <w:r>
        <w:t xml:space="preserve"> The Federal Circuit declined to construe the term in the first instance or rule on patent eligibility.</w:t>
      </w:r>
      <w:r>
        <w:rPr>
          <w:rStyle w:val="FootnoteReference"/>
        </w:rPr>
        <w:footnoteReference w:id="129"/>
      </w:r>
    </w:p>
    <w:p w14:paraId="5479AC11" w14:textId="77777777" w:rsidR="0033193D" w:rsidRPr="001005E9" w:rsidRDefault="0033193D" w:rsidP="00EC12B7">
      <w:pPr>
        <w:ind w:firstLine="720"/>
        <w:rPr>
          <w:rFonts w:cs="Times New Roman"/>
        </w:rPr>
      </w:pPr>
    </w:p>
    <w:p w14:paraId="7DE463DB" w14:textId="3DD7D3ED" w:rsidR="00FC0303" w:rsidRDefault="00B11425" w:rsidP="00092ADB">
      <w:pPr>
        <w:pStyle w:val="Heading2"/>
      </w:pPr>
      <w:bookmarkStart w:id="25" w:name="_Toc26792750"/>
      <w:r>
        <w:lastRenderedPageBreak/>
        <w:t>Life Sciences Claims</w:t>
      </w:r>
      <w:bookmarkEnd w:id="25"/>
    </w:p>
    <w:p w14:paraId="1712399A" w14:textId="081738A2" w:rsidR="00B11425" w:rsidRDefault="00C16F78" w:rsidP="00136E52">
      <w:pPr>
        <w:pStyle w:val="Heading3"/>
        <w:rPr>
          <w:i/>
        </w:rPr>
      </w:pPr>
      <w:bookmarkStart w:id="26" w:name="_Toc26792751"/>
      <w:r>
        <w:t>Unpatentable</w:t>
      </w:r>
      <w:bookmarkEnd w:id="26"/>
    </w:p>
    <w:p w14:paraId="4C0F5CD8" w14:textId="4334A33F" w:rsidR="00BC167F" w:rsidRPr="00300BD8" w:rsidRDefault="00447625" w:rsidP="00BC167F">
      <w:pPr>
        <w:pStyle w:val="Heading4"/>
      </w:pPr>
      <w:bookmarkStart w:id="27" w:name="_Toc26792752"/>
      <w:r>
        <w:rPr>
          <w:i/>
        </w:rPr>
        <w:t>Cleveland Clinic Found. v. True Health Diagnostics LLC</w:t>
      </w:r>
      <w:r w:rsidR="00BC167F" w:rsidRPr="009914D5">
        <w:t xml:space="preserve">, </w:t>
      </w:r>
      <w:r>
        <w:t>No. 2018-1218, 2019 WL 1452697</w:t>
      </w:r>
      <w:r w:rsidR="00BC167F" w:rsidRPr="009914D5">
        <w:t xml:space="preserve"> (Fed. Cir. </w:t>
      </w:r>
      <w:r>
        <w:t>Apr. 1,</w:t>
      </w:r>
      <w:r w:rsidR="00BC167F" w:rsidRPr="009914D5">
        <w:t xml:space="preserve"> </w:t>
      </w:r>
      <w:r>
        <w:t>2019</w:t>
      </w:r>
      <w:r w:rsidR="00BC167F" w:rsidRPr="009914D5">
        <w:t>)</w:t>
      </w:r>
      <w:bookmarkEnd w:id="27"/>
    </w:p>
    <w:p w14:paraId="052AC9C3" w14:textId="184C8588" w:rsidR="00BC167F" w:rsidRDefault="00BC167F" w:rsidP="008D7E69">
      <w:pPr>
        <w:ind w:firstLine="720"/>
      </w:pPr>
      <w:r w:rsidRPr="00300BD8">
        <w:rPr>
          <w:rFonts w:cs="Times New Roman"/>
          <w:color w:val="000000" w:themeColor="text1"/>
        </w:rPr>
        <w:t xml:space="preserve">In this appeal from the </w:t>
      </w:r>
      <w:r>
        <w:rPr>
          <w:rFonts w:cs="Times New Roman"/>
          <w:color w:val="000000" w:themeColor="text1"/>
        </w:rPr>
        <w:t>Eastern</w:t>
      </w:r>
      <w:r w:rsidRPr="00300BD8">
        <w:rPr>
          <w:rFonts w:cs="Times New Roman"/>
          <w:color w:val="000000" w:themeColor="text1"/>
        </w:rPr>
        <w:t xml:space="preserve"> District of </w:t>
      </w:r>
      <w:r>
        <w:rPr>
          <w:rFonts w:cs="Times New Roman"/>
          <w:color w:val="000000" w:themeColor="text1"/>
        </w:rPr>
        <w:t>Virg</w:t>
      </w:r>
      <w:r w:rsidR="00447625">
        <w:rPr>
          <w:rFonts w:cs="Times New Roman"/>
          <w:color w:val="000000" w:themeColor="text1"/>
        </w:rPr>
        <w:t>i</w:t>
      </w:r>
      <w:r>
        <w:rPr>
          <w:rFonts w:cs="Times New Roman"/>
          <w:color w:val="000000" w:themeColor="text1"/>
        </w:rPr>
        <w:t>nia</w:t>
      </w:r>
      <w:r w:rsidRPr="00300BD8">
        <w:rPr>
          <w:rFonts w:cs="Times New Roman"/>
          <w:color w:val="000000" w:themeColor="text1"/>
        </w:rPr>
        <w:t xml:space="preserve">, the Federal Circuit </w:t>
      </w:r>
      <w:r w:rsidR="00F52415">
        <w:rPr>
          <w:rFonts w:cs="Times New Roman"/>
          <w:color w:val="000000" w:themeColor="text1"/>
        </w:rPr>
        <w:t xml:space="preserve">(Lourie, J., with Moore and Wallach, JJ.) </w:t>
      </w:r>
      <w:r w:rsidRPr="00300BD8">
        <w:rPr>
          <w:rFonts w:cs="Times New Roman"/>
          <w:color w:val="000000" w:themeColor="text1"/>
        </w:rPr>
        <w:t xml:space="preserve">held that a patent for </w:t>
      </w:r>
      <w:r>
        <w:rPr>
          <w:rFonts w:cs="Times New Roman"/>
          <w:color w:val="000000" w:themeColor="text1"/>
        </w:rPr>
        <w:t>a test</w:t>
      </w:r>
      <w:r w:rsidR="00447625">
        <w:rPr>
          <w:rFonts w:cs="Times New Roman"/>
          <w:color w:val="000000" w:themeColor="text1"/>
        </w:rPr>
        <w:t xml:space="preserve"> </w:t>
      </w:r>
      <w:r w:rsidR="00F52415">
        <w:rPr>
          <w:rFonts w:cs="Times New Roman"/>
          <w:color w:val="000000" w:themeColor="text1"/>
        </w:rPr>
        <w:t>diagnosing</w:t>
      </w:r>
      <w:r w:rsidR="00447625">
        <w:rPr>
          <w:rFonts w:cs="Times New Roman"/>
          <w:color w:val="000000" w:themeColor="text1"/>
        </w:rPr>
        <w:t xml:space="preserve"> </w:t>
      </w:r>
      <w:r w:rsidR="009F60F5">
        <w:rPr>
          <w:rFonts w:cs="Times New Roman"/>
          <w:color w:val="000000" w:themeColor="text1"/>
        </w:rPr>
        <w:t xml:space="preserve">cardiovascular disease </w:t>
      </w:r>
      <w:r w:rsidR="00447625">
        <w:rPr>
          <w:rFonts w:cs="Times New Roman"/>
          <w:color w:val="000000" w:themeColor="text1"/>
        </w:rPr>
        <w:t xml:space="preserve">risk </w:t>
      </w:r>
      <w:r w:rsidRPr="00300BD8">
        <w:rPr>
          <w:rFonts w:cs="Times New Roman"/>
          <w:color w:val="000000" w:themeColor="text1"/>
        </w:rPr>
        <w:t>was ineligible under § 101</w:t>
      </w:r>
      <w:r w:rsidR="00F52415">
        <w:rPr>
          <w:rFonts w:cs="Times New Roman"/>
          <w:color w:val="000000" w:themeColor="text1"/>
        </w:rPr>
        <w:t xml:space="preserve"> at step two</w:t>
      </w:r>
      <w:r w:rsidRPr="00300BD8">
        <w:rPr>
          <w:rFonts w:cs="Times New Roman"/>
          <w:color w:val="000000" w:themeColor="text1"/>
        </w:rPr>
        <w:t>.</w:t>
      </w:r>
      <w:r w:rsidRPr="005A669A">
        <w:rPr>
          <w:rStyle w:val="FootnoteReference"/>
        </w:rPr>
        <w:footnoteReference w:id="130"/>
      </w:r>
      <w:r w:rsidR="008C10D2">
        <w:rPr>
          <w:rFonts w:cs="Times New Roman"/>
          <w:color w:val="000000" w:themeColor="text1"/>
        </w:rPr>
        <w:t xml:space="preserve"> </w:t>
      </w:r>
      <w:r w:rsidR="008C10D2">
        <w:t>In so holding, the Federal Circuit declined to follow Patent and Trademark Office (“PTO”) guidance to the contrary.</w:t>
      </w:r>
      <w:r w:rsidR="008C10D2" w:rsidRPr="005A669A">
        <w:rPr>
          <w:rStyle w:val="FootnoteReference"/>
        </w:rPr>
        <w:footnoteReference w:id="131"/>
      </w:r>
    </w:p>
    <w:p w14:paraId="074EEEF9" w14:textId="6A5C2342" w:rsidR="008D7E69" w:rsidRDefault="00B0472F" w:rsidP="00EC583F">
      <w:pPr>
        <w:ind w:firstLine="720"/>
      </w:pPr>
      <w:r>
        <w:t xml:space="preserve">In a prior case, the Federal Circuit had held </w:t>
      </w:r>
      <w:r w:rsidR="00824275">
        <w:t xml:space="preserve">the patent-in-suit </w:t>
      </w:r>
      <w:r w:rsidR="00EF100D">
        <w:t>ineligible</w:t>
      </w:r>
      <w:r w:rsidR="00824275">
        <w:t>.</w:t>
      </w:r>
      <w:r w:rsidR="00824275" w:rsidRPr="00824275">
        <w:rPr>
          <w:rStyle w:val="FootnoteReference"/>
        </w:rPr>
        <w:t xml:space="preserve"> </w:t>
      </w:r>
      <w:r w:rsidR="00824275" w:rsidRPr="005A669A">
        <w:rPr>
          <w:rStyle w:val="FootnoteReference"/>
        </w:rPr>
        <w:footnoteReference w:id="132"/>
      </w:r>
      <w:r w:rsidR="00824275">
        <w:t xml:space="preserve"> </w:t>
      </w:r>
      <w:r w:rsidR="00A61A00">
        <w:t>That ’552 patent</w:t>
      </w:r>
      <w:r w:rsidR="00824275">
        <w:t xml:space="preserve"> disclosed</w:t>
      </w:r>
      <w:r w:rsidR="00DA52EA">
        <w:t xml:space="preserve"> </w:t>
      </w:r>
      <w:r w:rsidR="00EF100D">
        <w:t>that levels of</w:t>
      </w:r>
      <w:r w:rsidR="00DA52EA">
        <w:t xml:space="preserve"> myeloperoxidase (“MPO”)</w:t>
      </w:r>
      <w:r w:rsidR="00030C50">
        <w:t xml:space="preserve"> in the blood</w:t>
      </w:r>
      <w:r w:rsidR="00DA52EA">
        <w:t xml:space="preserve"> are positively correlated with</w:t>
      </w:r>
      <w:r w:rsidR="000364AC">
        <w:t xml:space="preserve"> the</w:t>
      </w:r>
      <w:r w:rsidR="00DA52EA">
        <w:t xml:space="preserve"> risk of coronary artery disease</w:t>
      </w:r>
      <w:r w:rsidR="009F60F5">
        <w:t>,</w:t>
      </w:r>
      <w:r w:rsidR="00DA52EA">
        <w:t xml:space="preserve"> but not with traditional risk factors</w:t>
      </w:r>
      <w:r w:rsidR="00030C50">
        <w:t>;</w:t>
      </w:r>
      <w:r w:rsidR="009F60F5">
        <w:t xml:space="preserve"> </w:t>
      </w:r>
      <w:r w:rsidR="005C522A">
        <w:t>directed to a natural law, its</w:t>
      </w:r>
      <w:r w:rsidR="00A61A00">
        <w:t xml:space="preserve"> </w:t>
      </w:r>
      <w:r w:rsidR="009F60F5">
        <w:t>claim</w:t>
      </w:r>
      <w:r w:rsidR="00030C50">
        <w:t xml:space="preserve"> </w:t>
      </w:r>
      <w:r w:rsidR="00EF290C">
        <w:t xml:space="preserve">limitations </w:t>
      </w:r>
      <w:r w:rsidR="00030C50">
        <w:t>instructing</w:t>
      </w:r>
      <w:r w:rsidR="00EF100D">
        <w:t xml:space="preserve"> physicians to </w:t>
      </w:r>
      <w:r w:rsidR="00077C0B">
        <w:t xml:space="preserve">conventionally </w:t>
      </w:r>
      <w:r w:rsidR="009F60F5">
        <w:t>test</w:t>
      </w:r>
      <w:r w:rsidR="00030C50">
        <w:t xml:space="preserve"> </w:t>
      </w:r>
      <w:r w:rsidR="00EF100D">
        <w:t xml:space="preserve">blood samples </w:t>
      </w:r>
      <w:r w:rsidR="005C522A">
        <w:t xml:space="preserve">and compare them </w:t>
      </w:r>
      <w:r w:rsidR="00092D00">
        <w:t>to controls</w:t>
      </w:r>
      <w:r w:rsidR="00030C50">
        <w:t xml:space="preserve"> did </w:t>
      </w:r>
      <w:r w:rsidR="005C522A">
        <w:t>not add an inventive concept</w:t>
      </w:r>
      <w:r w:rsidR="00DA52EA">
        <w:t>.</w:t>
      </w:r>
      <w:r w:rsidR="00DA52EA" w:rsidRPr="005A669A">
        <w:rPr>
          <w:rStyle w:val="FootnoteReference"/>
        </w:rPr>
        <w:footnoteReference w:id="133"/>
      </w:r>
      <w:r w:rsidR="00DA52EA">
        <w:t xml:space="preserve"> </w:t>
      </w:r>
      <w:r w:rsidR="00030C50">
        <w:t>This case concerned</w:t>
      </w:r>
      <w:r w:rsidR="005D61A9">
        <w:t xml:space="preserve"> two</w:t>
      </w:r>
      <w:r w:rsidR="00030C50">
        <w:t xml:space="preserve"> related patents,</w:t>
      </w:r>
      <w:r w:rsidR="005C522A">
        <w:t xml:space="preserve"> the</w:t>
      </w:r>
      <w:r w:rsidR="00DA52EA">
        <w:t xml:space="preserve"> ’597 and </w:t>
      </w:r>
      <w:r>
        <w:t>’065</w:t>
      </w:r>
      <w:r w:rsidR="005C522A">
        <w:t xml:space="preserve"> patents</w:t>
      </w:r>
      <w:r w:rsidR="00077C0B">
        <w:t>, that</w:t>
      </w:r>
      <w:r>
        <w:t xml:space="preserve"> </w:t>
      </w:r>
      <w:r w:rsidR="005C522A">
        <w:t>Cleveland Clinic argued were</w:t>
      </w:r>
      <w:r>
        <w:t xml:space="preserve"> directed</w:t>
      </w:r>
      <w:r w:rsidR="005C522A">
        <w:t xml:space="preserve"> not </w:t>
      </w:r>
      <w:r w:rsidR="00092D00">
        <w:t xml:space="preserve">to comparing MPO levels against controls but to detecting MPO </w:t>
      </w:r>
      <w:r w:rsidR="00092D00" w:rsidRPr="005C522A">
        <w:rPr>
          <w:i/>
        </w:rPr>
        <w:t>whatsoever</w:t>
      </w:r>
      <w:r w:rsidR="00077C0B">
        <w:t xml:space="preserve"> using </w:t>
      </w:r>
      <w:r w:rsidR="005C522A">
        <w:t xml:space="preserve">given </w:t>
      </w:r>
      <w:r w:rsidR="00077C0B">
        <w:t>techniques</w:t>
      </w:r>
      <w:r w:rsidR="00092D00">
        <w:t>.</w:t>
      </w:r>
      <w:r w:rsidR="009235AB" w:rsidRPr="005A669A">
        <w:rPr>
          <w:rStyle w:val="FootnoteReference"/>
        </w:rPr>
        <w:footnoteReference w:id="134"/>
      </w:r>
      <w:r w:rsidR="009235AB">
        <w:t xml:space="preserve"> The district court found </w:t>
      </w:r>
      <w:r w:rsidR="00077C0B">
        <w:t>the</w:t>
      </w:r>
      <w:r w:rsidR="009235AB">
        <w:t xml:space="preserve"> distinction “overly superficial.”</w:t>
      </w:r>
      <w:r w:rsidR="009235AB" w:rsidRPr="005A669A">
        <w:rPr>
          <w:rStyle w:val="FootnoteReference"/>
        </w:rPr>
        <w:footnoteReference w:id="135"/>
      </w:r>
    </w:p>
    <w:p w14:paraId="2504A417" w14:textId="77777777" w:rsidR="00B7545A" w:rsidRDefault="00EC583F" w:rsidP="008D7E69">
      <w:pPr>
        <w:ind w:firstLine="720"/>
      </w:pPr>
      <w:r>
        <w:t>The Federal Circuit agreed: “</w:t>
      </w:r>
      <w:r w:rsidRPr="00EC583F">
        <w:t>The rephrasing of the claims does not make them less directed to a natural law.</w:t>
      </w:r>
      <w:r>
        <w:t>”</w:t>
      </w:r>
      <w:r w:rsidRPr="005A669A">
        <w:rPr>
          <w:rStyle w:val="FootnoteReference"/>
        </w:rPr>
        <w:footnoteReference w:id="136"/>
      </w:r>
      <w:r>
        <w:t xml:space="preserve"> </w:t>
      </w:r>
      <w:r w:rsidR="00077C0B">
        <w:t>A</w:t>
      </w:r>
      <w:r>
        <w:t xml:space="preserve"> natural law is no less natural </w:t>
      </w:r>
      <w:r w:rsidR="00077C0B">
        <w:t xml:space="preserve">just </w:t>
      </w:r>
      <w:r>
        <w:t>“because it can only be observed by use of certain techniques.”</w:t>
      </w:r>
      <w:r w:rsidRPr="005A669A">
        <w:rPr>
          <w:rStyle w:val="FootnoteReference"/>
        </w:rPr>
        <w:footnoteReference w:id="137"/>
      </w:r>
      <w:r w:rsidR="00D60CA3">
        <w:t xml:space="preserve"> </w:t>
      </w:r>
      <w:r w:rsidR="00077C0B">
        <w:t>F</w:t>
      </w:r>
      <w:r w:rsidR="00D60CA3">
        <w:t xml:space="preserve">urther, </w:t>
      </w:r>
      <w:r w:rsidR="00077C0B">
        <w:t>Cleveland Clinic conceded in prosecution that the</w:t>
      </w:r>
      <w:r w:rsidR="00D60CA3">
        <w:t xml:space="preserve"> techniques disclosed were conventional</w:t>
      </w:r>
      <w:r w:rsidR="00077C0B">
        <w:t>, and so added no inventive concept</w:t>
      </w:r>
      <w:r w:rsidR="00D60CA3">
        <w:t>.</w:t>
      </w:r>
      <w:r w:rsidR="00D60CA3" w:rsidRPr="00D60CA3">
        <w:rPr>
          <w:rStyle w:val="FootnoteReference"/>
        </w:rPr>
        <w:t xml:space="preserve"> </w:t>
      </w:r>
      <w:r w:rsidR="00D60CA3" w:rsidRPr="005A669A">
        <w:rPr>
          <w:rStyle w:val="FootnoteReference"/>
        </w:rPr>
        <w:footnoteReference w:id="138"/>
      </w:r>
      <w:r w:rsidR="00D60CA3">
        <w:t xml:space="preserve"> </w:t>
      </w:r>
    </w:p>
    <w:p w14:paraId="78DFC06C" w14:textId="62A97B6B" w:rsidR="00EC583F" w:rsidRPr="00CF565A" w:rsidRDefault="008C10D2" w:rsidP="008D7E69">
      <w:pPr>
        <w:ind w:firstLine="720"/>
      </w:pPr>
      <w:r>
        <w:t xml:space="preserve">This outcome </w:t>
      </w:r>
      <w:r w:rsidR="00B7014F">
        <w:t xml:space="preserve">seemed to conflict with the PTO’s “Example 29,” which </w:t>
      </w:r>
      <w:r w:rsidR="00CF565A">
        <w:t>contained</w:t>
      </w:r>
      <w:r w:rsidR="00B7014F">
        <w:t xml:space="preserve"> hypothetical claims akin to those in </w:t>
      </w:r>
      <w:r w:rsidR="00B7014F">
        <w:rPr>
          <w:i/>
        </w:rPr>
        <w:t>Ariosa</w:t>
      </w:r>
      <w:r w:rsidR="009C646C">
        <w:rPr>
          <w:i/>
        </w:rPr>
        <w:t xml:space="preserve"> </w:t>
      </w:r>
      <w:r w:rsidR="009C646C">
        <w:t xml:space="preserve">and </w:t>
      </w:r>
      <w:r w:rsidR="00B7545A">
        <w:t>prompted</w:t>
      </w:r>
      <w:r w:rsidR="009C646C">
        <w:t xml:space="preserve"> examiners to find those claims patent</w:t>
      </w:r>
      <w:r w:rsidR="00B7545A">
        <w:t>-</w:t>
      </w:r>
      <w:r w:rsidR="009C646C">
        <w:t>eligible.</w:t>
      </w:r>
      <w:r w:rsidR="009C646C" w:rsidRPr="005A669A">
        <w:rPr>
          <w:rStyle w:val="FootnoteReference"/>
        </w:rPr>
        <w:footnoteReference w:id="139"/>
      </w:r>
      <w:r w:rsidR="00CF565A">
        <w:t xml:space="preserve"> But the Federal Circuit determined</w:t>
      </w:r>
      <w:r w:rsidR="006A6026">
        <w:t xml:space="preserve"> that</w:t>
      </w:r>
      <w:r w:rsidR="00DF1897">
        <w:t xml:space="preserve"> the PTO Guidelines were not legally binding or entitled to deference and that</w:t>
      </w:r>
      <w:r w:rsidR="00CF565A">
        <w:t xml:space="preserve"> “</w:t>
      </w:r>
      <w:r w:rsidR="00CF565A">
        <w:rPr>
          <w:i/>
        </w:rPr>
        <w:t xml:space="preserve">Ariosa </w:t>
      </w:r>
      <w:r w:rsidR="00CF565A">
        <w:t>must control.”</w:t>
      </w:r>
      <w:r w:rsidR="00CF565A" w:rsidRPr="005A669A">
        <w:rPr>
          <w:rStyle w:val="FootnoteReference"/>
        </w:rPr>
        <w:footnoteReference w:id="140"/>
      </w:r>
    </w:p>
    <w:p w14:paraId="72F7567D" w14:textId="1657535A" w:rsidR="008607D2" w:rsidRPr="008607D2" w:rsidRDefault="008607D2" w:rsidP="00136E52">
      <w:pPr>
        <w:pStyle w:val="Heading4"/>
      </w:pPr>
      <w:bookmarkStart w:id="28" w:name="_Toc26792753"/>
      <w:r>
        <w:rPr>
          <w:i/>
        </w:rPr>
        <w:lastRenderedPageBreak/>
        <w:t>Athena Diagnostics, Inc. v. Mayo Collaborative Servs., LLC</w:t>
      </w:r>
      <w:r>
        <w:t>, 915 F.3d 743 (Fed. Cir. Feb. 6, 2019)</w:t>
      </w:r>
      <w:r w:rsidR="0045089E">
        <w:t xml:space="preserve">, </w:t>
      </w:r>
      <w:r w:rsidR="0045089E">
        <w:rPr>
          <w:i/>
        </w:rPr>
        <w:t>reh’</w:t>
      </w:r>
      <w:r w:rsidR="00037882">
        <w:rPr>
          <w:i/>
        </w:rPr>
        <w:t>g and</w:t>
      </w:r>
      <w:r w:rsidR="0045089E">
        <w:rPr>
          <w:i/>
        </w:rPr>
        <w:t xml:space="preserve"> reh’g en ban</w:t>
      </w:r>
      <w:r w:rsidR="009F65D0">
        <w:rPr>
          <w:i/>
        </w:rPr>
        <w:t>c</w:t>
      </w:r>
      <w:r w:rsidR="0045089E">
        <w:rPr>
          <w:i/>
        </w:rPr>
        <w:t xml:space="preserve"> denied</w:t>
      </w:r>
      <w:r w:rsidR="0045089E">
        <w:t>, 927 F.3d 1333 (Fed. Cir. July 3, 2019).</w:t>
      </w:r>
      <w:bookmarkEnd w:id="28"/>
      <w:r>
        <w:t xml:space="preserve"> </w:t>
      </w:r>
    </w:p>
    <w:p w14:paraId="3349175A" w14:textId="1208A823" w:rsidR="008607D2" w:rsidRDefault="008607D2" w:rsidP="008607D2">
      <w:pPr>
        <w:ind w:firstLine="720"/>
        <w:rPr>
          <w:rFonts w:cs="Times New Roman"/>
          <w:color w:val="000000" w:themeColor="text1"/>
        </w:rPr>
      </w:pPr>
      <w:r>
        <w:rPr>
          <w:rFonts w:cs="Times New Roman"/>
          <w:color w:val="000000" w:themeColor="text1"/>
        </w:rPr>
        <w:t xml:space="preserve">In </w:t>
      </w:r>
      <w:r w:rsidR="003F3D23">
        <w:rPr>
          <w:rFonts w:cs="Times New Roman"/>
          <w:color w:val="000000" w:themeColor="text1"/>
        </w:rPr>
        <w:t>an</w:t>
      </w:r>
      <w:r>
        <w:rPr>
          <w:rFonts w:cs="Times New Roman"/>
          <w:color w:val="000000" w:themeColor="text1"/>
        </w:rPr>
        <w:t xml:space="preserve"> appeal from the District of Massachusetts, </w:t>
      </w:r>
      <w:r w:rsidR="00DC6F6E">
        <w:rPr>
          <w:rFonts w:cs="Times New Roman"/>
          <w:color w:val="000000" w:themeColor="text1"/>
        </w:rPr>
        <w:t xml:space="preserve">the Federal Circuit affirmed that </w:t>
      </w:r>
      <w:r w:rsidR="00321A37">
        <w:rPr>
          <w:rFonts w:cs="Times New Roman"/>
          <w:color w:val="000000" w:themeColor="text1"/>
        </w:rPr>
        <w:t>diagnostic claims</w:t>
      </w:r>
      <w:r w:rsidR="00DC6F6E">
        <w:rPr>
          <w:rFonts w:cs="Times New Roman"/>
          <w:color w:val="000000" w:themeColor="text1"/>
        </w:rPr>
        <w:t xml:space="preserve"> were </w:t>
      </w:r>
      <w:r w:rsidR="00321A37">
        <w:rPr>
          <w:rFonts w:cs="Times New Roman"/>
          <w:color w:val="000000" w:themeColor="text1"/>
        </w:rPr>
        <w:t>patent-ineligible</w:t>
      </w:r>
      <w:r w:rsidR="00DF1897">
        <w:rPr>
          <w:rFonts w:cs="Times New Roman"/>
          <w:color w:val="000000" w:themeColor="text1"/>
        </w:rPr>
        <w:t>.</w:t>
      </w:r>
      <w:r w:rsidR="00DC6F6E" w:rsidRPr="005A669A">
        <w:rPr>
          <w:rStyle w:val="FootnoteReference"/>
        </w:rPr>
        <w:footnoteReference w:id="141"/>
      </w:r>
      <w:r w:rsidR="00787ABA">
        <w:rPr>
          <w:rFonts w:cs="Times New Roman"/>
          <w:color w:val="000000" w:themeColor="text1"/>
        </w:rPr>
        <w:t xml:space="preserve"> Judge Newman dissented.</w:t>
      </w:r>
      <w:r w:rsidR="00787ABA" w:rsidRPr="005A669A">
        <w:rPr>
          <w:rStyle w:val="FootnoteReference"/>
        </w:rPr>
        <w:footnoteReference w:id="142"/>
      </w:r>
      <w:r w:rsidR="003F3D23">
        <w:rPr>
          <w:rFonts w:cs="Times New Roman"/>
          <w:color w:val="000000" w:themeColor="text1"/>
        </w:rPr>
        <w:t xml:space="preserve">  The panel and full Federal Circuit later denied rehearing and rehearing en banc</w:t>
      </w:r>
      <w:r w:rsidR="00130B50">
        <w:rPr>
          <w:rFonts w:cs="Times New Roman"/>
          <w:color w:val="000000" w:themeColor="text1"/>
        </w:rPr>
        <w:t>, generating eight concurring and dissenting opinions</w:t>
      </w:r>
      <w:r w:rsidR="003F3D23">
        <w:rPr>
          <w:rFonts w:cs="Times New Roman"/>
          <w:color w:val="000000" w:themeColor="text1"/>
        </w:rPr>
        <w:t>.</w:t>
      </w:r>
      <w:r w:rsidR="00130B50">
        <w:rPr>
          <w:rStyle w:val="FootnoteReference"/>
          <w:rFonts w:cs="Times New Roman"/>
          <w:color w:val="000000" w:themeColor="text1"/>
        </w:rPr>
        <w:footnoteReference w:id="143"/>
      </w:r>
    </w:p>
    <w:p w14:paraId="5BC0BA95" w14:textId="44ADB899" w:rsidR="00727D09" w:rsidRDefault="00727D09" w:rsidP="008607D2">
      <w:pPr>
        <w:ind w:firstLine="720"/>
        <w:rPr>
          <w:rFonts w:cs="Times New Roman"/>
          <w:color w:val="000000" w:themeColor="text1"/>
        </w:rPr>
      </w:pPr>
      <w:r>
        <w:rPr>
          <w:rFonts w:cs="Times New Roman"/>
          <w:color w:val="000000" w:themeColor="text1"/>
        </w:rPr>
        <w:t>The ’820 patent covered methods for diagnosing</w:t>
      </w:r>
      <w:r w:rsidR="00DF77FF">
        <w:rPr>
          <w:rFonts w:cs="Times New Roman"/>
          <w:color w:val="000000" w:themeColor="text1"/>
        </w:rPr>
        <w:t xml:space="preserve"> </w:t>
      </w:r>
      <w:r w:rsidR="003E1886">
        <w:rPr>
          <w:rFonts w:cs="Times New Roman"/>
          <w:color w:val="000000" w:themeColor="text1"/>
        </w:rPr>
        <w:t>the</w:t>
      </w:r>
      <w:r>
        <w:rPr>
          <w:rFonts w:cs="Times New Roman"/>
          <w:color w:val="000000" w:themeColor="text1"/>
        </w:rPr>
        <w:t xml:space="preserve"> neurological disorder</w:t>
      </w:r>
      <w:r w:rsidR="00DF77FF">
        <w:rPr>
          <w:rFonts w:cs="Times New Roman"/>
          <w:color w:val="000000" w:themeColor="text1"/>
        </w:rPr>
        <w:t xml:space="preserve"> myasthenia gravis (“MG”)</w:t>
      </w:r>
      <w:r>
        <w:rPr>
          <w:rFonts w:cs="Times New Roman"/>
          <w:color w:val="000000" w:themeColor="text1"/>
        </w:rPr>
        <w:t xml:space="preserve"> by detecting </w:t>
      </w:r>
      <w:r w:rsidR="00DF77FF">
        <w:rPr>
          <w:rFonts w:cs="Times New Roman"/>
          <w:color w:val="000000" w:themeColor="text1"/>
        </w:rPr>
        <w:t xml:space="preserve">antibodies for </w:t>
      </w:r>
      <w:r w:rsidR="003A4DEB">
        <w:rPr>
          <w:rFonts w:cs="Times New Roman"/>
          <w:color w:val="000000" w:themeColor="text1"/>
        </w:rPr>
        <w:t xml:space="preserve">the protein </w:t>
      </w:r>
      <w:r w:rsidR="00DF77FF">
        <w:rPr>
          <w:rFonts w:cs="Times New Roman"/>
          <w:color w:val="000000" w:themeColor="text1"/>
        </w:rPr>
        <w:t>muscle-specific tyrosine kinase (“MuSK”).</w:t>
      </w:r>
      <w:r w:rsidR="00DF77FF" w:rsidRPr="005A669A">
        <w:rPr>
          <w:rStyle w:val="FootnoteReference"/>
        </w:rPr>
        <w:footnoteReference w:id="144"/>
      </w:r>
      <w:r w:rsidR="00DF77FF">
        <w:rPr>
          <w:rFonts w:cs="Times New Roman"/>
          <w:color w:val="000000" w:themeColor="text1"/>
        </w:rPr>
        <w:t xml:space="preserve"> Prior art diagnosed MG using an antibody present for about 80% of patients; the inventors found</w:t>
      </w:r>
      <w:r w:rsidR="00145067">
        <w:rPr>
          <w:rFonts w:cs="Times New Roman"/>
          <w:color w:val="000000" w:themeColor="text1"/>
        </w:rPr>
        <w:t xml:space="preserve"> that</w:t>
      </w:r>
      <w:r w:rsidR="00DF77FF">
        <w:rPr>
          <w:rFonts w:cs="Times New Roman"/>
          <w:color w:val="000000" w:themeColor="text1"/>
        </w:rPr>
        <w:t xml:space="preserve"> MuSK was present in the remaining 20% of patients.</w:t>
      </w:r>
      <w:r w:rsidR="00DF77FF" w:rsidRPr="005A669A">
        <w:rPr>
          <w:rStyle w:val="FootnoteReference"/>
        </w:rPr>
        <w:footnoteReference w:id="145"/>
      </w:r>
      <w:r w:rsidR="00315911">
        <w:rPr>
          <w:rFonts w:cs="Times New Roman"/>
          <w:color w:val="000000" w:themeColor="text1"/>
        </w:rPr>
        <w:t xml:space="preserve"> </w:t>
      </w:r>
      <w:r w:rsidR="00BF6D81">
        <w:rPr>
          <w:rFonts w:cs="Times New Roman"/>
          <w:color w:val="000000" w:themeColor="text1"/>
        </w:rPr>
        <w:t>The most specific,</w:t>
      </w:r>
      <w:r w:rsidR="00315911">
        <w:rPr>
          <w:rFonts w:cs="Times New Roman"/>
          <w:color w:val="000000" w:themeColor="text1"/>
        </w:rPr>
        <w:t xml:space="preserve"> representative claim included</w:t>
      </w:r>
      <w:r w:rsidR="00BF6D81">
        <w:rPr>
          <w:rFonts w:cs="Times New Roman"/>
          <w:color w:val="000000" w:themeColor="text1"/>
        </w:rPr>
        <w:t xml:space="preserve"> (1)</w:t>
      </w:r>
      <w:r w:rsidR="00315911">
        <w:rPr>
          <w:rFonts w:cs="Times New Roman"/>
          <w:color w:val="000000" w:themeColor="text1"/>
        </w:rPr>
        <w:t xml:space="preserve"> </w:t>
      </w:r>
      <w:r w:rsidR="00315911" w:rsidRPr="003A4DEB">
        <w:rPr>
          <w:rFonts w:cs="Times New Roman"/>
          <w:i/>
          <w:color w:val="000000" w:themeColor="text1"/>
        </w:rPr>
        <w:t>contacting</w:t>
      </w:r>
      <w:r w:rsidR="00315911">
        <w:rPr>
          <w:rFonts w:cs="Times New Roman"/>
          <w:color w:val="000000" w:themeColor="text1"/>
        </w:rPr>
        <w:t xml:space="preserve"> MuSK (or a</w:t>
      </w:r>
      <w:r w:rsidR="0019543C">
        <w:rPr>
          <w:rFonts w:cs="Times New Roman"/>
          <w:color w:val="000000" w:themeColor="text1"/>
        </w:rPr>
        <w:t xml:space="preserve"> specific</w:t>
      </w:r>
      <w:r w:rsidR="00315911">
        <w:rPr>
          <w:rFonts w:cs="Times New Roman"/>
          <w:color w:val="000000" w:themeColor="text1"/>
        </w:rPr>
        <w:t xml:space="preserve"> epitope thereof) with a bodily fluid</w:t>
      </w:r>
      <w:r w:rsidR="00BF6D81">
        <w:rPr>
          <w:rFonts w:cs="Times New Roman"/>
          <w:color w:val="000000" w:themeColor="text1"/>
        </w:rPr>
        <w:t xml:space="preserve">, (2) </w:t>
      </w:r>
      <w:r w:rsidR="00BF6D81" w:rsidRPr="00BF6D81">
        <w:rPr>
          <w:rFonts w:cs="Times New Roman"/>
          <w:i/>
          <w:color w:val="000000" w:themeColor="text1"/>
        </w:rPr>
        <w:t>immunoprecipitating</w:t>
      </w:r>
      <w:r w:rsidR="00BF6D81">
        <w:rPr>
          <w:rFonts w:cs="Times New Roman"/>
          <w:color w:val="000000" w:themeColor="text1"/>
        </w:rPr>
        <w:t xml:space="preserve"> any antibody/MuSK complex, and (3)</w:t>
      </w:r>
      <w:r w:rsidR="003E1886">
        <w:rPr>
          <w:rFonts w:cs="Times New Roman"/>
          <w:color w:val="000000" w:themeColor="text1"/>
        </w:rPr>
        <w:t xml:space="preserve"> </w:t>
      </w:r>
      <w:r w:rsidR="003E1886" w:rsidRPr="003A4DEB">
        <w:rPr>
          <w:rFonts w:cs="Times New Roman"/>
          <w:i/>
          <w:color w:val="000000" w:themeColor="text1"/>
        </w:rPr>
        <w:t>monitoring</w:t>
      </w:r>
      <w:r w:rsidR="003E1886">
        <w:rPr>
          <w:rFonts w:cs="Times New Roman"/>
          <w:color w:val="000000" w:themeColor="text1"/>
        </w:rPr>
        <w:t xml:space="preserve"> for the “label” </w:t>
      </w:r>
      <w:r w:rsidR="00BF6D81">
        <w:rPr>
          <w:rFonts w:cs="Times New Roman"/>
          <w:color w:val="000000" w:themeColor="text1"/>
        </w:rPr>
        <w:t>on the complex</w:t>
      </w:r>
      <w:r w:rsidR="003E1886">
        <w:rPr>
          <w:rFonts w:cs="Times New Roman"/>
          <w:color w:val="000000" w:themeColor="text1"/>
        </w:rPr>
        <w:t>,</w:t>
      </w:r>
      <w:r w:rsidR="00BF6D81">
        <w:rPr>
          <w:rFonts w:cs="Times New Roman"/>
          <w:color w:val="000000" w:themeColor="text1"/>
        </w:rPr>
        <w:t xml:space="preserve"> wherein</w:t>
      </w:r>
      <w:r w:rsidR="003E1886">
        <w:rPr>
          <w:rFonts w:cs="Times New Roman"/>
          <w:color w:val="000000" w:themeColor="text1"/>
        </w:rPr>
        <w:t xml:space="preserve"> </w:t>
      </w:r>
      <w:r w:rsidR="00145067">
        <w:rPr>
          <w:rFonts w:cs="Times New Roman"/>
          <w:color w:val="000000" w:themeColor="text1"/>
        </w:rPr>
        <w:t>that label</w:t>
      </w:r>
      <w:r w:rsidR="003A4DEB">
        <w:rPr>
          <w:rFonts w:cs="Times New Roman"/>
          <w:color w:val="000000" w:themeColor="text1"/>
        </w:rPr>
        <w:t xml:space="preserve"> </w:t>
      </w:r>
      <w:r w:rsidR="0019543C">
        <w:rPr>
          <w:rFonts w:cs="Times New Roman"/>
          <w:color w:val="000000" w:themeColor="text1"/>
        </w:rPr>
        <w:t>would</w:t>
      </w:r>
      <w:r w:rsidR="00BF6D81">
        <w:rPr>
          <w:rFonts w:cs="Times New Roman"/>
          <w:color w:val="000000" w:themeColor="text1"/>
        </w:rPr>
        <w:t xml:space="preserve"> indicate the presence of the</w:t>
      </w:r>
      <w:r w:rsidR="003A4DEB">
        <w:rPr>
          <w:rFonts w:cs="Times New Roman"/>
          <w:color w:val="000000" w:themeColor="text1"/>
        </w:rPr>
        <w:t xml:space="preserve"> antibodies</w:t>
      </w:r>
      <w:r w:rsidR="0019543C">
        <w:rPr>
          <w:rFonts w:cs="Times New Roman"/>
          <w:color w:val="000000" w:themeColor="text1"/>
        </w:rPr>
        <w:t xml:space="preserve"> </w:t>
      </w:r>
      <w:r w:rsidR="003A4DEB">
        <w:rPr>
          <w:rFonts w:cs="Times New Roman"/>
          <w:color w:val="000000" w:themeColor="text1"/>
        </w:rPr>
        <w:t xml:space="preserve">and </w:t>
      </w:r>
      <w:r w:rsidR="00BF6D81">
        <w:rPr>
          <w:rFonts w:cs="Times New Roman"/>
          <w:color w:val="000000" w:themeColor="text1"/>
        </w:rPr>
        <w:t>of the neurological</w:t>
      </w:r>
      <w:r w:rsidR="003A4DEB">
        <w:rPr>
          <w:rFonts w:cs="Times New Roman"/>
          <w:color w:val="000000" w:themeColor="text1"/>
        </w:rPr>
        <w:t xml:space="preserve"> </w:t>
      </w:r>
      <w:r w:rsidR="00BF6D81">
        <w:rPr>
          <w:rFonts w:cs="Times New Roman"/>
          <w:color w:val="000000" w:themeColor="text1"/>
        </w:rPr>
        <w:t>affliction</w:t>
      </w:r>
      <w:r w:rsidR="003A4DEB">
        <w:rPr>
          <w:rFonts w:cs="Times New Roman"/>
          <w:color w:val="000000" w:themeColor="text1"/>
        </w:rPr>
        <w:t>.</w:t>
      </w:r>
      <w:r w:rsidR="00BF6D81" w:rsidRPr="005A669A">
        <w:rPr>
          <w:rStyle w:val="FootnoteReference"/>
        </w:rPr>
        <w:footnoteReference w:id="146"/>
      </w:r>
      <w:r w:rsidR="003E1886">
        <w:rPr>
          <w:rFonts w:cs="Times New Roman"/>
          <w:color w:val="000000" w:themeColor="text1"/>
        </w:rPr>
        <w:t xml:space="preserve"> </w:t>
      </w:r>
      <w:r w:rsidR="00ED7891">
        <w:rPr>
          <w:rFonts w:cs="Times New Roman"/>
          <w:color w:val="000000" w:themeColor="text1"/>
        </w:rPr>
        <w:t xml:space="preserve">The district court found the claims directed to the natural law that MuSK and the antibodies bind, and </w:t>
      </w:r>
      <w:r w:rsidR="00145067">
        <w:rPr>
          <w:rFonts w:cs="Times New Roman"/>
          <w:color w:val="000000" w:themeColor="text1"/>
        </w:rPr>
        <w:t>found that</w:t>
      </w:r>
      <w:r w:rsidR="00ED7891">
        <w:rPr>
          <w:rFonts w:cs="Times New Roman"/>
          <w:color w:val="000000" w:themeColor="text1"/>
        </w:rPr>
        <w:t xml:space="preserve"> the steps making use of this </w:t>
      </w:r>
      <w:r w:rsidR="00654CA4">
        <w:rPr>
          <w:rFonts w:cs="Times New Roman"/>
          <w:color w:val="000000" w:themeColor="text1"/>
        </w:rPr>
        <w:t>law</w:t>
      </w:r>
      <w:r w:rsidR="00C65088">
        <w:rPr>
          <w:rFonts w:cs="Times New Roman"/>
          <w:color w:val="000000" w:themeColor="text1"/>
        </w:rPr>
        <w:t xml:space="preserve"> were routine.</w:t>
      </w:r>
      <w:r w:rsidR="00C65088" w:rsidRPr="005A669A">
        <w:rPr>
          <w:rStyle w:val="FootnoteReference"/>
        </w:rPr>
        <w:footnoteReference w:id="147"/>
      </w:r>
    </w:p>
    <w:p w14:paraId="2D71D9A1" w14:textId="3CB20E7C" w:rsidR="00C65088" w:rsidRPr="000B533C" w:rsidRDefault="00C65088" w:rsidP="00FC1321">
      <w:pPr>
        <w:ind w:firstLine="720"/>
        <w:rPr>
          <w:rFonts w:cs="Times New Roman"/>
          <w:color w:val="000000" w:themeColor="text1"/>
        </w:rPr>
      </w:pPr>
      <w:r>
        <w:rPr>
          <w:rFonts w:cs="Times New Roman"/>
          <w:color w:val="000000" w:themeColor="text1"/>
        </w:rPr>
        <w:t>On appeal, the Federal Circuit affirmed</w:t>
      </w:r>
      <w:r w:rsidR="00654CA4">
        <w:rPr>
          <w:rFonts w:cs="Times New Roman"/>
          <w:color w:val="000000" w:themeColor="text1"/>
        </w:rPr>
        <w:t>. It held claims</w:t>
      </w:r>
      <w:r w:rsidR="00C5443E">
        <w:rPr>
          <w:rFonts w:cs="Times New Roman"/>
          <w:color w:val="000000" w:themeColor="text1"/>
        </w:rPr>
        <w:t xml:space="preserve"> 7 and 9</w:t>
      </w:r>
      <w:r w:rsidR="00654CA4">
        <w:rPr>
          <w:rFonts w:cs="Times New Roman"/>
          <w:color w:val="000000" w:themeColor="text1"/>
        </w:rPr>
        <w:t xml:space="preserve"> direct</w:t>
      </w:r>
      <w:r w:rsidR="008D040D">
        <w:rPr>
          <w:rFonts w:cs="Times New Roman"/>
          <w:color w:val="000000" w:themeColor="text1"/>
        </w:rPr>
        <w:t>ed</w:t>
      </w:r>
      <w:r w:rsidR="00654CA4">
        <w:rPr>
          <w:rFonts w:cs="Times New Roman"/>
          <w:color w:val="000000" w:themeColor="text1"/>
        </w:rPr>
        <w:t xml:space="preserve"> to </w:t>
      </w:r>
      <w:r w:rsidR="00FC1321">
        <w:rPr>
          <w:rFonts w:cs="Times New Roman"/>
          <w:color w:val="000000" w:themeColor="text1"/>
        </w:rPr>
        <w:t>a natural law</w:t>
      </w:r>
      <w:r w:rsidR="004B1606">
        <w:rPr>
          <w:rFonts w:cs="Times New Roman"/>
          <w:color w:val="000000" w:themeColor="text1"/>
        </w:rPr>
        <w:t xml:space="preserve">, </w:t>
      </w:r>
      <w:r w:rsidR="00FC1321">
        <w:rPr>
          <w:rFonts w:cs="Times New Roman"/>
          <w:color w:val="000000" w:themeColor="text1"/>
        </w:rPr>
        <w:t>“t</w:t>
      </w:r>
      <w:r w:rsidR="00FC1321" w:rsidRPr="00FC1321">
        <w:rPr>
          <w:rFonts w:cs="Times New Roman"/>
          <w:color w:val="000000" w:themeColor="text1"/>
        </w:rPr>
        <w:t>he correlation between the presence of naturally-occurring</w:t>
      </w:r>
      <w:r w:rsidR="00FC1321">
        <w:rPr>
          <w:rFonts w:cs="Times New Roman"/>
          <w:color w:val="000000" w:themeColor="text1"/>
        </w:rPr>
        <w:t xml:space="preserve"> </w:t>
      </w:r>
      <w:r w:rsidR="00FC1321" w:rsidRPr="00FC1321">
        <w:rPr>
          <w:rFonts w:cs="Times New Roman"/>
          <w:color w:val="000000" w:themeColor="text1"/>
        </w:rPr>
        <w:t>MuSK autoantibodies in bodily fluid and MuSK-related neurological diseases like MG.</w:t>
      </w:r>
      <w:r w:rsidR="00FC1321">
        <w:rPr>
          <w:rFonts w:cs="Times New Roman"/>
          <w:color w:val="000000" w:themeColor="text1"/>
        </w:rPr>
        <w:t>”</w:t>
      </w:r>
      <w:r w:rsidR="00FC1321" w:rsidRPr="005A669A">
        <w:rPr>
          <w:rStyle w:val="FootnoteReference"/>
        </w:rPr>
        <w:footnoteReference w:id="148"/>
      </w:r>
      <w:r w:rsidR="000B533C">
        <w:rPr>
          <w:rFonts w:cs="Times New Roman"/>
          <w:color w:val="000000" w:themeColor="text1"/>
        </w:rPr>
        <w:t xml:space="preserve"> </w:t>
      </w:r>
      <w:r w:rsidR="00DE39B8">
        <w:rPr>
          <w:rFonts w:cs="Times New Roman"/>
          <w:color w:val="000000" w:themeColor="text1"/>
        </w:rPr>
        <w:t xml:space="preserve">The patent </w:t>
      </w:r>
      <w:r w:rsidR="000B533C">
        <w:rPr>
          <w:rFonts w:cs="Times New Roman"/>
          <w:color w:val="000000" w:themeColor="text1"/>
        </w:rPr>
        <w:t xml:space="preserve">did not claim </w:t>
      </w:r>
      <w:r w:rsidR="00DE39B8">
        <w:rPr>
          <w:rFonts w:cs="Times New Roman"/>
          <w:color w:val="000000" w:themeColor="text1"/>
        </w:rPr>
        <w:t xml:space="preserve">new </w:t>
      </w:r>
      <w:r w:rsidR="000B533C">
        <w:rPr>
          <w:rFonts w:cs="Times New Roman"/>
          <w:color w:val="000000" w:themeColor="text1"/>
        </w:rPr>
        <w:t xml:space="preserve">laboratory techniques informed by a natural law, </w:t>
      </w:r>
      <w:r w:rsidR="00DE39B8">
        <w:rPr>
          <w:rFonts w:cs="Times New Roman"/>
          <w:color w:val="000000" w:themeColor="text1"/>
        </w:rPr>
        <w:t xml:space="preserve">as in </w:t>
      </w:r>
      <w:r w:rsidR="00DE39B8">
        <w:rPr>
          <w:rFonts w:cs="Times New Roman"/>
          <w:i/>
          <w:color w:val="000000" w:themeColor="text1"/>
        </w:rPr>
        <w:t>CellzDirect</w:t>
      </w:r>
      <w:r w:rsidR="00DE39B8">
        <w:rPr>
          <w:rFonts w:cs="Times New Roman"/>
          <w:color w:val="000000" w:themeColor="text1"/>
        </w:rPr>
        <w:t>;</w:t>
      </w:r>
      <w:r w:rsidR="00DE39B8" w:rsidRPr="005A669A">
        <w:rPr>
          <w:rStyle w:val="FootnoteReference"/>
        </w:rPr>
        <w:footnoteReference w:id="149"/>
      </w:r>
      <w:r w:rsidR="00DE39B8">
        <w:rPr>
          <w:rFonts w:cs="Times New Roman"/>
          <w:color w:val="000000" w:themeColor="text1"/>
        </w:rPr>
        <w:t xml:space="preserve"> rather, they merely</w:t>
      </w:r>
      <w:r w:rsidR="000B533C">
        <w:rPr>
          <w:rFonts w:cs="Times New Roman"/>
          <w:color w:val="000000" w:themeColor="text1"/>
        </w:rPr>
        <w:t xml:space="preserve"> recited conventional </w:t>
      </w:r>
      <w:r w:rsidR="00DE39B8">
        <w:rPr>
          <w:rFonts w:cs="Times New Roman"/>
          <w:color w:val="000000" w:themeColor="text1"/>
        </w:rPr>
        <w:t xml:space="preserve">laboratory </w:t>
      </w:r>
      <w:r w:rsidR="000B533C">
        <w:rPr>
          <w:rFonts w:cs="Times New Roman"/>
          <w:color w:val="000000" w:themeColor="text1"/>
        </w:rPr>
        <w:t xml:space="preserve">techniques </w:t>
      </w:r>
      <w:r w:rsidR="004B1606">
        <w:rPr>
          <w:rFonts w:cs="Times New Roman"/>
          <w:color w:val="000000" w:themeColor="text1"/>
        </w:rPr>
        <w:t>to be used in</w:t>
      </w:r>
      <w:r w:rsidR="000B533C">
        <w:rPr>
          <w:rFonts w:cs="Times New Roman"/>
          <w:color w:val="000000" w:themeColor="text1"/>
        </w:rPr>
        <w:t xml:space="preserve"> light of a natural law, as in </w:t>
      </w:r>
      <w:r w:rsidR="000B533C">
        <w:rPr>
          <w:rFonts w:cs="Times New Roman"/>
          <w:i/>
          <w:color w:val="000000" w:themeColor="text1"/>
        </w:rPr>
        <w:t>Cleveland Clinic</w:t>
      </w:r>
      <w:r w:rsidR="000B533C">
        <w:rPr>
          <w:rFonts w:cs="Times New Roman"/>
          <w:color w:val="000000" w:themeColor="text1"/>
        </w:rPr>
        <w:t>.</w:t>
      </w:r>
      <w:r w:rsidR="002013E0" w:rsidRPr="005A669A">
        <w:rPr>
          <w:rStyle w:val="FootnoteReference"/>
        </w:rPr>
        <w:footnoteReference w:id="150"/>
      </w:r>
      <w:r w:rsidR="008D040D">
        <w:rPr>
          <w:rFonts w:cs="Times New Roman"/>
          <w:color w:val="000000" w:themeColor="text1"/>
        </w:rPr>
        <w:t xml:space="preserve"> </w:t>
      </w:r>
      <w:r w:rsidR="006B771F">
        <w:rPr>
          <w:rFonts w:cs="Times New Roman"/>
          <w:color w:val="000000" w:themeColor="text1"/>
        </w:rPr>
        <w:t xml:space="preserve">Mayo argued that other, unclaimed </w:t>
      </w:r>
      <w:r w:rsidR="008D040D">
        <w:rPr>
          <w:rFonts w:cs="Times New Roman"/>
          <w:color w:val="000000" w:themeColor="text1"/>
        </w:rPr>
        <w:t xml:space="preserve">techniques </w:t>
      </w:r>
      <w:r w:rsidR="006B771F">
        <w:rPr>
          <w:rFonts w:cs="Times New Roman"/>
          <w:color w:val="000000" w:themeColor="text1"/>
        </w:rPr>
        <w:t xml:space="preserve">still </w:t>
      </w:r>
      <w:r w:rsidR="008D040D">
        <w:rPr>
          <w:rFonts w:cs="Times New Roman"/>
          <w:color w:val="000000" w:themeColor="text1"/>
        </w:rPr>
        <w:t>could have been used to make diagnoses</w:t>
      </w:r>
      <w:r w:rsidR="009018F6">
        <w:rPr>
          <w:rFonts w:cs="Times New Roman"/>
          <w:color w:val="000000" w:themeColor="text1"/>
        </w:rPr>
        <w:t>, showing the natural law was not claimed.</w:t>
      </w:r>
      <w:r w:rsidR="009018F6" w:rsidRPr="005A669A">
        <w:rPr>
          <w:rStyle w:val="FootnoteReference"/>
        </w:rPr>
        <w:footnoteReference w:id="151"/>
      </w:r>
      <w:r w:rsidR="009018F6">
        <w:rPr>
          <w:rFonts w:cs="Times New Roman"/>
          <w:color w:val="000000" w:themeColor="text1"/>
        </w:rPr>
        <w:t xml:space="preserve"> But </w:t>
      </w:r>
      <w:r w:rsidR="008D040D">
        <w:rPr>
          <w:rFonts w:cs="Times New Roman"/>
          <w:color w:val="000000" w:themeColor="text1"/>
        </w:rPr>
        <w:t>this did not change the result</w:t>
      </w:r>
      <w:r w:rsidR="00C5443E">
        <w:rPr>
          <w:rFonts w:cs="Times New Roman"/>
          <w:color w:val="000000" w:themeColor="text1"/>
        </w:rPr>
        <w:t>;</w:t>
      </w:r>
      <w:r w:rsidR="00690573">
        <w:rPr>
          <w:rFonts w:cs="Times New Roman"/>
          <w:color w:val="000000" w:themeColor="text1"/>
        </w:rPr>
        <w:t xml:space="preserve"> </w:t>
      </w:r>
      <w:r w:rsidR="00690573">
        <w:rPr>
          <w:rFonts w:cs="Times New Roman"/>
          <w:i/>
          <w:color w:val="000000" w:themeColor="text1"/>
        </w:rPr>
        <w:t xml:space="preserve">Flook </w:t>
      </w:r>
      <w:r w:rsidR="00690573" w:rsidRPr="00C5443E">
        <w:rPr>
          <w:rFonts w:cs="Times New Roman"/>
          <w:color w:val="000000" w:themeColor="text1"/>
        </w:rPr>
        <w:t>taugh</w:t>
      </w:r>
      <w:r w:rsidR="00C5443E">
        <w:rPr>
          <w:rFonts w:cs="Times New Roman"/>
          <w:color w:val="000000" w:themeColor="text1"/>
        </w:rPr>
        <w:t>t that</w:t>
      </w:r>
      <w:r w:rsidR="00C47D90">
        <w:rPr>
          <w:rFonts w:cs="Times New Roman"/>
          <w:color w:val="000000" w:themeColor="text1"/>
        </w:rPr>
        <w:t xml:space="preserve"> </w:t>
      </w:r>
      <w:r w:rsidR="008D040D">
        <w:rPr>
          <w:rFonts w:cs="Times New Roman"/>
          <w:color w:val="000000" w:themeColor="text1"/>
        </w:rPr>
        <w:t>“</w:t>
      </w:r>
      <w:r w:rsidR="00C5443E">
        <w:rPr>
          <w:rFonts w:cs="Times New Roman"/>
          <w:color w:val="000000" w:themeColor="text1"/>
        </w:rPr>
        <w:t>[p]</w:t>
      </w:r>
      <w:r w:rsidR="008D040D">
        <w:rPr>
          <w:rFonts w:cs="Times New Roman"/>
          <w:color w:val="000000" w:themeColor="text1"/>
        </w:rPr>
        <w:t xml:space="preserve">reemption is sufficient to render a claim ineligible under § 101, but </w:t>
      </w:r>
      <w:r w:rsidR="009018F6">
        <w:rPr>
          <w:rFonts w:cs="Times New Roman"/>
          <w:color w:val="000000" w:themeColor="text1"/>
        </w:rPr>
        <w:t>[preemption]</w:t>
      </w:r>
      <w:r w:rsidR="008D040D">
        <w:rPr>
          <w:rFonts w:cs="Times New Roman"/>
          <w:color w:val="000000" w:themeColor="text1"/>
        </w:rPr>
        <w:t xml:space="preserve"> is not necessary.”</w:t>
      </w:r>
      <w:r w:rsidR="008D040D" w:rsidRPr="005A669A">
        <w:rPr>
          <w:rStyle w:val="FootnoteReference"/>
        </w:rPr>
        <w:footnoteReference w:id="152"/>
      </w:r>
      <w:r w:rsidR="008D040D">
        <w:rPr>
          <w:rFonts w:cs="Times New Roman"/>
          <w:color w:val="000000" w:themeColor="text1"/>
        </w:rPr>
        <w:t xml:space="preserve"> </w:t>
      </w:r>
      <w:r w:rsidR="00C47D90">
        <w:rPr>
          <w:rFonts w:cs="Times New Roman"/>
          <w:color w:val="000000" w:themeColor="text1"/>
        </w:rPr>
        <w:t xml:space="preserve">Finally, </w:t>
      </w:r>
      <w:r w:rsidR="00BF6ABA">
        <w:rPr>
          <w:rFonts w:cs="Times New Roman"/>
          <w:i/>
          <w:color w:val="000000" w:themeColor="text1"/>
        </w:rPr>
        <w:t>Mayo</w:t>
      </w:r>
      <w:r w:rsidR="00690573">
        <w:rPr>
          <w:rFonts w:cs="Times New Roman"/>
          <w:i/>
          <w:color w:val="000000" w:themeColor="text1"/>
        </w:rPr>
        <w:t xml:space="preserve"> </w:t>
      </w:r>
      <w:r w:rsidR="00690573">
        <w:rPr>
          <w:rFonts w:cs="Times New Roman"/>
          <w:color w:val="000000" w:themeColor="text1"/>
        </w:rPr>
        <w:t xml:space="preserve">showed that </w:t>
      </w:r>
      <w:r w:rsidR="00BF6ABA">
        <w:rPr>
          <w:rFonts w:cs="Times New Roman"/>
          <w:color w:val="000000" w:themeColor="text1"/>
        </w:rPr>
        <w:t xml:space="preserve">using </w:t>
      </w:r>
      <w:r w:rsidR="00C47D90">
        <w:rPr>
          <w:rFonts w:cs="Times New Roman"/>
          <w:color w:val="000000" w:themeColor="text1"/>
        </w:rPr>
        <w:t>man-made substances</w:t>
      </w:r>
      <w:r w:rsidR="00BF6ABA">
        <w:rPr>
          <w:rFonts w:cs="Times New Roman"/>
          <w:color w:val="000000" w:themeColor="text1"/>
        </w:rPr>
        <w:t xml:space="preserve"> as part of the claimed process</w:t>
      </w:r>
      <w:r w:rsidR="00C47D90">
        <w:rPr>
          <w:rFonts w:cs="Times New Roman"/>
          <w:color w:val="000000" w:themeColor="text1"/>
        </w:rPr>
        <w:t xml:space="preserve"> did not </w:t>
      </w:r>
      <w:r w:rsidR="00690573">
        <w:rPr>
          <w:rFonts w:cs="Times New Roman"/>
          <w:color w:val="000000" w:themeColor="text1"/>
        </w:rPr>
        <w:t xml:space="preserve">mean the claims were directed at </w:t>
      </w:r>
      <w:r w:rsidR="00BF6ABA">
        <w:rPr>
          <w:rFonts w:cs="Times New Roman"/>
          <w:color w:val="000000" w:themeColor="text1"/>
        </w:rPr>
        <w:t>anything other than a natural law</w:t>
      </w:r>
      <w:r w:rsidR="00690573">
        <w:rPr>
          <w:rFonts w:cs="Times New Roman"/>
          <w:color w:val="000000" w:themeColor="text1"/>
        </w:rPr>
        <w:t>, either.</w:t>
      </w:r>
      <w:r w:rsidR="00690573" w:rsidRPr="005A669A">
        <w:rPr>
          <w:rStyle w:val="FootnoteReference"/>
        </w:rPr>
        <w:footnoteReference w:id="153"/>
      </w:r>
    </w:p>
    <w:p w14:paraId="4B9F6244" w14:textId="3CCCDF74" w:rsidR="00957EA1" w:rsidRDefault="002826BA" w:rsidP="008607D2">
      <w:pPr>
        <w:ind w:firstLine="720"/>
      </w:pPr>
      <w:r>
        <w:lastRenderedPageBreak/>
        <w:t>At step two, claims</w:t>
      </w:r>
      <w:r w:rsidR="00C5443E">
        <w:t xml:space="preserve"> 7 and 9</w:t>
      </w:r>
      <w:r>
        <w:t xml:space="preserve"> lacked inventive concept individually and in combination</w:t>
      </w:r>
      <w:r w:rsidR="00BF6ABA">
        <w:t>.</w:t>
      </w:r>
      <w:r w:rsidRPr="005A669A">
        <w:rPr>
          <w:rStyle w:val="FootnoteReference"/>
        </w:rPr>
        <w:footnoteReference w:id="154"/>
      </w:r>
      <w:r w:rsidR="0022635D">
        <w:t xml:space="preserve"> </w:t>
      </w:r>
      <w:r w:rsidR="00BF6ABA">
        <w:t>They</w:t>
      </w:r>
      <w:r w:rsidR="00C5443E">
        <w:t xml:space="preserve"> merely </w:t>
      </w:r>
      <w:r w:rsidR="0022635D">
        <w:t>“append</w:t>
      </w:r>
      <w:r w:rsidR="00C5443E">
        <w:t>[ed]</w:t>
      </w:r>
      <w:r w:rsidR="0022635D">
        <w:t xml:space="preserve"> [standard-practice] labeling techniques to a natural law</w:t>
      </w:r>
      <w:r w:rsidR="00C5443E">
        <w:t> . . . .”</w:t>
      </w:r>
      <w:r w:rsidR="00C5443E" w:rsidRPr="005A669A">
        <w:rPr>
          <w:rStyle w:val="FootnoteReference"/>
        </w:rPr>
        <w:footnoteReference w:id="155"/>
      </w:r>
    </w:p>
    <w:p w14:paraId="016C8C79" w14:textId="77777777" w:rsidR="000F42CD" w:rsidRDefault="00C5443E" w:rsidP="000F42CD">
      <w:pPr>
        <w:ind w:firstLine="720"/>
      </w:pPr>
      <w:r>
        <w:t>The court considered claim 6</w:t>
      </w:r>
      <w:r w:rsidR="006B0DB7">
        <w:t xml:space="preserve"> separately</w:t>
      </w:r>
      <w:r w:rsidR="00736647">
        <w:t>, which claimed</w:t>
      </w:r>
      <w:r w:rsidR="006B0DB7">
        <w:t xml:space="preserve"> a diagnostic process using different </w:t>
      </w:r>
      <w:r w:rsidR="00736647">
        <w:t>l</w:t>
      </w:r>
      <w:r w:rsidR="006B0DB7">
        <w:t>aboratory techniques</w:t>
      </w:r>
      <w:r>
        <w:t>.</w:t>
      </w:r>
      <w:r w:rsidR="00BF6ABA" w:rsidRPr="005A669A">
        <w:rPr>
          <w:rStyle w:val="FootnoteReference"/>
        </w:rPr>
        <w:footnoteReference w:id="156"/>
      </w:r>
      <w:r w:rsidR="00BF6ABA">
        <w:t xml:space="preserve"> After finding </w:t>
      </w:r>
      <w:r w:rsidR="006B0DB7">
        <w:t>Mayo had waived its arguments specific to claim 6, the court nonetheless opined that these other routine techniques also would have been insufficient to change the outcome at step one or step two.</w:t>
      </w:r>
      <w:r w:rsidR="006B0DB7" w:rsidRPr="005A669A">
        <w:rPr>
          <w:rStyle w:val="FootnoteReference"/>
        </w:rPr>
        <w:footnoteReference w:id="157"/>
      </w:r>
    </w:p>
    <w:p w14:paraId="3F8850D7" w14:textId="5E446892" w:rsidR="000F42CD" w:rsidRDefault="006B0DB7" w:rsidP="000F42CD">
      <w:pPr>
        <w:ind w:firstLine="720"/>
      </w:pPr>
      <w:r>
        <w:t>Judge Newman dissented</w:t>
      </w:r>
      <w:r w:rsidR="00F464D5">
        <w:t>.</w:t>
      </w:r>
      <w:r w:rsidRPr="005A669A">
        <w:rPr>
          <w:rStyle w:val="FootnoteReference"/>
        </w:rPr>
        <w:footnoteReference w:id="158"/>
      </w:r>
      <w:r w:rsidR="00F464D5">
        <w:t xml:space="preserve"> She viewed the patent </w:t>
      </w:r>
      <w:r w:rsidR="00736647">
        <w:t xml:space="preserve">as </w:t>
      </w:r>
      <w:r w:rsidR="00F464D5">
        <w:t xml:space="preserve">directed at a “technique,” and the individual steps of that technique as being less conventional. As she summarized: </w:t>
      </w:r>
    </w:p>
    <w:p w14:paraId="28E009D2" w14:textId="1D1677CA" w:rsidR="000F42CD" w:rsidRDefault="00F464D5" w:rsidP="000F42CD">
      <w:pPr>
        <w:ind w:left="720" w:right="720"/>
      </w:pPr>
      <w:r>
        <w:t>[T]</w:t>
      </w:r>
      <w:r w:rsidRPr="00F464D5">
        <w:t>hese inventors are not claiming the scientific fact of a newly described autoantibody; they are claiming a new multi-step diagnostic method. This is not a law of nature, but a man-made reaction sequence employing new components in a new combination to perform a new diagnostic procedure.</w:t>
      </w:r>
      <w:r w:rsidRPr="005A669A">
        <w:rPr>
          <w:rStyle w:val="FootnoteReference"/>
        </w:rPr>
        <w:footnoteReference w:id="159"/>
      </w:r>
      <w:r w:rsidR="00416F27">
        <w:t xml:space="preserve"> </w:t>
      </w:r>
    </w:p>
    <w:p w14:paraId="0A24321B" w14:textId="5280E7FB" w:rsidR="006B0DB7" w:rsidRDefault="00416F27" w:rsidP="000F42CD">
      <w:r>
        <w:t>Thus, Judge Newman would have held the patent survived § 101 at step one, and</w:t>
      </w:r>
      <w:r w:rsidR="00D9522B">
        <w:t xml:space="preserve"> would have reserved analysis</w:t>
      </w:r>
      <w:r>
        <w:t xml:space="preserve"> of whether any steps in the process were conventional alone or in combination</w:t>
      </w:r>
      <w:r w:rsidR="00D9522B">
        <w:t xml:space="preserve"> for § 102 </w:t>
      </w:r>
      <w:r>
        <w:t>and</w:t>
      </w:r>
      <w:r w:rsidR="00D9522B">
        <w:t xml:space="preserve"> § 103.</w:t>
      </w:r>
      <w:r w:rsidR="00D9522B" w:rsidRPr="005A669A">
        <w:rPr>
          <w:rStyle w:val="FootnoteReference"/>
        </w:rPr>
        <w:footnoteReference w:id="160"/>
      </w:r>
      <w:r w:rsidR="00D9522B">
        <w:t xml:space="preserve"> Judge Newman </w:t>
      </w:r>
      <w:r>
        <w:t xml:space="preserve">also stressed the policy concerns of </w:t>
      </w:r>
      <w:r w:rsidR="00A920D5">
        <w:t>raised by amici from diagnostics and academia</w:t>
      </w:r>
      <w:r w:rsidR="00CB09B6">
        <w:t>.</w:t>
      </w:r>
      <w:r w:rsidR="00CB09B6" w:rsidRPr="005A669A">
        <w:rPr>
          <w:rStyle w:val="FootnoteReference"/>
        </w:rPr>
        <w:footnoteReference w:id="161"/>
      </w:r>
    </w:p>
    <w:p w14:paraId="4A79DCF7" w14:textId="79F3A304" w:rsidR="00CA6E0D" w:rsidRDefault="00CA6E0D" w:rsidP="000F42CD"/>
    <w:p w14:paraId="12C1C904" w14:textId="53F2751A" w:rsidR="00CA6E0D" w:rsidRDefault="00CA6E0D" w:rsidP="000F42CD">
      <w:r>
        <w:tab/>
        <w:t>The pan</w:t>
      </w:r>
      <w:r w:rsidR="00763976">
        <w:t xml:space="preserve">el and full </w:t>
      </w:r>
      <w:r>
        <w:t>Federal Circuit denied rehearing and rehearing en banc.</w:t>
      </w:r>
      <w:r>
        <w:rPr>
          <w:rStyle w:val="FootnoteReference"/>
        </w:rPr>
        <w:footnoteReference w:id="162"/>
      </w:r>
      <w:r w:rsidR="00782FA9">
        <w:t xml:space="preserve">  Following </w:t>
      </w:r>
      <w:r w:rsidR="00782FA9" w:rsidRPr="00782FA9">
        <w:rPr>
          <w:i/>
        </w:rPr>
        <w:t>per curiam</w:t>
      </w:r>
      <w:r w:rsidR="00782FA9">
        <w:t xml:space="preserve"> denials,</w:t>
      </w:r>
      <w:r w:rsidR="00782FA9">
        <w:rPr>
          <w:rStyle w:val="FootnoteReference"/>
        </w:rPr>
        <w:footnoteReference w:id="163"/>
      </w:r>
      <w:r w:rsidR="00782FA9">
        <w:t xml:space="preserve"> the court fractured into </w:t>
      </w:r>
      <w:r w:rsidR="008F2545">
        <w:t xml:space="preserve">eight </w:t>
      </w:r>
      <w:r w:rsidR="00782FA9">
        <w:t>opinions, summarized here:</w:t>
      </w:r>
    </w:p>
    <w:p w14:paraId="178347C8" w14:textId="77777777" w:rsidR="008F2545" w:rsidRDefault="008F2545" w:rsidP="000F42CD"/>
    <w:p w14:paraId="43257BF5" w14:textId="507A6058" w:rsidR="00782FA9" w:rsidRPr="008B0CB5" w:rsidRDefault="00782FA9" w:rsidP="00782FA9">
      <w:pPr>
        <w:pStyle w:val="ListParagraph"/>
        <w:numPr>
          <w:ilvl w:val="0"/>
          <w:numId w:val="22"/>
        </w:numPr>
      </w:pPr>
      <w:r>
        <w:rPr>
          <w:b/>
        </w:rPr>
        <w:t>Concurring in denial</w:t>
      </w:r>
      <w:r w:rsidR="007558C6">
        <w:rPr>
          <w:b/>
        </w:rPr>
        <w:t xml:space="preserve"> of </w:t>
      </w:r>
      <w:r w:rsidR="003F5F60">
        <w:rPr>
          <w:b/>
        </w:rPr>
        <w:t xml:space="preserve">petition for </w:t>
      </w:r>
      <w:r w:rsidR="007558C6">
        <w:rPr>
          <w:b/>
        </w:rPr>
        <w:t xml:space="preserve">rehearing and rehearing </w:t>
      </w:r>
      <w:r w:rsidR="007558C6" w:rsidRPr="00852195">
        <w:rPr>
          <w:b/>
          <w:i/>
        </w:rPr>
        <w:t>en banc</w:t>
      </w:r>
    </w:p>
    <w:p w14:paraId="27E9DA6B" w14:textId="77777777" w:rsidR="008B0CB5" w:rsidRPr="00782FA9" w:rsidRDefault="008B0CB5" w:rsidP="008B0CB5"/>
    <w:p w14:paraId="414727BF" w14:textId="22D5468E" w:rsidR="008B0CB5" w:rsidRPr="008B0CB5" w:rsidRDefault="00782FA9" w:rsidP="008B0CB5">
      <w:pPr>
        <w:pStyle w:val="ListParagraph"/>
        <w:numPr>
          <w:ilvl w:val="1"/>
          <w:numId w:val="22"/>
        </w:numPr>
        <w:rPr>
          <w:i/>
        </w:rPr>
      </w:pPr>
      <w:r w:rsidRPr="00862132">
        <w:rPr>
          <w:i/>
        </w:rPr>
        <w:t>Lourie, J., with Reyna</w:t>
      </w:r>
      <w:r w:rsidR="00862132">
        <w:rPr>
          <w:i/>
        </w:rPr>
        <w:t xml:space="preserve"> and Chen, JJ</w:t>
      </w:r>
      <w:r w:rsidR="00862132">
        <w:t xml:space="preserve">: </w:t>
      </w:r>
      <w:r w:rsidR="007558C6">
        <w:t xml:space="preserve"> </w:t>
      </w:r>
    </w:p>
    <w:p w14:paraId="6B0077AC" w14:textId="77777777" w:rsidR="008B0CB5" w:rsidRPr="008B0CB5" w:rsidRDefault="008B0CB5" w:rsidP="008B0CB5">
      <w:pPr>
        <w:rPr>
          <w:i/>
        </w:rPr>
      </w:pPr>
    </w:p>
    <w:p w14:paraId="4EBBB6A1" w14:textId="448742B1" w:rsidR="008B0CB5" w:rsidRDefault="007558C6" w:rsidP="008B0CB5">
      <w:pPr>
        <w:ind w:firstLine="360"/>
      </w:pPr>
      <w:r>
        <w:t xml:space="preserve">Judge Lourie </w:t>
      </w:r>
      <w:r w:rsidR="00374808">
        <w:t xml:space="preserve">suggested </w:t>
      </w:r>
      <w:r w:rsidR="000E7F9D">
        <w:t>a rule excepting only bare natural laws from eligibility — not claims directed towards “uses or detection of natural laws.”</w:t>
      </w:r>
      <w:r w:rsidR="000E7F9D">
        <w:rPr>
          <w:rStyle w:val="FootnoteReference"/>
        </w:rPr>
        <w:footnoteReference w:id="164"/>
      </w:r>
      <w:r w:rsidR="000E7F9D">
        <w:t xml:space="preserve"> </w:t>
      </w:r>
      <w:r w:rsidR="0067073B">
        <w:t xml:space="preserve"> </w:t>
      </w:r>
      <w:r w:rsidR="00374808">
        <w:t xml:space="preserve">But the Supreme Court’s decision in </w:t>
      </w:r>
      <w:r w:rsidR="00374808" w:rsidRPr="008B0CB5">
        <w:rPr>
          <w:i/>
        </w:rPr>
        <w:t>Mayo</w:t>
      </w:r>
      <w:r w:rsidR="00374808">
        <w:t xml:space="preserve"> was binding and precluded the claims here.  </w:t>
      </w:r>
      <w:r w:rsidR="0067073B">
        <w:t>Claims “focused on detecting new and useful natural laws with conventional steps” are ineligible.</w:t>
      </w:r>
      <w:r w:rsidR="0067073B">
        <w:rPr>
          <w:rStyle w:val="FootnoteReference"/>
        </w:rPr>
        <w:footnoteReference w:id="165"/>
      </w:r>
      <w:r w:rsidR="0067073B">
        <w:t xml:space="preserve"> </w:t>
      </w:r>
      <w:r w:rsidR="00AA3CEA">
        <w:t xml:space="preserve"> </w:t>
      </w:r>
      <w:r w:rsidR="00374808">
        <w:t>True,</w:t>
      </w:r>
      <w:r w:rsidR="00AA3CEA">
        <w:t xml:space="preserve"> </w:t>
      </w:r>
      <w:r w:rsidR="00AA3CEA">
        <w:lastRenderedPageBreak/>
        <w:t>“new method of treatment” claims</w:t>
      </w:r>
      <w:r w:rsidR="00CF60F4">
        <w:rPr>
          <w:rStyle w:val="FootnoteReference"/>
        </w:rPr>
        <w:footnoteReference w:id="166"/>
      </w:r>
      <w:r w:rsidR="00D73A9D">
        <w:t xml:space="preserve"> </w:t>
      </w:r>
      <w:r w:rsidR="00510EE7">
        <w:t>and</w:t>
      </w:r>
      <w:r w:rsidR="00D73A9D">
        <w:t xml:space="preserve"> novel “arrangements” of known laboratory techniques</w:t>
      </w:r>
      <w:r w:rsidR="00374808">
        <w:t xml:space="preserve"> </w:t>
      </w:r>
      <w:r w:rsidR="00510EE7">
        <w:t>are eligible</w:t>
      </w:r>
      <w:r w:rsidR="00374808">
        <w:t xml:space="preserve"> even under </w:t>
      </w:r>
      <w:r w:rsidR="00374808">
        <w:rPr>
          <w:i/>
        </w:rPr>
        <w:t>Mayo</w:t>
      </w:r>
      <w:r w:rsidR="00D73A9D">
        <w:t>.</w:t>
      </w:r>
      <w:r w:rsidR="00D73A9D">
        <w:rPr>
          <w:rStyle w:val="FootnoteReference"/>
        </w:rPr>
        <w:footnoteReference w:id="167"/>
      </w:r>
      <w:r w:rsidR="006B67EC">
        <w:t xml:space="preserve">  </w:t>
      </w:r>
      <w:r w:rsidR="00374808">
        <w:t>But</w:t>
      </w:r>
      <w:r w:rsidR="006B67EC">
        <w:t xml:space="preserve"> the claims</w:t>
      </w:r>
      <w:r w:rsidR="00374808">
        <w:t xml:space="preserve"> here in </w:t>
      </w:r>
      <w:r w:rsidR="00374808">
        <w:rPr>
          <w:i/>
        </w:rPr>
        <w:t>Ariosa</w:t>
      </w:r>
      <w:r w:rsidR="006B67EC">
        <w:t xml:space="preserve"> were directed towards observing a natural law</w:t>
      </w:r>
      <w:r w:rsidR="00510EE7">
        <w:t>.</w:t>
      </w:r>
      <w:r w:rsidR="00133154">
        <w:rPr>
          <w:rStyle w:val="FootnoteReference"/>
        </w:rPr>
        <w:footnoteReference w:id="168"/>
      </w:r>
    </w:p>
    <w:p w14:paraId="125A2239" w14:textId="77777777" w:rsidR="008B0CB5" w:rsidRPr="008B0CB5" w:rsidRDefault="008B0CB5" w:rsidP="008B0CB5">
      <w:pPr>
        <w:ind w:firstLine="360"/>
      </w:pPr>
    </w:p>
    <w:p w14:paraId="1DCD6E71" w14:textId="01CEEC70" w:rsidR="003F5F60" w:rsidRPr="008B0CB5" w:rsidRDefault="003F5F60" w:rsidP="003F5F60">
      <w:pPr>
        <w:pStyle w:val="ListParagraph"/>
        <w:numPr>
          <w:ilvl w:val="0"/>
          <w:numId w:val="22"/>
        </w:numPr>
        <w:rPr>
          <w:i/>
        </w:rPr>
      </w:pPr>
      <w:r>
        <w:rPr>
          <w:b/>
        </w:rPr>
        <w:t xml:space="preserve">Concurring in denial of petition for rehearing </w:t>
      </w:r>
      <w:r w:rsidRPr="00852195">
        <w:rPr>
          <w:b/>
          <w:i/>
        </w:rPr>
        <w:t>en banc</w:t>
      </w:r>
    </w:p>
    <w:p w14:paraId="26AAC72A" w14:textId="77777777" w:rsidR="008B0CB5" w:rsidRPr="008B0CB5" w:rsidRDefault="008B0CB5" w:rsidP="008B0CB5">
      <w:pPr>
        <w:rPr>
          <w:i/>
        </w:rPr>
      </w:pPr>
    </w:p>
    <w:p w14:paraId="061BBB74" w14:textId="77777777" w:rsidR="008B0CB5" w:rsidRPr="008B0CB5" w:rsidRDefault="003F5F60" w:rsidP="003F5F60">
      <w:pPr>
        <w:pStyle w:val="ListParagraph"/>
        <w:numPr>
          <w:ilvl w:val="1"/>
          <w:numId w:val="22"/>
        </w:numPr>
        <w:rPr>
          <w:i/>
        </w:rPr>
      </w:pPr>
      <w:r w:rsidRPr="003F5F60">
        <w:rPr>
          <w:i/>
        </w:rPr>
        <w:t xml:space="preserve">Hughes, </w:t>
      </w:r>
      <w:r>
        <w:rPr>
          <w:i/>
        </w:rPr>
        <w:t>J.</w:t>
      </w:r>
      <w:r w:rsidRPr="003F5F60">
        <w:rPr>
          <w:i/>
        </w:rPr>
        <w:t xml:space="preserve">, with Prost, </w:t>
      </w:r>
      <w:r>
        <w:rPr>
          <w:i/>
        </w:rPr>
        <w:t>C.J.</w:t>
      </w:r>
      <w:r w:rsidRPr="003F5F60">
        <w:rPr>
          <w:i/>
        </w:rPr>
        <w:t xml:space="preserve">, and Taranto, </w:t>
      </w:r>
      <w:r>
        <w:rPr>
          <w:i/>
        </w:rPr>
        <w:t>J.</w:t>
      </w:r>
      <w:r>
        <w:t xml:space="preserve">: </w:t>
      </w:r>
    </w:p>
    <w:p w14:paraId="3707BE6D" w14:textId="77777777" w:rsidR="008B0CB5" w:rsidRPr="008B0CB5" w:rsidRDefault="008B0CB5" w:rsidP="008B0CB5">
      <w:pPr>
        <w:pStyle w:val="ListParagraph"/>
        <w:ind w:left="1440"/>
        <w:rPr>
          <w:i/>
        </w:rPr>
      </w:pPr>
    </w:p>
    <w:p w14:paraId="7A5122CE" w14:textId="3FDB0320" w:rsidR="003F5F60" w:rsidRDefault="005E5A86" w:rsidP="008B0CB5">
      <w:pPr>
        <w:ind w:firstLine="720"/>
      </w:pPr>
      <w:r>
        <w:t>Judge Hughes called for the Supreme Court or Congress to clarify diagnostic patent rules.</w:t>
      </w:r>
      <w:r>
        <w:rPr>
          <w:rStyle w:val="FootnoteReference"/>
        </w:rPr>
        <w:footnoteReference w:id="169"/>
      </w:r>
      <w:r w:rsidR="00AD531E">
        <w:t xml:space="preserve">  While “the bottom line for diagnostics patents is problematic,” “this is not a problem that we can solve.”</w:t>
      </w:r>
      <w:r w:rsidR="00AD531E">
        <w:rPr>
          <w:rStyle w:val="FootnoteReference"/>
        </w:rPr>
        <w:footnoteReference w:id="170"/>
      </w:r>
      <w:r w:rsidR="00AD531E">
        <w:t xml:space="preserve">  </w:t>
      </w:r>
    </w:p>
    <w:p w14:paraId="56F0EFE7" w14:textId="77777777" w:rsidR="008B0CB5" w:rsidRPr="008B0CB5" w:rsidRDefault="008B0CB5" w:rsidP="008B0CB5">
      <w:pPr>
        <w:ind w:firstLine="720"/>
        <w:rPr>
          <w:i/>
        </w:rPr>
      </w:pPr>
    </w:p>
    <w:p w14:paraId="52B9CCE1" w14:textId="77777777" w:rsidR="000D10E4" w:rsidRPr="000D10E4" w:rsidRDefault="0085184E" w:rsidP="00B37213">
      <w:pPr>
        <w:pStyle w:val="ListParagraph"/>
        <w:numPr>
          <w:ilvl w:val="1"/>
          <w:numId w:val="22"/>
        </w:numPr>
        <w:rPr>
          <w:i/>
        </w:rPr>
      </w:pPr>
      <w:r w:rsidRPr="00B37213">
        <w:rPr>
          <w:i/>
        </w:rPr>
        <w:t>Dyk, J., with Hughes and, in select parts, Chen, JJ.</w:t>
      </w:r>
      <w:r>
        <w:t>:</w:t>
      </w:r>
      <w:r w:rsidR="00B37213">
        <w:t xml:space="preserve">  </w:t>
      </w:r>
    </w:p>
    <w:p w14:paraId="758DCC0B" w14:textId="77777777" w:rsidR="008B0CB5" w:rsidRDefault="008B0CB5" w:rsidP="008B0CB5"/>
    <w:p w14:paraId="74DD8A52" w14:textId="77777777" w:rsidR="00323760" w:rsidRDefault="00232210" w:rsidP="008B0CB5">
      <w:pPr>
        <w:ind w:firstLine="720"/>
      </w:pPr>
      <w:r>
        <w:t xml:space="preserve">Judge Dyk </w:t>
      </w:r>
      <w:r w:rsidR="006A12B5">
        <w:t xml:space="preserve">would bar overbroad claims to natural laws at step one, but permit “a sufficiently specific ‘application of a law of nature or mathematical </w:t>
      </w:r>
      <w:r w:rsidR="006A12B5" w:rsidRPr="00084C14">
        <w:t xml:space="preserve">formula </w:t>
      </w:r>
      <w:r w:rsidR="006A12B5">
        <w:t>to a known structure or process.’”</w:t>
      </w:r>
      <w:r w:rsidR="006A12B5">
        <w:rPr>
          <w:rStyle w:val="FootnoteReference"/>
        </w:rPr>
        <w:footnoteReference w:id="171"/>
      </w:r>
      <w:r w:rsidR="00323760">
        <w:t xml:space="preserve"> </w:t>
      </w:r>
    </w:p>
    <w:p w14:paraId="3C12AFD2" w14:textId="479C27A7" w:rsidR="008B0CB5" w:rsidRDefault="00323760" w:rsidP="008B0CB5">
      <w:pPr>
        <w:ind w:firstLine="720"/>
        <w:rPr>
          <w:i/>
        </w:rPr>
      </w:pPr>
      <w:r>
        <w:t xml:space="preserve">Judge Dyk first </w:t>
      </w:r>
      <w:r w:rsidR="00232210">
        <w:t xml:space="preserve">argued that </w:t>
      </w:r>
      <w:r w:rsidR="007001D5">
        <w:t xml:space="preserve">§ 101 </w:t>
      </w:r>
      <w:r>
        <w:t>is and should be a distinct doctrine</w:t>
      </w:r>
      <w:r w:rsidR="007001D5">
        <w:t>.  “[T]he doctrines of novelty under § 102, obviousness under § </w:t>
      </w:r>
      <w:r w:rsidR="00B37213">
        <w:t xml:space="preserve">103, and enablement </w:t>
      </w:r>
      <w:r w:rsidR="007001D5">
        <w:t>and written description under § </w:t>
      </w:r>
      <w:r w:rsidR="00B37213">
        <w:t>112 cannot adequately guard against the dangers of overclaiming</w:t>
      </w:r>
      <w:r w:rsidR="00232210">
        <w:t>.</w:t>
      </w:r>
      <w:r w:rsidR="00B37213">
        <w:t>”</w:t>
      </w:r>
      <w:r w:rsidR="00B37213">
        <w:rPr>
          <w:rStyle w:val="FootnoteReference"/>
        </w:rPr>
        <w:footnoteReference w:id="172"/>
      </w:r>
      <w:r w:rsidR="007001D5">
        <w:t xml:space="preserve"> </w:t>
      </w:r>
      <w:r w:rsidR="006D355B">
        <w:t xml:space="preserve">In cases pertaining to patenting abstract ideas, § 101 has </w:t>
      </w:r>
      <w:r w:rsidR="000737EF">
        <w:t>usefully</w:t>
      </w:r>
      <w:r w:rsidR="006D355B">
        <w:t xml:space="preserve"> invalidate</w:t>
      </w:r>
      <w:r w:rsidR="000737EF">
        <w:t>d</w:t>
      </w:r>
      <w:r w:rsidR="006D355B">
        <w:t xml:space="preserve"> overbroad claims.</w:t>
      </w:r>
      <w:r w:rsidR="006D355B">
        <w:rPr>
          <w:rStyle w:val="FootnoteReference"/>
        </w:rPr>
        <w:footnoteReference w:id="173"/>
      </w:r>
      <w:r w:rsidR="006D355B">
        <w:t xml:space="preserve">  </w:t>
      </w:r>
    </w:p>
    <w:p w14:paraId="27F709AC" w14:textId="1A2CA67E" w:rsidR="008B0CB5" w:rsidRDefault="006D355B" w:rsidP="008B0CB5">
      <w:pPr>
        <w:ind w:firstLine="720"/>
        <w:rPr>
          <w:i/>
        </w:rPr>
      </w:pPr>
      <w:r>
        <w:t xml:space="preserve"> “T</w:t>
      </w:r>
      <w:r w:rsidR="00600713" w:rsidRPr="00600713">
        <w:t xml:space="preserve">he problem with § 101 arises not in implementing </w:t>
      </w:r>
      <w:r w:rsidR="00493AC3">
        <w:t xml:space="preserve">the abstract idea approach of </w:t>
      </w:r>
      <w:r w:rsidR="00600713" w:rsidRPr="008B0CB5">
        <w:rPr>
          <w:i/>
        </w:rPr>
        <w:t>Alice</w:t>
      </w:r>
      <w:r w:rsidR="00600713" w:rsidRPr="00600713">
        <w:t xml:space="preserve">, but rather in implementing the natural law approach of </w:t>
      </w:r>
      <w:r w:rsidR="00600713" w:rsidRPr="008B0CB5">
        <w:rPr>
          <w:i/>
        </w:rPr>
        <w:t>Mayo</w:t>
      </w:r>
      <w:r w:rsidR="00600713" w:rsidRPr="00600713">
        <w:t>.</w:t>
      </w:r>
      <w:r w:rsidR="00DF7CBF">
        <w:t>”</w:t>
      </w:r>
      <w:r w:rsidR="00D53FF2">
        <w:rPr>
          <w:rStyle w:val="FootnoteReference"/>
        </w:rPr>
        <w:footnoteReference w:id="174"/>
      </w:r>
      <w:r w:rsidR="00DC4063">
        <w:t xml:space="preserve"> </w:t>
      </w:r>
      <w:r w:rsidR="003C2B72" w:rsidRPr="008B0CB5">
        <w:rPr>
          <w:i/>
        </w:rPr>
        <w:t xml:space="preserve">Mayo </w:t>
      </w:r>
      <w:r w:rsidR="003C2B72">
        <w:t xml:space="preserve">and </w:t>
      </w:r>
      <w:r w:rsidR="003C2B72" w:rsidRPr="008B0CB5">
        <w:rPr>
          <w:i/>
        </w:rPr>
        <w:t>Myriad</w:t>
      </w:r>
      <w:r w:rsidR="00305742" w:rsidRPr="008B0CB5">
        <w:rPr>
          <w:i/>
        </w:rPr>
        <w:t xml:space="preserve"> </w:t>
      </w:r>
      <w:r w:rsidR="00305742">
        <w:t>did not consistently address whether diagnostics could be patented</w:t>
      </w:r>
      <w:r w:rsidR="003C2B72">
        <w:t xml:space="preserve">.  In </w:t>
      </w:r>
      <w:r w:rsidR="00134752" w:rsidRPr="008B0CB5">
        <w:rPr>
          <w:i/>
        </w:rPr>
        <w:t>Mayo</w:t>
      </w:r>
      <w:r w:rsidR="00134752">
        <w:t>, the Supreme Court held that even a narrow natural law could not supply inventive concept;</w:t>
      </w:r>
      <w:r w:rsidR="00CA773E">
        <w:rPr>
          <w:rStyle w:val="FootnoteReference"/>
        </w:rPr>
        <w:footnoteReference w:id="175"/>
      </w:r>
      <w:r w:rsidR="00134752">
        <w:t xml:space="preserve"> in </w:t>
      </w:r>
      <w:r w:rsidR="00134752" w:rsidRPr="008B0CB5">
        <w:rPr>
          <w:i/>
        </w:rPr>
        <w:t>Myriad</w:t>
      </w:r>
      <w:r w:rsidR="003C2B72">
        <w:t>,</w:t>
      </w:r>
      <w:r w:rsidR="00134752">
        <w:t xml:space="preserve"> however,</w:t>
      </w:r>
      <w:r w:rsidR="003C2B72">
        <w:t xml:space="preserve"> </w:t>
      </w:r>
      <w:r w:rsidR="00305742">
        <w:t>the Court</w:t>
      </w:r>
      <w:r w:rsidR="00134752">
        <w:t xml:space="preserve"> </w:t>
      </w:r>
      <w:r w:rsidR="002C2AEC">
        <w:t xml:space="preserve">suggested </w:t>
      </w:r>
      <w:r w:rsidR="003C2B72">
        <w:t xml:space="preserve">that </w:t>
      </w:r>
      <w:r w:rsidR="002C2AEC">
        <w:t>one</w:t>
      </w:r>
      <w:r w:rsidR="003C2B72">
        <w:t xml:space="preserve"> claim pertaining to detecting the BRCA1 gene using conventional methods could be patent eligible.</w:t>
      </w:r>
      <w:r w:rsidR="003C2B72">
        <w:rPr>
          <w:rStyle w:val="FootnoteReference"/>
        </w:rPr>
        <w:footnoteReference w:id="176"/>
      </w:r>
      <w:r w:rsidR="00084C14">
        <w:t xml:space="preserve"> </w:t>
      </w:r>
      <w:r w:rsidR="002C2AEC">
        <w:t xml:space="preserve"> (Indeed, Judge </w:t>
      </w:r>
      <w:r w:rsidR="002C2AEC">
        <w:lastRenderedPageBreak/>
        <w:t xml:space="preserve">Dyk argued that, contrary to language in </w:t>
      </w:r>
      <w:r w:rsidR="002C2AEC" w:rsidRPr="008B0CB5">
        <w:rPr>
          <w:i/>
        </w:rPr>
        <w:t>Ariosa</w:t>
      </w:r>
      <w:r w:rsidR="002C2AEC" w:rsidRPr="000D10E4">
        <w:t>,</w:t>
      </w:r>
      <w:r w:rsidR="002C2AEC" w:rsidRPr="00DC4063">
        <w:rPr>
          <w:rStyle w:val="FootnoteReference"/>
        </w:rPr>
        <w:footnoteReference w:id="177"/>
      </w:r>
      <w:r w:rsidR="002C2AEC">
        <w:t xml:space="preserve"> at least some diagnostic patents could be patent-eligible at </w:t>
      </w:r>
      <w:r w:rsidR="002C2AEC" w:rsidRPr="008B0CB5">
        <w:rPr>
          <w:i/>
        </w:rPr>
        <w:t>Alice</w:t>
      </w:r>
      <w:r w:rsidR="002C2AEC">
        <w:t>’s second step, just not the patents here.</w:t>
      </w:r>
      <w:r w:rsidR="002C2AEC">
        <w:rPr>
          <w:rStyle w:val="FootnoteReference"/>
        </w:rPr>
        <w:footnoteReference w:id="178"/>
      </w:r>
      <w:r w:rsidR="002C2AEC">
        <w:t xml:space="preserve">) </w:t>
      </w:r>
      <w:r w:rsidR="00084C14">
        <w:t xml:space="preserve"> </w:t>
      </w:r>
    </w:p>
    <w:p w14:paraId="256A3D4D" w14:textId="71681E37" w:rsidR="0085184E" w:rsidRDefault="00084C14" w:rsidP="008B0CB5">
      <w:pPr>
        <w:ind w:firstLine="720"/>
      </w:pPr>
      <w:r>
        <w:t xml:space="preserve">To resolve this tension and move forward, Judge Dyk would bar overbroad claims to natural laws at step one, but permit “a sufficiently specific ‘application of a law of nature or mathematical </w:t>
      </w:r>
      <w:r w:rsidRPr="00084C14">
        <w:t xml:space="preserve">formula </w:t>
      </w:r>
      <w:r w:rsidR="0035505C">
        <w:t>to a known structure or process.’”</w:t>
      </w:r>
      <w:r w:rsidR="0035505C">
        <w:rPr>
          <w:rStyle w:val="FootnoteReference"/>
        </w:rPr>
        <w:footnoteReference w:id="179"/>
      </w:r>
      <w:r w:rsidR="00F07C3F">
        <w:t xml:space="preserve"> </w:t>
      </w:r>
      <w:r w:rsidR="00281054">
        <w:t>“</w:t>
      </w:r>
      <w:r w:rsidR="00281054" w:rsidRPr="00281054">
        <w:t>T</w:t>
      </w:r>
      <w:r w:rsidR="00281054">
        <w:t xml:space="preserve">he Supreme Court's opinion in </w:t>
      </w:r>
      <w:r w:rsidR="00281054" w:rsidRPr="008B0CB5">
        <w:rPr>
          <w:i/>
        </w:rPr>
        <w:t>O'Reilly v. Morse</w:t>
      </w:r>
      <w:r w:rsidR="00281054" w:rsidRPr="00281054">
        <w:t>, the foundation of the Court's jurisprudence on patent eligibility, appear</w:t>
      </w:r>
      <w:r w:rsidR="00281054">
        <w:t>s to make this very distinction.”</w:t>
      </w:r>
      <w:r w:rsidR="00281054">
        <w:rPr>
          <w:rStyle w:val="FootnoteReference"/>
        </w:rPr>
        <w:footnoteReference w:id="180"/>
      </w:r>
      <w:r w:rsidR="00163B2A">
        <w:t xml:space="preserve"> In that case, Morse’s method for printing intelligible signs at a distance was patentable, but not </w:t>
      </w:r>
      <w:r w:rsidR="00090FC2">
        <w:t>his generic</w:t>
      </w:r>
      <w:r w:rsidR="00163B2A">
        <w:t xml:space="preserve"> claim to all methods.</w:t>
      </w:r>
      <w:r w:rsidR="00163B2A">
        <w:rPr>
          <w:rStyle w:val="FootnoteReference"/>
        </w:rPr>
        <w:footnoteReference w:id="181"/>
      </w:r>
      <w:r w:rsidR="00163B2A">
        <w:t xml:space="preserve">  </w:t>
      </w:r>
      <w:r w:rsidR="00FF6EF4">
        <w:t xml:space="preserve">More recent Supreme Court cases, including </w:t>
      </w:r>
      <w:r w:rsidR="00FF6EF4" w:rsidRPr="008B0CB5">
        <w:rPr>
          <w:i/>
        </w:rPr>
        <w:t>Benson</w:t>
      </w:r>
      <w:r w:rsidR="00FF6EF4">
        <w:t xml:space="preserve">, </w:t>
      </w:r>
      <w:r w:rsidR="00FF6EF4" w:rsidRPr="008B0CB5">
        <w:rPr>
          <w:i/>
        </w:rPr>
        <w:t>Flook</w:t>
      </w:r>
      <w:r w:rsidR="00FF6EF4">
        <w:t xml:space="preserve">, and </w:t>
      </w:r>
      <w:r w:rsidR="00FF6EF4" w:rsidRPr="008B0CB5">
        <w:rPr>
          <w:i/>
        </w:rPr>
        <w:t>Diehr</w:t>
      </w:r>
      <w:r w:rsidR="00FF6EF4">
        <w:t xml:space="preserve">, </w:t>
      </w:r>
      <w:r w:rsidR="000D463D">
        <w:t>affirm</w:t>
      </w:r>
      <w:r w:rsidR="001615ED">
        <w:t xml:space="preserve"> this distinction</w:t>
      </w:r>
      <w:r w:rsidR="00FF6EF4">
        <w:t>.</w:t>
      </w:r>
      <w:r w:rsidR="00B678FA">
        <w:rPr>
          <w:rStyle w:val="FootnoteReference"/>
        </w:rPr>
        <w:footnoteReference w:id="182"/>
      </w:r>
      <w:r w:rsidR="00B25F4E">
        <w:t xml:space="preserve">  </w:t>
      </w:r>
      <w:r w:rsidR="00E84427">
        <w:t>Under such a rule, courts evaluate whether the specific application results from “discovery” and creates “established utility” — and so help ensure no preemption occurs.</w:t>
      </w:r>
      <w:r w:rsidR="00E84427">
        <w:rPr>
          <w:rStyle w:val="FootnoteReference"/>
        </w:rPr>
        <w:footnoteReference w:id="183"/>
      </w:r>
      <w:r w:rsidR="00E84427">
        <w:t xml:space="preserve"> Had</w:t>
      </w:r>
      <w:r w:rsidR="003434B3">
        <w:t xml:space="preserve"> </w:t>
      </w:r>
      <w:r w:rsidR="003434B3">
        <w:rPr>
          <w:i/>
        </w:rPr>
        <w:t>Mayo</w:t>
      </w:r>
      <w:r w:rsidR="00E84427">
        <w:rPr>
          <w:i/>
        </w:rPr>
        <w:t xml:space="preserve"> </w:t>
      </w:r>
      <w:r w:rsidR="00E84427">
        <w:t>followed this rule, it would have come out the same way</w:t>
      </w:r>
      <w:r w:rsidR="003434B3">
        <w:t>.</w:t>
      </w:r>
      <w:r w:rsidR="003434B3">
        <w:rPr>
          <w:rStyle w:val="FootnoteReference"/>
        </w:rPr>
        <w:footnoteReference w:id="184"/>
      </w:r>
      <w:r w:rsidR="003434B3">
        <w:t xml:space="preserve">  “[T]</w:t>
      </w:r>
      <w:r w:rsidR="003434B3" w:rsidRPr="003434B3">
        <w:t xml:space="preserve">he reward of a patent </w:t>
      </w:r>
      <w:r w:rsidR="003434B3">
        <w:t>[should go]</w:t>
      </w:r>
      <w:r w:rsidR="003434B3" w:rsidRPr="003434B3">
        <w:t xml:space="preserve"> to those who have actually done the work to develop a specific application of a natural law, not those who are the first to the patent office with broad, conceptual claims lacking proven utility in many applications.</w:t>
      </w:r>
      <w:r w:rsidR="003434B3">
        <w:t>”</w:t>
      </w:r>
      <w:r w:rsidR="003434B3">
        <w:rPr>
          <w:rStyle w:val="FootnoteReference"/>
        </w:rPr>
        <w:footnoteReference w:id="185"/>
      </w:r>
    </w:p>
    <w:p w14:paraId="77B1C3DE" w14:textId="57F9AF9D" w:rsidR="00E76324" w:rsidRDefault="00E84427" w:rsidP="008B0CB5">
      <w:pPr>
        <w:ind w:firstLine="720"/>
      </w:pPr>
      <w:r>
        <w:t xml:space="preserve">Applying that rule to this case, </w:t>
      </w:r>
      <w:r w:rsidR="00E76324">
        <w:t xml:space="preserve">some claims </w:t>
      </w:r>
      <w:r>
        <w:t>would have been eligible</w:t>
      </w:r>
      <w:r w:rsidR="00E76324">
        <w:t>.</w:t>
      </w:r>
      <w:r w:rsidR="00E84611">
        <w:rPr>
          <w:rStyle w:val="FootnoteReference"/>
        </w:rPr>
        <w:footnoteReference w:id="186"/>
      </w:r>
      <w:r w:rsidR="00DD5EB1">
        <w:t xml:space="preserve">  </w:t>
      </w:r>
      <w:r>
        <w:t>These claims</w:t>
      </w:r>
      <w:r w:rsidR="0045768C">
        <w:t xml:space="preserve"> covered not simply the relationship between MuSK autoantibodies and MG but specific methods of detecting MuSK and diagnosing MG, </w:t>
      </w:r>
      <w:r>
        <w:t xml:space="preserve">a useful result </w:t>
      </w:r>
      <w:r w:rsidR="0045768C">
        <w:t>the patentees discovered.</w:t>
      </w:r>
      <w:r w:rsidR="0045768C">
        <w:rPr>
          <w:rStyle w:val="FootnoteReference"/>
        </w:rPr>
        <w:footnoteReference w:id="187"/>
      </w:r>
      <w:r w:rsidR="0045768C">
        <w:t xml:space="preserve"> </w:t>
      </w:r>
      <w:r w:rsidR="00DD5EB1">
        <w:t>“</w:t>
      </w:r>
      <w:r w:rsidR="00DD5EB1" w:rsidRPr="00DD5EB1">
        <w:t xml:space="preserve">Because </w:t>
      </w:r>
      <w:r w:rsidR="009E79EA">
        <w:t xml:space="preserve">[these claims] </w:t>
      </w:r>
      <w:r w:rsidR="00DD5EB1" w:rsidRPr="00DD5EB1">
        <w:t>recite</w:t>
      </w:r>
      <w:r w:rsidR="009E79EA">
        <w:t>[d]</w:t>
      </w:r>
      <w:r w:rsidR="00DD5EB1" w:rsidRPr="00DD5EB1">
        <w:t xml:space="preserve"> specific applications of the newly discovered law of nature with proven utility, this </w:t>
      </w:r>
      <w:r w:rsidR="00DD5EB1">
        <w:t>case could provide the Supreme</w:t>
      </w:r>
      <w:r w:rsidR="00DD5EB1" w:rsidRPr="00DD5EB1">
        <w:t xml:space="preserve"> Court with </w:t>
      </w:r>
      <w:r w:rsidR="00DD5EB1">
        <w:t xml:space="preserve">the opportunity to refine the </w:t>
      </w:r>
      <w:r w:rsidR="00DD5EB1" w:rsidRPr="00DD5EB1">
        <w:rPr>
          <w:i/>
        </w:rPr>
        <w:t>Mayo</w:t>
      </w:r>
      <w:r w:rsidR="00DD5EB1" w:rsidRPr="00DD5EB1">
        <w:t xml:space="preserve"> framework as to diagnostic patents.</w:t>
      </w:r>
      <w:r w:rsidR="00DD5EB1">
        <w:t>”</w:t>
      </w:r>
      <w:r w:rsidR="00DD5EB1">
        <w:rPr>
          <w:rStyle w:val="FootnoteReference"/>
        </w:rPr>
        <w:footnoteReference w:id="188"/>
      </w:r>
    </w:p>
    <w:p w14:paraId="0044A5A9" w14:textId="77777777" w:rsidR="004E2CDE" w:rsidRDefault="004E2CDE" w:rsidP="008B0CB5">
      <w:pPr>
        <w:ind w:firstLine="720"/>
      </w:pPr>
    </w:p>
    <w:p w14:paraId="0A0694CB" w14:textId="242CD943" w:rsidR="005E326C" w:rsidRDefault="004E2CDE" w:rsidP="004E2CDE">
      <w:pPr>
        <w:pStyle w:val="ListParagraph"/>
        <w:numPr>
          <w:ilvl w:val="1"/>
          <w:numId w:val="22"/>
        </w:numPr>
      </w:pPr>
      <w:r>
        <w:rPr>
          <w:i/>
        </w:rPr>
        <w:t>Chen, J</w:t>
      </w:r>
      <w:r w:rsidR="0069389D">
        <w:rPr>
          <w:i/>
        </w:rPr>
        <w:t>.</w:t>
      </w:r>
      <w:r>
        <w:t>:</w:t>
      </w:r>
      <w:r w:rsidR="004D59B2">
        <w:rPr>
          <w:rStyle w:val="FootnoteReference"/>
        </w:rPr>
        <w:footnoteReference w:id="189"/>
      </w:r>
    </w:p>
    <w:p w14:paraId="13F6B695" w14:textId="77777777" w:rsidR="00A5647D" w:rsidRDefault="00A5647D" w:rsidP="00970D2E">
      <w:pPr>
        <w:ind w:firstLine="720"/>
      </w:pPr>
    </w:p>
    <w:p w14:paraId="7AC732DD" w14:textId="516A4041" w:rsidR="00A5647D" w:rsidRDefault="00A5647D" w:rsidP="005C466F">
      <w:pPr>
        <w:ind w:firstLine="720"/>
      </w:pPr>
      <w:r>
        <w:t xml:space="preserve">Judge Chen asked the Supreme Court to revive </w:t>
      </w:r>
      <w:r>
        <w:rPr>
          <w:i/>
        </w:rPr>
        <w:t>Diehr</w:t>
      </w:r>
      <w:r>
        <w:t xml:space="preserve">’s “on the whole” approach to patent eligibility and dispense with </w:t>
      </w:r>
      <w:r>
        <w:rPr>
          <w:i/>
        </w:rPr>
        <w:t>Mayo</w:t>
      </w:r>
      <w:r>
        <w:t>’s “point of novelty” approach.</w:t>
      </w:r>
      <w:r>
        <w:rPr>
          <w:rStyle w:val="FootnoteReference"/>
        </w:rPr>
        <w:footnoteReference w:id="190"/>
      </w:r>
      <w:r>
        <w:t xml:space="preserve">  Further, he asked that the Court develop a “meaning of ‘discovers’ in § 101 separate[] from ‘invents,’” and so enable patents containing “[g]roundbreaking, innovative, or even brilliant discovery” to become patent-eligible.</w:t>
      </w:r>
      <w:r>
        <w:rPr>
          <w:rStyle w:val="FootnoteReference"/>
        </w:rPr>
        <w:footnoteReference w:id="191"/>
      </w:r>
    </w:p>
    <w:p w14:paraId="01F57245" w14:textId="6949DBBE" w:rsidR="00EF63D3" w:rsidRDefault="00EF63D3" w:rsidP="00970D2E">
      <w:pPr>
        <w:ind w:firstLine="720"/>
      </w:pPr>
      <w:r>
        <w:lastRenderedPageBreak/>
        <w:t xml:space="preserve">Judge Chen </w:t>
      </w:r>
      <w:r w:rsidR="00FB4D20">
        <w:t>reasoned</w:t>
      </w:r>
      <w:r>
        <w:t xml:space="preserve"> that, </w:t>
      </w:r>
      <w:r w:rsidR="00FB4D20">
        <w:t>unlike</w:t>
      </w:r>
      <w:r w:rsidR="00970D2E">
        <w:t xml:space="preserve"> patents about “horse whispering, or speed dating,”</w:t>
      </w:r>
      <w:r>
        <w:t xml:space="preserve"> </w:t>
      </w:r>
    </w:p>
    <w:p w14:paraId="16FE80CF" w14:textId="77777777" w:rsidR="00EF63D3" w:rsidRDefault="00EF63D3" w:rsidP="00EF63D3">
      <w:pPr>
        <w:ind w:left="720" w:right="720"/>
      </w:pPr>
      <w:r>
        <w:t>[n]</w:t>
      </w:r>
      <w:r w:rsidRPr="00F37B8A">
        <w:t>ew methods for diagnosing medical conditions, as a general matter, intuitively seem to be the kind of subject matter the patent system is designed for: to encourage the risky, expensive, unpredictable technical research and development that people would not otherwise pursue in the hope that if they discover something of great medical value, then they will be protected and rewarded for that successful effort with a patent.</w:t>
      </w:r>
      <w:r>
        <w:rPr>
          <w:rStyle w:val="FootnoteReference"/>
        </w:rPr>
        <w:footnoteReference w:id="192"/>
      </w:r>
    </w:p>
    <w:p w14:paraId="6A75E414" w14:textId="094B9349" w:rsidR="00EF63D3" w:rsidRPr="00970D2E" w:rsidRDefault="00970D2E" w:rsidP="00970D2E">
      <w:r>
        <w:t xml:space="preserve">And </w:t>
      </w:r>
      <w:r w:rsidR="00FB4D20">
        <w:t xml:space="preserve">Judge Chen argued that </w:t>
      </w:r>
      <w:r>
        <w:t>the Supreme Court’s pre-</w:t>
      </w:r>
      <w:r>
        <w:rPr>
          <w:i/>
        </w:rPr>
        <w:t xml:space="preserve">Mayo </w:t>
      </w:r>
      <w:r>
        <w:t>decisions</w:t>
      </w:r>
      <w:r w:rsidR="00925EE1">
        <w:t xml:space="preserve"> p</w:t>
      </w:r>
      <w:r w:rsidR="00FB4D20">
        <w:t>rovide</w:t>
      </w:r>
      <w:r w:rsidR="005C466F">
        <w:t>d</w:t>
      </w:r>
      <w:r>
        <w:t xml:space="preserve"> a workable </w:t>
      </w:r>
      <w:r w:rsidR="005C466F">
        <w:t>doctrine</w:t>
      </w:r>
      <w:r>
        <w:t xml:space="preserve"> to enable this result.</w:t>
      </w:r>
    </w:p>
    <w:p w14:paraId="2ABD705A" w14:textId="45B37E96" w:rsidR="00925EE1" w:rsidRDefault="00925EE1" w:rsidP="00925EE1">
      <w:pPr>
        <w:ind w:firstLine="720"/>
      </w:pPr>
      <w:r>
        <w:t xml:space="preserve">Judge Chen would revive the rule in </w:t>
      </w:r>
      <w:r>
        <w:rPr>
          <w:i/>
        </w:rPr>
        <w:t>Diehr</w:t>
      </w:r>
      <w:r>
        <w:t>, which</w:t>
      </w:r>
      <w:r w:rsidR="000576CD">
        <w:t xml:space="preserve"> </w:t>
      </w:r>
      <w:r w:rsidR="000B0BA1">
        <w:t>“emphasized the need to</w:t>
      </w:r>
      <w:r w:rsidR="00970D2E">
        <w:t xml:space="preserve"> </w:t>
      </w:r>
      <w:r w:rsidR="000B0BA1">
        <w:t xml:space="preserve">consider the invention as a </w:t>
      </w:r>
      <w:r w:rsidR="0003377E">
        <w:t>whole, rather than ‘dissect</w:t>
      </w:r>
      <w:r w:rsidR="000B0BA1">
        <w:t xml:space="preserve"> the claim</w:t>
      </w:r>
      <w:r w:rsidR="0003377E">
        <w:t xml:space="preserve">s into old and new elements . . . </w:t>
      </w:r>
      <w:r w:rsidR="000576CD">
        <w:t>in the analysis.</w:t>
      </w:r>
      <w:r w:rsidR="00FB4D20">
        <w:t>’</w:t>
      </w:r>
      <w:r w:rsidR="000576CD">
        <w:t>”</w:t>
      </w:r>
      <w:r w:rsidR="003E7012">
        <w:rPr>
          <w:rStyle w:val="FootnoteReference"/>
        </w:rPr>
        <w:footnoteReference w:id="193"/>
      </w:r>
      <w:r w:rsidR="000576CD">
        <w:t xml:space="preserve"> </w:t>
      </w:r>
      <w:r>
        <w:t xml:space="preserve"> </w:t>
      </w:r>
      <w:r w:rsidR="00FB4D20">
        <w:t>This “as a whole” approach contrasted with</w:t>
      </w:r>
      <w:r>
        <w:t xml:space="preserve"> </w:t>
      </w:r>
      <w:r>
        <w:rPr>
          <w:i/>
        </w:rPr>
        <w:t>Mayo</w:t>
      </w:r>
      <w:r w:rsidRPr="00925EE1">
        <w:t>’</w:t>
      </w:r>
      <w:r w:rsidR="003D7E61" w:rsidRPr="00925EE1">
        <w:t>s</w:t>
      </w:r>
      <w:r>
        <w:t xml:space="preserve"> </w:t>
      </w:r>
      <w:r w:rsidR="00ED5ECC">
        <w:t>“</w:t>
      </w:r>
      <w:r w:rsidR="003D7E61" w:rsidRPr="003D7E61">
        <w:t>point of novelty/inventive concept reasoning</w:t>
      </w:r>
      <w:r w:rsidR="00ED5ECC">
        <w:t>” —</w:t>
      </w:r>
      <w:r w:rsidR="003D7E61" w:rsidRPr="003D7E61">
        <w:t xml:space="preserve"> </w:t>
      </w:r>
      <w:r w:rsidR="00ED5ECC">
        <w:t xml:space="preserve">a line of reasoning earlier taken in </w:t>
      </w:r>
      <w:r w:rsidR="003D7E61" w:rsidRPr="00925EE1">
        <w:rPr>
          <w:i/>
        </w:rPr>
        <w:t>Flook</w:t>
      </w:r>
      <w:r w:rsidR="00FB4D20">
        <w:t xml:space="preserve"> </w:t>
      </w:r>
      <w:r w:rsidR="00ED5ECC">
        <w:t>but limited by</w:t>
      </w:r>
      <w:r w:rsidR="00FB4D20">
        <w:t xml:space="preserve"> </w:t>
      </w:r>
      <w:r w:rsidR="00FB4D20">
        <w:rPr>
          <w:i/>
        </w:rPr>
        <w:t xml:space="preserve">Diehr </w:t>
      </w:r>
      <w:r w:rsidR="00FB4D20">
        <w:t xml:space="preserve">(as shown by </w:t>
      </w:r>
      <w:r>
        <w:t xml:space="preserve">the </w:t>
      </w:r>
      <w:r w:rsidR="003D7E61" w:rsidRPr="00925EE1">
        <w:rPr>
          <w:i/>
        </w:rPr>
        <w:t>Diehr</w:t>
      </w:r>
      <w:r w:rsidR="00ED5ECC">
        <w:rPr>
          <w:i/>
        </w:rPr>
        <w:t xml:space="preserve"> </w:t>
      </w:r>
      <w:r w:rsidR="00ED5ECC">
        <w:t>dissent</w:t>
      </w:r>
      <w:r w:rsidR="00FB4D20">
        <w:t>)</w:t>
      </w:r>
      <w:r>
        <w:t>.</w:t>
      </w:r>
      <w:r w:rsidR="003D7E61">
        <w:rPr>
          <w:rStyle w:val="FootnoteReference"/>
        </w:rPr>
        <w:footnoteReference w:id="194"/>
      </w:r>
      <w:r>
        <w:t xml:space="preserve">  </w:t>
      </w:r>
      <w:r w:rsidR="00B80E3C">
        <w:t xml:space="preserve">The </w:t>
      </w:r>
      <w:r>
        <w:rPr>
          <w:i/>
        </w:rPr>
        <w:t>Mayo</w:t>
      </w:r>
      <w:r w:rsidR="00B80E3C">
        <w:t xml:space="preserve"> </w:t>
      </w:r>
      <w:r>
        <w:t xml:space="preserve">approach </w:t>
      </w:r>
      <w:r w:rsidR="0006431E">
        <w:t>creates</w:t>
      </w:r>
      <w:r w:rsidR="00233E7B">
        <w:t xml:space="preserve"> </w:t>
      </w:r>
      <w:r w:rsidR="006421EC">
        <w:t>challenges</w:t>
      </w:r>
      <w:r w:rsidR="00233E7B">
        <w:t xml:space="preserve">.  It </w:t>
      </w:r>
      <w:r w:rsidR="006421EC">
        <w:t>suggests</w:t>
      </w:r>
      <w:r w:rsidR="00233E7B">
        <w:t xml:space="preserve"> that </w:t>
      </w:r>
      <w:r w:rsidR="00233E7B">
        <w:rPr>
          <w:i/>
        </w:rPr>
        <w:t xml:space="preserve">adding </w:t>
      </w:r>
      <w:r w:rsidR="00233E7B">
        <w:t xml:space="preserve">claim limitations can </w:t>
      </w:r>
      <w:r w:rsidR="006421EC">
        <w:t>make a patent</w:t>
      </w:r>
      <w:r w:rsidR="00233E7B">
        <w:t xml:space="preserve"> le</w:t>
      </w:r>
      <w:r w:rsidR="006421EC">
        <w:t>ss patent-eligible under § 101; further, it stimulates a</w:t>
      </w:r>
      <w:r w:rsidR="00233E7B">
        <w:t xml:space="preserve"> search for “w</w:t>
      </w:r>
      <w:r w:rsidR="006421EC">
        <w:t xml:space="preserve">hat the claim is ‘really about’ . . . [that] </w:t>
      </w:r>
      <w:r w:rsidR="00233E7B">
        <w:t>can be highly subjective and impressionistic.”</w:t>
      </w:r>
      <w:r w:rsidR="00233E7B">
        <w:rPr>
          <w:rStyle w:val="FootnoteReference"/>
        </w:rPr>
        <w:footnoteReference w:id="195"/>
      </w:r>
      <w:r w:rsidR="00233E7B">
        <w:t xml:space="preserve"> </w:t>
      </w:r>
    </w:p>
    <w:p w14:paraId="37FFE7F2" w14:textId="6E1C1C67" w:rsidR="003F651B" w:rsidRDefault="00E53D46" w:rsidP="007F3E9D">
      <w:pPr>
        <w:ind w:firstLine="720"/>
      </w:pPr>
      <w:r>
        <w:t xml:space="preserve">Applying this “on the whole” </w:t>
      </w:r>
      <w:r w:rsidR="00153C13">
        <w:t>rule</w:t>
      </w:r>
      <w:r>
        <w:t xml:space="preserve"> here, </w:t>
      </w:r>
      <w:r w:rsidR="00153C13">
        <w:t xml:space="preserve">the </w:t>
      </w:r>
      <w:r w:rsidR="003218C9">
        <w:t>claims to</w:t>
      </w:r>
      <w:r w:rsidR="00F37B8A" w:rsidRPr="00F37B8A">
        <w:t xml:space="preserve"> </w:t>
      </w:r>
      <w:r w:rsidR="003218C9">
        <w:t>“</w:t>
      </w:r>
      <w:r w:rsidR="00F37B8A" w:rsidRPr="00F37B8A">
        <w:t xml:space="preserve">methods of testing for a specific medical condition, employing a sequence of steps that </w:t>
      </w:r>
      <w:r w:rsidR="003218C9">
        <w:t xml:space="preserve">physically transform materials” </w:t>
      </w:r>
      <w:r w:rsidR="00E15213">
        <w:t>should have been</w:t>
      </w:r>
      <w:r w:rsidR="003218C9">
        <w:t xml:space="preserve"> found patent-eligible</w:t>
      </w:r>
      <w:r w:rsidR="00682218">
        <w:t>.</w:t>
      </w:r>
      <w:r w:rsidR="00F37B8A">
        <w:rPr>
          <w:rStyle w:val="FootnoteReference"/>
        </w:rPr>
        <w:footnoteReference w:id="196"/>
      </w:r>
    </w:p>
    <w:p w14:paraId="5182C057" w14:textId="42470E2E" w:rsidR="004D59B2" w:rsidRDefault="004D59B2" w:rsidP="004D59B2"/>
    <w:p w14:paraId="0C2F96A7" w14:textId="31B98FDE" w:rsidR="005B42F4" w:rsidRPr="008B0CB5" w:rsidRDefault="005B42F4" w:rsidP="005B42F4">
      <w:pPr>
        <w:pStyle w:val="ListParagraph"/>
        <w:numPr>
          <w:ilvl w:val="0"/>
          <w:numId w:val="22"/>
        </w:numPr>
        <w:rPr>
          <w:i/>
        </w:rPr>
      </w:pPr>
      <w:r>
        <w:rPr>
          <w:b/>
        </w:rPr>
        <w:t xml:space="preserve">Dissenting in denial of petition for rehearing </w:t>
      </w:r>
      <w:r w:rsidRPr="00852195">
        <w:rPr>
          <w:b/>
          <w:i/>
        </w:rPr>
        <w:t>en banc</w:t>
      </w:r>
    </w:p>
    <w:p w14:paraId="3A6BF231" w14:textId="77777777" w:rsidR="005B42F4" w:rsidRDefault="005B42F4" w:rsidP="00B24BB4">
      <w:pPr>
        <w:pStyle w:val="ListParagraph"/>
      </w:pPr>
    </w:p>
    <w:p w14:paraId="649407AE" w14:textId="57233B7B" w:rsidR="004E2CDE" w:rsidRDefault="005E326C" w:rsidP="004E2CDE">
      <w:pPr>
        <w:pStyle w:val="ListParagraph"/>
        <w:numPr>
          <w:ilvl w:val="1"/>
          <w:numId w:val="22"/>
        </w:numPr>
      </w:pPr>
      <w:r w:rsidRPr="007F3E9D">
        <w:rPr>
          <w:i/>
        </w:rPr>
        <w:t xml:space="preserve">Moore, </w:t>
      </w:r>
      <w:r w:rsidR="007F3E9D">
        <w:rPr>
          <w:i/>
        </w:rPr>
        <w:t>J.</w:t>
      </w:r>
      <w:r w:rsidRPr="007F3E9D">
        <w:rPr>
          <w:i/>
        </w:rPr>
        <w:t xml:space="preserve">, with </w:t>
      </w:r>
      <w:r w:rsidR="007F3E9D">
        <w:rPr>
          <w:i/>
        </w:rPr>
        <w:t>O’</w:t>
      </w:r>
      <w:r w:rsidRPr="007F3E9D">
        <w:rPr>
          <w:i/>
        </w:rPr>
        <w:t>Malley, Wallach, and Stoll</w:t>
      </w:r>
      <w:r w:rsidR="00173240">
        <w:rPr>
          <w:i/>
        </w:rPr>
        <w:t>, JJ.</w:t>
      </w:r>
      <w:r w:rsidR="00B24BB4">
        <w:rPr>
          <w:rStyle w:val="FootnoteReference"/>
        </w:rPr>
        <w:footnoteReference w:id="197"/>
      </w:r>
    </w:p>
    <w:p w14:paraId="20DCAC09" w14:textId="77777777" w:rsidR="009E6428" w:rsidRDefault="009E6428" w:rsidP="00125D49"/>
    <w:p w14:paraId="200906A0" w14:textId="0171A1B4" w:rsidR="00C35FA9" w:rsidRDefault="00577EF4" w:rsidP="00CA00F6">
      <w:pPr>
        <w:ind w:firstLine="720"/>
      </w:pPr>
      <w:r>
        <w:t xml:space="preserve">Judge Moore would have held that </w:t>
      </w:r>
      <w:r>
        <w:rPr>
          <w:i/>
        </w:rPr>
        <w:t>Mayo</w:t>
      </w:r>
      <w:r>
        <w:t xml:space="preserve"> did not preclude </w:t>
      </w:r>
      <w:r w:rsidR="00535FC0">
        <w:t>finding diagnostic patents eligible</w:t>
      </w:r>
      <w:r>
        <w:t>.</w:t>
      </w:r>
      <w:r w:rsidR="000F4253">
        <w:rPr>
          <w:rStyle w:val="FootnoteReference"/>
        </w:rPr>
        <w:footnoteReference w:id="198"/>
      </w:r>
      <w:r w:rsidR="00125D49">
        <w:t xml:space="preserve">  </w:t>
      </w:r>
      <w:r w:rsidR="00535FC0">
        <w:t>“We have turned</w:t>
      </w:r>
      <w:r w:rsidR="00F06214">
        <w:t xml:space="preserve"> </w:t>
      </w:r>
      <w:r w:rsidR="00F06214" w:rsidRPr="00125D49">
        <w:rPr>
          <w:i/>
        </w:rPr>
        <w:t>Mayo</w:t>
      </w:r>
      <w:r w:rsidR="00F06214">
        <w:t xml:space="preserve"> into a per se rule that diagnostic kits and techniques are i</w:t>
      </w:r>
      <w:r w:rsidR="00125D49">
        <w:t>neligible. That per se rule is ‘</w:t>
      </w:r>
      <w:r w:rsidR="00F06214">
        <w:t>too broad an interpretation of this exclusionary principle [whic</w:t>
      </w:r>
      <w:r w:rsidR="00125D49">
        <w:t>h] could eviscerate patent law.’”</w:t>
      </w:r>
      <w:r w:rsidR="00F06214">
        <w:rPr>
          <w:rStyle w:val="FootnoteReference"/>
        </w:rPr>
        <w:footnoteReference w:id="199"/>
      </w:r>
      <w:r w:rsidR="00CA00F6">
        <w:t xml:space="preserve">  </w:t>
      </w:r>
      <w:r w:rsidR="00C35FA9">
        <w:t>Laws of nature should not be patentable, nor should they become so by “adding the words ‘apply it.’”</w:t>
      </w:r>
      <w:r w:rsidR="00C35FA9">
        <w:rPr>
          <w:rStyle w:val="FootnoteReference"/>
        </w:rPr>
        <w:footnoteReference w:id="200"/>
      </w:r>
      <w:r w:rsidR="00C35FA9">
        <w:t xml:space="preserve"> </w:t>
      </w:r>
      <w:r w:rsidR="00106D32">
        <w:t xml:space="preserve"> Yet </w:t>
      </w:r>
      <w:r w:rsidR="00C35FA9">
        <w:t>“an application of a law of nature . . . to a known structure or process may well be deserving of patent protection.”</w:t>
      </w:r>
      <w:r w:rsidR="00C35FA9">
        <w:rPr>
          <w:rStyle w:val="FootnoteReference"/>
        </w:rPr>
        <w:footnoteReference w:id="201"/>
      </w:r>
      <w:r w:rsidR="00C35FA9">
        <w:t xml:space="preserve">  </w:t>
      </w:r>
    </w:p>
    <w:p w14:paraId="324984D3" w14:textId="24A74325" w:rsidR="007E6EFC" w:rsidRDefault="00C35FA9" w:rsidP="00CA00F6">
      <w:pPr>
        <w:ind w:firstLine="720"/>
      </w:pPr>
      <w:r>
        <w:lastRenderedPageBreak/>
        <w:t>To get to that result, Judge Moore would read</w:t>
      </w:r>
      <w:r w:rsidR="007E6EFC">
        <w:t xml:space="preserve"> </w:t>
      </w:r>
      <w:r w:rsidR="007E6EFC" w:rsidRPr="00CA00F6">
        <w:rPr>
          <w:i/>
        </w:rPr>
        <w:t>Mayo</w:t>
      </w:r>
      <w:r w:rsidR="00CA00F6">
        <w:t xml:space="preserve"> </w:t>
      </w:r>
      <w:r w:rsidR="00106D32">
        <w:t xml:space="preserve">more carefully </w:t>
      </w:r>
      <w:r w:rsidR="00CA00F6">
        <w:t>i</w:t>
      </w:r>
      <w:r w:rsidR="007E6EFC">
        <w:t xml:space="preserve">n light of § 101. </w:t>
      </w:r>
      <w:r w:rsidR="00F06A73">
        <w:t xml:space="preserve"> </w:t>
      </w:r>
      <w:r w:rsidR="002041CF">
        <w:t>Congress</w:t>
      </w:r>
      <w:r w:rsidR="00A7564D">
        <w:t xml:space="preserve"> </w:t>
      </w:r>
      <w:r w:rsidR="002041CF">
        <w:t>“instruct[ed] that a discovery[,</w:t>
      </w:r>
      <w:r w:rsidR="00284B74">
        <w:t xml:space="preserve"> which it </w:t>
      </w:r>
      <w:r w:rsidR="002041CF">
        <w:t>called out separately from invention</w:t>
      </w:r>
      <w:r w:rsidR="00F06A73">
        <w:t xml:space="preserve"> in § 101</w:t>
      </w:r>
      <w:r w:rsidR="002041CF">
        <w:t>,] can be the basis f</w:t>
      </w:r>
      <w:r w:rsidR="00A7564D">
        <w:t>or a patent[].</w:t>
      </w:r>
      <w:r w:rsidR="002041CF">
        <w:t>”</w:t>
      </w:r>
      <w:r w:rsidR="002041CF">
        <w:rPr>
          <w:rStyle w:val="FootnoteReference"/>
        </w:rPr>
        <w:footnoteReference w:id="202"/>
      </w:r>
      <w:r w:rsidR="00A7564D">
        <w:t xml:space="preserve">  To identify patent-eligible applications, c</w:t>
      </w:r>
      <w:r w:rsidR="00613126">
        <w:t>ourts “should consider the level of specificity in the claims</w:t>
      </w:r>
      <w:r w:rsidR="00A53BF1">
        <w:t>.</w:t>
      </w:r>
      <w:r w:rsidR="00613126">
        <w:t>”</w:t>
      </w:r>
      <w:r w:rsidR="00A53BF1">
        <w:rPr>
          <w:rStyle w:val="FootnoteReference"/>
        </w:rPr>
        <w:footnoteReference w:id="203"/>
      </w:r>
      <w:r w:rsidR="008D617F">
        <w:t xml:space="preserve"> </w:t>
      </w:r>
      <w:r w:rsidR="00F06A73">
        <w:t>And so in</w:t>
      </w:r>
      <w:r w:rsidR="008D617F">
        <w:t xml:space="preserve"> </w:t>
      </w:r>
      <w:r w:rsidR="008D617F">
        <w:rPr>
          <w:i/>
        </w:rPr>
        <w:t>Mayo</w:t>
      </w:r>
      <w:r w:rsidR="008D617F">
        <w:t>, “[t]</w:t>
      </w:r>
      <w:r w:rsidR="008D617F" w:rsidRPr="008D617F">
        <w:t xml:space="preserve">he breadth and generality of </w:t>
      </w:r>
      <w:r>
        <w:t xml:space="preserve">the . . . </w:t>
      </w:r>
      <w:r w:rsidR="008D617F" w:rsidRPr="008D617F">
        <w:t>claims led to their demise, as they recited nothing more than the natural law.</w:t>
      </w:r>
      <w:r w:rsidR="008D617F">
        <w:t>”</w:t>
      </w:r>
      <w:r w:rsidR="008D617F">
        <w:rPr>
          <w:rStyle w:val="FootnoteReference"/>
        </w:rPr>
        <w:footnoteReference w:id="204"/>
      </w:r>
      <w:r w:rsidR="008D617F">
        <w:t xml:space="preserve"> </w:t>
      </w:r>
    </w:p>
    <w:p w14:paraId="7DB4DD90" w14:textId="7CA552A9" w:rsidR="008D617F" w:rsidRDefault="00F06A73" w:rsidP="00C25F12">
      <w:pPr>
        <w:ind w:firstLine="720"/>
      </w:pPr>
      <w:r>
        <w:t>A</w:t>
      </w:r>
      <w:r w:rsidR="00982948">
        <w:t>pplying the rule here,</w:t>
      </w:r>
      <w:r w:rsidR="008D617F">
        <w:rPr>
          <w:i/>
        </w:rPr>
        <w:t xml:space="preserve"> </w:t>
      </w:r>
      <w:r w:rsidR="00982948">
        <w:t xml:space="preserve">some of the </w:t>
      </w:r>
      <w:r w:rsidR="00982948">
        <w:rPr>
          <w:i/>
        </w:rPr>
        <w:t>Athena</w:t>
      </w:r>
      <w:r w:rsidR="00982948">
        <w:t xml:space="preserve"> claims </w:t>
      </w:r>
      <w:r w:rsidR="008D617F">
        <w:t>“s</w:t>
      </w:r>
      <w:r w:rsidR="008D617F" w:rsidRPr="008D617F">
        <w:t>pecifically confine their reach to a specific application of the relationship between anti-MuSK antibodies and MG.</w:t>
      </w:r>
      <w:r w:rsidR="00D0416C">
        <w:t>”</w:t>
      </w:r>
      <w:r w:rsidR="00D0416C">
        <w:rPr>
          <w:rStyle w:val="FootnoteReference"/>
        </w:rPr>
        <w:footnoteReference w:id="205"/>
      </w:r>
      <w:r w:rsidR="003F08F4">
        <w:t xml:space="preserve">  </w:t>
      </w:r>
      <w:r>
        <w:t>Those claims</w:t>
      </w:r>
      <w:r w:rsidR="00A7564D">
        <w:t xml:space="preserve"> avoid</w:t>
      </w:r>
      <w:r w:rsidR="003F08F4">
        <w:t xml:space="preserve"> preemption risks </w:t>
      </w:r>
      <w:r>
        <w:t>and</w:t>
      </w:r>
      <w:r w:rsidR="006A2177">
        <w:t xml:space="preserve"> should be patent-eligible.</w:t>
      </w:r>
      <w:r w:rsidR="003F08F4">
        <w:rPr>
          <w:rStyle w:val="FootnoteReference"/>
        </w:rPr>
        <w:footnoteReference w:id="206"/>
      </w:r>
      <w:r w:rsidR="003F08F4">
        <w:t xml:space="preserve"> </w:t>
      </w:r>
    </w:p>
    <w:p w14:paraId="4CC09003" w14:textId="26DB9D25" w:rsidR="009E6428" w:rsidRPr="008D617F" w:rsidRDefault="0093245F" w:rsidP="00604082">
      <w:pPr>
        <w:ind w:firstLine="720"/>
      </w:pPr>
      <w:r>
        <w:t>Judge Moore also spoke at length to the importance of diagnostics to medicine</w:t>
      </w:r>
      <w:r w:rsidR="006A2177">
        <w:t xml:space="preserve">, </w:t>
      </w:r>
      <w:r>
        <w:t>and the importance of patents to the</w:t>
      </w:r>
      <w:r w:rsidR="006A2177">
        <w:t>ir</w:t>
      </w:r>
      <w:r>
        <w:t xml:space="preserve"> development.</w:t>
      </w:r>
      <w:r>
        <w:rPr>
          <w:rStyle w:val="FootnoteReference"/>
        </w:rPr>
        <w:footnoteReference w:id="207"/>
      </w:r>
      <w:r w:rsidR="00604082">
        <w:t xml:space="preserve">  </w:t>
      </w:r>
      <w:r>
        <w:t xml:space="preserve">And </w:t>
      </w:r>
      <w:r w:rsidR="006A2177">
        <w:t>she</w:t>
      </w:r>
      <w:r>
        <w:t xml:space="preserve"> concluded by speaking to the patent bar: </w:t>
      </w:r>
      <w:r w:rsidR="00106D32">
        <w:t>“</w:t>
      </w:r>
      <w:r w:rsidR="009E6428" w:rsidRPr="009E6428">
        <w:t xml:space="preserve">No need to waste resources with additional </w:t>
      </w:r>
      <w:r w:rsidR="009E6428" w:rsidRPr="0093245F">
        <w:rPr>
          <w:i/>
        </w:rPr>
        <w:t>en banc</w:t>
      </w:r>
      <w:r w:rsidR="009E6428" w:rsidRPr="009E6428">
        <w:t xml:space="preserve"> requests</w:t>
      </w:r>
      <w:r w:rsidR="00106D32">
        <w:t xml:space="preserve"> [seeking to </w:t>
      </w:r>
      <w:r w:rsidR="00AD2649">
        <w:t>render</w:t>
      </w:r>
      <w:r w:rsidR="00106D32">
        <w:t xml:space="preserve"> diagnostics patent-eligible]</w:t>
      </w:r>
      <w:r w:rsidR="009E6428" w:rsidRPr="009E6428">
        <w:t>. Your only hope lies with the Supreme Court or Congress.</w:t>
      </w:r>
      <w:r w:rsidR="009E6428">
        <w:t>”</w:t>
      </w:r>
      <w:r w:rsidR="009E6428">
        <w:rPr>
          <w:rStyle w:val="FootnoteReference"/>
        </w:rPr>
        <w:footnoteReference w:id="208"/>
      </w:r>
    </w:p>
    <w:p w14:paraId="7E71175B" w14:textId="77777777" w:rsidR="00BE23C7" w:rsidRDefault="00BE23C7" w:rsidP="00BE23C7"/>
    <w:p w14:paraId="4D4424A8" w14:textId="16E33E21" w:rsidR="00C013B5" w:rsidRDefault="00C013B5" w:rsidP="004E2CDE">
      <w:pPr>
        <w:pStyle w:val="ListParagraph"/>
        <w:numPr>
          <w:ilvl w:val="1"/>
          <w:numId w:val="22"/>
        </w:numPr>
      </w:pPr>
      <w:r w:rsidRPr="00173240">
        <w:rPr>
          <w:i/>
        </w:rPr>
        <w:t xml:space="preserve">Newman, </w:t>
      </w:r>
      <w:r w:rsidR="00173240" w:rsidRPr="00173240">
        <w:rPr>
          <w:i/>
        </w:rPr>
        <w:t>J.</w:t>
      </w:r>
      <w:r w:rsidRPr="00173240">
        <w:rPr>
          <w:i/>
        </w:rPr>
        <w:t xml:space="preserve">, with Wallach, </w:t>
      </w:r>
      <w:r w:rsidR="00173240" w:rsidRPr="00173240">
        <w:rPr>
          <w:i/>
        </w:rPr>
        <w:t>J.</w:t>
      </w:r>
      <w:r>
        <w:rPr>
          <w:rStyle w:val="FootnoteReference"/>
        </w:rPr>
        <w:footnoteReference w:id="209"/>
      </w:r>
    </w:p>
    <w:p w14:paraId="535ABD81" w14:textId="77777777" w:rsidR="00BE23C7" w:rsidRDefault="00BE23C7" w:rsidP="00BE23C7"/>
    <w:p w14:paraId="05D88222" w14:textId="5D23766B" w:rsidR="00A61F54" w:rsidRDefault="00ED5EE1" w:rsidP="00A61F54">
      <w:pPr>
        <w:ind w:firstLine="720"/>
      </w:pPr>
      <w:r>
        <w:t xml:space="preserve">Judge Newman, like Judge Chen, would have underscored the statement of law in </w:t>
      </w:r>
      <w:r>
        <w:rPr>
          <w:i/>
        </w:rPr>
        <w:t>Diehr</w:t>
      </w:r>
      <w:r>
        <w:t>: “In determining the eligibility of respondents’ claimed process for patent protection under § 101, their claims must be considered as a whole.”</w:t>
      </w:r>
      <w:r>
        <w:rPr>
          <w:rStyle w:val="FootnoteReference"/>
        </w:rPr>
        <w:footnoteReference w:id="210"/>
      </w:r>
      <w:r w:rsidR="00864700">
        <w:t xml:space="preserve"> </w:t>
      </w:r>
      <w:r w:rsidR="00BE00DB">
        <w:t xml:space="preserve"> Like Judge Moore, she was concerned that “[w]</w:t>
      </w:r>
      <w:r w:rsidR="00BE00DB" w:rsidRPr="00DD50BA">
        <w:t>e hav</w:t>
      </w:r>
      <w:r w:rsidR="00BE00DB">
        <w:t>e mistakenly enlarged the Court’</w:t>
      </w:r>
      <w:r w:rsidR="00BE00DB" w:rsidRPr="00DD50BA">
        <w:t>s holding</w:t>
      </w:r>
      <w:r w:rsidR="00BE00DB">
        <w:t xml:space="preserve"> [in </w:t>
      </w:r>
      <w:r w:rsidR="00BE00DB">
        <w:rPr>
          <w:i/>
        </w:rPr>
        <w:t>Mayo</w:t>
      </w:r>
      <w:r w:rsidR="00BE00DB">
        <w:t>]</w:t>
      </w:r>
      <w:r w:rsidR="00BE00DB" w:rsidRPr="00DD50BA">
        <w:t>.</w:t>
      </w:r>
      <w:r w:rsidR="00BE00DB">
        <w:t>”</w:t>
      </w:r>
      <w:r w:rsidR="00BE00DB">
        <w:rPr>
          <w:rStyle w:val="FootnoteReference"/>
        </w:rPr>
        <w:footnoteReference w:id="211"/>
      </w:r>
      <w:r w:rsidR="00BE00DB">
        <w:t xml:space="preserve">  In</w:t>
      </w:r>
      <w:r w:rsidR="00A61F54">
        <w:t xml:space="preserve"> light of the harmful effects on incentives for developing diagnostics, the Federal Circuit should have reheard the case </w:t>
      </w:r>
      <w:r w:rsidR="00A61F54">
        <w:rPr>
          <w:i/>
        </w:rPr>
        <w:t>en banc</w:t>
      </w:r>
      <w:r w:rsidR="00A61F54">
        <w:t xml:space="preserve"> to clarify patent law.</w:t>
      </w:r>
      <w:r w:rsidR="00A61F54">
        <w:rPr>
          <w:rStyle w:val="FootnoteReference"/>
        </w:rPr>
        <w:footnoteReference w:id="212"/>
      </w:r>
      <w:r w:rsidR="00A61F54" w:rsidRPr="00864700">
        <w:t xml:space="preserve"> </w:t>
      </w:r>
    </w:p>
    <w:p w14:paraId="45A506C5" w14:textId="65EEF11B" w:rsidR="004112D5" w:rsidRDefault="006C3555" w:rsidP="001D2EE9">
      <w:pPr>
        <w:ind w:firstLine="720"/>
      </w:pPr>
      <w:r>
        <w:rPr>
          <w:i/>
        </w:rPr>
        <w:t xml:space="preserve">Diehr </w:t>
      </w:r>
      <w:r>
        <w:t>held that “[i]t is inappropriate to dissect the claims into old and new elements and then to ignore the presence of the old elements in the analysis.”</w:t>
      </w:r>
      <w:r>
        <w:rPr>
          <w:rStyle w:val="FootnoteReference"/>
        </w:rPr>
        <w:footnoteReference w:id="213"/>
      </w:r>
      <w:r>
        <w:t xml:space="preserve">  </w:t>
      </w:r>
      <w:r w:rsidR="004D78B6">
        <w:t>In this case, the patent “</w:t>
      </w:r>
      <w:r w:rsidR="00352E5B">
        <w:t>specification teaches that each claim step is conduc</w:t>
      </w:r>
      <w:r>
        <w:t>ted by conventional procedures.</w:t>
      </w:r>
      <w:r w:rsidR="004D78B6">
        <w:t>”</w:t>
      </w:r>
      <w:r>
        <w:rPr>
          <w:rStyle w:val="FootnoteReference"/>
        </w:rPr>
        <w:footnoteReference w:id="214"/>
      </w:r>
      <w:r>
        <w:t xml:space="preserve">  </w:t>
      </w:r>
      <w:r w:rsidR="00B5648D">
        <w:t>Yet i</w:t>
      </w:r>
      <w:r>
        <w:t xml:space="preserve">gnoring </w:t>
      </w:r>
      <w:r w:rsidRPr="006C3555">
        <w:rPr>
          <w:i/>
        </w:rPr>
        <w:t>Diehr</w:t>
      </w:r>
      <w:r>
        <w:t xml:space="preserve">, </w:t>
      </w:r>
      <w:r w:rsidR="004D78B6" w:rsidRPr="006C3555">
        <w:t>the</w:t>
      </w:r>
      <w:r w:rsidR="004D78B6">
        <w:t xml:space="preserve"> majority</w:t>
      </w:r>
      <w:r w:rsidR="00346DE3">
        <w:t xml:space="preserve"> determined</w:t>
      </w:r>
      <w:r w:rsidR="004D78B6">
        <w:t xml:space="preserve"> </w:t>
      </w:r>
      <w:r w:rsidR="00346DE3">
        <w:t>those</w:t>
      </w:r>
      <w:r w:rsidR="004D78B6">
        <w:t xml:space="preserve"> steps </w:t>
      </w:r>
      <w:r w:rsidR="00346DE3">
        <w:t>were “conventional” and so excluded</w:t>
      </w:r>
      <w:r w:rsidR="00137D62">
        <w:t xml:space="preserve"> </w:t>
      </w:r>
      <w:r w:rsidR="00346DE3">
        <w:t>them</w:t>
      </w:r>
      <w:r w:rsidR="00137D62">
        <w:t xml:space="preserve"> from “the</w:t>
      </w:r>
      <w:r w:rsidR="00352E5B">
        <w:t xml:space="preserve"> section 101 analysis, leaving cl</w:t>
      </w:r>
      <w:r w:rsidR="00137D62">
        <w:t>aims 7–9 with only the general ‘concept’ of ‘</w:t>
      </w:r>
      <w:r w:rsidR="00352E5B">
        <w:t>the correlation between the presence</w:t>
      </w:r>
      <w:r w:rsidR="00137D62">
        <w:t xml:space="preserve"> </w:t>
      </w:r>
      <w:r w:rsidR="00352E5B">
        <w:t>of naturally-</w:t>
      </w:r>
      <w:r w:rsidR="00352E5B">
        <w:lastRenderedPageBreak/>
        <w:t>occurring MuSK autoantibodies in bodily fluid and MuSK-related neurological diseases like MG.”</w:t>
      </w:r>
      <w:r w:rsidR="00137D62">
        <w:rPr>
          <w:rStyle w:val="FootnoteReference"/>
        </w:rPr>
        <w:footnoteReference w:id="215"/>
      </w:r>
      <w:r w:rsidR="001D2EE9">
        <w:t xml:space="preserve"> </w:t>
      </w:r>
      <w:r>
        <w:t xml:space="preserve"> </w:t>
      </w:r>
      <w:r w:rsidR="00AB647C">
        <w:t>The resulting finding of ineligibility</w:t>
      </w:r>
      <w:r>
        <w:t xml:space="preserve"> was </w:t>
      </w:r>
      <w:r w:rsidR="00AB647C">
        <w:t xml:space="preserve">therefore </w:t>
      </w:r>
      <w:r>
        <w:t>incorrect.</w:t>
      </w:r>
      <w:r w:rsidR="00346DE3">
        <w:t xml:space="preserve"> </w:t>
      </w:r>
    </w:p>
    <w:p w14:paraId="32937CEB" w14:textId="003D4D48" w:rsidR="006E2E4E" w:rsidRDefault="00864700" w:rsidP="00452C62">
      <w:r>
        <w:tab/>
        <w:t xml:space="preserve">Judge Newman also pointed to the Federal Circuit’s application of § 101 to diagnostic patents as inconsistent with its application </w:t>
      </w:r>
      <w:r w:rsidR="006C3555">
        <w:t xml:space="preserve">of the section </w:t>
      </w:r>
      <w:r>
        <w:t xml:space="preserve">to </w:t>
      </w:r>
      <w:r w:rsidR="006E2E4E">
        <w:t>other treatment-related patents;</w:t>
      </w:r>
      <w:r>
        <w:t xml:space="preserve"> </w:t>
      </w:r>
      <w:r w:rsidR="006E2E4E">
        <w:t>she listed</w:t>
      </w:r>
      <w:r>
        <w:t xml:space="preserve"> and </w:t>
      </w:r>
      <w:r w:rsidR="006E2E4E">
        <w:t>analyzed</w:t>
      </w:r>
      <w:r>
        <w:t xml:space="preserve"> </w:t>
      </w:r>
      <w:r w:rsidR="006C3555">
        <w:t>two lines of cases, one covering diagnostics and one covering</w:t>
      </w:r>
      <w:r w:rsidR="0066700D">
        <w:t xml:space="preserve"> </w:t>
      </w:r>
      <w:r w:rsidR="006C3555">
        <w:t>treatment methods</w:t>
      </w:r>
      <w:r>
        <w:t>.</w:t>
      </w:r>
      <w:r w:rsidR="00D32077">
        <w:rPr>
          <w:rStyle w:val="FootnoteReference"/>
        </w:rPr>
        <w:footnoteReference w:id="216"/>
      </w:r>
      <w:r>
        <w:t xml:space="preserve">   </w:t>
      </w:r>
    </w:p>
    <w:p w14:paraId="10D89459" w14:textId="77777777" w:rsidR="00BE23C7" w:rsidRDefault="00BE23C7" w:rsidP="00BE23C7"/>
    <w:p w14:paraId="446EFF0C" w14:textId="15EA3F7C" w:rsidR="00462986" w:rsidRDefault="00462986" w:rsidP="004E2CDE">
      <w:pPr>
        <w:pStyle w:val="ListParagraph"/>
        <w:numPr>
          <w:ilvl w:val="1"/>
          <w:numId w:val="22"/>
        </w:numPr>
      </w:pPr>
      <w:r w:rsidRPr="000A3D2B">
        <w:rPr>
          <w:i/>
        </w:rPr>
        <w:t xml:space="preserve">Stoll, </w:t>
      </w:r>
      <w:r w:rsidR="000A3D2B" w:rsidRPr="000A3D2B">
        <w:rPr>
          <w:i/>
        </w:rPr>
        <w:t>J.</w:t>
      </w:r>
      <w:r w:rsidRPr="000A3D2B">
        <w:rPr>
          <w:i/>
        </w:rPr>
        <w:t>, with Wallach</w:t>
      </w:r>
      <w:r w:rsidR="000A3D2B" w:rsidRPr="000A3D2B">
        <w:rPr>
          <w:i/>
        </w:rPr>
        <w:t>, J.</w:t>
      </w:r>
      <w:r>
        <w:rPr>
          <w:rStyle w:val="FootnoteReference"/>
        </w:rPr>
        <w:footnoteReference w:id="217"/>
      </w:r>
    </w:p>
    <w:p w14:paraId="6EAC0495" w14:textId="088B1AB9" w:rsidR="00BE23C7" w:rsidRDefault="00BE23C7" w:rsidP="00BE23C7"/>
    <w:p w14:paraId="6FD91D15" w14:textId="19275667" w:rsidR="006A6E36" w:rsidRDefault="002B2B0A" w:rsidP="00195EA5">
      <w:pPr>
        <w:ind w:firstLine="720"/>
      </w:pPr>
      <w:r>
        <w:t>Judge Stoll argued “</w:t>
      </w:r>
      <w:r w:rsidRPr="002B2B0A">
        <w:t>this court's bright-line rule</w:t>
      </w:r>
      <w:r>
        <w:t xml:space="preserve"> [against diagnostic patents]</w:t>
      </w:r>
      <w:r w:rsidRPr="002B2B0A">
        <w:t xml:space="preserve"> is based on an over-reaching and flawed test for eligibility, a test that undermines the constitutional rationale for having a patent system</w:t>
      </w:r>
      <w:r>
        <w:t>,” and “</w:t>
      </w:r>
      <w:r w:rsidRPr="002B2B0A">
        <w:t xml:space="preserve">the court should </w:t>
      </w:r>
      <w:r>
        <w:t>[have] take[n]</w:t>
      </w:r>
      <w:r w:rsidRPr="002B2B0A">
        <w:t xml:space="preserve"> this opportunity to correct its erroneous rule.</w:t>
      </w:r>
      <w:r>
        <w:t>”</w:t>
      </w:r>
      <w:r>
        <w:rPr>
          <w:rStyle w:val="FootnoteReference"/>
        </w:rPr>
        <w:footnoteReference w:id="218"/>
      </w:r>
      <w:r w:rsidR="00195EA5">
        <w:t xml:space="preserve">  </w:t>
      </w:r>
      <w:r w:rsidR="006A6E36">
        <w:t xml:space="preserve">“The </w:t>
      </w:r>
      <w:r w:rsidR="00403CBE">
        <w:rPr>
          <w:i/>
        </w:rPr>
        <w:t xml:space="preserve">Mayo </w:t>
      </w:r>
      <w:r w:rsidR="00403CBE">
        <w:t xml:space="preserve">test was guided by broad-sweeping principles </w:t>
      </w:r>
      <w:r w:rsidR="006A6E36">
        <w:t>that are not applicable to eve</w:t>
      </w:r>
      <w:r w:rsidR="00270556">
        <w:t>ry individual diagnostic claim,” and in particular the principle of barring patents that preempt natural laws.</w:t>
      </w:r>
      <w:r w:rsidR="00270556">
        <w:rPr>
          <w:rStyle w:val="FootnoteReference"/>
        </w:rPr>
        <w:footnoteReference w:id="219"/>
      </w:r>
      <w:r w:rsidR="006A6E36">
        <w:t xml:space="preserve"> </w:t>
      </w:r>
      <w:r w:rsidR="00195EA5">
        <w:t>But “[c]</w:t>
      </w:r>
      <w:r w:rsidR="006A6E36">
        <w:t>ertai</w:t>
      </w:r>
      <w:r w:rsidR="00403CBE">
        <w:t xml:space="preserve">n </w:t>
      </w:r>
      <w:r w:rsidR="006A6E36">
        <w:t>diagnostic claims, such as the ones at issue in this case, are so narrowly tailored that preemption is not a reasonable concern.”</w:t>
      </w:r>
      <w:r w:rsidR="00496A4F">
        <w:rPr>
          <w:rStyle w:val="FootnoteReference"/>
        </w:rPr>
        <w:footnoteReference w:id="220"/>
      </w:r>
    </w:p>
    <w:p w14:paraId="5838CA6E" w14:textId="77777777" w:rsidR="00BE23C7" w:rsidRDefault="00BE23C7" w:rsidP="00BE23C7"/>
    <w:p w14:paraId="3970B73F" w14:textId="2B695E71" w:rsidR="00F61AAB" w:rsidRDefault="002F0602" w:rsidP="004E2CDE">
      <w:pPr>
        <w:pStyle w:val="ListParagraph"/>
        <w:numPr>
          <w:ilvl w:val="1"/>
          <w:numId w:val="22"/>
        </w:numPr>
      </w:pPr>
      <w:r w:rsidRPr="002F0602">
        <w:rPr>
          <w:i/>
        </w:rPr>
        <w:t>O’</w:t>
      </w:r>
      <w:r w:rsidR="00F61AAB" w:rsidRPr="002F0602">
        <w:rPr>
          <w:i/>
        </w:rPr>
        <w:t xml:space="preserve">Malley, </w:t>
      </w:r>
      <w:r w:rsidRPr="002F0602">
        <w:rPr>
          <w:i/>
        </w:rPr>
        <w:t>J.</w:t>
      </w:r>
      <w:r w:rsidR="00F61AAB">
        <w:rPr>
          <w:rStyle w:val="FootnoteReference"/>
        </w:rPr>
        <w:footnoteReference w:id="221"/>
      </w:r>
    </w:p>
    <w:p w14:paraId="7AF7EFC6" w14:textId="77777777" w:rsidR="004D6DA1" w:rsidRDefault="004D6DA1" w:rsidP="004D6DA1"/>
    <w:p w14:paraId="2E31D3DC" w14:textId="130D9E6F" w:rsidR="004D6DA1" w:rsidRPr="00E76324" w:rsidRDefault="001670E0" w:rsidP="00035ACA">
      <w:pPr>
        <w:ind w:firstLine="720"/>
      </w:pPr>
      <w:r>
        <w:t>Judge O’Malley</w:t>
      </w:r>
      <w:r w:rsidR="006D4366">
        <w:t xml:space="preserve"> also</w:t>
      </w:r>
      <w:r>
        <w:t xml:space="preserve"> wrote separately to “</w:t>
      </w:r>
      <w:r w:rsidRPr="001670E0">
        <w:t>encourage Congress to amend the Patent Act once more to clarify tha</w:t>
      </w:r>
      <w:r w:rsidR="00A52A92">
        <w:t>t it meant what it said in 1952</w:t>
      </w:r>
      <w:r w:rsidR="00E81BC6">
        <w:t>” when it removed the “inventive concept” requirement.</w:t>
      </w:r>
      <w:r w:rsidR="00E81BC6">
        <w:rPr>
          <w:rStyle w:val="FootnoteReference"/>
        </w:rPr>
        <w:footnoteReference w:id="222"/>
      </w:r>
      <w:r w:rsidR="00035ACA">
        <w:t xml:space="preserve">  </w:t>
      </w:r>
      <w:r w:rsidR="00A6637B">
        <w:t>She</w:t>
      </w:r>
      <w:r w:rsidR="00035ACA">
        <w:t xml:space="preserve"> reviewed the history of that amendment. </w:t>
      </w:r>
      <w:r w:rsidR="00F96221">
        <w:t>Preceding</w:t>
      </w:r>
      <w:r w:rsidR="00035ACA">
        <w:t xml:space="preserve"> it, a </w:t>
      </w:r>
      <w:r w:rsidR="00F96221">
        <w:t>judge-made</w:t>
      </w:r>
      <w:r w:rsidR="00035ACA">
        <w:t xml:space="preserve"> doctrine </w:t>
      </w:r>
      <w:r w:rsidR="00A52A92">
        <w:t>had stressed</w:t>
      </w:r>
      <w:r w:rsidR="00035ACA">
        <w:t xml:space="preserve"> invention</w:t>
      </w:r>
      <w:r w:rsidR="00A52A92">
        <w:t>; it</w:t>
      </w:r>
      <w:r w:rsidR="00F96221">
        <w:t xml:space="preserve"> barred many patents and proved unworkable even to Judge Learned Hand, who found it </w:t>
      </w:r>
      <w:r w:rsidR="00035ACA">
        <w:t>“baffling.</w:t>
      </w:r>
      <w:r w:rsidR="00F96221">
        <w:t>”</w:t>
      </w:r>
      <w:r w:rsidR="00035ACA">
        <w:rPr>
          <w:rStyle w:val="FootnoteReference"/>
        </w:rPr>
        <w:footnoteReference w:id="223"/>
      </w:r>
      <w:r w:rsidR="003A67F8">
        <w:t xml:space="preserve">  Congress replaced this test with § 102 and § 103.</w:t>
      </w:r>
      <w:r w:rsidR="003A67F8">
        <w:rPr>
          <w:rStyle w:val="FootnoteReference"/>
        </w:rPr>
        <w:footnoteReference w:id="224"/>
      </w:r>
      <w:r w:rsidR="00E52618">
        <w:t xml:space="preserve">  “</w:t>
      </w:r>
      <w:r w:rsidR="00E52618" w:rsidRPr="00E52618">
        <w:t>But although Congress so amended the Act decades ago, we continue to apply the invention requirem</w:t>
      </w:r>
      <w:r w:rsidR="00CD4D93">
        <w:t>ent today under a new name</w:t>
      </w:r>
      <w:r w:rsidR="00A52A92">
        <w:t xml:space="preserve"> </w:t>
      </w:r>
      <w:r w:rsidR="00CD4D93">
        <w:t>—</w:t>
      </w:r>
      <w:r w:rsidR="00A52A92">
        <w:t xml:space="preserve"> </w:t>
      </w:r>
      <w:r w:rsidR="00CD4D93">
        <w:t>the ‘inventive concept’</w:t>
      </w:r>
      <w:r w:rsidR="00E52618" w:rsidRPr="00E52618">
        <w:t xml:space="preserve"> requirement.</w:t>
      </w:r>
      <w:r w:rsidR="00E52618">
        <w:t>”</w:t>
      </w:r>
      <w:r w:rsidR="00E52618">
        <w:rPr>
          <w:rStyle w:val="FootnoteReference"/>
        </w:rPr>
        <w:footnoteReference w:id="225"/>
      </w:r>
      <w:r w:rsidR="00F96221">
        <w:t xml:space="preserve">  </w:t>
      </w:r>
      <w:r w:rsidR="00A52A92">
        <w:t>If not</w:t>
      </w:r>
      <w:r w:rsidR="00F96221">
        <w:t xml:space="preserve"> for this “judicially </w:t>
      </w:r>
      <w:r w:rsidR="007A6C27" w:rsidRPr="007A6C27">
        <w:t>re</w:t>
      </w:r>
      <w:r w:rsidR="00F96221">
        <w:t>vived” requirement,</w:t>
      </w:r>
      <w:r w:rsidR="007A6C27">
        <w:t xml:space="preserve"> claims “</w:t>
      </w:r>
      <w:r w:rsidR="007A6C27" w:rsidRPr="007A6C27">
        <w:t>directed to uses of natural laws rather than the natural laws themselves would be eligible.</w:t>
      </w:r>
      <w:r w:rsidR="007A6C27">
        <w:t>”</w:t>
      </w:r>
      <w:r w:rsidR="007A6C27">
        <w:rPr>
          <w:rStyle w:val="FootnoteReference"/>
        </w:rPr>
        <w:footnoteReference w:id="226"/>
      </w:r>
      <w:r w:rsidR="007A6C27">
        <w:t xml:space="preserve">  Congress should “</w:t>
      </w:r>
      <w:r w:rsidR="007A6C27" w:rsidRPr="007A6C27">
        <w:t>clarif</w:t>
      </w:r>
      <w:r w:rsidR="00564132">
        <w:t>y that concepts of novelty and ‘invention’</w:t>
      </w:r>
      <w:r w:rsidR="007A6C27" w:rsidRPr="007A6C27">
        <w:t xml:space="preserve"> are to be assessed via application of other provisions of the Patent Act Congress designed for that purpose.</w:t>
      </w:r>
      <w:r w:rsidR="00564132">
        <w:t>”</w:t>
      </w:r>
      <w:r w:rsidR="00564132">
        <w:rPr>
          <w:rStyle w:val="FootnoteReference"/>
        </w:rPr>
        <w:footnoteReference w:id="227"/>
      </w:r>
    </w:p>
    <w:p w14:paraId="0A3F446C" w14:textId="0DB5D510" w:rsidR="00C16F78" w:rsidRDefault="00C16F78" w:rsidP="00136E52">
      <w:pPr>
        <w:pStyle w:val="Heading3"/>
        <w:rPr>
          <w:i/>
        </w:rPr>
      </w:pPr>
      <w:bookmarkStart w:id="29" w:name="_Toc26792754"/>
      <w:r>
        <w:lastRenderedPageBreak/>
        <w:t>Patentable</w:t>
      </w:r>
      <w:bookmarkEnd w:id="29"/>
    </w:p>
    <w:p w14:paraId="6C6FD9C0" w14:textId="6396BE45" w:rsidR="00281345" w:rsidRPr="000465C1" w:rsidRDefault="00D939B9" w:rsidP="00136E52">
      <w:pPr>
        <w:pStyle w:val="Heading4"/>
      </w:pPr>
      <w:bookmarkStart w:id="30" w:name="_Toc26792755"/>
      <w:r w:rsidRPr="000465C1">
        <w:rPr>
          <w:i/>
        </w:rPr>
        <w:t>Natural Alternatives Int’l, Inc. v. Creative Compounds, LLC</w:t>
      </w:r>
      <w:r w:rsidR="00281345" w:rsidRPr="000465C1">
        <w:t>, 91</w:t>
      </w:r>
      <w:r w:rsidRPr="000465C1">
        <w:t>8</w:t>
      </w:r>
      <w:r w:rsidR="00281345" w:rsidRPr="000465C1">
        <w:t xml:space="preserve"> F.3d </w:t>
      </w:r>
      <w:r w:rsidRPr="000465C1">
        <w:t>1338</w:t>
      </w:r>
      <w:r w:rsidR="00281345" w:rsidRPr="000465C1">
        <w:t xml:space="preserve"> (Fed. Cir. Mar. </w:t>
      </w:r>
      <w:r w:rsidRPr="000465C1">
        <w:t>15</w:t>
      </w:r>
      <w:r w:rsidR="00281345" w:rsidRPr="000465C1">
        <w:t>, 2019)</w:t>
      </w:r>
      <w:bookmarkEnd w:id="30"/>
    </w:p>
    <w:p w14:paraId="57365C57" w14:textId="33EB9E65" w:rsidR="00281345" w:rsidRDefault="00281345" w:rsidP="00281345">
      <w:pPr>
        <w:ind w:firstLine="720"/>
        <w:rPr>
          <w:rFonts w:cs="Times New Roman"/>
        </w:rPr>
      </w:pPr>
      <w:r>
        <w:rPr>
          <w:rFonts w:cs="Times New Roman"/>
        </w:rPr>
        <w:t>In this appeal from the Sou</w:t>
      </w:r>
      <w:r w:rsidR="00D939B9">
        <w:rPr>
          <w:rFonts w:cs="Times New Roman"/>
        </w:rPr>
        <w:t>t</w:t>
      </w:r>
      <w:r>
        <w:rPr>
          <w:rFonts w:cs="Times New Roman"/>
        </w:rPr>
        <w:t>hern District of California, the Federal Circuit (Moore, J., with Wallach, J.)</w:t>
      </w:r>
      <w:r w:rsidR="000C3EEC">
        <w:rPr>
          <w:rFonts w:cs="Times New Roman"/>
        </w:rPr>
        <w:t xml:space="preserve"> held that patents</w:t>
      </w:r>
      <w:r w:rsidR="00184ED1">
        <w:rPr>
          <w:rFonts w:cs="Times New Roman"/>
        </w:rPr>
        <w:t xml:space="preserve"> that “</w:t>
      </w:r>
      <w:r w:rsidR="00184ED1" w:rsidRPr="00184ED1">
        <w:rPr>
          <w:rFonts w:cs="Times New Roman"/>
        </w:rPr>
        <w:t>cover using a natural product in unnatural quantities to alter a patient’s natural state, to treat a patient with specific dosages outlined in the patents</w:t>
      </w:r>
      <w:r w:rsidR="00184ED1">
        <w:rPr>
          <w:rFonts w:cs="Times New Roman"/>
        </w:rPr>
        <w:t>,”</w:t>
      </w:r>
      <w:r w:rsidR="000C3EEC">
        <w:rPr>
          <w:rFonts w:cs="Times New Roman"/>
        </w:rPr>
        <w:t xml:space="preserve"> were directed to patent-eligible subject matter</w:t>
      </w:r>
      <w:r w:rsidR="001565FA">
        <w:rPr>
          <w:rFonts w:cs="Times New Roman"/>
        </w:rPr>
        <w:t xml:space="preserve"> at step one</w:t>
      </w:r>
      <w:r w:rsidR="000C3EEC">
        <w:rPr>
          <w:rFonts w:cs="Times New Roman"/>
        </w:rPr>
        <w:t>.</w:t>
      </w:r>
      <w:r w:rsidR="00D939B9" w:rsidRPr="005A669A">
        <w:rPr>
          <w:rStyle w:val="FootnoteReference"/>
        </w:rPr>
        <w:footnoteReference w:id="228"/>
      </w:r>
      <w:r w:rsidR="00C365A3">
        <w:rPr>
          <w:rFonts w:cs="Times New Roman"/>
        </w:rPr>
        <w:t xml:space="preserve"> Judge Reyna dissented in part.</w:t>
      </w:r>
      <w:r w:rsidR="00C365A3" w:rsidRPr="005A669A">
        <w:rPr>
          <w:rStyle w:val="FootnoteReference"/>
        </w:rPr>
        <w:footnoteReference w:id="229"/>
      </w:r>
    </w:p>
    <w:p w14:paraId="6C8F22A8" w14:textId="64251801" w:rsidR="00E01554" w:rsidRDefault="00E01554" w:rsidP="00281345">
      <w:pPr>
        <w:ind w:firstLine="720"/>
        <w:rPr>
          <w:rFonts w:cs="Times New Roman"/>
        </w:rPr>
      </w:pPr>
      <w:r>
        <w:rPr>
          <w:rFonts w:cs="Times New Roman"/>
        </w:rPr>
        <w:t xml:space="preserve">The Court considered </w:t>
      </w:r>
      <w:r w:rsidR="002165E1">
        <w:rPr>
          <w:rFonts w:cs="Times New Roman"/>
        </w:rPr>
        <w:t>method and product claims separately.</w:t>
      </w:r>
      <w:r>
        <w:rPr>
          <w:rFonts w:cs="Times New Roman"/>
        </w:rPr>
        <w:t xml:space="preserve"> </w:t>
      </w:r>
    </w:p>
    <w:p w14:paraId="048D1F8D" w14:textId="46A7643C" w:rsidR="00712015" w:rsidRDefault="00E01554" w:rsidP="00281345">
      <w:pPr>
        <w:ind w:firstLine="720"/>
        <w:rPr>
          <w:rFonts w:cs="Times New Roman"/>
        </w:rPr>
      </w:pPr>
      <w:r>
        <w:rPr>
          <w:rFonts w:cs="Times New Roman"/>
          <w:b/>
        </w:rPr>
        <w:t>Method Claims</w:t>
      </w:r>
      <w:r w:rsidRPr="005B01C3">
        <w:rPr>
          <w:rFonts w:cs="Times New Roman"/>
        </w:rPr>
        <w:t>:</w:t>
      </w:r>
      <w:r w:rsidR="005B01C3">
        <w:rPr>
          <w:rFonts w:cs="Times New Roman"/>
        </w:rPr>
        <w:t xml:space="preserve"> </w:t>
      </w:r>
      <w:r>
        <w:rPr>
          <w:rFonts w:cs="Times New Roman"/>
        </w:rPr>
        <w:t xml:space="preserve">The </w:t>
      </w:r>
      <w:r w:rsidR="00712015">
        <w:rPr>
          <w:rFonts w:cs="Times New Roman"/>
        </w:rPr>
        <w:t>’596 patent</w:t>
      </w:r>
      <w:r w:rsidR="00A318A0">
        <w:rPr>
          <w:rFonts w:cs="Times New Roman"/>
        </w:rPr>
        <w:t xml:space="preserve"> </w:t>
      </w:r>
      <w:r w:rsidR="002165E1">
        <w:rPr>
          <w:rFonts w:cs="Times New Roman"/>
        </w:rPr>
        <w:t xml:space="preserve">’865 patents </w:t>
      </w:r>
      <w:r w:rsidR="00712015">
        <w:rPr>
          <w:rFonts w:cs="Times New Roman"/>
        </w:rPr>
        <w:t>disclose using unnatural quantities of a naturally occurring amino acid, beta-alanine to increase “the anaerobic working capacity of muscle and other tissue.”</w:t>
      </w:r>
      <w:r w:rsidR="00712015" w:rsidRPr="005A669A">
        <w:rPr>
          <w:rStyle w:val="FootnoteReference"/>
        </w:rPr>
        <w:footnoteReference w:id="230"/>
      </w:r>
      <w:r w:rsidR="00A318A0">
        <w:rPr>
          <w:rFonts w:cs="Times New Roman"/>
        </w:rPr>
        <w:t xml:space="preserve"> The district court found such claims directed to </w:t>
      </w:r>
      <w:r w:rsidR="00790DA6">
        <w:rPr>
          <w:rFonts w:cs="Times New Roman"/>
        </w:rPr>
        <w:t>natural laws—</w:t>
      </w:r>
      <w:r w:rsidR="004A10D3">
        <w:rPr>
          <w:rFonts w:cs="Times New Roman"/>
        </w:rPr>
        <w:t>those laws being that</w:t>
      </w:r>
      <w:r w:rsidR="00790DA6">
        <w:rPr>
          <w:rFonts w:cs="Times New Roman"/>
        </w:rPr>
        <w:t xml:space="preserve"> ingesting more of the amino acid </w:t>
      </w:r>
      <w:r w:rsidR="004A10D3">
        <w:rPr>
          <w:rFonts w:cs="Times New Roman"/>
        </w:rPr>
        <w:t>leads</w:t>
      </w:r>
      <w:r w:rsidR="00790DA6">
        <w:rPr>
          <w:rFonts w:cs="Times New Roman"/>
        </w:rPr>
        <w:t xml:space="preserve"> to biochemical changes that increase muscular working capacity—</w:t>
      </w:r>
      <w:r w:rsidR="00A318A0">
        <w:rPr>
          <w:rFonts w:cs="Times New Roman"/>
        </w:rPr>
        <w:t>and</w:t>
      </w:r>
      <w:r w:rsidR="004A10D3">
        <w:rPr>
          <w:rFonts w:cs="Times New Roman"/>
        </w:rPr>
        <w:t xml:space="preserve"> also</w:t>
      </w:r>
      <w:r w:rsidR="00A318A0">
        <w:rPr>
          <w:rFonts w:cs="Times New Roman"/>
        </w:rPr>
        <w:t xml:space="preserve"> lacking inventive concept.</w:t>
      </w:r>
      <w:r w:rsidR="00A318A0" w:rsidRPr="005A669A">
        <w:rPr>
          <w:rStyle w:val="FootnoteReference"/>
        </w:rPr>
        <w:footnoteReference w:id="231"/>
      </w:r>
    </w:p>
    <w:p w14:paraId="2E83ADE8" w14:textId="366B61CB" w:rsidR="00DA78A5" w:rsidRDefault="00B75A75" w:rsidP="00281345">
      <w:pPr>
        <w:ind w:firstLine="720"/>
        <w:rPr>
          <w:rFonts w:cs="Times New Roman"/>
        </w:rPr>
      </w:pPr>
      <w:r>
        <w:rPr>
          <w:rFonts w:cs="Times New Roman"/>
        </w:rPr>
        <w:t>On appeal, the Federal Circuit disagreed. It held “[t]hese are treatment claims and as such they are patent eligible.”</w:t>
      </w:r>
      <w:r w:rsidRPr="005A669A">
        <w:rPr>
          <w:rStyle w:val="FootnoteReference"/>
        </w:rPr>
        <w:footnoteReference w:id="232"/>
      </w:r>
      <w:r>
        <w:rPr>
          <w:rFonts w:cs="Times New Roman"/>
        </w:rPr>
        <w:t xml:space="preserve"> At step one, </w:t>
      </w:r>
      <w:r>
        <w:rPr>
          <w:rFonts w:cs="Times New Roman"/>
          <w:i/>
        </w:rPr>
        <w:t xml:space="preserve">Vanda Pharmaceuticals Inc. </w:t>
      </w:r>
      <w:r w:rsidR="00157317">
        <w:rPr>
          <w:rFonts w:cs="Times New Roman"/>
        </w:rPr>
        <w:t>stood</w:t>
      </w:r>
      <w:r>
        <w:rPr>
          <w:rFonts w:cs="Times New Roman"/>
        </w:rPr>
        <w:t xml:space="preserve"> for the proposition that “claims that are directed to particular methods of treatment are patent eligible.”</w:t>
      </w:r>
      <w:r w:rsidRPr="005A669A">
        <w:rPr>
          <w:rStyle w:val="FootnoteReference"/>
        </w:rPr>
        <w:footnoteReference w:id="233"/>
      </w:r>
      <w:r w:rsidR="00150780">
        <w:rPr>
          <w:rFonts w:cs="Times New Roman"/>
        </w:rPr>
        <w:t xml:space="preserve"> </w:t>
      </w:r>
      <w:r w:rsidR="004A10D3">
        <w:rPr>
          <w:rFonts w:cs="Times New Roman"/>
        </w:rPr>
        <w:t>And here</w:t>
      </w:r>
      <w:r w:rsidR="00150780">
        <w:rPr>
          <w:rFonts w:cs="Times New Roman"/>
        </w:rPr>
        <w:t>, as there, the claims “required a doctor to affirmatively administer a drug to alter a patient’s condition from their natural state</w:t>
      </w:r>
      <w:r w:rsidR="00282E57">
        <w:rPr>
          <w:rFonts w:cs="Times New Roman"/>
        </w:rPr>
        <w:t>.”</w:t>
      </w:r>
      <w:r w:rsidR="00282E57" w:rsidRPr="005A669A">
        <w:rPr>
          <w:rStyle w:val="FootnoteReference"/>
        </w:rPr>
        <w:footnoteReference w:id="234"/>
      </w:r>
      <w:r w:rsidR="00282E57">
        <w:rPr>
          <w:rFonts w:cs="Times New Roman"/>
        </w:rPr>
        <w:t xml:space="preserve"> </w:t>
      </w:r>
      <w:r w:rsidR="007F19E2">
        <w:rPr>
          <w:rFonts w:cs="Times New Roman"/>
        </w:rPr>
        <w:t>In both cases, a compound was specified, a limitation on dosing was specified, and either a target patient population or target outcome from treatment was specified.</w:t>
      </w:r>
      <w:r w:rsidR="007F19E2" w:rsidRPr="005A669A">
        <w:rPr>
          <w:rStyle w:val="FootnoteReference"/>
        </w:rPr>
        <w:footnoteReference w:id="235"/>
      </w:r>
      <w:r w:rsidR="00150780">
        <w:rPr>
          <w:rFonts w:cs="Times New Roman"/>
        </w:rPr>
        <w:t xml:space="preserve"> </w:t>
      </w:r>
      <w:r w:rsidR="003B1F4C">
        <w:rPr>
          <w:rFonts w:cs="Times New Roman"/>
        </w:rPr>
        <w:t>These features</w:t>
      </w:r>
      <w:r w:rsidR="007F19E2">
        <w:rPr>
          <w:rFonts w:cs="Times New Roman"/>
        </w:rPr>
        <w:t xml:space="preserve"> distinguished these</w:t>
      </w:r>
      <w:r w:rsidR="00150780">
        <w:rPr>
          <w:rFonts w:cs="Times New Roman"/>
        </w:rPr>
        <w:t xml:space="preserve"> cases from </w:t>
      </w:r>
      <w:r w:rsidR="00150780">
        <w:rPr>
          <w:rFonts w:cs="Times New Roman"/>
          <w:i/>
        </w:rPr>
        <w:t>Mayo</w:t>
      </w:r>
      <w:r w:rsidR="003B36F5">
        <w:rPr>
          <w:rFonts w:cs="Times New Roman"/>
        </w:rPr>
        <w:t xml:space="preserve">, where </w:t>
      </w:r>
      <w:r w:rsidR="00DA78A5">
        <w:rPr>
          <w:rFonts w:cs="Times New Roman"/>
        </w:rPr>
        <w:t xml:space="preserve">the claims required </w:t>
      </w:r>
      <w:r w:rsidR="003B36F5">
        <w:rPr>
          <w:rFonts w:cs="Times New Roman"/>
        </w:rPr>
        <w:t xml:space="preserve">“no actual </w:t>
      </w:r>
      <w:r w:rsidR="00DA78A5">
        <w:rPr>
          <w:rFonts w:cs="Times New Roman"/>
        </w:rPr>
        <w:t xml:space="preserve">action </w:t>
      </w:r>
      <w:r w:rsidR="003B36F5">
        <w:rPr>
          <w:rFonts w:cs="Times New Roman"/>
        </w:rPr>
        <w:t>be taken based on the measured level of metabolite [</w:t>
      </w:r>
      <w:r w:rsidR="00DA78A5">
        <w:rPr>
          <w:rFonts w:cs="Times New Roman"/>
        </w:rPr>
        <w:t xml:space="preserve">that was </w:t>
      </w:r>
      <w:r w:rsidR="003B36F5">
        <w:rPr>
          <w:rFonts w:cs="Times New Roman"/>
        </w:rPr>
        <w:t>brought about</w:t>
      </w:r>
      <w:r w:rsidR="007F19E2">
        <w:rPr>
          <w:rFonts w:cs="Times New Roman"/>
        </w:rPr>
        <w:t xml:space="preserve"> </w:t>
      </w:r>
      <w:r w:rsidR="003B36F5">
        <w:rPr>
          <w:rFonts w:cs="Times New Roman"/>
        </w:rPr>
        <w:t>by the prior art drug</w:t>
      </w:r>
      <w:r w:rsidR="007F19E2">
        <w:rPr>
          <w:rFonts w:cs="Times New Roman"/>
        </w:rPr>
        <w:t xml:space="preserve"> and</w:t>
      </w:r>
      <w:r w:rsidR="003B1F4C">
        <w:rPr>
          <w:rFonts w:cs="Times New Roman"/>
        </w:rPr>
        <w:t xml:space="preserve"> simply</w:t>
      </w:r>
      <w:r w:rsidR="007F19E2">
        <w:rPr>
          <w:rFonts w:cs="Times New Roman"/>
        </w:rPr>
        <w:t xml:space="preserve"> observed]</w:t>
      </w:r>
      <w:r w:rsidR="003B36F5">
        <w:rPr>
          <w:rFonts w:cs="Times New Roman"/>
        </w:rPr>
        <w:t>.”</w:t>
      </w:r>
      <w:r w:rsidR="0086223C" w:rsidRPr="005A669A">
        <w:rPr>
          <w:rStyle w:val="FootnoteReference"/>
        </w:rPr>
        <w:footnoteReference w:id="236"/>
      </w:r>
      <w:r w:rsidR="00FA6803">
        <w:rPr>
          <w:rFonts w:cs="Times New Roman"/>
        </w:rPr>
        <w:t xml:space="preserve"> </w:t>
      </w:r>
      <w:r w:rsidR="003B1F4C">
        <w:rPr>
          <w:rFonts w:cs="Times New Roman"/>
        </w:rPr>
        <w:t>The</w:t>
      </w:r>
      <w:r w:rsidR="00ED6218">
        <w:rPr>
          <w:rFonts w:cs="Times New Roman"/>
        </w:rPr>
        <w:t xml:space="preserve"> Federal Circuit </w:t>
      </w:r>
      <w:r w:rsidR="00157317">
        <w:rPr>
          <w:rFonts w:cs="Times New Roman"/>
        </w:rPr>
        <w:t>said this rule would</w:t>
      </w:r>
      <w:r w:rsidR="00ED6218">
        <w:rPr>
          <w:rFonts w:cs="Times New Roman"/>
        </w:rPr>
        <w:t xml:space="preserve"> </w:t>
      </w:r>
      <w:r w:rsidR="00157317">
        <w:rPr>
          <w:rFonts w:cs="Times New Roman"/>
        </w:rPr>
        <w:t>preserve</w:t>
      </w:r>
      <w:r w:rsidR="00ED6218">
        <w:rPr>
          <w:rFonts w:cs="Times New Roman"/>
        </w:rPr>
        <w:t xml:space="preserve"> the patent</w:t>
      </w:r>
      <w:r w:rsidR="00157317">
        <w:rPr>
          <w:rFonts w:cs="Times New Roman"/>
        </w:rPr>
        <w:t>-</w:t>
      </w:r>
      <w:r w:rsidR="00ED6218">
        <w:rPr>
          <w:rFonts w:cs="Times New Roman"/>
        </w:rPr>
        <w:t xml:space="preserve">eligibility of </w:t>
      </w:r>
      <w:r w:rsidR="00157317">
        <w:rPr>
          <w:rFonts w:cs="Times New Roman"/>
        </w:rPr>
        <w:t>a hypothetically naturally</w:t>
      </w:r>
      <w:r w:rsidR="00ED6218">
        <w:rPr>
          <w:rFonts w:cs="Times New Roman"/>
        </w:rPr>
        <w:t xml:space="preserve"> occurring compound that</w:t>
      </w:r>
      <w:r w:rsidR="00157317">
        <w:rPr>
          <w:rFonts w:cs="Times New Roman"/>
        </w:rPr>
        <w:t xml:space="preserve"> in correct dosing </w:t>
      </w:r>
      <w:r w:rsidR="00ED6218">
        <w:rPr>
          <w:rFonts w:cs="Times New Roman"/>
        </w:rPr>
        <w:t xml:space="preserve">could cure </w:t>
      </w:r>
      <w:r w:rsidR="006C75CE">
        <w:rPr>
          <w:rFonts w:cs="Times New Roman"/>
        </w:rPr>
        <w:t>Alzheimer’s</w:t>
      </w:r>
      <w:r w:rsidR="00ED6218">
        <w:rPr>
          <w:rFonts w:cs="Times New Roman"/>
        </w:rPr>
        <w:t>, for instance.</w:t>
      </w:r>
      <w:r w:rsidR="00ED6218" w:rsidRPr="005A669A">
        <w:rPr>
          <w:rStyle w:val="FootnoteReference"/>
        </w:rPr>
        <w:footnoteReference w:id="237"/>
      </w:r>
    </w:p>
    <w:p w14:paraId="4D836756" w14:textId="787E9D22" w:rsidR="00D639B1" w:rsidRDefault="00D639B1" w:rsidP="00281345">
      <w:pPr>
        <w:ind w:firstLine="720"/>
        <w:rPr>
          <w:rFonts w:cs="Times New Roman"/>
        </w:rPr>
      </w:pPr>
      <w:r>
        <w:rPr>
          <w:rFonts w:cs="Times New Roman"/>
        </w:rPr>
        <w:t xml:space="preserve">The Federal Circuit nonetheless considered step two. Even had it been proper for the district court to find the claims directed to ineligible subject matter, the district court </w:t>
      </w:r>
      <w:r>
        <w:rPr>
          <w:rFonts w:cs="Times New Roman"/>
        </w:rPr>
        <w:lastRenderedPageBreak/>
        <w:t xml:space="preserve">still would have </w:t>
      </w:r>
      <w:r w:rsidR="00C9462F">
        <w:rPr>
          <w:rFonts w:cs="Times New Roman"/>
        </w:rPr>
        <w:t>been in error because it decided</w:t>
      </w:r>
      <w:r>
        <w:rPr>
          <w:rFonts w:cs="Times New Roman"/>
        </w:rPr>
        <w:t xml:space="preserve"> the case </w:t>
      </w:r>
      <w:r w:rsidR="00D35AEE">
        <w:rPr>
          <w:rFonts w:cs="Times New Roman"/>
        </w:rPr>
        <w:t xml:space="preserve">on the pleadings </w:t>
      </w:r>
      <w:r w:rsidR="00C9462F">
        <w:rPr>
          <w:rFonts w:cs="Times New Roman"/>
        </w:rPr>
        <w:t>despite</w:t>
      </w:r>
      <w:r w:rsidR="00DC5104">
        <w:rPr>
          <w:rFonts w:cs="Times New Roman"/>
        </w:rPr>
        <w:t xml:space="preserve"> there being a factual dispute as to what</w:t>
      </w:r>
      <w:r w:rsidR="00B2482E">
        <w:rPr>
          <w:rFonts w:cs="Times New Roman"/>
        </w:rPr>
        <w:t xml:space="preserve"> activities were conventional in the art.</w:t>
      </w:r>
      <w:r w:rsidR="00B2482E" w:rsidRPr="005A669A">
        <w:rPr>
          <w:rStyle w:val="FootnoteReference"/>
        </w:rPr>
        <w:footnoteReference w:id="238"/>
      </w:r>
    </w:p>
    <w:p w14:paraId="6FB130AF" w14:textId="2C39AD8E" w:rsidR="005B01C3" w:rsidRDefault="005B01C3" w:rsidP="00281345">
      <w:pPr>
        <w:ind w:firstLine="720"/>
        <w:rPr>
          <w:rFonts w:cs="Times New Roman"/>
        </w:rPr>
      </w:pPr>
      <w:r>
        <w:rPr>
          <w:rFonts w:cs="Times New Roman"/>
          <w:b/>
        </w:rPr>
        <w:t>Product Claims</w:t>
      </w:r>
      <w:r>
        <w:rPr>
          <w:rFonts w:cs="Times New Roman"/>
        </w:rPr>
        <w:t xml:space="preserve">: </w:t>
      </w:r>
      <w:r w:rsidR="00CC1D49">
        <w:rPr>
          <w:rFonts w:cs="Times New Roman"/>
        </w:rPr>
        <w:t xml:space="preserve">The ’376 and ’084 patent claims were </w:t>
      </w:r>
      <w:r w:rsidR="00E6673E">
        <w:rPr>
          <w:rFonts w:cs="Times New Roman"/>
        </w:rPr>
        <w:t xml:space="preserve">to compositions of the amino acid </w:t>
      </w:r>
      <w:r w:rsidR="00297CB2">
        <w:rPr>
          <w:rFonts w:cs="Times New Roman"/>
        </w:rPr>
        <w:t>as used in a</w:t>
      </w:r>
      <w:r w:rsidR="00E6673E">
        <w:rPr>
          <w:rFonts w:cs="Times New Roman"/>
        </w:rPr>
        <w:t xml:space="preserve"> dietary supplement</w:t>
      </w:r>
      <w:r w:rsidR="00297CB2">
        <w:rPr>
          <w:rFonts w:cs="Times New Roman"/>
        </w:rPr>
        <w:t xml:space="preserve"> </w:t>
      </w:r>
      <w:r w:rsidR="00E6673E">
        <w:rPr>
          <w:rFonts w:cs="Times New Roman"/>
        </w:rPr>
        <w:t>or sports drin</w:t>
      </w:r>
      <w:r w:rsidR="00297CB2">
        <w:rPr>
          <w:rFonts w:cs="Times New Roman"/>
        </w:rPr>
        <w:t>k</w:t>
      </w:r>
      <w:r w:rsidR="00E6673E">
        <w:rPr>
          <w:rFonts w:cs="Times New Roman"/>
        </w:rPr>
        <w:t>.</w:t>
      </w:r>
      <w:r w:rsidR="00297CB2" w:rsidRPr="005A669A">
        <w:rPr>
          <w:rStyle w:val="FootnoteReference"/>
        </w:rPr>
        <w:footnoteReference w:id="239"/>
      </w:r>
      <w:r w:rsidR="00E6673E">
        <w:rPr>
          <w:rFonts w:cs="Times New Roman"/>
        </w:rPr>
        <w:t xml:space="preserve"> </w:t>
      </w:r>
      <w:r w:rsidR="003324ED">
        <w:rPr>
          <w:rFonts w:cs="Times New Roman"/>
        </w:rPr>
        <w:t>The district court found these patents directed to the natural phenomena of their constituent parts, namely beta-alanine and glycine for the ’376 patent, and beta-alanine for the ’084 patent.</w:t>
      </w:r>
      <w:r w:rsidR="003324ED" w:rsidRPr="005A669A">
        <w:rPr>
          <w:rStyle w:val="FootnoteReference"/>
        </w:rPr>
        <w:footnoteReference w:id="240"/>
      </w:r>
    </w:p>
    <w:p w14:paraId="3BC3FE52" w14:textId="54E08A6E" w:rsidR="003324ED" w:rsidRDefault="003324ED" w:rsidP="00281345">
      <w:pPr>
        <w:ind w:firstLine="720"/>
        <w:rPr>
          <w:rFonts w:cs="Times New Roman"/>
        </w:rPr>
      </w:pPr>
      <w:r>
        <w:rPr>
          <w:rFonts w:cs="Times New Roman"/>
        </w:rPr>
        <w:t>The Federal Circuit disagreed.</w:t>
      </w:r>
      <w:r w:rsidRPr="005A669A">
        <w:rPr>
          <w:rStyle w:val="FootnoteReference"/>
        </w:rPr>
        <w:footnoteReference w:id="241"/>
      </w:r>
      <w:r>
        <w:rPr>
          <w:rFonts w:cs="Times New Roman"/>
        </w:rPr>
        <w:t xml:space="preserve"> </w:t>
      </w:r>
      <w:r w:rsidR="00BD1712">
        <w:rPr>
          <w:rFonts w:cs="Times New Roman"/>
        </w:rPr>
        <w:t>At step one, it reasoned that,</w:t>
      </w:r>
    </w:p>
    <w:p w14:paraId="72A7FF63" w14:textId="053D4262" w:rsidR="003324ED" w:rsidRPr="005B01C3" w:rsidRDefault="00BD1712" w:rsidP="00427F20">
      <w:pPr>
        <w:ind w:left="720"/>
        <w:rPr>
          <w:rFonts w:cs="Times New Roman"/>
        </w:rPr>
      </w:pPr>
      <w:r>
        <w:rPr>
          <w:rFonts w:cs="Times New Roman"/>
        </w:rPr>
        <w:t>[j]</w:t>
      </w:r>
      <w:r w:rsidR="003324ED" w:rsidRPr="003324ED">
        <w:rPr>
          <w:rFonts w:cs="Times New Roman"/>
        </w:rPr>
        <w:t>ust as the Method Claims are directed to specific methods of treatment that employ a natural law, the Product Claims are directed to specific treatment formulations that incorporate natural products, but they have different characteristics and can be used in a manner that beta-alanine as it appears in nature cannot.</w:t>
      </w:r>
      <w:r w:rsidRPr="005A669A">
        <w:rPr>
          <w:rStyle w:val="FootnoteReference"/>
        </w:rPr>
        <w:footnoteReference w:id="242"/>
      </w:r>
    </w:p>
    <w:p w14:paraId="198C75CA" w14:textId="53EF2CE1" w:rsidR="005B01C3" w:rsidRDefault="00BD1712" w:rsidP="00BD1712">
      <w:pPr>
        <w:rPr>
          <w:rFonts w:cs="Times New Roman"/>
        </w:rPr>
      </w:pPr>
      <w:r>
        <w:rPr>
          <w:rFonts w:cs="Times New Roman"/>
        </w:rPr>
        <w:t xml:space="preserve">For instance, the </w:t>
      </w:r>
      <w:r w:rsidR="006C38D4">
        <w:rPr>
          <w:rFonts w:cs="Times New Roman"/>
        </w:rPr>
        <w:t>“natural products have been isolated and then incorporated into a dosage form with particular characteristics,” including for example the limitation in the ’084 claims that the dosage be between 0.4 grams and 16 grams.</w:t>
      </w:r>
      <w:r w:rsidR="006C38D4" w:rsidRPr="005A669A">
        <w:rPr>
          <w:rStyle w:val="FootnoteReference"/>
        </w:rPr>
        <w:footnoteReference w:id="243"/>
      </w:r>
      <w:r w:rsidR="003E5F81">
        <w:rPr>
          <w:rFonts w:cs="Times New Roman"/>
        </w:rPr>
        <w:t xml:space="preserve"> Furthermore, the ’376 patent’s combination of two naturally occurring products appeared to have “synergistic effects” that rendered them patentable</w:t>
      </w:r>
      <w:r w:rsidR="006B0BF5">
        <w:rPr>
          <w:rFonts w:cs="Times New Roman"/>
        </w:rPr>
        <w:t xml:space="preserve"> together</w:t>
      </w:r>
      <w:r w:rsidR="003E5F81">
        <w:rPr>
          <w:rFonts w:cs="Times New Roman"/>
        </w:rPr>
        <w:t xml:space="preserve"> if not separately, </w:t>
      </w:r>
      <w:r w:rsidR="006B0BF5">
        <w:rPr>
          <w:rFonts w:cs="Times New Roman"/>
        </w:rPr>
        <w:t xml:space="preserve">with </w:t>
      </w:r>
      <w:r w:rsidR="003E5F81">
        <w:rPr>
          <w:rFonts w:cs="Times New Roman"/>
        </w:rPr>
        <w:t xml:space="preserve">that synergy distinguishing this </w:t>
      </w:r>
      <w:r w:rsidR="006B0BF5">
        <w:rPr>
          <w:rFonts w:cs="Times New Roman"/>
        </w:rPr>
        <w:t>invention</w:t>
      </w:r>
      <w:r w:rsidR="003E5F81">
        <w:rPr>
          <w:rFonts w:cs="Times New Roman"/>
        </w:rPr>
        <w:t xml:space="preserve"> from the unpatenable bacteria</w:t>
      </w:r>
      <w:r w:rsidR="006B0BF5">
        <w:rPr>
          <w:rFonts w:cs="Times New Roman"/>
        </w:rPr>
        <w:t xml:space="preserve"> mix</w:t>
      </w:r>
      <w:r w:rsidR="003E5F81">
        <w:rPr>
          <w:rFonts w:cs="Times New Roman"/>
        </w:rPr>
        <w:t xml:space="preserve"> in </w:t>
      </w:r>
      <w:r w:rsidR="003E5F81">
        <w:rPr>
          <w:rFonts w:cs="Times New Roman"/>
          <w:i/>
        </w:rPr>
        <w:t>Funk Brothers</w:t>
      </w:r>
      <w:r w:rsidR="006B0BF5">
        <w:rPr>
          <w:rFonts w:cs="Times New Roman"/>
        </w:rPr>
        <w:t xml:space="preserve"> (no synergy).</w:t>
      </w:r>
      <w:r w:rsidR="003E5F81" w:rsidRPr="005A669A">
        <w:rPr>
          <w:rStyle w:val="FootnoteReference"/>
        </w:rPr>
        <w:footnoteReference w:id="244"/>
      </w:r>
    </w:p>
    <w:p w14:paraId="54EC9DE0" w14:textId="5281187C" w:rsidR="003278FC" w:rsidRDefault="003278FC" w:rsidP="00BD1712">
      <w:pPr>
        <w:rPr>
          <w:rFonts w:cs="Times New Roman"/>
        </w:rPr>
      </w:pPr>
      <w:r>
        <w:rPr>
          <w:rFonts w:cs="Times New Roman"/>
        </w:rPr>
        <w:tab/>
        <w:t xml:space="preserve">For good measure, the court reasoned the claims would have been patentable at step two in any case, because the claims contained “dietary supplement limitation[s]” </w:t>
      </w:r>
      <w:r w:rsidR="00CA178C">
        <w:rPr>
          <w:rFonts w:cs="Times New Roman"/>
        </w:rPr>
        <w:t xml:space="preserve">which </w:t>
      </w:r>
      <w:r w:rsidR="0009394F">
        <w:rPr>
          <w:rFonts w:cs="Times New Roman"/>
        </w:rPr>
        <w:t xml:space="preserve">it said </w:t>
      </w:r>
      <w:r w:rsidR="00CA178C">
        <w:rPr>
          <w:rFonts w:cs="Times New Roman"/>
        </w:rPr>
        <w:t>were not conventional</w:t>
      </w:r>
      <w:r w:rsidR="0009394F">
        <w:rPr>
          <w:rFonts w:cs="Times New Roman"/>
        </w:rPr>
        <w:t xml:space="preserve"> (or not indisputably conventional)</w:t>
      </w:r>
      <w:r w:rsidR="00CA178C">
        <w:rPr>
          <w:rFonts w:cs="Times New Roman"/>
        </w:rPr>
        <w:t>.</w:t>
      </w:r>
      <w:r w:rsidR="00CA178C" w:rsidRPr="005A669A">
        <w:rPr>
          <w:rStyle w:val="FootnoteReference"/>
        </w:rPr>
        <w:footnoteReference w:id="245"/>
      </w:r>
      <w:r>
        <w:rPr>
          <w:rFonts w:cs="Times New Roman"/>
        </w:rPr>
        <w:t xml:space="preserve"> </w:t>
      </w:r>
    </w:p>
    <w:p w14:paraId="57E3B571" w14:textId="0AECE334" w:rsidR="00CA178C" w:rsidRDefault="00CA178C" w:rsidP="00BD1712">
      <w:pPr>
        <w:rPr>
          <w:rFonts w:cs="Times New Roman"/>
        </w:rPr>
      </w:pPr>
      <w:r>
        <w:rPr>
          <w:rFonts w:cs="Times New Roman"/>
        </w:rPr>
        <w:tab/>
      </w:r>
      <w:r>
        <w:rPr>
          <w:rFonts w:cs="Times New Roman"/>
          <w:b/>
        </w:rPr>
        <w:t>Manufacturing Claims</w:t>
      </w:r>
      <w:r>
        <w:rPr>
          <w:rFonts w:cs="Times New Roman"/>
        </w:rPr>
        <w:t xml:space="preserve">: The ’610 patent </w:t>
      </w:r>
      <w:r w:rsidR="00BA41DD">
        <w:rPr>
          <w:rFonts w:cs="Times New Roman"/>
        </w:rPr>
        <w:t>claimed “suppl</w:t>
      </w:r>
      <w:r w:rsidR="001538CA">
        <w:rPr>
          <w:rFonts w:cs="Times New Roman"/>
        </w:rPr>
        <w:t>[ing]</w:t>
      </w:r>
      <w:r w:rsidR="00BA41DD">
        <w:rPr>
          <w:rFonts w:cs="Times New Roman"/>
        </w:rPr>
        <w:t xml:space="preserve">” or “mixing” beta-alanine for use as </w:t>
      </w:r>
      <w:r w:rsidR="0004135E">
        <w:rPr>
          <w:rFonts w:cs="Times New Roman"/>
        </w:rPr>
        <w:t>a dietary supplement in humans to prevent muscle fatigue.</w:t>
      </w:r>
      <w:r w:rsidR="0004135E" w:rsidRPr="005A669A">
        <w:rPr>
          <w:rStyle w:val="FootnoteReference"/>
        </w:rPr>
        <w:footnoteReference w:id="246"/>
      </w:r>
      <w:r w:rsidR="00D94160">
        <w:rPr>
          <w:rFonts w:cs="Times New Roman"/>
        </w:rPr>
        <w:t xml:space="preserve"> </w:t>
      </w:r>
    </w:p>
    <w:p w14:paraId="46BBCE0C" w14:textId="2E45F5C6" w:rsidR="00B75A75" w:rsidRDefault="00D94160" w:rsidP="001538CA">
      <w:pPr>
        <w:rPr>
          <w:rFonts w:cs="Times New Roman"/>
        </w:rPr>
      </w:pPr>
      <w:r>
        <w:rPr>
          <w:rFonts w:cs="Times New Roman"/>
        </w:rPr>
        <w:tab/>
        <w:t>The Federal Circuit again disagreed with the district court, holding that these claims were “</w:t>
      </w:r>
      <w:r w:rsidRPr="00D94160">
        <w:rPr>
          <w:rFonts w:cs="Times New Roman"/>
        </w:rPr>
        <w:t>even further removed from the natural law and product of nature at issue in the Method Claims and Product Claims, respectively</w:t>
      </w:r>
      <w:r w:rsidR="00A05BD4">
        <w:rPr>
          <w:rFonts w:cs="Times New Roman"/>
        </w:rPr>
        <w:t>,” and</w:t>
      </w:r>
      <w:r w:rsidR="001538CA">
        <w:rPr>
          <w:rFonts w:cs="Times New Roman"/>
        </w:rPr>
        <w:t xml:space="preserve"> were</w:t>
      </w:r>
      <w:r w:rsidR="00A05BD4">
        <w:rPr>
          <w:rFonts w:cs="Times New Roman"/>
        </w:rPr>
        <w:t xml:space="preserve"> “directed to the manufacture of a human dietary supplement with certain characteristics.”</w:t>
      </w:r>
      <w:r w:rsidR="00A05BD4" w:rsidRPr="005A669A">
        <w:rPr>
          <w:rStyle w:val="FootnoteReference"/>
        </w:rPr>
        <w:footnoteReference w:id="247"/>
      </w:r>
      <w:r w:rsidR="00A05BD4">
        <w:rPr>
          <w:rFonts w:cs="Times New Roman"/>
        </w:rPr>
        <w:t xml:space="preserve"> </w:t>
      </w:r>
      <w:r w:rsidR="00FA6803">
        <w:rPr>
          <w:rFonts w:cs="Times New Roman"/>
        </w:rPr>
        <w:t>When taking the natural supplements, “homeostasis is overcome,” and so the treatment “alters that subject’s natural state.”</w:t>
      </w:r>
      <w:r w:rsidR="00FA6803" w:rsidRPr="005A669A">
        <w:rPr>
          <w:rStyle w:val="FootnoteReference"/>
        </w:rPr>
        <w:footnoteReference w:id="248"/>
      </w:r>
      <w:r w:rsidR="001538CA">
        <w:rPr>
          <w:rFonts w:cs="Times New Roman"/>
        </w:rPr>
        <w:t xml:space="preserve"> They were thus specific claims at step one.</w:t>
      </w:r>
    </w:p>
    <w:p w14:paraId="484F4F15" w14:textId="2DC7A808" w:rsidR="00281345" w:rsidRPr="00EA4696" w:rsidRDefault="007515D2" w:rsidP="00EA4696">
      <w:pPr>
        <w:ind w:firstLine="720"/>
      </w:pPr>
      <w:r>
        <w:rPr>
          <w:rFonts w:cs="Times New Roman"/>
          <w:b/>
        </w:rPr>
        <w:t>Dissent-in-Part on all Claims</w:t>
      </w:r>
      <w:r>
        <w:rPr>
          <w:rFonts w:cs="Times New Roman"/>
        </w:rPr>
        <w:t xml:space="preserve">: Judge Reyna wrote separately to protest that the eligibility decision </w:t>
      </w:r>
      <w:r w:rsidR="00A94762">
        <w:rPr>
          <w:rFonts w:cs="Times New Roman"/>
        </w:rPr>
        <w:t xml:space="preserve">for all claims </w:t>
      </w:r>
      <w:r>
        <w:rPr>
          <w:rFonts w:cs="Times New Roman"/>
        </w:rPr>
        <w:t>“</w:t>
      </w:r>
      <w:r w:rsidRPr="007515D2">
        <w:rPr>
          <w:rFonts w:cs="Times New Roman"/>
        </w:rPr>
        <w:t>relies on a claim construction that improperly imports limitations into the claims and is contradicted by the written description.</w:t>
      </w:r>
      <w:r>
        <w:rPr>
          <w:rFonts w:cs="Times New Roman"/>
        </w:rPr>
        <w:t>”</w:t>
      </w:r>
      <w:r w:rsidRPr="005A669A">
        <w:rPr>
          <w:rStyle w:val="FootnoteReference"/>
        </w:rPr>
        <w:footnoteReference w:id="249"/>
      </w:r>
      <w:r>
        <w:rPr>
          <w:rFonts w:cs="Times New Roman"/>
        </w:rPr>
        <w:t xml:space="preserve"> </w:t>
      </w:r>
      <w:r w:rsidR="00EA4696">
        <w:rPr>
          <w:rFonts w:cs="Times New Roman"/>
        </w:rPr>
        <w:t xml:space="preserve">Judge Reyna </w:t>
      </w:r>
      <w:r w:rsidR="00A94762">
        <w:rPr>
          <w:rFonts w:cs="Times New Roman"/>
        </w:rPr>
        <w:t>wrote that</w:t>
      </w:r>
      <w:r w:rsidR="00EA4696">
        <w:rPr>
          <w:rFonts w:cs="Times New Roman"/>
        </w:rPr>
        <w:t xml:space="preserve"> “</w:t>
      </w:r>
      <w:r w:rsidR="00A94762">
        <w:rPr>
          <w:rFonts w:cs="Times New Roman"/>
        </w:rPr>
        <w:t>[t]</w:t>
      </w:r>
      <w:r w:rsidR="00EA4696" w:rsidRPr="00EA4696">
        <w:rPr>
          <w:rFonts w:cs="Times New Roman"/>
        </w:rPr>
        <w:t xml:space="preserve">his case, and the general development of the law concerning § 101 analysis </w:t>
      </w:r>
      <w:r w:rsidR="00EA4696" w:rsidRPr="00EA4696">
        <w:rPr>
          <w:rFonts w:cs="Times New Roman"/>
        </w:rPr>
        <w:lastRenderedPageBreak/>
        <w:t>at the pleading stage, causes me to ask whether the time has come for this court to reconsider whether a Rule 12(c) motion based on § 101 should be decided before claim construction.</w:t>
      </w:r>
      <w:r w:rsidR="00EA4696">
        <w:rPr>
          <w:rFonts w:cs="Times New Roman"/>
        </w:rPr>
        <w:t>”</w:t>
      </w:r>
      <w:r w:rsidR="00EA4696" w:rsidRPr="005A669A">
        <w:rPr>
          <w:rStyle w:val="FootnoteReference"/>
        </w:rPr>
        <w:footnoteReference w:id="250"/>
      </w:r>
      <w:r>
        <w:rPr>
          <w:rFonts w:cs="Times New Roman"/>
        </w:rPr>
        <w:t xml:space="preserve"> </w:t>
      </w:r>
    </w:p>
    <w:p w14:paraId="361F2C1E" w14:textId="1A018B72" w:rsidR="007771ED" w:rsidRPr="00D341BD" w:rsidRDefault="007771ED" w:rsidP="00136E52">
      <w:pPr>
        <w:pStyle w:val="Heading4"/>
        <w:rPr>
          <w:lang w:val="es-ES"/>
        </w:rPr>
      </w:pPr>
      <w:bookmarkStart w:id="31" w:name="_Toc26792756"/>
      <w:r>
        <w:rPr>
          <w:i/>
        </w:rPr>
        <w:t xml:space="preserve">Endo Pharms. </w:t>
      </w:r>
      <w:r w:rsidRPr="00F63957">
        <w:rPr>
          <w:i/>
        </w:rPr>
        <w:t xml:space="preserve">Inc. v. Teva Pharms. </w:t>
      </w:r>
      <w:r w:rsidRPr="007771ED">
        <w:rPr>
          <w:i/>
          <w:lang w:val="es-ES"/>
        </w:rPr>
        <w:t>USA, Inc.</w:t>
      </w:r>
      <w:r w:rsidRPr="007771ED">
        <w:rPr>
          <w:lang w:val="es-ES"/>
        </w:rPr>
        <w:t>, 919 F.3d 1347 (Fed. Cir. Mar.</w:t>
      </w:r>
      <w:r>
        <w:rPr>
          <w:lang w:val="es-ES"/>
        </w:rPr>
        <w:t> 28</w:t>
      </w:r>
      <w:r w:rsidRPr="007771ED">
        <w:rPr>
          <w:lang w:val="es-ES"/>
        </w:rPr>
        <w:t xml:space="preserve">, </w:t>
      </w:r>
      <w:r>
        <w:rPr>
          <w:lang w:val="es-ES"/>
        </w:rPr>
        <w:t>2019</w:t>
      </w:r>
      <w:r w:rsidRPr="007771ED">
        <w:rPr>
          <w:lang w:val="es-ES"/>
        </w:rPr>
        <w:t>)</w:t>
      </w:r>
      <w:bookmarkEnd w:id="31"/>
    </w:p>
    <w:p w14:paraId="260297E0" w14:textId="1D17CA7D" w:rsidR="007771ED" w:rsidRPr="00EA1DE9" w:rsidRDefault="007771ED" w:rsidP="007771ED">
      <w:pPr>
        <w:ind w:firstLine="720"/>
      </w:pPr>
      <w:r w:rsidRPr="00677ABE">
        <w:rPr>
          <w:rFonts w:cs="Times New Roman"/>
          <w:lang w:eastAsia="x-none"/>
        </w:rPr>
        <w:t xml:space="preserve">In this </w:t>
      </w:r>
      <w:r w:rsidRPr="00677ABE">
        <w:rPr>
          <w:rFonts w:cs="Times New Roman"/>
        </w:rPr>
        <w:t xml:space="preserve">appeal from the District of Delaware, </w:t>
      </w:r>
      <w:r w:rsidR="00BA40CA">
        <w:rPr>
          <w:rFonts w:cs="Times New Roman"/>
        </w:rPr>
        <w:t>the</w:t>
      </w:r>
      <w:r w:rsidR="00EA1DE9">
        <w:rPr>
          <w:rFonts w:cs="Times New Roman"/>
        </w:rPr>
        <w:t xml:space="preserve"> Federal Circuit</w:t>
      </w:r>
      <w:r w:rsidRPr="00677ABE">
        <w:rPr>
          <w:rFonts w:cs="Times New Roman"/>
        </w:rPr>
        <w:t xml:space="preserve"> </w:t>
      </w:r>
      <w:r w:rsidR="00EA1DE9">
        <w:rPr>
          <w:rFonts w:cs="Times New Roman"/>
        </w:rPr>
        <w:t>(Stoll, J., with Clevenger and Wallach, JJ.)</w:t>
      </w:r>
      <w:r w:rsidRPr="00677ABE">
        <w:rPr>
          <w:rFonts w:cs="Times New Roman"/>
        </w:rPr>
        <w:t xml:space="preserve"> </w:t>
      </w:r>
      <w:r w:rsidR="00EA1DE9">
        <w:rPr>
          <w:rFonts w:cs="Times New Roman"/>
        </w:rPr>
        <w:t>reversed</w:t>
      </w:r>
      <w:r w:rsidRPr="00677ABE">
        <w:rPr>
          <w:rFonts w:cs="Times New Roman"/>
        </w:rPr>
        <w:t xml:space="preserve"> the district </w:t>
      </w:r>
      <w:r w:rsidR="00BA40CA">
        <w:rPr>
          <w:rFonts w:cs="Times New Roman"/>
        </w:rPr>
        <w:t xml:space="preserve">court </w:t>
      </w:r>
      <w:r w:rsidR="00EA1DE9">
        <w:rPr>
          <w:rFonts w:cs="Times New Roman"/>
        </w:rPr>
        <w:t>and</w:t>
      </w:r>
      <w:r w:rsidR="002E047F">
        <w:rPr>
          <w:rFonts w:cs="Times New Roman"/>
        </w:rPr>
        <w:t xml:space="preserve">, following </w:t>
      </w:r>
      <w:r w:rsidR="002E047F">
        <w:rPr>
          <w:rFonts w:cs="Times New Roman"/>
          <w:i/>
        </w:rPr>
        <w:t>Vanda</w:t>
      </w:r>
      <w:r w:rsidR="002E047F">
        <w:rPr>
          <w:rFonts w:cs="Times New Roman"/>
        </w:rPr>
        <w:t>,</w:t>
      </w:r>
      <w:r w:rsidR="00EA1DE9">
        <w:rPr>
          <w:rFonts w:cs="Times New Roman"/>
        </w:rPr>
        <w:t xml:space="preserve"> held </w:t>
      </w:r>
      <w:r w:rsidRPr="00677ABE">
        <w:rPr>
          <w:rFonts w:cs="Times New Roman"/>
        </w:rPr>
        <w:t xml:space="preserve">the asserted claims were </w:t>
      </w:r>
      <w:r w:rsidR="00EA1DE9">
        <w:rPr>
          <w:rFonts w:cs="Times New Roman"/>
        </w:rPr>
        <w:t>not directed toward a natural law and so were patent-eligible</w:t>
      </w:r>
      <w:r w:rsidRPr="00677ABE">
        <w:rPr>
          <w:rFonts w:cs="Times New Roman"/>
          <w:lang w:eastAsia="x-none"/>
        </w:rPr>
        <w:t>.</w:t>
      </w:r>
      <w:r w:rsidRPr="005A669A">
        <w:rPr>
          <w:rStyle w:val="FootnoteReference"/>
        </w:rPr>
        <w:footnoteReference w:id="251"/>
      </w:r>
      <w:r w:rsidRPr="00677ABE">
        <w:rPr>
          <w:rFonts w:cs="Times New Roman"/>
          <w:lang w:eastAsia="x-none"/>
        </w:rPr>
        <w:t xml:space="preserve"> </w:t>
      </w:r>
    </w:p>
    <w:p w14:paraId="329C4527" w14:textId="1C0E1895" w:rsidR="00855BD6" w:rsidRDefault="00A56CCB" w:rsidP="00B56EDF">
      <w:r>
        <w:tab/>
        <w:t xml:space="preserve">The ’737 patent </w:t>
      </w:r>
      <w:r w:rsidR="002E047F">
        <w:t xml:space="preserve">teaches </w:t>
      </w:r>
      <w:r w:rsidR="002B0AFB">
        <w:t xml:space="preserve">administering </w:t>
      </w:r>
      <w:r w:rsidR="004B01C5">
        <w:t>the</w:t>
      </w:r>
      <w:r w:rsidR="009B2D69">
        <w:t xml:space="preserve"> pain killer</w:t>
      </w:r>
      <w:r w:rsidR="004B01C5">
        <w:t xml:space="preserve"> oxymorphone</w:t>
      </w:r>
      <w:r w:rsidR="009B2D69">
        <w:t xml:space="preserve"> </w:t>
      </w:r>
      <w:r w:rsidR="002B0AFB">
        <w:t>at</w:t>
      </w:r>
      <w:r w:rsidR="00637A49">
        <w:t xml:space="preserve"> lower-than-usual dosages </w:t>
      </w:r>
      <w:r w:rsidR="002B0AFB">
        <w:t>for patients with impaired kidney function</w:t>
      </w:r>
      <w:r w:rsidR="009B2D69">
        <w:t>.</w:t>
      </w:r>
      <w:r w:rsidR="004B01C5" w:rsidRPr="005A669A">
        <w:rPr>
          <w:rStyle w:val="FootnoteReference"/>
        </w:rPr>
        <w:footnoteReference w:id="252"/>
      </w:r>
      <w:r w:rsidR="009E61E6">
        <w:t xml:space="preserve"> </w:t>
      </w:r>
      <w:r w:rsidR="00855BD6">
        <w:t>The district court</w:t>
      </w:r>
      <w:r w:rsidR="009E61E6">
        <w:t xml:space="preserve"> found</w:t>
      </w:r>
      <w:r w:rsidR="00855BD6">
        <w:t xml:space="preserve"> at step one</w:t>
      </w:r>
      <w:r w:rsidR="009E61E6">
        <w:t xml:space="preserve"> </w:t>
      </w:r>
      <w:r w:rsidR="00B56EDF">
        <w:t>that the “claims are directed to the natural law that the bioavailability of oxymorphone is increased in people with severe renal impairment.”</w:t>
      </w:r>
      <w:r w:rsidR="00B56EDF" w:rsidRPr="005A669A">
        <w:rPr>
          <w:rStyle w:val="FootnoteReference"/>
        </w:rPr>
        <w:footnoteReference w:id="253"/>
      </w:r>
      <w:r w:rsidR="00855BD6">
        <w:t>And</w:t>
      </w:r>
      <w:r w:rsidR="0082565B">
        <w:t xml:space="preserve"> </w:t>
      </w:r>
      <w:r w:rsidR="00855BD6">
        <w:t>at step two</w:t>
      </w:r>
      <w:r w:rsidR="00BB7026">
        <w:t>, the district court found</w:t>
      </w:r>
      <w:r w:rsidR="00855BD6">
        <w:t xml:space="preserve"> </w:t>
      </w:r>
      <w:r w:rsidR="0082565B">
        <w:t>that the claims’ steps</w:t>
      </w:r>
      <w:r w:rsidR="00BA40CA">
        <w:t>—</w:t>
      </w:r>
      <w:r w:rsidR="0082565B">
        <w:t>p</w:t>
      </w:r>
      <w:r w:rsidR="00374501">
        <w:t>roviding</w:t>
      </w:r>
      <w:r w:rsidR="0082565B">
        <w:t xml:space="preserve"> a relevant drug</w:t>
      </w:r>
      <w:r w:rsidR="00374501">
        <w:t>, determining</w:t>
      </w:r>
      <w:r w:rsidR="0082565B">
        <w:t xml:space="preserve"> </w:t>
      </w:r>
      <w:r w:rsidR="001071F8">
        <w:t>the patient’s renal condition</w:t>
      </w:r>
      <w:r w:rsidR="00374501">
        <w:t xml:space="preserve">, </w:t>
      </w:r>
      <w:r w:rsidR="0082565B">
        <w:t xml:space="preserve">and </w:t>
      </w:r>
      <w:r w:rsidR="00374501">
        <w:t xml:space="preserve">administering </w:t>
      </w:r>
      <w:r w:rsidR="00855BD6">
        <w:t>the drug</w:t>
      </w:r>
      <w:r w:rsidR="00374501">
        <w:t xml:space="preserve"> </w:t>
      </w:r>
      <w:r w:rsidR="001071F8">
        <w:t>accordingly</w:t>
      </w:r>
      <w:r w:rsidR="00BA40CA">
        <w:t>—</w:t>
      </w:r>
      <w:r w:rsidR="00374501">
        <w:t xml:space="preserve">were </w:t>
      </w:r>
      <w:r w:rsidR="00BA40CA">
        <w:t>like</w:t>
      </w:r>
      <w:r w:rsidR="00374501">
        <w:t xml:space="preserve"> those in </w:t>
      </w:r>
      <w:r w:rsidR="00374501">
        <w:rPr>
          <w:i/>
        </w:rPr>
        <w:t>Mayo</w:t>
      </w:r>
      <w:r w:rsidR="00374501">
        <w:t xml:space="preserve"> and </w:t>
      </w:r>
      <w:r w:rsidR="0082565B">
        <w:t>not</w:t>
      </w:r>
      <w:r w:rsidR="00374501">
        <w:t xml:space="preserve"> inventive.</w:t>
      </w:r>
      <w:r w:rsidR="0082565B" w:rsidRPr="005A669A">
        <w:rPr>
          <w:rStyle w:val="FootnoteReference"/>
        </w:rPr>
        <w:footnoteReference w:id="254"/>
      </w:r>
    </w:p>
    <w:p w14:paraId="75C44C2E" w14:textId="796E7958" w:rsidR="0037306C" w:rsidRDefault="007B2455" w:rsidP="007156BA">
      <w:r>
        <w:tab/>
      </w:r>
      <w:r w:rsidR="00794D52">
        <w:t>The Federal Circuit reversed</w:t>
      </w:r>
      <w:r w:rsidR="00B25140">
        <w:t xml:space="preserve">. </w:t>
      </w:r>
      <w:r w:rsidR="007156BA">
        <w:t>Deciding the case at step</w:t>
      </w:r>
      <w:r w:rsidR="002B2DE3">
        <w:t xml:space="preserve"> one</w:t>
      </w:r>
      <w:r w:rsidR="00B25140">
        <w:t xml:space="preserve">, </w:t>
      </w:r>
      <w:r w:rsidR="007156BA">
        <w:t xml:space="preserve">it found </w:t>
      </w:r>
      <w:r w:rsidR="00794D52">
        <w:t>“</w:t>
      </w:r>
      <w:r w:rsidR="002B2DE3">
        <w:t>th</w:t>
      </w:r>
      <w:r w:rsidR="00794D52" w:rsidRPr="00794D52">
        <w:t xml:space="preserve">e claims </w:t>
      </w:r>
      <w:r w:rsidR="00E6382E">
        <w:t>were</w:t>
      </w:r>
      <w:r w:rsidR="00794D52" w:rsidRPr="00794D52">
        <w:t xml:space="preserve"> directed to a patent-eligible method of using oxymorphone or a pharmaceutically acceptable salt thereof to treat pain in a renally impaired patient</w:t>
      </w:r>
      <w:r w:rsidR="007156BA">
        <w:t>.</w:t>
      </w:r>
      <w:r w:rsidR="002B2DE3">
        <w:t>”</w:t>
      </w:r>
      <w:r w:rsidR="002B2DE3" w:rsidRPr="005A669A">
        <w:rPr>
          <w:rStyle w:val="FootnoteReference"/>
        </w:rPr>
        <w:footnoteReference w:id="255"/>
      </w:r>
      <w:r w:rsidR="00E743DC">
        <w:t xml:space="preserve"> </w:t>
      </w:r>
      <w:r w:rsidR="00B06127">
        <w:t xml:space="preserve">The court followed its holding in </w:t>
      </w:r>
      <w:r w:rsidR="00B06127">
        <w:rPr>
          <w:i/>
        </w:rPr>
        <w:t>Vand</w:t>
      </w:r>
      <w:r w:rsidR="00F004A3">
        <w:rPr>
          <w:i/>
        </w:rPr>
        <w:t>a</w:t>
      </w:r>
      <w:r w:rsidR="00B06127">
        <w:t>.</w:t>
      </w:r>
      <w:r w:rsidR="00B06127" w:rsidRPr="005A669A">
        <w:rPr>
          <w:rStyle w:val="FootnoteReference"/>
        </w:rPr>
        <w:footnoteReference w:id="256"/>
      </w:r>
      <w:r w:rsidR="00F004A3">
        <w:t xml:space="preserve"> There, three analogous steps—providing a drug, testing whether a patient is a poor CYP2D6 metabolizer, and administering the drug—were found patent-eligible.</w:t>
      </w:r>
      <w:r w:rsidR="00F004A3" w:rsidRPr="005A669A">
        <w:rPr>
          <w:rStyle w:val="FootnoteReference"/>
        </w:rPr>
        <w:footnoteReference w:id="257"/>
      </w:r>
      <w:r w:rsidR="00794342">
        <w:t xml:space="preserve"> Here, the claims</w:t>
      </w:r>
      <w:r w:rsidR="008716DF">
        <w:t xml:space="preserve"> were “legally indistinguishable”</w:t>
      </w:r>
      <w:r w:rsidR="00794342" w:rsidRPr="005A669A">
        <w:rPr>
          <w:rStyle w:val="FootnoteReference"/>
        </w:rPr>
        <w:footnoteReference w:id="258"/>
      </w:r>
      <w:r w:rsidR="008716DF">
        <w:t>: they were “directed to a specific method of treatment for specific patients using a specific compound at specific doses to achieve a specific outcome.”</w:t>
      </w:r>
      <w:r w:rsidR="008716DF" w:rsidRPr="005A669A">
        <w:rPr>
          <w:rStyle w:val="FootnoteReference"/>
        </w:rPr>
        <w:footnoteReference w:id="259"/>
      </w:r>
      <w:r w:rsidR="008716DF">
        <w:t xml:space="preserve"> </w:t>
      </w:r>
      <w:r w:rsidR="00DB4A16">
        <w:t xml:space="preserve">Also, unlike in </w:t>
      </w:r>
      <w:r w:rsidR="00DB4A16">
        <w:rPr>
          <w:i/>
        </w:rPr>
        <w:t>Ariosa</w:t>
      </w:r>
      <w:r w:rsidR="00DB4A16">
        <w:t>, where claims were directed to “observation or detection” of cell-free fetal DNA,</w:t>
      </w:r>
      <w:r w:rsidR="00DB4A16" w:rsidRPr="005A669A">
        <w:rPr>
          <w:rStyle w:val="FootnoteReference"/>
        </w:rPr>
        <w:footnoteReference w:id="260"/>
      </w:r>
      <w:r w:rsidR="00DB4A16">
        <w:t xml:space="preserve"> the claims here were directed to “to a new and useful method of treating pain in patients with impaired renal function.”</w:t>
      </w:r>
      <w:r w:rsidR="00DB4A16" w:rsidRPr="005A669A">
        <w:rPr>
          <w:rStyle w:val="FootnoteReference"/>
        </w:rPr>
        <w:footnoteReference w:id="261"/>
      </w:r>
    </w:p>
    <w:p w14:paraId="097374AF" w14:textId="0F541403" w:rsidR="000A4FC6" w:rsidRDefault="007B4702" w:rsidP="003B4CD0">
      <w:pPr>
        <w:ind w:firstLine="720"/>
      </w:pPr>
      <w:r>
        <w:t xml:space="preserve">To </w:t>
      </w:r>
      <w:r w:rsidR="003B4CD0">
        <w:t>clarify the difference between</w:t>
      </w:r>
      <w:r>
        <w:t xml:space="preserve"> </w:t>
      </w:r>
      <w:r w:rsidR="0037306C">
        <w:rPr>
          <w:i/>
        </w:rPr>
        <w:t>Mayo</w:t>
      </w:r>
      <w:r w:rsidR="003B4CD0">
        <w:t>-</w:t>
      </w:r>
      <w:r>
        <w:rPr>
          <w:i/>
        </w:rPr>
        <w:t xml:space="preserve"> </w:t>
      </w:r>
      <w:r>
        <w:t xml:space="preserve">and </w:t>
      </w:r>
      <w:r w:rsidR="0037306C">
        <w:rPr>
          <w:i/>
        </w:rPr>
        <w:t>Vanda</w:t>
      </w:r>
      <w:r w:rsidR="003B4CD0">
        <w:t>-</w:t>
      </w:r>
      <w:r w:rsidR="00165F31">
        <w:t>style claims,</w:t>
      </w:r>
      <w:r>
        <w:t xml:space="preserve"> the </w:t>
      </w:r>
      <w:r w:rsidR="00165F31">
        <w:t>court</w:t>
      </w:r>
      <w:r w:rsidR="008716DF">
        <w:t xml:space="preserve"> offered</w:t>
      </w:r>
      <w:r w:rsidR="0037306C">
        <w:t xml:space="preserve"> two points. First,</w:t>
      </w:r>
      <w:r w:rsidR="001F5885">
        <w:t xml:space="preserve"> </w:t>
      </w:r>
      <w:r w:rsidR="009D6F47">
        <w:t xml:space="preserve">the claims in </w:t>
      </w:r>
      <w:r w:rsidR="005F6958">
        <w:rPr>
          <w:i/>
        </w:rPr>
        <w:t>Mayo</w:t>
      </w:r>
      <w:r w:rsidR="009D6F47">
        <w:rPr>
          <w:i/>
        </w:rPr>
        <w:t xml:space="preserve"> </w:t>
      </w:r>
      <w:r w:rsidR="009D6F47">
        <w:t xml:space="preserve">claimed all dosing changes </w:t>
      </w:r>
      <w:r w:rsidR="008716DF">
        <w:t>informed by</w:t>
      </w:r>
      <w:r w:rsidR="009D6F47">
        <w:t xml:space="preserve"> a</w:t>
      </w:r>
      <w:r w:rsidR="008716DF">
        <w:t xml:space="preserve"> given</w:t>
      </w:r>
      <w:r w:rsidR="009D6F47">
        <w:t xml:space="preserve"> correlation</w:t>
      </w:r>
      <w:r w:rsidR="00165F31">
        <w:t>; by contrast,</w:t>
      </w:r>
      <w:r w:rsidR="009D6F47">
        <w:t xml:space="preserve"> </w:t>
      </w:r>
      <w:r w:rsidR="00E6382E">
        <w:t>the claims</w:t>
      </w:r>
      <w:r w:rsidR="009D6F47">
        <w:t xml:space="preserve"> in </w:t>
      </w:r>
      <w:r w:rsidR="009D6F47">
        <w:rPr>
          <w:i/>
        </w:rPr>
        <w:t xml:space="preserve">Vanda </w:t>
      </w:r>
      <w:r w:rsidR="00165F31">
        <w:t xml:space="preserve">(and </w:t>
      </w:r>
      <w:r w:rsidR="003B26C9">
        <w:t>here</w:t>
      </w:r>
      <w:r w:rsidR="00165F31">
        <w:t xml:space="preserve">) </w:t>
      </w:r>
      <w:r w:rsidR="009D6F47">
        <w:t xml:space="preserve">claimed only </w:t>
      </w:r>
      <w:r w:rsidR="0056281A">
        <w:t xml:space="preserve">those dosing </w:t>
      </w:r>
      <w:r w:rsidR="0056281A">
        <w:lastRenderedPageBreak/>
        <w:t>changes</w:t>
      </w:r>
      <w:r w:rsidR="009465E5">
        <w:t xml:space="preserve"> needed</w:t>
      </w:r>
      <w:r w:rsidR="0056281A">
        <w:t xml:space="preserve"> to achieve a particular outcome.</w:t>
      </w:r>
      <w:r w:rsidR="003B0105" w:rsidRPr="005A669A">
        <w:rPr>
          <w:rStyle w:val="FootnoteReference"/>
        </w:rPr>
        <w:footnoteReference w:id="262"/>
      </w:r>
      <w:r w:rsidR="00B47EF1">
        <w:t xml:space="preserve"> </w:t>
      </w:r>
      <w:r w:rsidR="00165F31">
        <w:t xml:space="preserve">(Here, for instance, the dosing </w:t>
      </w:r>
      <w:r w:rsidR="00310623">
        <w:t xml:space="preserve">was limited </w:t>
      </w:r>
      <w:r w:rsidR="002E7370">
        <w:t>to those amounts resulting in no more than a certain amount of detectable drug in the blood over a 12hr period.</w:t>
      </w:r>
      <w:r w:rsidR="002E7370" w:rsidRPr="005A669A">
        <w:rPr>
          <w:rStyle w:val="FootnoteReference"/>
        </w:rPr>
        <w:footnoteReference w:id="263"/>
      </w:r>
      <w:r w:rsidR="002E7370">
        <w:t>)</w:t>
      </w:r>
      <w:r w:rsidR="00CD44E1">
        <w:t xml:space="preserve">  That distinction seems dubious at best.</w:t>
      </w:r>
      <w:r w:rsidR="00310623">
        <w:t xml:space="preserve"> </w:t>
      </w:r>
      <w:r w:rsidR="00B47EF1">
        <w:t>Second</w:t>
      </w:r>
      <w:r w:rsidR="00872EE8">
        <w:t xml:space="preserve"> (</w:t>
      </w:r>
      <w:r w:rsidR="00D949C0">
        <w:t>and</w:t>
      </w:r>
      <w:r w:rsidR="00872EE8">
        <w:t xml:space="preserve"> quite</w:t>
      </w:r>
      <w:r w:rsidR="00D949C0">
        <w:t xml:space="preserve"> </w:t>
      </w:r>
      <w:r w:rsidR="00B47EF1">
        <w:t>similarly</w:t>
      </w:r>
      <w:r w:rsidR="00872EE8">
        <w:t>)</w:t>
      </w:r>
      <w:r w:rsidR="00B47EF1">
        <w:t xml:space="preserve">, whereas </w:t>
      </w:r>
      <w:r w:rsidR="00B47EF1">
        <w:rPr>
          <w:i/>
        </w:rPr>
        <w:t xml:space="preserve">Mayo </w:t>
      </w:r>
      <w:r w:rsidR="00B47EF1">
        <w:t xml:space="preserve">preempted all treatment decisions by doctors that </w:t>
      </w:r>
      <w:r w:rsidR="00A5132A">
        <w:t>took</w:t>
      </w:r>
      <w:r w:rsidR="00B47EF1">
        <w:t xml:space="preserve"> the natural relationship</w:t>
      </w:r>
      <w:r w:rsidR="00A5132A">
        <w:t xml:space="preserve"> into account</w:t>
      </w:r>
      <w:r w:rsidR="00B47EF1">
        <w:t xml:space="preserve">, </w:t>
      </w:r>
      <w:r w:rsidR="00B47EF1">
        <w:rPr>
          <w:i/>
        </w:rPr>
        <w:t xml:space="preserve">Vanda </w:t>
      </w:r>
      <w:r w:rsidR="00B47EF1">
        <w:t xml:space="preserve">and this case’s “specific treatment steps” </w:t>
      </w:r>
      <w:r w:rsidR="00D949C0">
        <w:t xml:space="preserve">only </w:t>
      </w:r>
      <w:r w:rsidR="00E64D23">
        <w:t xml:space="preserve">preempted </w:t>
      </w:r>
      <w:r w:rsidR="00A022A5">
        <w:t xml:space="preserve">a </w:t>
      </w:r>
      <w:r w:rsidR="005E20CA">
        <w:t>“</w:t>
      </w:r>
      <w:r w:rsidR="00A022A5">
        <w:t>narrow</w:t>
      </w:r>
      <w:r w:rsidR="005E20CA">
        <w:t>”</w:t>
      </w:r>
      <w:r w:rsidR="00A022A5">
        <w:t xml:space="preserve"> range of</w:t>
      </w:r>
      <w:r w:rsidR="003B26C9">
        <w:t xml:space="preserve"> </w:t>
      </w:r>
      <w:r w:rsidR="003F4E00">
        <w:t>treatment plan</w:t>
      </w:r>
      <w:r w:rsidR="003B26C9">
        <w:t>s</w:t>
      </w:r>
      <w:r w:rsidR="00D949C0">
        <w:t>.</w:t>
      </w:r>
      <w:r w:rsidR="00D949C0" w:rsidRPr="005A669A">
        <w:rPr>
          <w:rStyle w:val="FootnoteReference"/>
        </w:rPr>
        <w:footnoteReference w:id="264"/>
      </w:r>
      <w:r w:rsidR="00D949C0">
        <w:t xml:space="preserve"> </w:t>
      </w:r>
      <w:r w:rsidR="003B0105">
        <w:rPr>
          <w:i/>
        </w:rPr>
        <w:t>Mayo</w:t>
      </w:r>
      <w:r w:rsidR="00EA78FE">
        <w:t xml:space="preserve"> had</w:t>
      </w:r>
      <w:r w:rsidR="003B0105">
        <w:rPr>
          <w:i/>
        </w:rPr>
        <w:t xml:space="preserve"> </w:t>
      </w:r>
      <w:r w:rsidR="003B0105">
        <w:t>left open that “method of treatment” claims could be patent-eligible</w:t>
      </w:r>
      <w:r w:rsidR="004F4950">
        <w:t xml:space="preserve">, and </w:t>
      </w:r>
      <w:r w:rsidR="004F4950">
        <w:rPr>
          <w:i/>
        </w:rPr>
        <w:t>Vanda</w:t>
      </w:r>
      <w:r w:rsidR="00EA78FE">
        <w:t xml:space="preserve"> and this case</w:t>
      </w:r>
      <w:r w:rsidR="005E20CA">
        <w:t xml:space="preserve"> theoretically</w:t>
      </w:r>
      <w:r w:rsidR="00E82F4A">
        <w:t xml:space="preserve"> </w:t>
      </w:r>
      <w:r w:rsidR="004F4950">
        <w:t>showed what such claims c</w:t>
      </w:r>
      <w:r w:rsidR="00C50AD1">
        <w:t>an look like</w:t>
      </w:r>
      <w:r w:rsidR="004F4950">
        <w:t>.</w:t>
      </w:r>
      <w:r w:rsidR="004F4950" w:rsidRPr="005A669A">
        <w:rPr>
          <w:rStyle w:val="FootnoteReference"/>
        </w:rPr>
        <w:footnoteReference w:id="265"/>
      </w:r>
      <w:r w:rsidR="004F4950">
        <w:t xml:space="preserve"> </w:t>
      </w:r>
    </w:p>
    <w:p w14:paraId="67210016" w14:textId="334AFB67" w:rsidR="00DB4A16" w:rsidRPr="009E6E39" w:rsidRDefault="000A4FC6" w:rsidP="00B707C4">
      <w:r>
        <w:tab/>
      </w:r>
      <w:r w:rsidR="00AD0802">
        <w:t xml:space="preserve">As the court noted, </w:t>
      </w:r>
      <w:r w:rsidR="002A244D">
        <w:t>here</w:t>
      </w:r>
      <w:r w:rsidR="00AD0802">
        <w:t xml:space="preserve"> (</w:t>
      </w:r>
      <w:r w:rsidR="002A244D">
        <w:t xml:space="preserve">unlike </w:t>
      </w:r>
      <w:r w:rsidR="00AD0802">
        <w:t xml:space="preserve">in </w:t>
      </w:r>
      <w:r w:rsidR="00AD0802">
        <w:rPr>
          <w:i/>
        </w:rPr>
        <w:t>Vanda</w:t>
      </w:r>
      <w:r w:rsidR="00AD0802">
        <w:t>)</w:t>
      </w:r>
      <w:r w:rsidR="002A244D">
        <w:t>,</w:t>
      </w:r>
      <w:r w:rsidR="009E6E39">
        <w:t xml:space="preserve"> no claims limited doctors</w:t>
      </w:r>
      <w:r w:rsidR="003507B6">
        <w:t xml:space="preserve"> to particular methods </w:t>
      </w:r>
      <w:r w:rsidR="00E25405">
        <w:t>of</w:t>
      </w:r>
      <w:r w:rsidR="009E6E39">
        <w:t xml:space="preserve"> test</w:t>
      </w:r>
      <w:r w:rsidR="003507B6">
        <w:t>ing</w:t>
      </w:r>
      <w:r w:rsidR="009E6E39">
        <w:t xml:space="preserve"> the patients</w:t>
      </w:r>
      <w:r w:rsidR="002A244D">
        <w:t xml:space="preserve"> for </w:t>
      </w:r>
      <w:r w:rsidR="00AD0802">
        <w:t>renal impairment (</w:t>
      </w:r>
      <w:r w:rsidR="00D50BD6">
        <w:t xml:space="preserve">a particular assay was required for determining the patient’s condition </w:t>
      </w:r>
      <w:r w:rsidR="00D50BD6">
        <w:rPr>
          <w:rFonts w:cs="Times New Roman"/>
        </w:rPr>
        <w:t xml:space="preserve">in </w:t>
      </w:r>
      <w:r w:rsidR="00D50BD6">
        <w:rPr>
          <w:rFonts w:cs="Times New Roman"/>
          <w:i/>
        </w:rPr>
        <w:t>Vanda</w:t>
      </w:r>
      <w:r w:rsidR="00D50BD6">
        <w:rPr>
          <w:rFonts w:cs="Times New Roman"/>
        </w:rPr>
        <w:t>).</w:t>
      </w:r>
      <w:r w:rsidR="003507B6" w:rsidRPr="005A669A">
        <w:rPr>
          <w:rStyle w:val="FootnoteReference"/>
        </w:rPr>
        <w:footnoteReference w:id="266"/>
      </w:r>
      <w:r w:rsidR="00D50BD6">
        <w:rPr>
          <w:rFonts w:cs="Times New Roman"/>
        </w:rPr>
        <w:t xml:space="preserve"> As a result, this case could be seen as extending </w:t>
      </w:r>
      <w:r w:rsidR="00E82F4A">
        <w:rPr>
          <w:rFonts w:cs="Times New Roman"/>
          <w:i/>
        </w:rPr>
        <w:t>Vanda</w:t>
      </w:r>
      <w:r w:rsidR="00E82F4A">
        <w:rPr>
          <w:rFonts w:cs="Times New Roman"/>
        </w:rPr>
        <w:t>’s</w:t>
      </w:r>
      <w:r w:rsidR="001A0AC9">
        <w:rPr>
          <w:rFonts w:cs="Times New Roman"/>
        </w:rPr>
        <w:t xml:space="preserve"> </w:t>
      </w:r>
      <w:r w:rsidR="00463798">
        <w:rPr>
          <w:rFonts w:cs="Times New Roman"/>
        </w:rPr>
        <w:t>holding.</w:t>
      </w:r>
    </w:p>
    <w:p w14:paraId="573ABED8" w14:textId="188CF29D" w:rsidR="002E7342" w:rsidRDefault="00AE73C3" w:rsidP="00092ADB">
      <w:pPr>
        <w:pStyle w:val="Heading2"/>
      </w:pPr>
      <w:bookmarkStart w:id="32" w:name="_Toc26792757"/>
      <w:bookmarkEnd w:id="19"/>
      <w:r>
        <w:t>Printed Matter</w:t>
      </w:r>
      <w:bookmarkEnd w:id="32"/>
    </w:p>
    <w:p w14:paraId="3EF0FCA9" w14:textId="5DC041F2" w:rsidR="00AE73C3" w:rsidRDefault="00AE73C3" w:rsidP="00136E52">
      <w:pPr>
        <w:pStyle w:val="Heading4"/>
      </w:pPr>
      <w:bookmarkStart w:id="33" w:name="_Toc26792758"/>
      <w:r w:rsidRPr="002E7342">
        <w:rPr>
          <w:i/>
        </w:rPr>
        <w:t>In re Guldenaar Holding B.V.</w:t>
      </w:r>
      <w:r w:rsidRPr="00677ABE">
        <w:t xml:space="preserve">, </w:t>
      </w:r>
      <w:r>
        <w:t>911</w:t>
      </w:r>
      <w:r w:rsidRPr="00677ABE">
        <w:t xml:space="preserve"> F.3d </w:t>
      </w:r>
      <w:r>
        <w:t>1157</w:t>
      </w:r>
      <w:r w:rsidRPr="00677ABE">
        <w:t xml:space="preserve"> (Fed. Cir. </w:t>
      </w:r>
      <w:r>
        <w:t>Dec</w:t>
      </w:r>
      <w:r w:rsidRPr="00677ABE">
        <w:t xml:space="preserve">. </w:t>
      </w:r>
      <w:r>
        <w:t>28</w:t>
      </w:r>
      <w:r w:rsidRPr="00677ABE">
        <w:t>, 2018)</w:t>
      </w:r>
      <w:bookmarkEnd w:id="33"/>
    </w:p>
    <w:p w14:paraId="3E19BCFB" w14:textId="77777777" w:rsidR="00AE73C3" w:rsidRDefault="00AE73C3" w:rsidP="00AE73C3">
      <w:pPr>
        <w:ind w:firstLine="720"/>
        <w:rPr>
          <w:rFonts w:cs="Times New Roman"/>
        </w:rPr>
      </w:pPr>
      <w:r w:rsidRPr="00677ABE">
        <w:rPr>
          <w:rFonts w:cs="Times New Roman"/>
          <w:lang w:eastAsia="x-none"/>
        </w:rPr>
        <w:t xml:space="preserve">In this </w:t>
      </w:r>
      <w:r w:rsidRPr="00677ABE">
        <w:rPr>
          <w:rFonts w:cs="Times New Roman"/>
        </w:rPr>
        <w:t>appeal from the</w:t>
      </w:r>
      <w:r>
        <w:rPr>
          <w:rFonts w:cs="Times New Roman"/>
        </w:rPr>
        <w:t xml:space="preserve"> Patent Trial and Appeal Board (PTAB), the Federal Circuit affirmed as patent-ineligible claims that were directed to an abstract dice game and that entailed no inventive concept other than the pattern of die markings—themselves held to be printed matter.</w:t>
      </w:r>
      <w:r w:rsidRPr="005A669A">
        <w:rPr>
          <w:rStyle w:val="FootnoteReference"/>
        </w:rPr>
        <w:footnoteReference w:id="267"/>
      </w:r>
      <w:r>
        <w:rPr>
          <w:rFonts w:cs="Times New Roman"/>
        </w:rPr>
        <w:t xml:space="preserve"> </w:t>
      </w:r>
    </w:p>
    <w:p w14:paraId="7C73BE00" w14:textId="77777777" w:rsidR="00AE73C3" w:rsidRDefault="00AE73C3" w:rsidP="00AE73C3">
      <w:pPr>
        <w:ind w:firstLine="720"/>
      </w:pPr>
      <w:r>
        <w:t>The ’196 patent at issue concerned “a method of playing a dice game” where three die had a distinctive marking that appeared on just one face on the first dice, on two faces on the second dice, and on three faces on the third dice.</w:t>
      </w:r>
      <w:r w:rsidRPr="005A669A">
        <w:rPr>
          <w:rStyle w:val="FootnoteReference"/>
        </w:rPr>
        <w:footnoteReference w:id="268"/>
      </w:r>
      <w:r>
        <w:t xml:space="preserve"> Wagers were to be made as to how many of the markings would appear face up.</w:t>
      </w:r>
      <w:r w:rsidRPr="005A669A">
        <w:rPr>
          <w:rStyle w:val="FootnoteReference"/>
        </w:rPr>
        <w:footnoteReference w:id="269"/>
      </w:r>
      <w:r>
        <w:t xml:space="preserve"> The examiner rejected the claims as directed toward the abstract idea of “rules for playing a game.”</w:t>
      </w:r>
      <w:r w:rsidRPr="005A669A">
        <w:rPr>
          <w:rStyle w:val="FootnoteReference"/>
        </w:rPr>
        <w:footnoteReference w:id="270"/>
      </w:r>
      <w:r>
        <w:t xml:space="preserve"> The PTAB affirmed.</w:t>
      </w:r>
      <w:r w:rsidRPr="005A669A">
        <w:rPr>
          <w:rStyle w:val="FootnoteReference"/>
        </w:rPr>
        <w:footnoteReference w:id="271"/>
      </w:r>
      <w:r>
        <w:t xml:space="preserve">  </w:t>
      </w:r>
    </w:p>
    <w:p w14:paraId="7F4CF783" w14:textId="77777777" w:rsidR="00AE73C3" w:rsidRDefault="00AE73C3" w:rsidP="00AE73C3">
      <w:pPr>
        <w:ind w:firstLine="720"/>
      </w:pPr>
      <w:r>
        <w:t>On appeal, the Federal Circuit affirmed, notwithstanding the applicant’s new arguments related to the distinctively arranged die markings.</w:t>
      </w:r>
      <w:r w:rsidRPr="005A669A">
        <w:rPr>
          <w:rStyle w:val="FootnoteReference"/>
        </w:rPr>
        <w:footnoteReference w:id="272"/>
      </w:r>
      <w:r>
        <w:t xml:space="preserve"> As below, the claims were held directed to an abstract concept on </w:t>
      </w:r>
      <w:r>
        <w:rPr>
          <w:i/>
        </w:rPr>
        <w:t>Alice</w:t>
      </w:r>
      <w:r>
        <w:t>’s first step.</w:t>
      </w:r>
      <w:r w:rsidRPr="005A669A">
        <w:rPr>
          <w:rStyle w:val="FootnoteReference"/>
        </w:rPr>
        <w:footnoteReference w:id="273"/>
      </w:r>
      <w:r>
        <w:t xml:space="preserve"> The court analogized </w:t>
      </w:r>
      <w:r>
        <w:lastRenderedPageBreak/>
        <w:t xml:space="preserve">rules for wagering games to rules for financial processes like those in </w:t>
      </w:r>
      <w:r>
        <w:rPr>
          <w:i/>
        </w:rPr>
        <w:t>Bilski</w:t>
      </w:r>
      <w:r>
        <w:t>,</w:t>
      </w:r>
      <w:r w:rsidRPr="005A669A">
        <w:rPr>
          <w:rStyle w:val="FootnoteReference"/>
        </w:rPr>
        <w:footnoteReference w:id="274"/>
      </w:r>
      <w:r>
        <w:t xml:space="preserve"> an analogy earlier made in</w:t>
      </w:r>
      <w:r>
        <w:rPr>
          <w:i/>
        </w:rPr>
        <w:t xml:space="preserve"> Smith</w:t>
      </w:r>
      <w:r>
        <w:t>.</w:t>
      </w:r>
      <w:r w:rsidRPr="005A669A">
        <w:rPr>
          <w:rStyle w:val="FootnoteReference"/>
        </w:rPr>
        <w:footnoteReference w:id="275"/>
      </w:r>
      <w:r>
        <w:t xml:space="preserve"> The court left open that some such games might still be saved at </w:t>
      </w:r>
      <w:r>
        <w:rPr>
          <w:i/>
        </w:rPr>
        <w:t>Alice</w:t>
      </w:r>
      <w:r>
        <w:t>’s second step.</w:t>
      </w:r>
      <w:r w:rsidRPr="005A669A">
        <w:rPr>
          <w:rStyle w:val="FootnoteReference"/>
        </w:rPr>
        <w:footnoteReference w:id="276"/>
      </w:r>
      <w:r>
        <w:t xml:space="preserve"> So the court moved to that step. And here, the applicant newly argued </w:t>
      </w:r>
      <w:r w:rsidRPr="00C91A0B">
        <w:t>that</w:t>
      </w:r>
      <w:r>
        <w:t xml:space="preserve"> the claims’ inventive concept was not related to the conventional wagering but to the uniquely arranged markings on one, two, and three sides of the die.</w:t>
      </w:r>
      <w:r w:rsidRPr="005A669A">
        <w:rPr>
          <w:rStyle w:val="FootnoteReference"/>
        </w:rPr>
        <w:footnoteReference w:id="277"/>
      </w:r>
      <w:r>
        <w:t xml:space="preserve">  </w:t>
      </w:r>
    </w:p>
    <w:p w14:paraId="46C063FC" w14:textId="77777777" w:rsidR="00AE73C3" w:rsidRDefault="00AE73C3" w:rsidP="00AE73C3">
      <w:pPr>
        <w:ind w:firstLine="720"/>
      </w:pPr>
      <w:r>
        <w:t>But the die markings were printed matter—“[c]laim limitations directed to the content of information and lacking a requisite functional relationship” to the patented matter—and so were themselves unpatentable.</w:t>
      </w:r>
      <w:r w:rsidRPr="005A669A">
        <w:rPr>
          <w:rStyle w:val="FootnoteReference"/>
        </w:rPr>
        <w:footnoteReference w:id="278"/>
      </w:r>
      <w:r>
        <w:t xml:space="preserve"> The markings communicated “whether the player has won or lost a wager.”</w:t>
      </w:r>
      <w:r w:rsidRPr="005A669A">
        <w:rPr>
          <w:rStyle w:val="FootnoteReference"/>
        </w:rPr>
        <w:footnoteReference w:id="279"/>
      </w:r>
      <w:r>
        <w:t xml:space="preserve"> That information lacked “functional[] relat[ion] to the substrate.”</w:t>
      </w:r>
      <w:r w:rsidRPr="005A669A">
        <w:rPr>
          <w:rStyle w:val="FootnoteReference"/>
        </w:rPr>
        <w:footnoteReference w:id="280"/>
      </w:r>
      <w:r>
        <w:t xml:space="preserve"> This contrasted with, for example, the volumetric markings on the side of a specialized measuring cup, which have been held patentable.</w:t>
      </w:r>
      <w:r w:rsidRPr="005A669A">
        <w:rPr>
          <w:rStyle w:val="FootnoteReference"/>
        </w:rPr>
        <w:footnoteReference w:id="281"/>
      </w:r>
      <w:r>
        <w:t xml:space="preserve"> </w:t>
      </w:r>
    </w:p>
    <w:p w14:paraId="5DC89D13" w14:textId="77777777" w:rsidR="00AE73C3" w:rsidRPr="000F5040" w:rsidRDefault="00AE73C3" w:rsidP="00AE73C3">
      <w:pPr>
        <w:ind w:firstLine="720"/>
      </w:pPr>
      <w:r>
        <w:t>Concurring, Judge Mayer would have held games “categorically ineligible for patent.”</w:t>
      </w:r>
      <w:r w:rsidRPr="005A669A">
        <w:rPr>
          <w:rStyle w:val="FootnoteReference"/>
        </w:rPr>
        <w:footnoteReference w:id="282"/>
      </w:r>
      <w:r>
        <w:t xml:space="preserve"> </w:t>
      </w:r>
    </w:p>
    <w:p w14:paraId="0381DAE9" w14:textId="6DA227FB" w:rsidR="000B16B0" w:rsidRPr="00677ABE" w:rsidRDefault="000B16B0" w:rsidP="00141B3D">
      <w:pPr>
        <w:tabs>
          <w:tab w:val="left" w:pos="5696"/>
        </w:tabs>
        <w:rPr>
          <w:rFonts w:eastAsiaTheme="majorEastAsia" w:cs="Times New Roman"/>
          <w:b/>
          <w:bCs/>
        </w:rPr>
      </w:pPr>
      <w:r w:rsidRPr="00677ABE">
        <w:rPr>
          <w:rFonts w:cs="Times New Roman"/>
        </w:rPr>
        <w:br w:type="page"/>
      </w:r>
      <w:r w:rsidR="00141B3D">
        <w:rPr>
          <w:rFonts w:cs="Times New Roman"/>
        </w:rPr>
        <w:lastRenderedPageBreak/>
        <w:tab/>
      </w:r>
    </w:p>
    <w:p w14:paraId="08399693" w14:textId="77777777" w:rsidR="00F20B84" w:rsidRDefault="00347940" w:rsidP="00CA2C0A">
      <w:pPr>
        <w:pStyle w:val="Heading1"/>
        <w:rPr>
          <w:rFonts w:cs="Times New Roman"/>
          <w:szCs w:val="24"/>
        </w:rPr>
      </w:pPr>
      <w:bookmarkStart w:id="34" w:name="_Toc26792759"/>
      <w:r w:rsidRPr="00677ABE">
        <w:rPr>
          <w:rFonts w:cs="Times New Roman"/>
          <w:szCs w:val="24"/>
        </w:rPr>
        <w:t>DISCLOSURE</w:t>
      </w:r>
      <w:bookmarkEnd w:id="34"/>
    </w:p>
    <w:p w14:paraId="5DB231BF" w14:textId="21F1A192" w:rsidR="00FF7272" w:rsidRDefault="00347940" w:rsidP="00CA2C0A">
      <w:pPr>
        <w:pStyle w:val="Heading2"/>
        <w:rPr>
          <w:rFonts w:cs="Times New Roman"/>
          <w:i/>
          <w:iCs/>
          <w:szCs w:val="24"/>
        </w:rPr>
      </w:pPr>
      <w:bookmarkStart w:id="35" w:name="_Toc26792760"/>
      <w:r w:rsidRPr="00677ABE">
        <w:rPr>
          <w:rFonts w:cs="Times New Roman"/>
          <w:szCs w:val="24"/>
        </w:rPr>
        <w:t>Definiteness</w:t>
      </w:r>
      <w:bookmarkEnd w:id="35"/>
    </w:p>
    <w:p w14:paraId="25DE755D" w14:textId="2D98F224" w:rsidR="00FF7272" w:rsidRDefault="00FF7272" w:rsidP="0033193D">
      <w:pPr>
        <w:pStyle w:val="Heading4"/>
      </w:pPr>
      <w:bookmarkStart w:id="36" w:name="_Toc26792761"/>
      <w:r w:rsidRPr="0033193D">
        <w:rPr>
          <w:i/>
          <w:iCs/>
        </w:rPr>
        <w:t>HZNP Medicines LLC v. Actavis Labs. UT, Inc.</w:t>
      </w:r>
      <w:r w:rsidRPr="00FF7272">
        <w:t>, No. 2017-2149, 2019 WL 5076226</w:t>
      </w:r>
      <w:r>
        <w:t xml:space="preserve"> </w:t>
      </w:r>
      <w:r w:rsidRPr="00FF7272">
        <w:t>(Fed. Cir. Oct. 10, 2019)</w:t>
      </w:r>
      <w:bookmarkEnd w:id="36"/>
    </w:p>
    <w:p w14:paraId="1241B471" w14:textId="29FCF6F8" w:rsidR="00402228" w:rsidRDefault="00FF7272" w:rsidP="00FF7272">
      <w:r>
        <w:tab/>
      </w:r>
      <w:r w:rsidR="00402228">
        <w:t>In this appeal from the District of New Jersey, the Federal Circuit affirmed three terms in the patents at issue were indefinite.</w:t>
      </w:r>
      <w:r w:rsidR="00402228">
        <w:rPr>
          <w:rStyle w:val="FootnoteReference"/>
        </w:rPr>
        <w:footnoteReference w:id="283"/>
      </w:r>
      <w:r w:rsidR="00402228">
        <w:t xml:space="preserve"> </w:t>
      </w:r>
    </w:p>
    <w:p w14:paraId="117629D9" w14:textId="618FEB45" w:rsidR="001258AB" w:rsidRDefault="00FF7272" w:rsidP="00A05455">
      <w:r>
        <w:t xml:space="preserve">HZNP’s twelve patents-at-issue claimed either methods or compositions for treating </w:t>
      </w:r>
      <w:r w:rsidRPr="00FF7272">
        <w:t>osteoarthritis</w:t>
      </w:r>
      <w:r>
        <w:t>.</w:t>
      </w:r>
      <w:r>
        <w:rPr>
          <w:rStyle w:val="FootnoteReference"/>
        </w:rPr>
        <w:footnoteReference w:id="284"/>
      </w:r>
      <w:r>
        <w:t xml:space="preserve"> </w:t>
      </w:r>
      <w:r w:rsidR="000D6585">
        <w:t>The district court concluded three asserted claims in the patents were indefinite</w:t>
      </w:r>
      <w:r w:rsidR="00D16012">
        <w:t>:</w:t>
      </w:r>
      <w:r w:rsidR="00631169">
        <w:rPr>
          <w:rStyle w:val="FootnoteReference"/>
        </w:rPr>
        <w:footnoteReference w:id="285"/>
      </w:r>
      <w:r w:rsidR="00631169">
        <w:t xml:space="preserve"> </w:t>
      </w:r>
      <w:r w:rsidR="00D16012">
        <w:t>the</w:t>
      </w:r>
      <w:r w:rsidR="00631169">
        <w:t xml:space="preserve"> term “the topical formulation produces less than 0.1% impurity A after 6 months at 25°C and 60% humidity,” where “impurity A” is not defined</w:t>
      </w:r>
      <w:r w:rsidR="00D16012">
        <w:t>;</w:t>
      </w:r>
      <w:r w:rsidR="00631169">
        <w:rPr>
          <w:rStyle w:val="FootnoteReference"/>
        </w:rPr>
        <w:footnoteReference w:id="286"/>
      </w:r>
      <w:r w:rsidR="00631169">
        <w:t xml:space="preserve"> the term “the formulation degrades by less than 1% over 6 months” without a means of evaluating degradation</w:t>
      </w:r>
      <w:r w:rsidR="00B86D8F">
        <w:t>;</w:t>
      </w:r>
      <w:r w:rsidR="00631169">
        <w:rPr>
          <w:rStyle w:val="FootnoteReference"/>
        </w:rPr>
        <w:footnoteReference w:id="287"/>
      </w:r>
      <w:r w:rsidR="00631169">
        <w:t xml:space="preserve"> </w:t>
      </w:r>
      <w:r w:rsidR="00B86D8F">
        <w:t>and</w:t>
      </w:r>
      <w:r w:rsidR="00631169">
        <w:t xml:space="preserve"> the term “consisting essentially of</w:t>
      </w:r>
      <w:r w:rsidR="00B86D8F">
        <w:t>,</w:t>
      </w:r>
      <w:r w:rsidR="00631169">
        <w:t>”</w:t>
      </w:r>
      <w:r w:rsidR="006A40E4">
        <w:t xml:space="preserve"> after finding the invention’s basic and novel property “better drying time” also indefinite.</w:t>
      </w:r>
      <w:r w:rsidR="006A40E4">
        <w:rPr>
          <w:rStyle w:val="FootnoteReference"/>
        </w:rPr>
        <w:footnoteReference w:id="288"/>
      </w:r>
      <w:r w:rsidR="006A40E4">
        <w:tab/>
        <w:t>The Federal Circuit affirmed the district court’s indefiniteness holdings.</w:t>
      </w:r>
      <w:r w:rsidR="006A40E4">
        <w:rPr>
          <w:rStyle w:val="FootnoteReference"/>
        </w:rPr>
        <w:footnoteReference w:id="289"/>
      </w:r>
      <w:r w:rsidR="006A40E4">
        <w:t xml:space="preserve"> </w:t>
      </w:r>
      <w:r w:rsidR="00850613">
        <w:t>The claims and specification did not provide sufficient information for a person ordinarily skilled in the art to discern the identity of “impurity A” with reasonable certainty.</w:t>
      </w:r>
      <w:r w:rsidR="00850613">
        <w:rPr>
          <w:rStyle w:val="FootnoteReference"/>
        </w:rPr>
        <w:footnoteReference w:id="290"/>
      </w:r>
      <w:r w:rsidR="00850613">
        <w:t xml:space="preserve"> Furthermore, “[s]ince ‘impurity A’ is indefinite, it logically follows that another term, such as the ‘degrades’ term, which relies on ‘impurity A’ for its construction, must also be indefinite.”</w:t>
      </w:r>
      <w:r w:rsidR="00850613">
        <w:rPr>
          <w:rStyle w:val="FootnoteReference"/>
        </w:rPr>
        <w:footnoteReference w:id="291"/>
      </w:r>
      <w:r w:rsidR="00850613">
        <w:t xml:space="preserve"> </w:t>
      </w:r>
    </w:p>
    <w:p w14:paraId="00AC0460" w14:textId="6AC5382E" w:rsidR="00A05455" w:rsidRPr="00A05455" w:rsidRDefault="00850613" w:rsidP="0033193D">
      <w:pPr>
        <w:ind w:firstLine="720"/>
      </w:pPr>
      <w:r>
        <w:t>Finally, the court noted “consisting essentially of” is “a transition phrase often used to signal a partially open claim.”</w:t>
      </w:r>
      <w:r>
        <w:rPr>
          <w:rStyle w:val="FootnoteReference"/>
        </w:rPr>
        <w:footnoteReference w:id="292"/>
      </w:r>
      <w:r w:rsidR="001258AB">
        <w:t xml:space="preserve"> The phrase allows the inclusion of unlisted ingredients that will not affect the invention’s basic and novel properties.</w:t>
      </w:r>
      <w:r w:rsidR="001258AB">
        <w:rPr>
          <w:rStyle w:val="FootnoteReference"/>
        </w:rPr>
        <w:footnoteReference w:id="293"/>
      </w:r>
      <w:r w:rsidR="001258AB">
        <w:t xml:space="preserve"> Thus, considering the definiteness of the invention’s basic and novel properties was necessary to resolve the definiteness of the term “consisting essentially of.”</w:t>
      </w:r>
      <w:r w:rsidR="001258AB">
        <w:rPr>
          <w:rStyle w:val="FootnoteReference"/>
        </w:rPr>
        <w:footnoteReference w:id="294"/>
      </w:r>
      <w:r w:rsidR="001258AB">
        <w:t xml:space="preserve"> The Federal Circuit held the district court did not err in applying the </w:t>
      </w:r>
      <w:r w:rsidR="001258AB" w:rsidRPr="0033193D">
        <w:rPr>
          <w:i/>
          <w:iCs/>
        </w:rPr>
        <w:t>Nautilus</w:t>
      </w:r>
      <w:r w:rsidR="001258AB">
        <w:t xml:space="preserve"> standard to the inventions basic and novel properties.</w:t>
      </w:r>
      <w:r w:rsidR="001258AB">
        <w:rPr>
          <w:rStyle w:val="FootnoteReference"/>
        </w:rPr>
        <w:footnoteReference w:id="295"/>
      </w:r>
      <w:r w:rsidR="001258AB">
        <w:t xml:space="preserve"> By that standard, the Federal Circuit agreed that the invention’s basic novel property of “better drying time” was indefinite.</w:t>
      </w:r>
      <w:r w:rsidR="001258AB">
        <w:rPr>
          <w:rStyle w:val="FootnoteReference"/>
        </w:rPr>
        <w:footnoteReference w:id="296"/>
      </w:r>
      <w:r w:rsidR="00434355">
        <w:t xml:space="preserve"> “Two tests are disclosed, </w:t>
      </w:r>
      <w:r w:rsidR="00434355">
        <w:lastRenderedPageBreak/>
        <w:t>but those tests do not provide consistent results upon which a POSITA would be able to evaluate ‘better drying time.’”</w:t>
      </w:r>
      <w:r w:rsidR="00434355">
        <w:rPr>
          <w:rStyle w:val="FootnoteReference"/>
        </w:rPr>
        <w:footnoteReference w:id="297"/>
      </w:r>
      <w:r w:rsidR="001258AB">
        <w:t xml:space="preserve"> </w:t>
      </w:r>
      <w:r w:rsidR="00434355">
        <w:t>The property “basic drying time” is therefore indefinite, which leads to the term “consisting essentially of” also being indefinite.</w:t>
      </w:r>
      <w:r w:rsidR="00434355">
        <w:rPr>
          <w:rStyle w:val="FootnoteReference"/>
        </w:rPr>
        <w:footnoteReference w:id="298"/>
      </w:r>
      <w:r w:rsidR="00434355">
        <w:t xml:space="preserve">  </w:t>
      </w:r>
    </w:p>
    <w:p w14:paraId="1112C659" w14:textId="77777777" w:rsidR="00A05455" w:rsidRDefault="00A05455" w:rsidP="00CA2C0A">
      <w:pPr>
        <w:pStyle w:val="Heading2"/>
        <w:rPr>
          <w:rFonts w:cs="Times New Roman"/>
          <w:szCs w:val="24"/>
        </w:rPr>
      </w:pPr>
    </w:p>
    <w:p w14:paraId="7E3462AF" w14:textId="6B28A36F" w:rsidR="00F20B84" w:rsidRDefault="00EB1DE0" w:rsidP="00CA2C0A">
      <w:pPr>
        <w:pStyle w:val="Heading2"/>
        <w:rPr>
          <w:rFonts w:cs="Times New Roman"/>
          <w:szCs w:val="24"/>
        </w:rPr>
      </w:pPr>
      <w:bookmarkStart w:id="37" w:name="_Toc26792762"/>
      <w:r w:rsidRPr="00677ABE">
        <w:rPr>
          <w:rFonts w:cs="Times New Roman"/>
          <w:szCs w:val="24"/>
        </w:rPr>
        <w:t xml:space="preserve">Enablement and </w:t>
      </w:r>
      <w:r w:rsidR="00347940" w:rsidRPr="00677ABE">
        <w:rPr>
          <w:rFonts w:cs="Times New Roman"/>
          <w:szCs w:val="24"/>
        </w:rPr>
        <w:t>Written Description</w:t>
      </w:r>
      <w:bookmarkEnd w:id="37"/>
    </w:p>
    <w:p w14:paraId="6092133E" w14:textId="06B55763" w:rsidR="00B87DAB" w:rsidRDefault="00B87DAB" w:rsidP="00D720E0">
      <w:pPr>
        <w:pStyle w:val="Heading4"/>
        <w:rPr>
          <w:iCs/>
        </w:rPr>
      </w:pPr>
      <w:bookmarkStart w:id="38" w:name="_Toc26792763"/>
      <w:r w:rsidRPr="00B87DAB">
        <w:rPr>
          <w:i/>
        </w:rPr>
        <w:t>Idenix Pharm. LLC v. Gilead Scis. Inc.</w:t>
      </w:r>
      <w:r w:rsidRPr="00B87DAB">
        <w:rPr>
          <w:iCs/>
        </w:rPr>
        <w:t xml:space="preserve">, 941 F.3d 1149 (Fed. Cir. </w:t>
      </w:r>
      <w:r>
        <w:rPr>
          <w:iCs/>
        </w:rPr>
        <w:t xml:space="preserve">Oct. 30, </w:t>
      </w:r>
      <w:r w:rsidRPr="00B87DAB">
        <w:rPr>
          <w:iCs/>
        </w:rPr>
        <w:t>2019)</w:t>
      </w:r>
      <w:bookmarkEnd w:id="38"/>
    </w:p>
    <w:p w14:paraId="53D8F5DF" w14:textId="663C7D01" w:rsidR="00061C6E" w:rsidRDefault="00B87DAB" w:rsidP="00061C6E">
      <w:r>
        <w:tab/>
        <w:t xml:space="preserve">In this Appeal from the District of Delaware, </w:t>
      </w:r>
      <w:r w:rsidR="00061C6E">
        <w:t>the Federal Circuit affirmed in part and reversed in part, holding the disputed patent was ineligible for lack of written description.</w:t>
      </w:r>
      <w:r w:rsidR="00061C6E">
        <w:rPr>
          <w:rStyle w:val="FootnoteReference"/>
        </w:rPr>
        <w:footnoteReference w:id="299"/>
      </w:r>
      <w:r w:rsidR="00061C6E">
        <w:t xml:space="preserve"> </w:t>
      </w:r>
    </w:p>
    <w:p w14:paraId="2ABA2428" w14:textId="53854638" w:rsidR="00B87DAB" w:rsidRDefault="00B87DAB" w:rsidP="00061C6E">
      <w:pPr>
        <w:ind w:firstLine="720"/>
      </w:pPr>
      <w:r>
        <w:t>Idenix’s ‘597 patent relates to a method and composition for treating the hepatitis C virus (“HCV”).</w:t>
      </w:r>
      <w:r>
        <w:rPr>
          <w:rStyle w:val="FootnoteReference"/>
        </w:rPr>
        <w:footnoteReference w:id="300"/>
      </w:r>
      <w:r w:rsidR="000F04C9">
        <w:t xml:space="preserve"> Idenix alleged Gilead’s new drug sofobuvir infringed the ‘597 patent.</w:t>
      </w:r>
      <w:r w:rsidR="000F04C9">
        <w:rPr>
          <w:rStyle w:val="FootnoteReference"/>
        </w:rPr>
        <w:footnoteReference w:id="301"/>
      </w:r>
      <w:r w:rsidR="000F04C9">
        <w:t xml:space="preserve"> Gilead</w:t>
      </w:r>
      <w:r w:rsidR="00255CE3">
        <w:t xml:space="preserve"> argued</w:t>
      </w:r>
      <w:r w:rsidR="000F04C9">
        <w:t xml:space="preserve"> the </w:t>
      </w:r>
      <w:r w:rsidR="00255CE3">
        <w:t>‘579 patent was invalid for not meeting the enablement or written description requirements.</w:t>
      </w:r>
      <w:r w:rsidR="00255CE3">
        <w:rPr>
          <w:rStyle w:val="FootnoteReference"/>
        </w:rPr>
        <w:footnoteReference w:id="302"/>
      </w:r>
      <w:r w:rsidR="00255CE3">
        <w:t xml:space="preserve"> </w:t>
      </w:r>
      <w:r w:rsidR="000F04C9">
        <w:t>At trial, the jury found for Idenix</w:t>
      </w:r>
      <w:r w:rsidR="00255CE3">
        <w:t xml:space="preserve">, after which Gilead filed for judgment as </w:t>
      </w:r>
      <w:r w:rsidR="00480CEF">
        <w:t xml:space="preserve">a </w:t>
      </w:r>
      <w:r w:rsidR="00255CE3">
        <w:t>matter of law on both enablement and written description.</w:t>
      </w:r>
      <w:r w:rsidR="000F04C9">
        <w:rPr>
          <w:rStyle w:val="FootnoteReference"/>
        </w:rPr>
        <w:footnoteReference w:id="303"/>
      </w:r>
      <w:r w:rsidR="000F04C9">
        <w:t xml:space="preserve"> </w:t>
      </w:r>
      <w:r w:rsidR="00255CE3">
        <w:t>The district court grated the motion on enablement, but denied the motion on written description.</w:t>
      </w:r>
      <w:r w:rsidR="00255CE3">
        <w:rPr>
          <w:rStyle w:val="FootnoteReference"/>
        </w:rPr>
        <w:footnoteReference w:id="304"/>
      </w:r>
      <w:r w:rsidR="00255CE3">
        <w:t xml:space="preserve"> The Federal Circuit affirmed the lower court’s decision on enablement.</w:t>
      </w:r>
      <w:r w:rsidR="00255CE3">
        <w:rPr>
          <w:rStyle w:val="FootnoteReference"/>
        </w:rPr>
        <w:footnoteReference w:id="305"/>
      </w:r>
      <w:r w:rsidR="00255CE3">
        <w:t xml:space="preserve"> However, the Federal Circuit reversed the written description decision</w:t>
      </w:r>
      <w:r w:rsidR="00061C6E">
        <w:t>.</w:t>
      </w:r>
      <w:r w:rsidR="00061C6E">
        <w:rPr>
          <w:rStyle w:val="FootnoteReference"/>
        </w:rPr>
        <w:footnoteReference w:id="306"/>
      </w:r>
      <w:r w:rsidR="00255CE3">
        <w:t xml:space="preserve"> </w:t>
      </w:r>
    </w:p>
    <w:p w14:paraId="1F2F4755" w14:textId="2F45670B" w:rsidR="00A770C9" w:rsidRDefault="001B0373" w:rsidP="00061C6E">
      <w:pPr>
        <w:ind w:firstLine="720"/>
      </w:pPr>
      <w:r>
        <w:t xml:space="preserve">For written description, </w:t>
      </w:r>
      <w:r w:rsidR="00061C6E">
        <w:t>The Federal Circuit considered whether the ‘597</w:t>
      </w:r>
      <w:r w:rsidR="00103BFA">
        <w:t xml:space="preserve"> pate</w:t>
      </w:r>
      <w:r w:rsidR="00480CEF">
        <w:t>n</w:t>
      </w:r>
      <w:r w:rsidR="00103BFA">
        <w:t>t</w:t>
      </w:r>
      <w:r w:rsidR="00061C6E">
        <w:t xml:space="preserve"> sufficiently demonstrates</w:t>
      </w:r>
      <w:r w:rsidR="00672DEC">
        <w:t xml:space="preserve"> that</w:t>
      </w:r>
      <w:r w:rsidR="00061C6E">
        <w:t xml:space="preserve"> Idenix was in possession of</w:t>
      </w:r>
      <w:r>
        <w:t xml:space="preserve"> embodiments of</w:t>
      </w:r>
      <w:r w:rsidR="00061C6E">
        <w:t xml:space="preserve"> 2'-methyl-up nucleosides that </w:t>
      </w:r>
      <w:r>
        <w:t>treat HCV but do not appear in the specification as specific examples or formulas.</w:t>
      </w:r>
      <w:r>
        <w:rPr>
          <w:rStyle w:val="FootnoteReference"/>
        </w:rPr>
        <w:footnoteReference w:id="307"/>
      </w:r>
      <w:r>
        <w:t xml:space="preserve"> Idenix did not create the specific embodiment used in Gilead’s product until after filing the ‘579 patent application.</w:t>
      </w:r>
      <w:r>
        <w:rPr>
          <w:rStyle w:val="FootnoteReference"/>
        </w:rPr>
        <w:footnoteReference w:id="308"/>
      </w:r>
      <w:r>
        <w:t xml:space="preserve"> Nonetheless, Idenix argued “its claims are directed to the entire genus of 2'-methyl-up compounds for treating HCV, and are enabled by the disclosure of a number of examples, without needing to disclose each species of nucleoside.”</w:t>
      </w:r>
      <w:r>
        <w:rPr>
          <w:rStyle w:val="FootnoteReference"/>
        </w:rPr>
        <w:footnoteReference w:id="309"/>
      </w:r>
      <w:r>
        <w:t xml:space="preserve"> </w:t>
      </w:r>
    </w:p>
    <w:p w14:paraId="64412ADB" w14:textId="60437A40" w:rsidR="00061C6E" w:rsidRDefault="001B0373" w:rsidP="00061C6E">
      <w:pPr>
        <w:ind w:firstLine="720"/>
      </w:pPr>
      <w:r>
        <w:t>The Court was not convinced, holding the ‘597 patent “fails to provide sufficient blaze marks to direct a POSA to the specific subset of 2'-methyl-up nucleosides that are effective in treating HCV.”</w:t>
      </w:r>
      <w:r>
        <w:rPr>
          <w:rStyle w:val="FootnoteReference"/>
        </w:rPr>
        <w:footnoteReference w:id="310"/>
      </w:r>
      <w:r>
        <w:t xml:space="preserve"> The patent described eighteen different formulas for embodiments that could treat HCV, but never </w:t>
      </w:r>
      <w:r w:rsidR="00A770C9">
        <w:t xml:space="preserve">indicated the existence of other effective </w:t>
      </w:r>
      <w:r w:rsidR="00A770C9">
        <w:lastRenderedPageBreak/>
        <w:t>embodiments.</w:t>
      </w:r>
      <w:r w:rsidR="00A770C9">
        <w:rPr>
          <w:rStyle w:val="FootnoteReference"/>
        </w:rPr>
        <w:footnoteReference w:id="311"/>
      </w:r>
      <w:r w:rsidR="00A770C9">
        <w:t xml:space="preserve"> Furthermore, the patent gave no “meaningful guidance into what compounds beyond the examples and formulas, if any, would provide the same result.”</w:t>
      </w:r>
      <w:r w:rsidR="00A770C9">
        <w:rPr>
          <w:rStyle w:val="FootnoteReference"/>
        </w:rPr>
        <w:footnoteReference w:id="312"/>
      </w:r>
      <w:r w:rsidR="00A770C9">
        <w:t xml:space="preserve"> Thus, the Court concluded </w:t>
      </w:r>
      <w:r w:rsidR="006D4832">
        <w:t>Idenix was not in possession of the 2'-methyl-up embodiment</w:t>
      </w:r>
      <w:r w:rsidR="00103BFA">
        <w:t>s</w:t>
      </w:r>
      <w:r w:rsidR="006D4832">
        <w:t xml:space="preserve"> effective for treating HCV at the time of filing the patent.</w:t>
      </w:r>
      <w:r w:rsidR="006D4832">
        <w:rPr>
          <w:rStyle w:val="FootnoteReference"/>
        </w:rPr>
        <w:footnoteReference w:id="313"/>
      </w:r>
      <w:r w:rsidR="006D4832">
        <w:t xml:space="preserve"> </w:t>
      </w:r>
    </w:p>
    <w:p w14:paraId="506C7C59" w14:textId="32DD18BB" w:rsidR="006D4832" w:rsidRPr="00B87DAB" w:rsidRDefault="006D4832" w:rsidP="00061C6E">
      <w:pPr>
        <w:ind w:firstLine="720"/>
      </w:pPr>
      <w:r>
        <w:t>Judge Newman dissented.</w:t>
      </w:r>
      <w:r>
        <w:rPr>
          <w:rStyle w:val="FootnoteReference"/>
        </w:rPr>
        <w:footnoteReference w:id="314"/>
      </w:r>
      <w:r>
        <w:t xml:space="preserve"> She would have upheld the jury verdict because, given the evidence presented, she believed </w:t>
      </w:r>
      <w:r w:rsidR="006E25EB">
        <w:t>“a reasonable jury could have understood the claims as directed to the nucleosides that are specifically described and that are shown to have the claimed antiviral activity.”</w:t>
      </w:r>
      <w:r w:rsidR="006E25EB">
        <w:rPr>
          <w:rStyle w:val="FootnoteReference"/>
        </w:rPr>
        <w:footnoteReference w:id="315"/>
      </w:r>
      <w:r w:rsidR="006E25EB">
        <w:t xml:space="preserve"> </w:t>
      </w:r>
    </w:p>
    <w:p w14:paraId="3D186EBD" w14:textId="4F53E557" w:rsidR="00D720E0" w:rsidRPr="00314234" w:rsidRDefault="00A44FF1" w:rsidP="00D720E0">
      <w:pPr>
        <w:pStyle w:val="Heading4"/>
      </w:pPr>
      <w:bookmarkStart w:id="39" w:name="_Toc26792764"/>
      <w:r>
        <w:rPr>
          <w:i/>
        </w:rPr>
        <w:t>Enzo Life Scis., Inc. v. Roche Mole</w:t>
      </w:r>
      <w:r w:rsidR="000358AD">
        <w:rPr>
          <w:i/>
        </w:rPr>
        <w:t>cular Sy</w:t>
      </w:r>
      <w:r>
        <w:rPr>
          <w:i/>
        </w:rPr>
        <w:t>s.</w:t>
      </w:r>
      <w:r w:rsidR="00D720E0" w:rsidRPr="000449CA">
        <w:t xml:space="preserve">, </w:t>
      </w:r>
      <w:r w:rsidR="00D720E0">
        <w:t>92</w:t>
      </w:r>
      <w:r>
        <w:t>8</w:t>
      </w:r>
      <w:r w:rsidR="00D720E0">
        <w:t xml:space="preserve"> F.3d </w:t>
      </w:r>
      <w:r>
        <w:t>1340</w:t>
      </w:r>
      <w:r w:rsidR="00D720E0" w:rsidRPr="000449CA">
        <w:t xml:space="preserve"> (Fed. Cir. </w:t>
      </w:r>
      <w:r>
        <w:t>July</w:t>
      </w:r>
      <w:r w:rsidR="00D720E0">
        <w:t xml:space="preserve"> 5</w:t>
      </w:r>
      <w:r w:rsidR="00D720E0" w:rsidRPr="000449CA">
        <w:t xml:space="preserve">, </w:t>
      </w:r>
      <w:r w:rsidR="00D720E0">
        <w:t>2019</w:t>
      </w:r>
      <w:r w:rsidR="00D720E0" w:rsidRPr="000449CA">
        <w:t>)</w:t>
      </w:r>
      <w:bookmarkEnd w:id="39"/>
    </w:p>
    <w:p w14:paraId="2C4C5642" w14:textId="330F6529" w:rsidR="006756A9" w:rsidRDefault="00D720E0" w:rsidP="003D0D9B">
      <w:r>
        <w:tab/>
        <w:t xml:space="preserve">In this </w:t>
      </w:r>
      <w:r w:rsidR="001B4556">
        <w:t xml:space="preserve">consolidated </w:t>
      </w:r>
      <w:r>
        <w:t xml:space="preserve">appeal from </w:t>
      </w:r>
      <w:r w:rsidR="001B4556">
        <w:t xml:space="preserve">cases in </w:t>
      </w:r>
      <w:r>
        <w:t>the District</w:t>
      </w:r>
      <w:r w:rsidR="00DB027F">
        <w:t xml:space="preserve"> of Delaware, </w:t>
      </w:r>
      <w:r w:rsidR="00292BD9">
        <w:t>the Federal Circuit affirmed</w:t>
      </w:r>
      <w:r w:rsidR="009F46E7">
        <w:t xml:space="preserve"> that</w:t>
      </w:r>
      <w:r w:rsidR="00292BD9">
        <w:t xml:space="preserve"> the claims </w:t>
      </w:r>
      <w:r w:rsidR="007D15E1">
        <w:t xml:space="preserve">were </w:t>
      </w:r>
      <w:r w:rsidR="00292BD9">
        <w:t>invalid for lack of enablement.</w:t>
      </w:r>
      <w:r w:rsidR="00292BD9">
        <w:rPr>
          <w:rStyle w:val="FootnoteReference"/>
        </w:rPr>
        <w:footnoteReference w:id="316"/>
      </w:r>
      <w:r w:rsidR="006D67C7">
        <w:t xml:space="preserve">  </w:t>
      </w:r>
      <w:r w:rsidR="001F59BB">
        <w:t xml:space="preserve">The </w:t>
      </w:r>
      <w:r w:rsidR="002242E8">
        <w:t>appeal</w:t>
      </w:r>
      <w:r w:rsidR="001F59BB">
        <w:t xml:space="preserve"> concerned the ’180 patent</w:t>
      </w:r>
      <w:r w:rsidR="00B107AB">
        <w:t xml:space="preserve"> covering non-radioactive labeling of polynucleotides and the ’405 patent covering </w:t>
      </w:r>
      <w:r w:rsidR="002242E8">
        <w:t>so-</w:t>
      </w:r>
      <w:r w:rsidR="00B107AB">
        <w:t>labeled probes to identify DNA chromosomes.</w:t>
      </w:r>
      <w:r w:rsidR="00B107AB">
        <w:rPr>
          <w:rStyle w:val="FootnoteReference"/>
        </w:rPr>
        <w:footnoteReference w:id="317"/>
      </w:r>
      <w:r w:rsidR="00332DE4">
        <w:t xml:space="preserve"> </w:t>
      </w:r>
      <w:r w:rsidR="001C0FCD">
        <w:t xml:space="preserve"> </w:t>
      </w:r>
    </w:p>
    <w:p w14:paraId="1A34E94C" w14:textId="226B982F" w:rsidR="0074570C" w:rsidRPr="00D720E0" w:rsidRDefault="0074570C" w:rsidP="00BC4E36">
      <w:pPr>
        <w:ind w:firstLine="720"/>
      </w:pPr>
      <w:r>
        <w:t xml:space="preserve">On appeal, the Federal Circuit affirmed.  </w:t>
      </w:r>
      <w:r w:rsidR="001C0FCD">
        <w:t xml:space="preserve">To </w:t>
      </w:r>
      <w:r w:rsidR="00F56F6D">
        <w:t>be fully enabled</w:t>
      </w:r>
      <w:r w:rsidR="001C0FCD">
        <w:t xml:space="preserve">, the ’180 patent would need to </w:t>
      </w:r>
      <w:r w:rsidR="00F56F6D">
        <w:t xml:space="preserve">teach </w:t>
      </w:r>
      <w:r w:rsidR="001C0FCD">
        <w:t xml:space="preserve">labeling polynucleotides </w:t>
      </w:r>
      <w:r w:rsidR="00F56F6D">
        <w:t>in such a way</w:t>
      </w:r>
      <w:r w:rsidR="001C0FCD">
        <w:t xml:space="preserve"> that so-labeled probes could hybridize with other nucleotide strands and be detected.</w:t>
      </w:r>
      <w:r w:rsidR="001C0FCD">
        <w:rPr>
          <w:rStyle w:val="FootnoteReference"/>
        </w:rPr>
        <w:footnoteReference w:id="318"/>
      </w:r>
      <w:r w:rsidR="001C0FCD">
        <w:t xml:space="preserve">  In other words, the</w:t>
      </w:r>
      <w:r w:rsidR="003D0D9B">
        <w:t>se</w:t>
      </w:r>
      <w:r w:rsidR="001C0FCD">
        <w:t xml:space="preserve"> claims were</w:t>
      </w:r>
      <w:r w:rsidR="003D0D9B">
        <w:t xml:space="preserve"> necessarily</w:t>
      </w:r>
      <w:r w:rsidR="001C0FCD">
        <w:t xml:space="preserve"> limited not just by structure but by</w:t>
      </w:r>
      <w:r w:rsidR="00F56F6D">
        <w:t xml:space="preserve"> </w:t>
      </w:r>
      <w:r w:rsidR="001C0FCD">
        <w:t xml:space="preserve">functionality, much as the claims in </w:t>
      </w:r>
      <w:r w:rsidR="001C0FCD" w:rsidRPr="00B47024">
        <w:rPr>
          <w:i/>
          <w:iCs/>
        </w:rPr>
        <w:t>Wyeth and Cordis Corp. v. Abbott Laboratories</w:t>
      </w:r>
      <w:r w:rsidR="001C0FCD">
        <w:t>.</w:t>
      </w:r>
      <w:r w:rsidR="001C0FCD">
        <w:rPr>
          <w:rStyle w:val="FootnoteReference"/>
        </w:rPr>
        <w:footnoteReference w:id="319"/>
      </w:r>
      <w:r w:rsidR="001C0FCD">
        <w:t xml:space="preserve"> </w:t>
      </w:r>
      <w:r w:rsidR="00C32CEC">
        <w:t xml:space="preserve"> </w:t>
      </w:r>
      <w:r w:rsidR="00AF702C">
        <w:t xml:space="preserve">But “[t]he </w:t>
      </w:r>
      <w:r w:rsidR="00AF702C" w:rsidRPr="00AF702C">
        <w:t xml:space="preserve">specification’s guidance as to how </w:t>
      </w:r>
      <w:r w:rsidR="00B03EF8">
        <w:t>[various]</w:t>
      </w:r>
      <w:r w:rsidR="00AF702C" w:rsidRPr="00AF702C">
        <w:t xml:space="preserve"> variables would or would not impact the functionality of the claimed probes </w:t>
      </w:r>
      <w:r w:rsidR="00AF702C">
        <w:t>[wa]</w:t>
      </w:r>
      <w:r w:rsidR="00AF702C" w:rsidRPr="00AF702C">
        <w:t>s sparse</w:t>
      </w:r>
      <w:r w:rsidR="00AF702C">
        <w:t>.”</w:t>
      </w:r>
      <w:r w:rsidR="00AF702C">
        <w:rPr>
          <w:rStyle w:val="FootnoteReference"/>
        </w:rPr>
        <w:footnoteReference w:id="320"/>
      </w:r>
      <w:r w:rsidR="00DA0587">
        <w:t xml:space="preserve">  </w:t>
      </w:r>
      <w:r w:rsidR="00213B25">
        <w:t xml:space="preserve">Among the </w:t>
      </w:r>
      <w:r w:rsidR="005722CF">
        <w:t xml:space="preserve">variables </w:t>
      </w:r>
      <w:r w:rsidR="00C32CEC">
        <w:t>complicating</w:t>
      </w:r>
      <w:r w:rsidR="005722CF">
        <w:t xml:space="preserve"> enablement</w:t>
      </w:r>
      <w:r w:rsidR="00C32CEC">
        <w:t xml:space="preserve"> were the</w:t>
      </w:r>
      <w:r w:rsidR="00213B25">
        <w:t xml:space="preserve"> b</w:t>
      </w:r>
      <w:r w:rsidR="00DA0587">
        <w:t xml:space="preserve">road </w:t>
      </w:r>
      <w:r w:rsidR="00213B25">
        <w:t>types</w:t>
      </w:r>
      <w:r w:rsidR="00DA0587">
        <w:t xml:space="preserve"> of non-radioactive labels </w:t>
      </w:r>
      <w:r w:rsidR="00C32CEC">
        <w:t xml:space="preserve">that </w:t>
      </w:r>
      <w:r w:rsidR="005722CF">
        <w:t>had been</w:t>
      </w:r>
      <w:r w:rsidR="00DA0587">
        <w:t xml:space="preserve"> claimed</w:t>
      </w:r>
      <w:r w:rsidR="00213B25">
        <w:t xml:space="preserve">, </w:t>
      </w:r>
      <w:r w:rsidR="00C32CEC">
        <w:t>and the</w:t>
      </w:r>
      <w:r w:rsidR="00B03EF8">
        <w:t xml:space="preserve"> broad set</w:t>
      </w:r>
      <w:r w:rsidR="00213B25">
        <w:t>s</w:t>
      </w:r>
      <w:r w:rsidR="00B03EF8">
        <w:t xml:space="preserve"> of nucleotide positions</w:t>
      </w:r>
      <w:r w:rsidR="00213B25">
        <w:t xml:space="preserve"> for those labe</w:t>
      </w:r>
      <w:r w:rsidR="00333FFA">
        <w:t xml:space="preserve">ls.  </w:t>
      </w:r>
      <w:r w:rsidR="003D0D9B">
        <w:t>Skilled artisans at the time believed that attaching non-radioactive labels at positions other than a known few would complicate hybridization.  Enzo’s own expert conceded</w:t>
      </w:r>
      <w:r w:rsidR="004E27D6">
        <w:t xml:space="preserve"> </w:t>
      </w:r>
      <w:r w:rsidR="00E1674E">
        <w:t>testing would have been necessary for each position</w:t>
      </w:r>
      <w:r w:rsidR="004E27D6">
        <w:t>.</w:t>
      </w:r>
      <w:r w:rsidR="003D0D9B">
        <w:rPr>
          <w:rStyle w:val="FootnoteReference"/>
        </w:rPr>
        <w:footnoteReference w:id="321"/>
      </w:r>
      <w:r w:rsidR="00E1674E">
        <w:t xml:space="preserve">  Yet t</w:t>
      </w:r>
      <w:r w:rsidR="003D0D9B">
        <w:t>ens of thousands if not millions of embodiments were within the ’180 patent’s claims.</w:t>
      </w:r>
      <w:r w:rsidR="003D0D9B">
        <w:rPr>
          <w:rStyle w:val="FootnoteReference"/>
        </w:rPr>
        <w:footnoteReference w:id="322"/>
      </w:r>
      <w:r w:rsidR="003D0D9B">
        <w:t xml:space="preserve">  And the one “working” example provided appeared on inspection to be a paper example.</w:t>
      </w:r>
      <w:r w:rsidR="003D0D9B">
        <w:rPr>
          <w:rStyle w:val="FootnoteReference"/>
        </w:rPr>
        <w:footnoteReference w:id="323"/>
      </w:r>
      <w:r w:rsidR="003D0D9B">
        <w:t xml:space="preserve">  The ’405 patent shared the same specification, but claimed even more embodiments.</w:t>
      </w:r>
      <w:r w:rsidR="003D0D9B">
        <w:rPr>
          <w:rStyle w:val="FootnoteReference"/>
        </w:rPr>
        <w:footnoteReference w:id="324"/>
      </w:r>
      <w:r w:rsidR="003D0D9B">
        <w:t xml:space="preserve">  Both were held </w:t>
      </w:r>
      <w:r w:rsidR="000A0BF7">
        <w:t>unenabled</w:t>
      </w:r>
      <w:r w:rsidR="003D0D9B">
        <w:t>.</w:t>
      </w:r>
    </w:p>
    <w:p w14:paraId="059CE45E" w14:textId="7B5DE3AD" w:rsidR="00314234" w:rsidRPr="00314234" w:rsidRDefault="00314234" w:rsidP="00136E52">
      <w:pPr>
        <w:pStyle w:val="Heading4"/>
      </w:pPr>
      <w:bookmarkStart w:id="40" w:name="_Toc26792765"/>
      <w:r>
        <w:rPr>
          <w:i/>
        </w:rPr>
        <w:lastRenderedPageBreak/>
        <w:t xml:space="preserve">Nuvo Pharms. (Ireland) Designated Activity Co. </w:t>
      </w:r>
      <w:r w:rsidRPr="00117CA1">
        <w:rPr>
          <w:i/>
        </w:rPr>
        <w:t xml:space="preserve"> v. </w:t>
      </w:r>
      <w:r>
        <w:rPr>
          <w:i/>
        </w:rPr>
        <w:t>Dr. Reddy’s Labs. Inc.</w:t>
      </w:r>
      <w:r w:rsidRPr="000449CA">
        <w:t xml:space="preserve">, </w:t>
      </w:r>
      <w:r>
        <w:t>923 F.3d 1368</w:t>
      </w:r>
      <w:r w:rsidRPr="000449CA">
        <w:t xml:space="preserve"> (Fed. Cir. </w:t>
      </w:r>
      <w:r>
        <w:t>May 15</w:t>
      </w:r>
      <w:r w:rsidRPr="000449CA">
        <w:t xml:space="preserve">, </w:t>
      </w:r>
      <w:r>
        <w:t>2019</w:t>
      </w:r>
      <w:r w:rsidRPr="000449CA">
        <w:t>)</w:t>
      </w:r>
      <w:bookmarkEnd w:id="40"/>
    </w:p>
    <w:p w14:paraId="4D425135" w14:textId="40B046A0" w:rsidR="00314234" w:rsidRDefault="00314234" w:rsidP="00314234">
      <w:r>
        <w:tab/>
        <w:t>In this appeal from the District of New Jersey,</w:t>
      </w:r>
      <w:r w:rsidR="00FB45EB">
        <w:t xml:space="preserve"> the Federal Circuit reverse</w:t>
      </w:r>
      <w:r w:rsidR="00B878E6">
        <w:t>d</w:t>
      </w:r>
      <w:r w:rsidR="00406E85">
        <w:t xml:space="preserve"> and found patents invalid for lack of written description</w:t>
      </w:r>
      <w:r w:rsidR="00917E66">
        <w:t>.</w:t>
      </w:r>
      <w:r w:rsidR="00B878E6">
        <w:rPr>
          <w:rStyle w:val="FootnoteReference"/>
        </w:rPr>
        <w:footnoteReference w:id="325"/>
      </w:r>
      <w:r w:rsidR="00917E66">
        <w:t xml:space="preserve">  </w:t>
      </w:r>
      <w:r w:rsidR="0049697E">
        <w:t>T</w:t>
      </w:r>
      <w:r w:rsidR="00B878E6">
        <w:t>he</w:t>
      </w:r>
      <w:r w:rsidR="00FB45EB">
        <w:t xml:space="preserve"> “</w:t>
      </w:r>
      <w:r w:rsidR="00FB45EB" w:rsidRPr="00DD4379">
        <w:t>specification provide</w:t>
      </w:r>
      <w:r w:rsidR="00B878E6">
        <w:t>[d]</w:t>
      </w:r>
      <w:r w:rsidR="00FB45EB" w:rsidRPr="00DD4379">
        <w:t xml:space="preserve"> nothing more than the mere claim that uncoated </w:t>
      </w:r>
      <w:r w:rsidR="00B878E6">
        <w:t>[proton-pump inhibitors (“PPI”)]</w:t>
      </w:r>
      <w:r w:rsidR="00FB45EB" w:rsidRPr="00DD4379">
        <w:t xml:space="preserve"> might work,</w:t>
      </w:r>
      <w:r w:rsidR="0049697E">
        <w:t>” and</w:t>
      </w:r>
      <w:r w:rsidR="00F37109">
        <w:t xml:space="preserve"> yet</w:t>
      </w:r>
      <w:r w:rsidR="00FB45EB" w:rsidRPr="00DD4379">
        <w:t xml:space="preserve"> </w:t>
      </w:r>
      <w:r w:rsidR="0049697E">
        <w:t>“</w:t>
      </w:r>
      <w:r w:rsidR="00FB45EB" w:rsidRPr="00DD4379">
        <w:t>persons of ordinary skill in</w:t>
      </w:r>
      <w:r w:rsidR="0049697E">
        <w:t xml:space="preserve"> the art would not have thought” this so;</w:t>
      </w:r>
      <w:r w:rsidR="00FB45EB" w:rsidRPr="00DD4379">
        <w:t xml:space="preserve"> </w:t>
      </w:r>
      <w:r w:rsidR="0049697E">
        <w:t>“</w:t>
      </w:r>
      <w:r w:rsidR="00FB45EB" w:rsidRPr="00DD4379">
        <w:t xml:space="preserve">the specification </w:t>
      </w:r>
      <w:r w:rsidR="0049697E">
        <w:t>[was therefore]</w:t>
      </w:r>
      <w:r w:rsidR="00FB45EB" w:rsidRPr="00DD4379">
        <w:t xml:space="preserve"> fatally flawed.</w:t>
      </w:r>
      <w:r w:rsidR="00FB45EB">
        <w:t>”</w:t>
      </w:r>
      <w:r w:rsidR="00FB45EB">
        <w:rPr>
          <w:rStyle w:val="FootnoteReference"/>
        </w:rPr>
        <w:footnoteReference w:id="326"/>
      </w:r>
    </w:p>
    <w:p w14:paraId="3F54B50E" w14:textId="7A19E8BC" w:rsidR="00BE1400" w:rsidRDefault="00BE1400" w:rsidP="00314234">
      <w:r>
        <w:tab/>
        <w:t xml:space="preserve">The case </w:t>
      </w:r>
      <w:r w:rsidR="004F458E">
        <w:t xml:space="preserve">concerned </w:t>
      </w:r>
      <w:r w:rsidR="00607895">
        <w:t>Nuvo’s</w:t>
      </w:r>
      <w:r w:rsidR="004F458E">
        <w:t xml:space="preserve"> ’</w:t>
      </w:r>
      <w:r w:rsidR="003350B9">
        <w:t>907 and ’285 patents</w:t>
      </w:r>
      <w:r w:rsidR="00607895">
        <w:t>, which teach combining a</w:t>
      </w:r>
      <w:r w:rsidR="003350B9">
        <w:t xml:space="preserve"> non-steroidal anti-inflammatory drug (</w:t>
      </w:r>
      <w:r w:rsidR="003758E1">
        <w:t xml:space="preserve">“NSAID,” </w:t>
      </w:r>
      <w:r w:rsidR="003350B9">
        <w:t>like aspirin</w:t>
      </w:r>
      <w:r w:rsidR="003758E1">
        <w:t xml:space="preserve"> or naproxen</w:t>
      </w:r>
      <w:r w:rsidR="003350B9">
        <w:t xml:space="preserve">) </w:t>
      </w:r>
      <w:r w:rsidR="00607895">
        <w:t>with an</w:t>
      </w:r>
      <w:r w:rsidR="003350B9">
        <w:t xml:space="preserve"> </w:t>
      </w:r>
      <w:r w:rsidR="003619F4">
        <w:t>acid inhibitor</w:t>
      </w:r>
      <w:r w:rsidR="0020345F">
        <w:t xml:space="preserve"> (like PPIs)</w:t>
      </w:r>
      <w:r w:rsidR="003619F4">
        <w:t xml:space="preserve"> in one tablet for coordinated </w:t>
      </w:r>
      <w:r w:rsidR="00607895">
        <w:t>release</w:t>
      </w:r>
      <w:r w:rsidR="003619F4">
        <w:t>.</w:t>
      </w:r>
      <w:r w:rsidR="00BD61FF">
        <w:rPr>
          <w:rStyle w:val="FootnoteReference"/>
        </w:rPr>
        <w:footnoteReference w:id="327"/>
      </w:r>
      <w:r w:rsidR="00E343D2">
        <w:t xml:space="preserve">  </w:t>
      </w:r>
      <w:r w:rsidR="000E2C9D">
        <w:t>Generic drug makers</w:t>
      </w:r>
      <w:r w:rsidR="00E343D2">
        <w:t xml:space="preserve"> argued the </w:t>
      </w:r>
      <w:r w:rsidR="00B0682F">
        <w:t>patent lacked written description, and that undisclosed inventions were covered by the claims</w:t>
      </w:r>
      <w:r w:rsidR="0066158A">
        <w:t xml:space="preserve">.  </w:t>
      </w:r>
      <w:r w:rsidR="009F46E7">
        <w:t xml:space="preserve">Among other things, </w:t>
      </w:r>
      <w:r w:rsidR="00C67443">
        <w:t xml:space="preserve">the </w:t>
      </w:r>
      <w:r w:rsidR="00CD627F">
        <w:t>patents</w:t>
      </w:r>
      <w:r w:rsidR="003021EE">
        <w:t xml:space="preserve"> </w:t>
      </w:r>
      <w:r w:rsidR="00B0775F">
        <w:t xml:space="preserve">were said to lack </w:t>
      </w:r>
      <w:r w:rsidR="00E92B67">
        <w:t>possession of the claimed</w:t>
      </w:r>
      <w:r w:rsidR="00B0775F">
        <w:t xml:space="preserve"> </w:t>
      </w:r>
      <w:r w:rsidR="00E92B67">
        <w:t>effectiveness</w:t>
      </w:r>
      <w:r w:rsidR="00B0775F">
        <w:t xml:space="preserve"> of uncoated anti-acids</w:t>
      </w:r>
      <w:r w:rsidR="00E92B67">
        <w:t xml:space="preserve"> (specifically of</w:t>
      </w:r>
      <w:r w:rsidR="00CD627F">
        <w:t xml:space="preserve"> uncoated</w:t>
      </w:r>
      <w:r w:rsidR="00E92B67">
        <w:t xml:space="preserve"> proton pump inhibitors (“PPI”))</w:t>
      </w:r>
      <w:r w:rsidR="00B0775F">
        <w:t xml:space="preserve">.  But the district court found that the written description of the disadvantages of coating </w:t>
      </w:r>
      <w:r w:rsidR="00DA5554">
        <w:t xml:space="preserve">the </w:t>
      </w:r>
      <w:r w:rsidR="00B0775F">
        <w:t>anti-acids sufficed</w:t>
      </w:r>
      <w:r w:rsidR="00C11FAD">
        <w:t xml:space="preserve"> to show possession</w:t>
      </w:r>
      <w:r w:rsidR="00BB0043">
        <w:t>.</w:t>
      </w:r>
      <w:r w:rsidR="00BB0043">
        <w:rPr>
          <w:rStyle w:val="FootnoteReference"/>
        </w:rPr>
        <w:footnoteReference w:id="328"/>
      </w:r>
    </w:p>
    <w:p w14:paraId="73992CAD" w14:textId="0187B093" w:rsidR="00022157" w:rsidRDefault="00E92B67" w:rsidP="00CD627F">
      <w:r>
        <w:tab/>
        <w:t xml:space="preserve">On appeal, </w:t>
      </w:r>
      <w:r w:rsidR="00E82D48">
        <w:t>the federal circuit reversed.</w:t>
      </w:r>
      <w:r w:rsidR="00E82D48">
        <w:rPr>
          <w:rStyle w:val="FootnoteReference"/>
        </w:rPr>
        <w:footnoteReference w:id="329"/>
      </w:r>
      <w:r w:rsidR="00CD627F">
        <w:t xml:space="preserve">  </w:t>
      </w:r>
      <w:r w:rsidR="006028CF">
        <w:t xml:space="preserve">The court first rejected any new reading of the claims that would omit </w:t>
      </w:r>
      <w:r w:rsidR="00DA5554">
        <w:t>a</w:t>
      </w:r>
      <w:r w:rsidR="006028CF">
        <w:t xml:space="preserve"> claim to the effectiveness of uncoated anti-acids</w:t>
      </w:r>
      <w:r w:rsidR="00AD174D">
        <w:t>.</w:t>
      </w:r>
      <w:r w:rsidR="007C3292">
        <w:rPr>
          <w:rStyle w:val="FootnoteReference"/>
        </w:rPr>
        <w:footnoteReference w:id="330"/>
      </w:r>
      <w:r w:rsidR="005715ED">
        <w:t xml:space="preserve">  </w:t>
      </w:r>
      <w:r w:rsidR="00B41A70">
        <w:t>Moving to the substance, the</w:t>
      </w:r>
      <w:r w:rsidR="001041D8">
        <w:t xml:space="preserve"> court </w:t>
      </w:r>
      <w:r w:rsidR="00A3625C">
        <w:t>at first</w:t>
      </w:r>
      <w:r w:rsidR="00B41A70">
        <w:t xml:space="preserve"> </w:t>
      </w:r>
      <w:r w:rsidR="002224FE">
        <w:t>disagreed</w:t>
      </w:r>
      <w:r w:rsidR="00F841E6">
        <w:t xml:space="preserve"> with the patent’s challengers that experimental data</w:t>
      </w:r>
      <w:r w:rsidR="00B41A70">
        <w:t xml:space="preserve">, which was not included </w:t>
      </w:r>
      <w:r w:rsidR="007C2B35">
        <w:t>in the specifications</w:t>
      </w:r>
      <w:r w:rsidR="00B41A70">
        <w:t>,</w:t>
      </w:r>
      <w:r w:rsidR="00F841E6">
        <w:t xml:space="preserve"> was necessary to show possession.</w:t>
      </w:r>
      <w:r w:rsidR="00F841E6">
        <w:rPr>
          <w:rStyle w:val="FootnoteReference"/>
        </w:rPr>
        <w:footnoteReference w:id="331"/>
      </w:r>
      <w:r w:rsidR="00F841E6">
        <w:t xml:space="preserve">  But </w:t>
      </w:r>
      <w:r w:rsidR="00A3625C">
        <w:t xml:space="preserve">it agreed with the challengers that, in any case, </w:t>
      </w:r>
      <w:r w:rsidR="00B41A70">
        <w:t xml:space="preserve">no </w:t>
      </w:r>
      <w:r w:rsidR="00F841E6">
        <w:t>statements</w:t>
      </w:r>
      <w:r w:rsidR="00A3625C">
        <w:t xml:space="preserve"> that were included</w:t>
      </w:r>
      <w:r w:rsidR="00F841E6">
        <w:t xml:space="preserve"> </w:t>
      </w:r>
      <w:r w:rsidR="00A3625C">
        <w:t>s</w:t>
      </w:r>
      <w:r w:rsidR="00B41A70">
        <w:t>uffice</w:t>
      </w:r>
      <w:r w:rsidR="00A3625C">
        <w:t>d</w:t>
      </w:r>
      <w:r w:rsidR="007C2B35">
        <w:t xml:space="preserve"> to show possession:</w:t>
      </w:r>
      <w:r w:rsidR="00F841E6">
        <w:t xml:space="preserve"> not t</w:t>
      </w:r>
      <w:r w:rsidR="002224FE">
        <w:t xml:space="preserve">he </w:t>
      </w:r>
      <w:r w:rsidR="00F841E6">
        <w:t>claims</w:t>
      </w:r>
      <w:r w:rsidR="001041D8">
        <w:t xml:space="preserve"> themselves, </w:t>
      </w:r>
      <w:r w:rsidR="00F841E6">
        <w:t xml:space="preserve">not </w:t>
      </w:r>
      <w:r w:rsidR="001041D8">
        <w:t xml:space="preserve">descriptions calling for effective amounts of PPI generally and of the PPI omeprazole in particular, and </w:t>
      </w:r>
      <w:r w:rsidR="00F841E6">
        <w:t>not descriptions of</w:t>
      </w:r>
      <w:r w:rsidR="002224FE">
        <w:t xml:space="preserve"> the</w:t>
      </w:r>
      <w:r w:rsidR="001041D8">
        <w:t xml:space="preserve"> </w:t>
      </w:r>
      <w:r w:rsidR="00A3625C">
        <w:t xml:space="preserve">required </w:t>
      </w:r>
      <w:r w:rsidR="001041D8">
        <w:t>concentrations of PPI.</w:t>
      </w:r>
      <w:r w:rsidR="001B6CCA">
        <w:rPr>
          <w:rStyle w:val="FootnoteReference"/>
        </w:rPr>
        <w:footnoteReference w:id="332"/>
      </w:r>
      <w:r w:rsidR="00367BF3">
        <w:t xml:space="preserve"> </w:t>
      </w:r>
      <w:r w:rsidR="001B6CCA">
        <w:t xml:space="preserve"> These</w:t>
      </w:r>
      <w:r w:rsidR="00367BF3">
        <w:t xml:space="preserve"> </w:t>
      </w:r>
      <w:r w:rsidR="00566728">
        <w:t xml:space="preserve">statements </w:t>
      </w:r>
      <w:r w:rsidR="00367BF3">
        <w:t>“recite</w:t>
      </w:r>
      <w:r w:rsidR="002224FE">
        <w:t>[d]</w:t>
      </w:r>
      <w:r w:rsidR="00367BF3">
        <w:t xml:space="preserve"> the </w:t>
      </w:r>
      <w:r w:rsidR="00566728">
        <w:t>claim limitation,”</w:t>
      </w:r>
      <w:r w:rsidR="00566728">
        <w:rPr>
          <w:rStyle w:val="FootnoteReference"/>
        </w:rPr>
        <w:footnoteReference w:id="333"/>
      </w:r>
      <w:r w:rsidR="00566728">
        <w:t xml:space="preserve"> but “</w:t>
      </w:r>
      <w:r w:rsidR="00366198">
        <w:t xml:space="preserve">reproducing the claim language </w:t>
      </w:r>
      <w:r w:rsidR="00366198">
        <w:rPr>
          <w:i/>
          <w:iCs/>
        </w:rPr>
        <w:t>in ipsis verbis</w:t>
      </w:r>
      <w:r w:rsidR="00366198">
        <w:t xml:space="preserve"> in the specification</w:t>
      </w:r>
      <w:r w:rsidR="00566728">
        <w:t>”</w:t>
      </w:r>
      <w:r w:rsidR="00366198">
        <w:t xml:space="preserve"> is</w:t>
      </w:r>
      <w:r w:rsidR="00367BF3" w:rsidRPr="00367BF3">
        <w:t xml:space="preserve"> not enough.</w:t>
      </w:r>
      <w:r w:rsidR="00367BF3">
        <w:rPr>
          <w:rStyle w:val="FootnoteReference"/>
        </w:rPr>
        <w:footnoteReference w:id="334"/>
      </w:r>
      <w:r w:rsidR="00C57747">
        <w:t xml:space="preserve"> </w:t>
      </w:r>
      <w:r w:rsidR="00322558">
        <w:t xml:space="preserve"> Moreover, </w:t>
      </w:r>
      <w:r w:rsidR="00BA302A">
        <w:t>though</w:t>
      </w:r>
      <w:r w:rsidR="00322558">
        <w:t xml:space="preserve"> possession must be apprised from the four corners of the specification, the inventor’s own testimony at trial </w:t>
      </w:r>
      <w:r w:rsidR="00B54B17">
        <w:t>suggested a</w:t>
      </w:r>
      <w:r w:rsidR="00322558">
        <w:t xml:space="preserve"> lack of possession.</w:t>
      </w:r>
      <w:r w:rsidR="00322558">
        <w:rPr>
          <w:rStyle w:val="FootnoteReference"/>
        </w:rPr>
        <w:footnoteReference w:id="335"/>
      </w:r>
      <w:r w:rsidR="00322558">
        <w:t xml:space="preserve">  </w:t>
      </w:r>
      <w:r w:rsidR="00C57747">
        <w:t xml:space="preserve"> </w:t>
      </w:r>
    </w:p>
    <w:p w14:paraId="18969516" w14:textId="502CF435" w:rsidR="00E92B67" w:rsidRPr="0090789D" w:rsidRDefault="00022157" w:rsidP="0090789D">
      <w:pPr>
        <w:ind w:firstLine="720"/>
      </w:pPr>
      <w:r>
        <w:t xml:space="preserve">Finally, the Federal Circuit addressed </w:t>
      </w:r>
      <w:r w:rsidR="00CE0CA6">
        <w:t>an inherency argument.  An adequately enabled invention is sometimes but not always adequately described, as the policy purposes of the latter doctrine are different from the former.</w:t>
      </w:r>
      <w:r w:rsidR="00CE0CA6">
        <w:rPr>
          <w:rStyle w:val="FootnoteReference"/>
        </w:rPr>
        <w:footnoteReference w:id="336"/>
      </w:r>
      <w:r w:rsidR="00CE0CA6">
        <w:t xml:space="preserve">  </w:t>
      </w:r>
      <w:r w:rsidR="00F65E8B">
        <w:t xml:space="preserve">This case contrasted with </w:t>
      </w:r>
      <w:r w:rsidR="00F65E8B">
        <w:lastRenderedPageBreak/>
        <w:t>that of</w:t>
      </w:r>
      <w:r w:rsidR="00ED1933">
        <w:t xml:space="preserve"> </w:t>
      </w:r>
      <w:r w:rsidR="00ED1933" w:rsidRPr="00ED1933">
        <w:rPr>
          <w:i/>
          <w:iCs/>
        </w:rPr>
        <w:t>Allergan, Inc. v. Sandoz Inc.</w:t>
      </w:r>
      <w:r w:rsidR="00ED1933" w:rsidRPr="00ED1933">
        <w:t>, 796 F.3d 1293</w:t>
      </w:r>
      <w:r w:rsidR="00ED1933">
        <w:t xml:space="preserve"> </w:t>
      </w:r>
      <w:r w:rsidR="00ED1933" w:rsidRPr="00ED1933">
        <w:t>(Fed. Cir. 2015)</w:t>
      </w:r>
      <w:r w:rsidR="00F65E8B">
        <w:t xml:space="preserve">.  There, </w:t>
      </w:r>
      <w:r w:rsidR="00ED1933">
        <w:t>the patentee</w:t>
      </w:r>
      <w:r w:rsidR="00CE0CA6">
        <w:t xml:space="preserve"> </w:t>
      </w:r>
      <w:r w:rsidR="00ED1933">
        <w:t xml:space="preserve">satisfied written description </w:t>
      </w:r>
      <w:r w:rsidR="00F65E8B">
        <w:t>by</w:t>
      </w:r>
      <w:r w:rsidR="00ED1933">
        <w:t xml:space="preserve"> showing </w:t>
      </w:r>
      <w:r w:rsidR="00CE0CA6">
        <w:t>first that the</w:t>
      </w:r>
      <w:r w:rsidR="009C7811">
        <w:t xml:space="preserve"> specification included </w:t>
      </w:r>
      <w:r w:rsidR="00ED1933">
        <w:t xml:space="preserve">experimental data </w:t>
      </w:r>
      <w:r w:rsidR="00CE0CA6">
        <w:t>revealing</w:t>
      </w:r>
      <w:r w:rsidR="00ED1933">
        <w:t xml:space="preserve"> </w:t>
      </w:r>
      <w:r w:rsidR="00F65E8B">
        <w:t>a trend in</w:t>
      </w:r>
      <w:r w:rsidR="00A054AC">
        <w:t xml:space="preserve"> effectiveness</w:t>
      </w:r>
      <w:r w:rsidR="00ED1933">
        <w:t xml:space="preserve"> and</w:t>
      </w:r>
      <w:r w:rsidR="00CE0CA6">
        <w:t xml:space="preserve"> second</w:t>
      </w:r>
      <w:r w:rsidR="00ED1933">
        <w:t xml:space="preserve"> </w:t>
      </w:r>
      <w:r w:rsidR="009C7811">
        <w:t>that the claims</w:t>
      </w:r>
      <w:r w:rsidR="00372FD2">
        <w:t xml:space="preserve"> </w:t>
      </w:r>
      <w:r w:rsidR="009C7811">
        <w:t>specified</w:t>
      </w:r>
      <w:r w:rsidR="00ED1933">
        <w:t xml:space="preserve"> an exact</w:t>
      </w:r>
      <w:r w:rsidR="00372FD2">
        <w:t xml:space="preserve">, effective </w:t>
      </w:r>
      <w:r w:rsidR="009C7811">
        <w:t xml:space="preserve">formulation — </w:t>
      </w:r>
      <w:r w:rsidR="00ED1933">
        <w:t xml:space="preserve">even </w:t>
      </w:r>
      <w:r w:rsidR="00CE0CA6">
        <w:t>though</w:t>
      </w:r>
      <w:r w:rsidR="00ED1933">
        <w:t xml:space="preserve"> </w:t>
      </w:r>
      <w:r w:rsidR="00CE0CA6">
        <w:t>this</w:t>
      </w:r>
      <w:r w:rsidR="00ED1933">
        <w:t xml:space="preserve"> </w:t>
      </w:r>
      <w:r w:rsidR="009C7811">
        <w:t>formulation</w:t>
      </w:r>
      <w:r w:rsidR="00CE0CA6">
        <w:t xml:space="preserve"> was not</w:t>
      </w:r>
      <w:r w:rsidR="009C7811">
        <w:t xml:space="preserve"> disclosed </w:t>
      </w:r>
      <w:r w:rsidR="00F65E8B">
        <w:t xml:space="preserve">in the </w:t>
      </w:r>
      <w:r w:rsidR="009C7811">
        <w:t>data</w:t>
      </w:r>
      <w:r w:rsidR="00A054AC">
        <w:t>.</w:t>
      </w:r>
      <w:r w:rsidR="00A054AC">
        <w:rPr>
          <w:rStyle w:val="FootnoteReference"/>
        </w:rPr>
        <w:footnoteReference w:id="337"/>
      </w:r>
      <w:r w:rsidR="00A054AC">
        <w:t xml:space="preserve"> </w:t>
      </w:r>
      <w:r w:rsidR="00F65E8B">
        <w:t xml:space="preserve"> H</w:t>
      </w:r>
      <w:r w:rsidR="009C7811">
        <w:t xml:space="preserve">ere, </w:t>
      </w:r>
      <w:r w:rsidR="00F65E8B">
        <w:t>by contrast</w:t>
      </w:r>
      <w:r w:rsidR="009C7811">
        <w:t xml:space="preserve">, </w:t>
      </w:r>
      <w:r w:rsidR="00F65E8B">
        <w:t>n</w:t>
      </w:r>
      <w:r w:rsidR="00A054AC">
        <w:t xml:space="preserve">o </w:t>
      </w:r>
      <w:r w:rsidR="0090789D">
        <w:t xml:space="preserve">experimental </w:t>
      </w:r>
      <w:r w:rsidR="00A054AC">
        <w:t>data</w:t>
      </w:r>
      <w:r w:rsidR="0090789D">
        <w:t xml:space="preserve"> was provided</w:t>
      </w:r>
      <w:r w:rsidR="009C7811">
        <w:t>, and the parties disputed whether uncoated PPI was ever inherently effective</w:t>
      </w:r>
      <w:r w:rsidR="0090789D">
        <w:t>.</w:t>
      </w:r>
      <w:r w:rsidR="0090789D">
        <w:rPr>
          <w:rStyle w:val="FootnoteReference"/>
        </w:rPr>
        <w:footnoteReference w:id="338"/>
      </w:r>
      <w:r w:rsidR="00A054AC">
        <w:t xml:space="preserve">  </w:t>
      </w:r>
    </w:p>
    <w:p w14:paraId="3E6DF672" w14:textId="1E6436F4" w:rsidR="000449CA" w:rsidRPr="000449CA" w:rsidRDefault="000449CA" w:rsidP="00136E52">
      <w:pPr>
        <w:pStyle w:val="Heading4"/>
      </w:pPr>
      <w:bookmarkStart w:id="41" w:name="_Toc26792766"/>
      <w:r>
        <w:rPr>
          <w:i/>
        </w:rPr>
        <w:t>Centrak, Inc</w:t>
      </w:r>
      <w:r w:rsidRPr="00117CA1">
        <w:rPr>
          <w:i/>
        </w:rPr>
        <w:t xml:space="preserve">. v. </w:t>
      </w:r>
      <w:r>
        <w:rPr>
          <w:i/>
        </w:rPr>
        <w:t>Sonitor Techs.</w:t>
      </w:r>
      <w:r w:rsidRPr="00117CA1">
        <w:rPr>
          <w:i/>
        </w:rPr>
        <w:t xml:space="preserve">. </w:t>
      </w:r>
      <w:r w:rsidRPr="000449CA">
        <w:rPr>
          <w:i/>
        </w:rPr>
        <w:t>Inc.</w:t>
      </w:r>
      <w:r w:rsidRPr="000449CA">
        <w:t xml:space="preserve">, 915 F.3d 1360 (Fed. Cir. Feb. </w:t>
      </w:r>
      <w:r>
        <w:t>1</w:t>
      </w:r>
      <w:r w:rsidRPr="000449CA">
        <w:t xml:space="preserve">4, </w:t>
      </w:r>
      <w:r>
        <w:t>2019</w:t>
      </w:r>
      <w:r w:rsidRPr="000449CA">
        <w:t>)</w:t>
      </w:r>
      <w:bookmarkEnd w:id="41"/>
    </w:p>
    <w:p w14:paraId="77D75BA2" w14:textId="7CBC75BA" w:rsidR="000449CA" w:rsidRDefault="000449CA" w:rsidP="000449CA">
      <w:pPr>
        <w:ind w:firstLine="720"/>
        <w:rPr>
          <w:rFonts w:cs="Times New Roman"/>
        </w:rPr>
      </w:pPr>
      <w:r w:rsidRPr="00677ABE">
        <w:rPr>
          <w:rFonts w:cs="Times New Roman"/>
        </w:rPr>
        <w:t xml:space="preserve">In this appeal from </w:t>
      </w:r>
      <w:r w:rsidR="00132F6C">
        <w:rPr>
          <w:rFonts w:cs="Times New Roman"/>
        </w:rPr>
        <w:t>the District Court of Delawa</w:t>
      </w:r>
      <w:r w:rsidR="001B0412">
        <w:rPr>
          <w:rFonts w:cs="Times New Roman"/>
        </w:rPr>
        <w:t>re, the Federal Circuit reversed the District Court’s summary judgment of invalidity for lack of written description.</w:t>
      </w:r>
      <w:r w:rsidR="00047771" w:rsidRPr="005A669A">
        <w:rPr>
          <w:rStyle w:val="FootnoteReference"/>
        </w:rPr>
        <w:footnoteReference w:id="339"/>
      </w:r>
    </w:p>
    <w:p w14:paraId="6BAF47BE" w14:textId="6CFA457D" w:rsidR="00AC38A3" w:rsidRDefault="00AC38A3" w:rsidP="00E7147A">
      <w:pPr>
        <w:ind w:firstLine="720"/>
        <w:rPr>
          <w:rFonts w:cs="Times New Roman"/>
        </w:rPr>
      </w:pPr>
      <w:r>
        <w:rPr>
          <w:rFonts w:cs="Times New Roman"/>
        </w:rPr>
        <w:t>The ’909 patent</w:t>
      </w:r>
      <w:r w:rsidR="002E193A">
        <w:rPr>
          <w:rFonts w:cs="Times New Roman"/>
        </w:rPr>
        <w:t>-in-suit</w:t>
      </w:r>
      <w:r>
        <w:rPr>
          <w:rFonts w:cs="Times New Roman"/>
        </w:rPr>
        <w:t xml:space="preserve"> was a divisional application of the issued ’945 patent; </w:t>
      </w:r>
      <w:r w:rsidR="002E193A">
        <w:rPr>
          <w:rFonts w:cs="Times New Roman"/>
        </w:rPr>
        <w:t xml:space="preserve">while </w:t>
      </w:r>
      <w:r>
        <w:rPr>
          <w:rFonts w:cs="Times New Roman"/>
        </w:rPr>
        <w:t>both</w:t>
      </w:r>
      <w:r w:rsidR="002F4CC2">
        <w:rPr>
          <w:rFonts w:cs="Times New Roman"/>
        </w:rPr>
        <w:t xml:space="preserve"> patents</w:t>
      </w:r>
      <w:r>
        <w:rPr>
          <w:rFonts w:cs="Times New Roman"/>
        </w:rPr>
        <w:t xml:space="preserve"> concerned </w:t>
      </w:r>
      <w:r w:rsidR="00047771">
        <w:rPr>
          <w:rFonts w:cs="Times New Roman"/>
        </w:rPr>
        <w:t xml:space="preserve">systems for </w:t>
      </w:r>
      <w:r w:rsidR="002E193A">
        <w:rPr>
          <w:rFonts w:cs="Times New Roman"/>
        </w:rPr>
        <w:t>synchronizing</w:t>
      </w:r>
      <w:r w:rsidR="00047771">
        <w:rPr>
          <w:rFonts w:cs="Times New Roman"/>
        </w:rPr>
        <w:t xml:space="preserve"> </w:t>
      </w:r>
      <w:r w:rsidR="002E193A">
        <w:rPr>
          <w:rFonts w:cs="Times New Roman"/>
        </w:rPr>
        <w:t>timing</w:t>
      </w:r>
      <w:r w:rsidR="00047771">
        <w:rPr>
          <w:rFonts w:cs="Times New Roman"/>
        </w:rPr>
        <w:t xml:space="preserve"> between a base station and portable devices, the ’909 claims disclosed</w:t>
      </w:r>
      <w:r w:rsidR="002E193A">
        <w:rPr>
          <w:rFonts w:cs="Times New Roman"/>
        </w:rPr>
        <w:t xml:space="preserve"> synchronizing </w:t>
      </w:r>
      <w:r w:rsidR="002F4CC2">
        <w:rPr>
          <w:rFonts w:cs="Times New Roman"/>
        </w:rPr>
        <w:t>using</w:t>
      </w:r>
      <w:r w:rsidR="00047771">
        <w:rPr>
          <w:rFonts w:cs="Times New Roman"/>
        </w:rPr>
        <w:t xml:space="preserve"> ultrasonic communication, whereas the ’945 claims disclosed </w:t>
      </w:r>
      <w:r w:rsidR="002E193A">
        <w:rPr>
          <w:rFonts w:cs="Times New Roman"/>
        </w:rPr>
        <w:t xml:space="preserve">doing so through </w:t>
      </w:r>
      <w:r w:rsidR="00047771">
        <w:rPr>
          <w:rFonts w:cs="Times New Roman"/>
        </w:rPr>
        <w:t>infrared or radio frequency communications.</w:t>
      </w:r>
      <w:r w:rsidR="00047771" w:rsidRPr="005A669A">
        <w:rPr>
          <w:rStyle w:val="FootnoteReference"/>
        </w:rPr>
        <w:footnoteReference w:id="340"/>
      </w:r>
      <w:r w:rsidR="002E193A">
        <w:rPr>
          <w:rFonts w:cs="Times New Roman"/>
        </w:rPr>
        <w:t xml:space="preserve"> </w:t>
      </w:r>
      <w:r w:rsidR="0039346F">
        <w:rPr>
          <w:rFonts w:cs="Times New Roman"/>
        </w:rPr>
        <w:t xml:space="preserve">Only two sentences in the </w:t>
      </w:r>
      <w:r w:rsidR="002F4CC2">
        <w:rPr>
          <w:rFonts w:cs="Times New Roman"/>
        </w:rPr>
        <w:t>parent’s</w:t>
      </w:r>
      <w:r w:rsidR="00E7147A">
        <w:rPr>
          <w:rFonts w:cs="Times New Roman"/>
        </w:rPr>
        <w:t xml:space="preserve"> specification concerned the ultrasonic communication. Sonitor alleged Centrak had not possessed the ultrasound-based RTL system</w:t>
      </w:r>
      <w:r w:rsidR="002F4CC2">
        <w:rPr>
          <w:rFonts w:cs="Times New Roman"/>
        </w:rPr>
        <w:t xml:space="preserve"> when it filed the parent application</w:t>
      </w:r>
      <w:r w:rsidR="00E7147A">
        <w:rPr>
          <w:rFonts w:cs="Times New Roman"/>
        </w:rPr>
        <w:t>.</w:t>
      </w:r>
      <w:r w:rsidR="00E7147A" w:rsidRPr="005A669A">
        <w:rPr>
          <w:rStyle w:val="FootnoteReference"/>
        </w:rPr>
        <w:footnoteReference w:id="341"/>
      </w:r>
      <w:r w:rsidR="00E7147A">
        <w:rPr>
          <w:rFonts w:cs="Times New Roman"/>
        </w:rPr>
        <w:t xml:space="preserve"> The district court agreed: “</w:t>
      </w:r>
      <w:r w:rsidR="0020272E">
        <w:rPr>
          <w:rFonts w:cs="Times New Roman"/>
        </w:rPr>
        <w:t>[O]</w:t>
      </w:r>
      <w:r w:rsidR="00E7147A" w:rsidRPr="00E7147A">
        <w:rPr>
          <w:rFonts w:cs="Times New Roman"/>
        </w:rPr>
        <w:t>ne could not simply drop [an ultrasonic] transmitter into</w:t>
      </w:r>
      <w:r w:rsidR="00E7147A">
        <w:rPr>
          <w:rFonts w:cs="Times New Roman"/>
        </w:rPr>
        <w:t xml:space="preserve"> </w:t>
      </w:r>
      <w:r w:rsidR="00E7147A" w:rsidRPr="00E7147A">
        <w:rPr>
          <w:rFonts w:cs="Times New Roman"/>
        </w:rPr>
        <w:t>the system as disclosed in the specification and have a functioning [ultrasonic] system</w:t>
      </w:r>
      <w:r w:rsidR="0094043E">
        <w:rPr>
          <w:rFonts w:cs="Times New Roman"/>
        </w:rPr>
        <w:t>,</w:t>
      </w:r>
      <w:r w:rsidR="00E7147A">
        <w:rPr>
          <w:rFonts w:cs="Times New Roman"/>
        </w:rPr>
        <w:t>”</w:t>
      </w:r>
      <w:r w:rsidR="0020272E" w:rsidRPr="005A669A">
        <w:rPr>
          <w:rStyle w:val="FootnoteReference"/>
        </w:rPr>
        <w:footnoteReference w:id="342"/>
      </w:r>
      <w:r w:rsidR="0094043E">
        <w:rPr>
          <w:rFonts w:cs="Times New Roman"/>
        </w:rPr>
        <w:t xml:space="preserve"> because the two “fundamentally different” technologies operat</w:t>
      </w:r>
      <w:r w:rsidR="00E62153">
        <w:rPr>
          <w:rFonts w:cs="Times New Roman"/>
        </w:rPr>
        <w:t>ed</w:t>
      </w:r>
      <w:r w:rsidR="0094043E">
        <w:rPr>
          <w:rFonts w:cs="Times New Roman"/>
        </w:rPr>
        <w:t xml:space="preserve"> at speeds six orders of magnitude apart</w:t>
      </w:r>
      <w:r w:rsidR="003F2E9F">
        <w:rPr>
          <w:rFonts w:cs="Times New Roman"/>
        </w:rPr>
        <w:t>, posing implementation challenges for ultrasonic systems</w:t>
      </w:r>
      <w:r w:rsidR="00E62153">
        <w:rPr>
          <w:rFonts w:cs="Times New Roman"/>
        </w:rPr>
        <w:t xml:space="preserve"> that the specifications did not address</w:t>
      </w:r>
      <w:r w:rsidR="003F2E9F">
        <w:rPr>
          <w:rFonts w:cs="Times New Roman"/>
        </w:rPr>
        <w:t>.</w:t>
      </w:r>
      <w:r w:rsidR="0094043E" w:rsidRPr="005A669A">
        <w:rPr>
          <w:rStyle w:val="FootnoteReference"/>
        </w:rPr>
        <w:footnoteReference w:id="343"/>
      </w:r>
      <w:r w:rsidR="0094043E">
        <w:rPr>
          <w:rFonts w:cs="Times New Roman"/>
        </w:rPr>
        <w:t xml:space="preserve"> </w:t>
      </w:r>
    </w:p>
    <w:p w14:paraId="770B70A6" w14:textId="4D70B676" w:rsidR="001B0412" w:rsidRPr="00331266" w:rsidRDefault="001B0412" w:rsidP="00331266">
      <w:pPr>
        <w:ind w:firstLine="720"/>
        <w:rPr>
          <w:rFonts w:cs="Times New Roman"/>
        </w:rPr>
      </w:pPr>
      <w:r>
        <w:rPr>
          <w:rFonts w:cs="Times New Roman"/>
        </w:rPr>
        <w:t>On appeal, the Federal Circuit reversed.</w:t>
      </w:r>
      <w:r w:rsidR="00B211D0" w:rsidRPr="005A669A">
        <w:rPr>
          <w:rStyle w:val="FootnoteReference"/>
        </w:rPr>
        <w:footnoteReference w:id="344"/>
      </w:r>
      <w:r>
        <w:rPr>
          <w:rFonts w:cs="Times New Roman"/>
        </w:rPr>
        <w:t xml:space="preserve"> </w:t>
      </w:r>
      <w:r w:rsidR="003F2E9F">
        <w:rPr>
          <w:rFonts w:cs="Times New Roman"/>
        </w:rPr>
        <w:t xml:space="preserve">First, it clarified </w:t>
      </w:r>
      <w:r w:rsidR="00393802">
        <w:rPr>
          <w:rFonts w:cs="Times New Roman"/>
        </w:rPr>
        <w:t>that</w:t>
      </w:r>
      <w:r w:rsidR="003F2E9F">
        <w:rPr>
          <w:rFonts w:cs="Times New Roman"/>
        </w:rPr>
        <w:t xml:space="preserve"> </w:t>
      </w:r>
      <w:r w:rsidR="00393802">
        <w:rPr>
          <w:rFonts w:cs="Times New Roman"/>
        </w:rPr>
        <w:t xml:space="preserve">written description (stressing </w:t>
      </w:r>
      <w:r w:rsidR="00852A89">
        <w:rPr>
          <w:rFonts w:cs="Times New Roman"/>
        </w:rPr>
        <w:t>possession</w:t>
      </w:r>
      <w:r w:rsidR="00393802">
        <w:rPr>
          <w:rFonts w:cs="Times New Roman"/>
        </w:rPr>
        <w:t>) is a separate requirement from</w:t>
      </w:r>
      <w:r w:rsidR="003F2E9F">
        <w:rPr>
          <w:rFonts w:cs="Times New Roman"/>
        </w:rPr>
        <w:t xml:space="preserve"> enablement.</w:t>
      </w:r>
      <w:r w:rsidR="003F2E9F" w:rsidRPr="005A669A">
        <w:rPr>
          <w:rStyle w:val="FootnoteReference"/>
        </w:rPr>
        <w:footnoteReference w:id="345"/>
      </w:r>
      <w:r w:rsidR="00393802">
        <w:rPr>
          <w:rFonts w:cs="Times New Roman"/>
        </w:rPr>
        <w:t xml:space="preserve"> </w:t>
      </w:r>
      <w:r w:rsidR="00852A89">
        <w:rPr>
          <w:rFonts w:cs="Times New Roman"/>
        </w:rPr>
        <w:t xml:space="preserve">And </w:t>
      </w:r>
      <w:r w:rsidR="00331266" w:rsidRPr="00331266">
        <w:rPr>
          <w:rFonts w:cs="Times New Roman"/>
        </w:rPr>
        <w:t>“the level of</w:t>
      </w:r>
      <w:r w:rsidR="00331266">
        <w:rPr>
          <w:rFonts w:cs="Times New Roman"/>
        </w:rPr>
        <w:t xml:space="preserve"> </w:t>
      </w:r>
      <w:r w:rsidR="00331266" w:rsidRPr="00331266">
        <w:rPr>
          <w:rFonts w:cs="Times New Roman"/>
        </w:rPr>
        <w:t>detail required to satisfy the written description requirement varies depending on the nature and scope of the claims and on the complexity and predictability of the relevant technology.</w:t>
      </w:r>
      <w:r w:rsidR="00331266">
        <w:rPr>
          <w:rFonts w:cs="Times New Roman"/>
        </w:rPr>
        <w:t>”</w:t>
      </w:r>
      <w:r w:rsidR="00331266" w:rsidRPr="005A669A">
        <w:rPr>
          <w:rStyle w:val="FootnoteReference"/>
        </w:rPr>
        <w:footnoteReference w:id="346"/>
      </w:r>
      <w:r w:rsidR="00852A89">
        <w:rPr>
          <w:rFonts w:cs="Times New Roman"/>
        </w:rPr>
        <w:t xml:space="preserve"> </w:t>
      </w:r>
      <w:r w:rsidR="00E71DA7">
        <w:rPr>
          <w:rFonts w:cs="Times New Roman"/>
        </w:rPr>
        <w:t>This</w:t>
      </w:r>
      <w:r w:rsidR="003639B4">
        <w:rPr>
          <w:rFonts w:cs="Times New Roman"/>
        </w:rPr>
        <w:t xml:space="preserve"> means that</w:t>
      </w:r>
      <w:r w:rsidR="00852A89">
        <w:rPr>
          <w:rFonts w:cs="Times New Roman"/>
        </w:rPr>
        <w:t xml:space="preserve"> </w:t>
      </w:r>
      <w:r w:rsidR="005807C6">
        <w:rPr>
          <w:rFonts w:cs="Times New Roman"/>
        </w:rPr>
        <w:t>calling out an embodiment “in a definite way”</w:t>
      </w:r>
      <w:r w:rsidR="005807C6" w:rsidRPr="005A669A">
        <w:rPr>
          <w:rStyle w:val="FootnoteReference"/>
        </w:rPr>
        <w:footnoteReference w:id="347"/>
      </w:r>
      <w:r w:rsidR="005807C6">
        <w:rPr>
          <w:rFonts w:cs="Times New Roman"/>
        </w:rPr>
        <w:t xml:space="preserve"> may satisfy written description e</w:t>
      </w:r>
      <w:r w:rsidR="00852A89">
        <w:rPr>
          <w:rFonts w:cs="Times New Roman"/>
        </w:rPr>
        <w:t xml:space="preserve">ven where </w:t>
      </w:r>
      <w:r w:rsidR="002A4DD9">
        <w:rPr>
          <w:rFonts w:cs="Times New Roman"/>
        </w:rPr>
        <w:t>the patent’s</w:t>
      </w:r>
      <w:r w:rsidR="00852A89">
        <w:rPr>
          <w:rFonts w:cs="Times New Roman"/>
        </w:rPr>
        <w:t xml:space="preserve"> specification focuse</w:t>
      </w:r>
      <w:r w:rsidR="002A4DD9">
        <w:rPr>
          <w:rFonts w:cs="Times New Roman"/>
        </w:rPr>
        <w:t>s</w:t>
      </w:r>
      <w:r w:rsidR="00852A89">
        <w:rPr>
          <w:rFonts w:cs="Times New Roman"/>
        </w:rPr>
        <w:t xml:space="preserve"> primarily on </w:t>
      </w:r>
      <w:r w:rsidR="00852A89">
        <w:rPr>
          <w:rFonts w:cs="Times New Roman"/>
        </w:rPr>
        <w:lastRenderedPageBreak/>
        <w:t>a different embodiment</w:t>
      </w:r>
      <w:r w:rsidR="003B10E3" w:rsidRPr="003B10E3">
        <w:rPr>
          <w:rFonts w:cs="Times New Roman"/>
          <w:i/>
        </w:rPr>
        <w:t>.</w:t>
      </w:r>
      <w:r w:rsidR="003B10E3" w:rsidRPr="005A669A">
        <w:rPr>
          <w:rStyle w:val="FootnoteReference"/>
        </w:rPr>
        <w:footnoteReference w:id="348"/>
      </w:r>
      <w:r w:rsidR="002A4DD9">
        <w:rPr>
          <w:rFonts w:cs="Times New Roman"/>
        </w:rPr>
        <w:t xml:space="preserve"> </w:t>
      </w:r>
      <w:r w:rsidR="00DC5F7A">
        <w:rPr>
          <w:rFonts w:cs="Times New Roman"/>
        </w:rPr>
        <w:t>Moreover, here</w:t>
      </w:r>
      <w:r w:rsidR="00FA5EF1">
        <w:rPr>
          <w:rFonts w:cs="Times New Roman"/>
        </w:rPr>
        <w:t xml:space="preserve">, </w:t>
      </w:r>
      <w:r w:rsidR="00F41E6C">
        <w:rPr>
          <w:rFonts w:cs="Times New Roman"/>
        </w:rPr>
        <w:t xml:space="preserve">a </w:t>
      </w:r>
      <w:r w:rsidR="00DC5F7A">
        <w:rPr>
          <w:rFonts w:cs="Times New Roman"/>
        </w:rPr>
        <w:t>slight</w:t>
      </w:r>
      <w:r w:rsidR="00F41E6C">
        <w:rPr>
          <w:rFonts w:cs="Times New Roman"/>
        </w:rPr>
        <w:t xml:space="preserve"> </w:t>
      </w:r>
      <w:r w:rsidR="00783780">
        <w:rPr>
          <w:rFonts w:cs="Times New Roman"/>
        </w:rPr>
        <w:t>reference to the ultrasonic embodiment distinguished this case from other</w:t>
      </w:r>
      <w:r w:rsidR="00FA5EF1">
        <w:rPr>
          <w:rFonts w:cs="Times New Roman"/>
        </w:rPr>
        <w:t xml:space="preserve">s </w:t>
      </w:r>
      <w:r w:rsidR="00783780">
        <w:rPr>
          <w:rFonts w:cs="Times New Roman"/>
        </w:rPr>
        <w:t xml:space="preserve">where </w:t>
      </w:r>
      <w:r w:rsidR="001406E2">
        <w:rPr>
          <w:rFonts w:cs="Times New Roman"/>
        </w:rPr>
        <w:t>the parent application did not mention the questioned embodiment</w:t>
      </w:r>
      <w:r w:rsidR="0049202A">
        <w:rPr>
          <w:rFonts w:cs="Times New Roman"/>
        </w:rPr>
        <w:t xml:space="preserve"> at all</w:t>
      </w:r>
      <w:r w:rsidR="001406E2" w:rsidRPr="002A1311">
        <w:rPr>
          <w:rFonts w:cs="Times New Roman"/>
        </w:rPr>
        <w:t>.</w:t>
      </w:r>
      <w:r w:rsidR="001406E2" w:rsidRPr="005A669A">
        <w:rPr>
          <w:rStyle w:val="FootnoteReference"/>
        </w:rPr>
        <w:footnoteReference w:id="349"/>
      </w:r>
      <w:r w:rsidR="00783780">
        <w:rPr>
          <w:rFonts w:cs="Times New Roman"/>
        </w:rPr>
        <w:t xml:space="preserve"> </w:t>
      </w:r>
      <w:r w:rsidR="00FA5EF1">
        <w:rPr>
          <w:rFonts w:cs="Times New Roman"/>
        </w:rPr>
        <w:t xml:space="preserve">Finally, </w:t>
      </w:r>
      <w:r w:rsidR="002A1311">
        <w:rPr>
          <w:rFonts w:cs="Times New Roman"/>
        </w:rPr>
        <w:t>though the</w:t>
      </w:r>
      <w:r w:rsidR="00FA5EF1">
        <w:rPr>
          <w:rFonts w:cs="Times New Roman"/>
        </w:rPr>
        <w:t xml:space="preserve"> inventor</w:t>
      </w:r>
      <w:r w:rsidR="002A1311">
        <w:rPr>
          <w:rFonts w:cs="Times New Roman"/>
        </w:rPr>
        <w:t xml:space="preserve"> here </w:t>
      </w:r>
      <w:r w:rsidR="0041511E">
        <w:rPr>
          <w:rFonts w:cs="Times New Roman"/>
        </w:rPr>
        <w:t>admitted t</w:t>
      </w:r>
      <w:r w:rsidR="00FA5EF1">
        <w:rPr>
          <w:rFonts w:cs="Times New Roman"/>
        </w:rPr>
        <w:t xml:space="preserve">hat </w:t>
      </w:r>
      <w:r w:rsidR="0041511E">
        <w:rPr>
          <w:rFonts w:cs="Times New Roman"/>
        </w:rPr>
        <w:t>enabling the</w:t>
      </w:r>
      <w:r w:rsidR="00FA5EF1">
        <w:rPr>
          <w:rFonts w:cs="Times New Roman"/>
        </w:rPr>
        <w:t xml:space="preserve"> claims </w:t>
      </w:r>
      <w:r w:rsidR="0041511E">
        <w:rPr>
          <w:rFonts w:cs="Times New Roman"/>
        </w:rPr>
        <w:t>for the ultrasonic</w:t>
      </w:r>
      <w:r w:rsidR="00FA5EF1">
        <w:rPr>
          <w:rFonts w:cs="Times New Roman"/>
        </w:rPr>
        <w:t xml:space="preserve"> embodiment</w:t>
      </w:r>
      <w:r w:rsidR="0041511E">
        <w:rPr>
          <w:rFonts w:cs="Times New Roman"/>
        </w:rPr>
        <w:t xml:space="preserve"> required knowing more than what the claims </w:t>
      </w:r>
      <w:r w:rsidR="009A53FD">
        <w:rPr>
          <w:rFonts w:cs="Times New Roman"/>
        </w:rPr>
        <w:t>themselves disclosed</w:t>
      </w:r>
      <w:r w:rsidR="0041511E">
        <w:rPr>
          <w:rFonts w:cs="Times New Roman"/>
        </w:rPr>
        <w:t>,</w:t>
      </w:r>
      <w:r w:rsidR="00FA5EF1">
        <w:rPr>
          <w:rFonts w:cs="Times New Roman"/>
        </w:rPr>
        <w:t xml:space="preserve"> </w:t>
      </w:r>
      <w:r w:rsidR="0041511E">
        <w:rPr>
          <w:rFonts w:cs="Times New Roman"/>
        </w:rPr>
        <w:t xml:space="preserve">this </w:t>
      </w:r>
      <w:r w:rsidR="009A53FD">
        <w:rPr>
          <w:rFonts w:cs="Times New Roman"/>
        </w:rPr>
        <w:t xml:space="preserve">was to be expected for specifications and claims intended to be read by skilled artisans, and </w:t>
      </w:r>
      <w:r w:rsidR="0041511E">
        <w:rPr>
          <w:rFonts w:cs="Times New Roman"/>
        </w:rPr>
        <w:t>by no means suggested the inventor did not possess</w:t>
      </w:r>
      <w:r w:rsidR="007411B9">
        <w:rPr>
          <w:rFonts w:cs="Times New Roman"/>
        </w:rPr>
        <w:t xml:space="preserve"> the</w:t>
      </w:r>
      <w:r w:rsidR="00FA5EF1">
        <w:rPr>
          <w:rFonts w:cs="Times New Roman"/>
        </w:rPr>
        <w:t xml:space="preserve"> embodiment</w:t>
      </w:r>
      <w:r w:rsidR="007411B9">
        <w:rPr>
          <w:rFonts w:cs="Times New Roman"/>
        </w:rPr>
        <w:t>.</w:t>
      </w:r>
      <w:r w:rsidR="007411B9" w:rsidRPr="005A669A">
        <w:rPr>
          <w:rStyle w:val="FootnoteReference"/>
        </w:rPr>
        <w:footnoteReference w:id="350"/>
      </w:r>
      <w:r w:rsidR="004B7143">
        <w:rPr>
          <w:rFonts w:cs="Times New Roman"/>
        </w:rPr>
        <w:t xml:space="preserve"> </w:t>
      </w:r>
      <w:r w:rsidR="00E40747">
        <w:rPr>
          <w:rFonts w:cs="Times New Roman"/>
        </w:rPr>
        <w:t>The</w:t>
      </w:r>
      <w:r w:rsidR="004B7143">
        <w:rPr>
          <w:rFonts w:cs="Times New Roman"/>
        </w:rPr>
        <w:t xml:space="preserve"> court remanded</w:t>
      </w:r>
      <w:r w:rsidR="005B00F4">
        <w:rPr>
          <w:rFonts w:cs="Times New Roman"/>
        </w:rPr>
        <w:t xml:space="preserve"> for further factual development</w:t>
      </w:r>
      <w:r w:rsidR="004B7143">
        <w:rPr>
          <w:rFonts w:cs="Times New Roman"/>
        </w:rPr>
        <w:t>.</w:t>
      </w:r>
    </w:p>
    <w:p w14:paraId="24B27DDC" w14:textId="1B76DD4F" w:rsidR="00AA2735" w:rsidRPr="00CA2C0A" w:rsidRDefault="00AA2735" w:rsidP="00CA2C0A">
      <w:pPr>
        <w:autoSpaceDE w:val="0"/>
        <w:autoSpaceDN w:val="0"/>
        <w:adjustRightInd w:val="0"/>
        <w:rPr>
          <w:rFonts w:cs="Times New Roman"/>
        </w:rPr>
      </w:pPr>
      <w:r w:rsidRPr="00677ABE">
        <w:rPr>
          <w:rFonts w:cs="Times New Roman"/>
        </w:rPr>
        <w:br w:type="page"/>
      </w:r>
    </w:p>
    <w:p w14:paraId="3851455C" w14:textId="77777777" w:rsidR="00F20B84" w:rsidRDefault="000060D2" w:rsidP="00CA2C0A">
      <w:pPr>
        <w:pStyle w:val="Heading1"/>
        <w:rPr>
          <w:rFonts w:cs="Times New Roman"/>
          <w:szCs w:val="24"/>
        </w:rPr>
      </w:pPr>
      <w:bookmarkStart w:id="42" w:name="_Toc26792767"/>
      <w:r w:rsidRPr="00677ABE">
        <w:rPr>
          <w:rFonts w:cs="Times New Roman"/>
          <w:szCs w:val="24"/>
        </w:rPr>
        <w:lastRenderedPageBreak/>
        <w:t>SECTION 102</w:t>
      </w:r>
      <w:bookmarkEnd w:id="42"/>
    </w:p>
    <w:p w14:paraId="19AAEC0B" w14:textId="5F9E3FC5" w:rsidR="00F20B84" w:rsidRDefault="00450407" w:rsidP="00CA2C0A">
      <w:pPr>
        <w:pStyle w:val="Heading2"/>
        <w:rPr>
          <w:rFonts w:cs="Times New Roman"/>
          <w:szCs w:val="24"/>
        </w:rPr>
      </w:pPr>
      <w:bookmarkStart w:id="43" w:name="_Toc526093270"/>
      <w:bookmarkStart w:id="44" w:name="_Toc26792768"/>
      <w:r w:rsidRPr="00677ABE">
        <w:rPr>
          <w:rFonts w:cs="Times New Roman"/>
          <w:szCs w:val="24"/>
        </w:rPr>
        <w:t>On-Sale Bar</w:t>
      </w:r>
      <w:bookmarkEnd w:id="44"/>
    </w:p>
    <w:p w14:paraId="4A618250" w14:textId="4D2959B4" w:rsidR="00297F26" w:rsidRPr="00297F26" w:rsidRDefault="00297F26" w:rsidP="00136E52">
      <w:pPr>
        <w:pStyle w:val="Heading4"/>
      </w:pPr>
      <w:bookmarkStart w:id="45" w:name="_Toc26792769"/>
      <w:r>
        <w:rPr>
          <w:i/>
        </w:rPr>
        <w:t>Barry v. Medtronic, Inc.</w:t>
      </w:r>
      <w:r>
        <w:t>, 914 F.3d 1310 (Fed. Cir. Jan. 24, 2019)</w:t>
      </w:r>
      <w:bookmarkEnd w:id="45"/>
    </w:p>
    <w:p w14:paraId="1548AF1D" w14:textId="36CE17F4" w:rsidR="00297F26" w:rsidRDefault="00297F26" w:rsidP="00297F26">
      <w:pPr>
        <w:ind w:firstLine="720"/>
        <w:rPr>
          <w:rFonts w:cs="Times New Roman"/>
        </w:rPr>
      </w:pPr>
      <w:r>
        <w:rPr>
          <w:rFonts w:cs="Times New Roman"/>
        </w:rPr>
        <w:t>In this appeal from the Eastern District of Texas, the Federal Circuit affirmed</w:t>
      </w:r>
      <w:r w:rsidR="00465944">
        <w:rPr>
          <w:rFonts w:cs="Times New Roman"/>
        </w:rPr>
        <w:t xml:space="preserve"> </w:t>
      </w:r>
      <w:r>
        <w:rPr>
          <w:rFonts w:cs="Times New Roman"/>
        </w:rPr>
        <w:t xml:space="preserve">that a patent </w:t>
      </w:r>
      <w:r w:rsidR="000E38DB">
        <w:rPr>
          <w:rFonts w:cs="Times New Roman"/>
        </w:rPr>
        <w:t>on methods for correcting spinal column anomalies was not on</w:t>
      </w:r>
      <w:r w:rsidR="005E18D1">
        <w:rPr>
          <w:rFonts w:cs="Times New Roman"/>
        </w:rPr>
        <w:t xml:space="preserve"> </w:t>
      </w:r>
      <w:r w:rsidR="000E38DB">
        <w:rPr>
          <w:rFonts w:cs="Times New Roman"/>
        </w:rPr>
        <w:t>sale before the critical date.</w:t>
      </w:r>
      <w:r w:rsidR="000E38DB" w:rsidRPr="005A669A">
        <w:rPr>
          <w:rStyle w:val="FootnoteReference"/>
        </w:rPr>
        <w:footnoteReference w:id="351"/>
      </w:r>
      <w:r w:rsidR="00465944">
        <w:rPr>
          <w:rFonts w:cs="Times New Roman"/>
        </w:rPr>
        <w:t xml:space="preserve"> </w:t>
      </w:r>
    </w:p>
    <w:p w14:paraId="46AB4168" w14:textId="0F8F747A" w:rsidR="00E822F0" w:rsidRDefault="00E822F0" w:rsidP="00297F26">
      <w:pPr>
        <w:ind w:firstLine="720"/>
        <w:rPr>
          <w:rFonts w:cs="Times New Roman"/>
        </w:rPr>
      </w:pPr>
      <w:r>
        <w:rPr>
          <w:rFonts w:cs="Times New Roman"/>
        </w:rPr>
        <w:t xml:space="preserve">The case concerned the ’358 and ’121 </w:t>
      </w:r>
      <w:r w:rsidR="002B4000">
        <w:rPr>
          <w:rFonts w:cs="Times New Roman"/>
        </w:rPr>
        <w:t xml:space="preserve">patents, which </w:t>
      </w:r>
      <w:r w:rsidR="00EB71F4">
        <w:rPr>
          <w:rFonts w:cs="Times New Roman"/>
        </w:rPr>
        <w:t>disclose method</w:t>
      </w:r>
      <w:r w:rsidR="002F6CEA">
        <w:rPr>
          <w:rFonts w:cs="Times New Roman"/>
        </w:rPr>
        <w:t>s</w:t>
      </w:r>
      <w:r w:rsidR="00EB71F4">
        <w:rPr>
          <w:rFonts w:cs="Times New Roman"/>
        </w:rPr>
        <w:t xml:space="preserve"> of grabbing and simultaneously wrenching</w:t>
      </w:r>
      <w:r w:rsidR="00A022CF">
        <w:rPr>
          <w:rFonts w:cs="Times New Roman"/>
        </w:rPr>
        <w:t xml:space="preserve"> </w:t>
      </w:r>
      <w:r w:rsidR="00EB71F4">
        <w:rPr>
          <w:rFonts w:cs="Times New Roman"/>
        </w:rPr>
        <w:t xml:space="preserve">screws </w:t>
      </w:r>
      <w:r w:rsidR="00781E75">
        <w:rPr>
          <w:rFonts w:cs="Times New Roman"/>
        </w:rPr>
        <w:t>across</w:t>
      </w:r>
      <w:r w:rsidR="00EB71F4">
        <w:rPr>
          <w:rFonts w:cs="Times New Roman"/>
        </w:rPr>
        <w:t xml:space="preserve"> multiple vertebrae</w:t>
      </w:r>
      <w:r w:rsidR="00B62D3F">
        <w:rPr>
          <w:rFonts w:cs="Times New Roman"/>
        </w:rPr>
        <w:t xml:space="preserve"> into alignment</w:t>
      </w:r>
      <w:r w:rsidR="00EB71F4">
        <w:rPr>
          <w:rFonts w:cs="Times New Roman"/>
        </w:rPr>
        <w:t>.</w:t>
      </w:r>
      <w:r w:rsidR="00EB71F4" w:rsidRPr="005A669A">
        <w:rPr>
          <w:rStyle w:val="FootnoteReference"/>
        </w:rPr>
        <w:footnoteReference w:id="352"/>
      </w:r>
      <w:r w:rsidR="00EB71F4">
        <w:rPr>
          <w:rFonts w:cs="Times New Roman"/>
        </w:rPr>
        <w:t xml:space="preserve"> </w:t>
      </w:r>
      <w:r w:rsidR="00A022CF">
        <w:rPr>
          <w:rFonts w:cs="Times New Roman"/>
        </w:rPr>
        <w:t>The</w:t>
      </w:r>
      <w:r w:rsidR="0003379E">
        <w:rPr>
          <w:rFonts w:cs="Times New Roman"/>
        </w:rPr>
        <w:t xml:space="preserve"> critical date for </w:t>
      </w:r>
      <w:r w:rsidR="00C703F2">
        <w:rPr>
          <w:rFonts w:cs="Times New Roman"/>
        </w:rPr>
        <w:t>these pre-AIA</w:t>
      </w:r>
      <w:r w:rsidR="0003379E">
        <w:rPr>
          <w:rFonts w:cs="Times New Roman"/>
        </w:rPr>
        <w:t xml:space="preserve"> patents was December 30, 2003.</w:t>
      </w:r>
      <w:r w:rsidR="0003379E" w:rsidRPr="005A669A">
        <w:rPr>
          <w:rStyle w:val="FootnoteReference"/>
        </w:rPr>
        <w:footnoteReference w:id="353"/>
      </w:r>
      <w:r w:rsidR="0003379E">
        <w:rPr>
          <w:rFonts w:cs="Times New Roman"/>
        </w:rPr>
        <w:t xml:space="preserve"> </w:t>
      </w:r>
      <w:r w:rsidR="001A5F46">
        <w:rPr>
          <w:rFonts w:cs="Times New Roman"/>
        </w:rPr>
        <w:t xml:space="preserve">After modifying </w:t>
      </w:r>
      <w:r w:rsidR="002F6CEA">
        <w:rPr>
          <w:rFonts w:cs="Times New Roman"/>
        </w:rPr>
        <w:t>prior</w:t>
      </w:r>
      <w:r w:rsidR="00781E75">
        <w:rPr>
          <w:rFonts w:cs="Times New Roman"/>
        </w:rPr>
        <w:t>-</w:t>
      </w:r>
      <w:r w:rsidR="002F6CEA">
        <w:rPr>
          <w:rFonts w:cs="Times New Roman"/>
        </w:rPr>
        <w:t>art</w:t>
      </w:r>
      <w:r w:rsidR="001A5F46">
        <w:rPr>
          <w:rFonts w:cs="Times New Roman"/>
        </w:rPr>
        <w:t xml:space="preserve"> devices,</w:t>
      </w:r>
      <w:r w:rsidR="001A5F46" w:rsidRPr="005A669A">
        <w:rPr>
          <w:rStyle w:val="FootnoteReference"/>
        </w:rPr>
        <w:footnoteReference w:id="354"/>
      </w:r>
      <w:r w:rsidR="001A5F46">
        <w:rPr>
          <w:rFonts w:cs="Times New Roman"/>
        </w:rPr>
        <w:t xml:space="preserve"> </w:t>
      </w:r>
      <w:r w:rsidR="00781E75">
        <w:rPr>
          <w:rFonts w:cs="Times New Roman"/>
        </w:rPr>
        <w:t xml:space="preserve">Dr. </w:t>
      </w:r>
      <w:r w:rsidR="001A5F46">
        <w:rPr>
          <w:rFonts w:cs="Times New Roman"/>
        </w:rPr>
        <w:t>Barry</w:t>
      </w:r>
      <w:r w:rsidR="00C7354D">
        <w:rPr>
          <w:rFonts w:cs="Times New Roman"/>
        </w:rPr>
        <w:t xml:space="preserve"> completed three surgeries using prototypes </w:t>
      </w:r>
      <w:r w:rsidR="00F3142B">
        <w:rPr>
          <w:rFonts w:cs="Times New Roman"/>
        </w:rPr>
        <w:t>from</w:t>
      </w:r>
      <w:r w:rsidR="005C6D7B">
        <w:rPr>
          <w:rFonts w:cs="Times New Roman"/>
        </w:rPr>
        <w:t xml:space="preserve"> August</w:t>
      </w:r>
      <w:r w:rsidR="00F3142B">
        <w:rPr>
          <w:rFonts w:cs="Times New Roman"/>
        </w:rPr>
        <w:t>-</w:t>
      </w:r>
      <w:r w:rsidR="005C6D7B">
        <w:rPr>
          <w:rFonts w:cs="Times New Roman"/>
        </w:rPr>
        <w:t>October 2003</w:t>
      </w:r>
      <w:r w:rsidR="00E8484E">
        <w:rPr>
          <w:rFonts w:cs="Times New Roman"/>
        </w:rPr>
        <w:t xml:space="preserve">; </w:t>
      </w:r>
      <w:r w:rsidR="005C6D7B">
        <w:rPr>
          <w:rFonts w:cs="Times New Roman"/>
        </w:rPr>
        <w:t xml:space="preserve">only after </w:t>
      </w:r>
      <w:r w:rsidR="00AA795F">
        <w:rPr>
          <w:rFonts w:cs="Times New Roman"/>
        </w:rPr>
        <w:t xml:space="preserve">a January 2004 follow-up </w:t>
      </w:r>
      <w:r w:rsidR="00F3142B">
        <w:rPr>
          <w:rFonts w:cs="Times New Roman"/>
        </w:rPr>
        <w:t>for the third</w:t>
      </w:r>
      <w:r w:rsidR="005C6D7B">
        <w:rPr>
          <w:rFonts w:cs="Times New Roman"/>
        </w:rPr>
        <w:t xml:space="preserve"> surgery</w:t>
      </w:r>
      <w:r w:rsidR="00644620">
        <w:rPr>
          <w:rFonts w:cs="Times New Roman"/>
        </w:rPr>
        <w:t>, however,</w:t>
      </w:r>
      <w:r w:rsidR="00E8484E">
        <w:rPr>
          <w:rFonts w:cs="Times New Roman"/>
        </w:rPr>
        <w:t xml:space="preserve"> </w:t>
      </w:r>
      <w:r w:rsidR="005C6D7B">
        <w:rPr>
          <w:rFonts w:cs="Times New Roman"/>
        </w:rPr>
        <w:t xml:space="preserve">did </w:t>
      </w:r>
      <w:r w:rsidR="00AA795F">
        <w:rPr>
          <w:rFonts w:cs="Times New Roman"/>
        </w:rPr>
        <w:t>Dr.</w:t>
      </w:r>
      <w:r w:rsidR="002F6CEA">
        <w:rPr>
          <w:rFonts w:cs="Times New Roman"/>
        </w:rPr>
        <w:t> </w:t>
      </w:r>
      <w:r w:rsidR="00AA795F">
        <w:rPr>
          <w:rFonts w:cs="Times New Roman"/>
        </w:rPr>
        <w:t>Barry</w:t>
      </w:r>
      <w:r w:rsidR="005C6D7B">
        <w:rPr>
          <w:rFonts w:cs="Times New Roman"/>
        </w:rPr>
        <w:t xml:space="preserve"> </w:t>
      </w:r>
      <w:r w:rsidR="00F3142B">
        <w:rPr>
          <w:rFonts w:cs="Times New Roman"/>
        </w:rPr>
        <w:t>submit</w:t>
      </w:r>
      <w:r w:rsidR="005C6D7B">
        <w:rPr>
          <w:rFonts w:cs="Times New Roman"/>
        </w:rPr>
        <w:t xml:space="preserve"> his</w:t>
      </w:r>
      <w:r w:rsidR="00AA795F">
        <w:rPr>
          <w:rFonts w:cs="Times New Roman"/>
        </w:rPr>
        <w:t xml:space="preserve"> documented</w:t>
      </w:r>
      <w:r w:rsidR="005C6D7B">
        <w:rPr>
          <w:rFonts w:cs="Times New Roman"/>
        </w:rPr>
        <w:t xml:space="preserve"> </w:t>
      </w:r>
      <w:r w:rsidR="00AA795F">
        <w:rPr>
          <w:rFonts w:cs="Times New Roman"/>
        </w:rPr>
        <w:t>method</w:t>
      </w:r>
      <w:r w:rsidR="005C6D7B">
        <w:rPr>
          <w:rFonts w:cs="Times New Roman"/>
        </w:rPr>
        <w:t xml:space="preserve"> to a conference</w:t>
      </w:r>
      <w:r w:rsidR="00F3142B">
        <w:rPr>
          <w:rFonts w:cs="Times New Roman"/>
        </w:rPr>
        <w:t xml:space="preserve"> for </w:t>
      </w:r>
      <w:r w:rsidR="00B62D3F">
        <w:rPr>
          <w:rFonts w:cs="Times New Roman"/>
        </w:rPr>
        <w:t>presentation</w:t>
      </w:r>
      <w:r w:rsidR="00E8484E">
        <w:rPr>
          <w:rFonts w:cs="Times New Roman"/>
        </w:rPr>
        <w:t>.</w:t>
      </w:r>
      <w:r w:rsidR="005A12E9" w:rsidRPr="005A669A">
        <w:rPr>
          <w:rStyle w:val="FootnoteReference"/>
        </w:rPr>
        <w:footnoteReference w:id="355"/>
      </w:r>
      <w:r w:rsidR="00EB7DEF">
        <w:rPr>
          <w:rFonts w:cs="Times New Roman"/>
        </w:rPr>
        <w:t xml:space="preserve"> The district court held</w:t>
      </w:r>
      <w:r w:rsidR="00470AF4">
        <w:rPr>
          <w:rFonts w:cs="Times New Roman"/>
        </w:rPr>
        <w:t xml:space="preserve"> the surgeries had not triggered</w:t>
      </w:r>
      <w:r w:rsidR="00EB7DEF">
        <w:rPr>
          <w:rFonts w:cs="Times New Roman"/>
        </w:rPr>
        <w:t xml:space="preserve"> § 102(b)’s on-sale bar</w:t>
      </w:r>
      <w:r w:rsidR="00750D4C">
        <w:rPr>
          <w:rFonts w:cs="Times New Roman"/>
        </w:rPr>
        <w:t>.</w:t>
      </w:r>
      <w:r w:rsidR="00750D4C" w:rsidRPr="005A669A">
        <w:rPr>
          <w:rStyle w:val="FootnoteReference"/>
        </w:rPr>
        <w:footnoteReference w:id="356"/>
      </w:r>
      <w:r w:rsidR="00E8484E">
        <w:rPr>
          <w:rFonts w:cs="Times New Roman"/>
        </w:rPr>
        <w:t xml:space="preserve"> </w:t>
      </w:r>
    </w:p>
    <w:p w14:paraId="2B7A29D9" w14:textId="4957AE74" w:rsidR="002A3FFF" w:rsidRDefault="000E0638" w:rsidP="00297F26">
      <w:pPr>
        <w:ind w:firstLine="720"/>
        <w:rPr>
          <w:rFonts w:cs="Times New Roman"/>
        </w:rPr>
      </w:pPr>
      <w:r>
        <w:rPr>
          <w:rFonts w:cs="Times New Roman"/>
        </w:rPr>
        <w:t>On appeal, the Federal Circuit affirmed</w:t>
      </w:r>
      <w:r w:rsidR="00174DB7">
        <w:rPr>
          <w:rFonts w:cs="Times New Roman"/>
        </w:rPr>
        <w:t xml:space="preserve">. </w:t>
      </w:r>
      <w:r w:rsidR="00B62D3F">
        <w:rPr>
          <w:rFonts w:cs="Times New Roman"/>
        </w:rPr>
        <w:t>The</w:t>
      </w:r>
      <w:r w:rsidR="00174DB7">
        <w:rPr>
          <w:rFonts w:cs="Times New Roman"/>
        </w:rPr>
        <w:t xml:space="preserve"> majority and dissent agreed that the patented invention </w:t>
      </w:r>
      <w:r w:rsidR="00BA2108">
        <w:rPr>
          <w:rFonts w:cs="Times New Roman"/>
        </w:rPr>
        <w:t>had been</w:t>
      </w:r>
      <w:r w:rsidR="00174DB7">
        <w:rPr>
          <w:rFonts w:cs="Times New Roman"/>
        </w:rPr>
        <w:t xml:space="preserve"> the subject of a commercial sale</w:t>
      </w:r>
      <w:r w:rsidR="0061091D">
        <w:rPr>
          <w:rFonts w:cs="Times New Roman"/>
        </w:rPr>
        <w:t xml:space="preserve"> when the surgeries were conducted</w:t>
      </w:r>
      <w:r w:rsidR="00E1434C">
        <w:rPr>
          <w:rFonts w:cs="Times New Roman"/>
        </w:rPr>
        <w:t>.</w:t>
      </w:r>
      <w:r w:rsidR="00174DB7" w:rsidRPr="005A669A">
        <w:rPr>
          <w:rStyle w:val="FootnoteReference"/>
        </w:rPr>
        <w:footnoteReference w:id="357"/>
      </w:r>
      <w:r>
        <w:rPr>
          <w:rFonts w:cs="Times New Roman"/>
        </w:rPr>
        <w:t xml:space="preserve"> </w:t>
      </w:r>
      <w:r w:rsidR="006E0B6E">
        <w:rPr>
          <w:rFonts w:cs="Times New Roman"/>
        </w:rPr>
        <w:t>But the majority held</w:t>
      </w:r>
      <w:r w:rsidR="00BA2108">
        <w:rPr>
          <w:rFonts w:cs="Times New Roman"/>
        </w:rPr>
        <w:t xml:space="preserve"> that</w:t>
      </w:r>
      <w:r w:rsidR="006E0B6E">
        <w:rPr>
          <w:rFonts w:cs="Times New Roman"/>
        </w:rPr>
        <w:t xml:space="preserve"> </w:t>
      </w:r>
      <w:r>
        <w:rPr>
          <w:rFonts w:cs="Times New Roman"/>
        </w:rPr>
        <w:t>substantial evidence</w:t>
      </w:r>
      <w:r w:rsidR="00013D8F">
        <w:rPr>
          <w:rFonts w:cs="Times New Roman"/>
        </w:rPr>
        <w:t xml:space="preserve"> existed for the jury</w:t>
      </w:r>
      <w:r>
        <w:rPr>
          <w:rFonts w:cs="Times New Roman"/>
        </w:rPr>
        <w:t xml:space="preserve"> to find </w:t>
      </w:r>
      <w:r w:rsidR="00013D8F">
        <w:rPr>
          <w:rFonts w:cs="Times New Roman"/>
        </w:rPr>
        <w:t>that the</w:t>
      </w:r>
      <w:r>
        <w:rPr>
          <w:rFonts w:cs="Times New Roman"/>
        </w:rPr>
        <w:t xml:space="preserve"> invention</w:t>
      </w:r>
      <w:r w:rsidR="0045771A">
        <w:rPr>
          <w:rFonts w:cs="Times New Roman"/>
        </w:rPr>
        <w:t xml:space="preserve">, </w:t>
      </w:r>
      <w:r w:rsidR="00B62D3F">
        <w:rPr>
          <w:rFonts w:cs="Times New Roman"/>
        </w:rPr>
        <w:t xml:space="preserve">even </w:t>
      </w:r>
      <w:r w:rsidR="0045771A">
        <w:rPr>
          <w:rFonts w:cs="Times New Roman"/>
        </w:rPr>
        <w:t>if on-sale,</w:t>
      </w:r>
      <w:r>
        <w:rPr>
          <w:rFonts w:cs="Times New Roman"/>
        </w:rPr>
        <w:t xml:space="preserve"> </w:t>
      </w:r>
      <w:r w:rsidR="00B96EF4">
        <w:rPr>
          <w:rFonts w:cs="Times New Roman"/>
        </w:rPr>
        <w:t>had</w:t>
      </w:r>
      <w:r>
        <w:rPr>
          <w:rFonts w:cs="Times New Roman"/>
        </w:rPr>
        <w:t xml:space="preserve"> not</w:t>
      </w:r>
      <w:r w:rsidR="00B96EF4">
        <w:rPr>
          <w:rFonts w:cs="Times New Roman"/>
        </w:rPr>
        <w:t xml:space="preserve"> been </w:t>
      </w:r>
      <w:r>
        <w:rPr>
          <w:rFonts w:cs="Times New Roman"/>
        </w:rPr>
        <w:t>“ready for patenting</w:t>
      </w:r>
      <w:r w:rsidR="00F036AC">
        <w:rPr>
          <w:rFonts w:cs="Times New Roman"/>
        </w:rPr>
        <w:t>”</w:t>
      </w:r>
      <w:r w:rsidR="005E725F">
        <w:rPr>
          <w:rFonts w:cs="Times New Roman"/>
        </w:rPr>
        <w:t xml:space="preserve"> </w:t>
      </w:r>
      <w:r w:rsidR="00470AF4">
        <w:rPr>
          <w:rFonts w:cs="Times New Roman"/>
        </w:rPr>
        <w:t>as</w:t>
      </w:r>
      <w:r w:rsidR="00901674">
        <w:rPr>
          <w:rFonts w:cs="Times New Roman"/>
        </w:rPr>
        <w:t xml:space="preserve"> required </w:t>
      </w:r>
      <w:r w:rsidR="006E0B6E">
        <w:rPr>
          <w:rFonts w:cs="Times New Roman"/>
        </w:rPr>
        <w:t>under</w:t>
      </w:r>
      <w:r w:rsidR="00F036AC">
        <w:rPr>
          <w:rFonts w:cs="Times New Roman"/>
        </w:rPr>
        <w:t xml:space="preserve"> </w:t>
      </w:r>
      <w:r w:rsidR="00F036AC">
        <w:rPr>
          <w:rFonts w:cs="Times New Roman"/>
          <w:i/>
        </w:rPr>
        <w:t>Pfaff</w:t>
      </w:r>
      <w:r w:rsidR="00CF5E77" w:rsidRPr="005A669A">
        <w:rPr>
          <w:rStyle w:val="FootnoteReference"/>
        </w:rPr>
        <w:footnoteReference w:id="358"/>
      </w:r>
      <w:r w:rsidR="00A76402">
        <w:rPr>
          <w:rFonts w:cs="Times New Roman"/>
        </w:rPr>
        <w:t>—</w:t>
      </w:r>
      <w:r w:rsidR="00B96EF4">
        <w:rPr>
          <w:rFonts w:cs="Times New Roman"/>
        </w:rPr>
        <w:t xml:space="preserve">and </w:t>
      </w:r>
      <w:r w:rsidR="00F036AC">
        <w:rPr>
          <w:rFonts w:cs="Times New Roman"/>
        </w:rPr>
        <w:t>that</w:t>
      </w:r>
      <w:r w:rsidR="00B96EF4">
        <w:rPr>
          <w:rFonts w:cs="Times New Roman"/>
        </w:rPr>
        <w:t>, in any case,</w:t>
      </w:r>
      <w:r w:rsidR="00D82A08">
        <w:rPr>
          <w:rFonts w:cs="Times New Roman"/>
        </w:rPr>
        <w:t xml:space="preserve"> </w:t>
      </w:r>
      <w:r w:rsidR="00A76402">
        <w:rPr>
          <w:rFonts w:cs="Times New Roman"/>
        </w:rPr>
        <w:t xml:space="preserve">an experimental use exception </w:t>
      </w:r>
      <w:r w:rsidR="00D82A08">
        <w:rPr>
          <w:rFonts w:cs="Times New Roman"/>
        </w:rPr>
        <w:t>applied</w:t>
      </w:r>
      <w:r w:rsidR="00A76402">
        <w:rPr>
          <w:rFonts w:cs="Times New Roman"/>
        </w:rPr>
        <w:t>.</w:t>
      </w:r>
      <w:r w:rsidR="00CF5E77" w:rsidRPr="005A669A">
        <w:rPr>
          <w:rStyle w:val="FootnoteReference"/>
        </w:rPr>
        <w:footnoteReference w:id="359"/>
      </w:r>
      <w:r w:rsidR="00B17597">
        <w:rPr>
          <w:rFonts w:cs="Times New Roman"/>
        </w:rPr>
        <w:t xml:space="preserve"> </w:t>
      </w:r>
    </w:p>
    <w:p w14:paraId="4D36693F" w14:textId="2D523CE6" w:rsidR="000E0638" w:rsidRDefault="00B96EF4" w:rsidP="00297F26">
      <w:pPr>
        <w:ind w:firstLine="720"/>
        <w:rPr>
          <w:rFonts w:cs="Times New Roman"/>
        </w:rPr>
      </w:pPr>
      <w:r>
        <w:rPr>
          <w:rFonts w:cs="Times New Roman"/>
        </w:rPr>
        <w:t>First, the</w:t>
      </w:r>
      <w:r w:rsidR="00B17597">
        <w:rPr>
          <w:rFonts w:cs="Times New Roman"/>
        </w:rPr>
        <w:t xml:space="preserve"> invention was not “ready for patenting</w:t>
      </w:r>
      <w:r w:rsidR="00521053">
        <w:rPr>
          <w:rFonts w:cs="Times New Roman"/>
        </w:rPr>
        <w:t>.</w:t>
      </w:r>
      <w:r w:rsidR="00B17597">
        <w:rPr>
          <w:rFonts w:cs="Times New Roman"/>
        </w:rPr>
        <w:t>”</w:t>
      </w:r>
      <w:r w:rsidR="00521053" w:rsidRPr="00521053">
        <w:t xml:space="preserve"> </w:t>
      </w:r>
      <w:r w:rsidR="00521053">
        <w:t xml:space="preserve">This prong is met </w:t>
      </w:r>
      <w:r w:rsidR="002751CF">
        <w:t xml:space="preserve">either </w:t>
      </w:r>
      <w:r w:rsidR="00521053">
        <w:t>by</w:t>
      </w:r>
      <w:r w:rsidR="00FF0BD8">
        <w:t xml:space="preserve"> an enabling description—which did not exist here—or by</w:t>
      </w:r>
      <w:r w:rsidR="00521053">
        <w:t xml:space="preserve"> reduction to practice.</w:t>
      </w:r>
      <w:r w:rsidR="00521053" w:rsidRPr="005A669A">
        <w:rPr>
          <w:rStyle w:val="FootnoteReference"/>
        </w:rPr>
        <w:footnoteReference w:id="360"/>
      </w:r>
      <w:r w:rsidR="00521053">
        <w:t xml:space="preserve"> A reduction to practice </w:t>
      </w:r>
      <w:r w:rsidR="002751CF">
        <w:t>requires both</w:t>
      </w:r>
      <w:r w:rsidR="00521053">
        <w:t xml:space="preserve"> (1) “perform[ing] a process that [meets] all the [claim] limitations and (2) determining that the invention would work for its intended purpose.”</w:t>
      </w:r>
      <w:r w:rsidR="00521053" w:rsidRPr="005A669A">
        <w:rPr>
          <w:rStyle w:val="FootnoteReference"/>
        </w:rPr>
        <w:footnoteReference w:id="361"/>
      </w:r>
      <w:r w:rsidR="00521053">
        <w:rPr>
          <w:rFonts w:cs="Times New Roman"/>
        </w:rPr>
        <w:t xml:space="preserve"> Here, the majority found </w:t>
      </w:r>
      <w:r w:rsidR="00FF0BD8">
        <w:rPr>
          <w:rFonts w:cs="Times New Roman"/>
        </w:rPr>
        <w:t>that</w:t>
      </w:r>
      <w:r w:rsidR="00013D8F">
        <w:rPr>
          <w:rFonts w:cs="Times New Roman"/>
        </w:rPr>
        <w:t xml:space="preserve"> al</w:t>
      </w:r>
      <w:r w:rsidR="00BE54E8">
        <w:rPr>
          <w:rFonts w:cs="Times New Roman"/>
        </w:rPr>
        <w:t>though</w:t>
      </w:r>
      <w:r w:rsidR="00F75A14">
        <w:rPr>
          <w:rFonts w:cs="Times New Roman"/>
        </w:rPr>
        <w:t xml:space="preserve"> </w:t>
      </w:r>
      <w:r>
        <w:rPr>
          <w:rFonts w:cs="Times New Roman"/>
        </w:rPr>
        <w:t xml:space="preserve">Dr. Barry </w:t>
      </w:r>
      <w:r w:rsidR="00FF0BD8">
        <w:rPr>
          <w:rFonts w:cs="Times New Roman"/>
        </w:rPr>
        <w:t xml:space="preserve">(1) </w:t>
      </w:r>
      <w:r>
        <w:rPr>
          <w:rFonts w:cs="Times New Roman"/>
        </w:rPr>
        <w:t>had practiced all</w:t>
      </w:r>
      <w:r w:rsidR="00F75A14">
        <w:rPr>
          <w:rFonts w:cs="Times New Roman"/>
        </w:rPr>
        <w:t xml:space="preserve"> </w:t>
      </w:r>
      <w:r w:rsidR="006A3F78">
        <w:rPr>
          <w:rFonts w:cs="Times New Roman"/>
        </w:rPr>
        <w:t>claim limitations</w:t>
      </w:r>
      <w:r w:rsidR="00FF0BD8">
        <w:rPr>
          <w:rFonts w:cs="Times New Roman"/>
        </w:rPr>
        <w:t xml:space="preserve"> during the 2003 surgeries</w:t>
      </w:r>
      <w:r w:rsidR="00BE54E8">
        <w:rPr>
          <w:rFonts w:cs="Times New Roman"/>
        </w:rPr>
        <w:t>,</w:t>
      </w:r>
      <w:r w:rsidR="00F75A14" w:rsidRPr="005A669A">
        <w:rPr>
          <w:rStyle w:val="FootnoteReference"/>
        </w:rPr>
        <w:footnoteReference w:id="362"/>
      </w:r>
      <w:r w:rsidR="006A3F78">
        <w:rPr>
          <w:rFonts w:cs="Times New Roman"/>
        </w:rPr>
        <w:t xml:space="preserve"> </w:t>
      </w:r>
      <w:r w:rsidR="00BE54E8">
        <w:rPr>
          <w:rFonts w:cs="Times New Roman"/>
        </w:rPr>
        <w:t xml:space="preserve">he </w:t>
      </w:r>
      <w:r w:rsidR="00FF0BD8">
        <w:rPr>
          <w:rFonts w:cs="Times New Roman"/>
        </w:rPr>
        <w:t xml:space="preserve">(2) </w:t>
      </w:r>
      <w:r w:rsidR="00426F7E">
        <w:rPr>
          <w:rFonts w:cs="Times New Roman"/>
        </w:rPr>
        <w:t xml:space="preserve">had not </w:t>
      </w:r>
      <w:r w:rsidR="00013D8F">
        <w:rPr>
          <w:rFonts w:cs="Times New Roman"/>
        </w:rPr>
        <w:t>recognized</w:t>
      </w:r>
      <w:r w:rsidR="006A3F78">
        <w:rPr>
          <w:rFonts w:cs="Times New Roman"/>
        </w:rPr>
        <w:t xml:space="preserve"> </w:t>
      </w:r>
      <w:r>
        <w:rPr>
          <w:rFonts w:cs="Times New Roman"/>
        </w:rPr>
        <w:t xml:space="preserve">they </w:t>
      </w:r>
      <w:r w:rsidR="00AE62AE">
        <w:rPr>
          <w:rFonts w:cs="Times New Roman"/>
        </w:rPr>
        <w:t>would achieve</w:t>
      </w:r>
      <w:r w:rsidR="006A3F78">
        <w:rPr>
          <w:rFonts w:cs="Times New Roman"/>
        </w:rPr>
        <w:t xml:space="preserve"> their </w:t>
      </w:r>
      <w:r w:rsidR="004439AD">
        <w:rPr>
          <w:rFonts w:cs="Times New Roman"/>
        </w:rPr>
        <w:t xml:space="preserve">intended </w:t>
      </w:r>
      <w:r w:rsidR="006A3F78">
        <w:rPr>
          <w:rFonts w:cs="Times New Roman"/>
        </w:rPr>
        <w:t>purpose</w:t>
      </w:r>
      <w:r w:rsidR="00013D8F">
        <w:rPr>
          <w:rFonts w:cs="Times New Roman"/>
        </w:rPr>
        <w:t xml:space="preserve"> until</w:t>
      </w:r>
      <w:r w:rsidR="00FF0BD8">
        <w:rPr>
          <w:rFonts w:cs="Times New Roman"/>
        </w:rPr>
        <w:t xml:space="preserve"> after</w:t>
      </w:r>
      <w:r w:rsidR="00FF0BD8" w:rsidRPr="00FF0BD8">
        <w:rPr>
          <w:rFonts w:cs="Times New Roman"/>
        </w:rPr>
        <w:t xml:space="preserve"> </w:t>
      </w:r>
      <w:r w:rsidR="00FF0BD8">
        <w:rPr>
          <w:rFonts w:cs="Times New Roman"/>
        </w:rPr>
        <w:t xml:space="preserve">the third surgery’s follow-up appointment in January </w:t>
      </w:r>
      <w:r w:rsidR="00FF0BD8">
        <w:rPr>
          <w:rFonts w:cs="Times New Roman"/>
        </w:rPr>
        <w:lastRenderedPageBreak/>
        <w:t>2004</w:t>
      </w:r>
      <w:r w:rsidR="00013D8F">
        <w:rPr>
          <w:rFonts w:cs="Times New Roman"/>
        </w:rPr>
        <w:t xml:space="preserve">, </w:t>
      </w:r>
      <w:r w:rsidR="00FF7AF1">
        <w:rPr>
          <w:rFonts w:cs="Times New Roman"/>
        </w:rPr>
        <w:t xml:space="preserve">after the </w:t>
      </w:r>
      <w:r w:rsidR="00013D8F">
        <w:rPr>
          <w:rFonts w:cs="Times New Roman"/>
        </w:rPr>
        <w:t>critical date</w:t>
      </w:r>
      <w:r w:rsidR="009E561D">
        <w:rPr>
          <w:rFonts w:cs="Times New Roman"/>
        </w:rPr>
        <w:t>.</w:t>
      </w:r>
      <w:r w:rsidR="006A3F78" w:rsidRPr="005A669A">
        <w:rPr>
          <w:rStyle w:val="FootnoteReference"/>
        </w:rPr>
        <w:footnoteReference w:id="363"/>
      </w:r>
      <w:r>
        <w:rPr>
          <w:rFonts w:cs="Times New Roman"/>
        </w:rPr>
        <w:t xml:space="preserve"> </w:t>
      </w:r>
      <w:r w:rsidR="00C946F6">
        <w:rPr>
          <w:rFonts w:cs="Times New Roman"/>
        </w:rPr>
        <w:t>Mixing experimental use and “ready-for-patenting” considerations,</w:t>
      </w:r>
      <w:r w:rsidR="00C946F6" w:rsidRPr="005A669A">
        <w:rPr>
          <w:rStyle w:val="FootnoteReference"/>
        </w:rPr>
        <w:footnoteReference w:id="364"/>
      </w:r>
      <w:r w:rsidR="00C946F6">
        <w:rPr>
          <w:rFonts w:cs="Times New Roman"/>
        </w:rPr>
        <w:t xml:space="preserve"> the </w:t>
      </w:r>
      <w:r w:rsidR="004439AD">
        <w:rPr>
          <w:rFonts w:cs="Times New Roman"/>
        </w:rPr>
        <w:t>court reasoned this</w:t>
      </w:r>
      <w:r w:rsidR="0022066A">
        <w:rPr>
          <w:rFonts w:cs="Times New Roman"/>
        </w:rPr>
        <w:t xml:space="preserve"> case was like the untested light pole assembly in </w:t>
      </w:r>
      <w:r w:rsidR="0022066A" w:rsidRPr="0022066A">
        <w:rPr>
          <w:rFonts w:cs="Times New Roman"/>
          <w:i/>
        </w:rPr>
        <w:t>Manville</w:t>
      </w:r>
      <w:r w:rsidR="0022066A">
        <w:rPr>
          <w:rFonts w:cs="Times New Roman"/>
        </w:rPr>
        <w:t xml:space="preserve">, or the untested pedestrian alert system in </w:t>
      </w:r>
      <w:r w:rsidR="0022066A">
        <w:rPr>
          <w:rFonts w:cs="Times New Roman"/>
          <w:i/>
        </w:rPr>
        <w:t>Polara</w:t>
      </w:r>
      <w:r w:rsidR="008C5A0B">
        <w:rPr>
          <w:rFonts w:cs="Times New Roman"/>
        </w:rPr>
        <w:t xml:space="preserve">; in </w:t>
      </w:r>
      <w:r w:rsidR="004439AD">
        <w:rPr>
          <w:rFonts w:cs="Times New Roman"/>
        </w:rPr>
        <w:t>those</w:t>
      </w:r>
      <w:r w:rsidR="008C5A0B">
        <w:rPr>
          <w:rFonts w:cs="Times New Roman"/>
        </w:rPr>
        <w:t xml:space="preserve"> cases, </w:t>
      </w:r>
      <w:r w:rsidR="004439AD">
        <w:rPr>
          <w:rFonts w:cs="Times New Roman"/>
        </w:rPr>
        <w:t>though</w:t>
      </w:r>
      <w:r w:rsidR="00E53E7F">
        <w:rPr>
          <w:rFonts w:cs="Times New Roman"/>
        </w:rPr>
        <w:t xml:space="preserve"> </w:t>
      </w:r>
      <w:r w:rsidR="008C5A0B">
        <w:rPr>
          <w:rFonts w:cs="Times New Roman"/>
        </w:rPr>
        <w:t>those</w:t>
      </w:r>
      <w:r w:rsidR="00224C6A">
        <w:rPr>
          <w:rFonts w:cs="Times New Roman"/>
        </w:rPr>
        <w:t xml:space="preserve"> inventions were</w:t>
      </w:r>
      <w:r w:rsidR="008C5A0B">
        <w:rPr>
          <w:rFonts w:cs="Times New Roman"/>
        </w:rPr>
        <w:t xml:space="preserve"> practiced before the critical date</w:t>
      </w:r>
      <w:r w:rsidR="00E53E7F">
        <w:rPr>
          <w:rFonts w:cs="Times New Roman"/>
        </w:rPr>
        <w:t xml:space="preserve">, they were </w:t>
      </w:r>
      <w:r w:rsidR="008C5A0B">
        <w:rPr>
          <w:rFonts w:cs="Times New Roman"/>
        </w:rPr>
        <w:t xml:space="preserve">not </w:t>
      </w:r>
      <w:r w:rsidR="004439AD">
        <w:rPr>
          <w:rFonts w:cs="Times New Roman"/>
        </w:rPr>
        <w:t xml:space="preserve">then </w:t>
      </w:r>
      <w:r w:rsidR="008C5A0B">
        <w:rPr>
          <w:rFonts w:cs="Times New Roman"/>
        </w:rPr>
        <w:t xml:space="preserve">known to work for their </w:t>
      </w:r>
      <w:r w:rsidR="00E53E7F">
        <w:rPr>
          <w:rFonts w:cs="Times New Roman"/>
        </w:rPr>
        <w:t xml:space="preserve">intended </w:t>
      </w:r>
      <w:r w:rsidR="008C5A0B">
        <w:rPr>
          <w:rFonts w:cs="Times New Roman"/>
        </w:rPr>
        <w:t xml:space="preserve">purposes, and </w:t>
      </w:r>
      <w:r w:rsidR="00E53E7F">
        <w:rPr>
          <w:rFonts w:cs="Times New Roman"/>
        </w:rPr>
        <w:t>so</w:t>
      </w:r>
      <w:r w:rsidR="00C40A57">
        <w:rPr>
          <w:rFonts w:cs="Times New Roman"/>
        </w:rPr>
        <w:t xml:space="preserve"> were</w:t>
      </w:r>
      <w:r w:rsidR="00E53E7F">
        <w:rPr>
          <w:rFonts w:cs="Times New Roman"/>
        </w:rPr>
        <w:t xml:space="preserve"> not </w:t>
      </w:r>
      <w:r w:rsidR="00C40A57">
        <w:rPr>
          <w:rFonts w:cs="Times New Roman"/>
        </w:rPr>
        <w:t xml:space="preserve">then </w:t>
      </w:r>
      <w:r w:rsidR="00224C6A">
        <w:rPr>
          <w:rFonts w:cs="Times New Roman"/>
        </w:rPr>
        <w:t>ready</w:t>
      </w:r>
      <w:r w:rsidR="00E53E7F">
        <w:rPr>
          <w:rFonts w:cs="Times New Roman"/>
        </w:rPr>
        <w:t>-</w:t>
      </w:r>
      <w:r w:rsidR="00224C6A">
        <w:rPr>
          <w:rFonts w:cs="Times New Roman"/>
        </w:rPr>
        <w:t>for</w:t>
      </w:r>
      <w:r w:rsidR="00E53E7F">
        <w:rPr>
          <w:rFonts w:cs="Times New Roman"/>
        </w:rPr>
        <w:t>-</w:t>
      </w:r>
      <w:r w:rsidR="00224C6A">
        <w:rPr>
          <w:rFonts w:cs="Times New Roman"/>
        </w:rPr>
        <w:t>patenting.</w:t>
      </w:r>
      <w:r w:rsidR="00224C6A" w:rsidRPr="005A669A">
        <w:rPr>
          <w:rStyle w:val="FootnoteReference"/>
        </w:rPr>
        <w:footnoteReference w:id="365"/>
      </w:r>
      <w:r w:rsidR="00BE0759">
        <w:rPr>
          <w:rFonts w:cs="Times New Roman"/>
        </w:rPr>
        <w:t xml:space="preserve"> </w:t>
      </w:r>
    </w:p>
    <w:p w14:paraId="79F54AAC" w14:textId="66FF1919" w:rsidR="005E725F" w:rsidRDefault="0069048F" w:rsidP="00597AF6">
      <w:pPr>
        <w:ind w:firstLine="720"/>
        <w:rPr>
          <w:rFonts w:cs="Times New Roman"/>
        </w:rPr>
      </w:pPr>
      <w:r>
        <w:rPr>
          <w:rFonts w:cs="Times New Roman"/>
        </w:rPr>
        <w:t>Second</w:t>
      </w:r>
      <w:r w:rsidR="005E725F">
        <w:rPr>
          <w:rFonts w:cs="Times New Roman"/>
        </w:rPr>
        <w:t xml:space="preserve">, </w:t>
      </w:r>
      <w:r w:rsidR="00FE0794">
        <w:rPr>
          <w:rFonts w:cs="Times New Roman"/>
        </w:rPr>
        <w:t>the court suggested that even had the invention been ready</w:t>
      </w:r>
      <w:r w:rsidR="0061091D">
        <w:rPr>
          <w:rFonts w:cs="Times New Roman"/>
        </w:rPr>
        <w:t xml:space="preserve"> </w:t>
      </w:r>
      <w:r w:rsidR="00FE0794">
        <w:rPr>
          <w:rFonts w:cs="Times New Roman"/>
        </w:rPr>
        <w:t>for</w:t>
      </w:r>
      <w:r w:rsidR="0061091D">
        <w:rPr>
          <w:rFonts w:cs="Times New Roman"/>
        </w:rPr>
        <w:t xml:space="preserve"> </w:t>
      </w:r>
      <w:r w:rsidR="00FE0794">
        <w:rPr>
          <w:rFonts w:cs="Times New Roman"/>
        </w:rPr>
        <w:t xml:space="preserve">patenting at the time of sale, </w:t>
      </w:r>
      <w:r w:rsidR="00D64940">
        <w:rPr>
          <w:rFonts w:cs="Times New Roman"/>
        </w:rPr>
        <w:t xml:space="preserve">analyzing the </w:t>
      </w:r>
      <w:r w:rsidR="00D64940">
        <w:rPr>
          <w:rFonts w:cs="Times New Roman"/>
          <w:i/>
        </w:rPr>
        <w:t xml:space="preserve">Clock Spring </w:t>
      </w:r>
      <w:r w:rsidR="00D64940">
        <w:rPr>
          <w:rFonts w:cs="Times New Roman"/>
        </w:rPr>
        <w:t>factors</w:t>
      </w:r>
      <w:r w:rsidR="002D1501">
        <w:rPr>
          <w:rFonts w:cs="Times New Roman"/>
        </w:rPr>
        <w:t xml:space="preserve"> </w:t>
      </w:r>
      <w:r w:rsidR="00E40985">
        <w:rPr>
          <w:rFonts w:cs="Times New Roman"/>
        </w:rPr>
        <w:t>showed</w:t>
      </w:r>
      <w:r w:rsidR="0082364E">
        <w:rPr>
          <w:rFonts w:cs="Times New Roman"/>
        </w:rPr>
        <w:t xml:space="preserve"> the experimental use exception</w:t>
      </w:r>
      <w:r w:rsidR="00FE0794">
        <w:rPr>
          <w:rFonts w:cs="Times New Roman"/>
        </w:rPr>
        <w:t xml:space="preserve"> would have</w:t>
      </w:r>
      <w:r w:rsidR="0082364E">
        <w:rPr>
          <w:rFonts w:cs="Times New Roman"/>
        </w:rPr>
        <w:t xml:space="preserve"> applied</w:t>
      </w:r>
      <w:r w:rsidR="00D64940">
        <w:rPr>
          <w:rFonts w:cs="Times New Roman"/>
        </w:rPr>
        <w:t>.</w:t>
      </w:r>
      <w:r w:rsidR="00D64940" w:rsidRPr="005A669A">
        <w:rPr>
          <w:rStyle w:val="FootnoteReference"/>
        </w:rPr>
        <w:footnoteReference w:id="366"/>
      </w:r>
      <w:r w:rsidR="00353A39">
        <w:rPr>
          <w:rFonts w:cs="Times New Roman"/>
        </w:rPr>
        <w:t xml:space="preserve"> </w:t>
      </w:r>
      <w:r w:rsidR="00533374" w:rsidRPr="00FF7AF1">
        <w:rPr>
          <w:rFonts w:cs="Times New Roman"/>
          <w:color w:val="000000" w:themeColor="text1"/>
        </w:rPr>
        <w:t>T</w:t>
      </w:r>
      <w:r w:rsidR="00A855A0" w:rsidRPr="00FF7AF1">
        <w:rPr>
          <w:rFonts w:cs="Times New Roman"/>
          <w:color w:val="000000" w:themeColor="text1"/>
        </w:rPr>
        <w:t>he</w:t>
      </w:r>
      <w:r w:rsidR="002147F3" w:rsidRPr="00FF7AF1">
        <w:rPr>
          <w:rFonts w:cs="Times New Roman"/>
          <w:color w:val="000000" w:themeColor="text1"/>
        </w:rPr>
        <w:t xml:space="preserve"> court clarified that </w:t>
      </w:r>
      <w:r w:rsidR="00A855A0" w:rsidRPr="00FF7AF1">
        <w:rPr>
          <w:rFonts w:cs="Times New Roman"/>
          <w:color w:val="000000" w:themeColor="text1"/>
        </w:rPr>
        <w:t xml:space="preserve">so long as an inventor maintains control over his invention, </w:t>
      </w:r>
      <w:r w:rsidR="002D03B6" w:rsidRPr="00FF7AF1">
        <w:rPr>
          <w:rFonts w:cs="Times New Roman"/>
          <w:color w:val="000000" w:themeColor="text1"/>
        </w:rPr>
        <w:t>she</w:t>
      </w:r>
      <w:r w:rsidR="000C3597" w:rsidRPr="00FF7AF1">
        <w:rPr>
          <w:rFonts w:cs="Times New Roman"/>
          <w:color w:val="000000" w:themeColor="text1"/>
        </w:rPr>
        <w:t xml:space="preserve"> need not inform </w:t>
      </w:r>
      <w:r w:rsidR="002D03B6" w:rsidRPr="00FF7AF1">
        <w:rPr>
          <w:rFonts w:cs="Times New Roman"/>
          <w:color w:val="000000" w:themeColor="text1"/>
        </w:rPr>
        <w:t>her</w:t>
      </w:r>
      <w:r w:rsidR="00A855A0" w:rsidRPr="00FF7AF1">
        <w:rPr>
          <w:rFonts w:cs="Times New Roman"/>
          <w:color w:val="000000" w:themeColor="text1"/>
        </w:rPr>
        <w:t xml:space="preserve"> customer that the product is experimental in order to </w:t>
      </w:r>
      <w:r w:rsidR="002D03B6" w:rsidRPr="00FF7AF1">
        <w:rPr>
          <w:rFonts w:cs="Times New Roman"/>
          <w:color w:val="000000" w:themeColor="text1"/>
        </w:rPr>
        <w:t>benefit from</w:t>
      </w:r>
      <w:r w:rsidR="00A855A0" w:rsidRPr="00FF7AF1">
        <w:rPr>
          <w:rFonts w:cs="Times New Roman"/>
          <w:color w:val="000000" w:themeColor="text1"/>
        </w:rPr>
        <w:t xml:space="preserve"> </w:t>
      </w:r>
      <w:r w:rsidR="00797873">
        <w:rPr>
          <w:rFonts w:cs="Times New Roman"/>
          <w:color w:val="000000" w:themeColor="text1"/>
        </w:rPr>
        <w:t>the</w:t>
      </w:r>
      <w:r w:rsidR="00075C20" w:rsidRPr="00FF7AF1">
        <w:rPr>
          <w:rFonts w:cs="Times New Roman"/>
          <w:color w:val="000000" w:themeColor="text1"/>
        </w:rPr>
        <w:t xml:space="preserve"> e</w:t>
      </w:r>
      <w:r w:rsidR="00A855A0" w:rsidRPr="00FF7AF1">
        <w:rPr>
          <w:rFonts w:cs="Times New Roman"/>
          <w:color w:val="000000" w:themeColor="text1"/>
        </w:rPr>
        <w:t>xception</w:t>
      </w:r>
      <w:r w:rsidR="00075C20" w:rsidRPr="00FF7AF1">
        <w:rPr>
          <w:rFonts w:cs="Times New Roman"/>
          <w:color w:val="000000" w:themeColor="text1"/>
        </w:rPr>
        <w:t xml:space="preserve"> (that </w:t>
      </w:r>
      <w:r w:rsidR="002D03B6" w:rsidRPr="00FF7AF1">
        <w:rPr>
          <w:rFonts w:cs="Times New Roman"/>
          <w:color w:val="000000" w:themeColor="text1"/>
        </w:rPr>
        <w:t>requirement does apply</w:t>
      </w:r>
      <w:r w:rsidR="00797873">
        <w:rPr>
          <w:rFonts w:cs="Times New Roman"/>
          <w:color w:val="000000" w:themeColor="text1"/>
        </w:rPr>
        <w:t>, however,</w:t>
      </w:r>
      <w:r w:rsidR="002D03B6" w:rsidRPr="00FF7AF1">
        <w:rPr>
          <w:rFonts w:cs="Times New Roman"/>
          <w:color w:val="000000" w:themeColor="text1"/>
        </w:rPr>
        <w:t xml:space="preserve"> where the inventor loses control</w:t>
      </w:r>
      <w:r w:rsidR="00075C20" w:rsidRPr="00FF7AF1">
        <w:rPr>
          <w:rFonts w:cs="Times New Roman"/>
          <w:color w:val="000000" w:themeColor="text1"/>
        </w:rPr>
        <w:t>)</w:t>
      </w:r>
      <w:r w:rsidR="000C3597" w:rsidRPr="00FF7AF1">
        <w:rPr>
          <w:rFonts w:cs="Times New Roman"/>
          <w:color w:val="000000" w:themeColor="text1"/>
        </w:rPr>
        <w:t>.</w:t>
      </w:r>
      <w:r w:rsidR="000C3597" w:rsidRPr="005A669A">
        <w:rPr>
          <w:rStyle w:val="FootnoteReference"/>
        </w:rPr>
        <w:footnoteReference w:id="367"/>
      </w:r>
      <w:r w:rsidR="00132128" w:rsidRPr="00FF7AF1">
        <w:rPr>
          <w:rFonts w:cs="Times New Roman"/>
          <w:color w:val="000000" w:themeColor="text1"/>
        </w:rPr>
        <w:t xml:space="preserve"> </w:t>
      </w:r>
      <w:r w:rsidR="002D03B6" w:rsidRPr="00FF7AF1">
        <w:rPr>
          <w:rFonts w:cs="Times New Roman"/>
          <w:color w:val="000000" w:themeColor="text1"/>
        </w:rPr>
        <w:t xml:space="preserve"> </w:t>
      </w:r>
      <w:r w:rsidR="00075C20" w:rsidRPr="00FF7AF1">
        <w:rPr>
          <w:rFonts w:cs="Times New Roman"/>
          <w:color w:val="000000" w:themeColor="text1"/>
        </w:rPr>
        <w:t xml:space="preserve"> </w:t>
      </w:r>
    </w:p>
    <w:p w14:paraId="5C888FDE" w14:textId="76221E20" w:rsidR="007B11F2" w:rsidRDefault="001015A4" w:rsidP="007142A8">
      <w:pPr>
        <w:ind w:firstLine="720"/>
      </w:pPr>
      <w:r>
        <w:t>Chief Judge Prost dissented.</w:t>
      </w:r>
      <w:r w:rsidRPr="005A669A">
        <w:rPr>
          <w:rStyle w:val="FootnoteReference"/>
        </w:rPr>
        <w:footnoteReference w:id="368"/>
      </w:r>
      <w:r w:rsidR="001D5090">
        <w:t xml:space="preserve"> </w:t>
      </w:r>
      <w:r w:rsidR="005630B5">
        <w:t>She would have held the</w:t>
      </w:r>
      <w:r w:rsidR="00BA5D8B">
        <w:t xml:space="preserve"> invention claimed by the</w:t>
      </w:r>
      <w:r w:rsidR="005630B5">
        <w:t xml:space="preserve"> ’358 patent</w:t>
      </w:r>
      <w:r w:rsidR="00BA5D8B">
        <w:t xml:space="preserve"> </w:t>
      </w:r>
      <w:r w:rsidR="005630B5">
        <w:rPr>
          <w:i/>
        </w:rPr>
        <w:t xml:space="preserve">prima facie </w:t>
      </w:r>
      <w:r w:rsidR="005630B5">
        <w:t>on</w:t>
      </w:r>
      <w:r w:rsidR="00BA5D8B">
        <w:t>-</w:t>
      </w:r>
      <w:r w:rsidR="005630B5">
        <w:t>sale before the critical date.</w:t>
      </w:r>
      <w:r w:rsidR="00BA5D8B" w:rsidRPr="005A669A">
        <w:rPr>
          <w:rStyle w:val="FootnoteReference"/>
        </w:rPr>
        <w:footnoteReference w:id="369"/>
      </w:r>
      <w:r w:rsidR="005630B5">
        <w:t xml:space="preserve"> Her </w:t>
      </w:r>
      <w:r w:rsidR="00BA5D8B">
        <w:t>analysis</w:t>
      </w:r>
      <w:r w:rsidR="005A2F0B">
        <w:t xml:space="preserve"> also</w:t>
      </w:r>
      <w:r w:rsidR="005630B5">
        <w:t xml:space="preserve"> turned on the ready-for-patenting prong</w:t>
      </w:r>
      <w:r w:rsidR="00472629">
        <w:t>.</w:t>
      </w:r>
      <w:r w:rsidR="00BA5D8B" w:rsidRPr="005A669A">
        <w:rPr>
          <w:rStyle w:val="FootnoteReference"/>
        </w:rPr>
        <w:footnoteReference w:id="370"/>
      </w:r>
      <w:r w:rsidR="00472629">
        <w:t xml:space="preserve"> </w:t>
      </w:r>
      <w:r w:rsidR="00DF51D5">
        <w:t>She agreed with the majority that (1)</w:t>
      </w:r>
      <w:r w:rsidR="00D65968">
        <w:t xml:space="preserve"> Dr. Barry </w:t>
      </w:r>
      <w:r w:rsidR="00EC0737">
        <w:t xml:space="preserve">had </w:t>
      </w:r>
      <w:r w:rsidR="00D65968">
        <w:t xml:space="preserve">practiced all claim limitations during the 2003 surgeries, but </w:t>
      </w:r>
      <w:r w:rsidR="0061091D">
        <w:t xml:space="preserve">believed </w:t>
      </w:r>
      <w:r w:rsidR="00D65968">
        <w:t xml:space="preserve">that (2) he </w:t>
      </w:r>
      <w:r w:rsidR="00D929DE">
        <w:t>came to appreciate</w:t>
      </w:r>
      <w:r w:rsidR="00D65968">
        <w:t xml:space="preserve"> </w:t>
      </w:r>
      <w:r w:rsidR="00EC0737">
        <w:t>that the</w:t>
      </w:r>
      <w:r w:rsidR="00D65968">
        <w:t xml:space="preserve"> invention achieved its purpose</w:t>
      </w:r>
      <w:r w:rsidR="00D929DE">
        <w:t xml:space="preserve"> before the critical date</w:t>
      </w:r>
      <w:r w:rsidR="00D65968">
        <w:t>, either upon completing</w:t>
      </w:r>
      <w:r w:rsidR="00D929DE">
        <w:t xml:space="preserve"> the </w:t>
      </w:r>
      <w:r w:rsidR="00DF51D5">
        <w:t xml:space="preserve">surgeries, or </w:t>
      </w:r>
      <w:r w:rsidR="00FD33D6">
        <w:t>at</w:t>
      </w:r>
      <w:r w:rsidR="00DF51D5">
        <w:t xml:space="preserve"> the</w:t>
      </w:r>
      <w:r w:rsidR="00D929DE">
        <w:t xml:space="preserve"> </w:t>
      </w:r>
      <w:r w:rsidR="00DF51D5">
        <w:t>follow-ups to the first two surgeries</w:t>
      </w:r>
      <w:r w:rsidR="00FD33D6">
        <w:t xml:space="preserve"> (not at the third </w:t>
      </w:r>
      <w:r w:rsidR="00FD33D6">
        <w:lastRenderedPageBreak/>
        <w:t xml:space="preserve">follow-up, the first </w:t>
      </w:r>
      <w:r w:rsidR="00C833E1">
        <w:t>to occur after</w:t>
      </w:r>
      <w:r w:rsidR="00FD33D6">
        <w:t xml:space="preserve"> the critical date)</w:t>
      </w:r>
      <w:r w:rsidR="00DF51D5">
        <w:t>.</w:t>
      </w:r>
      <w:r w:rsidR="00DF51D5" w:rsidRPr="005A669A">
        <w:rPr>
          <w:rStyle w:val="FootnoteReference"/>
        </w:rPr>
        <w:footnoteReference w:id="371"/>
      </w:r>
      <w:r w:rsidR="00DF51D5">
        <w:t xml:space="preserve"> </w:t>
      </w:r>
      <w:r w:rsidR="00D71438">
        <w:t>Given</w:t>
      </w:r>
      <w:r w:rsidR="00520E89">
        <w:t xml:space="preserve"> the </w:t>
      </w:r>
      <w:r w:rsidR="009A69DC">
        <w:t xml:space="preserve">claims’ </w:t>
      </w:r>
      <w:r w:rsidR="00520E89">
        <w:t>preamble stated their purpose as “</w:t>
      </w:r>
      <w:r w:rsidR="00520E89" w:rsidRPr="00DF0852">
        <w:t>the amelioration of aberrant spinal column deviation conditions</w:t>
      </w:r>
      <w:r w:rsidR="00D71438">
        <w:t xml:space="preserve"> [</w:t>
      </w:r>
      <w:r w:rsidR="00EC0737">
        <w:t>that is, multiple conditions</w:t>
      </w:r>
      <w:r w:rsidR="00D71438">
        <w:t>]</w:t>
      </w:r>
      <w:r w:rsidR="00520E89">
        <w:t>,”</w:t>
      </w:r>
      <w:r w:rsidR="00C833E1">
        <w:t xml:space="preserve"> </w:t>
      </w:r>
      <w:r w:rsidR="00D71438">
        <w:t>and given</w:t>
      </w:r>
      <w:r w:rsidR="00520E89">
        <w:t xml:space="preserve"> </w:t>
      </w:r>
      <w:r w:rsidR="00C833E1">
        <w:t xml:space="preserve">Dr. Barry </w:t>
      </w:r>
      <w:r w:rsidR="00520E89">
        <w:t xml:space="preserve">had </w:t>
      </w:r>
      <w:r w:rsidR="00C833E1">
        <w:t>testified</w:t>
      </w:r>
      <w:r w:rsidR="00D57BF5">
        <w:t xml:space="preserve"> </w:t>
      </w:r>
      <w:r w:rsidR="00483A89">
        <w:t>a physician can achieve</w:t>
      </w:r>
      <w:r w:rsidR="00D57BF5">
        <w:t xml:space="preserve"> “the correction</w:t>
      </w:r>
      <w:r w:rsidR="00520E89">
        <w:t xml:space="preserve"> [or </w:t>
      </w:r>
      <w:r w:rsidR="007931EB">
        <w:t>amelioration</w:t>
      </w:r>
      <w:r w:rsidR="00520E89">
        <w:t>]</w:t>
      </w:r>
      <w:r w:rsidR="00D57BF5">
        <w:t xml:space="preserve"> you are happy with”</w:t>
      </w:r>
      <w:r w:rsidR="00520E89">
        <w:t xml:space="preserve"> during the procedure, </w:t>
      </w:r>
      <w:r w:rsidR="00D71438">
        <w:t>the purpose</w:t>
      </w:r>
      <w:r w:rsidR="0046023B">
        <w:t xml:space="preserve"> </w:t>
      </w:r>
      <w:r w:rsidR="00D71438">
        <w:t>was thus</w:t>
      </w:r>
      <w:r w:rsidR="0046023B">
        <w:t xml:space="preserve"> achieved after the second surgery</w:t>
      </w:r>
      <w:r w:rsidR="008B639D">
        <w:t xml:space="preserve"> treating a unique condition</w:t>
      </w:r>
      <w:r w:rsidR="00DF0852">
        <w:t>.</w:t>
      </w:r>
      <w:r w:rsidR="00DF0852" w:rsidRPr="005A669A">
        <w:rPr>
          <w:rStyle w:val="FootnoteReference"/>
        </w:rPr>
        <w:footnoteReference w:id="372"/>
      </w:r>
      <w:r w:rsidR="00DF0852">
        <w:t xml:space="preserve"> </w:t>
      </w:r>
      <w:r w:rsidR="007B11F2">
        <w:rPr>
          <w:rFonts w:cs="Times New Roman"/>
        </w:rPr>
        <w:t>By contrast, the majority</w:t>
      </w:r>
      <w:r w:rsidR="008B639D">
        <w:rPr>
          <w:rFonts w:cs="Times New Roman"/>
        </w:rPr>
        <w:t xml:space="preserve"> further</w:t>
      </w:r>
      <w:r w:rsidR="007B11F2">
        <w:rPr>
          <w:rFonts w:cs="Times New Roman"/>
        </w:rPr>
        <w:t xml:space="preserve"> credited Dr. Barry’s unsupported testimony that </w:t>
      </w:r>
      <w:r w:rsidR="00061C9A">
        <w:rPr>
          <w:rFonts w:cs="Times New Roman"/>
        </w:rPr>
        <w:t>follow-ups were required to confirm the</w:t>
      </w:r>
      <w:r w:rsidR="007B11F2">
        <w:rPr>
          <w:rFonts w:cs="Times New Roman"/>
        </w:rPr>
        <w:t xml:space="preserve"> “amelioration</w:t>
      </w:r>
      <w:r w:rsidR="00061C9A">
        <w:rPr>
          <w:rFonts w:cs="Times New Roman"/>
        </w:rPr>
        <w:t>.</w:t>
      </w:r>
      <w:r w:rsidR="007B11F2">
        <w:rPr>
          <w:rFonts w:cs="Times New Roman"/>
        </w:rPr>
        <w:t>”</w:t>
      </w:r>
      <w:r w:rsidR="007B11F2" w:rsidRPr="005A669A">
        <w:rPr>
          <w:rStyle w:val="FootnoteReference"/>
        </w:rPr>
        <w:footnoteReference w:id="373"/>
      </w:r>
      <w:r w:rsidR="007B11F2">
        <w:rPr>
          <w:rFonts w:cs="Times New Roman"/>
        </w:rPr>
        <w:t xml:space="preserve"> Even were follow-up</w:t>
      </w:r>
      <w:r w:rsidR="00061C9A">
        <w:rPr>
          <w:rFonts w:cs="Times New Roman"/>
        </w:rPr>
        <w:t xml:space="preserve">s </w:t>
      </w:r>
      <w:r w:rsidR="007B11F2">
        <w:rPr>
          <w:rFonts w:cs="Times New Roman"/>
        </w:rPr>
        <w:t>necessary,</w:t>
      </w:r>
      <w:r w:rsidR="008B639D">
        <w:rPr>
          <w:rFonts w:cs="Times New Roman"/>
        </w:rPr>
        <w:t xml:space="preserve"> however,</w:t>
      </w:r>
      <w:r w:rsidR="007B11F2">
        <w:rPr>
          <w:rFonts w:cs="Times New Roman"/>
        </w:rPr>
        <w:t xml:space="preserve"> Chief Judge Prost did not see how the follow-ups for the first two surgeries would not have sufficed.</w:t>
      </w:r>
      <w:r w:rsidR="009E7307" w:rsidRPr="005A669A">
        <w:rPr>
          <w:rStyle w:val="FootnoteReference"/>
        </w:rPr>
        <w:footnoteReference w:id="374"/>
      </w:r>
      <w:r w:rsidR="00C22E3E" w:rsidRPr="00C22E3E">
        <w:t xml:space="preserve"> </w:t>
      </w:r>
    </w:p>
    <w:p w14:paraId="4F8FA09F" w14:textId="0CCBC600" w:rsidR="009F1C31" w:rsidRDefault="00C63728" w:rsidP="004478DF">
      <w:pPr>
        <w:ind w:firstLine="720"/>
      </w:pPr>
      <w:r>
        <w:t xml:space="preserve">Finally, </w:t>
      </w:r>
      <w:r w:rsidR="00593DDB">
        <w:t>Chief Judge Prost</w:t>
      </w:r>
      <w:r>
        <w:t xml:space="preserve"> </w:t>
      </w:r>
      <w:r w:rsidR="00061C9A">
        <w:t>sought to clarify</w:t>
      </w:r>
      <w:r>
        <w:t xml:space="preserve"> “</w:t>
      </w:r>
      <w:r w:rsidRPr="00C63728">
        <w:t>our case law regarding the relationship among reduction to practice, an invention's intended purpose, and the experimental-use doctrine.</w:t>
      </w:r>
      <w:r>
        <w:t>”</w:t>
      </w:r>
      <w:r w:rsidRPr="005A669A">
        <w:rPr>
          <w:rStyle w:val="FootnoteReference"/>
        </w:rPr>
        <w:footnoteReference w:id="375"/>
      </w:r>
      <w:r w:rsidR="00593DDB">
        <w:t xml:space="preserve"> </w:t>
      </w:r>
      <w:r w:rsidR="004774D6">
        <w:t>Under the majority’s resolution, “</w:t>
      </w:r>
      <w:r w:rsidR="004774D6" w:rsidRPr="004774D6">
        <w:t>any consideration of whether a use was experimental would be superfluous,</w:t>
      </w:r>
      <w:r w:rsidR="004774D6">
        <w:t xml:space="preserve">” because </w:t>
      </w:r>
      <w:r w:rsidR="009B78B1">
        <w:t>finding</w:t>
      </w:r>
      <w:r w:rsidR="007931EB">
        <w:t xml:space="preserve"> the inventor </w:t>
      </w:r>
      <w:r w:rsidR="009B78B1">
        <w:t>has</w:t>
      </w:r>
      <w:r w:rsidR="007931EB">
        <w:t xml:space="preserve"> not yet </w:t>
      </w:r>
      <w:r w:rsidR="009B78B1">
        <w:t xml:space="preserve">proven fitness for purpose </w:t>
      </w:r>
      <w:r w:rsidR="00061C9A">
        <w:t>would render</w:t>
      </w:r>
      <w:r w:rsidR="00F54C9D">
        <w:t xml:space="preserve"> the invention not ready for patenting</w:t>
      </w:r>
      <w:r w:rsidR="00061C9A">
        <w:t xml:space="preserve"> and so not in need of any experimental exception</w:t>
      </w:r>
      <w:r w:rsidR="00F54C9D">
        <w:t>.</w:t>
      </w:r>
      <w:r w:rsidR="00F54C9D" w:rsidRPr="005A669A">
        <w:rPr>
          <w:rStyle w:val="FootnoteReference"/>
        </w:rPr>
        <w:footnoteReference w:id="376"/>
      </w:r>
      <w:r w:rsidR="005B5D9E">
        <w:t xml:space="preserve"> </w:t>
      </w:r>
      <w:r w:rsidR="00BD75CD">
        <w:t xml:space="preserve">To restore meaning to the exception, </w:t>
      </w:r>
      <w:r w:rsidR="005B5D9E">
        <w:t xml:space="preserve">Chief Judge Prost would </w:t>
      </w:r>
      <w:r w:rsidR="005776AE">
        <w:t xml:space="preserve">allow </w:t>
      </w:r>
      <w:r w:rsidR="00BD75CD">
        <w:t xml:space="preserve">an </w:t>
      </w:r>
      <w:r w:rsidR="005776AE">
        <w:t>experimental exception even where an invention is ready</w:t>
      </w:r>
      <w:r w:rsidR="00BD75CD">
        <w:t xml:space="preserve"> </w:t>
      </w:r>
      <w:r w:rsidR="005776AE">
        <w:t>for patenting</w:t>
      </w:r>
      <w:r w:rsidR="00C22E3E">
        <w:t>; this would be accomplished by respecting</w:t>
      </w:r>
      <w:r w:rsidR="005B5D9E">
        <w:t xml:space="preserve"> </w:t>
      </w:r>
    </w:p>
    <w:p w14:paraId="60234206" w14:textId="3C52FC40" w:rsidR="009F1C31" w:rsidRDefault="005B5D9E" w:rsidP="009F1C31">
      <w:pPr>
        <w:ind w:left="720"/>
      </w:pPr>
      <w:r w:rsidRPr="005B5D9E">
        <w:t xml:space="preserve">a subjective, expansive understanding of an invention's </w:t>
      </w:r>
      <w:r>
        <w:t>‘</w:t>
      </w:r>
      <w:r w:rsidRPr="005B5D9E">
        <w:t>intended purpose</w:t>
      </w:r>
      <w:r>
        <w:t>’</w:t>
      </w:r>
      <w:r w:rsidRPr="005B5D9E">
        <w:t>—one that accommodates the good-faith, perfectionist inventor</w:t>
      </w:r>
      <w:r w:rsidR="005776AE">
        <w:t> . . . .</w:t>
      </w:r>
      <w:r w:rsidR="009F1C31">
        <w:t xml:space="preserve"> [</w:t>
      </w:r>
      <w:r w:rsidR="004478DF">
        <w:t>I</w:t>
      </w:r>
      <w:r w:rsidR="0017254A">
        <w:t>n</w:t>
      </w:r>
      <w:r w:rsidR="004478DF">
        <w:t xml:space="preserve"> particular,</w:t>
      </w:r>
      <w:r w:rsidR="00C22E3E">
        <w:t xml:space="preserve"> Judge Prost would hold that</w:t>
      </w:r>
      <w:r w:rsidR="009F1C31">
        <w:t xml:space="preserve">] </w:t>
      </w:r>
      <w:r w:rsidR="004478DF">
        <w:t>if an inventor's pre-critical-date sale or public use is to test an unclaimed or undescribed, yet inherent, feature of an invention (e.g., durability, safety), such testing may support the inventor's overall claim of experimental use and thereby avoid invalidity.</w:t>
      </w:r>
      <w:r w:rsidR="004478DF" w:rsidRPr="005A669A">
        <w:rPr>
          <w:rStyle w:val="FootnoteReference"/>
        </w:rPr>
        <w:footnoteReference w:id="377"/>
      </w:r>
      <w:r w:rsidR="0017254A">
        <w:t xml:space="preserve"> </w:t>
      </w:r>
    </w:p>
    <w:p w14:paraId="56A400E9" w14:textId="77777777" w:rsidR="00C22E3E" w:rsidRDefault="00C22E3E" w:rsidP="00C22E3E"/>
    <w:p w14:paraId="6FC1173C" w14:textId="389A1D95" w:rsidR="00450407" w:rsidRPr="00297F26" w:rsidRDefault="00450407" w:rsidP="00136E52">
      <w:pPr>
        <w:pStyle w:val="Heading4"/>
      </w:pPr>
      <w:bookmarkStart w:id="46" w:name="_Toc26792770"/>
      <w:r w:rsidRPr="00641039">
        <w:rPr>
          <w:i/>
        </w:rPr>
        <w:t xml:space="preserve">Helsinn Healthcare S.A. v. Teva Pharms. </w:t>
      </w:r>
      <w:r w:rsidRPr="00297F26">
        <w:rPr>
          <w:i/>
        </w:rPr>
        <w:t>USA, Inc.</w:t>
      </w:r>
      <w:r w:rsidRPr="00297F26">
        <w:t>, 13</w:t>
      </w:r>
      <w:r w:rsidR="00DA3A07" w:rsidRPr="00297F26">
        <w:t>9</w:t>
      </w:r>
      <w:r w:rsidRPr="00297F26">
        <w:t xml:space="preserve"> S.Ct. </w:t>
      </w:r>
      <w:r w:rsidR="00DA3A07" w:rsidRPr="00297F26">
        <w:t xml:space="preserve">628 </w:t>
      </w:r>
      <w:r w:rsidRPr="00297F26">
        <w:t>(</w:t>
      </w:r>
      <w:r w:rsidR="00DA3A07" w:rsidRPr="00297F26">
        <w:t>Jan. 22</w:t>
      </w:r>
      <w:r w:rsidRPr="00297F26">
        <w:t>, 201</w:t>
      </w:r>
      <w:r w:rsidR="00DA3A07" w:rsidRPr="00297F26">
        <w:t>9</w:t>
      </w:r>
      <w:r w:rsidRPr="00297F26">
        <w:t>).</w:t>
      </w:r>
      <w:bookmarkEnd w:id="46"/>
    </w:p>
    <w:p w14:paraId="306AD63B" w14:textId="15FE5D87" w:rsidR="004363E1" w:rsidRPr="00677ABE" w:rsidRDefault="00B4000C" w:rsidP="00CA2C0A">
      <w:pPr>
        <w:ind w:firstLine="720"/>
        <w:rPr>
          <w:rFonts w:cs="Times New Roman"/>
        </w:rPr>
      </w:pPr>
      <w:r>
        <w:rPr>
          <w:rFonts w:cs="Times New Roman"/>
        </w:rPr>
        <w:t>T</w:t>
      </w:r>
      <w:r w:rsidR="00DA3A07">
        <w:rPr>
          <w:rFonts w:cs="Times New Roman"/>
        </w:rPr>
        <w:t xml:space="preserve">he Supreme Court affirmed </w:t>
      </w:r>
      <w:r w:rsidR="004363E1" w:rsidRPr="00677ABE">
        <w:rPr>
          <w:rFonts w:cs="Times New Roman"/>
        </w:rPr>
        <w:t>that</w:t>
      </w:r>
      <w:r w:rsidR="00DA3A07">
        <w:rPr>
          <w:rFonts w:cs="Times New Roman"/>
        </w:rPr>
        <w:t xml:space="preserve"> the</w:t>
      </w:r>
      <w:r w:rsidR="004363E1" w:rsidRPr="00677ABE">
        <w:rPr>
          <w:rFonts w:cs="Times New Roman"/>
        </w:rPr>
        <w:t xml:space="preserve"> AIA’s on-sale bar includes</w:t>
      </w:r>
      <w:r w:rsidR="00652934">
        <w:rPr>
          <w:rFonts w:cs="Times New Roman"/>
        </w:rPr>
        <w:t xml:space="preserve"> </w:t>
      </w:r>
      <w:r w:rsidR="005232E2">
        <w:rPr>
          <w:rFonts w:cs="Times New Roman"/>
        </w:rPr>
        <w:t xml:space="preserve">so-called secret sales, </w:t>
      </w:r>
      <w:r w:rsidR="004363E1" w:rsidRPr="00677ABE">
        <w:rPr>
          <w:rFonts w:cs="Times New Roman"/>
        </w:rPr>
        <w:t xml:space="preserve">sales that do not </w:t>
      </w:r>
      <w:r w:rsidR="005232E2">
        <w:rPr>
          <w:rFonts w:cs="Times New Roman"/>
        </w:rPr>
        <w:t>publicly</w:t>
      </w:r>
      <w:r w:rsidR="005232E2" w:rsidRPr="00677ABE">
        <w:rPr>
          <w:rFonts w:cs="Times New Roman"/>
        </w:rPr>
        <w:t xml:space="preserve"> </w:t>
      </w:r>
      <w:r w:rsidR="004363E1" w:rsidRPr="00677ABE">
        <w:rPr>
          <w:rFonts w:cs="Times New Roman"/>
        </w:rPr>
        <w:t>disclose the details of the invention</w:t>
      </w:r>
      <w:r w:rsidR="00652934">
        <w:rPr>
          <w:rFonts w:cs="Times New Roman"/>
        </w:rPr>
        <w:t xml:space="preserve">, just as did the pre-AIA on-sale bar under </w:t>
      </w:r>
      <w:r w:rsidR="00652934" w:rsidRPr="005D0045">
        <w:rPr>
          <w:rFonts w:cs="Times New Roman"/>
          <w:i/>
        </w:rPr>
        <w:t>Pfaff v. Wells Electronics, Inc</w:t>
      </w:r>
      <w:r w:rsidR="00652934">
        <w:rPr>
          <w:rFonts w:cs="Times New Roman"/>
          <w:i/>
        </w:rPr>
        <w:t>.</w:t>
      </w:r>
      <w:r w:rsidR="005C0EF7" w:rsidRPr="005A669A">
        <w:rPr>
          <w:rStyle w:val="FootnoteReference"/>
        </w:rPr>
        <w:footnoteReference w:id="378"/>
      </w:r>
      <w:r w:rsidR="00401870">
        <w:rPr>
          <w:rFonts w:cs="Times New Roman"/>
        </w:rPr>
        <w:t xml:space="preserve"> </w:t>
      </w:r>
    </w:p>
    <w:p w14:paraId="0DA970C6" w14:textId="4FC7AD14" w:rsidR="004363E1" w:rsidRPr="00677ABE" w:rsidRDefault="004363E1" w:rsidP="00CA2C0A">
      <w:pPr>
        <w:rPr>
          <w:rFonts w:cs="Times New Roman"/>
        </w:rPr>
      </w:pPr>
      <w:r w:rsidRPr="00677ABE">
        <w:rPr>
          <w:rFonts w:cs="Times New Roman"/>
        </w:rPr>
        <w:lastRenderedPageBreak/>
        <w:tab/>
        <w:t>Helsinn own</w:t>
      </w:r>
      <w:r w:rsidR="00667230">
        <w:rPr>
          <w:rFonts w:cs="Times New Roman"/>
        </w:rPr>
        <w:t>ed</w:t>
      </w:r>
      <w:r w:rsidRPr="00677ABE">
        <w:rPr>
          <w:rFonts w:cs="Times New Roman"/>
        </w:rPr>
        <w:t xml:space="preserve"> four patents</w:t>
      </w:r>
      <w:r w:rsidRPr="005A669A">
        <w:rPr>
          <w:rStyle w:val="FootnoteReference"/>
        </w:rPr>
        <w:footnoteReference w:id="379"/>
      </w:r>
      <w:r w:rsidRPr="00677ABE">
        <w:rPr>
          <w:rFonts w:cs="Times New Roman"/>
        </w:rPr>
        <w:t xml:space="preserve"> directed to formulations of the drug palonosetron for reducing chemotherapy-induced nausea.</w:t>
      </w:r>
      <w:r w:rsidRPr="005A669A">
        <w:rPr>
          <w:rStyle w:val="FootnoteReference"/>
        </w:rPr>
        <w:footnoteReference w:id="380"/>
      </w:r>
      <w:r w:rsidR="00AC00E6">
        <w:rPr>
          <w:rFonts w:cs="Times New Roman"/>
        </w:rPr>
        <w:t xml:space="preserve"> </w:t>
      </w:r>
      <w:r w:rsidRPr="00677ABE">
        <w:rPr>
          <w:rFonts w:cs="Times New Roman"/>
        </w:rPr>
        <w:t xml:space="preserve">The critical date for the on-sale bar </w:t>
      </w:r>
      <w:r w:rsidR="00667230">
        <w:rPr>
          <w:rFonts w:cs="Times New Roman"/>
        </w:rPr>
        <w:t>was</w:t>
      </w:r>
      <w:r w:rsidR="00667230" w:rsidRPr="00677ABE">
        <w:rPr>
          <w:rFonts w:cs="Times New Roman"/>
        </w:rPr>
        <w:t xml:space="preserve"> </w:t>
      </w:r>
      <w:r w:rsidRPr="00677ABE">
        <w:rPr>
          <w:rFonts w:cs="Times New Roman"/>
        </w:rPr>
        <w:t>January 30, 2002.</w:t>
      </w:r>
      <w:r w:rsidRPr="005A669A">
        <w:rPr>
          <w:rStyle w:val="FootnoteReference"/>
        </w:rPr>
        <w:footnoteReference w:id="381"/>
      </w:r>
      <w:r w:rsidR="00AC00E6">
        <w:rPr>
          <w:rFonts w:cs="Times New Roman"/>
        </w:rPr>
        <w:t xml:space="preserve"> </w:t>
      </w:r>
      <w:r w:rsidRPr="00677ABE">
        <w:rPr>
          <w:rFonts w:cs="Times New Roman"/>
        </w:rPr>
        <w:t>On April 6, 2001, MGI Pharma, Inc. contracted with Helsinn to purchase and distribute the formulations.</w:t>
      </w:r>
      <w:r w:rsidRPr="005A669A">
        <w:rPr>
          <w:rStyle w:val="FootnoteReference"/>
        </w:rPr>
        <w:footnoteReference w:id="382"/>
      </w:r>
      <w:r w:rsidR="00AC00E6">
        <w:rPr>
          <w:rFonts w:cs="Times New Roman"/>
        </w:rPr>
        <w:t xml:space="preserve"> </w:t>
      </w:r>
      <w:r w:rsidRPr="00677ABE">
        <w:rPr>
          <w:rFonts w:cs="Times New Roman"/>
        </w:rPr>
        <w:t>The details of the transaction were made publicly available through SEC filings, but the filings did not disclose the specific dosage for the formulations.</w:t>
      </w:r>
      <w:r w:rsidRPr="005A669A">
        <w:rPr>
          <w:rStyle w:val="FootnoteReference"/>
        </w:rPr>
        <w:footnoteReference w:id="383"/>
      </w:r>
    </w:p>
    <w:p w14:paraId="13BE243B" w14:textId="1A4C12F8" w:rsidR="004363E1" w:rsidRPr="00677ABE" w:rsidRDefault="004363E1" w:rsidP="00CD09FE">
      <w:pPr>
        <w:ind w:firstLine="720"/>
        <w:rPr>
          <w:rFonts w:cs="Times New Roman"/>
        </w:rPr>
      </w:pPr>
      <w:r w:rsidRPr="00677ABE">
        <w:rPr>
          <w:rFonts w:cs="Times New Roman"/>
        </w:rPr>
        <w:t>Helsinn sued Teva, alleging that Teva’s ANDA infringed the patents-in-suit.</w:t>
      </w:r>
      <w:r w:rsidR="00AC00E6">
        <w:rPr>
          <w:rFonts w:cs="Times New Roman"/>
        </w:rPr>
        <w:t xml:space="preserve"> </w:t>
      </w:r>
      <w:r w:rsidRPr="00677ABE">
        <w:rPr>
          <w:rFonts w:cs="Times New Roman"/>
        </w:rPr>
        <w:t>The trial court held that the patents were not invalid under the on-sale bar.</w:t>
      </w:r>
      <w:r w:rsidRPr="005A669A">
        <w:rPr>
          <w:rStyle w:val="FootnoteReference"/>
        </w:rPr>
        <w:footnoteReference w:id="384"/>
      </w:r>
      <w:r w:rsidR="00AC00E6">
        <w:rPr>
          <w:rFonts w:cs="Times New Roman"/>
        </w:rPr>
        <w:t xml:space="preserve"> </w:t>
      </w:r>
      <w:r w:rsidRPr="00677ABE">
        <w:rPr>
          <w:rFonts w:cs="Times New Roman"/>
        </w:rPr>
        <w:t>For the patent governed by the AIA, the court held that there was no commercial offer for sale because the AIA changed the meaning of the on-sale bar to require the sale to publicly disclose the details of the invention.</w:t>
      </w:r>
      <w:r w:rsidRPr="005A669A">
        <w:rPr>
          <w:rStyle w:val="FootnoteReference"/>
        </w:rPr>
        <w:footnoteReference w:id="385"/>
      </w:r>
      <w:r w:rsidR="00AC00E6">
        <w:rPr>
          <w:rFonts w:cs="Times New Roman"/>
        </w:rPr>
        <w:t xml:space="preserve"> </w:t>
      </w:r>
      <w:r w:rsidRPr="00677ABE">
        <w:rPr>
          <w:rFonts w:cs="Times New Roman"/>
        </w:rPr>
        <w:t>The Federal Circuit rejected the trial court’s interpretation of the AIA on-sale bar.</w:t>
      </w:r>
      <w:r w:rsidR="00AC00E6">
        <w:rPr>
          <w:rFonts w:cs="Times New Roman"/>
        </w:rPr>
        <w:t xml:space="preserve"> </w:t>
      </w:r>
    </w:p>
    <w:p w14:paraId="7BDAF60C" w14:textId="21214D47" w:rsidR="00F20B84" w:rsidRDefault="00450407" w:rsidP="008F7634">
      <w:pPr>
        <w:ind w:firstLine="720"/>
        <w:rPr>
          <w:rFonts w:cs="Times New Roman"/>
        </w:rPr>
      </w:pPr>
      <w:r w:rsidRPr="00677ABE">
        <w:rPr>
          <w:rFonts w:cs="Times New Roman"/>
        </w:rPr>
        <w:t xml:space="preserve">The Supreme Court granted certiorari </w:t>
      </w:r>
      <w:r w:rsidR="001B4F41">
        <w:rPr>
          <w:rFonts w:cs="Times New Roman"/>
        </w:rPr>
        <w:t>on the question</w:t>
      </w:r>
      <w:r w:rsidRPr="00677ABE">
        <w:rPr>
          <w:rFonts w:cs="Times New Roman"/>
        </w:rPr>
        <w:t xml:space="preserve"> whether the America Invents Act, by changing language in </w:t>
      </w:r>
      <w:r w:rsidR="00AC00E6">
        <w:rPr>
          <w:rFonts w:cs="Times New Roman"/>
        </w:rPr>
        <w:t>§ </w:t>
      </w:r>
      <w:r w:rsidRPr="00677ABE">
        <w:rPr>
          <w:rFonts w:cs="Times New Roman"/>
        </w:rPr>
        <w:t>102, materially changed the standard for the on-sale bar to patentability.</w:t>
      </w:r>
      <w:r w:rsidR="00CC7E5D" w:rsidRPr="005A669A">
        <w:rPr>
          <w:rStyle w:val="FootnoteReference"/>
        </w:rPr>
        <w:footnoteReference w:id="386"/>
      </w:r>
      <w:r w:rsidRPr="00677ABE">
        <w:rPr>
          <w:rFonts w:cs="Times New Roman"/>
        </w:rPr>
        <w:t xml:space="preserve"> </w:t>
      </w:r>
      <w:r w:rsidR="00817924">
        <w:rPr>
          <w:rFonts w:cs="Times New Roman"/>
        </w:rPr>
        <w:t>Writing</w:t>
      </w:r>
      <w:r w:rsidR="00514CE6">
        <w:rPr>
          <w:rFonts w:cs="Times New Roman"/>
        </w:rPr>
        <w:t xml:space="preserve"> for a unanimous court, Justice Thomas held it did not.</w:t>
      </w:r>
      <w:r w:rsidR="00514CE6" w:rsidRPr="005A669A">
        <w:rPr>
          <w:rStyle w:val="FootnoteReference"/>
        </w:rPr>
        <w:footnoteReference w:id="387"/>
      </w:r>
      <w:r w:rsidR="00514CE6">
        <w:rPr>
          <w:rFonts w:cs="Times New Roman"/>
        </w:rPr>
        <w:t xml:space="preserve"> “[A]</w:t>
      </w:r>
      <w:r w:rsidR="00514CE6" w:rsidRPr="00514CE6">
        <w:rPr>
          <w:rFonts w:cs="Times New Roman"/>
        </w:rPr>
        <w:t>n inventor's sale of an invention to a third party who is obligated to keep the invention confidential qualifies as prior art for purposes of determining the patentability of the invention</w:t>
      </w:r>
      <w:r w:rsidR="00B82DA3">
        <w:rPr>
          <w:rFonts w:cs="Times New Roman"/>
        </w:rPr>
        <w:t>.”</w:t>
      </w:r>
      <w:r w:rsidR="00B82DA3" w:rsidRPr="005A669A">
        <w:rPr>
          <w:rStyle w:val="FootnoteReference"/>
        </w:rPr>
        <w:footnoteReference w:id="388"/>
      </w:r>
      <w:r w:rsidR="00B82DA3">
        <w:rPr>
          <w:rFonts w:cs="Times New Roman"/>
        </w:rPr>
        <w:t xml:space="preserve"> </w:t>
      </w:r>
      <w:r w:rsidR="00AC12AD">
        <w:rPr>
          <w:rFonts w:cs="Times New Roman"/>
        </w:rPr>
        <w:t>Affirming</w:t>
      </w:r>
      <w:r w:rsidR="00B82DA3">
        <w:rPr>
          <w:rFonts w:cs="Times New Roman"/>
        </w:rPr>
        <w:t xml:space="preserve"> the Federal Circuit, the Supreme Court reasoned that “[t]he</w:t>
      </w:r>
      <w:r w:rsidR="00B82DA3" w:rsidRPr="00B82DA3">
        <w:rPr>
          <w:rFonts w:cs="Times New Roman"/>
        </w:rPr>
        <w:t xml:space="preserve"> addition of </w:t>
      </w:r>
      <w:r w:rsidR="00B82DA3">
        <w:rPr>
          <w:rFonts w:cs="Times New Roman"/>
        </w:rPr>
        <w:t>‘</w:t>
      </w:r>
      <w:r w:rsidR="00B82DA3" w:rsidRPr="00B82DA3">
        <w:rPr>
          <w:rFonts w:cs="Times New Roman"/>
        </w:rPr>
        <w:t>or otherwise available to the public</w:t>
      </w:r>
      <w:r w:rsidR="00B82DA3">
        <w:rPr>
          <w:rFonts w:cs="Times New Roman"/>
        </w:rPr>
        <w:t>’ [in the AIA’s</w:t>
      </w:r>
      <w:r w:rsidR="00622227">
        <w:rPr>
          <w:rFonts w:cs="Times New Roman"/>
        </w:rPr>
        <w:t xml:space="preserve"> restatement of</w:t>
      </w:r>
      <w:r w:rsidR="00B82DA3">
        <w:rPr>
          <w:rFonts w:cs="Times New Roman"/>
        </w:rPr>
        <w:t xml:space="preserve"> § 102]</w:t>
      </w:r>
      <w:r w:rsidR="00B82DA3" w:rsidRPr="00B82DA3">
        <w:rPr>
          <w:rFonts w:cs="Times New Roman"/>
        </w:rPr>
        <w:t xml:space="preserve"> is simply not enough of a change for us to conclude</w:t>
      </w:r>
      <w:r w:rsidR="008F7634">
        <w:rPr>
          <w:rFonts w:cs="Times New Roman"/>
        </w:rPr>
        <w:t xml:space="preserve"> </w:t>
      </w:r>
      <w:r w:rsidR="00B82DA3" w:rsidRPr="00B82DA3">
        <w:rPr>
          <w:rFonts w:cs="Times New Roman"/>
        </w:rPr>
        <w:t xml:space="preserve">that Congress intended to alter the meaning of the reenacted term </w:t>
      </w:r>
      <w:r w:rsidR="008F7634">
        <w:rPr>
          <w:rFonts w:cs="Times New Roman"/>
        </w:rPr>
        <w:t>‘</w:t>
      </w:r>
      <w:r w:rsidR="00B82DA3" w:rsidRPr="00B82DA3">
        <w:rPr>
          <w:rFonts w:cs="Times New Roman"/>
        </w:rPr>
        <w:t>on sale</w:t>
      </w:r>
      <w:r w:rsidR="006B3A0A">
        <w:rPr>
          <w:rFonts w:cs="Times New Roman"/>
        </w:rPr>
        <w:t>.</w:t>
      </w:r>
      <w:r w:rsidR="008F7634">
        <w:rPr>
          <w:rFonts w:cs="Times New Roman"/>
        </w:rPr>
        <w:t>’”</w:t>
      </w:r>
      <w:r w:rsidR="008F7634" w:rsidRPr="005A669A">
        <w:rPr>
          <w:rStyle w:val="FootnoteReference"/>
        </w:rPr>
        <w:footnoteReference w:id="389"/>
      </w:r>
      <w:r w:rsidR="006B3A0A">
        <w:rPr>
          <w:rFonts w:cs="Times New Roman"/>
        </w:rPr>
        <w:t xml:space="preserve"> </w:t>
      </w:r>
      <w:r w:rsidR="005C35F3">
        <w:rPr>
          <w:rFonts w:cs="Times New Roman"/>
        </w:rPr>
        <w:t>Congress would not have overturned substantial precedent by</w:t>
      </w:r>
      <w:r w:rsidR="00622227">
        <w:rPr>
          <w:rFonts w:cs="Times New Roman"/>
        </w:rPr>
        <w:t xml:space="preserve"> subtly</w:t>
      </w:r>
      <w:r w:rsidR="005C35F3">
        <w:rPr>
          <w:rFonts w:cs="Times New Roman"/>
        </w:rPr>
        <w:t xml:space="preserve"> relying on the “associated-words canon” to </w:t>
      </w:r>
      <w:r w:rsidR="00622227">
        <w:rPr>
          <w:rFonts w:cs="Times New Roman"/>
        </w:rPr>
        <w:t xml:space="preserve">imply a new limit to “on sale” stemming from </w:t>
      </w:r>
      <w:r w:rsidR="00264ECD">
        <w:rPr>
          <w:rFonts w:cs="Times New Roman"/>
        </w:rPr>
        <w:t>this mere</w:t>
      </w:r>
      <w:r w:rsidR="00622227">
        <w:rPr>
          <w:rFonts w:cs="Times New Roman"/>
        </w:rPr>
        <w:t xml:space="preserve"> “catchall”</w:t>
      </w:r>
      <w:r w:rsidR="00264ECD">
        <w:rPr>
          <w:rFonts w:cs="Times New Roman"/>
        </w:rPr>
        <w:t xml:space="preserve"> phrase.</w:t>
      </w:r>
      <w:r w:rsidR="005C35F3" w:rsidRPr="005A669A">
        <w:rPr>
          <w:rStyle w:val="FootnoteReference"/>
        </w:rPr>
        <w:footnoteReference w:id="390"/>
      </w:r>
    </w:p>
    <w:p w14:paraId="2C353CB2" w14:textId="77777777" w:rsidR="008F1F87" w:rsidRDefault="008F1F87" w:rsidP="00CA2C0A">
      <w:pPr>
        <w:ind w:firstLine="720"/>
        <w:rPr>
          <w:rFonts w:cs="Times New Roman"/>
        </w:rPr>
      </w:pPr>
    </w:p>
    <w:bookmarkEnd w:id="43"/>
    <w:p w14:paraId="76CF18DF" w14:textId="77777777" w:rsidR="004203DF" w:rsidRPr="00677ABE" w:rsidRDefault="004203DF" w:rsidP="00CA2C0A">
      <w:pPr>
        <w:rPr>
          <w:rFonts w:eastAsiaTheme="majorEastAsia" w:cs="Times New Roman"/>
          <w:b/>
          <w:bCs/>
        </w:rPr>
      </w:pPr>
      <w:r w:rsidRPr="00677ABE">
        <w:rPr>
          <w:rFonts w:cs="Times New Roman"/>
        </w:rPr>
        <w:br w:type="page"/>
      </w:r>
    </w:p>
    <w:p w14:paraId="2ABED269" w14:textId="20025C5D" w:rsidR="00D90D35" w:rsidRDefault="000060D2" w:rsidP="00D90D35">
      <w:pPr>
        <w:pStyle w:val="Heading1"/>
        <w:rPr>
          <w:rFonts w:cs="Times New Roman"/>
          <w:szCs w:val="24"/>
        </w:rPr>
      </w:pPr>
      <w:bookmarkStart w:id="47" w:name="_Toc26792771"/>
      <w:r w:rsidRPr="00677ABE">
        <w:rPr>
          <w:rFonts w:cs="Times New Roman"/>
          <w:szCs w:val="24"/>
        </w:rPr>
        <w:lastRenderedPageBreak/>
        <w:t>OBVIOUSNESS</w:t>
      </w:r>
      <w:bookmarkStart w:id="48" w:name="_Toc516586542"/>
      <w:bookmarkStart w:id="49" w:name="_Toc526093289"/>
      <w:bookmarkEnd w:id="47"/>
    </w:p>
    <w:p w14:paraId="5E85872D" w14:textId="1BE56400" w:rsidR="005F2AAA" w:rsidRDefault="005F2AAA" w:rsidP="005F2AAA">
      <w:pPr>
        <w:pStyle w:val="Heading4"/>
      </w:pPr>
      <w:bookmarkStart w:id="50" w:name="_Toc26792772"/>
      <w:r w:rsidRPr="005F2AAA">
        <w:rPr>
          <w:i/>
          <w:iCs/>
        </w:rPr>
        <w:t>Airbus S.A.S. v. Firepass Corp.</w:t>
      </w:r>
      <w:r w:rsidRPr="005F2AAA">
        <w:t xml:space="preserve">, 941 F.3d 1374 (Fed. Cir. </w:t>
      </w:r>
      <w:r>
        <w:t xml:space="preserve">Nov. 4, </w:t>
      </w:r>
      <w:r w:rsidRPr="005F2AAA">
        <w:t>2019)</w:t>
      </w:r>
      <w:bookmarkEnd w:id="50"/>
    </w:p>
    <w:p w14:paraId="159E1B2D" w14:textId="068AEC85" w:rsidR="00D90D35" w:rsidRDefault="00D90D35" w:rsidP="00D90D35">
      <w:pPr>
        <w:ind w:firstLine="720"/>
      </w:pPr>
      <w:r>
        <w:t>In this appeal from the Patent Trial and Appeal Board (PTAB), the Federal Circuit vacated and remanded, holding</w:t>
      </w:r>
      <w:r w:rsidR="005F2AAA">
        <w:t xml:space="preserve"> the PTAB erred by not considering evidence Airbus</w:t>
      </w:r>
      <w:r w:rsidR="00FC4CEC">
        <w:t xml:space="preserve"> argued</w:t>
      </w:r>
      <w:r w:rsidR="005F2AAA">
        <w:t xml:space="preserve"> linked the claims to the prior art.</w:t>
      </w:r>
      <w:r w:rsidR="005F2AAA">
        <w:rPr>
          <w:rStyle w:val="FootnoteReference"/>
        </w:rPr>
        <w:footnoteReference w:id="391"/>
      </w:r>
    </w:p>
    <w:p w14:paraId="347094BF" w14:textId="21E4B82C" w:rsidR="005F2AAA" w:rsidRDefault="005F2AAA" w:rsidP="00D90D35">
      <w:pPr>
        <w:ind w:firstLine="720"/>
      </w:pPr>
      <w:r>
        <w:t>Firepass’</w:t>
      </w:r>
      <w:r w:rsidR="00372C25">
        <w:t>s</w:t>
      </w:r>
      <w:r>
        <w:t xml:space="preserve"> ‘752 patent claims a fire prevention and extinguishing system that uses </w:t>
      </w:r>
      <w:r w:rsidR="00BB4D41">
        <w:t xml:space="preserve">breathable </w:t>
      </w:r>
      <w:r>
        <w:t>air</w:t>
      </w:r>
      <w:r w:rsidR="00BB4D41">
        <w:t>.</w:t>
      </w:r>
      <w:r w:rsidR="00BB4D41">
        <w:rPr>
          <w:rStyle w:val="FootnoteReference"/>
        </w:rPr>
        <w:footnoteReference w:id="392"/>
      </w:r>
      <w:r w:rsidR="00BB4D41">
        <w:t xml:space="preserve"> The patent discloses</w:t>
      </w:r>
      <w:r w:rsidR="007E3E0E">
        <w:t xml:space="preserve"> fire may be su</w:t>
      </w:r>
      <w:r w:rsidR="00292636">
        <w:t>p</w:t>
      </w:r>
      <w:r w:rsidR="007E3E0E">
        <w:t>pressed while maintaining human-breathable air by</w:t>
      </w:r>
      <w:r w:rsidR="00BB4D41">
        <w:t xml:space="preserve"> reducing the concentration of oxygen in the air</w:t>
      </w:r>
      <w:r w:rsidR="00372C25">
        <w:t xml:space="preserve"> </w:t>
      </w:r>
      <w:r w:rsidR="007E3E0E">
        <w:t>(</w:t>
      </w:r>
      <w:r w:rsidR="00372C25">
        <w:t>“hypoxic air”</w:t>
      </w:r>
      <w:r w:rsidR="007E3E0E">
        <w:t>)</w:t>
      </w:r>
      <w:r w:rsidR="00BB4D41">
        <w:t xml:space="preserve"> while maintaining air pressure </w:t>
      </w:r>
      <w:r w:rsidR="007E3E0E">
        <w:t>(“normbaric”)</w:t>
      </w:r>
      <w:r w:rsidR="00BB4D41">
        <w:t>.</w:t>
      </w:r>
      <w:r w:rsidR="00BB4D41">
        <w:rPr>
          <w:rStyle w:val="FootnoteReference"/>
        </w:rPr>
        <w:footnoteReference w:id="393"/>
      </w:r>
      <w:r w:rsidR="00BB4D41">
        <w:t xml:space="preserve"> Enclosed facilities may adjust the air by using a “hypoxic generator” or “any oxygen extraction” device.</w:t>
      </w:r>
      <w:r w:rsidR="00BB4D41">
        <w:rPr>
          <w:rStyle w:val="FootnoteReference"/>
        </w:rPr>
        <w:footnoteReference w:id="394"/>
      </w:r>
    </w:p>
    <w:p w14:paraId="512AD99A" w14:textId="2606ED7C" w:rsidR="00BB4D41" w:rsidRDefault="00372C25" w:rsidP="00D90D35">
      <w:pPr>
        <w:ind w:firstLine="720"/>
      </w:pPr>
      <w:r>
        <w:t>An asserted</w:t>
      </w:r>
      <w:r w:rsidR="00BB4D41">
        <w:t xml:space="preserve"> prior reference, the ‘652 patent</w:t>
      </w:r>
      <w:r>
        <w:t xml:space="preserve"> (Kotliar)</w:t>
      </w:r>
      <w:r w:rsidR="00BB4D41">
        <w:t xml:space="preserve">, has the same named inventor </w:t>
      </w:r>
      <w:r>
        <w:t xml:space="preserve">and “discloses </w:t>
      </w:r>
      <w:r w:rsidRPr="00372C25">
        <w:t>equipment for providing hypoxic air in an enclosed area for the purposes of athletic training or therapy</w:t>
      </w:r>
      <w:r>
        <w:t>.”</w:t>
      </w:r>
      <w:r>
        <w:rPr>
          <w:rStyle w:val="FootnoteReference"/>
        </w:rPr>
        <w:footnoteReference w:id="395"/>
      </w:r>
      <w:r>
        <w:t xml:space="preserve"> Kotliar discloses a system using a</w:t>
      </w:r>
      <w:r w:rsidR="007E3E0E">
        <w:t xml:space="preserve"> </w:t>
      </w:r>
      <w:r>
        <w:t>“hypoxicator” that reduces the concentration of oxygen in the air in an enclosed space.</w:t>
      </w:r>
      <w:r>
        <w:rPr>
          <w:rStyle w:val="FootnoteReference"/>
        </w:rPr>
        <w:footnoteReference w:id="396"/>
      </w:r>
    </w:p>
    <w:p w14:paraId="3E5BF804" w14:textId="72D182F0" w:rsidR="00372C25" w:rsidRDefault="00372C25" w:rsidP="00372C25">
      <w:r>
        <w:tab/>
        <w:t>Airbus asserted four further references that allegedly make the ‘752 patent’s claimed invention obvious when combined with Kotliar: 1) Gustafsson</w:t>
      </w:r>
      <w:r w:rsidR="00CD504C">
        <w:t>, a study of how prolonged exposure to allegedly “fire retardant atmosphere” of normbaric hypoxic air; 2) the 1167 Report, a U.S. navy report on health hazards of flame-suppressant atmospheres, included hypoxic air repressurized with nitrogen; 3) Luria, a similar report focusing on vision performance</w:t>
      </w:r>
      <w:r w:rsidR="00E17FA0">
        <w:t>; and 4) the ‘514 patent (Carhart), which is directed to “a system and method of adding nitrogen under pressure to a confined area including a habitable atmosphere to suppress a fire.”</w:t>
      </w:r>
      <w:r w:rsidR="00E17FA0">
        <w:rPr>
          <w:rStyle w:val="FootnoteReference"/>
        </w:rPr>
        <w:footnoteReference w:id="397"/>
      </w:r>
      <w:r w:rsidR="00E17FA0">
        <w:t xml:space="preserve"> </w:t>
      </w:r>
    </w:p>
    <w:p w14:paraId="462184A4" w14:textId="0A6B4A02" w:rsidR="00E17FA0" w:rsidRDefault="00E17FA0" w:rsidP="00C25428">
      <w:r>
        <w:tab/>
        <w:t xml:space="preserve">The </w:t>
      </w:r>
      <w:r w:rsidR="00D449DE">
        <w:t>PTAB held Kotliar was not an analogous art for the ‘752 patent.</w:t>
      </w:r>
      <w:r w:rsidR="00D449DE">
        <w:rPr>
          <w:rStyle w:val="FootnoteReference"/>
        </w:rPr>
        <w:footnoteReference w:id="398"/>
      </w:r>
      <w:r w:rsidR="00D449DE">
        <w:t xml:space="preserve"> A reference is analogous prior art for </w:t>
      </w:r>
      <w:r w:rsidR="00C25428">
        <w:t xml:space="preserve">purposes of </w:t>
      </w:r>
      <w:r w:rsidR="00D449DE">
        <w:t>an obviousness determination if it is either, 1) “from the same field of endeavor” or 2) “reasonably pertinent to the particular problem.”</w:t>
      </w:r>
      <w:r w:rsidR="00D449DE">
        <w:rPr>
          <w:rStyle w:val="FootnoteReference"/>
        </w:rPr>
        <w:footnoteReference w:id="399"/>
      </w:r>
      <w:r w:rsidR="00D449DE">
        <w:t xml:space="preserve"> The PTAB</w:t>
      </w:r>
      <w:r w:rsidR="00C25428">
        <w:t xml:space="preserve"> concluded</w:t>
      </w:r>
      <w:r w:rsidR="00D449DE">
        <w:t xml:space="preserve"> Kotliar</w:t>
      </w:r>
      <w:r w:rsidR="00C25428">
        <w:t xml:space="preserve"> and the ‘752 patent were not from the same field of endeavor: Kotliar’s field</w:t>
      </w:r>
      <w:r w:rsidR="00292636">
        <w:t xml:space="preserve"> </w:t>
      </w:r>
      <w:r w:rsidR="00C25428">
        <w:t>is athletic training, while the ‘752 patent’s field is fire suppression.</w:t>
      </w:r>
      <w:r w:rsidR="00C25428">
        <w:rPr>
          <w:rStyle w:val="FootnoteReference"/>
        </w:rPr>
        <w:footnoteReference w:id="400"/>
      </w:r>
      <w:r w:rsidR="00C25428">
        <w:t xml:space="preserve"> The PTAB also concluded Kotliar was not reasonably pertinent because there was no provided connection between Kotliar and the problem of fire suppression.</w:t>
      </w:r>
      <w:r w:rsidR="00C25428">
        <w:rPr>
          <w:rStyle w:val="FootnoteReference"/>
        </w:rPr>
        <w:footnoteReference w:id="401"/>
      </w:r>
      <w:r w:rsidR="00C25428">
        <w:t xml:space="preserve"> Because the patent examiner had not specifically cited the references, the PTAB refused to consider </w:t>
      </w:r>
      <w:r w:rsidR="003B1176">
        <w:t>Airbus’s four asserted references.</w:t>
      </w:r>
      <w:r w:rsidR="003B1176">
        <w:rPr>
          <w:rStyle w:val="FootnoteReference"/>
        </w:rPr>
        <w:footnoteReference w:id="402"/>
      </w:r>
    </w:p>
    <w:p w14:paraId="0385C314" w14:textId="1268CEE6" w:rsidR="003B1176" w:rsidRPr="00D90D35" w:rsidRDefault="003B1176" w:rsidP="00C25428">
      <w:r>
        <w:lastRenderedPageBreak/>
        <w:tab/>
        <w:t>The Federal Circuit vacated and remanded. The Court held the PTAB had reasonably applied the field of endeavor test.</w:t>
      </w:r>
      <w:r>
        <w:rPr>
          <w:rStyle w:val="FootnoteReference"/>
        </w:rPr>
        <w:footnoteReference w:id="403"/>
      </w:r>
      <w:r w:rsidR="007A51AD">
        <w:t xml:space="preserve"> However, the Court held the PTAB erred by not considering Airbus’s four asserted references.</w:t>
      </w:r>
      <w:r w:rsidR="007A51AD">
        <w:rPr>
          <w:rStyle w:val="FootnoteReference"/>
        </w:rPr>
        <w:footnoteReference w:id="404"/>
      </w:r>
      <w:r w:rsidR="007A51AD">
        <w:t xml:space="preserve"> </w:t>
      </w:r>
      <w:r w:rsidR="00F97263">
        <w:t>“[T]he reasonably pertinent inquiry may consider where an ordinarily skilled artisan would reasonably look … in seeking to address the problem confronted by the inventor.”</w:t>
      </w:r>
      <w:r w:rsidR="00F97263">
        <w:rPr>
          <w:rStyle w:val="FootnoteReference"/>
        </w:rPr>
        <w:footnoteReference w:id="405"/>
      </w:r>
      <w:r w:rsidR="00F97263">
        <w:t xml:space="preserve"> Thus, “a reasonable factfinder should consider record evidence cited by the parties to demonstrate the knowledge and perspective of a person of ordinary skill in the art at the time of the invention.”</w:t>
      </w:r>
      <w:r w:rsidR="00F97263">
        <w:rPr>
          <w:rStyle w:val="FootnoteReference"/>
        </w:rPr>
        <w:footnoteReference w:id="406"/>
      </w:r>
      <w:r w:rsidR="00E2663D">
        <w:t xml:space="preserve"> </w:t>
      </w:r>
      <w:r w:rsidR="007A51AD">
        <w:t>The four references are relevant to the question of whether someone skilled in the art of fire prevention would have</w:t>
      </w:r>
      <w:r w:rsidR="00E2663D">
        <w:t xml:space="preserve"> “reasonably consulted</w:t>
      </w:r>
      <w:r w:rsidR="00F97263">
        <w:t xml:space="preserve"> references </w:t>
      </w:r>
      <w:r w:rsidR="00E2663D">
        <w:t>relating to</w:t>
      </w:r>
      <w:r w:rsidR="00F97263">
        <w:t xml:space="preserve"> normbaric hypopoxic atmospheres</w:t>
      </w:r>
      <w:r w:rsidR="00E2663D">
        <w:t>” when considering the problem addressed by the ‘752 patent.</w:t>
      </w:r>
      <w:r w:rsidR="00F97263">
        <w:rPr>
          <w:rStyle w:val="FootnoteReference"/>
        </w:rPr>
        <w:footnoteReference w:id="407"/>
      </w:r>
      <w:r w:rsidR="00E2663D">
        <w:t xml:space="preserve"> Therefore, the PTAB should have considered those references in its analysis even though they were not specifically cited by the patent examiner.</w:t>
      </w:r>
      <w:r w:rsidR="00E2663D">
        <w:rPr>
          <w:rStyle w:val="FootnoteReference"/>
        </w:rPr>
        <w:footnoteReference w:id="408"/>
      </w:r>
    </w:p>
    <w:p w14:paraId="38BC5B29" w14:textId="250AFA1F" w:rsidR="00AD0A65" w:rsidRPr="0033193D" w:rsidRDefault="00AD0A65" w:rsidP="00AD0A65">
      <w:pPr>
        <w:pStyle w:val="Heading4"/>
        <w:jc w:val="both"/>
        <w:rPr>
          <w:iCs/>
        </w:rPr>
      </w:pPr>
      <w:bookmarkStart w:id="51" w:name="_Toc26792773"/>
      <w:r w:rsidRPr="0033193D">
        <w:rPr>
          <w:i/>
        </w:rPr>
        <w:t>OSI Pharm., LLC v. Apotex Inc.</w:t>
      </w:r>
      <w:r w:rsidRPr="00AD0A65">
        <w:rPr>
          <w:i/>
        </w:rPr>
        <w:t xml:space="preserve">, </w:t>
      </w:r>
      <w:r w:rsidR="009A4086">
        <w:rPr>
          <w:iCs/>
        </w:rPr>
        <w:t xml:space="preserve">939 F.3d 1375 </w:t>
      </w:r>
      <w:r w:rsidRPr="0033193D">
        <w:rPr>
          <w:iCs/>
        </w:rPr>
        <w:t>(Fed. Cir. Oct. 4, 2019)</w:t>
      </w:r>
      <w:bookmarkEnd w:id="51"/>
    </w:p>
    <w:p w14:paraId="73E59D16" w14:textId="297C1275" w:rsidR="00AD0A65" w:rsidRDefault="00AD0A65">
      <w:r>
        <w:tab/>
      </w:r>
      <w:r w:rsidR="00346A5E">
        <w:t>In this appeal from the Patent Trial and Appeal Board (PTAB), the Federal Circuit reversed</w:t>
      </w:r>
      <w:r w:rsidR="009A4086">
        <w:t>,</w:t>
      </w:r>
      <w:r w:rsidR="00346A5E">
        <w:t xml:space="preserve"> </w:t>
      </w:r>
      <w:r w:rsidR="009A4086">
        <w:t>holding</w:t>
      </w:r>
      <w:r w:rsidR="006E6C01">
        <w:t xml:space="preserve"> the claimed method for using a drug as a cancer treatment was not obvious from combining references in the prior art.</w:t>
      </w:r>
      <w:r w:rsidR="009A4086">
        <w:rPr>
          <w:rStyle w:val="FootnoteReference"/>
        </w:rPr>
        <w:footnoteReference w:id="409"/>
      </w:r>
    </w:p>
    <w:p w14:paraId="189AE254" w14:textId="77777777" w:rsidR="00683B36" w:rsidRDefault="009A4086">
      <w:r>
        <w:tab/>
        <w:t xml:space="preserve">Osi’s ‘221 patent claims </w:t>
      </w:r>
      <w:r w:rsidR="0098664B">
        <w:t xml:space="preserve">methods of producing the </w:t>
      </w:r>
      <w:r>
        <w:t xml:space="preserve">drug erlotinib </w:t>
      </w:r>
      <w:r w:rsidR="0098664B">
        <w:t xml:space="preserve">and using it as a </w:t>
      </w:r>
      <w:r>
        <w:t>trea</w:t>
      </w:r>
      <w:r w:rsidR="0098664B">
        <w:t>tment for</w:t>
      </w:r>
      <w:r>
        <w:t xml:space="preserve"> non-small cell lung cancer</w:t>
      </w:r>
      <w:r w:rsidR="00D620B9">
        <w:t xml:space="preserve"> (NSCLC)</w:t>
      </w:r>
      <w:r>
        <w:t>.</w:t>
      </w:r>
      <w:r>
        <w:rPr>
          <w:rStyle w:val="FootnoteReference"/>
        </w:rPr>
        <w:footnoteReference w:id="410"/>
      </w:r>
      <w:r>
        <w:t xml:space="preserve"> </w:t>
      </w:r>
      <w:r w:rsidR="0098664B">
        <w:t xml:space="preserve">The </w:t>
      </w:r>
      <w:r w:rsidR="00D620B9">
        <w:t>PTAB concluded the patent’s claims involving how to use the drug would have been obvious after considering three references.</w:t>
      </w:r>
      <w:r w:rsidR="00D620B9">
        <w:rPr>
          <w:rStyle w:val="FootnoteReference"/>
        </w:rPr>
        <w:footnoteReference w:id="411"/>
      </w:r>
    </w:p>
    <w:p w14:paraId="59AAF4F9" w14:textId="147F5A58" w:rsidR="002D5073" w:rsidRDefault="00683B36">
      <w:r>
        <w:tab/>
        <w:t>First, Schnur is a patent</w:t>
      </w:r>
      <w:r w:rsidR="00700446">
        <w:t xml:space="preserve"> relating to a class of compounds which could be used to treat various conditions, including cancers.</w:t>
      </w:r>
      <w:r w:rsidR="00700446">
        <w:rPr>
          <w:rStyle w:val="FootnoteReference"/>
        </w:rPr>
        <w:footnoteReference w:id="412"/>
      </w:r>
      <w:r w:rsidR="00700446">
        <w:t xml:space="preserve"> Schnur lists erlotinib among the 105 compounds it discloses and lists lung cancer among the various conditions the compounds could treat.</w:t>
      </w:r>
      <w:r w:rsidR="00700446">
        <w:rPr>
          <w:rStyle w:val="FootnoteReference"/>
        </w:rPr>
        <w:footnoteReference w:id="413"/>
      </w:r>
      <w:r w:rsidR="00700446">
        <w:t xml:space="preserve"> Schnur, however, “does not discuss NSCLC.”</w:t>
      </w:r>
      <w:r w:rsidR="00700446">
        <w:rPr>
          <w:rStyle w:val="FootnoteReference"/>
        </w:rPr>
        <w:footnoteReference w:id="414"/>
      </w:r>
    </w:p>
    <w:p w14:paraId="65C7FB1D" w14:textId="0772E149" w:rsidR="00AD0A65" w:rsidRDefault="00D620B9" w:rsidP="00683B36">
      <w:pPr>
        <w:ind w:firstLine="720"/>
      </w:pPr>
      <w:r>
        <w:t>Second, the Gibbs reference is a review article about “signaling mechanisms in the cell and how they are associated with tumor malignancy” that “</w:t>
      </w:r>
      <w:r w:rsidRPr="00D620B9">
        <w:t>discusses the data of over thirty published research studies, including one discussing erlotinib</w:t>
      </w:r>
      <w:r>
        <w:t>.”</w:t>
      </w:r>
      <w:r>
        <w:rPr>
          <w:rStyle w:val="FootnoteReference"/>
        </w:rPr>
        <w:footnoteReference w:id="415"/>
      </w:r>
      <w:r w:rsidR="002D5073">
        <w:t xml:space="preserve"> However, the studies cited in Gibbs did not in</w:t>
      </w:r>
      <w:r w:rsidR="00683B36">
        <w:t xml:space="preserve">clude data on erlotinib as </w:t>
      </w:r>
      <w:r w:rsidR="00B333BF">
        <w:t xml:space="preserve">a </w:t>
      </w:r>
      <w:r w:rsidR="00683B36">
        <w:t>NSCLC treatment or suggest it could be used as one.</w:t>
      </w:r>
      <w:r w:rsidR="00683B36">
        <w:rPr>
          <w:rStyle w:val="FootnoteReference"/>
        </w:rPr>
        <w:footnoteReference w:id="416"/>
      </w:r>
    </w:p>
    <w:p w14:paraId="4008659C" w14:textId="15D0FCBB" w:rsidR="00700446" w:rsidRDefault="00700446" w:rsidP="00683B36">
      <w:pPr>
        <w:ind w:firstLine="720"/>
      </w:pPr>
      <w:r>
        <w:lastRenderedPageBreak/>
        <w:t xml:space="preserve">Finally, </w:t>
      </w:r>
      <w:r w:rsidR="009D57B3">
        <w:t>OSI’s 10-K is a form the company must file to the SEC every year that includes “information on OSI’s finances, product development, research, competition, and manufacturing.”</w:t>
      </w:r>
      <w:r w:rsidR="009D57B3">
        <w:rPr>
          <w:rStyle w:val="FootnoteReference"/>
        </w:rPr>
        <w:footnoteReference w:id="417"/>
      </w:r>
      <w:r w:rsidR="009D57B3">
        <w:t xml:space="preserve"> OSI’s 10-K for 1998</w:t>
      </w:r>
      <w:r w:rsidR="003A6F7A">
        <w:t xml:space="preserve"> stated</w:t>
      </w:r>
      <w:r w:rsidR="009D57B3">
        <w:t xml:space="preserve"> erlotinib was beginning Phase II clinical trials in cancer patients.</w:t>
      </w:r>
      <w:r w:rsidR="009D57B3">
        <w:rPr>
          <w:rStyle w:val="FootnoteReference"/>
        </w:rPr>
        <w:footnoteReference w:id="418"/>
      </w:r>
      <w:r w:rsidR="003A6F7A">
        <w:t xml:space="preserve"> Furthermore, the </w:t>
      </w:r>
      <w:r w:rsidR="00AE2846">
        <w:t>form mentioned NSCLC as a type of cancer erlotinib targets.</w:t>
      </w:r>
      <w:r w:rsidR="00AE2846">
        <w:rPr>
          <w:rStyle w:val="FootnoteReference"/>
        </w:rPr>
        <w:footnoteReference w:id="419"/>
      </w:r>
    </w:p>
    <w:p w14:paraId="339FAD2A" w14:textId="17F32DAE" w:rsidR="006C40C9" w:rsidRDefault="006C40C9" w:rsidP="00683B36">
      <w:pPr>
        <w:ind w:firstLine="720"/>
      </w:pPr>
      <w:r>
        <w:t>The PTAB concluded the ‘221 patent’s claims for a method of using erlotinib to treat NSCLC were obvious</w:t>
      </w:r>
      <w:r w:rsidR="00322E8C">
        <w:t xml:space="preserve"> and unpatentable</w:t>
      </w:r>
      <w:r>
        <w:t>.</w:t>
      </w:r>
      <w:r>
        <w:rPr>
          <w:rStyle w:val="FootnoteReference"/>
        </w:rPr>
        <w:footnoteReference w:id="420"/>
      </w:r>
      <w:r>
        <w:t xml:space="preserve"> Combining Schnur with either</w:t>
      </w:r>
      <w:r w:rsidR="00322E8C">
        <w:t xml:space="preserve"> the information in</w:t>
      </w:r>
      <w:r>
        <w:t xml:space="preserve"> </w:t>
      </w:r>
      <w:r w:rsidR="00322E8C">
        <w:t>Gibbs or the disclosures about erlotinib in OSI’s 10-K would be enough for a person of ordinary skill in the art create the invention with a reasonable expectation of success.</w:t>
      </w:r>
      <w:r w:rsidR="00322E8C">
        <w:rPr>
          <w:rStyle w:val="FootnoteReference"/>
        </w:rPr>
        <w:footnoteReference w:id="421"/>
      </w:r>
    </w:p>
    <w:p w14:paraId="5E4903EA" w14:textId="5504F23F" w:rsidR="00322E8C" w:rsidRPr="0033193D" w:rsidRDefault="00322E8C" w:rsidP="0033193D">
      <w:pPr>
        <w:ind w:firstLine="720"/>
      </w:pPr>
      <w:r>
        <w:t>The Federal Circuit reversed.</w:t>
      </w:r>
      <w:r>
        <w:rPr>
          <w:rStyle w:val="FootnoteReference"/>
        </w:rPr>
        <w:footnoteReference w:id="422"/>
      </w:r>
      <w:r>
        <w:t xml:space="preserve"> The court held the PTAB had erred in its interpretation of the references because </w:t>
      </w:r>
      <w:r w:rsidR="008018BE">
        <w:t>they “</w:t>
      </w:r>
      <w:r w:rsidR="008018BE" w:rsidRPr="008018BE">
        <w:t>do not disclose any data or other information about erlotinib’s efficacy in treating NSCLC.</w:t>
      </w:r>
      <w:r w:rsidR="008018BE">
        <w:t>”</w:t>
      </w:r>
      <w:r>
        <w:rPr>
          <w:rStyle w:val="FootnoteReference"/>
        </w:rPr>
        <w:footnoteReference w:id="423"/>
      </w:r>
      <w:r w:rsidR="008018BE">
        <w:t xml:space="preserve"> Just by combining the asserted references, the court</w:t>
      </w:r>
      <w:r w:rsidR="00B333BF">
        <w:t xml:space="preserve"> concluded</w:t>
      </w:r>
      <w:r w:rsidR="008018BE">
        <w:t xml:space="preserve"> a person ordinarily skilled in the art would not have reasonably expected success in using erlotinib to treat NSCLC, especially with NSCLC treatments being “highly unpredictable with an over 99.5% rate of failure for drugs entering Phase II clinical studies.”</w:t>
      </w:r>
      <w:r w:rsidR="008018BE">
        <w:rPr>
          <w:rStyle w:val="FootnoteReference"/>
        </w:rPr>
        <w:footnoteReference w:id="424"/>
      </w:r>
      <w:r w:rsidR="008018BE">
        <w:t xml:space="preserve"> </w:t>
      </w:r>
      <w:r w:rsidR="003C2DB0">
        <w:t xml:space="preserve">The court went on to say, however, that it was not holding that successful human trials were </w:t>
      </w:r>
      <w:r w:rsidR="00FB7709">
        <w:t>always required to show a reasonable expectation of success</w:t>
      </w:r>
      <w:r w:rsidR="003C2DB0">
        <w:t>.</w:t>
      </w:r>
    </w:p>
    <w:p w14:paraId="789AC0E9" w14:textId="08349F17" w:rsidR="008E1F96" w:rsidRPr="008E1F96" w:rsidRDefault="008E1F96" w:rsidP="00136E52">
      <w:pPr>
        <w:pStyle w:val="Heading4"/>
      </w:pPr>
      <w:bookmarkStart w:id="52" w:name="_Toc26792774"/>
      <w:r>
        <w:rPr>
          <w:i/>
        </w:rPr>
        <w:t xml:space="preserve">Endo Pharms. </w:t>
      </w:r>
      <w:r w:rsidRPr="008E1F96">
        <w:rPr>
          <w:i/>
        </w:rPr>
        <w:t>Inc. v. Actavis LLC</w:t>
      </w:r>
      <w:r w:rsidRPr="008E1F96">
        <w:t>, 922 F.3d 1365 (Fed. Cir. May</w:t>
      </w:r>
      <w:r>
        <w:t xml:space="preserve"> 3</w:t>
      </w:r>
      <w:r w:rsidRPr="008E1F96">
        <w:t>, 2019)</w:t>
      </w:r>
      <w:bookmarkEnd w:id="52"/>
    </w:p>
    <w:p w14:paraId="78B69731" w14:textId="30C7A76A" w:rsidR="008E1F96" w:rsidRDefault="008E1F96" w:rsidP="008E1F96">
      <w:pPr>
        <w:ind w:firstLine="720"/>
      </w:pPr>
      <w:r>
        <w:t xml:space="preserve">In this appeal from the District Court of </w:t>
      </w:r>
      <w:r w:rsidR="00363432">
        <w:t>Delaware</w:t>
      </w:r>
      <w:r>
        <w:t>, the Federal</w:t>
      </w:r>
      <w:r w:rsidR="00C859E3">
        <w:t xml:space="preserve"> Circuit affirmed </w:t>
      </w:r>
      <w:r w:rsidR="008630C2">
        <w:t xml:space="preserve">that </w:t>
      </w:r>
      <w:r w:rsidR="00C859E3">
        <w:t xml:space="preserve">the patent </w:t>
      </w:r>
      <w:r w:rsidR="00F671AE">
        <w:t>at</w:t>
      </w:r>
      <w:r w:rsidR="00C859E3">
        <w:t xml:space="preserve"> issue </w:t>
      </w:r>
      <w:r w:rsidR="00F671AE">
        <w:t>was</w:t>
      </w:r>
      <w:r w:rsidR="00C859E3">
        <w:t xml:space="preserve"> </w:t>
      </w:r>
      <w:r w:rsidR="00F671AE">
        <w:t>not</w:t>
      </w:r>
      <w:r w:rsidR="00C859E3">
        <w:t xml:space="preserve"> obvious</w:t>
      </w:r>
      <w:r w:rsidR="00921874">
        <w:t xml:space="preserve"> because the ordinarily skilled artisan would not have had reasonable expectation of success in combining prior art</w:t>
      </w:r>
      <w:r>
        <w:t>.</w:t>
      </w:r>
      <w:r w:rsidRPr="005A669A">
        <w:rPr>
          <w:rStyle w:val="FootnoteReference"/>
        </w:rPr>
        <w:footnoteReference w:id="425"/>
      </w:r>
      <w:r>
        <w:t xml:space="preserve"> </w:t>
      </w:r>
    </w:p>
    <w:p w14:paraId="0C8AB326" w14:textId="46BB22E6" w:rsidR="00186B91" w:rsidRDefault="00921874" w:rsidP="008E1F96">
      <w:pPr>
        <w:ind w:firstLine="720"/>
      </w:pPr>
      <w:r>
        <w:t xml:space="preserve">The case concerned the ’779 patent, licensed by Endo and asserted against Actavis, </w:t>
      </w:r>
      <w:r w:rsidR="006F0255">
        <w:t>disclosing processes for preparing highly pure morphinan compounds used in pain relief.</w:t>
      </w:r>
      <w:r>
        <w:rPr>
          <w:rStyle w:val="FootnoteReference"/>
        </w:rPr>
        <w:footnoteReference w:id="426"/>
      </w:r>
      <w:r w:rsidR="006F0255">
        <w:t xml:space="preserve">  </w:t>
      </w:r>
      <w:r w:rsidR="00497C57">
        <w:t>Using</w:t>
      </w:r>
      <w:r w:rsidR="008F1D62">
        <w:t xml:space="preserve"> morphinan compounds</w:t>
      </w:r>
      <w:r w:rsidR="008562E5">
        <w:t xml:space="preserve"> </w:t>
      </w:r>
      <w:r w:rsidR="00497C57">
        <w:t xml:space="preserve">for pain relief </w:t>
      </w:r>
      <w:r w:rsidR="008F1D62">
        <w:t>was well known</w:t>
      </w:r>
      <w:r w:rsidR="000705A8">
        <w:t xml:space="preserve"> (including oxymorphone and oxycodone)</w:t>
      </w:r>
      <w:r w:rsidR="008F1D62">
        <w:t>,</w:t>
      </w:r>
      <w:r w:rsidR="00497C57">
        <w:t xml:space="preserve"> yet</w:t>
      </w:r>
      <w:r w:rsidR="008F1D62">
        <w:t xml:space="preserve"> prior art failed to produce them without</w:t>
      </w:r>
      <w:r w:rsidR="00923456">
        <w:t xml:space="preserve"> impurities, specifically “ABUK,” or  </w:t>
      </w:r>
      <w:r w:rsidR="00F37D54">
        <w:t>“</w:t>
      </w:r>
      <w:r w:rsidR="00F37D54">
        <w:rPr>
          <w:rFonts w:ascii="Symbol" w:hAnsi="Symbol"/>
        </w:rPr>
        <w:t></w:t>
      </w:r>
      <w:r w:rsidR="00F37D54">
        <w:rPr>
          <w:rFonts w:ascii="Symbol" w:hAnsi="Symbol"/>
        </w:rPr>
        <w:t></w:t>
      </w:r>
      <w:r w:rsidR="00F37D54">
        <w:rPr>
          <w:rFonts w:ascii="Symbol" w:hAnsi="Symbol"/>
        </w:rPr>
        <w:t></w:t>
      </w:r>
      <w:r w:rsidR="00FC3688">
        <w:t>-unsaturated keton intermediate compounds</w:t>
      </w:r>
      <w:r w:rsidR="00923456">
        <w:t>.</w:t>
      </w:r>
      <w:r w:rsidR="00FC3688">
        <w:t>”</w:t>
      </w:r>
      <w:r w:rsidR="00FC3688">
        <w:rPr>
          <w:rStyle w:val="FootnoteReference"/>
        </w:rPr>
        <w:footnoteReference w:id="427"/>
      </w:r>
      <w:r w:rsidR="008562E5">
        <w:t xml:space="preserve">  </w:t>
      </w:r>
      <w:r w:rsidR="00923456">
        <w:t xml:space="preserve">Three references </w:t>
      </w:r>
      <w:r w:rsidR="007E107A">
        <w:t xml:space="preserve">failed to </w:t>
      </w:r>
      <w:r w:rsidR="00497C57">
        <w:t>render obvious the purifying technique the ’779 patent</w:t>
      </w:r>
      <w:r w:rsidR="007E107A">
        <w:t xml:space="preserve"> </w:t>
      </w:r>
      <w:r w:rsidR="00497C57">
        <w:t>disclosed</w:t>
      </w:r>
      <w:r w:rsidR="007E107A">
        <w:t>.  The Weiss reference taught purifying morphinan compounds through catalytic hydrogenation</w:t>
      </w:r>
      <w:r w:rsidR="00EE10D9">
        <w:t xml:space="preserve">; but not only did Weiss </w:t>
      </w:r>
      <w:r w:rsidR="007E107A">
        <w:t xml:space="preserve">fail to specify </w:t>
      </w:r>
      <w:r w:rsidR="005C2140">
        <w:t>conditions critical to achieving this outcome</w:t>
      </w:r>
      <w:r w:rsidR="00EE10D9">
        <w:t xml:space="preserve">, </w:t>
      </w:r>
      <w:r w:rsidR="00FB6B07">
        <w:t xml:space="preserve">it </w:t>
      </w:r>
      <w:r w:rsidR="005C2140">
        <w:t xml:space="preserve">acknowledged that </w:t>
      </w:r>
      <w:r w:rsidR="00FB6B07">
        <w:t>its</w:t>
      </w:r>
      <w:r w:rsidR="000705A8">
        <w:t xml:space="preserve"> imperfect</w:t>
      </w:r>
      <w:r w:rsidR="005C2140">
        <w:t xml:space="preserve"> process </w:t>
      </w:r>
      <w:r w:rsidR="00FB6B07">
        <w:t>created</w:t>
      </w:r>
      <w:r w:rsidR="005C2140">
        <w:t xml:space="preserve"> diols that</w:t>
      </w:r>
      <w:r w:rsidR="00EE10D9">
        <w:t xml:space="preserve"> </w:t>
      </w:r>
      <w:r w:rsidR="005C2140">
        <w:t>could</w:t>
      </w:r>
      <w:r w:rsidR="00EE10D9">
        <w:t xml:space="preserve"> </w:t>
      </w:r>
      <w:r w:rsidR="005C2140">
        <w:t xml:space="preserve">revert </w:t>
      </w:r>
      <w:r w:rsidR="00EE10D9">
        <w:t>to ABUKs</w:t>
      </w:r>
      <w:r w:rsidR="00FB6B07">
        <w:t xml:space="preserve"> (in particular, </w:t>
      </w:r>
      <w:r w:rsidR="00E70099">
        <w:t xml:space="preserve">while oxycodone diol was not produced readily through this process, </w:t>
      </w:r>
      <w:r w:rsidR="00E70099">
        <w:lastRenderedPageBreak/>
        <w:t xml:space="preserve">oxymorphone diol and </w:t>
      </w:r>
      <w:r w:rsidR="000705A8">
        <w:t xml:space="preserve">so </w:t>
      </w:r>
      <w:r w:rsidR="00E70099">
        <w:t>oxymorphone ABUK was).</w:t>
      </w:r>
      <w:r w:rsidR="00E70099">
        <w:rPr>
          <w:rStyle w:val="FootnoteReference"/>
        </w:rPr>
        <w:footnoteReference w:id="428"/>
      </w:r>
      <w:r w:rsidR="00C52F4E">
        <w:t xml:space="preserve">  The Chapman reference taught a process for reducing oxycodone diol</w:t>
      </w:r>
      <w:r w:rsidR="0061454A">
        <w:t xml:space="preserve"> </w:t>
      </w:r>
      <w:r w:rsidR="00C52F4E">
        <w:t>to prevent reversion to oxycodone ABUK</w:t>
      </w:r>
      <w:r w:rsidR="000705A8">
        <w:t xml:space="preserve"> </w:t>
      </w:r>
      <w:r w:rsidR="00C52F4E">
        <w:t>—</w:t>
      </w:r>
      <w:r w:rsidR="000705A8">
        <w:t xml:space="preserve"> </w:t>
      </w:r>
      <w:r w:rsidR="00C52F4E">
        <w:t>but this process</w:t>
      </w:r>
      <w:r w:rsidR="004C793C">
        <w:t xml:space="preserve"> failed to achieve outcomes as pure and as quickly as those the ’779 patent enabled, </w:t>
      </w:r>
      <w:r w:rsidR="0061454A">
        <w:t>its</w:t>
      </w:r>
      <w:r w:rsidR="004C793C">
        <w:t xml:space="preserve"> long duration caused degradation of the </w:t>
      </w:r>
      <w:r w:rsidR="000E4050">
        <w:t>desired compound</w:t>
      </w:r>
      <w:r w:rsidR="000705A8">
        <w:t>, and it did not contemplate its use for oxymorphone diol</w:t>
      </w:r>
      <w:r w:rsidR="000E4050">
        <w:t>.</w:t>
      </w:r>
      <w:r w:rsidR="000E4050">
        <w:rPr>
          <w:rStyle w:val="FootnoteReference"/>
        </w:rPr>
        <w:footnoteReference w:id="429"/>
      </w:r>
      <w:r w:rsidR="00C52F4E">
        <w:t xml:space="preserve">  </w:t>
      </w:r>
      <w:r w:rsidR="00355FCB">
        <w:t xml:space="preserve">A third reference, Rapoport, taught </w:t>
      </w:r>
      <w:r w:rsidR="000D7FE4">
        <w:t xml:space="preserve">adding sulfur to assist in separating and removing </w:t>
      </w:r>
      <w:r w:rsidR="00C3314D">
        <w:t xml:space="preserve">up to 75% of </w:t>
      </w:r>
      <w:r w:rsidR="000D7FE4">
        <w:t>oxymorphone impurities</w:t>
      </w:r>
      <w:r w:rsidR="000705A8">
        <w:t xml:space="preserve"> — a </w:t>
      </w:r>
      <w:r w:rsidR="00C3314D">
        <w:t>smaller share tha</w:t>
      </w:r>
      <w:r w:rsidR="000705A8">
        <w:t xml:space="preserve">n what the ’779 patent accomplished, and again </w:t>
      </w:r>
      <w:r w:rsidR="00C3314D">
        <w:t>at the expense of degrading the desired compound.</w:t>
      </w:r>
      <w:r w:rsidR="00C3314D">
        <w:rPr>
          <w:rStyle w:val="FootnoteReference"/>
        </w:rPr>
        <w:footnoteReference w:id="430"/>
      </w:r>
      <w:r w:rsidR="00C3314D">
        <w:t xml:space="preserve"> </w:t>
      </w:r>
      <w:r w:rsidR="000D7FE4">
        <w:t xml:space="preserve"> </w:t>
      </w:r>
      <w:r w:rsidR="00800C4C">
        <w:t>Finally,</w:t>
      </w:r>
      <w:r w:rsidR="00ED61CC">
        <w:t xml:space="preserve"> in a fourth “reference” of sorts, </w:t>
      </w:r>
      <w:r w:rsidR="00800C4C">
        <w:t>the U.S. Food and Drug Administration told drugmakers that oxymorphone ABUK levels would need to be held within 10 ppm.</w:t>
      </w:r>
      <w:r w:rsidR="00800C4C">
        <w:rPr>
          <w:rStyle w:val="FootnoteReference"/>
        </w:rPr>
        <w:footnoteReference w:id="431"/>
      </w:r>
    </w:p>
    <w:p w14:paraId="2B6F37F4" w14:textId="63C63CE2" w:rsidR="0007631B" w:rsidRDefault="0061454A" w:rsidP="008E1F96">
      <w:pPr>
        <w:ind w:firstLine="720"/>
      </w:pPr>
      <w:r>
        <w:t xml:space="preserve">The district court determined that </w:t>
      </w:r>
      <w:r w:rsidR="000A472E">
        <w:t xml:space="preserve">a PHOSITA would </w:t>
      </w:r>
      <w:r w:rsidR="00186B91">
        <w:t xml:space="preserve">not have had a reasonable expectation of success in combining </w:t>
      </w:r>
      <w:r w:rsidR="00ED61CC">
        <w:t>any of these</w:t>
      </w:r>
      <w:r w:rsidR="000A472E">
        <w:t xml:space="preserve"> references to</w:t>
      </w:r>
      <w:r w:rsidR="00186B91">
        <w:t xml:space="preserve"> create the ’779 process.</w:t>
      </w:r>
      <w:r w:rsidR="00186B91">
        <w:rPr>
          <w:rStyle w:val="FootnoteReference"/>
        </w:rPr>
        <w:footnoteReference w:id="432"/>
      </w:r>
      <w:r w:rsidR="00186B91">
        <w:t xml:space="preserve">  </w:t>
      </w:r>
      <w:r w:rsidR="000A472E">
        <w:t>Weiss</w:t>
      </w:r>
      <w:r w:rsidR="00186B91">
        <w:t xml:space="preserve">’s troubling </w:t>
      </w:r>
      <w:r w:rsidR="000A472E">
        <w:t xml:space="preserve">byproduct was </w:t>
      </w:r>
      <w:r w:rsidR="00186B91">
        <w:t>oxymorphone diol while Chapman’s solution to diol</w:t>
      </w:r>
      <w:r w:rsidR="00355FCB">
        <w:t>s was believed to be specific to oxycodone diol—and even then it was too slow to be viable.</w:t>
      </w:r>
      <w:r w:rsidR="00355FCB">
        <w:rPr>
          <w:rStyle w:val="FootnoteReference"/>
        </w:rPr>
        <w:footnoteReference w:id="433"/>
      </w:r>
      <w:r w:rsidR="00186B91">
        <w:t xml:space="preserve"> </w:t>
      </w:r>
      <w:r w:rsidR="00E7599B">
        <w:t xml:space="preserve"> And much the same was true for combining Weiss and Rapoport</w:t>
      </w:r>
      <w:r w:rsidR="00ED61CC">
        <w:t>:</w:t>
      </w:r>
      <w:r w:rsidR="007C1589">
        <w:t xml:space="preserve"> </w:t>
      </w:r>
      <w:r w:rsidR="00E7599B">
        <w:t>Rapoport failed to suggest it</w:t>
      </w:r>
      <w:r w:rsidR="00ED61CC">
        <w:t>s process</w:t>
      </w:r>
      <w:r w:rsidR="00E7599B">
        <w:t xml:space="preserve"> could remove diols without damaging the desired compound.</w:t>
      </w:r>
      <w:r w:rsidR="00E7599B">
        <w:rPr>
          <w:rStyle w:val="FootnoteReference"/>
        </w:rPr>
        <w:footnoteReference w:id="434"/>
      </w:r>
      <w:r w:rsidR="007C1589">
        <w:t xml:space="preserve">  Finally, the FDA communications “recite[d] a goal</w:t>
      </w:r>
      <w:r w:rsidR="00ED61CC">
        <w:t xml:space="preserve"> without teaching how the goal [wa]</w:t>
      </w:r>
      <w:r w:rsidR="007C1589">
        <w:t>s attained,”</w:t>
      </w:r>
      <w:r w:rsidR="00ED61CC">
        <w:t xml:space="preserve"> </w:t>
      </w:r>
      <w:r w:rsidR="007C1589">
        <w:t>—</w:t>
      </w:r>
      <w:r w:rsidR="00ED61CC">
        <w:t xml:space="preserve"> </w:t>
      </w:r>
      <w:r w:rsidR="007C1589">
        <w:t xml:space="preserve">and even if the FDA motivated solving the problem, the FDA did nothing to encourage Weiss, Chapman, and Rapoport to be viewed together </w:t>
      </w:r>
      <w:r w:rsidR="00ED61CC">
        <w:t>as a solution</w:t>
      </w:r>
      <w:r w:rsidR="007C1589">
        <w:t>.</w:t>
      </w:r>
      <w:r w:rsidR="007C1589">
        <w:rPr>
          <w:rStyle w:val="FootnoteReference"/>
        </w:rPr>
        <w:footnoteReference w:id="435"/>
      </w:r>
      <w:r w:rsidR="00B42BE4">
        <w:t xml:space="preserve"> </w:t>
      </w:r>
      <w:r w:rsidR="00ED61CC">
        <w:t xml:space="preserve"> The FDA communications may have provided motivation, but they did not promise success.  Skilled artisans viewed the 10 ppm goal as “shocking” in light of t</w:t>
      </w:r>
      <w:r w:rsidR="00B42BE4">
        <w:t xml:space="preserve">he purification </w:t>
      </w:r>
      <w:r w:rsidR="00ED61CC">
        <w:t xml:space="preserve">then </w:t>
      </w:r>
      <w:r w:rsidR="00B42BE4">
        <w:t>possible</w:t>
      </w:r>
      <w:r w:rsidR="003A3083">
        <w:t>.</w:t>
      </w:r>
      <w:r w:rsidR="003A3083">
        <w:rPr>
          <w:rStyle w:val="FootnoteReference"/>
        </w:rPr>
        <w:footnoteReference w:id="436"/>
      </w:r>
    </w:p>
    <w:p w14:paraId="3972F5BF" w14:textId="0C8C6DF7" w:rsidR="00922263" w:rsidRDefault="003A3083" w:rsidP="008E1F96">
      <w:pPr>
        <w:ind w:firstLine="720"/>
      </w:pPr>
      <w:r>
        <w:t xml:space="preserve">On appeal, the Federal Circuit affirmed, reciting the reasoning of the lower court.  </w:t>
      </w:r>
      <w:r w:rsidR="001A629F">
        <w:t>Actavis argued that the lower court had used an incorrect (and heightened)</w:t>
      </w:r>
      <w:r w:rsidR="00FD4B0F">
        <w:t xml:space="preserve"> </w:t>
      </w:r>
      <w:r w:rsidR="00AE3C07">
        <w:t xml:space="preserve">standard of </w:t>
      </w:r>
      <w:r w:rsidR="00922263">
        <w:t>reasonable expectation of success</w:t>
      </w:r>
      <w:r w:rsidR="001A629F">
        <w:t xml:space="preserve"> because it had appeared to put weight on the finding that Chapman did not show “a definitive solution” to the problem, yet the Federal Circuit found from</w:t>
      </w:r>
      <w:r w:rsidR="00922263">
        <w:t xml:space="preserve"> context </w:t>
      </w:r>
      <w:r w:rsidR="001A629F">
        <w:t>that</w:t>
      </w:r>
      <w:r w:rsidR="00922263">
        <w:t xml:space="preserve"> the </w:t>
      </w:r>
      <w:r w:rsidR="001A629F">
        <w:t xml:space="preserve">lower </w:t>
      </w:r>
      <w:r w:rsidR="00922263">
        <w:t>court based its finding on more than this</w:t>
      </w:r>
      <w:r w:rsidR="00AE3C07">
        <w:t>.</w:t>
      </w:r>
      <w:r w:rsidR="00AE3C07">
        <w:rPr>
          <w:rStyle w:val="FootnoteReference"/>
        </w:rPr>
        <w:footnoteReference w:id="437"/>
      </w:r>
    </w:p>
    <w:p w14:paraId="2754FFC1" w14:textId="6FFDD6D9" w:rsidR="003A3083" w:rsidRPr="008E1F96" w:rsidRDefault="00922263" w:rsidP="008E1F96">
      <w:pPr>
        <w:ind w:firstLine="720"/>
      </w:pPr>
      <w:r>
        <w:t>Judge Stoll dissented.</w:t>
      </w:r>
      <w:r>
        <w:rPr>
          <w:rStyle w:val="FootnoteReference"/>
        </w:rPr>
        <w:footnoteReference w:id="438"/>
      </w:r>
      <w:r w:rsidR="00FD4B0F">
        <w:t xml:space="preserve"> </w:t>
      </w:r>
      <w:r>
        <w:t xml:space="preserve"> Judge Stoll </w:t>
      </w:r>
      <w:r w:rsidR="00334DA4">
        <w:t>agreed with Actavis: the lower court had “</w:t>
      </w:r>
      <w:r w:rsidR="00334DA4" w:rsidRPr="00334DA4">
        <w:t>erred by imposing a requirement that a reference must teach how to solve a problem to provide a motivation to combine, conflating enablement and reasonable expectation of success requirements with motivation.</w:t>
      </w:r>
      <w:r w:rsidR="00334DA4">
        <w:t>”</w:t>
      </w:r>
      <w:r w:rsidR="00334DA4">
        <w:rPr>
          <w:rStyle w:val="FootnoteReference"/>
        </w:rPr>
        <w:footnoteReference w:id="439"/>
      </w:r>
      <w:r>
        <w:t xml:space="preserve"> </w:t>
      </w:r>
      <w:r w:rsidR="00334DA4">
        <w:t xml:space="preserve"> </w:t>
      </w:r>
      <w:r w:rsidR="00535906">
        <w:t xml:space="preserve">The failure of other parties to combine the references did not mean that </w:t>
      </w:r>
      <w:r w:rsidR="00E52F8A">
        <w:t>the</w:t>
      </w:r>
      <w:r w:rsidR="00535906">
        <w:t xml:space="preserve"> first party to combine the reference </w:t>
      </w:r>
      <w:r w:rsidR="00107DF5">
        <w:t>was anything but ordinarily creative.</w:t>
      </w:r>
      <w:r w:rsidR="00107DF5">
        <w:rPr>
          <w:rStyle w:val="FootnoteReference"/>
        </w:rPr>
        <w:footnoteReference w:id="440"/>
      </w:r>
      <w:r w:rsidR="00107DF5">
        <w:t xml:space="preserve">  </w:t>
      </w:r>
      <w:r w:rsidR="00416EB6">
        <w:t xml:space="preserve">Moreover, Judge Stoll </w:t>
      </w:r>
      <w:r w:rsidR="00E52F8A">
        <w:t>stated</w:t>
      </w:r>
      <w:r w:rsidR="00535906">
        <w:t xml:space="preserve"> that</w:t>
      </w:r>
      <w:r w:rsidR="00416EB6">
        <w:t xml:space="preserve"> the FDA communications </w:t>
      </w:r>
      <w:r w:rsidR="00804269">
        <w:t xml:space="preserve">underscored the need for drugmakers to meet </w:t>
      </w:r>
      <w:r w:rsidR="00E52F8A">
        <w:t xml:space="preserve">not just one but </w:t>
      </w:r>
      <w:r w:rsidR="00804269">
        <w:t>every claim</w:t>
      </w:r>
      <w:r w:rsidR="00416EB6">
        <w:t xml:space="preserve"> limitation</w:t>
      </w:r>
      <w:r w:rsidR="00535906">
        <w:t xml:space="preserve"> of </w:t>
      </w:r>
      <w:r w:rsidR="00535906">
        <w:lastRenderedPageBreak/>
        <w:t>the ’779 patent</w:t>
      </w:r>
      <w:r w:rsidR="008022B7">
        <w:t>,</w:t>
      </w:r>
      <w:r w:rsidR="00416EB6">
        <w:rPr>
          <w:rStyle w:val="FootnoteReference"/>
        </w:rPr>
        <w:footnoteReference w:id="441"/>
      </w:r>
      <w:r w:rsidR="008022B7">
        <w:t xml:space="preserve"> </w:t>
      </w:r>
      <w:r w:rsidR="002265BA">
        <w:t xml:space="preserve">thereby </w:t>
      </w:r>
      <w:r w:rsidR="008022B7">
        <w:t xml:space="preserve">motivating </w:t>
      </w:r>
      <w:r w:rsidR="00804269">
        <w:t>artisans to combine the references</w:t>
      </w:r>
      <w:r w:rsidR="008022B7">
        <w:t xml:space="preserve"> </w:t>
      </w:r>
      <w:r w:rsidR="00804269">
        <w:t xml:space="preserve">and suggesting success was possible.  </w:t>
      </w:r>
      <w:r w:rsidR="00970352">
        <w:t>The majority had said that the communications were irrelevant to the obviousness inquiry because they did not teach how the goal was attained.</w:t>
      </w:r>
      <w:r w:rsidR="001E7D02">
        <w:rPr>
          <w:rStyle w:val="FootnoteReference"/>
        </w:rPr>
        <w:footnoteReference w:id="442"/>
      </w:r>
      <w:r w:rsidR="00970352">
        <w:t xml:space="preserve">  But </w:t>
      </w:r>
      <w:r w:rsidR="00804269">
        <w:t>“</w:t>
      </w:r>
      <w:r w:rsidR="00970352">
        <w:t>[i]</w:t>
      </w:r>
      <w:r w:rsidR="00804269" w:rsidRPr="00804269">
        <w:t xml:space="preserve">f these communications also taught </w:t>
      </w:r>
      <w:r w:rsidR="00804269">
        <w:t>‘</w:t>
      </w:r>
      <w:r w:rsidR="00804269" w:rsidRPr="00804269">
        <w:t>how the goal is attained,</w:t>
      </w:r>
      <w:r w:rsidR="00804269">
        <w:t>’</w:t>
      </w:r>
      <w:r w:rsidR="00970352">
        <w:t xml:space="preserve"> </w:t>
      </w:r>
      <w:r w:rsidR="00804269" w:rsidRPr="00804269">
        <w:t>they would anticipate the asserted claims—</w:t>
      </w:r>
      <w:r w:rsidR="007C53B5">
        <w:t xml:space="preserve">[and] </w:t>
      </w:r>
      <w:r w:rsidR="00804269" w:rsidRPr="00804269">
        <w:t>we would have no need to address obviousness.</w:t>
      </w:r>
      <w:r w:rsidR="007C53B5">
        <w:t>”</w:t>
      </w:r>
      <w:r w:rsidR="007C53B5">
        <w:rPr>
          <w:rStyle w:val="FootnoteReference"/>
        </w:rPr>
        <w:footnoteReference w:id="443"/>
      </w:r>
    </w:p>
    <w:p w14:paraId="5730B18D" w14:textId="3A415D08" w:rsidR="00456E89" w:rsidRDefault="00456E89" w:rsidP="00136E52">
      <w:pPr>
        <w:pStyle w:val="Heading4"/>
        <w:rPr>
          <w:lang w:val="es-ES"/>
        </w:rPr>
      </w:pPr>
      <w:bookmarkStart w:id="53" w:name="_Toc26792775"/>
      <w:r>
        <w:rPr>
          <w:i/>
        </w:rPr>
        <w:t xml:space="preserve">Grunenthal GMBH v. Alkem Labs. </w:t>
      </w:r>
      <w:r w:rsidRPr="00456E89">
        <w:rPr>
          <w:i/>
          <w:lang w:val="es-ES"/>
        </w:rPr>
        <w:t>Lmtd.</w:t>
      </w:r>
      <w:r w:rsidRPr="00456E89">
        <w:rPr>
          <w:lang w:val="es-ES"/>
        </w:rPr>
        <w:t>, 919 F.3d 1333 (Fed. Cir. Mar. </w:t>
      </w:r>
      <w:r>
        <w:rPr>
          <w:lang w:val="es-ES"/>
        </w:rPr>
        <w:t>28, 2019)</w:t>
      </w:r>
      <w:bookmarkEnd w:id="53"/>
    </w:p>
    <w:p w14:paraId="181A28C8" w14:textId="6AFA9F31" w:rsidR="00456E89" w:rsidRDefault="00456E89" w:rsidP="00456E89">
      <w:pPr>
        <w:ind w:firstLine="720"/>
      </w:pPr>
      <w:r>
        <w:t xml:space="preserve">In this appeal from </w:t>
      </w:r>
      <w:r w:rsidR="00C107A2">
        <w:t xml:space="preserve">the District Court of New Jersey, the Federal Circuit affirmed that </w:t>
      </w:r>
      <w:r w:rsidR="008533AA">
        <w:t>a patent claiming a polymorph of a known chemical compound was</w:t>
      </w:r>
      <w:r w:rsidR="00C107A2">
        <w:t xml:space="preserve"> not invalid for obviousness.</w:t>
      </w:r>
      <w:r w:rsidR="00C107A2" w:rsidRPr="005A669A">
        <w:rPr>
          <w:rStyle w:val="FootnoteReference"/>
        </w:rPr>
        <w:footnoteReference w:id="444"/>
      </w:r>
      <w:r w:rsidR="00C107A2">
        <w:t xml:space="preserve"> </w:t>
      </w:r>
      <w:r w:rsidR="0026659F">
        <w:t>“</w:t>
      </w:r>
      <w:r w:rsidR="0026659F" w:rsidRPr="0026659F">
        <w:t>Our decision today does not rule out the possibility that polymorph patents could be found obvious. But on the record here,</w:t>
      </w:r>
      <w:r w:rsidR="0026659F">
        <w:t xml:space="preserve"> </w:t>
      </w:r>
      <w:r w:rsidR="0026659F" w:rsidRPr="0026659F">
        <w:t>the district</w:t>
      </w:r>
      <w:r w:rsidR="0026659F">
        <w:t xml:space="preserve"> </w:t>
      </w:r>
      <w:r w:rsidR="0026659F" w:rsidRPr="0026659F">
        <w:t>court</w:t>
      </w:r>
      <w:r w:rsidR="0026659F">
        <w:t xml:space="preserve"> </w:t>
      </w:r>
      <w:r w:rsidR="0026659F" w:rsidRPr="0026659F">
        <w:t>did</w:t>
      </w:r>
      <w:r w:rsidR="0026659F">
        <w:t xml:space="preserve"> </w:t>
      </w:r>
      <w:r w:rsidR="0026659F" w:rsidRPr="0026659F">
        <w:t>not</w:t>
      </w:r>
      <w:r w:rsidR="0026659F">
        <w:t xml:space="preserve"> </w:t>
      </w:r>
      <w:r w:rsidR="0026659F" w:rsidRPr="0026659F">
        <w:t>clearly</w:t>
      </w:r>
      <w:r w:rsidR="0026659F">
        <w:t xml:space="preserve"> </w:t>
      </w:r>
      <w:r w:rsidR="0026659F" w:rsidRPr="0026659F">
        <w:t>err</w:t>
      </w:r>
      <w:r w:rsidR="0026659F">
        <w:t> . . . .”</w:t>
      </w:r>
      <w:r w:rsidR="0026659F" w:rsidRPr="005A669A">
        <w:rPr>
          <w:rStyle w:val="FootnoteReference"/>
        </w:rPr>
        <w:footnoteReference w:id="445"/>
      </w:r>
    </w:p>
    <w:p w14:paraId="3A9F115A" w14:textId="6A74D9DD" w:rsidR="00806192" w:rsidRDefault="00EF3F17" w:rsidP="00806192">
      <w:pPr>
        <w:ind w:firstLine="720"/>
      </w:pPr>
      <w:r>
        <w:t>The case</w:t>
      </w:r>
      <w:r w:rsidR="00DD3CBF">
        <w:t xml:space="preserve"> </w:t>
      </w:r>
      <w:r>
        <w:t xml:space="preserve">concerned </w:t>
      </w:r>
      <w:r w:rsidR="008533AA">
        <w:t>the</w:t>
      </w:r>
      <w:r>
        <w:t xml:space="preserve"> ’364 patent</w:t>
      </w:r>
      <w:r w:rsidR="00790584">
        <w:t xml:space="preserve">; that patent </w:t>
      </w:r>
      <w:r w:rsidR="008533AA">
        <w:t xml:space="preserve">claimed the Form A polymorph of </w:t>
      </w:r>
      <w:r w:rsidR="008533AA" w:rsidRPr="008533AA">
        <w:t>tapentadol hydrochloride</w:t>
      </w:r>
      <w:r w:rsidR="008533AA">
        <w:t xml:space="preserve"> and a method of treating pain or urinary incontinence</w:t>
      </w:r>
      <w:r>
        <w:t>.</w:t>
      </w:r>
      <w:r w:rsidRPr="005A669A">
        <w:rPr>
          <w:rStyle w:val="FootnoteReference"/>
        </w:rPr>
        <w:footnoteReference w:id="446"/>
      </w:r>
      <w:r w:rsidR="00F21911">
        <w:t xml:space="preserve"> </w:t>
      </w:r>
      <w:r w:rsidR="00F61BFD">
        <w:t>The prior</w:t>
      </w:r>
      <w:r w:rsidR="00790584">
        <w:t>-</w:t>
      </w:r>
      <w:r w:rsidR="00F61BFD">
        <w:t>art</w:t>
      </w:r>
      <w:r w:rsidR="00F21911">
        <w:t xml:space="preserve"> ’737 patent</w:t>
      </w:r>
      <w:r w:rsidR="00BF1A23">
        <w:t xml:space="preserve"> described the process for synthesizing </w:t>
      </w:r>
      <w:r w:rsidR="00F61BFD">
        <w:t xml:space="preserve">the </w:t>
      </w:r>
      <w:r w:rsidR="00790584">
        <w:t xml:space="preserve">same </w:t>
      </w:r>
      <w:r w:rsidR="00F61BFD">
        <w:t>chemical compound</w:t>
      </w:r>
      <w:r w:rsidR="00684C39">
        <w:t xml:space="preserve"> in Form B,</w:t>
      </w:r>
      <w:r w:rsidR="00BF1A23">
        <w:t xml:space="preserve"> but </w:t>
      </w:r>
      <w:r w:rsidR="00684C39">
        <w:t>did not describe</w:t>
      </w:r>
      <w:r w:rsidR="00BF1A23">
        <w:t xml:space="preserve"> the resulting crystal structure </w:t>
      </w:r>
      <w:r w:rsidR="00D27F8C">
        <w:t>or</w:t>
      </w:r>
      <w:r w:rsidR="00BF1A23">
        <w:t xml:space="preserve"> its polymorphs.</w:t>
      </w:r>
      <w:r w:rsidR="00F21911" w:rsidRPr="005A669A">
        <w:rPr>
          <w:rStyle w:val="FootnoteReference"/>
        </w:rPr>
        <w:footnoteReference w:id="447"/>
      </w:r>
      <w:r w:rsidR="00E73E4F">
        <w:t xml:space="preserve"> Another reference, Byrn, described a decision tree </w:t>
      </w:r>
      <w:r w:rsidR="00684C39">
        <w:t>for</w:t>
      </w:r>
      <w:r w:rsidR="00E73E4F">
        <w:t xml:space="preserve"> </w:t>
      </w:r>
      <w:r w:rsidR="00684C39">
        <w:t>finding</w:t>
      </w:r>
      <w:r w:rsidR="00E73E4F">
        <w:t xml:space="preserve"> polymorphs.</w:t>
      </w:r>
      <w:r w:rsidR="00E73E4F" w:rsidRPr="005A669A">
        <w:rPr>
          <w:rStyle w:val="FootnoteReference"/>
        </w:rPr>
        <w:footnoteReference w:id="448"/>
      </w:r>
      <w:r w:rsidR="00E04874">
        <w:t xml:space="preserve"> </w:t>
      </w:r>
      <w:r w:rsidR="007334B9">
        <w:t xml:space="preserve">The district court found </w:t>
      </w:r>
      <w:r w:rsidR="00BE48E6">
        <w:t xml:space="preserve">that, </w:t>
      </w:r>
      <w:r w:rsidR="00790584">
        <w:t xml:space="preserve">even </w:t>
      </w:r>
      <w:r w:rsidR="00BE48E6">
        <w:t>viewing the ’737 Form B compound in light of Byrn, obtaining Form A</w:t>
      </w:r>
      <w:r w:rsidR="007334B9">
        <w:t xml:space="preserve"> </w:t>
      </w:r>
      <w:r w:rsidR="003D305E">
        <w:t>still</w:t>
      </w:r>
      <w:r w:rsidR="00DD3CBF">
        <w:t xml:space="preserve"> would</w:t>
      </w:r>
      <w:r w:rsidR="007334B9">
        <w:t xml:space="preserve"> not </w:t>
      </w:r>
      <w:r w:rsidR="00790584">
        <w:t xml:space="preserve">have been </w:t>
      </w:r>
      <w:r w:rsidR="007334B9">
        <w:t>obviou</w:t>
      </w:r>
      <w:r w:rsidR="00BE48E6">
        <w:t>s</w:t>
      </w:r>
      <w:r w:rsidR="007334B9">
        <w:t>.</w:t>
      </w:r>
      <w:r w:rsidR="007334B9" w:rsidRPr="005A669A">
        <w:rPr>
          <w:rStyle w:val="FootnoteReference"/>
        </w:rPr>
        <w:footnoteReference w:id="449"/>
      </w:r>
    </w:p>
    <w:p w14:paraId="50F65CDE" w14:textId="6083311E" w:rsidR="004D659A" w:rsidRDefault="007334B9" w:rsidP="001A0A27">
      <w:pPr>
        <w:ind w:firstLine="720"/>
      </w:pPr>
      <w:r>
        <w:t>On appeal, the Federal Circuit affirmed.</w:t>
      </w:r>
      <w:r w:rsidR="00806192" w:rsidRPr="005A669A">
        <w:rPr>
          <w:rStyle w:val="FootnoteReference"/>
        </w:rPr>
        <w:footnoteReference w:id="450"/>
      </w:r>
      <w:r w:rsidR="009D2EA5">
        <w:t xml:space="preserve"> Alkem argued that</w:t>
      </w:r>
      <w:r w:rsidR="003D305E">
        <w:t xml:space="preserve"> the</w:t>
      </w:r>
      <w:r w:rsidR="009D2EA5">
        <w:t xml:space="preserve"> FDA </w:t>
      </w:r>
      <w:r w:rsidR="003D305E">
        <w:t>had guided researchers to screen for polymorphs of pharmaceutical solids</w:t>
      </w:r>
      <w:r w:rsidR="00EE6AEB">
        <w:t>, and that the district court erred in ignoring this</w:t>
      </w:r>
      <w:r w:rsidR="003D305E">
        <w:t xml:space="preserve"> motivation to combine</w:t>
      </w:r>
      <w:r w:rsidR="00EE6AEB">
        <w:t>.</w:t>
      </w:r>
      <w:r w:rsidR="00EE6AEB" w:rsidRPr="005A669A">
        <w:rPr>
          <w:rStyle w:val="FootnoteReference"/>
        </w:rPr>
        <w:footnoteReference w:id="451"/>
      </w:r>
      <w:r w:rsidR="00EE6AEB">
        <w:t xml:space="preserve"> </w:t>
      </w:r>
      <w:r w:rsidR="00F73604">
        <w:t>But even</w:t>
      </w:r>
      <w:r w:rsidR="00EE6AEB">
        <w:t xml:space="preserve"> so, Alkem </w:t>
      </w:r>
      <w:r w:rsidR="00DD3CBF">
        <w:t>had</w:t>
      </w:r>
      <w:r w:rsidR="00EE6AEB">
        <w:t xml:space="preserve"> not </w:t>
      </w:r>
      <w:r w:rsidR="00DD3CBF">
        <w:t>met</w:t>
      </w:r>
      <w:r w:rsidR="00EE6AEB">
        <w:t xml:space="preserve"> its burden as to </w:t>
      </w:r>
      <w:r w:rsidR="003D305E">
        <w:t xml:space="preserve">a </w:t>
      </w:r>
      <w:r w:rsidR="00EE6AEB">
        <w:t>reasonable likelihood of success.</w:t>
      </w:r>
      <w:r w:rsidR="00E902E0">
        <w:t xml:space="preserve"> </w:t>
      </w:r>
      <w:r w:rsidR="00F73604">
        <w:t>“If a person of ordinary skill can implement a predictable variation, § 103 likely bars its patentability</w:t>
      </w:r>
      <w:r w:rsidR="006A5B11">
        <w:t>”;</w:t>
      </w:r>
      <w:r w:rsidR="00F73604">
        <w:t xml:space="preserve"> here</w:t>
      </w:r>
      <w:r w:rsidR="006A5B11">
        <w:t>,</w:t>
      </w:r>
      <w:r w:rsidR="00F73604">
        <w:t xml:space="preserve"> one could not.</w:t>
      </w:r>
      <w:r w:rsidR="00F73604" w:rsidRPr="005A669A">
        <w:rPr>
          <w:rStyle w:val="FootnoteReference"/>
        </w:rPr>
        <w:footnoteReference w:id="452"/>
      </w:r>
      <w:r w:rsidR="00F73604">
        <w:t xml:space="preserve"> </w:t>
      </w:r>
      <w:r w:rsidR="00E902E0">
        <w:t>First,</w:t>
      </w:r>
      <w:r w:rsidR="005057D9">
        <w:t xml:space="preserve"> there was no known or expected polymorph of tapentadol</w:t>
      </w:r>
      <w:r w:rsidR="009E32E0">
        <w:t>.</w:t>
      </w:r>
      <w:r w:rsidR="005057D9" w:rsidRPr="005A669A">
        <w:rPr>
          <w:rStyle w:val="FootnoteReference"/>
        </w:rPr>
        <w:footnoteReference w:id="453"/>
      </w:r>
      <w:r w:rsidR="005057D9">
        <w:t xml:space="preserve"> </w:t>
      </w:r>
      <w:r w:rsidR="009E32E0">
        <w:t>I</w:t>
      </w:r>
      <w:r w:rsidR="00F73604">
        <w:t>ndeed</w:t>
      </w:r>
      <w:r w:rsidR="009E32E0">
        <w:t>,</w:t>
      </w:r>
      <w:r w:rsidR="00E902E0">
        <w:t xml:space="preserve"> only 30</w:t>
      </w:r>
      <w:r w:rsidR="00C5724A">
        <w:t>%</w:t>
      </w:r>
      <w:r w:rsidR="00E902E0">
        <w:t xml:space="preserve"> to 35% of all compounds have polymorphs</w:t>
      </w:r>
      <w:r w:rsidR="000004BF">
        <w:t>.</w:t>
      </w:r>
      <w:r w:rsidR="004A36D8" w:rsidRPr="005A669A">
        <w:rPr>
          <w:rStyle w:val="FootnoteReference"/>
        </w:rPr>
        <w:footnoteReference w:id="454"/>
      </w:r>
      <w:r w:rsidR="000004BF">
        <w:t xml:space="preserve"> </w:t>
      </w:r>
      <w:r w:rsidR="00792F2F">
        <w:t xml:space="preserve">Second, </w:t>
      </w:r>
      <w:r w:rsidR="000004BF">
        <w:t xml:space="preserve">obtaining a polymorph </w:t>
      </w:r>
      <w:r w:rsidR="004A65F2">
        <w:t>would have required</w:t>
      </w:r>
      <w:r w:rsidR="00485BF5">
        <w:t xml:space="preserve"> correctly choosing from a “wide array of conditions</w:t>
      </w:r>
      <w:r w:rsidR="004A1658">
        <w:t>.”</w:t>
      </w:r>
      <w:r w:rsidR="004A36D8" w:rsidRPr="005A669A">
        <w:rPr>
          <w:rStyle w:val="FootnoteReference"/>
        </w:rPr>
        <w:footnoteReference w:id="455"/>
      </w:r>
      <w:r w:rsidR="000004BF">
        <w:t xml:space="preserve"> </w:t>
      </w:r>
      <w:r w:rsidR="00E902E0">
        <w:t xml:space="preserve">Bryn </w:t>
      </w:r>
      <w:r w:rsidR="006E017A">
        <w:t xml:space="preserve">suggested </w:t>
      </w:r>
      <w:r w:rsidR="00C5724A">
        <w:t>testing</w:t>
      </w:r>
      <w:r w:rsidR="006E017A">
        <w:t xml:space="preserve"> solvents from </w:t>
      </w:r>
      <w:r w:rsidR="00E902E0">
        <w:t xml:space="preserve">a non-exhaustive list of eight </w:t>
      </w:r>
      <w:r w:rsidR="000004BF">
        <w:t>(</w:t>
      </w:r>
      <w:r w:rsidR="00792F2F">
        <w:t>which could also be combined in mixtures</w:t>
      </w:r>
      <w:r w:rsidR="000004BF">
        <w:t>)</w:t>
      </w:r>
      <w:r w:rsidR="006E017A">
        <w:t xml:space="preserve"> </w:t>
      </w:r>
      <w:r w:rsidR="00485BF5">
        <w:t>and</w:t>
      </w:r>
      <w:r w:rsidR="004A1658">
        <w:t xml:space="preserve"> then</w:t>
      </w:r>
      <w:r w:rsidR="00485BF5">
        <w:t xml:space="preserve"> </w:t>
      </w:r>
      <w:r w:rsidR="006E017A">
        <w:t>“vary</w:t>
      </w:r>
      <w:r w:rsidR="00485BF5">
        <w:t>[ing]</w:t>
      </w:r>
      <w:r w:rsidR="006E017A">
        <w:t xml:space="preserve"> temperature, concentration, agitation, [and] </w:t>
      </w:r>
      <w:r w:rsidR="006E017A">
        <w:lastRenderedPageBreak/>
        <w:t>pH</w:t>
      </w:r>
      <w:r w:rsidR="00485BF5">
        <w:t>.</w:t>
      </w:r>
      <w:r w:rsidR="006E017A">
        <w:t>”</w:t>
      </w:r>
      <w:r w:rsidR="00485BF5" w:rsidRPr="005A669A">
        <w:rPr>
          <w:rStyle w:val="FootnoteReference"/>
        </w:rPr>
        <w:footnoteReference w:id="456"/>
      </w:r>
      <w:r w:rsidR="006E017A">
        <w:t xml:space="preserve"> </w:t>
      </w:r>
      <w:r w:rsidR="00572825">
        <w:t xml:space="preserve">An explicit obvious-to-try analysis </w:t>
      </w:r>
      <w:r w:rsidR="009E32E0">
        <w:t xml:space="preserve">also </w:t>
      </w:r>
      <w:r w:rsidR="00572825">
        <w:t>failed because of the “high number of possible choices.”</w:t>
      </w:r>
      <w:r w:rsidR="00572825" w:rsidRPr="005A669A">
        <w:rPr>
          <w:rStyle w:val="FootnoteReference"/>
        </w:rPr>
        <w:footnoteReference w:id="457"/>
      </w:r>
      <w:r w:rsidR="00572825">
        <w:t xml:space="preserve"> </w:t>
      </w:r>
      <w:r w:rsidR="00792F2F">
        <w:t xml:space="preserve">Third, there was no </w:t>
      </w:r>
      <w:r w:rsidR="004A1658">
        <w:t>conclusive</w:t>
      </w:r>
      <w:r w:rsidR="00792F2F">
        <w:t xml:space="preserve"> evidence that</w:t>
      </w:r>
      <w:r w:rsidR="00E429FD">
        <w:t xml:space="preserve"> following the </w:t>
      </w:r>
      <w:r w:rsidR="00792F2F">
        <w:t xml:space="preserve">’737 reference </w:t>
      </w:r>
      <w:r w:rsidR="00E429FD">
        <w:t>to produce Form B would sometimes</w:t>
      </w:r>
      <w:r w:rsidR="004A1658">
        <w:t>, let alone always,</w:t>
      </w:r>
      <w:r w:rsidR="00163ADA">
        <w:t xml:space="preserve"> also</w:t>
      </w:r>
      <w:r w:rsidR="004A1658">
        <w:t xml:space="preserve"> </w:t>
      </w:r>
      <w:r w:rsidR="00792F2F">
        <w:t>produce</w:t>
      </w:r>
      <w:r w:rsidR="004A1658">
        <w:t xml:space="preserve"> </w:t>
      </w:r>
      <w:r w:rsidR="00792F2F">
        <w:t>Form A (thus</w:t>
      </w:r>
      <w:r w:rsidR="00E429FD">
        <w:t xml:space="preserve"> the court said it would have rejected</w:t>
      </w:r>
      <w:r w:rsidR="00163ADA">
        <w:t xml:space="preserve"> an</w:t>
      </w:r>
      <w:r w:rsidR="00792F2F">
        <w:t xml:space="preserve"> inherent anticipation</w:t>
      </w:r>
      <w:r w:rsidR="00163ADA">
        <w:t xml:space="preserve"> theory</w:t>
      </w:r>
      <w:r w:rsidR="00E429FD">
        <w:t>, though it was</w:t>
      </w:r>
      <w:r w:rsidR="00792F2F">
        <w:t xml:space="preserve"> not</w:t>
      </w:r>
      <w:r w:rsidR="004A28F6">
        <w:t xml:space="preserve"> properly</w:t>
      </w:r>
      <w:r w:rsidR="00792F2F">
        <w:t xml:space="preserve"> before the court).</w:t>
      </w:r>
      <w:r w:rsidR="00792F2F" w:rsidRPr="005A669A">
        <w:rPr>
          <w:rStyle w:val="FootnoteReference"/>
        </w:rPr>
        <w:footnoteReference w:id="458"/>
      </w:r>
      <w:r w:rsidR="00792F2F">
        <w:t xml:space="preserve"> </w:t>
      </w:r>
      <w:r w:rsidR="00E429FD">
        <w:t>For all those reasons</w:t>
      </w:r>
      <w:r w:rsidR="00722831">
        <w:t xml:space="preserve">, a skilled artisan would not have reasonably expected a polymorph screening </w:t>
      </w:r>
      <w:r w:rsidR="00572825">
        <w:t>of Form B</w:t>
      </w:r>
      <w:r w:rsidR="00722831">
        <w:t xml:space="preserve"> to result in the </w:t>
      </w:r>
      <w:r w:rsidR="00572825">
        <w:t xml:space="preserve">claimed </w:t>
      </w:r>
      <w:r w:rsidR="00722831">
        <w:t>Form A.</w:t>
      </w:r>
      <w:r w:rsidR="00722831" w:rsidRPr="005A669A">
        <w:rPr>
          <w:rStyle w:val="FootnoteReference"/>
        </w:rPr>
        <w:footnoteReference w:id="459"/>
      </w:r>
      <w:r w:rsidR="000D7B30">
        <w:t xml:space="preserve"> </w:t>
      </w:r>
    </w:p>
    <w:p w14:paraId="6BF1F174" w14:textId="7AA1B31A" w:rsidR="00BC1BF8" w:rsidRDefault="00BC1BF8" w:rsidP="00136E52">
      <w:pPr>
        <w:pStyle w:val="Heading4"/>
      </w:pPr>
      <w:bookmarkStart w:id="54" w:name="_Toc26792776"/>
      <w:r>
        <w:t>Secondary Considerations</w:t>
      </w:r>
      <w:bookmarkEnd w:id="54"/>
    </w:p>
    <w:p w14:paraId="23991710" w14:textId="26AEAD4C" w:rsidR="00BC1BF8" w:rsidRDefault="00BC1BF8" w:rsidP="00136E52">
      <w:pPr>
        <w:pStyle w:val="Heading4"/>
        <w:rPr>
          <w:i/>
        </w:rPr>
      </w:pPr>
    </w:p>
    <w:p w14:paraId="7C1AD6BE" w14:textId="3BC8DB7D" w:rsidR="00456E89" w:rsidRPr="00961A18" w:rsidRDefault="00961A18" w:rsidP="00136E52">
      <w:pPr>
        <w:pStyle w:val="Heading4"/>
      </w:pPr>
      <w:bookmarkStart w:id="55" w:name="_Toc26792777"/>
      <w:r>
        <w:rPr>
          <w:i/>
        </w:rPr>
        <w:t>Forest Labs., LLC v. SigmaPharm Labs., LLC</w:t>
      </w:r>
      <w:r>
        <w:t>, 918 F.3d 928 (Fed. Cir. Mar. 14, 2019)</w:t>
      </w:r>
      <w:bookmarkEnd w:id="55"/>
    </w:p>
    <w:p w14:paraId="5562080B" w14:textId="05D28DAA" w:rsidR="00961A18" w:rsidRDefault="00084412" w:rsidP="00961A18">
      <w:r>
        <w:tab/>
        <w:t>In this appeal from the District of Delaware, the Federal Circuit vacated and remanded</w:t>
      </w:r>
      <w:r w:rsidR="00861A01">
        <w:t xml:space="preserve"> a finding of nonobviousness.</w:t>
      </w:r>
      <w:r w:rsidR="00064024" w:rsidRPr="005A669A">
        <w:rPr>
          <w:rStyle w:val="FootnoteReference"/>
        </w:rPr>
        <w:footnoteReference w:id="460"/>
      </w:r>
      <w:r w:rsidR="001B25BD">
        <w:t xml:space="preserve"> </w:t>
      </w:r>
      <w:r w:rsidR="00520F7F">
        <w:t>T</w:t>
      </w:r>
      <w:r w:rsidR="001B25BD">
        <w:t xml:space="preserve">he knowledge available to the ordinarily skilled artisan is decisive in the secondary factors analysis, even where the inventor’s superior knowledge </w:t>
      </w:r>
      <w:r w:rsidR="006D6B1C">
        <w:t>allegedly</w:t>
      </w:r>
      <w:r w:rsidR="001B25BD">
        <w:t xml:space="preserve"> result</w:t>
      </w:r>
      <w:r w:rsidR="00520F7F">
        <w:t>s</w:t>
      </w:r>
      <w:r w:rsidR="001B25BD">
        <w:t xml:space="preserve"> </w:t>
      </w:r>
      <w:r w:rsidR="00520F7F">
        <w:t>from</w:t>
      </w:r>
      <w:r w:rsidR="001B25BD">
        <w:t xml:space="preserve"> </w:t>
      </w:r>
      <w:r w:rsidR="006D6B1C">
        <w:t>information suppression</w:t>
      </w:r>
      <w:r w:rsidR="001B25BD">
        <w:t xml:space="preserve"> that “may raise a variety of concerns . . . .”</w:t>
      </w:r>
      <w:r w:rsidR="001B25BD" w:rsidRPr="005A669A">
        <w:rPr>
          <w:rStyle w:val="FootnoteReference"/>
        </w:rPr>
        <w:footnoteReference w:id="461"/>
      </w:r>
      <w:r w:rsidR="001B25BD">
        <w:t xml:space="preserve">  </w:t>
      </w:r>
    </w:p>
    <w:p w14:paraId="7FEDB29F" w14:textId="58BB8C99" w:rsidR="005D7FE1" w:rsidRDefault="00032E49" w:rsidP="00961A18">
      <w:r>
        <w:tab/>
      </w:r>
      <w:r w:rsidR="00660BFC">
        <w:t>The</w:t>
      </w:r>
      <w:r>
        <w:t xml:space="preserve"> case </w:t>
      </w:r>
      <w:r w:rsidR="00B17BA4">
        <w:t>addressed</w:t>
      </w:r>
      <w:r>
        <w:t xml:space="preserve"> Forest’s ’476 patent on an antipsychotic drug</w:t>
      </w:r>
      <w:r w:rsidR="00084412">
        <w:t>, sold under the brand Saphris</w:t>
      </w:r>
      <w:r w:rsidR="00CB239B">
        <w:t>, and formulated for taking sublingually</w:t>
      </w:r>
      <w:r w:rsidR="009C47F1">
        <w:t xml:space="preserve"> or buccally (through the cheek)</w:t>
      </w:r>
      <w:r w:rsidR="00084412">
        <w:t>.</w:t>
      </w:r>
      <w:r w:rsidR="00084412" w:rsidRPr="005A669A">
        <w:rPr>
          <w:rStyle w:val="FootnoteReference"/>
        </w:rPr>
        <w:footnoteReference w:id="462"/>
      </w:r>
      <w:r w:rsidR="009C47F1">
        <w:t xml:space="preserve"> </w:t>
      </w:r>
      <w:r w:rsidR="00693C1D">
        <w:t xml:space="preserve">The prior art included oral formulations of </w:t>
      </w:r>
      <w:r w:rsidR="00B17BA4">
        <w:t>the</w:t>
      </w:r>
      <w:r w:rsidR="00693C1D">
        <w:t xml:space="preserve"> same drug as well as sublingual and buccal form</w:t>
      </w:r>
      <w:r w:rsidR="00B17BA4">
        <w:t>ulations</w:t>
      </w:r>
      <w:r w:rsidR="00693C1D">
        <w:t xml:space="preserve"> of other drugs.</w:t>
      </w:r>
      <w:r w:rsidR="00693C1D" w:rsidRPr="005A669A">
        <w:rPr>
          <w:rStyle w:val="FootnoteReference"/>
        </w:rPr>
        <w:footnoteReference w:id="463"/>
      </w:r>
      <w:r w:rsidR="009F48BB">
        <w:t xml:space="preserve"> The district court found the sublingual and buccal formulations </w:t>
      </w:r>
      <w:r w:rsidR="00B17BA4">
        <w:t xml:space="preserve">of this drug </w:t>
      </w:r>
      <w:r w:rsidR="009F48BB">
        <w:t>not obvious.</w:t>
      </w:r>
      <w:r w:rsidR="009F48BB" w:rsidRPr="005A669A">
        <w:rPr>
          <w:rStyle w:val="FootnoteReference"/>
        </w:rPr>
        <w:footnoteReference w:id="464"/>
      </w:r>
    </w:p>
    <w:p w14:paraId="1788A08A" w14:textId="2E0DB8DA" w:rsidR="00032E49" w:rsidRDefault="005D7FE1" w:rsidP="00663286">
      <w:r>
        <w:tab/>
      </w:r>
      <w:r w:rsidR="00F624D6">
        <w:t xml:space="preserve">On appeal, the Federal Circuit </w:t>
      </w:r>
      <w:r w:rsidR="009F48BB">
        <w:t>v</w:t>
      </w:r>
      <w:r w:rsidR="00F624D6">
        <w:t>acated and remanded.</w:t>
      </w:r>
      <w:r w:rsidR="009F48BB" w:rsidRPr="005A669A">
        <w:rPr>
          <w:rStyle w:val="FootnoteReference"/>
        </w:rPr>
        <w:footnoteReference w:id="465"/>
      </w:r>
      <w:r w:rsidR="00F624D6">
        <w:t xml:space="preserve"> An invention </w:t>
      </w:r>
      <w:r w:rsidR="001279D7">
        <w:t>is</w:t>
      </w:r>
      <w:r w:rsidR="00F624D6">
        <w:t xml:space="preserve"> obvious where “there is a reason, suggestion, or motivation in the prior art that would lead one of ordinary skill in the art to combine the references, and that would also suggest a reasonable likelihood of success.”</w:t>
      </w:r>
      <w:r w:rsidR="00F624D6" w:rsidRPr="005A669A">
        <w:rPr>
          <w:rStyle w:val="FootnoteReference"/>
        </w:rPr>
        <w:footnoteReference w:id="466"/>
      </w:r>
      <w:r w:rsidR="00201AAA">
        <w:t xml:space="preserve"> </w:t>
      </w:r>
      <w:r w:rsidR="005B5EEC">
        <w:t xml:space="preserve">These can be shown explicitly, or implicitly through </w:t>
      </w:r>
      <w:r w:rsidR="004E012F">
        <w:t xml:space="preserve">assessing </w:t>
      </w:r>
      <w:r w:rsidR="005B5EEC">
        <w:t xml:space="preserve">so-called secondary factors, including </w:t>
      </w:r>
      <w:r w:rsidR="004E012F">
        <w:t>a</w:t>
      </w:r>
      <w:r w:rsidR="00544178">
        <w:t xml:space="preserve"> </w:t>
      </w:r>
      <w:r w:rsidR="004E012F">
        <w:t xml:space="preserve">long-felt </w:t>
      </w:r>
      <w:r w:rsidR="00544178">
        <w:t xml:space="preserve">need for </w:t>
      </w:r>
      <w:r w:rsidR="004E012F">
        <w:t xml:space="preserve">the </w:t>
      </w:r>
      <w:r w:rsidR="00544178">
        <w:t>invention</w:t>
      </w:r>
      <w:r w:rsidR="00520F7F">
        <w:t>,</w:t>
      </w:r>
      <w:r w:rsidR="00544178">
        <w:t xml:space="preserve"> </w:t>
      </w:r>
      <w:r w:rsidR="004E012F">
        <w:t>or unexpected results</w:t>
      </w:r>
      <w:r w:rsidR="00544178">
        <w:t>.</w:t>
      </w:r>
      <w:r w:rsidR="00544178" w:rsidRPr="005A669A">
        <w:rPr>
          <w:rStyle w:val="FootnoteReference"/>
        </w:rPr>
        <w:footnoteReference w:id="467"/>
      </w:r>
      <w:r w:rsidR="00544178">
        <w:t xml:space="preserve"> </w:t>
      </w:r>
      <w:r w:rsidR="00663286">
        <w:t>Here, the Federal Circuit held the district court had failed to make a finding as to whether a motivation to combine existed,</w:t>
      </w:r>
      <w:r w:rsidR="00663286" w:rsidRPr="005A669A">
        <w:rPr>
          <w:rStyle w:val="FootnoteReference"/>
        </w:rPr>
        <w:footnoteReference w:id="468"/>
      </w:r>
      <w:r w:rsidR="00663286">
        <w:t xml:space="preserve"> yet </w:t>
      </w:r>
      <w:r w:rsidR="003A3866">
        <w:t>it nonetheless examined</w:t>
      </w:r>
      <w:r w:rsidR="00D01C63">
        <w:t xml:space="preserve"> </w:t>
      </w:r>
      <w:r w:rsidR="00A738DD">
        <w:t>the district court’s analysis of</w:t>
      </w:r>
      <w:r w:rsidR="004E012F">
        <w:t xml:space="preserve"> several</w:t>
      </w:r>
      <w:r w:rsidR="00A738DD">
        <w:t xml:space="preserve"> </w:t>
      </w:r>
      <w:r w:rsidR="00D01C63">
        <w:t>s</w:t>
      </w:r>
      <w:r w:rsidR="00162217">
        <w:t>econdary factors</w:t>
      </w:r>
      <w:r w:rsidR="004E012F">
        <w:t>:</w:t>
      </w:r>
      <w:r w:rsidR="00221BE6">
        <w:t xml:space="preserve"> </w:t>
      </w:r>
      <w:r w:rsidR="00F624D6">
        <w:t xml:space="preserve"> </w:t>
      </w:r>
    </w:p>
    <w:p w14:paraId="2CF22A0D" w14:textId="2E549F11" w:rsidR="004B5367" w:rsidRDefault="00B530B6" w:rsidP="00F624D6">
      <w:r>
        <w:lastRenderedPageBreak/>
        <w:tab/>
      </w:r>
      <w:r w:rsidR="001033FD">
        <w:rPr>
          <w:b/>
        </w:rPr>
        <w:t xml:space="preserve">Long-Felt </w:t>
      </w:r>
      <w:r w:rsidR="001033FD" w:rsidRPr="001033FD">
        <w:rPr>
          <w:b/>
        </w:rPr>
        <w:t>Need</w:t>
      </w:r>
      <w:r w:rsidR="001033FD">
        <w:t xml:space="preserve">: </w:t>
      </w:r>
      <w:r w:rsidR="008A1F95">
        <w:t>The</w:t>
      </w:r>
      <w:r w:rsidR="004E012F">
        <w:t xml:space="preserve"> Federal Circuit </w:t>
      </w:r>
      <w:r w:rsidR="00402ADA">
        <w:t>held</w:t>
      </w:r>
      <w:r w:rsidR="004E012F">
        <w:t xml:space="preserve"> the</w:t>
      </w:r>
      <w:r w:rsidR="008A1F95">
        <w:t xml:space="preserve"> district court </w:t>
      </w:r>
      <w:r w:rsidR="004E012F">
        <w:t>had</w:t>
      </w:r>
      <w:r w:rsidR="008A1F95">
        <w:t xml:space="preserve"> not </w:t>
      </w:r>
      <w:r w:rsidR="004E012F">
        <w:t>erred</w:t>
      </w:r>
      <w:r w:rsidR="008A1F95">
        <w:t xml:space="preserve"> in finding </w:t>
      </w:r>
      <w:r w:rsidR="004E012F">
        <w:t xml:space="preserve">there had been </w:t>
      </w:r>
      <w:r w:rsidR="00716638">
        <w:t>a long-felt</w:t>
      </w:r>
      <w:r w:rsidR="00206CC2">
        <w:t xml:space="preserve"> need for</w:t>
      </w:r>
      <w:r w:rsidR="008A1F95">
        <w:t xml:space="preserve"> an antipsychotic </w:t>
      </w:r>
      <w:r w:rsidR="004E012F">
        <w:t>without</w:t>
      </w:r>
      <w:r w:rsidR="008A1F95">
        <w:t xml:space="preserve"> debilitating side effects</w:t>
      </w:r>
      <w:r w:rsidR="00716638">
        <w:t>.</w:t>
      </w:r>
      <w:r w:rsidR="00716638" w:rsidRPr="005A669A">
        <w:rPr>
          <w:rStyle w:val="FootnoteReference"/>
        </w:rPr>
        <w:footnoteReference w:id="469"/>
      </w:r>
      <w:r w:rsidR="00206CC2">
        <w:t xml:space="preserve"> </w:t>
      </w:r>
      <w:r w:rsidR="00D30ADC">
        <w:t>A</w:t>
      </w:r>
      <w:r w:rsidR="00D5619F">
        <w:t xml:space="preserve">n invention </w:t>
      </w:r>
      <w:r w:rsidR="00D30ADC">
        <w:t xml:space="preserve">that </w:t>
      </w:r>
      <w:r w:rsidR="00D5619F">
        <w:t xml:space="preserve">resolves a long-felt need </w:t>
      </w:r>
      <w:r w:rsidR="00D30ADC">
        <w:t>is usually a</w:t>
      </w:r>
      <w:r w:rsidR="00D5619F">
        <w:t xml:space="preserve"> nonobvious</w:t>
      </w:r>
      <w:r w:rsidR="00D30ADC">
        <w:t xml:space="preserve"> one</w:t>
      </w:r>
      <w:r w:rsidR="00D5619F">
        <w:t>.</w:t>
      </w:r>
      <w:r w:rsidR="00D5619F" w:rsidRPr="005A669A">
        <w:rPr>
          <w:rStyle w:val="FootnoteReference"/>
        </w:rPr>
        <w:footnoteReference w:id="470"/>
      </w:r>
      <w:r w:rsidR="00D5619F">
        <w:t xml:space="preserve"> Here, the</w:t>
      </w:r>
      <w:r w:rsidR="00206CC2">
        <w:t xml:space="preserve"> side</w:t>
      </w:r>
      <w:r w:rsidR="008A1F95">
        <w:t xml:space="preserve"> effects </w:t>
      </w:r>
      <w:r w:rsidR="00716638">
        <w:t>of prior</w:t>
      </w:r>
      <w:r w:rsidR="00D30ADC">
        <w:t>-</w:t>
      </w:r>
      <w:r w:rsidR="00716638">
        <w:t>art drug</w:t>
      </w:r>
      <w:r w:rsidR="00402ADA">
        <w:t xml:space="preserve"> </w:t>
      </w:r>
      <w:r w:rsidR="00716638">
        <w:t xml:space="preserve">formulations drove </w:t>
      </w:r>
      <w:r w:rsidR="008A1F95">
        <w:t xml:space="preserve">many patients </w:t>
      </w:r>
      <w:r w:rsidR="00716638">
        <w:t>off</w:t>
      </w:r>
      <w:r w:rsidR="008A1F95">
        <w:t xml:space="preserve"> treatment.</w:t>
      </w:r>
      <w:r w:rsidR="008A1F95" w:rsidRPr="005A669A">
        <w:rPr>
          <w:rStyle w:val="FootnoteReference"/>
        </w:rPr>
        <w:footnoteReference w:id="471"/>
      </w:r>
      <w:r w:rsidR="008A1F95">
        <w:t xml:space="preserve"> </w:t>
      </w:r>
      <w:r w:rsidR="00402ADA">
        <w:t>Even assuming</w:t>
      </w:r>
      <w:r w:rsidR="008A1F95">
        <w:t xml:space="preserve"> </w:t>
      </w:r>
      <w:r w:rsidR="00FA3F85">
        <w:t xml:space="preserve">Forest’s drug </w:t>
      </w:r>
      <w:r w:rsidR="0034176D">
        <w:t>did not have</w:t>
      </w:r>
      <w:r w:rsidR="00AC009B">
        <w:t xml:space="preserve"> </w:t>
      </w:r>
      <w:r w:rsidR="0034176D">
        <w:t>better</w:t>
      </w:r>
      <w:r w:rsidR="00AC009B">
        <w:t xml:space="preserve"> efficacy or compliance</w:t>
      </w:r>
      <w:r w:rsidR="006134DF">
        <w:t xml:space="preserve"> </w:t>
      </w:r>
      <w:r w:rsidR="00402ADA">
        <w:t xml:space="preserve">rates </w:t>
      </w:r>
      <w:r w:rsidR="006134DF">
        <w:t xml:space="preserve">than </w:t>
      </w:r>
      <w:r w:rsidR="00D5619F">
        <w:t xml:space="preserve">prior </w:t>
      </w:r>
      <w:r w:rsidR="006134DF">
        <w:t>alternatives—</w:t>
      </w:r>
      <w:r w:rsidR="00402ADA">
        <w:t>as SigmaPharm alleged—s</w:t>
      </w:r>
      <w:r w:rsidR="006134DF">
        <w:t xml:space="preserve">ufficient evidence </w:t>
      </w:r>
      <w:r w:rsidR="006D2D77">
        <w:t>existed for the district court to find</w:t>
      </w:r>
      <w:r w:rsidR="006134DF">
        <w:t xml:space="preserve"> Saphris</w:t>
      </w:r>
      <w:r w:rsidR="00402ADA">
        <w:t xml:space="preserve"> </w:t>
      </w:r>
      <w:r w:rsidR="0034176D">
        <w:t>did meet</w:t>
      </w:r>
      <w:r w:rsidR="00402ADA">
        <w:t xml:space="preserve"> the need for reducing side effects</w:t>
      </w:r>
      <w:r w:rsidR="006D2D77">
        <w:t>.</w:t>
      </w:r>
      <w:r w:rsidR="006134DF" w:rsidRPr="005A669A">
        <w:rPr>
          <w:rStyle w:val="FootnoteReference"/>
        </w:rPr>
        <w:footnoteReference w:id="472"/>
      </w:r>
      <w:r w:rsidR="00402ADA">
        <w:t xml:space="preserve"> </w:t>
      </w:r>
    </w:p>
    <w:p w14:paraId="51DE6483" w14:textId="07622D87" w:rsidR="0078500B" w:rsidRDefault="001033FD" w:rsidP="00293075">
      <w:r>
        <w:tab/>
      </w:r>
      <w:r>
        <w:rPr>
          <w:b/>
        </w:rPr>
        <w:t>Unexpected Results</w:t>
      </w:r>
      <w:r>
        <w:t xml:space="preserve">: </w:t>
      </w:r>
      <w:r w:rsidR="00D5619F">
        <w:t>The</w:t>
      </w:r>
      <w:r w:rsidR="00402ADA">
        <w:t xml:space="preserve"> Federal Circuit held the</w:t>
      </w:r>
      <w:r w:rsidR="00D5619F">
        <w:t xml:space="preserve"> district court </w:t>
      </w:r>
      <w:r w:rsidR="00402ADA">
        <w:t>had erred</w:t>
      </w:r>
      <w:r w:rsidR="00DF7D99">
        <w:t xml:space="preserve">, however, </w:t>
      </w:r>
      <w:r w:rsidR="00D5619F">
        <w:t xml:space="preserve">in finding </w:t>
      </w:r>
      <w:r w:rsidR="00402ADA">
        <w:t>that the</w:t>
      </w:r>
      <w:r w:rsidR="00B86C94">
        <w:t xml:space="preserve"> sublingual formulation </w:t>
      </w:r>
      <w:r w:rsidR="00DF7D99">
        <w:t>had</w:t>
      </w:r>
      <w:r w:rsidR="00B86C94">
        <w:t xml:space="preserve"> </w:t>
      </w:r>
      <w:r w:rsidR="00D5619F">
        <w:t>unexpected results.</w:t>
      </w:r>
      <w:r w:rsidR="00D5619F" w:rsidRPr="005A669A">
        <w:rPr>
          <w:rStyle w:val="FootnoteReference"/>
        </w:rPr>
        <w:footnoteReference w:id="473"/>
      </w:r>
      <w:r w:rsidR="00D5619F">
        <w:t xml:space="preserve"> </w:t>
      </w:r>
      <w:r w:rsidR="002D52C1">
        <w:t xml:space="preserve">Inventions </w:t>
      </w:r>
      <w:r w:rsidR="005B7009">
        <w:t>having</w:t>
      </w:r>
      <w:r w:rsidR="002D52C1">
        <w:t xml:space="preserve"> results that surprise ordinarily skilled artisans </w:t>
      </w:r>
      <w:r w:rsidR="00DF7D99">
        <w:t>are usually not obvious</w:t>
      </w:r>
      <w:r w:rsidR="007F4722">
        <w:t>.</w:t>
      </w:r>
      <w:r w:rsidR="00B9439B" w:rsidRPr="005A669A">
        <w:rPr>
          <w:rStyle w:val="FootnoteReference"/>
        </w:rPr>
        <w:footnoteReference w:id="474"/>
      </w:r>
      <w:r w:rsidR="00B9439B">
        <w:t xml:space="preserve"> </w:t>
      </w:r>
      <w:r w:rsidR="006D2D77">
        <w:t>Here</w:t>
      </w:r>
      <w:r w:rsidR="00F52E96">
        <w:t>,</w:t>
      </w:r>
      <w:r w:rsidR="00504F53">
        <w:t xml:space="preserve"> the </w:t>
      </w:r>
      <w:r w:rsidR="004B7B9D">
        <w:t>Federal Circuit</w:t>
      </w:r>
      <w:r w:rsidR="00504F53">
        <w:t xml:space="preserve"> </w:t>
      </w:r>
      <w:r w:rsidR="00656A31">
        <w:t>reasoned</w:t>
      </w:r>
      <w:r w:rsidR="00504F53">
        <w:t xml:space="preserve"> that</w:t>
      </w:r>
      <w:r w:rsidR="00F52E96">
        <w:t xml:space="preserve"> the researchers simultaneously discovered</w:t>
      </w:r>
      <w:r w:rsidR="00B86C94">
        <w:t xml:space="preserve"> </w:t>
      </w:r>
      <w:r w:rsidR="00504F53">
        <w:t xml:space="preserve">an unexpected problem </w:t>
      </w:r>
      <w:r w:rsidR="00F52E96">
        <w:t xml:space="preserve">and </w:t>
      </w:r>
      <w:r w:rsidR="00504F53">
        <w:t>an unexpected solution to it</w:t>
      </w:r>
      <w:r w:rsidR="00F52E96">
        <w:t>,</w:t>
      </w:r>
      <w:r w:rsidR="00F52E96" w:rsidRPr="005A669A">
        <w:rPr>
          <w:rStyle w:val="FootnoteReference"/>
        </w:rPr>
        <w:footnoteReference w:id="475"/>
      </w:r>
      <w:r w:rsidR="00504F53">
        <w:t xml:space="preserve"> </w:t>
      </w:r>
      <w:r w:rsidR="00B86C94">
        <w:t>and so the</w:t>
      </w:r>
      <w:r w:rsidR="00504F53">
        <w:t xml:space="preserve"> net result </w:t>
      </w:r>
      <w:r w:rsidR="005B7009">
        <w:t xml:space="preserve">of the invention </w:t>
      </w:r>
      <w:r w:rsidR="00504F53">
        <w:t xml:space="preserve">was </w:t>
      </w:r>
      <w:r w:rsidR="007F4722">
        <w:t>not surprising</w:t>
      </w:r>
      <w:r w:rsidR="00884113">
        <w:t>.</w:t>
      </w:r>
      <w:r w:rsidR="00E448BC" w:rsidRPr="005A669A">
        <w:rPr>
          <w:rStyle w:val="FootnoteReference"/>
        </w:rPr>
        <w:footnoteReference w:id="476"/>
      </w:r>
      <w:r w:rsidR="00504F53">
        <w:t xml:space="preserve"> </w:t>
      </w:r>
      <w:r w:rsidR="00B86C94">
        <w:t xml:space="preserve">Specifically, </w:t>
      </w:r>
      <w:r w:rsidR="007F4722">
        <w:t>the researchers</w:t>
      </w:r>
      <w:r w:rsidR="00B86C94">
        <w:t xml:space="preserve"> discovered </w:t>
      </w:r>
      <w:r w:rsidR="00C011DD">
        <w:t>that the</w:t>
      </w:r>
      <w:r w:rsidR="00B86C94">
        <w:t xml:space="preserve"> </w:t>
      </w:r>
      <w:r w:rsidR="00884113">
        <w:t xml:space="preserve">prior-art </w:t>
      </w:r>
      <w:r w:rsidR="00B86C94">
        <w:t xml:space="preserve">oral formulation caused cardiotoxic problems, </w:t>
      </w:r>
      <w:r w:rsidR="00EF65D4">
        <w:t>while</w:t>
      </w:r>
      <w:r w:rsidR="00B86C94">
        <w:t xml:space="preserve"> the </w:t>
      </w:r>
      <w:r w:rsidR="005B7009">
        <w:t xml:space="preserve">invented </w:t>
      </w:r>
      <w:r w:rsidR="00B86C94">
        <w:t>sublingual formulation did no</w:t>
      </w:r>
      <w:r w:rsidR="00967AFA">
        <w:t>t.</w:t>
      </w:r>
      <w:r w:rsidR="00967AFA" w:rsidRPr="005A669A">
        <w:rPr>
          <w:rStyle w:val="FootnoteReference"/>
        </w:rPr>
        <w:footnoteReference w:id="477"/>
      </w:r>
      <w:r w:rsidR="00967AFA">
        <w:t xml:space="preserve"> </w:t>
      </w:r>
      <w:r w:rsidR="0012560B">
        <w:t xml:space="preserve">Had </w:t>
      </w:r>
      <w:r w:rsidR="00884113">
        <w:t xml:space="preserve">the ordinarily skilled artisan </w:t>
      </w:r>
      <w:r w:rsidR="00F9260D">
        <w:t xml:space="preserve">previously </w:t>
      </w:r>
      <w:r w:rsidR="00293075">
        <w:t>known of the</w:t>
      </w:r>
      <w:r w:rsidR="0012560B">
        <w:t xml:space="preserve"> cardiotoxic problems </w:t>
      </w:r>
      <w:r w:rsidR="00293075">
        <w:t>in the oral drug</w:t>
      </w:r>
      <w:r w:rsidR="0012560B">
        <w:t xml:space="preserve">, the ability of a sublingual formulation to resolve </w:t>
      </w:r>
      <w:r w:rsidR="00F9260D">
        <w:t>those</w:t>
      </w:r>
      <w:r w:rsidR="00727CFE">
        <w:t xml:space="preserve"> problems</w:t>
      </w:r>
      <w:r w:rsidR="0012560B">
        <w:t xml:space="preserve"> would have been unexpected.</w:t>
      </w:r>
      <w:r w:rsidR="0012560B" w:rsidRPr="005A669A">
        <w:rPr>
          <w:rStyle w:val="FootnoteReference"/>
        </w:rPr>
        <w:footnoteReference w:id="478"/>
      </w:r>
      <w:r w:rsidR="0012560B">
        <w:t xml:space="preserve"> </w:t>
      </w:r>
      <w:r w:rsidR="005B7009">
        <w:t xml:space="preserve">But </w:t>
      </w:r>
      <w:r w:rsidR="00727CFE">
        <w:t>such an</w:t>
      </w:r>
      <w:r w:rsidR="00293075">
        <w:t xml:space="preserve"> artisan </w:t>
      </w:r>
      <w:r w:rsidR="00F9260D">
        <w:t>instead</w:t>
      </w:r>
      <w:r w:rsidR="00727CFE">
        <w:t xml:space="preserve"> </w:t>
      </w:r>
      <w:r w:rsidR="00EF65D4">
        <w:t xml:space="preserve">would have </w:t>
      </w:r>
      <w:r w:rsidR="00727CFE">
        <w:t>thought</w:t>
      </w:r>
      <w:r w:rsidR="00293075">
        <w:t xml:space="preserve"> the oral drug did not have those problems</w:t>
      </w:r>
      <w:r w:rsidR="00727CFE">
        <w:t xml:space="preserve">, and so </w:t>
      </w:r>
      <w:r w:rsidR="00EF65D4">
        <w:t>expected</w:t>
      </w:r>
      <w:r w:rsidR="00727CFE">
        <w:t xml:space="preserve"> </w:t>
      </w:r>
      <w:r w:rsidR="00293075">
        <w:t xml:space="preserve">the sublingual drug </w:t>
      </w:r>
      <w:r w:rsidR="00EF65D4">
        <w:t>to not have</w:t>
      </w:r>
      <w:r w:rsidR="00293075">
        <w:t xml:space="preserve"> those problems. </w:t>
      </w:r>
      <w:r w:rsidR="00727CFE">
        <w:t>The Federal Circuit seemed to go further still when discussing motivation to combine: E</w:t>
      </w:r>
      <w:r w:rsidR="0071480C">
        <w:t>ven</w:t>
      </w:r>
      <w:r w:rsidR="007F4722">
        <w:t xml:space="preserve"> assuming </w:t>
      </w:r>
      <w:r w:rsidR="00E0225A">
        <w:t>Forest</w:t>
      </w:r>
      <w:r w:rsidR="007F4722">
        <w:t xml:space="preserve"> had </w:t>
      </w:r>
      <w:r w:rsidR="00F9260D">
        <w:t>special, prior</w:t>
      </w:r>
      <w:r w:rsidR="007F4722">
        <w:t xml:space="preserve"> knowledge about the cardiotoxicity of its </w:t>
      </w:r>
      <w:r w:rsidR="00F9260D">
        <w:t>prior-art oral</w:t>
      </w:r>
      <w:r w:rsidR="007F4722">
        <w:t xml:space="preserve"> drug</w:t>
      </w:r>
      <w:r w:rsidR="00E0225A">
        <w:t xml:space="preserve"> (as SigmaPharm alleged),</w:t>
      </w:r>
      <w:r w:rsidR="007F4722">
        <w:t xml:space="preserve"> </w:t>
      </w:r>
      <w:r w:rsidR="0071480C">
        <w:t xml:space="preserve">the </w:t>
      </w:r>
      <w:r w:rsidR="00783FC2">
        <w:t>obviousness</w:t>
      </w:r>
      <w:r w:rsidR="00B46876">
        <w:t xml:space="preserve"> analysis</w:t>
      </w:r>
      <w:r w:rsidR="00C421F5">
        <w:t xml:space="preserve"> would not</w:t>
      </w:r>
      <w:r w:rsidR="0078500B">
        <w:t xml:space="preserve"> </w:t>
      </w:r>
      <w:r w:rsidR="00B46876">
        <w:t>change</w:t>
      </w:r>
      <w:r w:rsidR="00C421F5">
        <w:t xml:space="preserve"> </w:t>
      </w:r>
      <w:r w:rsidR="00BF41DA">
        <w:t>because</w:t>
      </w:r>
      <w:r w:rsidR="00C421F5">
        <w:t xml:space="preserve"> </w:t>
      </w:r>
      <w:r w:rsidR="00B46876">
        <w:t>that analysis</w:t>
      </w:r>
      <w:r w:rsidR="00C421F5">
        <w:t xml:space="preserve"> turns on the knowledge of the ordinarily skilled artisan.</w:t>
      </w:r>
      <w:r w:rsidR="007F4722" w:rsidRPr="005A669A">
        <w:rPr>
          <w:rStyle w:val="FootnoteReference"/>
        </w:rPr>
        <w:footnoteReference w:id="479"/>
      </w:r>
      <w:r w:rsidR="00BF41DA">
        <w:t xml:space="preserve"> </w:t>
      </w:r>
      <w:r w:rsidR="00975826">
        <w:t>That artisan would have been motivated to try the sublingual formulation because she would not have anticipated the unexpected problem.</w:t>
      </w:r>
    </w:p>
    <w:p w14:paraId="0D15BA60" w14:textId="4A743E9C" w:rsidR="0078500B" w:rsidRDefault="0078500B" w:rsidP="00293075">
      <w:r>
        <w:tab/>
      </w:r>
      <w:r w:rsidR="00975826">
        <w:t>While denying a patent in these circumstances might seem unfair,</w:t>
      </w:r>
      <w:r w:rsidR="00E0225A">
        <w:t xml:space="preserve"> t</w:t>
      </w:r>
      <w:r w:rsidR="0034531E">
        <w:t xml:space="preserve">he Federal Circuit </w:t>
      </w:r>
      <w:r w:rsidR="00783FC2">
        <w:t>did not</w:t>
      </w:r>
      <w:r w:rsidR="0034531E">
        <w:t xml:space="preserve"> modify its obviousness analysis to </w:t>
      </w:r>
      <w:r w:rsidR="00E0225A">
        <w:t>remedy</w:t>
      </w:r>
      <w:r w:rsidR="0034531E">
        <w:t xml:space="preserve"> </w:t>
      </w:r>
      <w:r w:rsidR="00783FC2">
        <w:t xml:space="preserve">alleged </w:t>
      </w:r>
      <w:r w:rsidR="00E0225A">
        <w:t>inequities</w:t>
      </w:r>
      <w:r w:rsidR="0034531E">
        <w:t xml:space="preserve">. </w:t>
      </w:r>
      <w:r w:rsidR="00E0225A">
        <w:t>Forest’s alleged suppression</w:t>
      </w:r>
      <w:r w:rsidR="0034531E">
        <w:t xml:space="preserve"> “may raise a variety of concerns,” but it </w:t>
      </w:r>
      <w:r w:rsidR="00E0225A">
        <w:t xml:space="preserve">does </w:t>
      </w:r>
      <w:r w:rsidR="0034531E">
        <w:t xml:space="preserve">not change obviousness </w:t>
      </w:r>
      <w:r w:rsidR="00E0225A">
        <w:t>to the</w:t>
      </w:r>
      <w:r w:rsidR="0034531E">
        <w:t xml:space="preserve"> ordinarily skilled artisan.</w:t>
      </w:r>
      <w:r w:rsidR="0034531E" w:rsidRPr="005A669A">
        <w:rPr>
          <w:rStyle w:val="FootnoteReference"/>
        </w:rPr>
        <w:footnoteReference w:id="480"/>
      </w:r>
      <w:r w:rsidR="0034531E">
        <w:t xml:space="preserve"> </w:t>
      </w:r>
    </w:p>
    <w:p w14:paraId="146C4B4D" w14:textId="434E3760" w:rsidR="00255CDE" w:rsidRPr="00BD71A6" w:rsidRDefault="00BF2228" w:rsidP="00B9439B">
      <w:pPr>
        <w:rPr>
          <w:color w:val="FF0000"/>
        </w:rPr>
      </w:pPr>
      <w:r>
        <w:tab/>
      </w:r>
      <w:r w:rsidRPr="00BD71A6">
        <w:rPr>
          <w:b/>
          <w:color w:val="000000" w:themeColor="text1"/>
        </w:rPr>
        <w:t>Motivation to Combine</w:t>
      </w:r>
      <w:r w:rsidRPr="00BD71A6">
        <w:rPr>
          <w:color w:val="000000" w:themeColor="text1"/>
        </w:rPr>
        <w:t>: Ultimately</w:t>
      </w:r>
      <w:r w:rsidR="00085224" w:rsidRPr="00BD71A6">
        <w:rPr>
          <w:color w:val="000000" w:themeColor="text1"/>
        </w:rPr>
        <w:t xml:space="preserve">, the Federal Circuit vacated and remanded </w:t>
      </w:r>
      <w:r w:rsidRPr="00BD71A6">
        <w:rPr>
          <w:color w:val="000000" w:themeColor="text1"/>
        </w:rPr>
        <w:t xml:space="preserve">the case so that </w:t>
      </w:r>
      <w:r w:rsidR="00D16676">
        <w:rPr>
          <w:color w:val="000000" w:themeColor="text1"/>
        </w:rPr>
        <w:t xml:space="preserve">the </w:t>
      </w:r>
      <w:r w:rsidR="00085224" w:rsidRPr="00BD71A6">
        <w:rPr>
          <w:color w:val="000000" w:themeColor="text1"/>
        </w:rPr>
        <w:t xml:space="preserve">trial court </w:t>
      </w:r>
      <w:r w:rsidRPr="00BD71A6">
        <w:rPr>
          <w:color w:val="000000" w:themeColor="text1"/>
        </w:rPr>
        <w:t>could make</w:t>
      </w:r>
      <w:r w:rsidR="00085224" w:rsidRPr="00BD71A6">
        <w:rPr>
          <w:color w:val="000000" w:themeColor="text1"/>
        </w:rPr>
        <w:t xml:space="preserve"> an explicit finding as to whether or not a </w:t>
      </w:r>
      <w:r w:rsidR="00085224" w:rsidRPr="00BD71A6">
        <w:rPr>
          <w:color w:val="000000" w:themeColor="text1"/>
        </w:rPr>
        <w:lastRenderedPageBreak/>
        <w:t>motivation to combine existed.</w:t>
      </w:r>
      <w:r w:rsidR="00085224" w:rsidRPr="005A669A">
        <w:rPr>
          <w:rStyle w:val="FootnoteReference"/>
        </w:rPr>
        <w:footnoteReference w:id="481"/>
      </w:r>
      <w:r w:rsidR="00085224" w:rsidRPr="00BD71A6">
        <w:rPr>
          <w:color w:val="000000" w:themeColor="text1"/>
        </w:rPr>
        <w:t xml:space="preserve"> </w:t>
      </w:r>
      <w:r w:rsidR="006A1962" w:rsidRPr="00BD71A6">
        <w:rPr>
          <w:color w:val="000000" w:themeColor="text1"/>
        </w:rPr>
        <w:t>The district court had</w:t>
      </w:r>
      <w:r w:rsidR="00085224" w:rsidRPr="00BD71A6">
        <w:rPr>
          <w:color w:val="000000" w:themeColor="text1"/>
        </w:rPr>
        <w:t xml:space="preserve"> rejected a bioavailability concern</w:t>
      </w:r>
      <w:r w:rsidR="006A1962" w:rsidRPr="00BD71A6">
        <w:rPr>
          <w:color w:val="000000" w:themeColor="text1"/>
        </w:rPr>
        <w:t xml:space="preserve"> as one motive</w:t>
      </w:r>
      <w:r w:rsidR="006E0428">
        <w:rPr>
          <w:color w:val="000000" w:themeColor="text1"/>
        </w:rPr>
        <w:t xml:space="preserve"> (it appeared insufficiently founded)</w:t>
      </w:r>
      <w:r w:rsidR="00085224" w:rsidRPr="00BD71A6">
        <w:rPr>
          <w:color w:val="000000" w:themeColor="text1"/>
        </w:rPr>
        <w:t>,</w:t>
      </w:r>
      <w:r w:rsidR="00085224" w:rsidRPr="005A669A">
        <w:rPr>
          <w:rStyle w:val="FootnoteReference"/>
        </w:rPr>
        <w:footnoteReference w:id="482"/>
      </w:r>
      <w:r w:rsidR="00085224" w:rsidRPr="00BD71A6">
        <w:rPr>
          <w:color w:val="000000" w:themeColor="text1"/>
        </w:rPr>
        <w:t xml:space="preserve"> and the general need for having multiple treatment methods </w:t>
      </w:r>
      <w:r w:rsidR="006A1962" w:rsidRPr="00BD71A6">
        <w:rPr>
          <w:color w:val="000000" w:themeColor="text1"/>
        </w:rPr>
        <w:t>as another</w:t>
      </w:r>
      <w:r w:rsidR="006E0428">
        <w:rPr>
          <w:color w:val="000000" w:themeColor="text1"/>
        </w:rPr>
        <w:t xml:space="preserve"> (it appeared insufficiently motivating)</w:t>
      </w:r>
      <w:r w:rsidR="00085224" w:rsidRPr="00BD71A6">
        <w:rPr>
          <w:color w:val="000000" w:themeColor="text1"/>
        </w:rPr>
        <w:t>.</w:t>
      </w:r>
      <w:r w:rsidR="00085224" w:rsidRPr="005A669A">
        <w:rPr>
          <w:rStyle w:val="FootnoteReference"/>
        </w:rPr>
        <w:footnoteReference w:id="483"/>
      </w:r>
      <w:r w:rsidR="00085224" w:rsidRPr="00BD71A6">
        <w:rPr>
          <w:color w:val="000000" w:themeColor="text1"/>
        </w:rPr>
        <w:t xml:space="preserve"> But </w:t>
      </w:r>
      <w:r w:rsidR="006A1962" w:rsidRPr="00BD71A6">
        <w:rPr>
          <w:color w:val="000000" w:themeColor="text1"/>
        </w:rPr>
        <w:t xml:space="preserve">the trial court </w:t>
      </w:r>
      <w:r w:rsidR="005E74DE" w:rsidRPr="00BD71A6">
        <w:rPr>
          <w:color w:val="000000" w:themeColor="text1"/>
        </w:rPr>
        <w:t xml:space="preserve">had </w:t>
      </w:r>
      <w:r w:rsidR="006A1962" w:rsidRPr="00BD71A6">
        <w:rPr>
          <w:color w:val="000000" w:themeColor="text1"/>
        </w:rPr>
        <w:t xml:space="preserve">neither </w:t>
      </w:r>
      <w:r w:rsidR="00085224" w:rsidRPr="00BD71A6">
        <w:rPr>
          <w:color w:val="000000" w:themeColor="text1"/>
        </w:rPr>
        <w:t xml:space="preserve">accepted nor rejected </w:t>
      </w:r>
      <w:r w:rsidR="006A1962" w:rsidRPr="00BD71A6">
        <w:rPr>
          <w:color w:val="000000" w:themeColor="text1"/>
        </w:rPr>
        <w:t xml:space="preserve">a third possible motivation to combine prior art: </w:t>
      </w:r>
      <w:r w:rsidR="00085224" w:rsidRPr="00BD71A6">
        <w:rPr>
          <w:color w:val="000000" w:themeColor="text1"/>
        </w:rPr>
        <w:t xml:space="preserve">that schizophrenic patients </w:t>
      </w:r>
      <w:r w:rsidR="006A1962" w:rsidRPr="00BD71A6">
        <w:rPr>
          <w:color w:val="000000" w:themeColor="text1"/>
        </w:rPr>
        <w:t>had</w:t>
      </w:r>
      <w:r w:rsidR="00085224" w:rsidRPr="00BD71A6">
        <w:rPr>
          <w:color w:val="000000" w:themeColor="text1"/>
        </w:rPr>
        <w:t xml:space="preserve"> not </w:t>
      </w:r>
      <w:r w:rsidR="006A1962" w:rsidRPr="00BD71A6">
        <w:rPr>
          <w:color w:val="000000" w:themeColor="text1"/>
        </w:rPr>
        <w:t>complied</w:t>
      </w:r>
      <w:r w:rsidR="00085224" w:rsidRPr="00BD71A6">
        <w:rPr>
          <w:color w:val="000000" w:themeColor="text1"/>
        </w:rPr>
        <w:t xml:space="preserve"> with oral </w:t>
      </w:r>
      <w:r w:rsidR="00120FBB" w:rsidRPr="00BD71A6">
        <w:rPr>
          <w:color w:val="000000" w:themeColor="text1"/>
        </w:rPr>
        <w:t xml:space="preserve">administration, </w:t>
      </w:r>
      <w:r w:rsidR="00085224" w:rsidRPr="00BD71A6">
        <w:rPr>
          <w:color w:val="000000" w:themeColor="text1"/>
        </w:rPr>
        <w:t xml:space="preserve">and that they </w:t>
      </w:r>
      <w:r w:rsidR="00120FBB" w:rsidRPr="00BD71A6">
        <w:rPr>
          <w:color w:val="000000" w:themeColor="text1"/>
        </w:rPr>
        <w:t xml:space="preserve">were </w:t>
      </w:r>
      <w:r w:rsidR="006A1962" w:rsidRPr="00BD71A6">
        <w:rPr>
          <w:color w:val="000000" w:themeColor="text1"/>
        </w:rPr>
        <w:t>likely</w:t>
      </w:r>
      <w:r w:rsidR="00120FBB" w:rsidRPr="00BD71A6">
        <w:rPr>
          <w:color w:val="000000" w:themeColor="text1"/>
        </w:rPr>
        <w:t xml:space="preserve"> to</w:t>
      </w:r>
      <w:r w:rsidR="00085224" w:rsidRPr="00BD71A6">
        <w:rPr>
          <w:color w:val="000000" w:themeColor="text1"/>
        </w:rPr>
        <w:t xml:space="preserve"> </w:t>
      </w:r>
      <w:r w:rsidR="00120FBB" w:rsidRPr="00BD71A6">
        <w:rPr>
          <w:color w:val="000000" w:themeColor="text1"/>
        </w:rPr>
        <w:t xml:space="preserve">better </w:t>
      </w:r>
      <w:r w:rsidR="00085224" w:rsidRPr="00BD71A6">
        <w:rPr>
          <w:color w:val="000000" w:themeColor="text1"/>
        </w:rPr>
        <w:t>comply with</w:t>
      </w:r>
      <w:r w:rsidR="005E74DE" w:rsidRPr="00BD71A6">
        <w:rPr>
          <w:color w:val="000000" w:themeColor="text1"/>
        </w:rPr>
        <w:t xml:space="preserve"> </w:t>
      </w:r>
      <w:r w:rsidR="00085224" w:rsidRPr="00BD71A6">
        <w:rPr>
          <w:color w:val="000000" w:themeColor="text1"/>
        </w:rPr>
        <w:t>sublingual</w:t>
      </w:r>
      <w:r w:rsidR="00120FBB" w:rsidRPr="00BD71A6">
        <w:rPr>
          <w:color w:val="000000" w:themeColor="text1"/>
        </w:rPr>
        <w:t xml:space="preserve"> </w:t>
      </w:r>
      <w:r w:rsidR="005E74DE" w:rsidRPr="00BD71A6">
        <w:rPr>
          <w:color w:val="000000" w:themeColor="text1"/>
        </w:rPr>
        <w:t>administ</w:t>
      </w:r>
      <w:r w:rsidR="006E0428">
        <w:rPr>
          <w:color w:val="000000" w:themeColor="text1"/>
        </w:rPr>
        <w:t>ration</w:t>
      </w:r>
      <w:r w:rsidR="00085224" w:rsidRPr="00BD71A6">
        <w:rPr>
          <w:color w:val="000000" w:themeColor="text1"/>
        </w:rPr>
        <w:t>.</w:t>
      </w:r>
      <w:r w:rsidR="00085224" w:rsidRPr="005A669A">
        <w:rPr>
          <w:rStyle w:val="FootnoteReference"/>
        </w:rPr>
        <w:footnoteReference w:id="484"/>
      </w:r>
      <w:r w:rsidR="006E0428" w:rsidRPr="00BD71A6">
        <w:rPr>
          <w:rStyle w:val="CommentReference"/>
          <w:color w:val="000000" w:themeColor="text1"/>
        </w:rPr>
        <w:t xml:space="preserve"> </w:t>
      </w:r>
    </w:p>
    <w:p w14:paraId="534A379B" w14:textId="02185FAB" w:rsidR="00013C1F" w:rsidRPr="00065001" w:rsidRDefault="00013C1F" w:rsidP="00136E52">
      <w:pPr>
        <w:pStyle w:val="Heading4"/>
      </w:pPr>
      <w:bookmarkStart w:id="56" w:name="_Toc26792778"/>
      <w:r w:rsidRPr="007F38C2">
        <w:rPr>
          <w:i/>
        </w:rPr>
        <w:t>Realtime Data, LLC v. Iancu</w:t>
      </w:r>
      <w:r w:rsidRPr="00013C1F">
        <w:t>, 912 F.3d 1368 (</w:t>
      </w:r>
      <w:r>
        <w:t xml:space="preserve">Fed. Cir. Jan. 10, </w:t>
      </w:r>
      <w:r w:rsidRPr="00013C1F">
        <w:t>2019)</w:t>
      </w:r>
      <w:bookmarkEnd w:id="56"/>
    </w:p>
    <w:p w14:paraId="4DB9CF37" w14:textId="759A7EF0" w:rsidR="00013C1F" w:rsidRDefault="00013C1F" w:rsidP="00013C1F">
      <w:r>
        <w:tab/>
      </w:r>
      <w:r w:rsidR="00CD3F45">
        <w:t>In this appeal from the Patent Trial</w:t>
      </w:r>
      <w:r w:rsidR="00CA2E24">
        <w:t xml:space="preserve"> and</w:t>
      </w:r>
      <w:r w:rsidR="00CD3F45">
        <w:t xml:space="preserve"> Appeal</w:t>
      </w:r>
      <w:r w:rsidR="00CA2E24">
        <w:t xml:space="preserve"> Board (PTAB), the Federal Cir</w:t>
      </w:r>
      <w:r w:rsidR="00BD15D2">
        <w:t>c</w:t>
      </w:r>
      <w:r w:rsidR="00CA2E24">
        <w:t xml:space="preserve">uit affirmed </w:t>
      </w:r>
      <w:r w:rsidR="00F14D94">
        <w:t>a finding of obviousness</w:t>
      </w:r>
      <w:r w:rsidR="00C668BB">
        <w:t xml:space="preserve"> under § 103</w:t>
      </w:r>
      <w:r w:rsidR="00B226DA">
        <w:t xml:space="preserve"> where </w:t>
      </w:r>
      <w:r w:rsidR="009764E3">
        <w:t>one of two offered</w:t>
      </w:r>
      <w:r w:rsidR="00F14D94">
        <w:t xml:space="preserve"> reference</w:t>
      </w:r>
      <w:r w:rsidR="009764E3">
        <w:t>s</w:t>
      </w:r>
      <w:r w:rsidR="00F14D94">
        <w:t xml:space="preserve"> </w:t>
      </w:r>
      <w:r w:rsidR="00B226DA">
        <w:t>anticipated</w:t>
      </w:r>
      <w:r w:rsidR="00C668BB">
        <w:t xml:space="preserve"> every element, holding </w:t>
      </w:r>
      <w:r w:rsidR="009764E3">
        <w:t>that in this context</w:t>
      </w:r>
      <w:r w:rsidR="003051FA">
        <w:t xml:space="preserve"> the PTAB</w:t>
      </w:r>
      <w:r w:rsidR="009161E2">
        <w:t xml:space="preserve"> “</w:t>
      </w:r>
      <w:r w:rsidR="005045C4" w:rsidRPr="005045C4">
        <w:t>was not required to make any finding regarding a motivation to combine</w:t>
      </w:r>
      <w:r w:rsidR="009161E2">
        <w:t> . . . .</w:t>
      </w:r>
      <w:r w:rsidR="005045C4">
        <w:t>”</w:t>
      </w:r>
      <w:r w:rsidR="00500FA2">
        <w:t xml:space="preserve"> where only one reference was required.</w:t>
      </w:r>
      <w:r w:rsidRPr="005A669A">
        <w:rPr>
          <w:rStyle w:val="FootnoteReference"/>
        </w:rPr>
        <w:footnoteReference w:id="485"/>
      </w:r>
    </w:p>
    <w:p w14:paraId="488AACEF" w14:textId="3E00A021" w:rsidR="00B27736" w:rsidRDefault="00CA2E24" w:rsidP="00D12BCD">
      <w:r>
        <w:tab/>
      </w:r>
      <w:r w:rsidR="00C668BB">
        <w:t xml:space="preserve">The matter concerned Realtime’s ’892, which discloses </w:t>
      </w:r>
      <w:r w:rsidR="009161E2">
        <w:t>a system</w:t>
      </w:r>
      <w:r w:rsidR="00C668BB">
        <w:t xml:space="preserve"> of lossless data compression using a “dictionary.”</w:t>
      </w:r>
      <w:r w:rsidR="00C668BB" w:rsidRPr="005A669A">
        <w:rPr>
          <w:rStyle w:val="FootnoteReference"/>
        </w:rPr>
        <w:footnoteReference w:id="486"/>
      </w:r>
      <w:r w:rsidR="00C668BB">
        <w:t xml:space="preserve"> </w:t>
      </w:r>
      <w:r w:rsidR="009161E2">
        <w:t>In that system, a</w:t>
      </w:r>
      <w:r w:rsidR="008E528A">
        <w:t xml:space="preserve"> given string can be defined by another</w:t>
      </w:r>
      <w:r w:rsidR="009161E2">
        <w:t xml:space="preserve"> </w:t>
      </w:r>
      <w:r w:rsidR="008E528A">
        <w:t xml:space="preserve">shorter string in </w:t>
      </w:r>
      <w:r w:rsidR="009161E2">
        <w:t>a “</w:t>
      </w:r>
      <w:r w:rsidR="008E528A">
        <w:t>dictionary</w:t>
      </w:r>
      <w:r w:rsidR="009161E2">
        <w:t>”;</w:t>
      </w:r>
      <w:r w:rsidR="008E528A">
        <w:t xml:space="preserve"> when compressing, any time th</w:t>
      </w:r>
      <w:r w:rsidR="00EF5533">
        <w:t xml:space="preserve">e given </w:t>
      </w:r>
      <w:r w:rsidR="008E528A">
        <w:t xml:space="preserve">string appears in </w:t>
      </w:r>
      <w:r w:rsidR="00801909">
        <w:t>the</w:t>
      </w:r>
      <w:r w:rsidR="008E528A">
        <w:t xml:space="preserve"> input it </w:t>
      </w:r>
      <w:r w:rsidR="00801909">
        <w:t>is</w:t>
      </w:r>
      <w:r w:rsidR="008E528A">
        <w:t xml:space="preserve"> replaced by the shorter string</w:t>
      </w:r>
      <w:r w:rsidR="006772C9">
        <w:t xml:space="preserve"> from the dictionary (which can be defined as the compression occurs)</w:t>
      </w:r>
      <w:r w:rsidR="009161E2">
        <w:t xml:space="preserve">; when decompressing, </w:t>
      </w:r>
      <w:r w:rsidR="008E528A">
        <w:t>the reverse occurs.</w:t>
      </w:r>
      <w:r w:rsidR="008E528A" w:rsidRPr="005A669A">
        <w:rPr>
          <w:rStyle w:val="FootnoteReference"/>
        </w:rPr>
        <w:footnoteReference w:id="487"/>
      </w:r>
      <w:r w:rsidR="008E528A">
        <w:t xml:space="preserve"> </w:t>
      </w:r>
      <w:r w:rsidR="00613F14">
        <w:t xml:space="preserve">HP petitioned for </w:t>
      </w:r>
      <w:r w:rsidR="00613F14">
        <w:rPr>
          <w:i/>
        </w:rPr>
        <w:t xml:space="preserve">inter partes </w:t>
      </w:r>
      <w:r w:rsidR="00613F14">
        <w:t xml:space="preserve">review (IPR), </w:t>
      </w:r>
      <w:r w:rsidR="009161E2">
        <w:t>alleging</w:t>
      </w:r>
      <w:r w:rsidR="00613F14">
        <w:t xml:space="preserve"> that several of the ’892 claims were obvious over O’Brien in view of</w:t>
      </w:r>
      <w:r w:rsidR="00EF5533">
        <w:t xml:space="preserve"> </w:t>
      </w:r>
      <w:r w:rsidR="00613F14">
        <w:t>Nelson</w:t>
      </w:r>
      <w:r w:rsidR="00EF5533">
        <w:t xml:space="preserve"> </w:t>
      </w:r>
      <w:r w:rsidR="00613F14">
        <w:t xml:space="preserve">(and that other claims, not contested on appeal, were obvious </w:t>
      </w:r>
      <w:r w:rsidR="00EF5533">
        <w:t>in further view of</w:t>
      </w:r>
      <w:r w:rsidR="00613F14">
        <w:t xml:space="preserve"> Welch).</w:t>
      </w:r>
      <w:r w:rsidR="00613F14" w:rsidRPr="005A669A">
        <w:rPr>
          <w:rStyle w:val="FootnoteReference"/>
        </w:rPr>
        <w:footnoteReference w:id="488"/>
      </w:r>
      <w:r w:rsidR="00613F14">
        <w:t xml:space="preserve"> </w:t>
      </w:r>
      <w:r w:rsidR="00EF5533">
        <w:t xml:space="preserve"> The parties focused on the element “maintaining a dictionary.” </w:t>
      </w:r>
      <w:r w:rsidR="00D12BCD">
        <w:t>“</w:t>
      </w:r>
      <w:r w:rsidR="00D12BCD" w:rsidRPr="00501577">
        <w:t>HP</w:t>
      </w:r>
      <w:r w:rsidR="00D12BCD">
        <w:t xml:space="preserve"> </w:t>
      </w:r>
      <w:r w:rsidR="00D12BCD" w:rsidRPr="00501577">
        <w:t>relied</w:t>
      </w:r>
      <w:r w:rsidR="00D12BCD">
        <w:t xml:space="preserve"> </w:t>
      </w:r>
      <w:r w:rsidR="00D12BCD" w:rsidRPr="00501577">
        <w:t>on</w:t>
      </w:r>
      <w:r w:rsidR="00D12BCD">
        <w:t xml:space="preserve"> </w:t>
      </w:r>
      <w:r w:rsidR="00D12BCD" w:rsidRPr="00501577">
        <w:t>Nelson</w:t>
      </w:r>
      <w:r w:rsidR="006772C9">
        <w:t xml:space="preserve"> </w:t>
      </w:r>
      <w:r w:rsidR="00D12BCD" w:rsidRPr="00501577">
        <w:t>simply</w:t>
      </w:r>
      <w:r w:rsidR="00D12BCD">
        <w:t xml:space="preserve"> </w:t>
      </w:r>
      <w:r w:rsidR="00D12BCD" w:rsidRPr="00501577">
        <w:t>to</w:t>
      </w:r>
      <w:r w:rsidR="00D12BCD">
        <w:t xml:space="preserve"> </w:t>
      </w:r>
      <w:r w:rsidR="00D12BCD" w:rsidRPr="00501577">
        <w:t>demonstrate</w:t>
      </w:r>
      <w:r w:rsidR="00D12BCD">
        <w:t xml:space="preserve"> </w:t>
      </w:r>
      <w:r w:rsidR="00D12BCD" w:rsidRPr="00501577">
        <w:t>that</w:t>
      </w:r>
      <w:r w:rsidR="00D12BCD">
        <w:t xml:space="preserve"> . . . </w:t>
      </w:r>
      <w:r w:rsidR="00D12BCD" w:rsidRPr="00501577">
        <w:t>the string compression disclosed in O'Brien was, in fact, a type of dictionary encoder</w:t>
      </w:r>
      <w:r w:rsidR="00036553">
        <w:t>,” and “</w:t>
      </w:r>
      <w:r w:rsidR="00D12BCD" w:rsidRPr="00501577">
        <w:t xml:space="preserve">argued </w:t>
      </w:r>
      <w:r w:rsidR="00D12BCD" w:rsidRPr="00501577">
        <w:rPr>
          <w:i/>
          <w:iCs/>
        </w:rPr>
        <w:t xml:space="preserve">in the alternative </w:t>
      </w:r>
      <w:r w:rsidR="00D12BCD" w:rsidRPr="00501577">
        <w:t>that Nelson disclosed some of the elements in the claims at issue.</w:t>
      </w:r>
      <w:r w:rsidR="00D12BCD">
        <w:t>”</w:t>
      </w:r>
      <w:r w:rsidR="00D12BCD" w:rsidRPr="005A669A">
        <w:rPr>
          <w:rStyle w:val="FootnoteReference"/>
        </w:rPr>
        <w:footnoteReference w:id="489"/>
      </w:r>
      <w:r w:rsidR="00036553">
        <w:t xml:space="preserve"> </w:t>
      </w:r>
      <w:r w:rsidR="00E31BC1">
        <w:t xml:space="preserve">But </w:t>
      </w:r>
      <w:r w:rsidR="00036553">
        <w:t>Realtime conceded that O’Brien disclosed a dictionary encoder</w:t>
      </w:r>
      <w:r w:rsidR="00896607">
        <w:t>.</w:t>
      </w:r>
      <w:r w:rsidR="00896607" w:rsidRPr="005A669A">
        <w:rPr>
          <w:rStyle w:val="FootnoteReference"/>
        </w:rPr>
        <w:footnoteReference w:id="490"/>
      </w:r>
      <w:r w:rsidR="00BF4A05">
        <w:t xml:space="preserve"> </w:t>
      </w:r>
      <w:r w:rsidR="00E31BC1">
        <w:t>F</w:t>
      </w:r>
      <w:r w:rsidR="00B27736">
        <w:t xml:space="preserve">inding </w:t>
      </w:r>
      <w:r w:rsidR="00E31BC1">
        <w:t xml:space="preserve">this and </w:t>
      </w:r>
      <w:r w:rsidR="00B27736">
        <w:t xml:space="preserve">all other elements </w:t>
      </w:r>
      <w:r w:rsidR="00E31BC1">
        <w:t xml:space="preserve">therefore </w:t>
      </w:r>
      <w:r w:rsidR="00B27736">
        <w:t>present in O’Brien, the PTAB found the ’892 patent obvious over O’Brien alone.</w:t>
      </w:r>
      <w:r w:rsidR="00B27736" w:rsidRPr="005A669A">
        <w:rPr>
          <w:rStyle w:val="FootnoteReference"/>
        </w:rPr>
        <w:footnoteReference w:id="491"/>
      </w:r>
    </w:p>
    <w:p w14:paraId="246A3CFC" w14:textId="77777777" w:rsidR="00DC1417" w:rsidRDefault="00B27736" w:rsidP="0069268C">
      <w:r>
        <w:tab/>
        <w:t xml:space="preserve">On appeal, the Federal Circuit affirmed. “[A] disclosure that anticipates under § 102 also renders the claim invalid under § 103, for ‘anticipation is the epitome of </w:t>
      </w:r>
      <w:r>
        <w:lastRenderedPageBreak/>
        <w:t>obviousness.’”</w:t>
      </w:r>
      <w:r w:rsidRPr="005A669A">
        <w:rPr>
          <w:rStyle w:val="FootnoteReference"/>
        </w:rPr>
        <w:footnoteReference w:id="492"/>
      </w:r>
      <w:r w:rsidR="003F6278">
        <w:t xml:space="preserve"> </w:t>
      </w:r>
      <w:r w:rsidR="00DC1417">
        <w:t>Here</w:t>
      </w:r>
      <w:r w:rsidR="003F6278">
        <w:t>, as O’Brien anticipated every element</w:t>
      </w:r>
      <w:r w:rsidR="00375F32">
        <w:t xml:space="preserve"> of</w:t>
      </w:r>
      <w:r w:rsidR="00E31BC1">
        <w:t xml:space="preserve"> the </w:t>
      </w:r>
      <w:r w:rsidR="00375F32">
        <w:t>’892 claims</w:t>
      </w:r>
      <w:r w:rsidR="003F6278">
        <w:t xml:space="preserve">, the PTAB </w:t>
      </w:r>
      <w:r w:rsidR="00E31BC1">
        <w:t>rightly</w:t>
      </w:r>
      <w:r w:rsidR="003F6278">
        <w:t xml:space="preserve"> found </w:t>
      </w:r>
      <w:r w:rsidR="00375F32">
        <w:t>those claims obvious over O’Brien.</w:t>
      </w:r>
      <w:r w:rsidR="009B285C" w:rsidRPr="005A669A">
        <w:rPr>
          <w:rStyle w:val="FootnoteReference"/>
        </w:rPr>
        <w:footnoteReference w:id="493"/>
      </w:r>
      <w:r w:rsidR="00375F32">
        <w:t xml:space="preserve"> </w:t>
      </w:r>
      <w:r w:rsidR="009B285C">
        <w:t>M</w:t>
      </w:r>
      <w:r w:rsidR="00375F32">
        <w:t xml:space="preserve">oreover, </w:t>
      </w:r>
      <w:r w:rsidR="009B285C">
        <w:t>“t</w:t>
      </w:r>
      <w:r w:rsidR="009B285C" w:rsidRPr="009B285C">
        <w:t>he Board was not required to make any finding regarding a motivation to combin</w:t>
      </w:r>
      <w:r w:rsidR="004315DE">
        <w:t>e</w:t>
      </w:r>
      <w:r w:rsidR="009B285C">
        <w:t>”</w:t>
      </w:r>
      <w:r w:rsidR="004315DE">
        <w:t xml:space="preserve"> O’Brien with Nelson.</w:t>
      </w:r>
      <w:r w:rsidR="009B285C" w:rsidRPr="005A669A">
        <w:rPr>
          <w:rStyle w:val="FootnoteReference"/>
        </w:rPr>
        <w:footnoteReference w:id="494"/>
      </w:r>
      <w:r w:rsidR="009B285C" w:rsidRPr="009B285C">
        <w:t xml:space="preserve"> </w:t>
      </w:r>
      <w:r w:rsidR="009B285C">
        <w:t xml:space="preserve">While normally </w:t>
      </w:r>
      <w:r w:rsidR="00DC1417">
        <w:t xml:space="preserve">a motivation to combine is </w:t>
      </w:r>
      <w:r w:rsidR="009B285C">
        <w:t>required where multiple references are raised to show obviousness,</w:t>
      </w:r>
      <w:r w:rsidR="009B285C" w:rsidRPr="005A669A">
        <w:rPr>
          <w:rStyle w:val="FootnoteReference"/>
        </w:rPr>
        <w:footnoteReference w:id="495"/>
      </w:r>
      <w:r w:rsidR="009B285C">
        <w:t xml:space="preserve"> here the</w:t>
      </w:r>
      <w:r w:rsidR="00375F32">
        <w:t xml:space="preserve"> Nelson reference was raised to support a point</w:t>
      </w:r>
      <w:r w:rsidR="004315DE">
        <w:t xml:space="preserve"> that</w:t>
      </w:r>
      <w:r w:rsidR="00375F32">
        <w:t xml:space="preserve"> Realtime conceded</w:t>
      </w:r>
      <w:r w:rsidR="004315DE">
        <w:t xml:space="preserve"> </w:t>
      </w:r>
      <w:r w:rsidR="00DC1417">
        <w:t>(</w:t>
      </w:r>
      <w:r w:rsidR="004315DE">
        <w:t xml:space="preserve">and </w:t>
      </w:r>
      <w:r w:rsidR="00DC1417">
        <w:t xml:space="preserve">otherwise </w:t>
      </w:r>
      <w:r w:rsidR="004315DE">
        <w:t xml:space="preserve">to argue in the alternative, </w:t>
      </w:r>
      <w:r w:rsidR="00DC1417">
        <w:t>as</w:t>
      </w:r>
      <w:r w:rsidR="004315DE">
        <w:t xml:space="preserve"> proved unnecessary</w:t>
      </w:r>
      <w:r w:rsidR="00DC1417">
        <w:t>)</w:t>
      </w:r>
      <w:r w:rsidR="009B285C">
        <w:t>.</w:t>
      </w:r>
      <w:r w:rsidR="009B285C" w:rsidRPr="005A669A">
        <w:rPr>
          <w:rStyle w:val="FootnoteReference"/>
        </w:rPr>
        <w:footnoteReference w:id="496"/>
      </w:r>
      <w:r w:rsidR="009B285C">
        <w:t xml:space="preserve"> </w:t>
      </w:r>
    </w:p>
    <w:p w14:paraId="675769CE" w14:textId="52C7E5B0" w:rsidR="00BD15D2" w:rsidRPr="00013C1F" w:rsidRDefault="00DC1417" w:rsidP="00DC1417">
      <w:pPr>
        <w:ind w:firstLine="720"/>
      </w:pPr>
      <w:r>
        <w:t>For good measure, the court noted that</w:t>
      </w:r>
      <w:r w:rsidR="009B285C">
        <w:t>, h</w:t>
      </w:r>
      <w:r w:rsidR="00BD15D2">
        <w:t xml:space="preserve">ad </w:t>
      </w:r>
      <w:r w:rsidR="009B285C">
        <w:t>both references been necessary,</w:t>
      </w:r>
      <w:r w:rsidR="00BD15D2">
        <w:t xml:space="preserve"> a motivation to combine</w:t>
      </w:r>
      <w:r w:rsidR="009B285C">
        <w:t xml:space="preserve"> </w:t>
      </w:r>
      <w:r w:rsidR="004315DE">
        <w:t>existed here</w:t>
      </w:r>
      <w:r w:rsidR="00BD15D2">
        <w:t>.</w:t>
      </w:r>
      <w:r w:rsidR="00BD15D2" w:rsidRPr="005A669A">
        <w:rPr>
          <w:rStyle w:val="FootnoteReference"/>
        </w:rPr>
        <w:footnoteReference w:id="497"/>
      </w:r>
    </w:p>
    <w:p w14:paraId="5E70D235" w14:textId="6BAF533C" w:rsidR="00635356" w:rsidRPr="007A280D" w:rsidRDefault="00635356" w:rsidP="00F75928">
      <w:pPr>
        <w:ind w:firstLine="720"/>
      </w:pPr>
      <w:bookmarkStart w:id="57" w:name="_Toc526093284"/>
      <w:bookmarkStart w:id="58" w:name="_Toc516586559"/>
      <w:bookmarkEnd w:id="48"/>
      <w:bookmarkEnd w:id="49"/>
    </w:p>
    <w:bookmarkEnd w:id="57"/>
    <w:bookmarkEnd w:id="58"/>
    <w:p w14:paraId="4F71188F" w14:textId="16662EBC" w:rsidR="005625DA" w:rsidRPr="00677ABE" w:rsidRDefault="005625DA" w:rsidP="001E4F82">
      <w:pPr>
        <w:outlineLvl w:val="0"/>
        <w:rPr>
          <w:rFonts w:eastAsiaTheme="majorEastAsia" w:cs="Times New Roman"/>
          <w:b/>
          <w:bCs/>
        </w:rPr>
      </w:pPr>
      <w:r w:rsidRPr="00677ABE">
        <w:rPr>
          <w:rFonts w:cs="Times New Roman"/>
        </w:rPr>
        <w:br w:type="page"/>
      </w:r>
    </w:p>
    <w:p w14:paraId="0FC11937" w14:textId="77777777" w:rsidR="00F20B84" w:rsidRDefault="000060D2" w:rsidP="00CA2C0A">
      <w:pPr>
        <w:pStyle w:val="Heading1"/>
        <w:rPr>
          <w:rFonts w:cs="Times New Roman"/>
          <w:szCs w:val="24"/>
        </w:rPr>
      </w:pPr>
      <w:bookmarkStart w:id="59" w:name="_Toc26792779"/>
      <w:r w:rsidRPr="00677ABE">
        <w:rPr>
          <w:rFonts w:cs="Times New Roman"/>
          <w:szCs w:val="24"/>
        </w:rPr>
        <w:lastRenderedPageBreak/>
        <w:t>CLAIM CONSTRUCTION</w:t>
      </w:r>
      <w:bookmarkEnd w:id="59"/>
    </w:p>
    <w:p w14:paraId="26E7502F" w14:textId="6829709A" w:rsidR="00D67589" w:rsidRDefault="00D67589" w:rsidP="00D67589">
      <w:pPr>
        <w:pStyle w:val="Heading4"/>
      </w:pPr>
      <w:bookmarkStart w:id="60" w:name="_Toc26792780"/>
      <w:r w:rsidRPr="00D67589">
        <w:rPr>
          <w:i/>
          <w:iCs/>
        </w:rPr>
        <w:t>MTD Pro</w:t>
      </w:r>
      <w:r w:rsidR="00E364EC">
        <w:rPr>
          <w:i/>
          <w:iCs/>
        </w:rPr>
        <w:t>d</w:t>
      </w:r>
      <w:r w:rsidR="006E6C01">
        <w:rPr>
          <w:i/>
          <w:iCs/>
        </w:rPr>
        <w:t>.</w:t>
      </w:r>
      <w:r w:rsidRPr="00D67589">
        <w:rPr>
          <w:i/>
          <w:iCs/>
        </w:rPr>
        <w:t xml:space="preserve"> Inc. v. Iancu</w:t>
      </w:r>
      <w:r w:rsidRPr="00D67589">
        <w:t>, 933 F.3d 1336 (Fed. Cir.</w:t>
      </w:r>
      <w:r>
        <w:t xml:space="preserve"> August 12,</w:t>
      </w:r>
      <w:r w:rsidRPr="00D67589">
        <w:t xml:space="preserve"> 2019)</w:t>
      </w:r>
      <w:bookmarkEnd w:id="60"/>
    </w:p>
    <w:p w14:paraId="5F956A1B" w14:textId="66C24E19" w:rsidR="00D67589" w:rsidRDefault="00D67589" w:rsidP="00D67589">
      <w:r w:rsidRPr="00D67589">
        <w:t xml:space="preserve"> </w:t>
      </w:r>
      <w:r>
        <w:tab/>
        <w:t>In this appeal from the Patent Trial and Appeal Board (“PTAB”), the Federal Circuit vacated and remanded</w:t>
      </w:r>
      <w:r w:rsidR="00E364EC">
        <w:t xml:space="preserve"> an obviousness finding because the PTAB misinterpreted a means-plus-function term in the claim.</w:t>
      </w:r>
      <w:r w:rsidR="00E364EC">
        <w:rPr>
          <w:rStyle w:val="FootnoteReference"/>
        </w:rPr>
        <w:footnoteReference w:id="498"/>
      </w:r>
    </w:p>
    <w:p w14:paraId="473AF49E" w14:textId="69D167EF" w:rsidR="00E364EC" w:rsidRDefault="00E364EC" w:rsidP="00D67589">
      <w:r>
        <w:tab/>
        <w:t>MTD’s ‘458 patent claimed a “steering and driving system for zero turn radius (“ZTR”</w:t>
      </w:r>
      <w:r w:rsidR="00BB4E7A">
        <w:t>)</w:t>
      </w:r>
      <w:r>
        <w:t xml:space="preserve"> vehicles.</w:t>
      </w:r>
      <w:r>
        <w:rPr>
          <w:rStyle w:val="FootnoteReference"/>
        </w:rPr>
        <w:footnoteReference w:id="499"/>
      </w:r>
      <w:r>
        <w:t xml:space="preserve"> Independent claims of the patent used the term “mechanical control assembly.”</w:t>
      </w:r>
      <w:r>
        <w:rPr>
          <w:rStyle w:val="FootnoteReference"/>
        </w:rPr>
        <w:footnoteReference w:id="500"/>
      </w:r>
      <w:r>
        <w:t xml:space="preserve"> In </w:t>
      </w:r>
      <w:r>
        <w:rPr>
          <w:i/>
          <w:iCs/>
        </w:rPr>
        <w:t xml:space="preserve">inter partes </w:t>
      </w:r>
      <w:r>
        <w:t xml:space="preserve">review (“IPR”), MTD argued “mechanical control assembly” was a means-plus-function term </w:t>
      </w:r>
      <w:r w:rsidR="00BB4E7A">
        <w:t>that was not commonly used and did not represent any specifics structure for someone ordinarily skilled in the art.</w:t>
      </w:r>
      <w:r w:rsidR="00BB4E7A">
        <w:rPr>
          <w:rStyle w:val="FootnoteReference"/>
        </w:rPr>
        <w:footnoteReference w:id="501"/>
      </w:r>
      <w:r w:rsidR="00BB4E7A">
        <w:t xml:space="preserve"> However, the PTAB concluded “mechanical control assembly” did denote structure in the context of the ‘458 patent because the specification described the structure of the ZTR assembly.</w:t>
      </w:r>
      <w:r w:rsidR="00BB4E7A">
        <w:rPr>
          <w:rStyle w:val="FootnoteReference"/>
        </w:rPr>
        <w:footnoteReference w:id="502"/>
      </w:r>
      <w:r w:rsidR="00BB4E7A">
        <w:t xml:space="preserve"> The PTAB was </w:t>
      </w:r>
      <w:r w:rsidR="004E6DBC">
        <w:t>particularly persuaded by the patent’s prosecution history, in which MTD “asserted the claims recite ‘a mechanical control assembly that is structurally different from what [the asserted prior art] discloses.’”</w:t>
      </w:r>
      <w:r w:rsidR="004E6DBC">
        <w:rPr>
          <w:rStyle w:val="FootnoteReference"/>
        </w:rPr>
        <w:footnoteReference w:id="503"/>
      </w:r>
      <w:r w:rsidR="004E6DBC">
        <w:t xml:space="preserve"> The PTAB construed “mechanical control assembly” as a structural limitation and then found the patent invalid for being obvious.</w:t>
      </w:r>
      <w:r w:rsidR="004E6DBC">
        <w:rPr>
          <w:rStyle w:val="FootnoteReference"/>
        </w:rPr>
        <w:footnoteReference w:id="504"/>
      </w:r>
      <w:r w:rsidR="004E6DBC">
        <w:t xml:space="preserve"> </w:t>
      </w:r>
    </w:p>
    <w:p w14:paraId="218D3E0D" w14:textId="55639429" w:rsidR="004E6DBC" w:rsidRPr="0033193D" w:rsidRDefault="004E6DBC" w:rsidP="0033193D">
      <w:r>
        <w:tab/>
        <w:t>On appeal, the Federal Circuit</w:t>
      </w:r>
      <w:r w:rsidR="00D81D59">
        <w:t xml:space="preserve"> vacated and remanded.</w:t>
      </w:r>
      <w:r w:rsidR="00D81D59">
        <w:rPr>
          <w:rStyle w:val="FootnoteReference"/>
        </w:rPr>
        <w:footnoteReference w:id="505"/>
      </w:r>
      <w:r w:rsidR="00D81D59">
        <w:t xml:space="preserve"> The court disagreed with the PTAB, concluding </w:t>
      </w:r>
      <w:r w:rsidR="00AD2640">
        <w:t>the “</w:t>
      </w:r>
      <w:r w:rsidR="00AD2640">
        <w:rPr>
          <w:rStyle w:val="ssleftalign"/>
        </w:rPr>
        <w:t xml:space="preserve">specification does not demonstrate that the patentee intended to act as its own lexicographer and define the nonce term ‘mechanical control assembly’ as the ‘ZTR control assembly’ of the preferred embodiment.” </w:t>
      </w:r>
      <w:r w:rsidR="00AD2640">
        <w:rPr>
          <w:rStyle w:val="FootnoteReference"/>
        </w:rPr>
        <w:footnoteReference w:id="506"/>
      </w:r>
      <w:r w:rsidR="00D81D59">
        <w:t xml:space="preserve"> </w:t>
      </w:r>
      <w:r w:rsidR="00AD2640">
        <w:t>The court also disagreed that MTD’s statements in the prosecution history disclaimed a “means-plus-function” interpretation.</w:t>
      </w:r>
      <w:r w:rsidR="00AD2640">
        <w:rPr>
          <w:rStyle w:val="FootnoteReference"/>
        </w:rPr>
        <w:footnoteReference w:id="507"/>
      </w:r>
      <w:r w:rsidR="00AD2640">
        <w:t xml:space="preserve"> MTD did not make those statements in the context of </w:t>
      </w:r>
      <w:r w:rsidR="00AD2640" w:rsidRPr="00AD2640">
        <w:t>§ 112</w:t>
      </w:r>
      <w:r w:rsidR="0094521C">
        <w:t>.</w:t>
      </w:r>
      <w:r w:rsidR="0094521C">
        <w:rPr>
          <w:rStyle w:val="FootnoteReference"/>
        </w:rPr>
        <w:footnoteReference w:id="508"/>
      </w:r>
      <w:r w:rsidR="00AD2640">
        <w:t xml:space="preserve"> “</w:t>
      </w:r>
      <w:r w:rsidR="0094521C">
        <w:t xml:space="preserve">Moreover, </w:t>
      </w:r>
      <w:r w:rsidR="00AD2640" w:rsidRPr="00AD2640">
        <w:t xml:space="preserve">stating that the limitation connotes structure and has weight is not inconsistent with claiming in means-plus-function format since means-plus-function limitations connote structure </w:t>
      </w:r>
      <w:r w:rsidR="00AD2640">
        <w:t xml:space="preserve">… </w:t>
      </w:r>
      <w:r w:rsidR="00AD2640" w:rsidRPr="00AD2640">
        <w:t>and have weight.</w:t>
      </w:r>
      <w:r w:rsidR="00AD2640">
        <w:t>”</w:t>
      </w:r>
      <w:r w:rsidR="0094521C">
        <w:rPr>
          <w:rStyle w:val="FootnoteReference"/>
        </w:rPr>
        <w:footnoteReference w:id="509"/>
      </w:r>
    </w:p>
    <w:p w14:paraId="468CA3E4" w14:textId="22F9BF99" w:rsidR="005858E7" w:rsidRDefault="005858E7" w:rsidP="00FC7A79">
      <w:pPr>
        <w:pStyle w:val="Heading4"/>
        <w:rPr>
          <w:iCs/>
        </w:rPr>
      </w:pPr>
      <w:bookmarkStart w:id="61" w:name="_Toc26792781"/>
      <w:r w:rsidRPr="005858E7">
        <w:rPr>
          <w:i/>
        </w:rPr>
        <w:lastRenderedPageBreak/>
        <w:t xml:space="preserve">Ajinomoto Co. v. ITC, </w:t>
      </w:r>
      <w:r w:rsidRPr="0033193D">
        <w:rPr>
          <w:iCs/>
        </w:rPr>
        <w:t xml:space="preserve">932 F.3d 1342 (Fed. Cir. </w:t>
      </w:r>
      <w:r>
        <w:rPr>
          <w:iCs/>
        </w:rPr>
        <w:t xml:space="preserve">August 6, </w:t>
      </w:r>
      <w:r w:rsidRPr="0033193D">
        <w:rPr>
          <w:iCs/>
        </w:rPr>
        <w:t>2019)</w:t>
      </w:r>
      <w:bookmarkEnd w:id="61"/>
    </w:p>
    <w:p w14:paraId="62380C99" w14:textId="41B55ECE" w:rsidR="005858E7" w:rsidRDefault="005858E7" w:rsidP="005858E7">
      <w:r>
        <w:tab/>
        <w:t xml:space="preserve">In a </w:t>
      </w:r>
      <w:r>
        <w:rPr>
          <w:i/>
          <w:iCs/>
        </w:rPr>
        <w:t>de novo</w:t>
      </w:r>
      <w:r>
        <w:t xml:space="preserve"> review of an International Trade Commission (“ITC”) patent infringement decision, the Federal Circuit</w:t>
      </w:r>
      <w:r w:rsidR="009003ED">
        <w:t xml:space="preserve"> </w:t>
      </w:r>
      <w:r>
        <w:t>affirmed</w:t>
      </w:r>
      <w:r w:rsidR="004856B2">
        <w:t xml:space="preserve"> both</w:t>
      </w:r>
      <w:r>
        <w:t xml:space="preserve"> the ITC’s construction of a disputed term</w:t>
      </w:r>
      <w:r w:rsidR="009003ED">
        <w:t xml:space="preserve"> and</w:t>
      </w:r>
      <w:r w:rsidR="004856B2">
        <w:t xml:space="preserve"> that the claim was valid</w:t>
      </w:r>
      <w:r w:rsidR="009003ED">
        <w:t>.</w:t>
      </w:r>
      <w:r w:rsidR="009003ED">
        <w:rPr>
          <w:rStyle w:val="FootnoteReference"/>
        </w:rPr>
        <w:footnoteReference w:id="510"/>
      </w:r>
    </w:p>
    <w:p w14:paraId="7611CB56" w14:textId="77777777" w:rsidR="00265615" w:rsidRDefault="009003ED" w:rsidP="005858E7">
      <w:pPr>
        <w:rPr>
          <w:rStyle w:val="ssleftalign"/>
        </w:rPr>
      </w:pPr>
      <w:r>
        <w:tab/>
        <w:t>Ajinomoto’s ‘655 patent “</w:t>
      </w:r>
      <w:r>
        <w:rPr>
          <w:rStyle w:val="ssleftalign"/>
        </w:rPr>
        <w:t xml:space="preserve">claims </w:t>
      </w:r>
      <w:r w:rsidRPr="0033193D">
        <w:rPr>
          <w:rStyle w:val="ssit"/>
          <w:i/>
          <w:iCs/>
        </w:rPr>
        <w:t>E. coli</w:t>
      </w:r>
      <w:r>
        <w:rPr>
          <w:rStyle w:val="ssleftalign"/>
        </w:rPr>
        <w:t xml:space="preserve"> bacteria that have been genetically engineered to increase their production of aromatic L-amino acids, such as L-tryptophan, during fermentation, as well as methods of producing aromatic L-amino acids using such bacteria.”</w:t>
      </w:r>
      <w:r>
        <w:rPr>
          <w:rStyle w:val="FootnoteReference"/>
        </w:rPr>
        <w:footnoteReference w:id="511"/>
      </w:r>
      <w:r w:rsidR="00D36F0E">
        <w:rPr>
          <w:rStyle w:val="ssleftalign"/>
        </w:rPr>
        <w:t xml:space="preserve"> The patent involves increasing the activity of </w:t>
      </w:r>
      <w:r w:rsidR="00D36F0E" w:rsidRPr="0033193D">
        <w:rPr>
          <w:rStyle w:val="ssleftalign"/>
          <w:i/>
          <w:iCs/>
        </w:rPr>
        <w:t>E. coli</w:t>
      </w:r>
      <w:r w:rsidR="00D36F0E">
        <w:rPr>
          <w:rStyle w:val="ssleftalign"/>
        </w:rPr>
        <w:t xml:space="preserve">’s </w:t>
      </w:r>
      <w:r w:rsidR="00D36F0E" w:rsidRPr="00080809">
        <w:rPr>
          <w:rStyle w:val="ssleftalign"/>
        </w:rPr>
        <w:t>yddG</w:t>
      </w:r>
      <w:r w:rsidR="00D36F0E">
        <w:rPr>
          <w:rStyle w:val="ssleftalign"/>
        </w:rPr>
        <w:t xml:space="preserve"> gene, with</w:t>
      </w:r>
      <w:r>
        <w:rPr>
          <w:rStyle w:val="ssleftalign"/>
        </w:rPr>
        <w:t xml:space="preserve"> </w:t>
      </w:r>
      <w:r w:rsidR="00D36F0E">
        <w:rPr>
          <w:rStyle w:val="ssleftalign"/>
        </w:rPr>
        <w:t>t</w:t>
      </w:r>
      <w:r w:rsidR="00137ECD">
        <w:rPr>
          <w:rStyle w:val="ssleftalign"/>
        </w:rPr>
        <w:t xml:space="preserve">he </w:t>
      </w:r>
      <w:r w:rsidR="00B77ED8">
        <w:rPr>
          <w:rStyle w:val="ssleftalign"/>
        </w:rPr>
        <w:t xml:space="preserve">relevant </w:t>
      </w:r>
      <w:r w:rsidR="00137ECD">
        <w:rPr>
          <w:rStyle w:val="ssleftalign"/>
        </w:rPr>
        <w:t>claim recit</w:t>
      </w:r>
      <w:r w:rsidR="00D36F0E">
        <w:rPr>
          <w:rStyle w:val="ssleftalign"/>
        </w:rPr>
        <w:t>ing</w:t>
      </w:r>
      <w:r w:rsidR="00137ECD">
        <w:rPr>
          <w:rStyle w:val="ssleftalign"/>
        </w:rPr>
        <w:t xml:space="preserve"> “replacing the native promoter … with a more potent promoter.”</w:t>
      </w:r>
      <w:r w:rsidR="00137ECD">
        <w:rPr>
          <w:rStyle w:val="FootnoteReference"/>
        </w:rPr>
        <w:footnoteReference w:id="512"/>
      </w:r>
      <w:r w:rsidR="00137ECD">
        <w:rPr>
          <w:rStyle w:val="ssleftalign"/>
        </w:rPr>
        <w:t xml:space="preserve"> </w:t>
      </w:r>
    </w:p>
    <w:p w14:paraId="2BDED443" w14:textId="0F6E4952" w:rsidR="00D36F0E" w:rsidRDefault="00137ECD" w:rsidP="00265615">
      <w:pPr>
        <w:ind w:firstLine="720"/>
        <w:rPr>
          <w:rStyle w:val="ssleftalign"/>
        </w:rPr>
      </w:pPr>
      <w:r>
        <w:rPr>
          <w:rStyle w:val="ssleftalign"/>
        </w:rPr>
        <w:t xml:space="preserve">Ajinomoto filed a complaint against CJ CheilJedang (“CJ”) for using </w:t>
      </w:r>
      <w:r w:rsidRPr="0033193D">
        <w:rPr>
          <w:rStyle w:val="ssleftalign"/>
          <w:i/>
          <w:iCs/>
        </w:rPr>
        <w:t>E. coli</w:t>
      </w:r>
      <w:r>
        <w:rPr>
          <w:rStyle w:val="ssleftalign"/>
        </w:rPr>
        <w:t xml:space="preserve"> strains allegedly claimed in the ‘655 patent to produce L-tryptophan.</w:t>
      </w:r>
      <w:r>
        <w:rPr>
          <w:rStyle w:val="FootnoteReference"/>
        </w:rPr>
        <w:footnoteReference w:id="513"/>
      </w:r>
      <w:r>
        <w:rPr>
          <w:rStyle w:val="ssleftalign"/>
        </w:rPr>
        <w:t xml:space="preserve"> Th</w:t>
      </w:r>
      <w:r w:rsidR="00265615">
        <w:rPr>
          <w:rStyle w:val="ssleftalign"/>
        </w:rPr>
        <w:t>ese</w:t>
      </w:r>
      <w:r>
        <w:rPr>
          <w:rStyle w:val="ssleftalign"/>
        </w:rPr>
        <w:t xml:space="preserve"> strains included “earlier strains” that used the native </w:t>
      </w:r>
      <w:r w:rsidR="00D36F0E" w:rsidRPr="0033193D">
        <w:rPr>
          <w:rStyle w:val="ssleftalign"/>
        </w:rPr>
        <w:t>yddG</w:t>
      </w:r>
      <w:r w:rsidR="00D36F0E">
        <w:rPr>
          <w:rStyle w:val="ssleftalign"/>
        </w:rPr>
        <w:t xml:space="preserve"> promoter</w:t>
      </w:r>
      <w:r>
        <w:rPr>
          <w:rStyle w:val="ssleftalign"/>
        </w:rPr>
        <w:t xml:space="preserve"> “changed through chemical mutagenesis, resulting in a stronger promoter” and “later strains</w:t>
      </w:r>
      <w:r w:rsidR="00265615">
        <w:rPr>
          <w:rStyle w:val="ssleftalign"/>
        </w:rPr>
        <w:t>,</w:t>
      </w:r>
      <w:r>
        <w:rPr>
          <w:rStyle w:val="ssleftalign"/>
        </w:rPr>
        <w:t>”</w:t>
      </w:r>
      <w:r w:rsidR="00265615">
        <w:rPr>
          <w:rStyle w:val="ssleftalign"/>
        </w:rPr>
        <w:t xml:space="preserve"> which had</w:t>
      </w:r>
      <w:r w:rsidR="00E87C08">
        <w:rPr>
          <w:rStyle w:val="ssleftalign"/>
        </w:rPr>
        <w:t xml:space="preserve"> </w:t>
      </w:r>
      <w:r w:rsidR="00265615">
        <w:rPr>
          <w:rStyle w:val="ssleftalign"/>
        </w:rPr>
        <w:t>two copies of the yddG gene, one with the native promoter and one with two other</w:t>
      </w:r>
      <w:r w:rsidR="00B067EB">
        <w:rPr>
          <w:rStyle w:val="ssleftalign"/>
        </w:rPr>
        <w:t xml:space="preserve"> promoters</w:t>
      </w:r>
      <w:r w:rsidR="00E87C08">
        <w:rPr>
          <w:rStyle w:val="ssleftalign"/>
        </w:rPr>
        <w:t>.</w:t>
      </w:r>
      <w:r w:rsidR="00E87C08">
        <w:rPr>
          <w:rStyle w:val="FootnoteReference"/>
        </w:rPr>
        <w:footnoteReference w:id="514"/>
      </w:r>
      <w:r w:rsidR="00D36F0E">
        <w:rPr>
          <w:rStyle w:val="ssleftalign"/>
        </w:rPr>
        <w:t xml:space="preserve"> The ITC construed the phrase “replacing the native promoter with a more potent promoter” to mean removing the </w:t>
      </w:r>
      <w:r w:rsidR="00B77ED8">
        <w:rPr>
          <w:rStyle w:val="ssleftalign"/>
        </w:rPr>
        <w:t>native promoter and replacing it with one from a different gene.</w:t>
      </w:r>
      <w:r w:rsidR="00B77ED8">
        <w:rPr>
          <w:rStyle w:val="FootnoteReference"/>
        </w:rPr>
        <w:footnoteReference w:id="515"/>
      </w:r>
      <w:r w:rsidR="00265615">
        <w:rPr>
          <w:rStyle w:val="ssleftalign"/>
        </w:rPr>
        <w:t xml:space="preserve"> </w:t>
      </w:r>
      <w:r w:rsidR="00B067EB">
        <w:rPr>
          <w:rStyle w:val="ssleftalign"/>
        </w:rPr>
        <w:t>Thus, t</w:t>
      </w:r>
      <w:r w:rsidR="00265615">
        <w:rPr>
          <w:rStyle w:val="ssleftalign"/>
        </w:rPr>
        <w:t xml:space="preserve">he ITC concluded CJ’s “earlier strains” of </w:t>
      </w:r>
      <w:r w:rsidR="00265615">
        <w:rPr>
          <w:rStyle w:val="ssleftalign"/>
          <w:i/>
          <w:iCs/>
        </w:rPr>
        <w:t>E. coli</w:t>
      </w:r>
      <w:r w:rsidR="00265615">
        <w:rPr>
          <w:rStyle w:val="ssleftalign"/>
        </w:rPr>
        <w:t xml:space="preserve"> did not infringe the ‘655 patent, but the “later strains” did.</w:t>
      </w:r>
      <w:r w:rsidR="00265615">
        <w:rPr>
          <w:rStyle w:val="FootnoteReference"/>
        </w:rPr>
        <w:footnoteReference w:id="516"/>
      </w:r>
      <w:r w:rsidR="00E2278D">
        <w:rPr>
          <w:rStyle w:val="ssleftalign"/>
        </w:rPr>
        <w:t xml:space="preserve"> In the course of determining infringement by the later strains, the ITC also found the ‘655 patent provided an adequate description for a “more potent promoter.”</w:t>
      </w:r>
      <w:r w:rsidR="00E2278D">
        <w:rPr>
          <w:rStyle w:val="FootnoteReference"/>
        </w:rPr>
        <w:footnoteReference w:id="517"/>
      </w:r>
      <w:r w:rsidR="00F469BD">
        <w:rPr>
          <w:rStyle w:val="ssleftalign"/>
        </w:rPr>
        <w:t xml:space="preserve"> Both parties appealed.</w:t>
      </w:r>
    </w:p>
    <w:p w14:paraId="120A0A12" w14:textId="5059116A" w:rsidR="00CD4D16" w:rsidRDefault="00F469BD" w:rsidP="00F469BD">
      <w:pPr>
        <w:rPr>
          <w:rStyle w:val="ssleftalign"/>
        </w:rPr>
      </w:pPr>
      <w:r>
        <w:rPr>
          <w:rStyle w:val="ssleftalign"/>
        </w:rPr>
        <w:tab/>
      </w:r>
      <w:r w:rsidR="00CD4D16">
        <w:rPr>
          <w:rStyle w:val="ssleftalign"/>
        </w:rPr>
        <w:t>T</w:t>
      </w:r>
      <w:r w:rsidR="00725CB6">
        <w:rPr>
          <w:rStyle w:val="ssleftalign"/>
        </w:rPr>
        <w:t>he Federal Circuit</w:t>
      </w:r>
      <w:r w:rsidR="00F7696B">
        <w:rPr>
          <w:rStyle w:val="ssleftalign"/>
        </w:rPr>
        <w:t xml:space="preserve"> affirmed</w:t>
      </w:r>
      <w:r w:rsidR="00725CB6">
        <w:rPr>
          <w:rStyle w:val="ssleftalign"/>
        </w:rPr>
        <w:t xml:space="preserve"> the ITC</w:t>
      </w:r>
      <w:r w:rsidR="00F7696B">
        <w:rPr>
          <w:rStyle w:val="ssleftalign"/>
        </w:rPr>
        <w:t xml:space="preserve">’s construction of </w:t>
      </w:r>
      <w:r w:rsidR="00725CB6">
        <w:rPr>
          <w:rStyle w:val="ssleftalign"/>
        </w:rPr>
        <w:t>the phrase “replacing the native promoter with a more potent promoter”</w:t>
      </w:r>
      <w:r w:rsidR="004856B2">
        <w:rPr>
          <w:rStyle w:val="ssleftalign"/>
        </w:rPr>
        <w:t xml:space="preserve"> and affirmed the non-infringement finding.</w:t>
      </w:r>
      <w:r w:rsidR="00725CB6">
        <w:rPr>
          <w:rStyle w:val="FootnoteReference"/>
        </w:rPr>
        <w:footnoteReference w:id="518"/>
      </w:r>
      <w:r w:rsidR="00725CB6">
        <w:rPr>
          <w:rStyle w:val="ssleftalign"/>
        </w:rPr>
        <w:t xml:space="preserve"> </w:t>
      </w:r>
      <w:r w:rsidR="00E271FC">
        <w:rPr>
          <w:rStyle w:val="ssleftalign"/>
        </w:rPr>
        <w:t xml:space="preserve"> “[The phrase] suggests, in ordinary parlance, an operation at the level of the entire promoter as a unit, not at the level of a single nucleotide that is just one small component of the promoter.”</w:t>
      </w:r>
      <w:r w:rsidR="00E271FC">
        <w:rPr>
          <w:rStyle w:val="FootnoteReference"/>
        </w:rPr>
        <w:footnoteReference w:id="519"/>
      </w:r>
      <w:r w:rsidR="00E271FC">
        <w:rPr>
          <w:rStyle w:val="ssleftalign"/>
        </w:rPr>
        <w:t xml:space="preserve"> The</w:t>
      </w:r>
      <w:r w:rsidR="004856B2">
        <w:rPr>
          <w:rStyle w:val="ssleftalign"/>
        </w:rPr>
        <w:t xml:space="preserve"> use of the word “substitution” in an example in the specification</w:t>
      </w:r>
      <w:r w:rsidR="00E271FC">
        <w:rPr>
          <w:rStyle w:val="ssleftalign"/>
        </w:rPr>
        <w:t xml:space="preserve"> </w:t>
      </w:r>
      <w:r w:rsidR="004856B2">
        <w:rPr>
          <w:rStyle w:val="ssleftalign"/>
        </w:rPr>
        <w:t xml:space="preserve">and the </w:t>
      </w:r>
      <w:r w:rsidR="00E271FC">
        <w:rPr>
          <w:rStyle w:val="ssleftalign"/>
        </w:rPr>
        <w:t>patent</w:t>
      </w:r>
      <w:r w:rsidR="004856B2">
        <w:rPr>
          <w:rStyle w:val="ssleftalign"/>
        </w:rPr>
        <w:t>’</w:t>
      </w:r>
      <w:r w:rsidR="00E271FC">
        <w:rPr>
          <w:rStyle w:val="ssleftalign"/>
        </w:rPr>
        <w:t xml:space="preserve">s prosecution history, where </w:t>
      </w:r>
      <w:r w:rsidR="004856B2">
        <w:rPr>
          <w:rStyle w:val="ssleftalign"/>
        </w:rPr>
        <w:t>the applicants changed “alteration” to “replacing” further supported this conclusion.</w:t>
      </w:r>
      <w:r w:rsidR="004856B2">
        <w:rPr>
          <w:rStyle w:val="FootnoteReference"/>
        </w:rPr>
        <w:footnoteReference w:id="520"/>
      </w:r>
      <w:r w:rsidR="00CD4D16">
        <w:rPr>
          <w:rStyle w:val="ssleftalign"/>
        </w:rPr>
        <w:t xml:space="preserve"> </w:t>
      </w:r>
    </w:p>
    <w:p w14:paraId="089283B6" w14:textId="46A13628" w:rsidR="00E6743E" w:rsidRDefault="00CD4D16" w:rsidP="00F469BD">
      <w:pPr>
        <w:rPr>
          <w:rStyle w:val="ssleftalign"/>
        </w:rPr>
      </w:pPr>
      <w:r>
        <w:rPr>
          <w:rStyle w:val="ssleftalign"/>
        </w:rPr>
        <w:tab/>
      </w:r>
      <w:r w:rsidR="00F7696B">
        <w:rPr>
          <w:rStyle w:val="ssleftalign"/>
        </w:rPr>
        <w:t>The Federal Circuit also affirmed the ITC’s decision of disputed claim included an adequate written description for “a more potent promoter”.</w:t>
      </w:r>
      <w:r w:rsidR="00F7696B">
        <w:rPr>
          <w:rStyle w:val="FootnoteReference"/>
        </w:rPr>
        <w:footnoteReference w:id="521"/>
      </w:r>
      <w:r w:rsidR="00F7696B">
        <w:rPr>
          <w:rStyle w:val="ssleftalign"/>
        </w:rPr>
        <w:t xml:space="preserve"> The patent disclosed four examples of such promoters and </w:t>
      </w:r>
      <w:r w:rsidR="003C5659">
        <w:rPr>
          <w:rStyle w:val="ssleftalign"/>
        </w:rPr>
        <w:t>research cited by the ITC indicated “a skilled artisan could make relatively predictable changes to the native promoter to arrive at a more potent promoter.”</w:t>
      </w:r>
      <w:r w:rsidR="003C5659">
        <w:rPr>
          <w:rStyle w:val="FootnoteReference"/>
        </w:rPr>
        <w:footnoteReference w:id="522"/>
      </w:r>
    </w:p>
    <w:p w14:paraId="6C88F2D6" w14:textId="5CD8E0C8" w:rsidR="004856B2" w:rsidRPr="0033193D" w:rsidRDefault="004856B2" w:rsidP="0033193D">
      <w:r>
        <w:rPr>
          <w:rStyle w:val="ssleftalign"/>
        </w:rPr>
        <w:lastRenderedPageBreak/>
        <w:tab/>
      </w:r>
    </w:p>
    <w:p w14:paraId="23E50AEA" w14:textId="717F9539" w:rsidR="00FC7A79" w:rsidRDefault="00FC7A79" w:rsidP="00FC7A79">
      <w:pPr>
        <w:pStyle w:val="Heading4"/>
        <w:rPr>
          <w:i/>
        </w:rPr>
      </w:pPr>
      <w:bookmarkStart w:id="62" w:name="_Toc26792782"/>
      <w:r>
        <w:rPr>
          <w:i/>
        </w:rPr>
        <w:t>Sony Corp. v. Iancu</w:t>
      </w:r>
      <w:r>
        <w:t>, 924 F.3d 1235 (Fed. Cir. May 22, 2019)</w:t>
      </w:r>
      <w:bookmarkEnd w:id="62"/>
      <w:r>
        <w:rPr>
          <w:i/>
        </w:rPr>
        <w:t xml:space="preserve"> </w:t>
      </w:r>
    </w:p>
    <w:p w14:paraId="70DD0B0B" w14:textId="02642FC0" w:rsidR="00FC7A79" w:rsidRDefault="009C47D3" w:rsidP="00FC7A79">
      <w:pPr>
        <w:ind w:firstLine="720"/>
        <w:outlineLvl w:val="0"/>
        <w:rPr>
          <w:rFonts w:cs="Times New Roman"/>
          <w:bCs/>
        </w:rPr>
      </w:pPr>
      <w:r>
        <w:rPr>
          <w:rFonts w:cs="Times New Roman"/>
          <w:bCs/>
        </w:rPr>
        <w:t>In this appeal from the Patent Trial and Appeal Board</w:t>
      </w:r>
      <w:r w:rsidR="00A64DA6">
        <w:rPr>
          <w:rFonts w:cs="Times New Roman"/>
          <w:bCs/>
        </w:rPr>
        <w:t xml:space="preserve"> (“PTAB”),</w:t>
      </w:r>
      <w:r w:rsidR="00720A4A">
        <w:rPr>
          <w:rFonts w:cs="Times New Roman"/>
          <w:bCs/>
        </w:rPr>
        <w:t xml:space="preserve"> the Federal Circuit vacated and remanded the claim construction that </w:t>
      </w:r>
      <w:r w:rsidR="00CC2275">
        <w:rPr>
          <w:rFonts w:cs="Times New Roman"/>
          <w:bCs/>
        </w:rPr>
        <w:t>had given</w:t>
      </w:r>
      <w:r w:rsidR="00720A4A">
        <w:rPr>
          <w:rFonts w:cs="Times New Roman"/>
          <w:bCs/>
        </w:rPr>
        <w:t xml:space="preserve"> rise to an obviousness finding.</w:t>
      </w:r>
      <w:r w:rsidR="00B16D75">
        <w:rPr>
          <w:rStyle w:val="FootnoteReference"/>
          <w:rFonts w:cs="Times New Roman"/>
          <w:bCs/>
        </w:rPr>
        <w:footnoteReference w:id="523"/>
      </w:r>
    </w:p>
    <w:p w14:paraId="689F30FA" w14:textId="122B4D1D" w:rsidR="00F23279" w:rsidRDefault="00F23279" w:rsidP="00FC7A79">
      <w:pPr>
        <w:ind w:firstLine="720"/>
        <w:outlineLvl w:val="0"/>
        <w:rPr>
          <w:rFonts w:cs="Times New Roman"/>
          <w:bCs/>
        </w:rPr>
      </w:pPr>
      <w:r>
        <w:rPr>
          <w:rFonts w:cs="Times New Roman"/>
          <w:bCs/>
        </w:rPr>
        <w:t xml:space="preserve">The ’676 patent </w:t>
      </w:r>
      <w:r w:rsidR="002B5D6C">
        <w:rPr>
          <w:rFonts w:cs="Times New Roman"/>
          <w:bCs/>
        </w:rPr>
        <w:t>was</w:t>
      </w:r>
      <w:r w:rsidR="00F15905">
        <w:rPr>
          <w:rFonts w:cs="Times New Roman"/>
          <w:bCs/>
        </w:rPr>
        <w:t xml:space="preserve"> directed to “an information reproducing device for reproducing an information recording medium in which audio data </w:t>
      </w:r>
      <w:r w:rsidR="00B16D75">
        <w:rPr>
          <w:rFonts w:cs="Times New Roman"/>
          <w:bCs/>
        </w:rPr>
        <w:t>of plural channels are multiplexedly rec</w:t>
      </w:r>
      <w:r w:rsidR="00246EEE">
        <w:rPr>
          <w:rFonts w:cs="Times New Roman"/>
          <w:bCs/>
        </w:rPr>
        <w:t>orded.</w:t>
      </w:r>
      <w:r w:rsidR="00F15905">
        <w:rPr>
          <w:rFonts w:cs="Times New Roman"/>
          <w:bCs/>
        </w:rPr>
        <w:t>”</w:t>
      </w:r>
      <w:r w:rsidR="00B16D75">
        <w:rPr>
          <w:rStyle w:val="FootnoteReference"/>
          <w:rFonts w:cs="Times New Roman"/>
          <w:bCs/>
        </w:rPr>
        <w:footnoteReference w:id="524"/>
      </w:r>
      <w:r w:rsidR="00F15905">
        <w:rPr>
          <w:rFonts w:cs="Times New Roman"/>
          <w:bCs/>
        </w:rPr>
        <w:t xml:space="preserve"> </w:t>
      </w:r>
      <w:r w:rsidR="00C94A2F">
        <w:rPr>
          <w:rFonts w:cs="Times New Roman"/>
          <w:bCs/>
        </w:rPr>
        <w:t xml:space="preserve">In </w:t>
      </w:r>
      <w:r w:rsidR="00C94A2F">
        <w:rPr>
          <w:rFonts w:cs="Times New Roman"/>
          <w:bCs/>
          <w:i/>
        </w:rPr>
        <w:t xml:space="preserve">inter partes </w:t>
      </w:r>
      <w:r w:rsidR="00C94A2F" w:rsidRPr="00C94A2F">
        <w:rPr>
          <w:rFonts w:cs="Times New Roman"/>
          <w:bCs/>
        </w:rPr>
        <w:t>review</w:t>
      </w:r>
      <w:r w:rsidR="004E3670">
        <w:rPr>
          <w:rFonts w:cs="Times New Roman"/>
          <w:bCs/>
        </w:rPr>
        <w:t xml:space="preserve"> (“IPR”)</w:t>
      </w:r>
      <w:r w:rsidR="00C94A2F">
        <w:rPr>
          <w:rFonts w:cs="Times New Roman"/>
          <w:bCs/>
        </w:rPr>
        <w:t>, S</w:t>
      </w:r>
      <w:r w:rsidR="00C94A2F" w:rsidRPr="00C94A2F">
        <w:rPr>
          <w:rFonts w:cs="Times New Roman"/>
          <w:bCs/>
        </w:rPr>
        <w:t>ony</w:t>
      </w:r>
      <w:r w:rsidR="00C94A2F">
        <w:rPr>
          <w:rFonts w:cs="Times New Roman"/>
          <w:bCs/>
        </w:rPr>
        <w:t xml:space="preserve"> argued that </w:t>
      </w:r>
      <w:r w:rsidR="004E3670">
        <w:rPr>
          <w:rFonts w:cs="Times New Roman"/>
          <w:bCs/>
        </w:rPr>
        <w:t>the “reproducing means”</w:t>
      </w:r>
      <w:r w:rsidR="00C94A2F">
        <w:rPr>
          <w:rFonts w:cs="Times New Roman"/>
          <w:bCs/>
        </w:rPr>
        <w:t xml:space="preserve"> limitation was implemented by computer software and so requires, under </w:t>
      </w:r>
      <w:r w:rsidR="00C94A2F">
        <w:rPr>
          <w:rFonts w:cs="Times New Roman"/>
          <w:bCs/>
          <w:i/>
          <w:iCs/>
        </w:rPr>
        <w:t>Aristocrat Techs.</w:t>
      </w:r>
      <w:r w:rsidR="00C94A2F">
        <w:rPr>
          <w:rFonts w:cs="Times New Roman"/>
          <w:bCs/>
        </w:rPr>
        <w:t>, an implementing algorithm more specific than a general microprocessor.</w:t>
      </w:r>
      <w:r w:rsidR="00C94A2F">
        <w:rPr>
          <w:rStyle w:val="FootnoteReference"/>
          <w:rFonts w:cs="Times New Roman"/>
          <w:bCs/>
        </w:rPr>
        <w:footnoteReference w:id="525"/>
      </w:r>
      <w:r w:rsidR="00C94A2F">
        <w:rPr>
          <w:rFonts w:cs="Times New Roman"/>
          <w:bCs/>
        </w:rPr>
        <w:t xml:space="preserve"> </w:t>
      </w:r>
      <w:r w:rsidR="00E41582">
        <w:rPr>
          <w:rFonts w:cs="Times New Roman"/>
          <w:bCs/>
        </w:rPr>
        <w:t xml:space="preserve">Constructing </w:t>
      </w:r>
      <w:r w:rsidR="004E3670">
        <w:rPr>
          <w:rFonts w:cs="Times New Roman"/>
          <w:bCs/>
        </w:rPr>
        <w:t>the “reproducing means”</w:t>
      </w:r>
      <w:r w:rsidR="00E41582">
        <w:rPr>
          <w:rFonts w:cs="Times New Roman"/>
          <w:bCs/>
        </w:rPr>
        <w:t xml:space="preserve"> term, the </w:t>
      </w:r>
      <w:r w:rsidR="00A64DA6">
        <w:rPr>
          <w:rFonts w:cs="Times New Roman"/>
          <w:bCs/>
        </w:rPr>
        <w:t xml:space="preserve">PTAB </w:t>
      </w:r>
      <w:r w:rsidR="00E41582">
        <w:rPr>
          <w:rFonts w:cs="Times New Roman"/>
          <w:bCs/>
        </w:rPr>
        <w:t>concluded the limitation was a means-plus-function claim, where the structure was “a controller and a synthesizer” — not a computer</w:t>
      </w:r>
      <w:r w:rsidR="00DC6176">
        <w:rPr>
          <w:rFonts w:cs="Times New Roman"/>
          <w:bCs/>
        </w:rPr>
        <w:t xml:space="preserve"> requiring an</w:t>
      </w:r>
      <w:r w:rsidR="00E41582">
        <w:rPr>
          <w:rFonts w:cs="Times New Roman"/>
          <w:bCs/>
        </w:rPr>
        <w:t xml:space="preserve"> algorithm.</w:t>
      </w:r>
      <w:r w:rsidR="00E41582">
        <w:rPr>
          <w:rStyle w:val="FootnoteReference"/>
          <w:rFonts w:cs="Times New Roman"/>
          <w:bCs/>
        </w:rPr>
        <w:footnoteReference w:id="526"/>
      </w:r>
      <w:r w:rsidR="00FE7FF5">
        <w:rPr>
          <w:rFonts w:cs="Times New Roman"/>
          <w:bCs/>
        </w:rPr>
        <w:t xml:space="preserve">  (On this construction,</w:t>
      </w:r>
      <w:r w:rsidR="00DC6176">
        <w:rPr>
          <w:rFonts w:cs="Times New Roman"/>
          <w:bCs/>
        </w:rPr>
        <w:t xml:space="preserve"> however,</w:t>
      </w:r>
      <w:r w:rsidR="00FE7FF5">
        <w:rPr>
          <w:rFonts w:cs="Times New Roman"/>
          <w:bCs/>
        </w:rPr>
        <w:t xml:space="preserve"> the claim was obvious.)</w:t>
      </w:r>
    </w:p>
    <w:p w14:paraId="39366F18" w14:textId="7E9AE125" w:rsidR="00B82D8C" w:rsidRDefault="00B82D8C" w:rsidP="00EB5CED">
      <w:pPr>
        <w:ind w:firstLine="720"/>
        <w:outlineLvl w:val="0"/>
        <w:rPr>
          <w:rFonts w:cs="Times New Roman"/>
          <w:bCs/>
        </w:rPr>
      </w:pPr>
      <w:r>
        <w:rPr>
          <w:rFonts w:cs="Times New Roman"/>
          <w:bCs/>
        </w:rPr>
        <w:t xml:space="preserve">On appeal, the Federal Circuit </w:t>
      </w:r>
      <w:r w:rsidR="00C94A2F">
        <w:rPr>
          <w:rFonts w:cs="Times New Roman"/>
          <w:bCs/>
        </w:rPr>
        <w:t>disagreed</w:t>
      </w:r>
      <w:r>
        <w:rPr>
          <w:rFonts w:cs="Times New Roman"/>
          <w:bCs/>
        </w:rPr>
        <w:t xml:space="preserve">.  </w:t>
      </w:r>
      <w:r w:rsidR="004E3670">
        <w:rPr>
          <w:rFonts w:cs="Times New Roman"/>
          <w:bCs/>
        </w:rPr>
        <w:t>“[N]ot bound by the parties’ arguments as to claim construction,” the court held that Sony’s argument during IPR was correct.</w:t>
      </w:r>
      <w:r w:rsidR="004E3670">
        <w:rPr>
          <w:rStyle w:val="FootnoteReference"/>
          <w:rFonts w:cs="Times New Roman"/>
          <w:bCs/>
        </w:rPr>
        <w:footnoteReference w:id="527"/>
      </w:r>
      <w:r w:rsidR="004E3670">
        <w:rPr>
          <w:rFonts w:cs="Times New Roman"/>
          <w:bCs/>
        </w:rPr>
        <w:t xml:space="preserve"> </w:t>
      </w:r>
      <w:r w:rsidR="00EB5CED">
        <w:rPr>
          <w:rFonts w:cs="Times New Roman"/>
          <w:bCs/>
        </w:rPr>
        <w:t>The parties had not argued this point on appeal.  Both had accepted</w:t>
      </w:r>
      <w:r>
        <w:rPr>
          <w:rFonts w:cs="Times New Roman"/>
          <w:bCs/>
        </w:rPr>
        <w:t xml:space="preserve"> </w:t>
      </w:r>
      <w:r w:rsidR="00EB5CED">
        <w:rPr>
          <w:rFonts w:cs="Times New Roman"/>
          <w:bCs/>
        </w:rPr>
        <w:t>the claim</w:t>
      </w:r>
      <w:r>
        <w:rPr>
          <w:rFonts w:cs="Times New Roman"/>
          <w:bCs/>
        </w:rPr>
        <w:t xml:space="preserve"> </w:t>
      </w:r>
      <w:r w:rsidR="00EB5CED">
        <w:rPr>
          <w:rFonts w:cs="Times New Roman"/>
          <w:bCs/>
        </w:rPr>
        <w:t>as</w:t>
      </w:r>
      <w:r w:rsidR="000B48CF">
        <w:rPr>
          <w:rFonts w:cs="Times New Roman"/>
          <w:bCs/>
        </w:rPr>
        <w:t xml:space="preserve"> a</w:t>
      </w:r>
      <w:r>
        <w:rPr>
          <w:rFonts w:cs="Times New Roman"/>
          <w:bCs/>
        </w:rPr>
        <w:t xml:space="preserve"> means-plus-function claim</w:t>
      </w:r>
      <w:r w:rsidR="000B48CF">
        <w:rPr>
          <w:rFonts w:cs="Times New Roman"/>
          <w:bCs/>
        </w:rPr>
        <w:t xml:space="preserve"> concerning “reproducing the audio data of the channel designated by the default value stored in the storing means.”</w:t>
      </w:r>
      <w:r w:rsidR="000B48CF">
        <w:rPr>
          <w:rStyle w:val="FootnoteReference"/>
          <w:rFonts w:cs="Times New Roman"/>
          <w:bCs/>
        </w:rPr>
        <w:footnoteReference w:id="528"/>
      </w:r>
      <w:r w:rsidR="000B48CF">
        <w:rPr>
          <w:rFonts w:cs="Times New Roman"/>
          <w:bCs/>
        </w:rPr>
        <w:t xml:space="preserve">  </w:t>
      </w:r>
      <w:r w:rsidR="00EB5CED">
        <w:rPr>
          <w:rFonts w:cs="Times New Roman"/>
          <w:bCs/>
        </w:rPr>
        <w:t>And both had viewed the structure</w:t>
      </w:r>
      <w:r w:rsidR="00D20214">
        <w:rPr>
          <w:rFonts w:cs="Times New Roman"/>
          <w:bCs/>
        </w:rPr>
        <w:t xml:space="preserve"> as </w:t>
      </w:r>
      <w:r w:rsidR="00C2259A">
        <w:rPr>
          <w:rFonts w:cs="Times New Roman"/>
          <w:bCs/>
        </w:rPr>
        <w:t>hardware-implemented</w:t>
      </w:r>
      <w:r w:rsidR="00EB5CED">
        <w:rPr>
          <w:rFonts w:cs="Times New Roman"/>
          <w:bCs/>
        </w:rPr>
        <w:t>, not software-implemented</w:t>
      </w:r>
      <w:r w:rsidR="00D20214">
        <w:rPr>
          <w:rFonts w:cs="Times New Roman"/>
          <w:bCs/>
        </w:rPr>
        <w:t>.</w:t>
      </w:r>
      <w:r w:rsidR="00D20214">
        <w:rPr>
          <w:rStyle w:val="FootnoteReference"/>
          <w:rFonts w:cs="Times New Roman"/>
          <w:bCs/>
        </w:rPr>
        <w:footnoteReference w:id="529"/>
      </w:r>
      <w:r w:rsidR="000B17C1">
        <w:rPr>
          <w:rFonts w:cs="Times New Roman"/>
          <w:bCs/>
        </w:rPr>
        <w:t xml:space="preserve"> </w:t>
      </w:r>
      <w:r w:rsidR="00EB5CED">
        <w:rPr>
          <w:rFonts w:cs="Times New Roman"/>
          <w:bCs/>
        </w:rPr>
        <w:t xml:space="preserve"> </w:t>
      </w:r>
      <w:r w:rsidR="00D444A9">
        <w:rPr>
          <w:rFonts w:cs="Times New Roman"/>
          <w:bCs/>
        </w:rPr>
        <w:t xml:space="preserve">The court remanded to the </w:t>
      </w:r>
      <w:r w:rsidR="00512454">
        <w:rPr>
          <w:rFonts w:cs="Times New Roman"/>
          <w:bCs/>
        </w:rPr>
        <w:t>PTAB to reeval</w:t>
      </w:r>
      <w:r w:rsidR="00EB5CED">
        <w:rPr>
          <w:rFonts w:cs="Times New Roman"/>
          <w:bCs/>
        </w:rPr>
        <w:t>uate obviousness in this light.</w:t>
      </w:r>
    </w:p>
    <w:p w14:paraId="0895AFC7" w14:textId="77777777" w:rsidR="00275CC2" w:rsidRDefault="005B5261" w:rsidP="00275CC2">
      <w:pPr>
        <w:ind w:firstLine="720"/>
        <w:outlineLvl w:val="0"/>
        <w:rPr>
          <w:rFonts w:cs="Times New Roman"/>
          <w:bCs/>
        </w:rPr>
      </w:pPr>
      <w:r>
        <w:rPr>
          <w:rFonts w:cs="Times New Roman"/>
          <w:bCs/>
        </w:rPr>
        <w:t xml:space="preserve">(Judge Newman </w:t>
      </w:r>
      <w:r w:rsidR="00EB5CED">
        <w:rPr>
          <w:rFonts w:cs="Times New Roman"/>
          <w:bCs/>
        </w:rPr>
        <w:t>dissented on a different basis,</w:t>
      </w:r>
      <w:r w:rsidR="00C2259A">
        <w:rPr>
          <w:rFonts w:cs="Times New Roman"/>
          <w:bCs/>
        </w:rPr>
        <w:t xml:space="preserve"> reasoning that the expiration of the patent mooted the controversy and destroyed jurisdiction.</w:t>
      </w:r>
      <w:r w:rsidR="00C2259A">
        <w:rPr>
          <w:rStyle w:val="FootnoteReference"/>
          <w:rFonts w:cs="Times New Roman"/>
          <w:bCs/>
        </w:rPr>
        <w:footnoteReference w:id="530"/>
      </w:r>
      <w:r w:rsidR="00C2259A">
        <w:rPr>
          <w:rFonts w:cs="Times New Roman"/>
          <w:bCs/>
        </w:rPr>
        <w:t xml:space="preserve">) </w:t>
      </w:r>
      <w:r>
        <w:rPr>
          <w:rFonts w:cs="Times New Roman"/>
          <w:bCs/>
        </w:rPr>
        <w:t xml:space="preserve"> </w:t>
      </w:r>
    </w:p>
    <w:p w14:paraId="29CC4C57" w14:textId="62AFC3FF" w:rsidR="005C69D5" w:rsidRDefault="005C69D5" w:rsidP="005C69D5">
      <w:pPr>
        <w:pStyle w:val="Heading4"/>
        <w:rPr>
          <w:i/>
        </w:rPr>
      </w:pPr>
      <w:bookmarkStart w:id="63" w:name="_Toc26792783"/>
      <w:r>
        <w:rPr>
          <w:i/>
        </w:rPr>
        <w:t>BTG Int’l Ltd. v. Amneal Pharms. LLC</w:t>
      </w:r>
      <w:r>
        <w:t>, 923 F.3d 1063 (Fed. Cir. May 14, 2019)</w:t>
      </w:r>
      <w:bookmarkEnd w:id="63"/>
      <w:r>
        <w:rPr>
          <w:i/>
        </w:rPr>
        <w:t xml:space="preserve"> </w:t>
      </w:r>
    </w:p>
    <w:p w14:paraId="1D9972B6" w14:textId="6D8DDD56" w:rsidR="005C69D5" w:rsidRDefault="005C69D5" w:rsidP="005C69D5">
      <w:pPr>
        <w:ind w:firstLine="720"/>
        <w:outlineLvl w:val="0"/>
        <w:rPr>
          <w:rFonts w:cs="Times New Roman"/>
          <w:bCs/>
        </w:rPr>
      </w:pPr>
      <w:r>
        <w:rPr>
          <w:rFonts w:cs="Times New Roman"/>
          <w:bCs/>
        </w:rPr>
        <w:t xml:space="preserve">In this appeal </w:t>
      </w:r>
      <w:r w:rsidR="0073165A">
        <w:rPr>
          <w:rFonts w:cs="Times New Roman"/>
          <w:bCs/>
        </w:rPr>
        <w:t>of decisions consolidated</w:t>
      </w:r>
      <w:r w:rsidR="000B12F4">
        <w:rPr>
          <w:rFonts w:cs="Times New Roman"/>
          <w:bCs/>
        </w:rPr>
        <w:t xml:space="preserve"> from</w:t>
      </w:r>
      <w:r w:rsidR="00BB407B">
        <w:rPr>
          <w:rFonts w:cs="Times New Roman"/>
          <w:bCs/>
        </w:rPr>
        <w:t xml:space="preserve"> the District of New Jersey</w:t>
      </w:r>
      <w:r w:rsidR="0073165A">
        <w:rPr>
          <w:rFonts w:cs="Times New Roman"/>
          <w:bCs/>
        </w:rPr>
        <w:t xml:space="preserve"> </w:t>
      </w:r>
      <w:r w:rsidR="000D2AA1">
        <w:rPr>
          <w:rFonts w:cs="Times New Roman"/>
          <w:bCs/>
        </w:rPr>
        <w:t>and the Patent Trial and Appeal Board</w:t>
      </w:r>
      <w:r w:rsidR="007E48A0">
        <w:rPr>
          <w:rFonts w:cs="Times New Roman"/>
          <w:bCs/>
        </w:rPr>
        <w:t xml:space="preserve"> (“PTAB”)</w:t>
      </w:r>
      <w:r w:rsidR="000B12F4">
        <w:rPr>
          <w:rFonts w:cs="Times New Roman"/>
          <w:bCs/>
        </w:rPr>
        <w:t xml:space="preserve">, the Federal Circuit affirmed </w:t>
      </w:r>
      <w:r w:rsidR="007E48A0">
        <w:rPr>
          <w:rFonts w:cs="Times New Roman"/>
          <w:bCs/>
        </w:rPr>
        <w:t>the</w:t>
      </w:r>
      <w:r w:rsidR="006A79AF">
        <w:rPr>
          <w:rFonts w:cs="Times New Roman"/>
          <w:bCs/>
        </w:rPr>
        <w:t xml:space="preserve"> </w:t>
      </w:r>
      <w:r w:rsidR="00B6796E">
        <w:rPr>
          <w:rFonts w:cs="Times New Roman"/>
          <w:bCs/>
        </w:rPr>
        <w:t xml:space="preserve">PTAB’s construction of “method of treatment” </w:t>
      </w:r>
      <w:r w:rsidR="003D19A6">
        <w:rPr>
          <w:rFonts w:cs="Times New Roman"/>
          <w:bCs/>
        </w:rPr>
        <w:t>(and its resulting</w:t>
      </w:r>
      <w:r w:rsidR="00B6796E">
        <w:rPr>
          <w:rFonts w:cs="Times New Roman"/>
          <w:bCs/>
        </w:rPr>
        <w:t xml:space="preserve"> finding of obviousness</w:t>
      </w:r>
      <w:r w:rsidR="00395FAE">
        <w:rPr>
          <w:rFonts w:cs="Times New Roman"/>
          <w:bCs/>
        </w:rPr>
        <w:t xml:space="preserve">, </w:t>
      </w:r>
      <w:r w:rsidR="00044D4E">
        <w:rPr>
          <w:rFonts w:cs="Times New Roman"/>
          <w:bCs/>
        </w:rPr>
        <w:t xml:space="preserve">not </w:t>
      </w:r>
      <w:r w:rsidR="003D19A6">
        <w:rPr>
          <w:rFonts w:cs="Times New Roman"/>
          <w:bCs/>
        </w:rPr>
        <w:t>detailed</w:t>
      </w:r>
      <w:r w:rsidR="00395FAE">
        <w:rPr>
          <w:rFonts w:cs="Times New Roman"/>
          <w:bCs/>
        </w:rPr>
        <w:t xml:space="preserve"> here).</w:t>
      </w:r>
      <w:r w:rsidR="00B6796E">
        <w:rPr>
          <w:rStyle w:val="FootnoteReference"/>
          <w:rFonts w:cs="Times New Roman"/>
          <w:bCs/>
        </w:rPr>
        <w:footnoteReference w:id="531"/>
      </w:r>
    </w:p>
    <w:p w14:paraId="4EEC44E0" w14:textId="79F84549" w:rsidR="00733E38" w:rsidRDefault="00733E38" w:rsidP="005C69D5">
      <w:pPr>
        <w:ind w:firstLine="720"/>
        <w:outlineLvl w:val="0"/>
        <w:rPr>
          <w:rFonts w:cs="Times New Roman"/>
          <w:bCs/>
        </w:rPr>
      </w:pPr>
      <w:r>
        <w:rPr>
          <w:rFonts w:cs="Times New Roman"/>
          <w:bCs/>
        </w:rPr>
        <w:t xml:space="preserve">The case concerned BTG’s </w:t>
      </w:r>
      <w:r w:rsidR="003E7471">
        <w:rPr>
          <w:rFonts w:cs="Times New Roman"/>
          <w:bCs/>
        </w:rPr>
        <w:t>’438 patent covering a “method of treatment of prostrate cancer</w:t>
      </w:r>
      <w:r w:rsidR="005F7520">
        <w:rPr>
          <w:rFonts w:cs="Times New Roman"/>
          <w:bCs/>
        </w:rPr>
        <w:t>.</w:t>
      </w:r>
      <w:r w:rsidR="003E7471">
        <w:rPr>
          <w:rFonts w:cs="Times New Roman"/>
          <w:bCs/>
        </w:rPr>
        <w:t>”</w:t>
      </w:r>
      <w:r w:rsidR="005F7520">
        <w:rPr>
          <w:rStyle w:val="FootnoteReference"/>
          <w:rFonts w:cs="Times New Roman"/>
          <w:bCs/>
        </w:rPr>
        <w:footnoteReference w:id="532"/>
      </w:r>
      <w:r w:rsidR="003E7471">
        <w:rPr>
          <w:rFonts w:cs="Times New Roman"/>
          <w:bCs/>
        </w:rPr>
        <w:t xml:space="preserve"> </w:t>
      </w:r>
      <w:r w:rsidR="005F7520">
        <w:rPr>
          <w:rFonts w:cs="Times New Roman"/>
          <w:bCs/>
        </w:rPr>
        <w:t xml:space="preserve"> The method comprised using effective </w:t>
      </w:r>
      <w:r w:rsidR="001D29B2">
        <w:rPr>
          <w:rFonts w:cs="Times New Roman"/>
          <w:bCs/>
        </w:rPr>
        <w:t xml:space="preserve">amounts of prednisone and </w:t>
      </w:r>
      <w:r w:rsidR="001D29B2">
        <w:rPr>
          <w:rFonts w:cs="Times New Roman"/>
          <w:bCs/>
        </w:rPr>
        <w:lastRenderedPageBreak/>
        <w:t>of abiraterone acetate or a salt thereof.</w:t>
      </w:r>
      <w:r w:rsidR="00EB520D">
        <w:rPr>
          <w:rStyle w:val="FootnoteReference"/>
          <w:rFonts w:cs="Times New Roman"/>
          <w:bCs/>
        </w:rPr>
        <w:footnoteReference w:id="533"/>
      </w:r>
      <w:r w:rsidR="00EB520D">
        <w:rPr>
          <w:rFonts w:cs="Times New Roman"/>
          <w:bCs/>
        </w:rPr>
        <w:t xml:space="preserve">  BTG contended that Anneal’s proposed drug would infringe; three other parties were granted petitions for </w:t>
      </w:r>
      <w:r w:rsidR="00EB520D">
        <w:rPr>
          <w:rFonts w:cs="Times New Roman"/>
          <w:bCs/>
          <w:i/>
          <w:iCs/>
        </w:rPr>
        <w:t xml:space="preserve">inter partes </w:t>
      </w:r>
      <w:r w:rsidR="00EB520D">
        <w:rPr>
          <w:rFonts w:cs="Times New Roman"/>
          <w:bCs/>
        </w:rPr>
        <w:t>review.</w:t>
      </w:r>
      <w:r w:rsidR="00EB520D" w:rsidRPr="00EB520D">
        <w:rPr>
          <w:rStyle w:val="FootnoteReference"/>
          <w:rFonts w:cs="Times New Roman"/>
          <w:bCs/>
        </w:rPr>
        <w:t xml:space="preserve"> </w:t>
      </w:r>
      <w:r w:rsidR="00EB520D">
        <w:rPr>
          <w:rStyle w:val="FootnoteReference"/>
          <w:rFonts w:cs="Times New Roman"/>
          <w:bCs/>
        </w:rPr>
        <w:footnoteReference w:id="534"/>
      </w:r>
      <w:r w:rsidR="00EB520D">
        <w:rPr>
          <w:rFonts w:cs="Times New Roman"/>
          <w:bCs/>
        </w:rPr>
        <w:t xml:space="preserve"> </w:t>
      </w:r>
      <w:r w:rsidR="00A91B2D">
        <w:rPr>
          <w:rFonts w:cs="Times New Roman"/>
          <w:bCs/>
        </w:rPr>
        <w:t xml:space="preserve"> </w:t>
      </w:r>
      <w:r w:rsidR="009C75A8">
        <w:rPr>
          <w:rFonts w:cs="Times New Roman"/>
          <w:bCs/>
        </w:rPr>
        <w:t xml:space="preserve">To decide whether </w:t>
      </w:r>
      <w:r w:rsidR="004F2B05">
        <w:rPr>
          <w:rFonts w:cs="Times New Roman"/>
          <w:bCs/>
        </w:rPr>
        <w:t xml:space="preserve">an ordinarily skilled artisan would have </w:t>
      </w:r>
      <w:r w:rsidR="00D97FF9">
        <w:rPr>
          <w:rFonts w:cs="Times New Roman"/>
          <w:bCs/>
        </w:rPr>
        <w:t>found it obvious to use</w:t>
      </w:r>
      <w:r w:rsidR="004F2B05">
        <w:rPr>
          <w:rFonts w:cs="Times New Roman"/>
          <w:bCs/>
        </w:rPr>
        <w:t xml:space="preserve"> prednisone </w:t>
      </w:r>
      <w:r w:rsidR="00104CD0">
        <w:rPr>
          <w:rFonts w:cs="Times New Roman"/>
          <w:bCs/>
        </w:rPr>
        <w:t>as a cancer “treatmen</w:t>
      </w:r>
      <w:r w:rsidR="009C75A8">
        <w:rPr>
          <w:rFonts w:cs="Times New Roman"/>
          <w:bCs/>
        </w:rPr>
        <w:t>t,</w:t>
      </w:r>
      <w:r w:rsidR="00104CD0">
        <w:rPr>
          <w:rFonts w:cs="Times New Roman"/>
          <w:bCs/>
        </w:rPr>
        <w:t>”</w:t>
      </w:r>
      <w:r w:rsidR="009C75A8">
        <w:rPr>
          <w:rStyle w:val="FootnoteReference"/>
          <w:rFonts w:cs="Times New Roman"/>
          <w:bCs/>
        </w:rPr>
        <w:footnoteReference w:id="535"/>
      </w:r>
      <w:r w:rsidR="009C75A8">
        <w:rPr>
          <w:rFonts w:cs="Times New Roman"/>
          <w:bCs/>
        </w:rPr>
        <w:t xml:space="preserve"> the Patent Trial and Appeal Board</w:t>
      </w:r>
      <w:r w:rsidR="002B016B">
        <w:rPr>
          <w:rFonts w:cs="Times New Roman"/>
          <w:bCs/>
        </w:rPr>
        <w:t xml:space="preserve"> (“PTAB”)</w:t>
      </w:r>
      <w:r w:rsidR="009C75A8">
        <w:rPr>
          <w:rFonts w:cs="Times New Roman"/>
          <w:bCs/>
        </w:rPr>
        <w:t xml:space="preserve"> first construed “treatment.”  </w:t>
      </w:r>
      <w:r w:rsidR="00D97FF9">
        <w:rPr>
          <w:rFonts w:cs="Times New Roman"/>
          <w:bCs/>
        </w:rPr>
        <w:t>BTG</w:t>
      </w:r>
      <w:r w:rsidR="009C75A8">
        <w:rPr>
          <w:rFonts w:cs="Times New Roman"/>
          <w:bCs/>
        </w:rPr>
        <w:t xml:space="preserve"> argued that </w:t>
      </w:r>
      <w:r w:rsidR="00D97FF9">
        <w:rPr>
          <w:rFonts w:cs="Times New Roman"/>
          <w:bCs/>
        </w:rPr>
        <w:t xml:space="preserve">the claims narrowly covered </w:t>
      </w:r>
      <w:r w:rsidR="009C75A8">
        <w:rPr>
          <w:rFonts w:cs="Times New Roman"/>
          <w:bCs/>
        </w:rPr>
        <w:t>prednisone</w:t>
      </w:r>
      <w:r w:rsidR="002B016B">
        <w:rPr>
          <w:rFonts w:cs="Times New Roman"/>
          <w:bCs/>
        </w:rPr>
        <w:t xml:space="preserve"> as a “treatment” having</w:t>
      </w:r>
      <w:r w:rsidR="009C75A8">
        <w:rPr>
          <w:rFonts w:cs="Times New Roman"/>
          <w:bCs/>
        </w:rPr>
        <w:t xml:space="preserve"> </w:t>
      </w:r>
      <w:r w:rsidR="00D97FF9">
        <w:rPr>
          <w:rFonts w:cs="Times New Roman"/>
          <w:bCs/>
        </w:rPr>
        <w:t>an</w:t>
      </w:r>
      <w:r w:rsidR="009C75A8">
        <w:rPr>
          <w:rFonts w:cs="Times New Roman"/>
          <w:bCs/>
        </w:rPr>
        <w:t xml:space="preserve"> </w:t>
      </w:r>
      <w:r w:rsidR="001B0E5B">
        <w:rPr>
          <w:rFonts w:cs="Times New Roman"/>
          <w:bCs/>
        </w:rPr>
        <w:t>“anti-cancer effec</w:t>
      </w:r>
      <w:r w:rsidR="009C75A8">
        <w:rPr>
          <w:rFonts w:cs="Times New Roman"/>
          <w:bCs/>
        </w:rPr>
        <w:t>t</w:t>
      </w:r>
      <w:r w:rsidR="00D97FF9">
        <w:rPr>
          <w:rFonts w:cs="Times New Roman"/>
          <w:bCs/>
        </w:rPr>
        <w:t>.</w:t>
      </w:r>
      <w:r w:rsidR="001B0E5B">
        <w:rPr>
          <w:rFonts w:cs="Times New Roman"/>
          <w:bCs/>
        </w:rPr>
        <w:t>”</w:t>
      </w:r>
      <w:r w:rsidR="001B0E5B">
        <w:rPr>
          <w:rStyle w:val="FootnoteReference"/>
          <w:rFonts w:cs="Times New Roman"/>
          <w:bCs/>
        </w:rPr>
        <w:footnoteReference w:id="536"/>
      </w:r>
      <w:r w:rsidR="009C75A8">
        <w:rPr>
          <w:rFonts w:cs="Times New Roman"/>
          <w:bCs/>
        </w:rPr>
        <w:t xml:space="preserve"> </w:t>
      </w:r>
      <w:r w:rsidR="001B0E5B">
        <w:rPr>
          <w:rFonts w:cs="Times New Roman"/>
          <w:bCs/>
        </w:rPr>
        <w:t xml:space="preserve">  But </w:t>
      </w:r>
      <w:r w:rsidR="002B016B">
        <w:rPr>
          <w:rFonts w:cs="Times New Roman"/>
          <w:bCs/>
        </w:rPr>
        <w:t>the PTAB</w:t>
      </w:r>
      <w:r w:rsidR="002E4055">
        <w:rPr>
          <w:rFonts w:cs="Times New Roman"/>
          <w:bCs/>
        </w:rPr>
        <w:t xml:space="preserve"> construed “treatment</w:t>
      </w:r>
      <w:r w:rsidR="001B0E5B">
        <w:rPr>
          <w:rFonts w:cs="Times New Roman"/>
          <w:bCs/>
        </w:rPr>
        <w:t>”</w:t>
      </w:r>
      <w:r w:rsidR="002E4055">
        <w:rPr>
          <w:rFonts w:cs="Times New Roman"/>
          <w:bCs/>
        </w:rPr>
        <w:t xml:space="preserve"> as</w:t>
      </w:r>
      <w:r w:rsidR="00014623">
        <w:rPr>
          <w:rFonts w:cs="Times New Roman"/>
          <w:bCs/>
        </w:rPr>
        <w:t xml:space="preserve"> also</w:t>
      </w:r>
      <w:r w:rsidR="002E4055">
        <w:rPr>
          <w:rFonts w:cs="Times New Roman"/>
          <w:bCs/>
        </w:rPr>
        <w:t xml:space="preserve"> </w:t>
      </w:r>
      <w:r w:rsidR="002E4055" w:rsidRPr="002E4055">
        <w:rPr>
          <w:rFonts w:cs="Times New Roman"/>
          <w:bCs/>
        </w:rPr>
        <w:t>“includ[ing] the eradication, removal, modification, management or control of a tumor.”</w:t>
      </w:r>
      <w:r w:rsidR="002E4055" w:rsidRPr="002E4055">
        <w:rPr>
          <w:rStyle w:val="FootnoteReference"/>
          <w:rFonts w:cs="Times New Roman"/>
          <w:bCs/>
        </w:rPr>
        <w:t xml:space="preserve"> </w:t>
      </w:r>
      <w:r w:rsidR="002E4055">
        <w:rPr>
          <w:rStyle w:val="FootnoteReference"/>
          <w:rFonts w:cs="Times New Roman"/>
          <w:bCs/>
        </w:rPr>
        <w:footnoteReference w:id="537"/>
      </w:r>
      <w:r w:rsidR="002E4055">
        <w:rPr>
          <w:rFonts w:cs="Times New Roman"/>
          <w:bCs/>
        </w:rPr>
        <w:t xml:space="preserve"> </w:t>
      </w:r>
      <w:r w:rsidR="002E4055" w:rsidRPr="002E4055">
        <w:rPr>
          <w:rFonts w:cs="Times New Roman"/>
          <w:bCs/>
        </w:rPr>
        <w:t xml:space="preserve"> </w:t>
      </w:r>
      <w:r w:rsidR="007F3D4C">
        <w:rPr>
          <w:rFonts w:cs="Times New Roman"/>
          <w:bCs/>
        </w:rPr>
        <w:t>(This led to an obviousness finding.)</w:t>
      </w:r>
    </w:p>
    <w:p w14:paraId="0FE2EFBA" w14:textId="3DC32D5E" w:rsidR="001B0E5B" w:rsidRPr="00406E32" w:rsidRDefault="001B0E5B" w:rsidP="005C69D5">
      <w:pPr>
        <w:ind w:firstLine="720"/>
        <w:outlineLvl w:val="0"/>
        <w:rPr>
          <w:rFonts w:cs="Times New Roman"/>
          <w:bCs/>
        </w:rPr>
      </w:pPr>
      <w:r>
        <w:rPr>
          <w:rFonts w:cs="Times New Roman"/>
          <w:bCs/>
        </w:rPr>
        <w:t>On appeal, the Federal Circuit affirmed.</w:t>
      </w:r>
      <w:r>
        <w:rPr>
          <w:rStyle w:val="FootnoteReference"/>
          <w:rFonts w:cs="Times New Roman"/>
          <w:bCs/>
        </w:rPr>
        <w:footnoteReference w:id="538"/>
      </w:r>
      <w:r w:rsidR="00406E32">
        <w:rPr>
          <w:rFonts w:cs="Times New Roman"/>
          <w:bCs/>
        </w:rPr>
        <w:t xml:space="preserve">  Beginning with the </w:t>
      </w:r>
      <w:r w:rsidR="007F3D4C">
        <w:rPr>
          <w:rFonts w:cs="Times New Roman"/>
          <w:bCs/>
        </w:rPr>
        <w:t>patent’s</w:t>
      </w:r>
      <w:r w:rsidR="00406E32">
        <w:rPr>
          <w:rFonts w:cs="Times New Roman"/>
          <w:bCs/>
        </w:rPr>
        <w:t xml:space="preserve"> language, the court noted that </w:t>
      </w:r>
      <w:r w:rsidR="007F3D4C">
        <w:rPr>
          <w:rFonts w:cs="Times New Roman"/>
          <w:bCs/>
        </w:rPr>
        <w:t>the specification</w:t>
      </w:r>
      <w:r w:rsidR="00406E32">
        <w:rPr>
          <w:rFonts w:cs="Times New Roman"/>
          <w:bCs/>
        </w:rPr>
        <w:t xml:space="preserve"> defined “therapeutic agent” as either “an anti-cancer agent </w:t>
      </w:r>
      <w:r w:rsidR="00406E32">
        <w:rPr>
          <w:rFonts w:cs="Times New Roman"/>
          <w:bCs/>
          <w:i/>
          <w:iCs/>
        </w:rPr>
        <w:t xml:space="preserve">or </w:t>
      </w:r>
      <w:r w:rsidR="00406E32">
        <w:rPr>
          <w:rFonts w:cs="Times New Roman"/>
          <w:bCs/>
        </w:rPr>
        <w:t>a steroid</w:t>
      </w:r>
      <w:r w:rsidR="006964DD">
        <w:rPr>
          <w:rFonts w:cs="Times New Roman"/>
          <w:bCs/>
        </w:rPr>
        <w:t>,</w:t>
      </w:r>
      <w:r w:rsidR="00406E32">
        <w:rPr>
          <w:rFonts w:cs="Times New Roman"/>
          <w:bCs/>
        </w:rPr>
        <w:t>”</w:t>
      </w:r>
      <w:r w:rsidR="00406E32">
        <w:rPr>
          <w:rStyle w:val="FootnoteReference"/>
          <w:rFonts w:cs="Times New Roman"/>
          <w:bCs/>
        </w:rPr>
        <w:footnoteReference w:id="539"/>
      </w:r>
      <w:r w:rsidR="00EA337B">
        <w:rPr>
          <w:rFonts w:cs="Times New Roman"/>
          <w:bCs/>
        </w:rPr>
        <w:t xml:space="preserve"> </w:t>
      </w:r>
      <w:r w:rsidR="006964DD">
        <w:rPr>
          <w:rFonts w:cs="Times New Roman"/>
          <w:bCs/>
        </w:rPr>
        <w:t>and noted that</w:t>
      </w:r>
      <w:r w:rsidR="00EA337B">
        <w:rPr>
          <w:rFonts w:cs="Times New Roman"/>
          <w:bCs/>
        </w:rPr>
        <w:t xml:space="preserve"> prednisone was both an anti-cancer agent and a steroid</w:t>
      </w:r>
      <w:r w:rsidR="006964DD">
        <w:rPr>
          <w:rFonts w:cs="Times New Roman"/>
          <w:bCs/>
        </w:rPr>
        <w:t>.  This made clear that</w:t>
      </w:r>
      <w:r w:rsidR="00EA337B">
        <w:rPr>
          <w:rFonts w:cs="Times New Roman"/>
          <w:bCs/>
        </w:rPr>
        <w:t xml:space="preserve"> </w:t>
      </w:r>
      <w:r w:rsidR="006964DD">
        <w:rPr>
          <w:rFonts w:cs="Times New Roman"/>
          <w:bCs/>
        </w:rPr>
        <w:t>in the language of the patent</w:t>
      </w:r>
      <w:r w:rsidR="00041256">
        <w:rPr>
          <w:rFonts w:cs="Times New Roman"/>
          <w:bCs/>
        </w:rPr>
        <w:t xml:space="preserve"> one could “treat” cancer by </w:t>
      </w:r>
      <w:r w:rsidR="006964DD">
        <w:rPr>
          <w:rFonts w:cs="Times New Roman"/>
          <w:bCs/>
        </w:rPr>
        <w:t>“</w:t>
      </w:r>
      <w:r w:rsidR="00041256" w:rsidRPr="00041256">
        <w:rPr>
          <w:rFonts w:cs="Times New Roman"/>
          <w:bCs/>
        </w:rPr>
        <w:t xml:space="preserve">by having anti-cancer effects or by producing familiar steroid effects of palliation and the reduction of </w:t>
      </w:r>
      <w:r w:rsidR="006964DD">
        <w:rPr>
          <w:rFonts w:cs="Times New Roman"/>
          <w:bCs/>
        </w:rPr>
        <w:t xml:space="preserve">[the abiraterone’s] </w:t>
      </w:r>
      <w:r w:rsidR="00041256" w:rsidRPr="00041256">
        <w:rPr>
          <w:rFonts w:cs="Times New Roman"/>
          <w:bCs/>
        </w:rPr>
        <w:t>side effects.</w:t>
      </w:r>
      <w:r w:rsidR="00041256">
        <w:rPr>
          <w:rFonts w:cs="Times New Roman"/>
          <w:bCs/>
        </w:rPr>
        <w:t>”</w:t>
      </w:r>
      <w:r w:rsidR="00041256">
        <w:rPr>
          <w:rStyle w:val="FootnoteReference"/>
          <w:rFonts w:cs="Times New Roman"/>
          <w:bCs/>
        </w:rPr>
        <w:footnoteReference w:id="540"/>
      </w:r>
      <w:r w:rsidR="009772BB">
        <w:rPr>
          <w:rFonts w:cs="Times New Roman"/>
          <w:bCs/>
        </w:rPr>
        <w:t xml:space="preserve">  The prosecution history provided further support</w:t>
      </w:r>
      <w:r w:rsidR="006964DD">
        <w:rPr>
          <w:rFonts w:cs="Times New Roman"/>
          <w:bCs/>
        </w:rPr>
        <w:t>.</w:t>
      </w:r>
      <w:r w:rsidR="009772BB">
        <w:rPr>
          <w:rFonts w:cs="Times New Roman"/>
          <w:bCs/>
        </w:rPr>
        <w:t xml:space="preserve"> </w:t>
      </w:r>
      <w:r w:rsidR="006964DD">
        <w:rPr>
          <w:rFonts w:cs="Times New Roman"/>
          <w:bCs/>
        </w:rPr>
        <w:t xml:space="preserve"> T</w:t>
      </w:r>
      <w:r w:rsidR="009772BB">
        <w:rPr>
          <w:rFonts w:cs="Times New Roman"/>
          <w:bCs/>
        </w:rPr>
        <w:t>he Tannock re</w:t>
      </w:r>
      <w:r w:rsidR="00773BE2">
        <w:rPr>
          <w:rFonts w:cs="Times New Roman"/>
          <w:bCs/>
        </w:rPr>
        <w:t>ference</w:t>
      </w:r>
      <w:r w:rsidR="000B4F1E">
        <w:rPr>
          <w:rFonts w:cs="Times New Roman"/>
          <w:bCs/>
        </w:rPr>
        <w:t xml:space="preserve"> had</w:t>
      </w:r>
      <w:r w:rsidR="00773BE2">
        <w:rPr>
          <w:rFonts w:cs="Times New Roman"/>
          <w:bCs/>
        </w:rPr>
        <w:t xml:space="preserve"> stated that the “goal of treatment is palliation,” and the ’438 patent</w:t>
      </w:r>
      <w:r w:rsidR="00481BD8">
        <w:rPr>
          <w:rFonts w:cs="Times New Roman"/>
          <w:bCs/>
        </w:rPr>
        <w:t xml:space="preserve">’s validity rested not on having different goals (anti-cancer only) but on having a different, unexpected combination of </w:t>
      </w:r>
      <w:r w:rsidR="00773BE2">
        <w:rPr>
          <w:rFonts w:cs="Times New Roman"/>
          <w:bCs/>
        </w:rPr>
        <w:t>prednisone with another anti-cancer agent.</w:t>
      </w:r>
      <w:r w:rsidR="00773BE2">
        <w:rPr>
          <w:rStyle w:val="FootnoteReference"/>
          <w:rFonts w:cs="Times New Roman"/>
          <w:bCs/>
        </w:rPr>
        <w:footnoteReference w:id="541"/>
      </w:r>
      <w:r w:rsidR="009571BD">
        <w:rPr>
          <w:rFonts w:cs="Times New Roman"/>
          <w:bCs/>
        </w:rPr>
        <w:t xml:space="preserve">  As a result, the claims “</w:t>
      </w:r>
      <w:r w:rsidR="009571BD" w:rsidRPr="009571BD">
        <w:rPr>
          <w:rFonts w:cs="Times New Roman"/>
          <w:bCs/>
        </w:rPr>
        <w:t>cover</w:t>
      </w:r>
      <w:r w:rsidR="009571BD">
        <w:rPr>
          <w:rFonts w:cs="Times New Roman"/>
          <w:bCs/>
        </w:rPr>
        <w:t>[ed]</w:t>
      </w:r>
      <w:r w:rsidR="009571BD" w:rsidRPr="009571BD">
        <w:rPr>
          <w:rFonts w:cs="Times New Roman"/>
          <w:bCs/>
        </w:rPr>
        <w:t xml:space="preserve"> a therapy in which abiraterone has an anti-cancer effect, while pred</w:t>
      </w:r>
      <w:r w:rsidR="00F52403">
        <w:rPr>
          <w:rFonts w:cs="Times New Roman"/>
          <w:bCs/>
        </w:rPr>
        <w:t>nisone either has its own anti-</w:t>
      </w:r>
      <w:r w:rsidR="009571BD" w:rsidRPr="009571BD">
        <w:rPr>
          <w:rFonts w:cs="Times New Roman"/>
          <w:bCs/>
        </w:rPr>
        <w:t>cancer effect or has a palliative/side-effect reduction effect.</w:t>
      </w:r>
      <w:r w:rsidR="009571BD">
        <w:rPr>
          <w:rFonts w:cs="Times New Roman"/>
          <w:bCs/>
        </w:rPr>
        <w:t>”</w:t>
      </w:r>
      <w:r w:rsidR="009571BD" w:rsidRPr="009571BD">
        <w:rPr>
          <w:rStyle w:val="FootnoteReference"/>
          <w:rFonts w:cs="Times New Roman"/>
          <w:bCs/>
        </w:rPr>
        <w:t xml:space="preserve"> </w:t>
      </w:r>
      <w:r w:rsidR="009571BD">
        <w:rPr>
          <w:rStyle w:val="FootnoteReference"/>
          <w:rFonts w:cs="Times New Roman"/>
          <w:bCs/>
        </w:rPr>
        <w:footnoteReference w:id="542"/>
      </w:r>
      <w:r w:rsidR="007F13B0">
        <w:rPr>
          <w:rFonts w:cs="Times New Roman"/>
          <w:bCs/>
        </w:rPr>
        <w:t xml:space="preserve"> (</w:t>
      </w:r>
      <w:r w:rsidR="0072133E">
        <w:rPr>
          <w:rFonts w:cs="Times New Roman"/>
          <w:bCs/>
        </w:rPr>
        <w:t>T</w:t>
      </w:r>
      <w:r w:rsidR="007F13B0">
        <w:rPr>
          <w:rFonts w:cs="Times New Roman"/>
          <w:bCs/>
        </w:rPr>
        <w:t>he obviousness finding was affirmed.)</w:t>
      </w:r>
    </w:p>
    <w:p w14:paraId="630E3FA5" w14:textId="19DBE952" w:rsidR="00275CC2" w:rsidRDefault="00275CC2" w:rsidP="00275CC2">
      <w:pPr>
        <w:pStyle w:val="Heading4"/>
        <w:rPr>
          <w:i/>
        </w:rPr>
      </w:pPr>
      <w:bookmarkStart w:id="64" w:name="_Toc26792784"/>
      <w:r>
        <w:rPr>
          <w:i/>
        </w:rPr>
        <w:t>Amgen Inc. v. Sandoz Inc</w:t>
      </w:r>
      <w:r>
        <w:t>, 923 F.3d 1023 (Fed. Cir. May 8, 2019)</w:t>
      </w:r>
      <w:bookmarkEnd w:id="64"/>
      <w:r>
        <w:rPr>
          <w:i/>
        </w:rPr>
        <w:t xml:space="preserve"> </w:t>
      </w:r>
    </w:p>
    <w:p w14:paraId="34AC9760" w14:textId="0250A5DE" w:rsidR="00275CC2" w:rsidRDefault="00275CC2" w:rsidP="00275CC2">
      <w:pPr>
        <w:ind w:firstLine="720"/>
        <w:outlineLvl w:val="0"/>
        <w:rPr>
          <w:rFonts w:cs="Times New Roman"/>
          <w:bCs/>
        </w:rPr>
      </w:pPr>
      <w:r>
        <w:rPr>
          <w:rFonts w:cs="Times New Roman"/>
          <w:bCs/>
        </w:rPr>
        <w:t xml:space="preserve">In this appeal from the </w:t>
      </w:r>
      <w:r w:rsidR="00AC6EF3">
        <w:rPr>
          <w:rFonts w:cs="Times New Roman"/>
          <w:bCs/>
        </w:rPr>
        <w:t>Northern District of California,</w:t>
      </w:r>
      <w:r>
        <w:rPr>
          <w:rFonts w:cs="Times New Roman"/>
          <w:bCs/>
        </w:rPr>
        <w:t xml:space="preserve"> the Federal Circuit </w:t>
      </w:r>
      <w:r w:rsidR="00B62D7B">
        <w:rPr>
          <w:rFonts w:cs="Times New Roman"/>
          <w:bCs/>
        </w:rPr>
        <w:t xml:space="preserve">affirmed the construction </w:t>
      </w:r>
      <w:r w:rsidR="005204BF">
        <w:rPr>
          <w:rFonts w:cs="Times New Roman"/>
          <w:bCs/>
        </w:rPr>
        <w:t>that two steps in a claimed process were not infringed literally or under the doctrine of equivalents by a process that used one step,</w:t>
      </w:r>
      <w:r>
        <w:rPr>
          <w:rStyle w:val="FootnoteReference"/>
          <w:rFonts w:cs="Times New Roman"/>
          <w:bCs/>
        </w:rPr>
        <w:footnoteReference w:id="543"/>
      </w:r>
      <w:r w:rsidR="005204BF">
        <w:rPr>
          <w:rFonts w:cs="Times New Roman"/>
          <w:bCs/>
        </w:rPr>
        <w:t xml:space="preserve"> and that a claim limited</w:t>
      </w:r>
      <w:r w:rsidR="00373571">
        <w:rPr>
          <w:rFonts w:cs="Times New Roman"/>
          <w:bCs/>
        </w:rPr>
        <w:t xml:space="preserve"> by its preamble</w:t>
      </w:r>
      <w:r w:rsidR="005204BF">
        <w:rPr>
          <w:rFonts w:cs="Times New Roman"/>
          <w:bCs/>
        </w:rPr>
        <w:t xml:space="preserve"> </w:t>
      </w:r>
      <w:r w:rsidR="008E5820">
        <w:rPr>
          <w:rFonts w:cs="Times New Roman"/>
          <w:bCs/>
        </w:rPr>
        <w:t xml:space="preserve">to </w:t>
      </w:r>
      <w:r w:rsidR="005204BF">
        <w:rPr>
          <w:rFonts w:cs="Times New Roman"/>
          <w:bCs/>
        </w:rPr>
        <w:t xml:space="preserve">treating diseases </w:t>
      </w:r>
      <w:r w:rsidR="00373571">
        <w:rPr>
          <w:rFonts w:cs="Times New Roman"/>
          <w:bCs/>
        </w:rPr>
        <w:t>was not infringed by other uses.</w:t>
      </w:r>
      <w:r w:rsidR="00373571">
        <w:rPr>
          <w:rStyle w:val="FootnoteReference"/>
          <w:rFonts w:cs="Times New Roman"/>
          <w:bCs/>
        </w:rPr>
        <w:footnoteReference w:id="544"/>
      </w:r>
      <w:r w:rsidR="00373571">
        <w:rPr>
          <w:rFonts w:cs="Times New Roman"/>
          <w:bCs/>
        </w:rPr>
        <w:t xml:space="preserve"> </w:t>
      </w:r>
    </w:p>
    <w:p w14:paraId="10BA52DD" w14:textId="42314F83" w:rsidR="003C0A3D" w:rsidRDefault="00AC6EF3" w:rsidP="00AC6EF3">
      <w:pPr>
        <w:outlineLvl w:val="0"/>
        <w:rPr>
          <w:rFonts w:cs="Times New Roman"/>
          <w:bCs/>
        </w:rPr>
      </w:pPr>
      <w:r>
        <w:rPr>
          <w:rFonts w:cs="Times New Roman"/>
          <w:bCs/>
        </w:rPr>
        <w:tab/>
        <w:t xml:space="preserve">The case concerned patented </w:t>
      </w:r>
      <w:r w:rsidR="005B1641">
        <w:rPr>
          <w:rFonts w:cs="Times New Roman"/>
          <w:bCs/>
        </w:rPr>
        <w:t>biologics</w:t>
      </w:r>
      <w:r w:rsidR="003E1E3B">
        <w:rPr>
          <w:rFonts w:cs="Times New Roman"/>
          <w:bCs/>
        </w:rPr>
        <w:t xml:space="preserve"> used in treating white blood cell deficiencies</w:t>
      </w:r>
      <w:r w:rsidR="00516A95">
        <w:rPr>
          <w:rFonts w:cs="Times New Roman"/>
          <w:bCs/>
        </w:rPr>
        <w:t xml:space="preserve"> resulting from chemotherapy</w:t>
      </w:r>
      <w:r>
        <w:rPr>
          <w:rFonts w:cs="Times New Roman"/>
          <w:bCs/>
        </w:rPr>
        <w:t>.</w:t>
      </w:r>
      <w:r>
        <w:rPr>
          <w:rStyle w:val="FootnoteReference"/>
          <w:rFonts w:cs="Times New Roman"/>
          <w:bCs/>
        </w:rPr>
        <w:footnoteReference w:id="545"/>
      </w:r>
      <w:r w:rsidR="003E1E3B">
        <w:rPr>
          <w:rFonts w:cs="Times New Roman"/>
          <w:bCs/>
        </w:rPr>
        <w:t xml:space="preserve">  Sandoz’s </w:t>
      </w:r>
      <w:r w:rsidR="003F423D">
        <w:rPr>
          <w:rFonts w:cs="Times New Roman"/>
          <w:bCs/>
        </w:rPr>
        <w:t>production and use of</w:t>
      </w:r>
      <w:r w:rsidR="000D39AE">
        <w:rPr>
          <w:rFonts w:cs="Times New Roman"/>
          <w:bCs/>
        </w:rPr>
        <w:t xml:space="preserve"> its patented</w:t>
      </w:r>
      <w:r w:rsidR="003F423D">
        <w:rPr>
          <w:rFonts w:cs="Times New Roman"/>
          <w:bCs/>
        </w:rPr>
        <w:t xml:space="preserve"> biosimilars </w:t>
      </w:r>
      <w:r w:rsidR="00AF40A7">
        <w:rPr>
          <w:rFonts w:cs="Times New Roman"/>
          <w:bCs/>
        </w:rPr>
        <w:t xml:space="preserve">allegedly </w:t>
      </w:r>
      <w:r w:rsidR="000D39AE">
        <w:rPr>
          <w:rFonts w:cs="Times New Roman"/>
          <w:bCs/>
        </w:rPr>
        <w:t>infringe</w:t>
      </w:r>
      <w:r w:rsidR="00AF40A7">
        <w:rPr>
          <w:rFonts w:cs="Times New Roman"/>
          <w:bCs/>
        </w:rPr>
        <w:t>d</w:t>
      </w:r>
      <w:r w:rsidR="003E1E3B">
        <w:rPr>
          <w:rFonts w:cs="Times New Roman"/>
          <w:bCs/>
        </w:rPr>
        <w:t xml:space="preserve"> Amgen’s</w:t>
      </w:r>
      <w:r w:rsidR="003F423D">
        <w:rPr>
          <w:rFonts w:cs="Times New Roman"/>
          <w:bCs/>
        </w:rPr>
        <w:t xml:space="preserve"> patents</w:t>
      </w:r>
      <w:r w:rsidR="0065257D">
        <w:rPr>
          <w:rFonts w:cs="Times New Roman"/>
          <w:bCs/>
        </w:rPr>
        <w:t xml:space="preserve"> </w:t>
      </w:r>
      <w:r w:rsidR="007356F4">
        <w:rPr>
          <w:rFonts w:cs="Times New Roman"/>
          <w:bCs/>
        </w:rPr>
        <w:t>—</w:t>
      </w:r>
      <w:r w:rsidR="0065257D">
        <w:rPr>
          <w:rFonts w:cs="Times New Roman"/>
          <w:bCs/>
        </w:rPr>
        <w:t xml:space="preserve"> </w:t>
      </w:r>
      <w:r w:rsidR="007356F4">
        <w:rPr>
          <w:rFonts w:cs="Times New Roman"/>
          <w:bCs/>
        </w:rPr>
        <w:t xml:space="preserve">specifically the ’878 patent related to purifying the biologic protein of interest, and the ’427 patent related to using the biologic </w:t>
      </w:r>
      <w:r w:rsidR="007356F4">
        <w:rPr>
          <w:rFonts w:cs="Times New Roman"/>
          <w:bCs/>
        </w:rPr>
        <w:lastRenderedPageBreak/>
        <w:t>to mobilize</w:t>
      </w:r>
      <w:r w:rsidR="00516A95">
        <w:rPr>
          <w:rFonts w:cs="Times New Roman"/>
          <w:bCs/>
        </w:rPr>
        <w:t xml:space="preserve"> stem cells </w:t>
      </w:r>
      <w:r w:rsidR="00AF40A7">
        <w:rPr>
          <w:rFonts w:cs="Times New Roman"/>
          <w:bCs/>
        </w:rPr>
        <w:t xml:space="preserve">before </w:t>
      </w:r>
      <w:r w:rsidR="00516A95">
        <w:rPr>
          <w:rFonts w:cs="Times New Roman"/>
          <w:bCs/>
        </w:rPr>
        <w:t>chemotherapy</w:t>
      </w:r>
      <w:r w:rsidR="003E1E3B">
        <w:rPr>
          <w:rFonts w:cs="Times New Roman"/>
          <w:bCs/>
        </w:rPr>
        <w:t>.</w:t>
      </w:r>
      <w:r w:rsidR="003E1E3B">
        <w:rPr>
          <w:rStyle w:val="FootnoteReference"/>
          <w:rFonts w:cs="Times New Roman"/>
          <w:bCs/>
        </w:rPr>
        <w:footnoteReference w:id="546"/>
      </w:r>
      <w:r w:rsidR="003F423D">
        <w:rPr>
          <w:rFonts w:cs="Times New Roman"/>
          <w:bCs/>
        </w:rPr>
        <w:t xml:space="preserve">  </w:t>
      </w:r>
      <w:r w:rsidR="00AF29C4">
        <w:rPr>
          <w:rFonts w:cs="Times New Roman"/>
          <w:bCs/>
        </w:rPr>
        <w:t>As to the ’878 patent,</w:t>
      </w:r>
      <w:r w:rsidR="00F373EF">
        <w:rPr>
          <w:rFonts w:cs="Times New Roman"/>
          <w:bCs/>
        </w:rPr>
        <w:t xml:space="preserve"> </w:t>
      </w:r>
      <w:r w:rsidR="00AF29C4">
        <w:rPr>
          <w:rFonts w:cs="Times New Roman"/>
          <w:bCs/>
        </w:rPr>
        <w:t xml:space="preserve">the </w:t>
      </w:r>
      <w:r w:rsidR="00F373EF">
        <w:rPr>
          <w:rFonts w:cs="Times New Roman"/>
          <w:bCs/>
        </w:rPr>
        <w:t>district court found that Sandoz’s pu</w:t>
      </w:r>
      <w:r w:rsidR="00AF29C4">
        <w:rPr>
          <w:rFonts w:cs="Times New Roman"/>
          <w:bCs/>
        </w:rPr>
        <w:t xml:space="preserve">rifying process </w:t>
      </w:r>
      <w:r w:rsidR="00B37856">
        <w:rPr>
          <w:rFonts w:cs="Times New Roman"/>
          <w:bCs/>
        </w:rPr>
        <w:t>simultaneously performed washing and elution, whereas Amgen’s patent claimed only the process wherein washing is first performed and then elution is performed.</w:t>
      </w:r>
      <w:r w:rsidR="00B37856">
        <w:rPr>
          <w:rStyle w:val="FootnoteReference"/>
          <w:rFonts w:cs="Times New Roman"/>
          <w:bCs/>
        </w:rPr>
        <w:footnoteReference w:id="547"/>
      </w:r>
      <w:r w:rsidR="00B37856">
        <w:rPr>
          <w:rFonts w:cs="Times New Roman"/>
          <w:bCs/>
        </w:rPr>
        <w:t xml:space="preserve"> </w:t>
      </w:r>
      <w:r w:rsidR="000F21FA">
        <w:rPr>
          <w:rFonts w:cs="Times New Roman"/>
          <w:bCs/>
        </w:rPr>
        <w:t xml:space="preserve"> This failed to infringe</w:t>
      </w:r>
      <w:r w:rsidR="00AF29C4">
        <w:rPr>
          <w:rFonts w:cs="Times New Roman"/>
          <w:bCs/>
        </w:rPr>
        <w:t xml:space="preserve"> </w:t>
      </w:r>
      <w:r w:rsidR="000F21FA">
        <w:rPr>
          <w:rFonts w:cs="Times New Roman"/>
          <w:bCs/>
        </w:rPr>
        <w:t>literally or under the doctrine of equivalents.</w:t>
      </w:r>
      <w:r w:rsidR="000F21FA">
        <w:rPr>
          <w:rStyle w:val="FootnoteReference"/>
          <w:rFonts w:cs="Times New Roman"/>
          <w:bCs/>
        </w:rPr>
        <w:footnoteReference w:id="548"/>
      </w:r>
      <w:r w:rsidR="00F41D78">
        <w:rPr>
          <w:rFonts w:cs="Times New Roman"/>
          <w:bCs/>
        </w:rPr>
        <w:t xml:space="preserve">  As to the ’427 patent, the district court found that</w:t>
      </w:r>
      <w:r w:rsidR="007D6526">
        <w:rPr>
          <w:rFonts w:cs="Times New Roman"/>
          <w:bCs/>
        </w:rPr>
        <w:t xml:space="preserve"> Amgen’s patent was limited to “disease treating-effective amount[s],” whereas Sandoz had used only an amount of the biologic</w:t>
      </w:r>
      <w:r w:rsidR="008B634A">
        <w:rPr>
          <w:rFonts w:cs="Times New Roman"/>
          <w:bCs/>
        </w:rPr>
        <w:t xml:space="preserve"> sufficient to mobilize stem cells without treating a disease.</w:t>
      </w:r>
      <w:r w:rsidR="00E0383A">
        <w:rPr>
          <w:rStyle w:val="FootnoteReference"/>
          <w:rFonts w:cs="Times New Roman"/>
          <w:bCs/>
        </w:rPr>
        <w:footnoteReference w:id="549"/>
      </w:r>
      <w:r w:rsidR="007D6526">
        <w:rPr>
          <w:rFonts w:cs="Times New Roman"/>
          <w:bCs/>
        </w:rPr>
        <w:t xml:space="preserve">  </w:t>
      </w:r>
    </w:p>
    <w:p w14:paraId="1B673FFB" w14:textId="08897178" w:rsidR="00275CC2" w:rsidRPr="00E81537" w:rsidRDefault="003C0A3D" w:rsidP="006E2685">
      <w:pPr>
        <w:ind w:firstLine="720"/>
        <w:outlineLvl w:val="0"/>
        <w:rPr>
          <w:rFonts w:cs="Times New Roman"/>
          <w:bCs/>
        </w:rPr>
      </w:pPr>
      <w:r>
        <w:rPr>
          <w:rFonts w:cs="Times New Roman"/>
          <w:bCs/>
        </w:rPr>
        <w:t>On appeal, the Federal Circuit affirmed</w:t>
      </w:r>
      <w:r w:rsidR="008B634A">
        <w:rPr>
          <w:rFonts w:cs="Times New Roman"/>
          <w:bCs/>
        </w:rPr>
        <w:t xml:space="preserve"> both constructions</w:t>
      </w:r>
      <w:r>
        <w:rPr>
          <w:rFonts w:cs="Times New Roman"/>
          <w:bCs/>
        </w:rPr>
        <w:t xml:space="preserve">.  </w:t>
      </w:r>
      <w:r w:rsidR="008B634A">
        <w:rPr>
          <w:rFonts w:cs="Times New Roman"/>
          <w:bCs/>
        </w:rPr>
        <w:t xml:space="preserve">For the ’878 patent, </w:t>
      </w:r>
      <w:r w:rsidR="00B37856">
        <w:rPr>
          <w:rFonts w:cs="Times New Roman"/>
          <w:bCs/>
        </w:rPr>
        <w:t>“</w:t>
      </w:r>
      <w:r w:rsidR="008B634A">
        <w:rPr>
          <w:rFonts w:cs="Times New Roman"/>
          <w:bCs/>
        </w:rPr>
        <w:t>t</w:t>
      </w:r>
      <w:r w:rsidR="00B37856" w:rsidRPr="00B37856">
        <w:rPr>
          <w:rFonts w:cs="Times New Roman"/>
          <w:bCs/>
        </w:rPr>
        <w:t>he claim language logically requires that the process steps, lettered (a) through (g), be performed in sequence.</w:t>
      </w:r>
      <w:r w:rsidR="00B37856">
        <w:rPr>
          <w:rFonts w:cs="Times New Roman"/>
          <w:bCs/>
        </w:rPr>
        <w:t>”</w:t>
      </w:r>
      <w:r w:rsidR="00B37856">
        <w:rPr>
          <w:rStyle w:val="FootnoteReference"/>
          <w:rFonts w:cs="Times New Roman"/>
          <w:bCs/>
        </w:rPr>
        <w:footnoteReference w:id="550"/>
      </w:r>
      <w:r w:rsidR="00B37856">
        <w:rPr>
          <w:rFonts w:cs="Times New Roman"/>
          <w:bCs/>
        </w:rPr>
        <w:t xml:space="preserve"> </w:t>
      </w:r>
      <w:r w:rsidR="00787EFC">
        <w:rPr>
          <w:rFonts w:cs="Times New Roman"/>
          <w:bCs/>
        </w:rPr>
        <w:t xml:space="preserve"> Further, the specification characterized the two steps as occurring in two different solutions, logically requiring that </w:t>
      </w:r>
      <w:r w:rsidR="004418E7">
        <w:rPr>
          <w:rFonts w:cs="Times New Roman"/>
          <w:bCs/>
        </w:rPr>
        <w:t>Amgen’s</w:t>
      </w:r>
      <w:r w:rsidR="00787EFC">
        <w:rPr>
          <w:rFonts w:cs="Times New Roman"/>
          <w:bCs/>
        </w:rPr>
        <w:t xml:space="preserve"> two steps could </w:t>
      </w:r>
      <w:r w:rsidR="00DD1F03">
        <w:rPr>
          <w:rFonts w:cs="Times New Roman"/>
          <w:bCs/>
        </w:rPr>
        <w:t>not</w:t>
      </w:r>
      <w:r w:rsidR="00787EFC">
        <w:rPr>
          <w:rFonts w:cs="Times New Roman"/>
          <w:bCs/>
        </w:rPr>
        <w:t xml:space="preserve"> </w:t>
      </w:r>
      <w:r w:rsidR="00DD1F03">
        <w:rPr>
          <w:rFonts w:cs="Times New Roman"/>
          <w:bCs/>
        </w:rPr>
        <w:t>be completed</w:t>
      </w:r>
      <w:r w:rsidR="00787EFC">
        <w:rPr>
          <w:rFonts w:cs="Times New Roman"/>
          <w:bCs/>
        </w:rPr>
        <w:t xml:space="preserve"> simultaneously.</w:t>
      </w:r>
      <w:r w:rsidR="00787EFC" w:rsidRPr="00787EFC">
        <w:rPr>
          <w:rStyle w:val="FootnoteReference"/>
          <w:rFonts w:cs="Times New Roman"/>
          <w:bCs/>
        </w:rPr>
        <w:t xml:space="preserve"> </w:t>
      </w:r>
      <w:r w:rsidR="00787EFC">
        <w:rPr>
          <w:rStyle w:val="FootnoteReference"/>
          <w:rFonts w:cs="Times New Roman"/>
          <w:bCs/>
        </w:rPr>
        <w:footnoteReference w:id="551"/>
      </w:r>
      <w:r w:rsidR="00B37856">
        <w:rPr>
          <w:rFonts w:cs="Times New Roman"/>
          <w:bCs/>
        </w:rPr>
        <w:t xml:space="preserve"> </w:t>
      </w:r>
      <w:r w:rsidR="005E04CC">
        <w:rPr>
          <w:rFonts w:cs="Times New Roman"/>
          <w:bCs/>
        </w:rPr>
        <w:t xml:space="preserve"> </w:t>
      </w:r>
      <w:r w:rsidR="000F21FA">
        <w:rPr>
          <w:rFonts w:cs="Times New Roman"/>
          <w:bCs/>
        </w:rPr>
        <w:t xml:space="preserve">Thus rejecting literal infringement, </w:t>
      </w:r>
      <w:r w:rsidR="00744A99">
        <w:rPr>
          <w:rFonts w:cs="Times New Roman"/>
          <w:bCs/>
        </w:rPr>
        <w:t>the court</w:t>
      </w:r>
      <w:r w:rsidR="000F21FA">
        <w:rPr>
          <w:rFonts w:cs="Times New Roman"/>
          <w:bCs/>
        </w:rPr>
        <w:t xml:space="preserve"> turned to the doctrine of equivalents.  </w:t>
      </w:r>
      <w:r w:rsidR="00744A99">
        <w:rPr>
          <w:rFonts w:cs="Times New Roman"/>
          <w:bCs/>
        </w:rPr>
        <w:t>It</w:t>
      </w:r>
      <w:r w:rsidR="000F21FA">
        <w:rPr>
          <w:rFonts w:cs="Times New Roman"/>
          <w:bCs/>
        </w:rPr>
        <w:t xml:space="preserve"> affirmed that “Sandoz’s one-step, one-solution process does not function in the same way as the claimed [multi-step, multi-solution] process.”</w:t>
      </w:r>
      <w:r w:rsidR="000F21FA" w:rsidRPr="000F21FA">
        <w:rPr>
          <w:rStyle w:val="FootnoteReference"/>
          <w:rFonts w:cs="Times New Roman"/>
          <w:bCs/>
        </w:rPr>
        <w:t xml:space="preserve"> </w:t>
      </w:r>
      <w:r w:rsidR="000F21FA">
        <w:rPr>
          <w:rStyle w:val="FootnoteReference"/>
          <w:rFonts w:cs="Times New Roman"/>
          <w:bCs/>
        </w:rPr>
        <w:footnoteReference w:id="552"/>
      </w:r>
      <w:r w:rsidR="005E04CC">
        <w:rPr>
          <w:rFonts w:cs="Times New Roman"/>
          <w:bCs/>
        </w:rPr>
        <w:t xml:space="preserve">  “</w:t>
      </w:r>
      <w:r w:rsidR="005E04CC" w:rsidRPr="005E04CC">
        <w:rPr>
          <w:rFonts w:cs="Times New Roman"/>
          <w:bCs/>
        </w:rPr>
        <w:t xml:space="preserve">The doctrine of equivalents applies only in exceptional cases and is not </w:t>
      </w:r>
      <w:r w:rsidR="005E04CC">
        <w:rPr>
          <w:rFonts w:cs="Times New Roman"/>
          <w:bCs/>
        </w:rPr>
        <w:t>‘</w:t>
      </w:r>
      <w:r w:rsidR="005E04CC" w:rsidRPr="005E04CC">
        <w:rPr>
          <w:rFonts w:cs="Times New Roman"/>
          <w:bCs/>
        </w:rPr>
        <w:t>simply the second prong of every infringement charge, regularly available to extend protection beyond the scope of</w:t>
      </w:r>
      <w:r w:rsidR="005E04CC">
        <w:rPr>
          <w:rFonts w:cs="Times New Roman"/>
          <w:bCs/>
        </w:rPr>
        <w:t xml:space="preserve"> </w:t>
      </w:r>
      <w:r w:rsidR="005E04CC" w:rsidRPr="005E04CC">
        <w:rPr>
          <w:rFonts w:cs="Times New Roman"/>
          <w:bCs/>
        </w:rPr>
        <w:t>the claims.</w:t>
      </w:r>
      <w:r w:rsidR="005E04CC">
        <w:rPr>
          <w:rFonts w:cs="Times New Roman"/>
          <w:bCs/>
        </w:rPr>
        <w:t>’</w:t>
      </w:r>
      <w:r w:rsidR="005E04CC" w:rsidRPr="005E04CC">
        <w:rPr>
          <w:rFonts w:cs="Times New Roman"/>
          <w:bCs/>
        </w:rPr>
        <w:t>”</w:t>
      </w:r>
      <w:r w:rsidR="005E04CC">
        <w:rPr>
          <w:rStyle w:val="FootnoteReference"/>
          <w:rFonts w:cs="Times New Roman"/>
          <w:bCs/>
        </w:rPr>
        <w:footnoteReference w:id="553"/>
      </w:r>
      <w:r w:rsidR="00744A99">
        <w:rPr>
          <w:rFonts w:cs="Times New Roman"/>
          <w:bCs/>
        </w:rPr>
        <w:t xml:space="preserve">  </w:t>
      </w:r>
      <w:r w:rsidR="00DD1F03">
        <w:rPr>
          <w:rFonts w:cs="Times New Roman"/>
          <w:bCs/>
        </w:rPr>
        <w:t>As for</w:t>
      </w:r>
      <w:r w:rsidR="00744A99">
        <w:rPr>
          <w:rFonts w:cs="Times New Roman"/>
          <w:bCs/>
        </w:rPr>
        <w:t xml:space="preserve"> the ’427 patent, the court affirmed the district court’s construction</w:t>
      </w:r>
      <w:r w:rsidR="00DD1F03">
        <w:rPr>
          <w:rFonts w:cs="Times New Roman"/>
          <w:bCs/>
        </w:rPr>
        <w:t>.</w:t>
      </w:r>
      <w:r w:rsidR="00744A99">
        <w:rPr>
          <w:rFonts w:cs="Times New Roman"/>
          <w:bCs/>
        </w:rPr>
        <w:t xml:space="preserve"> </w:t>
      </w:r>
      <w:r w:rsidR="00DD1F03">
        <w:rPr>
          <w:rFonts w:cs="Times New Roman"/>
          <w:bCs/>
        </w:rPr>
        <w:t xml:space="preserve"> T</w:t>
      </w:r>
      <w:r w:rsidR="00744A99">
        <w:rPr>
          <w:rFonts w:cs="Times New Roman"/>
          <w:bCs/>
        </w:rPr>
        <w:t>he preamble</w:t>
      </w:r>
      <w:r w:rsidR="00AD75E8">
        <w:rPr>
          <w:rFonts w:cs="Times New Roman"/>
          <w:bCs/>
        </w:rPr>
        <w:t xml:space="preserve"> “disease treating-effective amount”</w:t>
      </w:r>
      <w:r w:rsidR="00744A99">
        <w:rPr>
          <w:rFonts w:cs="Times New Roman"/>
          <w:bCs/>
        </w:rPr>
        <w:t xml:space="preserve"> </w:t>
      </w:r>
      <w:r w:rsidR="00DD1F03">
        <w:rPr>
          <w:rFonts w:cs="Times New Roman"/>
          <w:bCs/>
        </w:rPr>
        <w:t>w</w:t>
      </w:r>
      <w:r w:rsidR="00744A99">
        <w:rPr>
          <w:rFonts w:cs="Times New Roman"/>
          <w:bCs/>
        </w:rPr>
        <w:t>as a limitation</w:t>
      </w:r>
      <w:r w:rsidR="00AD75E8">
        <w:rPr>
          <w:rFonts w:cs="Times New Roman"/>
          <w:bCs/>
        </w:rPr>
        <w:t>.</w:t>
      </w:r>
      <w:r w:rsidR="00DD1F03">
        <w:rPr>
          <w:rStyle w:val="FootnoteReference"/>
          <w:rFonts w:cs="Times New Roman"/>
          <w:bCs/>
        </w:rPr>
        <w:footnoteReference w:id="554"/>
      </w:r>
      <w:r w:rsidR="00AD75E8">
        <w:rPr>
          <w:rFonts w:cs="Times New Roman"/>
          <w:bCs/>
        </w:rPr>
        <w:t xml:space="preserve">  “</w:t>
      </w:r>
      <w:r w:rsidR="00AD75E8" w:rsidRPr="00AD75E8">
        <w:rPr>
          <w:rFonts w:cs="Times New Roman"/>
          <w:bCs/>
        </w:rPr>
        <w:t>Had Amgen simply wanted to claim a method of mobilizing stem cells, in any context, it could have done so.</w:t>
      </w:r>
      <w:r w:rsidR="00AD75E8">
        <w:rPr>
          <w:rFonts w:cs="Times New Roman"/>
          <w:bCs/>
        </w:rPr>
        <w:t>”</w:t>
      </w:r>
      <w:r w:rsidR="00AD75E8">
        <w:rPr>
          <w:rStyle w:val="FootnoteReference"/>
          <w:rFonts w:cs="Times New Roman"/>
          <w:bCs/>
        </w:rPr>
        <w:footnoteReference w:id="555"/>
      </w:r>
      <w:r w:rsidR="00762338">
        <w:rPr>
          <w:rFonts w:cs="Times New Roman"/>
          <w:bCs/>
        </w:rPr>
        <w:t xml:space="preserve">  The court’s decision appeared to rest on the difference in uses (treating disease versus mobilizing cells), and not </w:t>
      </w:r>
      <w:r w:rsidR="00C31BA5">
        <w:rPr>
          <w:rFonts w:cs="Times New Roman"/>
          <w:bCs/>
        </w:rPr>
        <w:t xml:space="preserve">only </w:t>
      </w:r>
      <w:r w:rsidR="00762338">
        <w:rPr>
          <w:rFonts w:cs="Times New Roman"/>
          <w:bCs/>
        </w:rPr>
        <w:t>on the difference in amounts effective for each use</w:t>
      </w:r>
      <w:r w:rsidR="00C31BA5">
        <w:rPr>
          <w:rFonts w:cs="Times New Roman"/>
          <w:bCs/>
        </w:rPr>
        <w:t xml:space="preserve"> </w:t>
      </w:r>
      <w:r w:rsidR="003478CF">
        <w:rPr>
          <w:rFonts w:cs="Times New Roman"/>
          <w:bCs/>
        </w:rPr>
        <w:t>—</w:t>
      </w:r>
      <w:r w:rsidR="00C31BA5">
        <w:rPr>
          <w:rFonts w:cs="Times New Roman"/>
          <w:bCs/>
        </w:rPr>
        <w:t xml:space="preserve"> </w:t>
      </w:r>
      <w:r w:rsidR="003478CF">
        <w:rPr>
          <w:rFonts w:cs="Times New Roman"/>
          <w:bCs/>
        </w:rPr>
        <w:t xml:space="preserve">suggesting an appetite for reading preamble limitations broadly. </w:t>
      </w:r>
    </w:p>
    <w:p w14:paraId="0FDA8A82" w14:textId="015A68A6" w:rsidR="007A5E28" w:rsidRPr="006F1DFB" w:rsidRDefault="006F1DFB" w:rsidP="00136E52">
      <w:pPr>
        <w:pStyle w:val="Heading4"/>
      </w:pPr>
      <w:bookmarkStart w:id="65" w:name="_Toc26792785"/>
      <w:r>
        <w:rPr>
          <w:i/>
        </w:rPr>
        <w:t>Du Pont v. Unifrax I LLC</w:t>
      </w:r>
      <w:r>
        <w:t>, No. 2017-2575, 2019 WL 1646491 (Fed. Cir. Apr. 17, 2019)</w:t>
      </w:r>
      <w:bookmarkEnd w:id="65"/>
      <w:r>
        <w:rPr>
          <w:i/>
        </w:rPr>
        <w:t xml:space="preserve"> </w:t>
      </w:r>
    </w:p>
    <w:p w14:paraId="7E7DCB8A" w14:textId="020EBF25" w:rsidR="007A5E28" w:rsidRDefault="006F1DFB" w:rsidP="007A5E28">
      <w:r>
        <w:tab/>
        <w:t>In this appeal from the District of Delaware, the Federal Circuit affirmed the district court’s construction that the claim limitation “100% by weight”</w:t>
      </w:r>
      <w:r w:rsidRPr="005A669A">
        <w:rPr>
          <w:rStyle w:val="FootnoteReference"/>
        </w:rPr>
        <w:footnoteReference w:id="556"/>
      </w:r>
      <w:r w:rsidR="001E4F82">
        <w:t xml:space="preserve"> permitted some residual dispersant.</w:t>
      </w:r>
    </w:p>
    <w:p w14:paraId="144CAA2D" w14:textId="7EF88EE2" w:rsidR="003E2ED3" w:rsidRDefault="003E2ED3" w:rsidP="007A5E28">
      <w:r>
        <w:tab/>
        <w:t xml:space="preserve">The </w:t>
      </w:r>
      <w:r w:rsidR="00B04382">
        <w:t>dispute concerned the ’926 patent, a continuation-in-part of the ’027 patent, which disclosed a flame barrier laminate for thermal and acoustic insulation in airplane fuselages.</w:t>
      </w:r>
      <w:r w:rsidR="00B04382" w:rsidRPr="005A669A">
        <w:rPr>
          <w:rStyle w:val="FootnoteReference"/>
        </w:rPr>
        <w:footnoteReference w:id="557"/>
      </w:r>
      <w:r w:rsidR="00140C22">
        <w:t xml:space="preserve"> The multilayer laminate </w:t>
      </w:r>
      <w:r w:rsidR="001F4C0A">
        <w:t>comprise</w:t>
      </w:r>
      <w:r w:rsidR="00EC3F8D">
        <w:t>d</w:t>
      </w:r>
      <w:r w:rsidR="001F4C0A">
        <w:t xml:space="preserve"> in part “an inorganic refractory layer,” in turn comprising “platelets in an amount of </w:t>
      </w:r>
      <w:r w:rsidR="001F4C0A">
        <w:rPr>
          <w:i/>
        </w:rPr>
        <w:t xml:space="preserve">100% by weight </w:t>
      </w:r>
      <w:r w:rsidR="001F4C0A">
        <w:t xml:space="preserve">with a dry areal weight of 15 </w:t>
      </w:r>
      <w:r w:rsidR="001F4C0A">
        <w:lastRenderedPageBreak/>
        <w:t>to 50 gsm and a residual moisture content of no greater than 10 percent by weight.”</w:t>
      </w:r>
      <w:r w:rsidR="001F4C0A" w:rsidRPr="001F4C0A">
        <w:rPr>
          <w:rStyle w:val="FootnoteReference"/>
        </w:rPr>
        <w:t xml:space="preserve"> </w:t>
      </w:r>
      <w:r w:rsidR="001F4C0A" w:rsidRPr="005A669A">
        <w:rPr>
          <w:rStyle w:val="FootnoteReference"/>
        </w:rPr>
        <w:footnoteReference w:id="558"/>
      </w:r>
      <w:r>
        <w:t xml:space="preserve"> </w:t>
      </w:r>
      <w:r w:rsidR="00A86259">
        <w:t>Du Pont urged a construction that permitt</w:t>
      </w:r>
      <w:r w:rsidR="00EC3F8D">
        <w:t>ed</w:t>
      </w:r>
      <w:r w:rsidR="00A86259">
        <w:t xml:space="preserve"> some residual </w:t>
      </w:r>
      <w:r w:rsidR="000F0932">
        <w:t>dispersant</w:t>
      </w:r>
      <w:r w:rsidR="00A86259">
        <w:t>, while the allegedly infringing Unifrax urged a plain-language construction</w:t>
      </w:r>
      <w:r w:rsidR="000F0932">
        <w:t xml:space="preserve"> permitting none</w:t>
      </w:r>
      <w:r w:rsidR="00A86259">
        <w:t>.</w:t>
      </w:r>
      <w:r w:rsidR="00A86259" w:rsidRPr="005A669A">
        <w:rPr>
          <w:rStyle w:val="FootnoteReference"/>
        </w:rPr>
        <w:footnoteReference w:id="559"/>
      </w:r>
      <w:r w:rsidR="00B04382">
        <w:t xml:space="preserve"> </w:t>
      </w:r>
      <w:r w:rsidR="00A86259">
        <w:t xml:space="preserve">The district court </w:t>
      </w:r>
      <w:r w:rsidR="00DC616D">
        <w:t>constructed the claim as permitting some dispersant.</w:t>
      </w:r>
      <w:r w:rsidR="00DC616D" w:rsidRPr="005A669A">
        <w:rPr>
          <w:rStyle w:val="FootnoteReference"/>
        </w:rPr>
        <w:footnoteReference w:id="560"/>
      </w:r>
    </w:p>
    <w:p w14:paraId="0783095C" w14:textId="77777777" w:rsidR="00CE63B6" w:rsidRDefault="000F0932" w:rsidP="00845310">
      <w:r>
        <w:tab/>
      </w:r>
      <w:r w:rsidR="00D43F87">
        <w:t>The Federal Circuit affirmed.</w:t>
      </w:r>
      <w:r w:rsidR="00D43F87" w:rsidRPr="005A669A">
        <w:rPr>
          <w:rStyle w:val="FootnoteReference"/>
        </w:rPr>
        <w:footnoteReference w:id="561"/>
      </w:r>
      <w:r w:rsidR="00845310">
        <w:t xml:space="preserve"> </w:t>
      </w:r>
      <w:r w:rsidR="00271A7B">
        <w:t>Claim construction “</w:t>
      </w:r>
      <w:r w:rsidR="00845310">
        <w:t>give</w:t>
      </w:r>
      <w:r w:rsidR="00271A7B">
        <w:t>[s]</w:t>
      </w:r>
      <w:r w:rsidR="00845310">
        <w:t xml:space="preserve"> meaning to the claim terms according to how a person of ordinary skill in the art would have understood them at the time of the invention in light of the entire patent</w:t>
      </w:r>
      <w:r w:rsidR="00271A7B">
        <w:t> . . . .”</w:t>
      </w:r>
      <w:r w:rsidR="00271A7B" w:rsidRPr="005A669A">
        <w:rPr>
          <w:rStyle w:val="FootnoteReference"/>
        </w:rPr>
        <w:footnoteReference w:id="562"/>
      </w:r>
      <w:r w:rsidR="00271A7B">
        <w:t xml:space="preserve"> </w:t>
      </w:r>
    </w:p>
    <w:p w14:paraId="1481ACB1" w14:textId="4B620841" w:rsidR="000F0932" w:rsidRDefault="00CE63B6" w:rsidP="00CE63B6">
      <w:pPr>
        <w:ind w:firstLine="720"/>
      </w:pPr>
      <w:r>
        <w:rPr>
          <w:b/>
        </w:rPr>
        <w:t>Claim Language</w:t>
      </w:r>
      <w:r w:rsidRPr="00CE63B6">
        <w:t xml:space="preserve">: </w:t>
      </w:r>
      <w:r>
        <w:t>The patent claimed refractory layers having</w:t>
      </w:r>
      <w:r w:rsidR="007270EF">
        <w:t xml:space="preserve"> “100</w:t>
      </w:r>
      <w:r w:rsidR="00025205">
        <w:t>% by weight . . . and a residual moisture content of no greater than 10 percent by weight</w:t>
      </w:r>
      <w:r w:rsidR="007D4949">
        <w:t>.”</w:t>
      </w:r>
      <w:r w:rsidR="00025205" w:rsidRPr="005A669A">
        <w:rPr>
          <w:rStyle w:val="FootnoteReference"/>
        </w:rPr>
        <w:footnoteReference w:id="563"/>
      </w:r>
      <w:r w:rsidR="00477EFD">
        <w:t xml:space="preserve"> Because a sum </w:t>
      </w:r>
      <w:r w:rsidR="002C08D9">
        <w:t xml:space="preserve">of components </w:t>
      </w:r>
      <w:r w:rsidR="00477EFD">
        <w:t>greater than 100% would be nonsensical, the “100% by weight” limitation</w:t>
      </w:r>
      <w:r w:rsidR="007D4949">
        <w:t xml:space="preserve"> could not mean that r</w:t>
      </w:r>
      <w:r w:rsidR="00B84678">
        <w:t xml:space="preserve">efractory layers </w:t>
      </w:r>
      <w:r w:rsidR="007D4949">
        <w:t xml:space="preserve">having </w:t>
      </w:r>
      <w:r w:rsidR="00B84678">
        <w:t xml:space="preserve">material </w:t>
      </w:r>
      <w:r w:rsidR="00935AA9">
        <w:t>besides</w:t>
      </w:r>
      <w:r w:rsidR="00B84678">
        <w:t xml:space="preserve"> platelets were necessarily disclaimed.</w:t>
      </w:r>
      <w:r w:rsidR="00B84678" w:rsidRPr="005A669A">
        <w:rPr>
          <w:rStyle w:val="FootnoteReference"/>
        </w:rPr>
        <w:footnoteReference w:id="564"/>
      </w:r>
      <w:r w:rsidR="007D4949">
        <w:t xml:space="preserve"> </w:t>
      </w:r>
    </w:p>
    <w:p w14:paraId="583F50C1" w14:textId="08FE6969" w:rsidR="00766ED4" w:rsidRDefault="00766ED4" w:rsidP="00A51BFA">
      <w:pPr>
        <w:ind w:firstLine="720"/>
      </w:pPr>
      <w:r>
        <w:rPr>
          <w:b/>
        </w:rPr>
        <w:t>Specification of Parent Application</w:t>
      </w:r>
      <w:r>
        <w:t xml:space="preserve">: The </w:t>
      </w:r>
      <w:r w:rsidR="002C08D9">
        <w:t xml:space="preserve">Federal Circuit also held the district court </w:t>
      </w:r>
      <w:r w:rsidR="00935AA9">
        <w:t>had</w:t>
      </w:r>
      <w:r w:rsidR="002C08D9">
        <w:t xml:space="preserve"> correct</w:t>
      </w:r>
      <w:r w:rsidR="00935AA9">
        <w:t>ly</w:t>
      </w:r>
      <w:r w:rsidR="002C08D9">
        <w:t xml:space="preserve"> treat</w:t>
      </w:r>
      <w:r w:rsidR="00935AA9">
        <w:t>ed</w:t>
      </w:r>
      <w:r w:rsidR="002C08D9">
        <w:t xml:space="preserve"> the parent application’s specification as intrinsic to the </w:t>
      </w:r>
      <w:r w:rsidR="00C9578F">
        <w:t>continuation-in-part.</w:t>
      </w:r>
      <w:r w:rsidR="00C9578F" w:rsidRPr="005A669A">
        <w:rPr>
          <w:rStyle w:val="FootnoteReference"/>
        </w:rPr>
        <w:footnoteReference w:id="565"/>
      </w:r>
      <w:r w:rsidR="00C9578F">
        <w:t xml:space="preserve"> </w:t>
      </w:r>
      <w:r w:rsidR="00A51BFA">
        <w:t>“When a parent application includes statements involving ‘common subject matter’ with the terms at issue</w:t>
      </w:r>
      <w:r w:rsidR="00F66FD1">
        <w:t>”—and in particular when the parent is also cited as a prior</w:t>
      </w:r>
      <w:r w:rsidR="00AD7D4A">
        <w:t>-</w:t>
      </w:r>
      <w:r w:rsidR="00F66FD1">
        <w:t>art reference for the child—“t</w:t>
      </w:r>
      <w:r w:rsidR="00A51BFA">
        <w:t>hose statements are relevant to construction of the terms in the child patent.”</w:t>
      </w:r>
      <w:r w:rsidR="00A51BFA" w:rsidRPr="005A669A">
        <w:rPr>
          <w:rStyle w:val="FootnoteReference"/>
        </w:rPr>
        <w:footnoteReference w:id="566"/>
      </w:r>
      <w:r w:rsidR="00A51BFA">
        <w:t xml:space="preserve"> </w:t>
      </w:r>
      <w:r w:rsidR="001E1A84">
        <w:t>The parent</w:t>
      </w:r>
      <w:r w:rsidR="00C9578F">
        <w:t xml:space="preserve"> specification stated that one embodiment “contains 100% platelets i.e. there is no carrier material . . . . However, there may be som</w:t>
      </w:r>
      <w:r w:rsidR="00222672">
        <w:t>e</w:t>
      </w:r>
      <w:r w:rsidR="00C9578F">
        <w:t xml:space="preserve"> residual dispersant</w:t>
      </w:r>
      <w:r w:rsidR="00222672">
        <w:t xml:space="preserve"> arising from incomplete drying of the platelet dispersion.”</w:t>
      </w:r>
      <w:r w:rsidR="00222672" w:rsidRPr="005A669A">
        <w:rPr>
          <w:rStyle w:val="FootnoteReference"/>
        </w:rPr>
        <w:footnoteReference w:id="567"/>
      </w:r>
      <w:r w:rsidR="001E1A84">
        <w:t xml:space="preserve"> This showed there was a distinction between carrier and residual dispersant that made the claim</w:t>
      </w:r>
      <w:r w:rsidR="00143FF6">
        <w:t xml:space="preserve"> make sense.</w:t>
      </w:r>
      <w:r w:rsidR="00143FF6" w:rsidRPr="005A669A">
        <w:rPr>
          <w:rStyle w:val="FootnoteReference"/>
        </w:rPr>
        <w:footnoteReference w:id="568"/>
      </w:r>
      <w:r w:rsidR="001E1A84">
        <w:t xml:space="preserve"> </w:t>
      </w:r>
    </w:p>
    <w:p w14:paraId="070871A9" w14:textId="4F359968" w:rsidR="00FD52A2" w:rsidRDefault="00FD52A2" w:rsidP="00A51BFA">
      <w:pPr>
        <w:ind w:firstLine="720"/>
      </w:pPr>
      <w:r>
        <w:rPr>
          <w:b/>
        </w:rPr>
        <w:t>Prosecution History</w:t>
      </w:r>
      <w:r>
        <w:t xml:space="preserve">: </w:t>
      </w:r>
      <w:r w:rsidR="009B4454">
        <w:t xml:space="preserve">The district court also did not err in finding Du Pont had not disclaimed </w:t>
      </w:r>
      <w:r w:rsidR="005E7ADE">
        <w:t xml:space="preserve">layers containing residual dispersant </w:t>
      </w:r>
      <w:r w:rsidR="00CB5D44">
        <w:t>when working</w:t>
      </w:r>
      <w:r w:rsidR="005E7ADE">
        <w:t xml:space="preserve"> to overcome a prior art reference, Tompkins</w:t>
      </w:r>
      <w:r w:rsidR="00A5657B">
        <w:t>.</w:t>
      </w:r>
      <w:r w:rsidR="00A5657B" w:rsidRPr="005A669A">
        <w:rPr>
          <w:rStyle w:val="FootnoteReference"/>
        </w:rPr>
        <w:footnoteReference w:id="569"/>
      </w:r>
      <w:r w:rsidR="00822E65">
        <w:t xml:space="preserve"> </w:t>
      </w:r>
      <w:r w:rsidR="00A5657B">
        <w:t>Tompkins</w:t>
      </w:r>
      <w:r w:rsidR="00822E65">
        <w:t xml:space="preserve"> </w:t>
      </w:r>
      <w:r w:rsidR="0090678A">
        <w:t>taught a</w:t>
      </w:r>
      <w:r w:rsidR="00822E65">
        <w:t xml:space="preserve"> “70% by weight platelet concentration secured to a fiber carrier.”</w:t>
      </w:r>
      <w:r w:rsidR="005E7ADE" w:rsidRPr="005A669A">
        <w:rPr>
          <w:rStyle w:val="FootnoteReference"/>
        </w:rPr>
        <w:footnoteReference w:id="570"/>
      </w:r>
      <w:r w:rsidR="005E7ADE">
        <w:t xml:space="preserve"> </w:t>
      </w:r>
      <w:r w:rsidR="0090678A">
        <w:t>But this only underscored that the patent applicant’s changes used percentages in the same way, as a measure relative to the concentration of the carrier.</w:t>
      </w:r>
      <w:r w:rsidR="0090678A" w:rsidRPr="005A669A">
        <w:rPr>
          <w:rStyle w:val="FootnoteReference"/>
        </w:rPr>
        <w:footnoteReference w:id="571"/>
      </w:r>
    </w:p>
    <w:p w14:paraId="53A9D94D" w14:textId="70586202" w:rsidR="00377367" w:rsidRDefault="00A5657B" w:rsidP="00A51BFA">
      <w:pPr>
        <w:ind w:firstLine="720"/>
      </w:pPr>
      <w:r w:rsidRPr="00A5657B">
        <w:rPr>
          <w:b/>
        </w:rPr>
        <w:t>Dissent</w:t>
      </w:r>
      <w:r>
        <w:t xml:space="preserve">: </w:t>
      </w:r>
      <w:r w:rsidR="005E5D54" w:rsidRPr="00A5657B">
        <w:t>Judge</w:t>
      </w:r>
      <w:r w:rsidR="005E5D54">
        <w:t xml:space="preserve"> O’Malley dissented.</w:t>
      </w:r>
      <w:r w:rsidR="005E5D54" w:rsidRPr="005A669A">
        <w:rPr>
          <w:rStyle w:val="FootnoteReference"/>
        </w:rPr>
        <w:footnoteReference w:id="572"/>
      </w:r>
      <w:r w:rsidR="005E5D54">
        <w:t xml:space="preserve"> </w:t>
      </w:r>
      <w:r w:rsidR="0003587C">
        <w:t>She would have read the layer as comprising 100% platelets when dry, and up to 10% moisture when still wet.</w:t>
      </w:r>
      <w:r w:rsidR="00377367" w:rsidRPr="005A669A">
        <w:rPr>
          <w:rStyle w:val="FootnoteReference"/>
        </w:rPr>
        <w:footnoteReference w:id="573"/>
      </w:r>
      <w:r w:rsidR="00377367">
        <w:t xml:space="preserve"> </w:t>
      </w:r>
      <w:r w:rsidR="00877B1D">
        <w:t xml:space="preserve">(Judge </w:t>
      </w:r>
      <w:r w:rsidR="00877B1D">
        <w:lastRenderedPageBreak/>
        <w:t>O’Malley also believed that residual dispersant might be okay—so long as that dispersant left before the layer dried.</w:t>
      </w:r>
      <w:r w:rsidR="00877B1D" w:rsidRPr="005A669A">
        <w:rPr>
          <w:rStyle w:val="FootnoteReference"/>
        </w:rPr>
        <w:footnoteReference w:id="574"/>
      </w:r>
      <w:r w:rsidR="00877B1D">
        <w:t xml:space="preserve">) </w:t>
      </w:r>
      <w:r w:rsidR="00377367">
        <w:t xml:space="preserve">Among other evidence, she pointed to an exchange at oral argument: </w:t>
      </w:r>
      <w:r w:rsidR="0003587C">
        <w:t xml:space="preserve">  </w:t>
      </w:r>
    </w:p>
    <w:p w14:paraId="1177253C" w14:textId="435A3BF5" w:rsidR="0090678A" w:rsidRDefault="0003587C" w:rsidP="00FE5460">
      <w:pPr>
        <w:ind w:left="720" w:right="720"/>
      </w:pPr>
      <w:r w:rsidRPr="0003587C">
        <w:t>The Court: “[T]he ‘100% by weight of platelets,’ is that ‘100% by weight,’ itself, 15 to 50 gsm?”</w:t>
      </w:r>
      <w:r w:rsidR="00FE5460">
        <w:t xml:space="preserve"> </w:t>
      </w:r>
      <w:r w:rsidRPr="0003587C">
        <w:t xml:space="preserve">DuPont: “Yes. The dry aerial [sic] weight.” </w:t>
      </w:r>
      <w:r w:rsidR="00BF7237">
        <w:t> . . .</w:t>
      </w:r>
      <w:r w:rsidRPr="0003587C">
        <w:t xml:space="preserve"> </w:t>
      </w:r>
      <w:r w:rsidR="00FE5460">
        <w:t xml:space="preserve"> </w:t>
      </w:r>
      <w:r w:rsidRPr="0003587C">
        <w:t xml:space="preserve">The Court: “And that 10% by weight is relative to what?” </w:t>
      </w:r>
      <w:r w:rsidR="00FE5460">
        <w:t xml:space="preserve"> </w:t>
      </w:r>
      <w:r w:rsidRPr="0003587C">
        <w:t>DuPont: “To the total weight of the layer when it’s not dry.</w:t>
      </w:r>
      <w:r w:rsidR="00BF7237">
        <w:t> . . .</w:t>
      </w:r>
      <w:r w:rsidRPr="0003587C">
        <w:t xml:space="preserve"> [T]he dry weight would be without the water, and the residual moisture is with.”</w:t>
      </w:r>
      <w:r w:rsidR="00BA0849" w:rsidRPr="005A669A">
        <w:rPr>
          <w:rStyle w:val="FootnoteReference"/>
        </w:rPr>
        <w:footnoteReference w:id="575"/>
      </w:r>
    </w:p>
    <w:p w14:paraId="0576BF8B" w14:textId="77BB07EF" w:rsidR="005B183F" w:rsidRDefault="006A0B65" w:rsidP="007142A8">
      <w:r>
        <w:t xml:space="preserve">Moreover, </w:t>
      </w:r>
      <w:r w:rsidR="00B277FB">
        <w:t>though</w:t>
      </w:r>
      <w:r>
        <w:t xml:space="preserve"> one example in the specification did not have 100% platelets,</w:t>
      </w:r>
      <w:r w:rsidR="00B277FB">
        <w:t xml:space="preserve"> the </w:t>
      </w:r>
      <w:r w:rsidR="00A07DE8">
        <w:t>language as amended during prosecution could no longer encompass that example—and final claim language controls.</w:t>
      </w:r>
      <w:r w:rsidR="00A07DE8" w:rsidRPr="005A669A">
        <w:rPr>
          <w:rStyle w:val="FootnoteReference"/>
        </w:rPr>
        <w:footnoteReference w:id="576"/>
      </w:r>
      <w:r w:rsidR="00B277FB">
        <w:t xml:space="preserve"> </w:t>
      </w:r>
      <w:r w:rsidR="00A07DE8">
        <w:t>Meanwhile, all other twenty-four examples in the specification had 100% by weight platelets with no residual dispersants.</w:t>
      </w:r>
      <w:r w:rsidR="00A07DE8" w:rsidRPr="005A669A">
        <w:rPr>
          <w:rStyle w:val="FootnoteReference"/>
        </w:rPr>
        <w:footnoteReference w:id="577"/>
      </w:r>
      <w:r w:rsidR="00A07DE8">
        <w:t xml:space="preserve"> </w:t>
      </w:r>
    </w:p>
    <w:p w14:paraId="68C956B7" w14:textId="448FD6FA" w:rsidR="00A72B72" w:rsidRDefault="00F90E91" w:rsidP="007142A8">
      <w:r>
        <w:tab/>
        <w:t>Furthermore, Judge O’Malley reasoned that the majority’s reading of the parent’s specification into the child’s claims was inappropriate.</w:t>
      </w:r>
      <w:r w:rsidRPr="005A669A">
        <w:rPr>
          <w:rStyle w:val="FootnoteReference"/>
        </w:rPr>
        <w:footnoteReference w:id="578"/>
      </w:r>
      <w:r>
        <w:t xml:space="preserve"> Even </w:t>
      </w:r>
      <w:r w:rsidR="006C75CE">
        <w:t>assuming</w:t>
      </w:r>
      <w:r>
        <w:t xml:space="preserve"> the two</w:t>
      </w:r>
      <w:r w:rsidR="00264514">
        <w:t xml:space="preserve"> should be read together, the specification lacked the clear intent necessary to be lexicography, and so the </w:t>
      </w:r>
      <w:r w:rsidR="00A72B72">
        <w:t>plain</w:t>
      </w:r>
      <w:r w:rsidR="00264514">
        <w:t xml:space="preserve"> language in the</w:t>
      </w:r>
      <w:r w:rsidR="00A72B72">
        <w:t xml:space="preserve"> child’s</w:t>
      </w:r>
      <w:r w:rsidR="00264514">
        <w:t xml:space="preserve"> claims should control</w:t>
      </w:r>
      <w:r w:rsidR="00A72B72">
        <w:t xml:space="preserve"> over the supposed definition in the parent’s specification</w:t>
      </w:r>
      <w:r w:rsidR="00264514">
        <w:t>.</w:t>
      </w:r>
      <w:r w:rsidR="00264514" w:rsidRPr="005A669A">
        <w:rPr>
          <w:rStyle w:val="FootnoteReference"/>
        </w:rPr>
        <w:footnoteReference w:id="579"/>
      </w:r>
      <w:r w:rsidR="00264514">
        <w:t xml:space="preserve"> </w:t>
      </w:r>
    </w:p>
    <w:p w14:paraId="0EE96019" w14:textId="11167411" w:rsidR="004C544B" w:rsidRPr="004F2200" w:rsidRDefault="004C544B" w:rsidP="00136E52">
      <w:pPr>
        <w:pStyle w:val="Heading4"/>
      </w:pPr>
      <w:bookmarkStart w:id="66" w:name="_Toc26792786"/>
      <w:r>
        <w:rPr>
          <w:i/>
        </w:rPr>
        <w:t>Continental Circuits LLC v. Intel Corp.</w:t>
      </w:r>
      <w:r>
        <w:t>, 915 F.3d 788 (Fed. Cir. Feb. 8, 2019)</w:t>
      </w:r>
      <w:bookmarkEnd w:id="66"/>
    </w:p>
    <w:p w14:paraId="5BCBF255" w14:textId="099C9618" w:rsidR="004C544B" w:rsidRDefault="0063063C" w:rsidP="00655642">
      <w:pPr>
        <w:ind w:firstLine="720"/>
        <w:rPr>
          <w:rFonts w:cs="Times New Roman"/>
        </w:rPr>
      </w:pPr>
      <w:r>
        <w:rPr>
          <w:rFonts w:cs="Times New Roman"/>
        </w:rPr>
        <w:t xml:space="preserve">In this appeal from the District of Arizona, the Federal Circuit </w:t>
      </w:r>
      <w:r w:rsidR="00B663E2">
        <w:rPr>
          <w:rFonts w:cs="Times New Roman"/>
        </w:rPr>
        <w:t>held the trial court had erred in construing the claims.</w:t>
      </w:r>
      <w:r w:rsidR="00655642" w:rsidRPr="005A669A">
        <w:rPr>
          <w:rStyle w:val="FootnoteReference"/>
        </w:rPr>
        <w:footnoteReference w:id="580"/>
      </w:r>
    </w:p>
    <w:p w14:paraId="1EA3CE9E" w14:textId="6D144508" w:rsidR="00527340" w:rsidRDefault="00527340" w:rsidP="00655642">
      <w:pPr>
        <w:ind w:firstLine="720"/>
        <w:rPr>
          <w:rFonts w:cs="Times New Roman"/>
        </w:rPr>
      </w:pPr>
      <w:r>
        <w:rPr>
          <w:rFonts w:cs="Times New Roman"/>
        </w:rPr>
        <w:t xml:space="preserve">The case concerned four patents disclosing </w:t>
      </w:r>
      <w:r w:rsidR="00AB04D9">
        <w:rPr>
          <w:rFonts w:cs="Times New Roman"/>
        </w:rPr>
        <w:t>“a multilayer electric device . . . having a tooth structure” and methods for making it.</w:t>
      </w:r>
      <w:r w:rsidR="00AB04D9" w:rsidRPr="005A669A">
        <w:rPr>
          <w:rStyle w:val="FootnoteReference"/>
        </w:rPr>
        <w:footnoteReference w:id="581"/>
      </w:r>
      <w:r w:rsidR="00AB04D9">
        <w:rPr>
          <w:rFonts w:cs="Times New Roman"/>
        </w:rPr>
        <w:t xml:space="preserve"> At issue was whether </w:t>
      </w:r>
      <w:r w:rsidR="007F014C">
        <w:rPr>
          <w:rFonts w:cs="Times New Roman"/>
        </w:rPr>
        <w:t xml:space="preserve">some </w:t>
      </w:r>
      <w:r w:rsidR="00AB04D9">
        <w:rPr>
          <w:rFonts w:cs="Times New Roman"/>
        </w:rPr>
        <w:t xml:space="preserve">claim limitations </w:t>
      </w:r>
      <w:r w:rsidR="007F014C">
        <w:rPr>
          <w:rFonts w:cs="Times New Roman"/>
        </w:rPr>
        <w:t>including</w:t>
      </w:r>
      <w:r w:rsidR="00AB04D9">
        <w:rPr>
          <w:rFonts w:cs="Times New Roman"/>
        </w:rPr>
        <w:t xml:space="preserve"> “surface,” “removal,” and “etching” should themselves be limited </w:t>
      </w:r>
      <w:r w:rsidR="00DA6722">
        <w:rPr>
          <w:rFonts w:cs="Times New Roman"/>
        </w:rPr>
        <w:t>to</w:t>
      </w:r>
      <w:r w:rsidR="00516E67">
        <w:rPr>
          <w:rFonts w:cs="Times New Roman"/>
        </w:rPr>
        <w:t xml:space="preserve"> apply only to</w:t>
      </w:r>
      <w:r w:rsidR="00DA6722">
        <w:rPr>
          <w:rFonts w:cs="Times New Roman"/>
        </w:rPr>
        <w:t xml:space="preserve"> a repeated desmear process.</w:t>
      </w:r>
      <w:r w:rsidR="00DA6722" w:rsidRPr="005A669A">
        <w:rPr>
          <w:rStyle w:val="FootnoteReference"/>
        </w:rPr>
        <w:footnoteReference w:id="582"/>
      </w:r>
      <w:r w:rsidR="00AB04D9">
        <w:rPr>
          <w:rFonts w:cs="Times New Roman"/>
        </w:rPr>
        <w:t xml:space="preserve"> </w:t>
      </w:r>
      <w:r w:rsidR="00980D81">
        <w:rPr>
          <w:rFonts w:cs="Times New Roman"/>
        </w:rPr>
        <w:t>The district court found they should be so limited, stressing that this process was cited in response to the patent examiner’s indefiniteness and written description rejections during prosecution.</w:t>
      </w:r>
      <w:r w:rsidR="00980D81" w:rsidRPr="005A669A">
        <w:rPr>
          <w:rStyle w:val="FootnoteReference"/>
        </w:rPr>
        <w:footnoteReference w:id="583"/>
      </w:r>
      <w:r w:rsidR="00980D81">
        <w:rPr>
          <w:rFonts w:cs="Times New Roman"/>
        </w:rPr>
        <w:t xml:space="preserve"> </w:t>
      </w:r>
    </w:p>
    <w:p w14:paraId="0F415B8C" w14:textId="4A9B26B3" w:rsidR="00980D81" w:rsidRDefault="00980D81" w:rsidP="00297D8D">
      <w:pPr>
        <w:ind w:firstLine="720"/>
        <w:rPr>
          <w:rFonts w:cs="Times New Roman"/>
        </w:rPr>
      </w:pPr>
      <w:r>
        <w:rPr>
          <w:rFonts w:cs="Times New Roman"/>
        </w:rPr>
        <w:t>On appeal, the Federal Circuit held this was error.</w:t>
      </w:r>
      <w:r w:rsidRPr="005A669A">
        <w:rPr>
          <w:rStyle w:val="FootnoteReference"/>
        </w:rPr>
        <w:footnoteReference w:id="584"/>
      </w:r>
      <w:r w:rsidR="00297D8D">
        <w:rPr>
          <w:rFonts w:cs="Times New Roman"/>
        </w:rPr>
        <w:t xml:space="preserve"> The court stressed that “</w:t>
      </w:r>
      <w:r w:rsidR="00297D8D" w:rsidRPr="00297D8D">
        <w:rPr>
          <w:rFonts w:cs="Times New Roman"/>
        </w:rPr>
        <w:t>because</w:t>
      </w:r>
      <w:r w:rsidR="00297D8D">
        <w:rPr>
          <w:rFonts w:cs="Times New Roman"/>
        </w:rPr>
        <w:t xml:space="preserve"> </w:t>
      </w:r>
      <w:r w:rsidR="00297D8D" w:rsidRPr="00297D8D">
        <w:rPr>
          <w:rFonts w:cs="Times New Roman"/>
        </w:rPr>
        <w:t>the</w:t>
      </w:r>
      <w:r w:rsidR="00297D8D">
        <w:rPr>
          <w:rFonts w:cs="Times New Roman"/>
        </w:rPr>
        <w:t xml:space="preserve"> </w:t>
      </w:r>
      <w:r w:rsidR="00297D8D" w:rsidRPr="00297D8D">
        <w:rPr>
          <w:rFonts w:cs="Times New Roman"/>
        </w:rPr>
        <w:t>prosecution</w:t>
      </w:r>
      <w:r w:rsidR="00297D8D">
        <w:rPr>
          <w:rFonts w:cs="Times New Roman"/>
        </w:rPr>
        <w:t xml:space="preserve"> </w:t>
      </w:r>
      <w:r w:rsidR="00297D8D" w:rsidRPr="00297D8D">
        <w:rPr>
          <w:rFonts w:cs="Times New Roman"/>
        </w:rPr>
        <w:t>history</w:t>
      </w:r>
      <w:r w:rsidR="00297D8D">
        <w:rPr>
          <w:rFonts w:cs="Times New Roman"/>
        </w:rPr>
        <w:t xml:space="preserve"> </w:t>
      </w:r>
      <w:r w:rsidR="00297D8D" w:rsidRPr="00297D8D">
        <w:rPr>
          <w:rFonts w:cs="Times New Roman"/>
        </w:rPr>
        <w:t>represents</w:t>
      </w:r>
      <w:r w:rsidR="00297D8D">
        <w:rPr>
          <w:rFonts w:cs="Times New Roman"/>
        </w:rPr>
        <w:t xml:space="preserve"> </w:t>
      </w:r>
      <w:r w:rsidR="00297D8D" w:rsidRPr="00297D8D">
        <w:rPr>
          <w:rFonts w:cs="Times New Roman"/>
        </w:rPr>
        <w:t>an</w:t>
      </w:r>
      <w:r w:rsidR="00297D8D">
        <w:rPr>
          <w:rFonts w:cs="Times New Roman"/>
        </w:rPr>
        <w:t xml:space="preserve"> </w:t>
      </w:r>
      <w:r w:rsidR="00297D8D" w:rsidRPr="00297D8D">
        <w:rPr>
          <w:rFonts w:cs="Times New Roman"/>
        </w:rPr>
        <w:t>ongoing</w:t>
      </w:r>
      <w:r w:rsidR="00297D8D">
        <w:rPr>
          <w:rFonts w:cs="Times New Roman"/>
        </w:rPr>
        <w:t xml:space="preserve"> </w:t>
      </w:r>
      <w:r w:rsidR="00297D8D" w:rsidRPr="00297D8D">
        <w:rPr>
          <w:rFonts w:cs="Times New Roman"/>
        </w:rPr>
        <w:t>negotiation between the PTO and the applicant, rather than the final product of that negotiation, it often lacks the clarity of the</w:t>
      </w:r>
      <w:r w:rsidR="00297D8D">
        <w:rPr>
          <w:rFonts w:cs="Times New Roman"/>
        </w:rPr>
        <w:t xml:space="preserve"> </w:t>
      </w:r>
      <w:r w:rsidR="00297D8D" w:rsidRPr="00297D8D">
        <w:rPr>
          <w:rFonts w:cs="Times New Roman"/>
        </w:rPr>
        <w:t>specification and thus is less useful for claim construction purposes.”</w:t>
      </w:r>
      <w:r w:rsidR="00297D8D" w:rsidRPr="005A669A">
        <w:rPr>
          <w:rStyle w:val="FootnoteReference"/>
        </w:rPr>
        <w:footnoteReference w:id="585"/>
      </w:r>
      <w:r w:rsidR="002D1C91">
        <w:rPr>
          <w:rFonts w:cs="Times New Roman"/>
        </w:rPr>
        <w:t xml:space="preserve"> Stepping </w:t>
      </w:r>
      <w:r w:rsidR="002D1C91">
        <w:rPr>
          <w:rFonts w:cs="Times New Roman"/>
        </w:rPr>
        <w:lastRenderedPageBreak/>
        <w:t>back, the claims did not mention a “repeated desmear process.”</w:t>
      </w:r>
      <w:r w:rsidR="00EC3708" w:rsidRPr="005A669A">
        <w:rPr>
          <w:rStyle w:val="FootnoteReference"/>
        </w:rPr>
        <w:footnoteReference w:id="586"/>
      </w:r>
      <w:r w:rsidR="002D1C91">
        <w:rPr>
          <w:rFonts w:cs="Times New Roman"/>
        </w:rPr>
        <w:t xml:space="preserve"> </w:t>
      </w:r>
      <w:r w:rsidR="008050E4">
        <w:rPr>
          <w:rFonts w:cs="Times New Roman"/>
        </w:rPr>
        <w:t>And the</w:t>
      </w:r>
      <w:r w:rsidR="002D1C91">
        <w:rPr>
          <w:rFonts w:cs="Times New Roman"/>
        </w:rPr>
        <w:t xml:space="preserve"> specification did not disclaim</w:t>
      </w:r>
      <w:r w:rsidR="00EC3708">
        <w:rPr>
          <w:rFonts w:cs="Times New Roman"/>
        </w:rPr>
        <w:t xml:space="preserve"> other preparations, instead explaining only “</w:t>
      </w:r>
      <w:r w:rsidR="00EC3708" w:rsidRPr="00EC3708">
        <w:rPr>
          <w:rFonts w:cs="Times New Roman"/>
          <w:i/>
        </w:rPr>
        <w:t xml:space="preserve">[o]ne technique </w:t>
      </w:r>
      <w:r w:rsidR="00EC3708">
        <w:rPr>
          <w:rFonts w:cs="Times New Roman"/>
        </w:rPr>
        <w:t>for forming the teeth . . . .”</w:t>
      </w:r>
      <w:r w:rsidR="00EC3708" w:rsidRPr="005A669A">
        <w:rPr>
          <w:rStyle w:val="FootnoteReference"/>
        </w:rPr>
        <w:footnoteReference w:id="587"/>
      </w:r>
      <w:r w:rsidR="0059057F">
        <w:rPr>
          <w:rFonts w:cs="Times New Roman"/>
        </w:rPr>
        <w:t xml:space="preserve"> </w:t>
      </w:r>
      <w:r w:rsidR="002B5DF1">
        <w:rPr>
          <w:rFonts w:cs="Times New Roman"/>
        </w:rPr>
        <w:t>(</w:t>
      </w:r>
      <w:r w:rsidR="003E4E15">
        <w:rPr>
          <w:rFonts w:cs="Times New Roman"/>
        </w:rPr>
        <w:t>Even d</w:t>
      </w:r>
      <w:r w:rsidR="002B5DF1">
        <w:rPr>
          <w:rFonts w:cs="Times New Roman"/>
        </w:rPr>
        <w:t>isapproving</w:t>
      </w:r>
      <w:r w:rsidR="0059057F">
        <w:rPr>
          <w:rFonts w:cs="Times New Roman"/>
        </w:rPr>
        <w:t xml:space="preserve"> other processes </w:t>
      </w:r>
      <w:r w:rsidR="002B5DF1">
        <w:rPr>
          <w:rFonts w:cs="Times New Roman"/>
        </w:rPr>
        <w:t>was not tantamount to disavowing them</w:t>
      </w:r>
      <w:r w:rsidR="002F025D">
        <w:rPr>
          <w:rFonts w:cs="Times New Roman"/>
        </w:rPr>
        <w:t>.</w:t>
      </w:r>
      <w:r w:rsidR="002F025D" w:rsidRPr="005A669A">
        <w:rPr>
          <w:rStyle w:val="FootnoteReference"/>
        </w:rPr>
        <w:footnoteReference w:id="588"/>
      </w:r>
      <w:r w:rsidR="002B5DF1">
        <w:rPr>
          <w:rFonts w:cs="Times New Roman"/>
        </w:rPr>
        <w:t>) Returning to the prosecution history, here too there was a lack of clear disclaiming.</w:t>
      </w:r>
      <w:r w:rsidR="002B5DF1" w:rsidRPr="005A669A">
        <w:rPr>
          <w:rStyle w:val="FootnoteReference"/>
        </w:rPr>
        <w:footnoteReference w:id="589"/>
      </w:r>
      <w:r w:rsidR="002B5DF1">
        <w:rPr>
          <w:rFonts w:cs="Times New Roman"/>
        </w:rPr>
        <w:t xml:space="preserve"> The response to the examiner merely stated “</w:t>
      </w:r>
      <w:r w:rsidR="002B5DF1" w:rsidRPr="002B5DF1">
        <w:rPr>
          <w:rFonts w:cs="Times New Roman"/>
          <w:i/>
        </w:rPr>
        <w:t xml:space="preserve">a technique </w:t>
      </w:r>
      <w:r w:rsidR="002B5DF1">
        <w:rPr>
          <w:rFonts w:cs="Times New Roman"/>
        </w:rPr>
        <w:t>which forms the teeth</w:t>
      </w:r>
      <w:r w:rsidR="003E4E15">
        <w:rPr>
          <w:rFonts w:cs="Times New Roman"/>
        </w:rPr>
        <w:t>,” presumably among others</w:t>
      </w:r>
      <w:r w:rsidR="00603C30">
        <w:rPr>
          <w:rFonts w:cs="Times New Roman"/>
        </w:rPr>
        <w:t>.</w:t>
      </w:r>
      <w:r w:rsidR="00603C30" w:rsidRPr="005A669A">
        <w:rPr>
          <w:rStyle w:val="FootnoteReference"/>
        </w:rPr>
        <w:footnoteReference w:id="590"/>
      </w:r>
    </w:p>
    <w:p w14:paraId="4211D461" w14:textId="583B800E" w:rsidR="00603C30" w:rsidRPr="004C544B" w:rsidRDefault="00603C30" w:rsidP="00297D8D">
      <w:pPr>
        <w:ind w:firstLine="720"/>
      </w:pPr>
      <w:r>
        <w:rPr>
          <w:rFonts w:cs="Times New Roman"/>
        </w:rPr>
        <w:t>Given the parties had stipulated to infringement based on the erroneous construction, the Federal Circuit vacated and remanded.</w:t>
      </w:r>
      <w:r w:rsidRPr="005A669A">
        <w:rPr>
          <w:rStyle w:val="FootnoteReference"/>
        </w:rPr>
        <w:footnoteReference w:id="591"/>
      </w:r>
    </w:p>
    <w:p w14:paraId="263BB9F5" w14:textId="134B254E" w:rsidR="00295B73" w:rsidRPr="00690EF1" w:rsidRDefault="00295B73" w:rsidP="00CA2C0A">
      <w:pPr>
        <w:ind w:firstLine="720"/>
        <w:rPr>
          <w:rFonts w:cs="Times New Roman"/>
          <w:color w:val="000000" w:themeColor="text1"/>
        </w:rPr>
      </w:pPr>
      <w:r>
        <w:rPr>
          <w:rFonts w:cs="Times New Roman"/>
        </w:rPr>
        <w:br w:type="page"/>
      </w:r>
    </w:p>
    <w:p w14:paraId="139A08E1" w14:textId="516298B4" w:rsidR="00196C15" w:rsidRDefault="00196C15" w:rsidP="00196C15">
      <w:pPr>
        <w:pStyle w:val="Heading1"/>
        <w:rPr>
          <w:rFonts w:cs="Times New Roman"/>
          <w:szCs w:val="24"/>
        </w:rPr>
      </w:pPr>
      <w:bookmarkStart w:id="67" w:name="_Toc26792787"/>
      <w:r>
        <w:rPr>
          <w:rFonts w:cs="Times New Roman"/>
          <w:szCs w:val="24"/>
        </w:rPr>
        <w:lastRenderedPageBreak/>
        <w:t>INFRINGEMENT</w:t>
      </w:r>
      <w:bookmarkEnd w:id="67"/>
    </w:p>
    <w:p w14:paraId="30B5CD57" w14:textId="2245F0EB" w:rsidR="00457D3F" w:rsidRDefault="00457D3F" w:rsidP="00457D3F">
      <w:pPr>
        <w:pStyle w:val="Heading2"/>
        <w:rPr>
          <w:rFonts w:cs="Times New Roman"/>
          <w:szCs w:val="24"/>
        </w:rPr>
      </w:pPr>
      <w:bookmarkStart w:id="68" w:name="_Toc26792788"/>
      <w:r>
        <w:rPr>
          <w:rFonts w:cs="Times New Roman"/>
          <w:szCs w:val="24"/>
        </w:rPr>
        <w:t>Joint Infringement</w:t>
      </w:r>
      <w:bookmarkEnd w:id="68"/>
    </w:p>
    <w:p w14:paraId="41A4A8E2" w14:textId="6EFCB0DD" w:rsidR="00457D3F" w:rsidRDefault="00457D3F" w:rsidP="00333EA1">
      <w:pPr>
        <w:pStyle w:val="Heading4"/>
      </w:pPr>
      <w:bookmarkStart w:id="69" w:name="_Toc26792789"/>
      <w:r>
        <w:rPr>
          <w:i/>
        </w:rPr>
        <w:t>Omega Patents, LLC v. Cal</w:t>
      </w:r>
      <w:r w:rsidR="00E555E9">
        <w:rPr>
          <w:i/>
        </w:rPr>
        <w:t>A</w:t>
      </w:r>
      <w:r>
        <w:rPr>
          <w:i/>
        </w:rPr>
        <w:t>mp Corp.</w:t>
      </w:r>
      <w:r>
        <w:t xml:space="preserve">, </w:t>
      </w:r>
      <w:r w:rsidR="00C36071">
        <w:t>No. 2018-1309, 2019 WL 1510676 (Fed. Cir. Apr. 8, 2019)</w:t>
      </w:r>
      <w:bookmarkEnd w:id="69"/>
    </w:p>
    <w:p w14:paraId="5E891C5D" w14:textId="78F900A5" w:rsidR="00457D3F" w:rsidRDefault="00333EA1" w:rsidP="00457D3F">
      <w:r>
        <w:tab/>
        <w:t>In this appeal from the Middle District of Florida, the Federal Circuit</w:t>
      </w:r>
      <w:r w:rsidR="000C0911">
        <w:t xml:space="preserve"> variously affirmed, </w:t>
      </w:r>
      <w:r w:rsidR="003D4DB7">
        <w:t xml:space="preserve">reversed, vacated, and remanded claims as to direct and indirect infringement of patents, </w:t>
      </w:r>
      <w:r w:rsidR="00A551B6">
        <w:t>as well as to</w:t>
      </w:r>
      <w:r w:rsidR="003D4DB7">
        <w:t xml:space="preserve"> </w:t>
      </w:r>
      <w:r w:rsidR="00C5509A">
        <w:t xml:space="preserve">the </w:t>
      </w:r>
      <w:r w:rsidR="003D4DB7">
        <w:t>damages thereby resulting.</w:t>
      </w:r>
      <w:r w:rsidR="003D4DB7" w:rsidRPr="005A669A">
        <w:rPr>
          <w:rStyle w:val="FootnoteReference"/>
        </w:rPr>
        <w:footnoteReference w:id="592"/>
      </w:r>
      <w:r w:rsidR="00C5509A">
        <w:t xml:space="preserve"> (</w:t>
      </w:r>
      <w:r w:rsidR="00A551B6">
        <w:t>For a summary of the holdings on</w:t>
      </w:r>
      <w:r w:rsidR="00C5509A">
        <w:t xml:space="preserve"> damages</w:t>
      </w:r>
      <w:r w:rsidR="00A551B6">
        <w:t xml:space="preserve"> in this opinion</w:t>
      </w:r>
      <w:r w:rsidR="00C5509A">
        <w:t>,</w:t>
      </w:r>
      <w:r w:rsidR="00655274">
        <w:t xml:space="preserve"> see the </w:t>
      </w:r>
      <w:r w:rsidR="00A551B6">
        <w:t>remedies</w:t>
      </w:r>
      <w:r w:rsidR="00655274">
        <w:t xml:space="preserve"> section of this document.)</w:t>
      </w:r>
    </w:p>
    <w:p w14:paraId="5881B3EE" w14:textId="5DD80808" w:rsidR="00515AE8" w:rsidRDefault="00515AE8" w:rsidP="00457D3F">
      <w:r>
        <w:tab/>
      </w:r>
      <w:r w:rsidR="00F562A7">
        <w:t>T</w:t>
      </w:r>
      <w:r w:rsidR="006715B1">
        <w:t xml:space="preserve">he case concerned several of Omega’s device and system patents for </w:t>
      </w:r>
      <w:r w:rsidR="00E555E9">
        <w:t>remotely controlling vehicles</w:t>
      </w:r>
      <w:r w:rsidR="00BE250A">
        <w:t>; this system</w:t>
      </w:r>
      <w:r w:rsidR="002C6DE4">
        <w:t xml:space="preserve"> depend</w:t>
      </w:r>
      <w:r w:rsidR="00BE250A">
        <w:t>ed</w:t>
      </w:r>
      <w:r w:rsidR="002C6DE4">
        <w:t xml:space="preserve"> on device</w:t>
      </w:r>
      <w:r w:rsidR="00BE250A">
        <w:t>s</w:t>
      </w:r>
      <w:r w:rsidR="00E555E9">
        <w:t xml:space="preserve"> communicating with </w:t>
      </w:r>
      <w:r w:rsidR="002C6DE4">
        <w:t>a given</w:t>
      </w:r>
      <w:r w:rsidR="00E555E9">
        <w:t xml:space="preserve"> vehicle</w:t>
      </w:r>
      <w:r w:rsidR="002C6DE4">
        <w:t>’s</w:t>
      </w:r>
      <w:r w:rsidR="00E555E9">
        <w:t xml:space="preserve"> </w:t>
      </w:r>
      <w:r w:rsidR="002C6DE4">
        <w:t>data bus</w:t>
      </w:r>
      <w:r w:rsidR="00BE250A">
        <w:t xml:space="preserve"> and with remote receivers</w:t>
      </w:r>
      <w:r w:rsidR="00E555E9">
        <w:t>.</w:t>
      </w:r>
      <w:r w:rsidR="00E555E9" w:rsidRPr="005A669A">
        <w:rPr>
          <w:rStyle w:val="FootnoteReference"/>
        </w:rPr>
        <w:footnoteReference w:id="593"/>
      </w:r>
      <w:r w:rsidR="00E555E9">
        <w:t xml:space="preserve"> CalAmp’s</w:t>
      </w:r>
      <w:r w:rsidR="00BE250A">
        <w:t xml:space="preserve"> allegedly infringing</w:t>
      </w:r>
      <w:r w:rsidR="00E555E9">
        <w:t xml:space="preserve"> device</w:t>
      </w:r>
      <w:r w:rsidR="002C6DE4">
        <w:t>s</w:t>
      </w:r>
      <w:r w:rsidR="00E555E9">
        <w:t xml:space="preserve"> and systems</w:t>
      </w:r>
      <w:r w:rsidR="00BE250A">
        <w:t xml:space="preserve">—used for fleet </w:t>
      </w:r>
      <w:r w:rsidR="001517D7">
        <w:t xml:space="preserve">monitoring and </w:t>
      </w:r>
      <w:r w:rsidR="00BE250A">
        <w:t>management—</w:t>
      </w:r>
      <w:r w:rsidR="002C6DE4" w:rsidRPr="00BE250A">
        <w:rPr>
          <w:i/>
        </w:rPr>
        <w:t>sometimes</w:t>
      </w:r>
      <w:r w:rsidR="002C6DE4">
        <w:t xml:space="preserve"> communicated with a given vehicle’s data bus and </w:t>
      </w:r>
      <w:r w:rsidR="00BE250A">
        <w:t xml:space="preserve">always </w:t>
      </w:r>
      <w:r w:rsidR="002C6DE4">
        <w:t xml:space="preserve">transmitted information </w:t>
      </w:r>
      <w:r w:rsidR="001D371F">
        <w:t>remotely for analysis.</w:t>
      </w:r>
      <w:r w:rsidR="001D371F" w:rsidRPr="005A669A">
        <w:rPr>
          <w:rStyle w:val="FootnoteReference"/>
        </w:rPr>
        <w:footnoteReference w:id="594"/>
      </w:r>
      <w:r w:rsidR="002C6DE4">
        <w:t xml:space="preserve"> </w:t>
      </w:r>
      <w:r w:rsidR="001D371F">
        <w:t>At trial, the jury found for Omega on direct and indirect</w:t>
      </w:r>
      <w:r w:rsidR="00D471AD">
        <w:t xml:space="preserve"> willful</w:t>
      </w:r>
      <w:r w:rsidR="001D371F">
        <w:t xml:space="preserve"> infringement</w:t>
      </w:r>
      <w:r w:rsidR="00D471AD">
        <w:t xml:space="preserve"> and treble damages</w:t>
      </w:r>
      <w:r w:rsidR="001517D7">
        <w:t xml:space="preserve">; </w:t>
      </w:r>
      <w:r w:rsidR="001D371F">
        <w:t>the judge d</w:t>
      </w:r>
      <w:r w:rsidR="003623F4">
        <w:t>enied CalA</w:t>
      </w:r>
      <w:r w:rsidR="008026AF">
        <w:t>mp’s motion for judgment notwithstanding that verdict.</w:t>
      </w:r>
      <w:r w:rsidR="008026AF" w:rsidRPr="005A669A">
        <w:rPr>
          <w:rStyle w:val="FootnoteReference"/>
        </w:rPr>
        <w:footnoteReference w:id="595"/>
      </w:r>
    </w:p>
    <w:p w14:paraId="6D787B39" w14:textId="77777777" w:rsidR="00A6356A" w:rsidRDefault="00515AE8" w:rsidP="00A6356A">
      <w:r>
        <w:tab/>
      </w:r>
      <w:r w:rsidR="00453760">
        <w:t xml:space="preserve">On appeal, the Federal Circuit </w:t>
      </w:r>
      <w:r w:rsidR="00E86F77">
        <w:t>dissected the case</w:t>
      </w:r>
      <w:r w:rsidR="00165268">
        <w:t xml:space="preserve"> and remanded much of it</w:t>
      </w:r>
      <w:r w:rsidR="00E86F77">
        <w:t>.</w:t>
      </w:r>
      <w:r w:rsidR="00E86F77" w:rsidRPr="005A669A">
        <w:rPr>
          <w:rStyle w:val="FootnoteReference"/>
        </w:rPr>
        <w:footnoteReference w:id="596"/>
      </w:r>
      <w:r w:rsidR="00165268">
        <w:t xml:space="preserve"> In particular, t</w:t>
      </w:r>
      <w:r w:rsidR="005B0DEA">
        <w:t>h</w:t>
      </w:r>
      <w:r w:rsidR="00E86F77">
        <w:t xml:space="preserve">e </w:t>
      </w:r>
      <w:r w:rsidR="007E575C">
        <w:t>court declined to find direct infringement where a third</w:t>
      </w:r>
      <w:r w:rsidR="0030381D">
        <w:t>-</w:t>
      </w:r>
      <w:r w:rsidR="007E575C">
        <w:t>party</w:t>
      </w:r>
      <w:r w:rsidR="0030381D">
        <w:t xml:space="preserve"> provided </w:t>
      </w:r>
      <w:r w:rsidR="000E7AAA">
        <w:t>some</w:t>
      </w:r>
      <w:r w:rsidR="007E575C">
        <w:t xml:space="preserve"> of the </w:t>
      </w:r>
      <w:r w:rsidR="0030381D">
        <w:t xml:space="preserve">allegedly infringing </w:t>
      </w:r>
      <w:r w:rsidR="007E575C">
        <w:t>system</w:t>
      </w:r>
      <w:r w:rsidR="000E7AAA">
        <w:t xml:space="preserve"> </w:t>
      </w:r>
      <w:r w:rsidR="007E575C">
        <w:t xml:space="preserve">and an </w:t>
      </w:r>
      <w:r w:rsidR="007E575C">
        <w:rPr>
          <w:i/>
        </w:rPr>
        <w:t>Akamai-</w:t>
      </w:r>
      <w:r w:rsidR="007E575C">
        <w:t xml:space="preserve">style divided infringement theory </w:t>
      </w:r>
      <w:r w:rsidR="005B0DEA">
        <w:t>apparently</w:t>
      </w:r>
      <w:r w:rsidR="007E575C">
        <w:t xml:space="preserve"> </w:t>
      </w:r>
      <w:r w:rsidR="005B0DEA">
        <w:t>was</w:t>
      </w:r>
      <w:r w:rsidR="007E575C">
        <w:t xml:space="preserve"> not asserted. </w:t>
      </w:r>
      <w:r w:rsidR="009F6958">
        <w:t xml:space="preserve"> </w:t>
      </w:r>
      <w:r w:rsidR="00F25513">
        <w:t>The</w:t>
      </w:r>
      <w:r w:rsidR="005B0DEA">
        <w:t xml:space="preserve"> system claims in the</w:t>
      </w:r>
      <w:r w:rsidR="00F25513">
        <w:t xml:space="preserve"> </w:t>
      </w:r>
      <w:r w:rsidR="005B0DEA">
        <w:t xml:space="preserve">’876 and ’885 patents </w:t>
      </w:r>
      <w:r w:rsidR="009F6958">
        <w:t xml:space="preserve">required “a transmitter and a receiver for receiving </w:t>
      </w:r>
      <w:r w:rsidR="009F6958">
        <w:rPr>
          <w:i/>
        </w:rPr>
        <w:t>signals from said transmitter</w:t>
      </w:r>
      <w:r w:rsidR="009F6958">
        <w:t>”</w:t>
      </w:r>
      <w:r w:rsidR="00F25513">
        <w:t>; for CalAmp’s systems,</w:t>
      </w:r>
      <w:r w:rsidR="009F6958">
        <w:t xml:space="preserve"> </w:t>
      </w:r>
      <w:r w:rsidR="005B0DEA">
        <w:t xml:space="preserve">however, </w:t>
      </w:r>
      <w:r w:rsidR="009F6958">
        <w:t>the alleged receiver was a cell tower</w:t>
      </w:r>
      <w:r w:rsidR="00F25513">
        <w:t xml:space="preserve"> that </w:t>
      </w:r>
      <w:r w:rsidR="009F6958">
        <w:t>CalAmp was not alleged to provide.</w:t>
      </w:r>
      <w:r w:rsidR="009F6958" w:rsidRPr="005A669A">
        <w:rPr>
          <w:rStyle w:val="FootnoteReference"/>
        </w:rPr>
        <w:footnoteReference w:id="597"/>
      </w:r>
      <w:r w:rsidR="00666CF1">
        <w:t xml:space="preserve"> </w:t>
      </w:r>
      <w:r w:rsidR="002E288E">
        <w:t>This destroyed a direct infringement theory</w:t>
      </w:r>
      <w:r w:rsidR="00D02AE6">
        <w:t>.</w:t>
      </w:r>
      <w:r w:rsidR="002E288E">
        <w:t xml:space="preserve"> </w:t>
      </w:r>
      <w:r w:rsidR="009F6958">
        <w:t xml:space="preserve">The Federal Circuit </w:t>
      </w:r>
      <w:r w:rsidR="00F25513">
        <w:t xml:space="preserve">(and apparently the parties) </w:t>
      </w:r>
      <w:r w:rsidR="002E288E">
        <w:t>did not</w:t>
      </w:r>
      <w:r w:rsidR="009F6958">
        <w:t xml:space="preserve"> consider an </w:t>
      </w:r>
      <w:r w:rsidR="009F6958">
        <w:rPr>
          <w:i/>
        </w:rPr>
        <w:t>Akamai</w:t>
      </w:r>
      <w:r w:rsidR="00540A32">
        <w:t xml:space="preserve">-style theory of </w:t>
      </w:r>
      <w:r w:rsidR="004B0B8F">
        <w:t>divided</w:t>
      </w:r>
      <w:r w:rsidR="008D0858">
        <w:t xml:space="preserve"> direct</w:t>
      </w:r>
      <w:r w:rsidR="00540A32">
        <w:t xml:space="preserve"> infringement.</w:t>
      </w:r>
      <w:r w:rsidR="00540A32" w:rsidRPr="005A669A">
        <w:rPr>
          <w:rStyle w:val="FootnoteReference"/>
        </w:rPr>
        <w:footnoteReference w:id="598"/>
      </w:r>
      <w:r w:rsidR="004B0B8F">
        <w:t xml:space="preserve"> </w:t>
      </w:r>
    </w:p>
    <w:p w14:paraId="2CCFC612" w14:textId="7916744C" w:rsidR="00491A8B" w:rsidRPr="00457D3F" w:rsidRDefault="000E7AAA" w:rsidP="00A6356A">
      <w:pPr>
        <w:ind w:firstLine="720"/>
      </w:pPr>
      <w:r>
        <w:t xml:space="preserve">On an </w:t>
      </w:r>
      <w:r w:rsidR="00FE2B95">
        <w:t>induced infringement</w:t>
      </w:r>
      <w:r>
        <w:t xml:space="preserve">, theory, </w:t>
      </w:r>
      <w:r w:rsidR="008D0858">
        <w:t>however</w:t>
      </w:r>
      <w:r>
        <w:t xml:space="preserve">, </w:t>
      </w:r>
      <w:r w:rsidR="00532AAD">
        <w:t>even though the</w:t>
      </w:r>
      <w:r>
        <w:t xml:space="preserve"> jury could </w:t>
      </w:r>
      <w:r w:rsidR="00EE7B97">
        <w:t>appropriately have found</w:t>
      </w:r>
      <w:r>
        <w:t xml:space="preserve"> underlying direct infringement</w:t>
      </w:r>
      <w:r w:rsidR="00532AAD">
        <w:t xml:space="preserve"> </w:t>
      </w:r>
      <w:r w:rsidR="00FE2B95">
        <w:t xml:space="preserve">on the system claims </w:t>
      </w:r>
      <w:r w:rsidR="00532AAD">
        <w:t>by CalAmp’s customers</w:t>
      </w:r>
      <w:r>
        <w:t>,</w:t>
      </w:r>
      <w:r w:rsidR="00532AAD" w:rsidRPr="005A669A">
        <w:rPr>
          <w:rStyle w:val="FootnoteReference"/>
        </w:rPr>
        <w:footnoteReference w:id="599"/>
      </w:r>
      <w:r>
        <w:t xml:space="preserve"> </w:t>
      </w:r>
      <w:r w:rsidR="00532AAD">
        <w:t>it could not have found</w:t>
      </w:r>
      <w:r w:rsidR="00C505EC">
        <w:t xml:space="preserve"> the </w:t>
      </w:r>
      <w:r w:rsidR="00AF6C00">
        <w:t xml:space="preserve">required mental state (knowledge of </w:t>
      </w:r>
      <w:r w:rsidR="00AF6C00">
        <w:lastRenderedPageBreak/>
        <w:t>infringement)</w:t>
      </w:r>
      <w:r w:rsidR="00C505EC">
        <w:t xml:space="preserve"> </w:t>
      </w:r>
      <w:r w:rsidR="00532AAD">
        <w:t>at CalAmp</w:t>
      </w:r>
      <w:r>
        <w:t>.</w:t>
      </w:r>
      <w:r w:rsidRPr="005A669A">
        <w:rPr>
          <w:rStyle w:val="FootnoteReference"/>
        </w:rPr>
        <w:footnoteReference w:id="600"/>
      </w:r>
      <w:r w:rsidR="00022B37">
        <w:t xml:space="preserve"> </w:t>
      </w:r>
      <w:r w:rsidR="00532AAD">
        <w:t>T</w:t>
      </w:r>
      <w:r w:rsidR="008D0858">
        <w:t>he</w:t>
      </w:r>
      <w:r w:rsidR="00022B37">
        <w:t xml:space="preserve"> trial court </w:t>
      </w:r>
      <w:r w:rsidR="00B80C92">
        <w:t>wrongly</w:t>
      </w:r>
      <w:r w:rsidR="00491810">
        <w:t xml:space="preserve"> excluded testimony</w:t>
      </w:r>
      <w:r w:rsidR="008D0858">
        <w:t xml:space="preserve"> from </w:t>
      </w:r>
      <w:r w:rsidR="00491810">
        <w:t xml:space="preserve">CalAmp’s senior director of business development and its general counsel </w:t>
      </w:r>
      <w:r w:rsidR="00AD2E71">
        <w:t xml:space="preserve">as </w:t>
      </w:r>
      <w:r w:rsidR="00AF6C00">
        <w:t xml:space="preserve">to </w:t>
      </w:r>
      <w:r w:rsidR="00AD2E71">
        <w:t>whether</w:t>
      </w:r>
      <w:r w:rsidR="00532AAD">
        <w:t xml:space="preserve"> at product launch</w:t>
      </w:r>
      <w:r w:rsidR="00AD2E71">
        <w:t xml:space="preserve"> they knew their customers would be infringing CalAmp’s patents.</w:t>
      </w:r>
      <w:r w:rsidR="00876B9C" w:rsidRPr="005A669A">
        <w:rPr>
          <w:rStyle w:val="FootnoteReference"/>
        </w:rPr>
        <w:footnoteReference w:id="601"/>
      </w:r>
      <w:r>
        <w:t xml:space="preserve"> </w:t>
      </w:r>
      <w:r w:rsidR="004668F6">
        <w:t>Hence, the court vacated and remanded.</w:t>
      </w:r>
    </w:p>
    <w:p w14:paraId="1D8020DE" w14:textId="77777777" w:rsidR="00727BED" w:rsidRDefault="00727BED" w:rsidP="00DC4625">
      <w:pPr>
        <w:pStyle w:val="Heading2"/>
        <w:rPr>
          <w:rFonts w:cs="Times New Roman"/>
          <w:szCs w:val="24"/>
        </w:rPr>
      </w:pPr>
      <w:bookmarkStart w:id="70" w:name="_Toc26792790"/>
      <w:r>
        <w:rPr>
          <w:rFonts w:cs="Times New Roman"/>
          <w:szCs w:val="24"/>
        </w:rPr>
        <w:t>Doctrine of Equivalents</w:t>
      </w:r>
      <w:bookmarkEnd w:id="70"/>
    </w:p>
    <w:p w14:paraId="68A5A2DA" w14:textId="77777777" w:rsidR="00727BED" w:rsidRDefault="00727BED" w:rsidP="00727BED">
      <w:pPr>
        <w:pStyle w:val="Heading4"/>
        <w:rPr>
          <w:i/>
        </w:rPr>
      </w:pPr>
      <w:bookmarkStart w:id="71" w:name="_Toc26792791"/>
      <w:r>
        <w:rPr>
          <w:i/>
        </w:rPr>
        <w:t>Eli Lilly &amp; Co. v. Hospira, Inc.</w:t>
      </w:r>
      <w:r>
        <w:t>, 2019 WL 3756065, at *1 (Fed. Cir. Aug. 9, 2019)</w:t>
      </w:r>
      <w:bookmarkEnd w:id="71"/>
      <w:r>
        <w:rPr>
          <w:i/>
        </w:rPr>
        <w:t xml:space="preserve"> </w:t>
      </w:r>
    </w:p>
    <w:p w14:paraId="356571FE" w14:textId="77777777" w:rsidR="00727BED" w:rsidRDefault="00727BED" w:rsidP="00727BED">
      <w:pPr>
        <w:ind w:firstLine="720"/>
        <w:rPr>
          <w:rFonts w:cs="Times New Roman"/>
          <w:bCs/>
        </w:rPr>
      </w:pPr>
      <w:r>
        <w:rPr>
          <w:rFonts w:cs="Times New Roman"/>
          <w:bCs/>
        </w:rPr>
        <w:t>In this appeal from the Southern District of Indiana, the Federal Circuit reversed a finding of literal infringement but affirmed under the doctrine of equivalents.</w:t>
      </w:r>
      <w:r>
        <w:rPr>
          <w:rStyle w:val="FootnoteReference"/>
          <w:rFonts w:cs="Times New Roman"/>
          <w:bCs/>
        </w:rPr>
        <w:footnoteReference w:id="602"/>
      </w:r>
      <w:r>
        <w:rPr>
          <w:rFonts w:cs="Times New Roman"/>
          <w:bCs/>
        </w:rPr>
        <w:t xml:space="preserve"> (Only the latter issue is addressed here.)</w:t>
      </w:r>
    </w:p>
    <w:p w14:paraId="0FD2ED3A" w14:textId="77777777" w:rsidR="00727BED" w:rsidRDefault="00727BED" w:rsidP="00727BED">
      <w:pPr>
        <w:ind w:firstLine="720"/>
        <w:rPr>
          <w:rFonts w:cs="Times New Roman"/>
          <w:bCs/>
        </w:rPr>
      </w:pPr>
      <w:r>
        <w:rPr>
          <w:rFonts w:cs="Times New Roman"/>
          <w:bCs/>
        </w:rPr>
        <w:t>Prior art had identified that antifolates slow DNA and RNA synthesis and stymie cancers; antifolates, however, were also known to cause side effects.</w:t>
      </w:r>
      <w:r>
        <w:rPr>
          <w:rStyle w:val="FootnoteReference"/>
          <w:rFonts w:cs="Times New Roman"/>
          <w:bCs/>
        </w:rPr>
        <w:footnoteReference w:id="603"/>
      </w:r>
      <w:r>
        <w:rPr>
          <w:rFonts w:cs="Times New Roman"/>
          <w:bCs/>
        </w:rPr>
        <w:t xml:space="preserve">  Lilly’s ’209 patent concerned the use of a particularly effective antifolate, pemetrexed disodium, together with a methylmalonic acid lowering agent and folic acid, which lessen the antifolate’s side effects without lessening its efficacy.</w:t>
      </w:r>
      <w:r>
        <w:rPr>
          <w:rStyle w:val="FootnoteReference"/>
          <w:rFonts w:cs="Times New Roman"/>
          <w:bCs/>
        </w:rPr>
        <w:footnoteReference w:id="604"/>
      </w:r>
      <w:r>
        <w:rPr>
          <w:rFonts w:cs="Times New Roman"/>
          <w:bCs/>
        </w:rPr>
        <w:t xml:space="preserve">  When prosecuting the patent, Lilly distinguished particular antifolates disclosed by prior art, and yet the district court found that this did not preclude Lilly’s patent from potentially covering still other antifolates under the doctrine of equivalents.</w:t>
      </w:r>
      <w:r>
        <w:rPr>
          <w:rStyle w:val="FootnoteReference"/>
          <w:rFonts w:cs="Times New Roman"/>
          <w:bCs/>
        </w:rPr>
        <w:footnoteReference w:id="605"/>
      </w:r>
      <w:r>
        <w:rPr>
          <w:rFonts w:cs="Times New Roman"/>
          <w:bCs/>
        </w:rPr>
        <w:t xml:space="preserve">  And, while Lilly cited the Akimoto patent, which covers a genus of thousands of antifolate compounds (and to which Lilly took a license), this citation to the genus did not preclude Lilly’s claim to a particularly fit specie and its equivalents.</w:t>
      </w:r>
      <w:r>
        <w:rPr>
          <w:rStyle w:val="FootnoteReference"/>
          <w:rFonts w:cs="Times New Roman"/>
          <w:bCs/>
        </w:rPr>
        <w:footnoteReference w:id="606"/>
      </w:r>
      <w:r>
        <w:rPr>
          <w:rFonts w:cs="Times New Roman"/>
          <w:bCs/>
        </w:rPr>
        <w:t xml:space="preserve">  Lilly sued drug makers who proposed using as antifolates different pemetrexed salts, particularly </w:t>
      </w:r>
      <w:r w:rsidRPr="009768E3">
        <w:rPr>
          <w:rFonts w:cs="Times New Roman"/>
          <w:bCs/>
        </w:rPr>
        <w:t>pemetrexed ditromethamine</w:t>
      </w:r>
      <w:r>
        <w:rPr>
          <w:rFonts w:cs="Times New Roman"/>
          <w:bCs/>
        </w:rPr>
        <w:t>.</w:t>
      </w:r>
      <w:r>
        <w:rPr>
          <w:rStyle w:val="FootnoteReference"/>
          <w:rFonts w:cs="Times New Roman"/>
          <w:bCs/>
        </w:rPr>
        <w:footnoteReference w:id="607"/>
      </w:r>
      <w:r>
        <w:rPr>
          <w:rFonts w:cs="Times New Roman"/>
          <w:bCs/>
        </w:rPr>
        <w:t xml:space="preserve">  The district court rejected prosecution history estoppel and public-dedication defenses; it found the defendant’s drugs infringed because the “administration of pemetrexed ditromethamine is equivalent to the claim element ‘administration of pemetrexed disodium.”</w:t>
      </w:r>
      <w:r>
        <w:rPr>
          <w:rStyle w:val="FootnoteReference"/>
          <w:rFonts w:cs="Times New Roman"/>
          <w:bCs/>
        </w:rPr>
        <w:footnoteReference w:id="608"/>
      </w:r>
      <w:r>
        <w:rPr>
          <w:rFonts w:cs="Times New Roman"/>
          <w:bCs/>
        </w:rPr>
        <w:t xml:space="preserve">  </w:t>
      </w:r>
    </w:p>
    <w:p w14:paraId="29E37648" w14:textId="77777777" w:rsidR="00727BED" w:rsidRDefault="00727BED" w:rsidP="00727BED">
      <w:pPr>
        <w:ind w:firstLine="720"/>
        <w:rPr>
          <w:rFonts w:cs="Times New Roman"/>
          <w:bCs/>
        </w:rPr>
      </w:pPr>
      <w:r>
        <w:rPr>
          <w:rFonts w:cs="Times New Roman"/>
          <w:bCs/>
        </w:rPr>
        <w:t>On appeal, the Federal Circuit affirmed the result by applying the doctrine of equivalents.</w:t>
      </w:r>
      <w:r>
        <w:rPr>
          <w:rStyle w:val="FootnoteReference"/>
          <w:rFonts w:cs="Times New Roman"/>
          <w:bCs/>
        </w:rPr>
        <w:footnoteReference w:id="609"/>
      </w:r>
      <w:r>
        <w:rPr>
          <w:rFonts w:cs="Times New Roman"/>
          <w:bCs/>
        </w:rPr>
        <w:t xml:space="preserve">  Addressing prosecution history estoppel first, the court stated that “a</w:t>
      </w:r>
      <w:r w:rsidRPr="007E0F90">
        <w:rPr>
          <w:rFonts w:cs="Times New Roman"/>
          <w:bCs/>
        </w:rPr>
        <w:t xml:space="preserve"> </w:t>
      </w:r>
      <w:r w:rsidRPr="007E0F90">
        <w:rPr>
          <w:rFonts w:cs="Times New Roman"/>
          <w:bCs/>
        </w:rPr>
        <w:lastRenderedPageBreak/>
        <w:t>narrowing amendment</w:t>
      </w:r>
      <w:r>
        <w:rPr>
          <w:rFonts w:cs="Times New Roman"/>
          <w:bCs/>
        </w:rPr>
        <w:t xml:space="preserve"> </w:t>
      </w:r>
      <w:r w:rsidRPr="007E0F90">
        <w:rPr>
          <w:rFonts w:cs="Times New Roman"/>
          <w:bCs/>
        </w:rPr>
        <w:t xml:space="preserve">is presumed to be a surrender of all equivalents within </w:t>
      </w:r>
      <w:r>
        <w:rPr>
          <w:rFonts w:cs="Times New Roman"/>
          <w:bCs/>
        </w:rPr>
        <w:t>‘</w:t>
      </w:r>
      <w:r w:rsidRPr="007E0F90">
        <w:rPr>
          <w:rFonts w:cs="Times New Roman"/>
          <w:bCs/>
        </w:rPr>
        <w:t>the territory between the original claim and the amended claim,</w:t>
      </w:r>
      <w:r>
        <w:rPr>
          <w:rFonts w:cs="Times New Roman"/>
          <w:bCs/>
        </w:rPr>
        <w:t>’</w:t>
      </w:r>
      <w:r w:rsidRPr="007E0F90">
        <w:rPr>
          <w:rFonts w:cs="Times New Roman"/>
          <w:bCs/>
        </w:rPr>
        <w:t xml:space="preserve"> </w:t>
      </w:r>
      <w:r>
        <w:rPr>
          <w:rFonts w:cs="Times New Roman"/>
          <w:bCs/>
        </w:rPr>
        <w:t>[and]</w:t>
      </w:r>
      <w:r w:rsidRPr="007E0F90">
        <w:rPr>
          <w:rFonts w:cs="Times New Roman"/>
          <w:bCs/>
        </w:rPr>
        <w:t xml:space="preserve"> the presumption is </w:t>
      </w:r>
      <w:r>
        <w:rPr>
          <w:rFonts w:cs="Times New Roman"/>
          <w:bCs/>
        </w:rPr>
        <w:t xml:space="preserve">[only] </w:t>
      </w:r>
      <w:r w:rsidRPr="007E0F90">
        <w:rPr>
          <w:rFonts w:cs="Times New Roman"/>
          <w:bCs/>
        </w:rPr>
        <w:t>overcome if the patentee can show the applicability of one of the few exceptions identified by the Supreme</w:t>
      </w:r>
      <w:r>
        <w:rPr>
          <w:rFonts w:cs="Times New Roman"/>
          <w:bCs/>
        </w:rPr>
        <w:t xml:space="preserve"> </w:t>
      </w:r>
      <w:r w:rsidRPr="007E0F90">
        <w:rPr>
          <w:rFonts w:cs="Times New Roman"/>
          <w:bCs/>
        </w:rPr>
        <w:t>Court.</w:t>
      </w:r>
      <w:r>
        <w:rPr>
          <w:rFonts w:cs="Times New Roman"/>
          <w:bCs/>
        </w:rPr>
        <w:t>”</w:t>
      </w:r>
      <w:r>
        <w:rPr>
          <w:rStyle w:val="FootnoteReference"/>
          <w:rFonts w:cs="Times New Roman"/>
          <w:bCs/>
        </w:rPr>
        <w:footnoteReference w:id="610"/>
      </w:r>
      <w:r>
        <w:rPr>
          <w:rFonts w:cs="Times New Roman"/>
          <w:bCs/>
        </w:rPr>
        <w:t xml:space="preserve">  Lilly argued that “</w:t>
      </w:r>
      <w:r w:rsidRPr="00EB42D7">
        <w:rPr>
          <w:rFonts w:cs="Times New Roman"/>
          <w:bCs/>
        </w:rPr>
        <w:t xml:space="preserve">the rationale of its amendment </w:t>
      </w:r>
      <w:r>
        <w:rPr>
          <w:rFonts w:cs="Times New Roman"/>
          <w:bCs/>
        </w:rPr>
        <w:t>‘</w:t>
      </w:r>
      <w:r w:rsidRPr="00EB42D7">
        <w:rPr>
          <w:rFonts w:cs="Times New Roman"/>
          <w:bCs/>
        </w:rPr>
        <w:t>[bore] no more than a tangential relation to the equivalent in question</w:t>
      </w:r>
      <w:r>
        <w:rPr>
          <w:rFonts w:cs="Times New Roman"/>
          <w:bCs/>
        </w:rPr>
        <w:t>,’” a recognized exception.</w:t>
      </w:r>
      <w:r>
        <w:rPr>
          <w:rStyle w:val="FootnoteReference"/>
          <w:rFonts w:cs="Times New Roman"/>
          <w:bCs/>
        </w:rPr>
        <w:footnoteReference w:id="611"/>
      </w:r>
      <w:r>
        <w:rPr>
          <w:rFonts w:cs="Times New Roman"/>
          <w:bCs/>
        </w:rPr>
        <w:t xml:space="preserve">  The core question, then, was whether “</w:t>
      </w:r>
      <w:r w:rsidRPr="00BB640C">
        <w:rPr>
          <w:rFonts w:cs="Times New Roman"/>
          <w:bCs/>
        </w:rPr>
        <w:t xml:space="preserve">Lilly’s amendment narrowing </w:t>
      </w:r>
      <w:r>
        <w:rPr>
          <w:rFonts w:cs="Times New Roman"/>
          <w:bCs/>
        </w:rPr>
        <w:t>‘</w:t>
      </w:r>
      <w:r w:rsidRPr="00BB640C">
        <w:rPr>
          <w:rFonts w:cs="Times New Roman"/>
          <w:bCs/>
        </w:rPr>
        <w:t>an antifolate</w:t>
      </w:r>
      <w:r>
        <w:rPr>
          <w:rFonts w:cs="Times New Roman"/>
          <w:bCs/>
        </w:rPr>
        <w:t>’</w:t>
      </w:r>
      <w:r w:rsidRPr="00BB640C">
        <w:rPr>
          <w:rFonts w:cs="Times New Roman"/>
          <w:bCs/>
        </w:rPr>
        <w:t xml:space="preserve"> to </w:t>
      </w:r>
      <w:r>
        <w:rPr>
          <w:rFonts w:cs="Times New Roman"/>
          <w:bCs/>
        </w:rPr>
        <w:t>‘</w:t>
      </w:r>
      <w:r w:rsidRPr="00BB640C">
        <w:rPr>
          <w:rFonts w:cs="Times New Roman"/>
          <w:bCs/>
        </w:rPr>
        <w:t>pemetrexed disodium</w:t>
      </w:r>
      <w:r>
        <w:rPr>
          <w:rFonts w:cs="Times New Roman"/>
          <w:bCs/>
        </w:rPr>
        <w:t>’</w:t>
      </w:r>
      <w:r w:rsidRPr="00BB640C">
        <w:rPr>
          <w:rFonts w:cs="Times New Roman"/>
          <w:bCs/>
        </w:rPr>
        <w:t xml:space="preserve"> was only tangential to pemetrexed ditromethamine, which is the accused compound.</w:t>
      </w:r>
      <w:r>
        <w:rPr>
          <w:rFonts w:cs="Times New Roman"/>
          <w:bCs/>
        </w:rPr>
        <w:t>”</w:t>
      </w:r>
      <w:r>
        <w:rPr>
          <w:rStyle w:val="FootnoteReference"/>
          <w:rFonts w:cs="Times New Roman"/>
          <w:bCs/>
        </w:rPr>
        <w:footnoteReference w:id="612"/>
      </w:r>
      <w:r>
        <w:rPr>
          <w:rFonts w:cs="Times New Roman"/>
          <w:bCs/>
        </w:rPr>
        <w:t xml:space="preserve">  Even though Lilly could have added one claim limitation to avoid the prior art without adding another limitation to exclude the equivalent at issue, the court reasoned that a rule precluding Lilly from claiming the excluded equivalent would be too “rigid” an interpretation of these equitable doctrines and would “eviscerate the tangentiality exception.”</w:t>
      </w:r>
      <w:r>
        <w:rPr>
          <w:rStyle w:val="FootnoteReference"/>
          <w:rFonts w:cs="Times New Roman"/>
          <w:bCs/>
        </w:rPr>
        <w:footnoteReference w:id="613"/>
      </w:r>
      <w:r>
        <w:rPr>
          <w:rFonts w:cs="Times New Roman"/>
          <w:bCs/>
        </w:rPr>
        <w:t xml:space="preserve">  “T</w:t>
      </w:r>
      <w:r w:rsidRPr="00BD19BF">
        <w:rPr>
          <w:rFonts w:cs="Times New Roman"/>
          <w:bCs/>
        </w:rPr>
        <w:t>he particular type of salt to which pemetrexed is complexed relates only tenuously to the reason for the narrowing amendment</w:t>
      </w:r>
      <w:r>
        <w:rPr>
          <w:rFonts w:cs="Times New Roman"/>
          <w:bCs/>
        </w:rPr>
        <w:t>, which was to avoid” a reference using methotrexate, an entirely different antifolate, and “not to cede other, functionally identical, pemetrexed salts.”</w:t>
      </w:r>
      <w:r>
        <w:rPr>
          <w:rStyle w:val="FootnoteReference"/>
          <w:rFonts w:cs="Times New Roman"/>
          <w:bCs/>
        </w:rPr>
        <w:footnoteReference w:id="614"/>
      </w:r>
      <w:r>
        <w:rPr>
          <w:rFonts w:cs="Times New Roman"/>
          <w:bCs/>
        </w:rPr>
        <w:t xml:space="preserve">  A competitor would not have been justified in assuming Lilly had surrendered other pemetrexed salts</w:t>
      </w:r>
      <w:r>
        <w:rPr>
          <w:rStyle w:val="FootnoteReference"/>
          <w:rFonts w:cs="Times New Roman"/>
          <w:bCs/>
        </w:rPr>
        <w:footnoteReference w:id="615"/>
      </w:r>
      <w:r>
        <w:rPr>
          <w:rFonts w:cs="Times New Roman"/>
          <w:bCs/>
        </w:rPr>
        <w:t xml:space="preserve"> — indeed, that reading would have been “implausible.”</w:t>
      </w:r>
      <w:r>
        <w:rPr>
          <w:rStyle w:val="FootnoteReference"/>
          <w:rFonts w:cs="Times New Roman"/>
          <w:bCs/>
        </w:rPr>
        <w:footnoteReference w:id="616"/>
      </w:r>
    </w:p>
    <w:p w14:paraId="163D6214" w14:textId="77777777" w:rsidR="00727BED" w:rsidRDefault="00727BED" w:rsidP="00727BED">
      <w:pPr>
        <w:ind w:firstLine="720"/>
        <w:rPr>
          <w:rFonts w:cs="Times New Roman"/>
          <w:bCs/>
        </w:rPr>
      </w:pPr>
      <w:r>
        <w:rPr>
          <w:rFonts w:cs="Times New Roman"/>
          <w:bCs/>
        </w:rPr>
        <w:t>Turning to whether the equivalent was not claimed because of the disclosure-dedication rule, the court held that the ’209 patent did not disclose methods of treatment using pemetrexed ditromethamine, and so “could not have dedicated such a method to the public.”</w:t>
      </w:r>
      <w:r>
        <w:rPr>
          <w:rStyle w:val="FootnoteReference"/>
          <w:rFonts w:cs="Times New Roman"/>
          <w:bCs/>
        </w:rPr>
        <w:footnoteReference w:id="617"/>
      </w:r>
      <w:r>
        <w:rPr>
          <w:rFonts w:cs="Times New Roman"/>
          <w:bCs/>
        </w:rPr>
        <w:t xml:space="preserve">  While the patent did reference Akimoto’s genus of antifolates, this “generic reference” did not enable a skilled artisan to “understand [any] unclaimed disclosed teaching[, such as related to the equivalent salts,] upon reading the written description.”</w:t>
      </w:r>
      <w:r>
        <w:rPr>
          <w:rStyle w:val="FootnoteReference"/>
          <w:rFonts w:cs="Times New Roman"/>
          <w:bCs/>
        </w:rPr>
        <w:footnoteReference w:id="618"/>
      </w:r>
    </w:p>
    <w:p w14:paraId="4BE85C67" w14:textId="77777777" w:rsidR="00727BED" w:rsidRDefault="00727BED" w:rsidP="00727BED">
      <w:pPr>
        <w:pStyle w:val="Heading4"/>
        <w:rPr>
          <w:i/>
        </w:rPr>
      </w:pPr>
      <w:bookmarkStart w:id="72" w:name="_Toc26792792"/>
      <w:r>
        <w:rPr>
          <w:i/>
        </w:rPr>
        <w:t>Amgen Inc. v. Coherus Biosciences Inc.</w:t>
      </w:r>
      <w:r>
        <w:t>, 931 F.3d 1154 (Fed. Cir. July 29, 2019)</w:t>
      </w:r>
      <w:bookmarkEnd w:id="72"/>
    </w:p>
    <w:p w14:paraId="2C2DABAB" w14:textId="77777777" w:rsidR="00727BED" w:rsidRDefault="00727BED" w:rsidP="00727BED">
      <w:pPr>
        <w:ind w:firstLine="720"/>
        <w:rPr>
          <w:rFonts w:cs="Times New Roman"/>
          <w:bCs/>
        </w:rPr>
      </w:pPr>
      <w:r>
        <w:rPr>
          <w:rFonts w:cs="Times New Roman"/>
          <w:bCs/>
        </w:rPr>
        <w:t>In this appeal from the District of Delaware, the Federal Circuit affirmed dismissal for failure to state a claim because “</w:t>
      </w:r>
      <w:r w:rsidRPr="00F943B6">
        <w:rPr>
          <w:rFonts w:cs="Times New Roman"/>
          <w:bCs/>
        </w:rPr>
        <w:t>prosecution history estoppel bars Amgen from succeeding on its infringement claim under the doctrine of equivalents</w:t>
      </w:r>
      <w:r>
        <w:rPr>
          <w:rFonts w:cs="Times New Roman"/>
          <w:bCs/>
        </w:rPr>
        <w:t>.”</w:t>
      </w:r>
      <w:r>
        <w:rPr>
          <w:rStyle w:val="FootnoteReference"/>
          <w:rFonts w:cs="Times New Roman"/>
          <w:bCs/>
        </w:rPr>
        <w:footnoteReference w:id="619"/>
      </w:r>
      <w:r>
        <w:rPr>
          <w:rFonts w:cs="Times New Roman"/>
          <w:bCs/>
        </w:rPr>
        <w:t xml:space="preserve"> </w:t>
      </w:r>
    </w:p>
    <w:p w14:paraId="6F1F8733" w14:textId="77777777" w:rsidR="00727BED" w:rsidRDefault="00727BED" w:rsidP="00727BED">
      <w:pPr>
        <w:rPr>
          <w:rFonts w:cs="Times New Roman"/>
          <w:bCs/>
        </w:rPr>
      </w:pPr>
      <w:r>
        <w:rPr>
          <w:rFonts w:cs="Times New Roman"/>
          <w:bCs/>
        </w:rPr>
        <w:lastRenderedPageBreak/>
        <w:tab/>
        <w:t>Amgen’s ’707 patent taught a method for improving the production of biologic therapies by increasing the amount of biologic protein that could be captured during the purification stage without compromising the protein’s stability.</w:t>
      </w:r>
      <w:r>
        <w:rPr>
          <w:rStyle w:val="FootnoteReference"/>
          <w:rFonts w:cs="Times New Roman"/>
          <w:bCs/>
        </w:rPr>
        <w:footnoteReference w:id="620"/>
      </w:r>
      <w:r>
        <w:rPr>
          <w:rFonts w:cs="Times New Roman"/>
          <w:bCs/>
        </w:rPr>
        <w:t xml:space="preserve">  During prosecution, the examiner objected that a skilled artisan could have developed Amgen’s approach by routinely optimizing the method previously explained by Holtz.</w:t>
      </w:r>
      <w:r>
        <w:rPr>
          <w:rStyle w:val="FootnoteReference"/>
          <w:rFonts w:cs="Times New Roman"/>
          <w:bCs/>
        </w:rPr>
        <w:footnoteReference w:id="621"/>
      </w:r>
      <w:r>
        <w:rPr>
          <w:rFonts w:cs="Times New Roman"/>
          <w:bCs/>
        </w:rPr>
        <w:t xml:space="preserve">  To avoid the prior art, Amgen emphasized that Holtz had failed to disclose the use of any combination of salts, let alone the three specific pairs Amgen claimed; “merely adding [any given] second salt” would not do.</w:t>
      </w:r>
      <w:r>
        <w:rPr>
          <w:rStyle w:val="FootnoteReference"/>
          <w:rFonts w:cs="Times New Roman"/>
          <w:bCs/>
        </w:rPr>
        <w:footnoteReference w:id="622"/>
      </w:r>
      <w:r>
        <w:rPr>
          <w:rFonts w:cs="Times New Roman"/>
          <w:bCs/>
        </w:rPr>
        <w:t xml:space="preserve">  Coherus’s later-developed biologic manufacturing process also used a salt combination, but not one of the specified, effective pairs.</w:t>
      </w:r>
      <w:r>
        <w:rPr>
          <w:rStyle w:val="FootnoteReference"/>
          <w:rFonts w:cs="Times New Roman"/>
          <w:bCs/>
        </w:rPr>
        <w:footnoteReference w:id="623"/>
      </w:r>
      <w:r>
        <w:rPr>
          <w:rFonts w:cs="Times New Roman"/>
          <w:bCs/>
        </w:rPr>
        <w:t xml:space="preserve">  The district court found that because Amgen had specifically disclaimed other salt combinations during prosecution, Coherus’s combination did not infringe.</w:t>
      </w:r>
      <w:r>
        <w:rPr>
          <w:rStyle w:val="FootnoteReference"/>
          <w:rFonts w:cs="Times New Roman"/>
          <w:bCs/>
        </w:rPr>
        <w:footnoteReference w:id="624"/>
      </w:r>
    </w:p>
    <w:p w14:paraId="2792A5B1" w14:textId="77777777" w:rsidR="00727BED" w:rsidRPr="007E0F90" w:rsidRDefault="00727BED" w:rsidP="00727BED">
      <w:pPr>
        <w:rPr>
          <w:rFonts w:cs="Times New Roman"/>
          <w:bCs/>
        </w:rPr>
      </w:pPr>
      <w:r>
        <w:rPr>
          <w:rFonts w:cs="Times New Roman"/>
          <w:bCs/>
        </w:rPr>
        <w:tab/>
        <w:t>On appeal, the Federal Circuit affirmed.</w:t>
      </w:r>
      <w:r>
        <w:rPr>
          <w:rStyle w:val="FootnoteReference"/>
          <w:rFonts w:cs="Times New Roman"/>
          <w:bCs/>
        </w:rPr>
        <w:footnoteReference w:id="625"/>
      </w:r>
      <w:r>
        <w:rPr>
          <w:rFonts w:cs="Times New Roman"/>
          <w:bCs/>
        </w:rPr>
        <w:t xml:space="preserve">  While amendment-based estoppel did not apply, argument-based estoppel clearly did: “</w:t>
      </w:r>
      <w:r w:rsidRPr="00A7678E">
        <w:rPr>
          <w:rFonts w:cs="Times New Roman"/>
          <w:bCs/>
        </w:rPr>
        <w:t>Amgen clearly and unmistakably surrendered unclaimed salt combinations during prosecution.</w:t>
      </w:r>
      <w:r>
        <w:rPr>
          <w:rFonts w:cs="Times New Roman"/>
          <w:bCs/>
        </w:rPr>
        <w:t>”</w:t>
      </w:r>
      <w:r>
        <w:rPr>
          <w:rStyle w:val="FootnoteReference"/>
          <w:rFonts w:cs="Times New Roman"/>
          <w:bCs/>
        </w:rPr>
        <w:footnoteReference w:id="626"/>
      </w:r>
      <w:r>
        <w:rPr>
          <w:rFonts w:cs="Times New Roman"/>
          <w:bCs/>
        </w:rPr>
        <w:t xml:space="preserve">  Amgen argued that its statements to the examiner about particular salt combinations were incidental to the distinctions that actually made the difference, but this argument was unavailing.  The “particular combinations” argument was one of three arguments Amgen made in the alternative, and estoppel attaches to each alternative.</w:t>
      </w:r>
      <w:r>
        <w:rPr>
          <w:rStyle w:val="FootnoteReference"/>
          <w:rFonts w:cs="Times New Roman"/>
          <w:bCs/>
        </w:rPr>
        <w:footnoteReference w:id="627"/>
      </w:r>
      <w:r>
        <w:rPr>
          <w:rFonts w:cs="Times New Roman"/>
          <w:bCs/>
        </w:rPr>
        <w:t xml:space="preserve">  Further, even though the examiner and the applicant had one last exchange before approval during which Amgen did not reiterate the “particular combinations” argument, this did not mean the argument was not still the basis for approval.</w:t>
      </w:r>
      <w:r>
        <w:rPr>
          <w:rStyle w:val="FootnoteReference"/>
          <w:rFonts w:cs="Times New Roman"/>
          <w:bCs/>
        </w:rPr>
        <w:footnoteReference w:id="628"/>
      </w:r>
      <w:r>
        <w:rPr>
          <w:rFonts w:cs="Times New Roman"/>
          <w:bCs/>
        </w:rPr>
        <w:t xml:space="preserve"> </w:t>
      </w:r>
    </w:p>
    <w:p w14:paraId="0B3401FB" w14:textId="112FF39B" w:rsidR="00DC4625" w:rsidRDefault="00DC4625" w:rsidP="00C92EBB">
      <w:pPr>
        <w:pStyle w:val="Heading2"/>
        <w:rPr>
          <w:rFonts w:cs="Times New Roman"/>
        </w:rPr>
      </w:pPr>
      <w:r w:rsidRPr="00677ABE">
        <w:rPr>
          <w:rFonts w:cs="Times New Roman"/>
          <w:szCs w:val="24"/>
        </w:rPr>
        <w:t xml:space="preserve"> </w:t>
      </w:r>
    </w:p>
    <w:p w14:paraId="4E890AA1" w14:textId="512D13D8" w:rsidR="00DC4625" w:rsidRDefault="00DC4625">
      <w:pPr>
        <w:contextualSpacing w:val="0"/>
      </w:pPr>
      <w:r>
        <w:br w:type="page"/>
      </w:r>
    </w:p>
    <w:p w14:paraId="3C68935A" w14:textId="4C7830BA" w:rsidR="00F20B84" w:rsidRDefault="007D0629" w:rsidP="00CA2C0A">
      <w:pPr>
        <w:pStyle w:val="Heading1"/>
        <w:rPr>
          <w:rFonts w:cs="Times New Roman"/>
          <w:szCs w:val="24"/>
        </w:rPr>
      </w:pPr>
      <w:bookmarkStart w:id="73" w:name="_Toc26792793"/>
      <w:r w:rsidRPr="00677ABE">
        <w:rPr>
          <w:rFonts w:cs="Times New Roman"/>
          <w:szCs w:val="24"/>
        </w:rPr>
        <w:lastRenderedPageBreak/>
        <w:t>DEFENSES</w:t>
      </w:r>
      <w:bookmarkEnd w:id="73"/>
    </w:p>
    <w:p w14:paraId="3CCB28E1" w14:textId="4FB78281" w:rsidR="00876125" w:rsidRPr="00876125" w:rsidRDefault="00876125" w:rsidP="00876125">
      <w:pPr>
        <w:pStyle w:val="Heading2"/>
        <w:rPr>
          <w:rFonts w:cs="Times New Roman"/>
          <w:szCs w:val="24"/>
        </w:rPr>
      </w:pPr>
      <w:bookmarkStart w:id="74" w:name="_Toc26792794"/>
      <w:r>
        <w:rPr>
          <w:rFonts w:cs="Times New Roman"/>
          <w:szCs w:val="24"/>
        </w:rPr>
        <w:t>Claim and Issue Preclusion</w:t>
      </w:r>
      <w:bookmarkEnd w:id="74"/>
    </w:p>
    <w:p w14:paraId="70FD9E35" w14:textId="2952499D" w:rsidR="00876125" w:rsidRPr="00677ABE" w:rsidRDefault="00876125" w:rsidP="00876125">
      <w:pPr>
        <w:pStyle w:val="Heading4"/>
      </w:pPr>
      <w:bookmarkStart w:id="75" w:name="_Toc26792795"/>
      <w:r>
        <w:rPr>
          <w:i/>
          <w:iCs/>
        </w:rPr>
        <w:t>CFL Techs. LLC v. Osram Sylvania, Inc.</w:t>
      </w:r>
      <w:r w:rsidRPr="00677ABE">
        <w:t xml:space="preserve">, </w:t>
      </w:r>
      <w:r>
        <w:t>No. 1:18-cv-01445-RGA</w:t>
      </w:r>
      <w:r w:rsidRPr="00677ABE">
        <w:t xml:space="preserve">, </w:t>
      </w:r>
      <w:r>
        <w:t>2019 WL 2995815</w:t>
      </w:r>
      <w:r w:rsidR="00524C95">
        <w:t>, at *1</w:t>
      </w:r>
      <w:r w:rsidRPr="00677ABE">
        <w:t xml:space="preserve"> (</w:t>
      </w:r>
      <w:r>
        <w:t>D. Del.</w:t>
      </w:r>
      <w:r w:rsidRPr="00677ABE">
        <w:t xml:space="preserve"> </w:t>
      </w:r>
      <w:r>
        <w:t>July</w:t>
      </w:r>
      <w:r w:rsidRPr="00677ABE">
        <w:t> </w:t>
      </w:r>
      <w:r>
        <w:t>9,</w:t>
      </w:r>
      <w:r w:rsidRPr="00677ABE">
        <w:t xml:space="preserve"> 201</w:t>
      </w:r>
      <w:r>
        <w:t>9</w:t>
      </w:r>
      <w:r w:rsidRPr="00677ABE">
        <w:t>)</w:t>
      </w:r>
      <w:r>
        <w:t>.</w:t>
      </w:r>
      <w:bookmarkEnd w:id="75"/>
    </w:p>
    <w:p w14:paraId="4CAB4B64" w14:textId="193A4866" w:rsidR="00876125" w:rsidRDefault="00876125" w:rsidP="00876125">
      <w:pPr>
        <w:rPr>
          <w:rFonts w:cs="Times New Roman"/>
          <w:color w:val="000000" w:themeColor="text1"/>
        </w:rPr>
      </w:pPr>
      <w:r w:rsidRPr="00677ABE">
        <w:rPr>
          <w:rFonts w:cs="Times New Roman"/>
          <w:color w:val="000000" w:themeColor="text1"/>
        </w:rPr>
        <w:tab/>
        <w:t>In</w:t>
      </w:r>
      <w:r>
        <w:rPr>
          <w:rFonts w:cs="Times New Roman"/>
          <w:color w:val="000000" w:themeColor="text1"/>
        </w:rPr>
        <w:t xml:space="preserve"> this case from the District of Delaware, the court permitted claims </w:t>
      </w:r>
      <w:r w:rsidR="00306870">
        <w:rPr>
          <w:rFonts w:cs="Times New Roman"/>
          <w:color w:val="000000" w:themeColor="text1"/>
        </w:rPr>
        <w:t>to proceed involving</w:t>
      </w:r>
      <w:r>
        <w:rPr>
          <w:rFonts w:cs="Times New Roman"/>
          <w:color w:val="000000" w:themeColor="text1"/>
        </w:rPr>
        <w:t xml:space="preserve"> patents that, </w:t>
      </w:r>
      <w:r w:rsidR="00306870">
        <w:rPr>
          <w:rFonts w:cs="Times New Roman"/>
          <w:color w:val="000000" w:themeColor="text1"/>
        </w:rPr>
        <w:t xml:space="preserve">when asserted </w:t>
      </w:r>
      <w:r>
        <w:rPr>
          <w:rFonts w:cs="Times New Roman"/>
          <w:color w:val="000000" w:themeColor="text1"/>
        </w:rPr>
        <w:t>against an earlier party and pre-</w:t>
      </w:r>
      <w:r>
        <w:rPr>
          <w:rFonts w:cs="Times New Roman"/>
          <w:i/>
          <w:color w:val="000000" w:themeColor="text1"/>
        </w:rPr>
        <w:t>Therasense</w:t>
      </w:r>
      <w:r>
        <w:rPr>
          <w:rFonts w:cs="Times New Roman"/>
          <w:color w:val="000000" w:themeColor="text1"/>
        </w:rPr>
        <w:t>, had been held unenforceable for inequitable conduct.</w:t>
      </w:r>
      <w:r>
        <w:rPr>
          <w:rStyle w:val="FootnoteReference"/>
          <w:rFonts w:cs="Times New Roman"/>
          <w:color w:val="000000" w:themeColor="text1"/>
        </w:rPr>
        <w:footnoteReference w:id="629"/>
      </w:r>
      <w:r>
        <w:rPr>
          <w:rFonts w:cs="Times New Roman"/>
          <w:color w:val="000000" w:themeColor="text1"/>
        </w:rPr>
        <w:t xml:space="preserve"> </w:t>
      </w:r>
    </w:p>
    <w:p w14:paraId="62782A25" w14:textId="0953B116" w:rsidR="00876125" w:rsidRDefault="00876125" w:rsidP="00876125">
      <w:pPr>
        <w:rPr>
          <w:rFonts w:cs="Times New Roman"/>
          <w:color w:val="000000" w:themeColor="text1"/>
        </w:rPr>
      </w:pPr>
      <w:r>
        <w:rPr>
          <w:rFonts w:cs="Times New Roman"/>
          <w:color w:val="000000" w:themeColor="text1"/>
        </w:rPr>
        <w:tab/>
        <w:t>The case concerned five expired patents pertaining to compact fluorescent light bulbs (“CFLs”).</w:t>
      </w:r>
      <w:r>
        <w:rPr>
          <w:rStyle w:val="FootnoteReference"/>
          <w:rFonts w:cs="Times New Roman"/>
          <w:color w:val="000000" w:themeColor="text1"/>
        </w:rPr>
        <w:footnoteReference w:id="630"/>
      </w:r>
      <w:r>
        <w:rPr>
          <w:rFonts w:cs="Times New Roman"/>
          <w:color w:val="000000" w:themeColor="text1"/>
        </w:rPr>
        <w:t xml:space="preserve">  The plaintiff’s predecessor-in-interest</w:t>
      </w:r>
      <w:r w:rsidR="00306870">
        <w:rPr>
          <w:rFonts w:cs="Times New Roman"/>
          <w:color w:val="000000" w:themeColor="text1"/>
        </w:rPr>
        <w:t xml:space="preserve"> had</w:t>
      </w:r>
      <w:r>
        <w:rPr>
          <w:rFonts w:cs="Times New Roman"/>
          <w:color w:val="000000" w:themeColor="text1"/>
        </w:rPr>
        <w:t xml:space="preserve"> first asserted the patents in the early 2000s.  Two of the five were then held unenforceable for inequitable conduct.</w:t>
      </w:r>
      <w:r>
        <w:rPr>
          <w:rStyle w:val="FootnoteReference"/>
          <w:rFonts w:cs="Times New Roman"/>
          <w:color w:val="000000" w:themeColor="text1"/>
        </w:rPr>
        <w:footnoteReference w:id="631"/>
      </w:r>
      <w:r>
        <w:rPr>
          <w:rFonts w:cs="Times New Roman"/>
          <w:color w:val="000000" w:themeColor="text1"/>
        </w:rPr>
        <w:t xml:space="preserve"> </w:t>
      </w:r>
      <w:r w:rsidR="00DB483C">
        <w:rPr>
          <w:rFonts w:cs="Times New Roman"/>
          <w:color w:val="000000" w:themeColor="text1"/>
        </w:rPr>
        <w:t>T</w:t>
      </w:r>
      <w:r>
        <w:rPr>
          <w:rFonts w:cs="Times New Roman"/>
          <w:color w:val="000000" w:themeColor="text1"/>
        </w:rPr>
        <w:t xml:space="preserve">he predecessor </w:t>
      </w:r>
      <w:r w:rsidR="00DB483C">
        <w:rPr>
          <w:rFonts w:cs="Times New Roman"/>
          <w:color w:val="000000" w:themeColor="text1"/>
        </w:rPr>
        <w:t xml:space="preserve">had </w:t>
      </w:r>
      <w:r>
        <w:rPr>
          <w:rFonts w:cs="Times New Roman"/>
          <w:color w:val="000000" w:themeColor="text1"/>
        </w:rPr>
        <w:t>also asserted patents against Wal-Mart; in this case, the court found a third patent of the five unenforceable for inequitable conduct.</w:t>
      </w:r>
      <w:r>
        <w:rPr>
          <w:rStyle w:val="FootnoteReference"/>
          <w:rFonts w:cs="Times New Roman"/>
          <w:color w:val="000000" w:themeColor="text1"/>
        </w:rPr>
        <w:footnoteReference w:id="632"/>
      </w:r>
      <w:r>
        <w:rPr>
          <w:rFonts w:cs="Times New Roman"/>
          <w:color w:val="000000" w:themeColor="text1"/>
        </w:rPr>
        <w:t xml:space="preserve"> A co-plaintiff appealed from this </w:t>
      </w:r>
      <w:r w:rsidR="00A30621">
        <w:rPr>
          <w:rFonts w:cs="Times New Roman"/>
          <w:color w:val="000000" w:themeColor="text1"/>
        </w:rPr>
        <w:t>latter</w:t>
      </w:r>
      <w:r>
        <w:rPr>
          <w:rFonts w:cs="Times New Roman"/>
          <w:color w:val="000000" w:themeColor="text1"/>
        </w:rPr>
        <w:t xml:space="preserve"> case just as the Federal Circuit decided </w:t>
      </w:r>
      <w:r>
        <w:rPr>
          <w:rFonts w:cs="Times New Roman"/>
          <w:i/>
          <w:iCs/>
          <w:color w:val="000000" w:themeColor="text1"/>
        </w:rPr>
        <w:t>Therasense, Inc. v. Becton, Dickinson &amp; Co.</w:t>
      </w:r>
      <w:r>
        <w:rPr>
          <w:rStyle w:val="FootnoteReference"/>
          <w:rFonts w:cs="Times New Roman"/>
          <w:color w:val="000000" w:themeColor="text1"/>
        </w:rPr>
        <w:footnoteReference w:id="633"/>
      </w:r>
      <w:r>
        <w:rPr>
          <w:rFonts w:cs="Times New Roman"/>
          <w:iCs/>
          <w:color w:val="000000" w:themeColor="text1"/>
        </w:rPr>
        <w:t>;</w:t>
      </w:r>
      <w:r>
        <w:rPr>
          <w:rFonts w:cs="Times New Roman"/>
          <w:color w:val="000000" w:themeColor="text1"/>
        </w:rPr>
        <w:t xml:space="preserve"> the Federal Circuit affirmed the district court’s finding.</w:t>
      </w:r>
      <w:r>
        <w:rPr>
          <w:rStyle w:val="FootnoteReference"/>
          <w:rFonts w:cs="Times New Roman"/>
          <w:color w:val="000000" w:themeColor="text1"/>
        </w:rPr>
        <w:footnoteReference w:id="634"/>
      </w:r>
      <w:r>
        <w:rPr>
          <w:rFonts w:cs="Times New Roman"/>
          <w:color w:val="000000" w:themeColor="text1"/>
        </w:rPr>
        <w:t xml:space="preserve">  Finally, in the present case, the plaintiff asserted the five patents.  The defendant moved to dismiss for failure to state a claim, citing claim preclusion, issue preclusion as to the patents’ enforceability, and failure to state a willfulness claim (the last not addressed here).</w:t>
      </w:r>
      <w:r>
        <w:rPr>
          <w:rStyle w:val="FootnoteReference"/>
          <w:rFonts w:cs="Times New Roman"/>
          <w:color w:val="000000" w:themeColor="text1"/>
        </w:rPr>
        <w:footnoteReference w:id="635"/>
      </w:r>
      <w:r>
        <w:rPr>
          <w:rFonts w:cs="Times New Roman"/>
          <w:color w:val="000000" w:themeColor="text1"/>
        </w:rPr>
        <w:t xml:space="preserve"> </w:t>
      </w:r>
    </w:p>
    <w:p w14:paraId="36F5C015" w14:textId="7455724B" w:rsidR="00876125" w:rsidRDefault="00876125" w:rsidP="00876125">
      <w:pPr>
        <w:rPr>
          <w:rFonts w:cs="Times New Roman"/>
          <w:color w:val="000000" w:themeColor="text1"/>
        </w:rPr>
      </w:pPr>
      <w:r>
        <w:rPr>
          <w:rFonts w:cs="Times New Roman"/>
          <w:color w:val="000000" w:themeColor="text1"/>
        </w:rPr>
        <w:tab/>
        <w:t xml:space="preserve">The district court did not dismiss the claims. First, the claims were not precluded.  On claim preclusion, </w:t>
      </w:r>
      <w:r w:rsidR="008850FD">
        <w:rPr>
          <w:rFonts w:cs="Times New Roman"/>
          <w:color w:val="000000" w:themeColor="text1"/>
        </w:rPr>
        <w:t xml:space="preserve">regional circuit law dictates the elements of the claim preclusion test, and </w:t>
      </w:r>
      <w:r>
        <w:rPr>
          <w:rFonts w:cs="Times New Roman"/>
          <w:color w:val="000000" w:themeColor="text1"/>
        </w:rPr>
        <w:t xml:space="preserve">Federal Circuit law dictates whether </w:t>
      </w:r>
      <w:r w:rsidR="008850FD">
        <w:rPr>
          <w:rFonts w:cs="Times New Roman"/>
          <w:color w:val="000000" w:themeColor="text1"/>
        </w:rPr>
        <w:t xml:space="preserve">one of those elements is satisfied: Are </w:t>
      </w:r>
      <w:r>
        <w:rPr>
          <w:rFonts w:cs="Times New Roman"/>
          <w:color w:val="000000" w:themeColor="text1"/>
        </w:rPr>
        <w:t xml:space="preserve">two infringement claims </w:t>
      </w:r>
      <w:r w:rsidR="00955E4C">
        <w:rPr>
          <w:rFonts w:cs="Times New Roman"/>
          <w:color w:val="000000" w:themeColor="text1"/>
        </w:rPr>
        <w:t xml:space="preserve">in fact </w:t>
      </w:r>
      <w:r>
        <w:rPr>
          <w:rFonts w:cs="Times New Roman"/>
          <w:color w:val="000000" w:themeColor="text1"/>
        </w:rPr>
        <w:t>the same action</w:t>
      </w:r>
      <w:r w:rsidR="008850FD">
        <w:rPr>
          <w:rFonts w:cs="Times New Roman"/>
          <w:color w:val="000000" w:themeColor="text1"/>
        </w:rPr>
        <w:t>?</w:t>
      </w:r>
      <w:r w:rsidR="00955E4C">
        <w:rPr>
          <w:rStyle w:val="FootnoteReference"/>
          <w:rFonts w:cs="Times New Roman"/>
          <w:color w:val="000000" w:themeColor="text1"/>
        </w:rPr>
        <w:footnoteReference w:id="636"/>
      </w:r>
      <w:r>
        <w:rPr>
          <w:rFonts w:cs="Times New Roman"/>
          <w:color w:val="000000" w:themeColor="text1"/>
        </w:rPr>
        <w:t xml:space="preserve"> </w:t>
      </w:r>
      <w:r w:rsidR="008850FD">
        <w:rPr>
          <w:rFonts w:cs="Times New Roman"/>
          <w:color w:val="000000" w:themeColor="text1"/>
        </w:rPr>
        <w:t xml:space="preserve"> U</w:t>
      </w:r>
      <w:r>
        <w:rPr>
          <w:rFonts w:cs="Times New Roman"/>
          <w:color w:val="000000" w:themeColor="text1"/>
        </w:rPr>
        <w:t xml:space="preserve">nder </w:t>
      </w:r>
      <w:r w:rsidR="006709B0">
        <w:rPr>
          <w:rFonts w:cs="Times New Roman"/>
          <w:color w:val="000000" w:themeColor="text1"/>
        </w:rPr>
        <w:t>that law,</w:t>
      </w:r>
      <w:r w:rsidRPr="004D66E3">
        <w:rPr>
          <w:rFonts w:cs="Times New Roman"/>
          <w:color w:val="000000" w:themeColor="text1"/>
        </w:rPr>
        <w:t xml:space="preserve"> </w:t>
      </w:r>
      <w:r w:rsidR="006A560D">
        <w:rPr>
          <w:rFonts w:cs="Times New Roman"/>
          <w:color w:val="000000" w:themeColor="text1"/>
        </w:rPr>
        <w:t>a new action is not the same “</w:t>
      </w:r>
      <w:r w:rsidRPr="004D66E3">
        <w:rPr>
          <w:rFonts w:cs="Times New Roman"/>
          <w:color w:val="000000" w:themeColor="text1"/>
        </w:rPr>
        <w:t>as a previous action if the</w:t>
      </w:r>
      <w:r w:rsidR="006A560D">
        <w:rPr>
          <w:rFonts w:cs="Times New Roman"/>
          <w:color w:val="000000" w:themeColor="text1"/>
        </w:rPr>
        <w:t xml:space="preserve"> [specific instances of the]</w:t>
      </w:r>
      <w:r w:rsidRPr="004D66E3">
        <w:rPr>
          <w:rFonts w:cs="Times New Roman"/>
          <w:color w:val="000000" w:themeColor="text1"/>
        </w:rPr>
        <w:t xml:space="preserve"> accused products did not exist at t</w:t>
      </w:r>
      <w:r>
        <w:rPr>
          <w:rFonts w:cs="Times New Roman"/>
          <w:color w:val="000000" w:themeColor="text1"/>
        </w:rPr>
        <w:t>he time of the previous suit.”</w:t>
      </w:r>
      <w:r>
        <w:rPr>
          <w:rStyle w:val="FootnoteReference"/>
          <w:rFonts w:cs="Times New Roman"/>
          <w:color w:val="000000" w:themeColor="text1"/>
        </w:rPr>
        <w:footnoteReference w:id="637"/>
      </w:r>
      <w:r>
        <w:rPr>
          <w:rFonts w:cs="Times New Roman"/>
          <w:color w:val="000000" w:themeColor="text1"/>
        </w:rPr>
        <w:t xml:space="preserve">  This is true even if the style of product</w:t>
      </w:r>
      <w:r w:rsidR="006A560D">
        <w:rPr>
          <w:rFonts w:cs="Times New Roman"/>
          <w:color w:val="000000" w:themeColor="text1"/>
        </w:rPr>
        <w:t>s</w:t>
      </w:r>
      <w:r>
        <w:rPr>
          <w:rFonts w:cs="Times New Roman"/>
          <w:color w:val="000000" w:themeColor="text1"/>
        </w:rPr>
        <w:t xml:space="preserve"> is similar or </w:t>
      </w:r>
      <w:r w:rsidR="006A560D">
        <w:rPr>
          <w:rFonts w:cs="Times New Roman"/>
          <w:color w:val="000000" w:themeColor="text1"/>
        </w:rPr>
        <w:lastRenderedPageBreak/>
        <w:t>even</w:t>
      </w:r>
      <w:r>
        <w:rPr>
          <w:rFonts w:cs="Times New Roman"/>
          <w:color w:val="000000" w:themeColor="text1"/>
        </w:rPr>
        <w:t xml:space="preserve"> the same.</w:t>
      </w:r>
      <w:r>
        <w:rPr>
          <w:rStyle w:val="FootnoteReference"/>
          <w:rFonts w:cs="Times New Roman"/>
          <w:color w:val="000000" w:themeColor="text1"/>
        </w:rPr>
        <w:footnoteReference w:id="638"/>
      </w:r>
      <w:r>
        <w:rPr>
          <w:rFonts w:cs="Times New Roman"/>
          <w:color w:val="000000" w:themeColor="text1"/>
        </w:rPr>
        <w:t xml:space="preserve">  Here, because the alleged interference occurred after the earlier suits closed, this action was distinct.</w:t>
      </w:r>
      <w:r>
        <w:rPr>
          <w:rStyle w:val="FootnoteReference"/>
          <w:rFonts w:cs="Times New Roman"/>
          <w:color w:val="000000" w:themeColor="text1"/>
        </w:rPr>
        <w:footnoteReference w:id="639"/>
      </w:r>
      <w:r>
        <w:rPr>
          <w:rFonts w:cs="Times New Roman"/>
          <w:color w:val="000000" w:themeColor="text1"/>
        </w:rPr>
        <w:t xml:space="preserve">  The </w:t>
      </w:r>
      <w:r>
        <w:rPr>
          <w:rFonts w:cs="Times New Roman"/>
          <w:i/>
          <w:color w:val="000000" w:themeColor="text1"/>
        </w:rPr>
        <w:t xml:space="preserve">Kessler </w:t>
      </w:r>
      <w:r>
        <w:rPr>
          <w:rFonts w:cs="Times New Roman"/>
          <w:color w:val="000000" w:themeColor="text1"/>
        </w:rPr>
        <w:t>doctrine did not bar the claims, either.</w:t>
      </w:r>
      <w:r>
        <w:rPr>
          <w:rStyle w:val="FootnoteReference"/>
          <w:rFonts w:cs="Times New Roman"/>
          <w:color w:val="000000" w:themeColor="text1"/>
        </w:rPr>
        <w:footnoteReference w:id="640"/>
      </w:r>
      <w:r>
        <w:rPr>
          <w:rFonts w:cs="Times New Roman"/>
          <w:color w:val="000000" w:themeColor="text1"/>
        </w:rPr>
        <w:t xml:space="preserve">  That doctrine, about which the court spoke disapprovingly, protects a defendant </w:t>
      </w:r>
      <w:r w:rsidR="00AC6FE4">
        <w:rPr>
          <w:rFonts w:cs="Times New Roman"/>
          <w:color w:val="000000" w:themeColor="text1"/>
        </w:rPr>
        <w:t xml:space="preserve">who is </w:t>
      </w:r>
      <w:r>
        <w:rPr>
          <w:rFonts w:cs="Times New Roman"/>
          <w:color w:val="000000" w:themeColor="text1"/>
        </w:rPr>
        <w:t>found to be non-infringing</w:t>
      </w:r>
      <w:r w:rsidR="00AC6FE4">
        <w:rPr>
          <w:rFonts w:cs="Times New Roman"/>
          <w:color w:val="000000" w:themeColor="text1"/>
        </w:rPr>
        <w:t xml:space="preserve"> in one suit</w:t>
      </w:r>
      <w:r>
        <w:rPr>
          <w:rFonts w:cs="Times New Roman"/>
          <w:color w:val="000000" w:themeColor="text1"/>
        </w:rPr>
        <w:t xml:space="preserve"> from future suits along the same lines.  But these defendants had never been adjudged non-infringing.</w:t>
      </w:r>
      <w:r>
        <w:rPr>
          <w:rStyle w:val="FootnoteReference"/>
          <w:rFonts w:cs="Times New Roman"/>
          <w:color w:val="000000" w:themeColor="text1"/>
        </w:rPr>
        <w:footnoteReference w:id="641"/>
      </w:r>
    </w:p>
    <w:p w14:paraId="0CD6BC06" w14:textId="68D144FE" w:rsidR="00876125" w:rsidRDefault="00876125" w:rsidP="00876125">
      <w:pPr>
        <w:rPr>
          <w:rFonts w:cs="Times New Roman"/>
          <w:color w:val="000000" w:themeColor="text1"/>
        </w:rPr>
      </w:pPr>
      <w:r>
        <w:rPr>
          <w:rFonts w:cs="Times New Roman"/>
          <w:color w:val="000000" w:themeColor="text1"/>
        </w:rPr>
        <w:tab/>
        <w:t>The issue was not precluded, either; the underlying law had changed and now compelled a new result.  On issue preclusion, the regional circuit law again determines the elements, and Federal Circuit law</w:t>
      </w:r>
      <w:r w:rsidR="00CE0D6E">
        <w:rPr>
          <w:rFonts w:cs="Times New Roman"/>
          <w:color w:val="000000" w:themeColor="text1"/>
        </w:rPr>
        <w:t xml:space="preserve"> determines</w:t>
      </w:r>
      <w:r>
        <w:rPr>
          <w:rFonts w:cs="Times New Roman"/>
          <w:color w:val="000000" w:themeColor="text1"/>
        </w:rPr>
        <w:t xml:space="preserve"> whether each is met in the patent context.</w:t>
      </w:r>
      <w:r>
        <w:rPr>
          <w:rStyle w:val="FootnoteReference"/>
          <w:rFonts w:cs="Times New Roman"/>
          <w:color w:val="000000" w:themeColor="text1"/>
        </w:rPr>
        <w:footnoteReference w:id="642"/>
      </w:r>
      <w:r>
        <w:rPr>
          <w:rFonts w:cs="Times New Roman"/>
          <w:color w:val="000000" w:themeColor="text1"/>
        </w:rPr>
        <w:t xml:space="preserve">  Change in law is an exception to issue preclusion under Federal Circuit law.</w:t>
      </w:r>
      <w:r>
        <w:rPr>
          <w:rStyle w:val="FootnoteReference"/>
          <w:rFonts w:cs="Times New Roman"/>
          <w:color w:val="000000" w:themeColor="text1"/>
        </w:rPr>
        <w:footnoteReference w:id="643"/>
      </w:r>
      <w:r>
        <w:rPr>
          <w:rFonts w:cs="Times New Roman"/>
          <w:color w:val="000000" w:themeColor="text1"/>
        </w:rPr>
        <w:t xml:space="preserve">  It applies when 1) governing law has changed, 2) the decision sought to be reopened was made under the old law, and 3) a different result would now be reached on the facts of the prior decision.</w:t>
      </w:r>
      <w:r>
        <w:rPr>
          <w:rStyle w:val="FootnoteReference"/>
          <w:rFonts w:cs="Times New Roman"/>
          <w:color w:val="000000" w:themeColor="text1"/>
        </w:rPr>
        <w:footnoteReference w:id="644"/>
      </w:r>
      <w:r>
        <w:rPr>
          <w:rFonts w:cs="Times New Roman"/>
          <w:color w:val="000000" w:themeColor="text1"/>
        </w:rPr>
        <w:t xml:space="preserve">  Here, after these patents were held unenforceable for inequitable conduct, the Federal Circuit changed the </w:t>
      </w:r>
      <w:r w:rsidR="001278FA">
        <w:rPr>
          <w:rFonts w:cs="Times New Roman"/>
          <w:color w:val="000000" w:themeColor="text1"/>
        </w:rPr>
        <w:t xml:space="preserve">inequitable conduct </w:t>
      </w:r>
      <w:r>
        <w:rPr>
          <w:rFonts w:cs="Times New Roman"/>
          <w:color w:val="000000" w:themeColor="text1"/>
        </w:rPr>
        <w:t xml:space="preserve">standard in </w:t>
      </w:r>
      <w:r w:rsidRPr="00652207">
        <w:rPr>
          <w:rFonts w:cs="Times New Roman"/>
          <w:i/>
          <w:color w:val="000000" w:themeColor="text1"/>
        </w:rPr>
        <w:t>Therasense, Inc. v. Becton, Dickinson &amp; Co</w:t>
      </w:r>
      <w:r>
        <w:rPr>
          <w:rFonts w:cs="Times New Roman"/>
          <w:i/>
          <w:color w:val="000000" w:themeColor="text1"/>
        </w:rPr>
        <w:t>.</w:t>
      </w:r>
      <w:r>
        <w:rPr>
          <w:rStyle w:val="FootnoteReference"/>
          <w:rFonts w:cs="Times New Roman"/>
          <w:color w:val="000000" w:themeColor="text1"/>
        </w:rPr>
        <w:footnoteReference w:id="645"/>
      </w:r>
      <w:r>
        <w:rPr>
          <w:rFonts w:cs="Times New Roman"/>
          <w:color w:val="000000" w:themeColor="text1"/>
        </w:rPr>
        <w:t xml:space="preserve">  All of the conduct deemed inequitable in the prior cases—specifically “</w:t>
      </w:r>
      <w:r w:rsidRPr="00776FC9">
        <w:rPr>
          <w:rFonts w:cs="Times New Roman"/>
          <w:color w:val="000000" w:themeColor="text1"/>
        </w:rPr>
        <w:t>(i) undisclosed litigation with Motorola, (ii) priority misclaims, (iii) incorrect small entity assertions, and (iv) undisclosed prior art</w:t>
      </w:r>
      <w:r>
        <w:rPr>
          <w:rFonts w:cs="Times New Roman"/>
          <w:color w:val="000000" w:themeColor="text1"/>
        </w:rPr>
        <w:t>” — would not have been found inequitable under today’s but-for materiality and “single most reasonable inference” of intent standards.</w:t>
      </w:r>
      <w:r>
        <w:rPr>
          <w:rStyle w:val="FootnoteReference"/>
          <w:rFonts w:cs="Times New Roman"/>
          <w:color w:val="000000" w:themeColor="text1"/>
        </w:rPr>
        <w:footnoteReference w:id="646"/>
      </w:r>
      <w:r>
        <w:rPr>
          <w:rFonts w:cs="Times New Roman"/>
          <w:color w:val="000000" w:themeColor="text1"/>
        </w:rPr>
        <w:t xml:space="preserve">  This was true even if the problematic behaviors were taken not individually but together under a totality of the circumstances analysis.</w:t>
      </w:r>
      <w:r>
        <w:rPr>
          <w:rStyle w:val="FootnoteReference"/>
          <w:rFonts w:cs="Times New Roman"/>
          <w:color w:val="000000" w:themeColor="text1"/>
        </w:rPr>
        <w:footnoteReference w:id="647"/>
      </w:r>
    </w:p>
    <w:p w14:paraId="58EC0160" w14:textId="264E0BD2" w:rsidR="00876125" w:rsidRPr="00C743F4" w:rsidRDefault="00876125" w:rsidP="00C743F4">
      <w:pPr>
        <w:rPr>
          <w:rFonts w:cs="Times New Roman"/>
          <w:color w:val="000000" w:themeColor="text1"/>
        </w:rPr>
      </w:pPr>
      <w:r>
        <w:rPr>
          <w:rFonts w:cs="Times New Roman"/>
          <w:color w:val="000000" w:themeColor="text1"/>
        </w:rPr>
        <w:tab/>
        <w:t>As a result, the plaintiff was not precluded from pursuing its infringement claims</w:t>
      </w:r>
      <w:r w:rsidR="00C92EBB">
        <w:rPr>
          <w:rFonts w:cs="Times New Roman"/>
          <w:color w:val="000000" w:themeColor="text1"/>
        </w:rPr>
        <w:t xml:space="preserve"> despite the fact that these very patents had previously been held unenforceable</w:t>
      </w:r>
      <w:r>
        <w:rPr>
          <w:rFonts w:cs="Times New Roman"/>
          <w:color w:val="000000" w:themeColor="text1"/>
        </w:rPr>
        <w:t>.</w:t>
      </w:r>
      <w:r>
        <w:rPr>
          <w:rStyle w:val="FootnoteReference"/>
          <w:rFonts w:cs="Times New Roman"/>
          <w:color w:val="000000" w:themeColor="text1"/>
        </w:rPr>
        <w:footnoteReference w:id="648"/>
      </w:r>
    </w:p>
    <w:p w14:paraId="19C55DE3" w14:textId="77777777" w:rsidR="00295B73" w:rsidRDefault="00295B73" w:rsidP="00CA2C0A">
      <w:pPr>
        <w:rPr>
          <w:rFonts w:cs="Times New Roman"/>
        </w:rPr>
      </w:pPr>
      <w:r>
        <w:rPr>
          <w:rFonts w:cs="Times New Roman"/>
        </w:rPr>
        <w:br w:type="page"/>
      </w:r>
    </w:p>
    <w:p w14:paraId="545B5616" w14:textId="77777777" w:rsidR="00F20B84" w:rsidRDefault="007D0629" w:rsidP="00CA2C0A">
      <w:pPr>
        <w:pStyle w:val="Heading1"/>
        <w:rPr>
          <w:rFonts w:cs="Times New Roman"/>
          <w:szCs w:val="24"/>
        </w:rPr>
      </w:pPr>
      <w:bookmarkStart w:id="76" w:name="_Toc26792796"/>
      <w:r w:rsidRPr="00677ABE">
        <w:rPr>
          <w:rFonts w:cs="Times New Roman"/>
          <w:szCs w:val="24"/>
        </w:rPr>
        <w:lastRenderedPageBreak/>
        <w:t>REMEDIES</w:t>
      </w:r>
      <w:bookmarkEnd w:id="76"/>
    </w:p>
    <w:p w14:paraId="2C35179A" w14:textId="77777777" w:rsidR="00F20B84" w:rsidRDefault="007D0629" w:rsidP="00CA2C0A">
      <w:pPr>
        <w:pStyle w:val="Heading2"/>
        <w:rPr>
          <w:rFonts w:cs="Times New Roman"/>
          <w:szCs w:val="24"/>
        </w:rPr>
      </w:pPr>
      <w:bookmarkStart w:id="77" w:name="_Toc26792797"/>
      <w:r w:rsidRPr="00677ABE">
        <w:rPr>
          <w:rFonts w:cs="Times New Roman"/>
          <w:szCs w:val="24"/>
        </w:rPr>
        <w:t>Damages</w:t>
      </w:r>
      <w:bookmarkEnd w:id="77"/>
    </w:p>
    <w:p w14:paraId="30946013" w14:textId="77777777" w:rsidR="00655274" w:rsidRDefault="00655274" w:rsidP="00655274">
      <w:pPr>
        <w:pStyle w:val="Heading4"/>
      </w:pPr>
      <w:bookmarkStart w:id="78" w:name="_Toc516586583"/>
      <w:bookmarkStart w:id="79" w:name="_Toc26792798"/>
      <w:r>
        <w:rPr>
          <w:i/>
        </w:rPr>
        <w:t>Omega Patents, LLC v. CalAmp Corp.</w:t>
      </w:r>
      <w:r>
        <w:t>, No. 2018-1309, 2019 WL 1510676 (Fed. Cir. Apr. 8, 2019)</w:t>
      </w:r>
      <w:bookmarkEnd w:id="79"/>
    </w:p>
    <w:p w14:paraId="47367F1C" w14:textId="4919D639" w:rsidR="00655274" w:rsidRDefault="00655274" w:rsidP="00655274">
      <w:r>
        <w:tab/>
        <w:t>In this appeal from the Middle District of Florida, the Federal Circuit variously affirmed, reversed, vacated, and remanded claims as to direct and indirect infringement of patents, as well as the damages thereby resulting.</w:t>
      </w:r>
      <w:r w:rsidRPr="005A669A">
        <w:rPr>
          <w:rStyle w:val="FootnoteReference"/>
        </w:rPr>
        <w:footnoteReference w:id="649"/>
      </w:r>
      <w:r>
        <w:t xml:space="preserve"> (For the infringement piece and additional case background, see the infringement section of this document.)</w:t>
      </w:r>
    </w:p>
    <w:p w14:paraId="1963D16D" w14:textId="361162B2" w:rsidR="00EB1E6E" w:rsidRDefault="00655274" w:rsidP="00655274">
      <w:r>
        <w:tab/>
      </w:r>
      <w:r w:rsidR="002F19C9">
        <w:t xml:space="preserve">On appeal, and in passing, the Federal Circuit held that a party </w:t>
      </w:r>
      <w:r w:rsidR="002F19C9" w:rsidRPr="006E7BFA">
        <w:t>cannot “use the answers to special questions as weapons for destroying the general verdict</w:t>
      </w:r>
      <w:r w:rsidR="00EB1E6E">
        <w:t>.</w:t>
      </w:r>
      <w:r w:rsidR="002F19C9">
        <w:t>”</w:t>
      </w:r>
      <w:r w:rsidR="00CE40BF" w:rsidRPr="005A669A">
        <w:rPr>
          <w:rStyle w:val="FootnoteReference"/>
        </w:rPr>
        <w:footnoteReference w:id="650"/>
      </w:r>
      <w:r w:rsidR="002F19C9">
        <w:t xml:space="preserve"> </w:t>
      </w:r>
      <w:r w:rsidR="00EB1E6E">
        <w:t>H</w:t>
      </w:r>
      <w:r w:rsidR="002F19C9">
        <w:t>ere</w:t>
      </w:r>
      <w:r w:rsidR="00EB1E6E">
        <w:t>, t</w:t>
      </w:r>
      <w:r>
        <w:t xml:space="preserve">he </w:t>
      </w:r>
      <w:r w:rsidR="00EC5B51">
        <w:t xml:space="preserve">jury </w:t>
      </w:r>
      <w:r>
        <w:t>instructions—proposed by CalAmp—included written questions about direct infringement but not induced infringement.</w:t>
      </w:r>
      <w:r w:rsidRPr="005A669A">
        <w:rPr>
          <w:rStyle w:val="FootnoteReference"/>
        </w:rPr>
        <w:footnoteReference w:id="651"/>
      </w:r>
      <w:r>
        <w:t xml:space="preserve"> Nonetheless, the jury had been told that it must “find that the customers infringed in order to find CalAmp liable for inducement.”</w:t>
      </w:r>
      <w:r w:rsidRPr="005A669A">
        <w:rPr>
          <w:rStyle w:val="FootnoteReference"/>
        </w:rPr>
        <w:footnoteReference w:id="652"/>
      </w:r>
      <w:r>
        <w:t xml:space="preserve"> </w:t>
      </w:r>
      <w:r w:rsidR="00EB1E6E">
        <w:t>The jury had thus been properly instructed to award damages for induced infringement, and the general verdict on damages survived this sort of challenge.</w:t>
      </w:r>
      <w:r w:rsidR="00CE40BF" w:rsidRPr="005A669A">
        <w:rPr>
          <w:rStyle w:val="FootnoteReference"/>
        </w:rPr>
        <w:footnoteReference w:id="653"/>
      </w:r>
      <w:r w:rsidR="00EB1E6E">
        <w:t xml:space="preserve"> </w:t>
      </w:r>
    </w:p>
    <w:p w14:paraId="654DAFAC" w14:textId="1EB0369A" w:rsidR="00D604A8" w:rsidRDefault="006F4456" w:rsidP="00A93164">
      <w:pPr>
        <w:ind w:firstLine="720"/>
        <w:rPr>
          <w:rFonts w:cs="Times New Roman"/>
          <w:lang w:eastAsia="x-none"/>
        </w:rPr>
      </w:pPr>
      <w:r>
        <w:t>However</w:t>
      </w:r>
      <w:r w:rsidR="00655274">
        <w:t xml:space="preserve">, </w:t>
      </w:r>
      <w:r w:rsidR="00EB1E6E">
        <w:t>the damages award</w:t>
      </w:r>
      <w:r w:rsidR="00655274">
        <w:t xml:space="preserve"> did not survive another challenge: </w:t>
      </w:r>
      <w:r w:rsidR="00EB1E6E">
        <w:t>B</w:t>
      </w:r>
      <w:r w:rsidR="00655274">
        <w:t>ecause the one claim still held infringed was insufficient to sustain the full damages amount, the Federal Circuit vacated and ordered the trial court to reassess damages after reconsidering infringement.</w:t>
      </w:r>
      <w:r w:rsidR="00655274" w:rsidRPr="005A669A">
        <w:rPr>
          <w:rStyle w:val="FootnoteReference"/>
        </w:rPr>
        <w:footnoteReference w:id="654"/>
      </w:r>
      <w:r w:rsidR="00655274">
        <w:t xml:space="preserve">  </w:t>
      </w:r>
      <w:bookmarkEnd w:id="78"/>
    </w:p>
    <w:p w14:paraId="024A5FC8" w14:textId="50E33CD6" w:rsidR="00564C03" w:rsidRPr="00677ABE" w:rsidRDefault="00564C03" w:rsidP="00136E52">
      <w:pPr>
        <w:pStyle w:val="Heading4"/>
      </w:pPr>
      <w:bookmarkStart w:id="80" w:name="_Toc26792799"/>
      <w:r w:rsidRPr="00A41813">
        <w:rPr>
          <w:i/>
        </w:rPr>
        <w:t>WesternGeco LLC v. Ion Geophysical Corp.</w:t>
      </w:r>
      <w:r w:rsidRPr="00677ABE">
        <w:t xml:space="preserve">, </w:t>
      </w:r>
      <w:r w:rsidRPr="00564C03">
        <w:t xml:space="preserve">913 F.3d 1067 </w:t>
      </w:r>
      <w:r w:rsidRPr="00677ABE">
        <w:t>(</w:t>
      </w:r>
      <w:r>
        <w:t>Fed. Cir. Jan.</w:t>
      </w:r>
      <w:r w:rsidRPr="00677ABE">
        <w:t xml:space="preserve"> </w:t>
      </w:r>
      <w:r>
        <w:t>11</w:t>
      </w:r>
      <w:r w:rsidRPr="00677ABE">
        <w:t>, 201</w:t>
      </w:r>
      <w:r w:rsidR="005C7D8C">
        <w:t>9)</w:t>
      </w:r>
      <w:bookmarkEnd w:id="80"/>
    </w:p>
    <w:p w14:paraId="45150C22" w14:textId="355B3302" w:rsidR="009E4B09" w:rsidRDefault="00564C03" w:rsidP="009E4B09">
      <w:pPr>
        <w:rPr>
          <w:rFonts w:cs="Times New Roman"/>
          <w:color w:val="000000" w:themeColor="text1"/>
        </w:rPr>
      </w:pPr>
      <w:r>
        <w:rPr>
          <w:color w:val="FF0000"/>
        </w:rPr>
        <w:tab/>
      </w:r>
      <w:r>
        <w:rPr>
          <w:rFonts w:cs="Times New Roman"/>
          <w:color w:val="000000" w:themeColor="text1"/>
        </w:rPr>
        <w:t>On remand from the Supreme Court</w:t>
      </w:r>
      <w:r w:rsidR="005D0B67">
        <w:rPr>
          <w:rFonts w:cs="Times New Roman"/>
          <w:color w:val="000000" w:themeColor="text1"/>
        </w:rPr>
        <w:t>,</w:t>
      </w:r>
      <w:r w:rsidRPr="005A669A">
        <w:rPr>
          <w:rStyle w:val="FootnoteReference"/>
        </w:rPr>
        <w:footnoteReference w:id="655"/>
      </w:r>
      <w:r>
        <w:rPr>
          <w:rFonts w:cs="Times New Roman"/>
          <w:color w:val="000000" w:themeColor="text1"/>
        </w:rPr>
        <w:t xml:space="preserve"> </w:t>
      </w:r>
      <w:r w:rsidR="00735B0A">
        <w:rPr>
          <w:rFonts w:cs="Times New Roman"/>
          <w:color w:val="000000" w:themeColor="text1"/>
        </w:rPr>
        <w:t>the Federal Circuit</w:t>
      </w:r>
      <w:r w:rsidR="00866601" w:rsidRPr="005A669A">
        <w:rPr>
          <w:rStyle w:val="FootnoteReference"/>
        </w:rPr>
        <w:footnoteReference w:id="656"/>
      </w:r>
      <w:r w:rsidR="00735B0A">
        <w:rPr>
          <w:rFonts w:cs="Times New Roman"/>
          <w:color w:val="000000" w:themeColor="text1"/>
        </w:rPr>
        <w:t xml:space="preserve"> </w:t>
      </w:r>
      <w:r w:rsidR="006A1141">
        <w:rPr>
          <w:rFonts w:cs="Times New Roman"/>
          <w:color w:val="000000" w:themeColor="text1"/>
        </w:rPr>
        <w:t xml:space="preserve">rejected ION’s attempt to reopen a settled reasonable royalty award and </w:t>
      </w:r>
      <w:r w:rsidR="009236F9">
        <w:rPr>
          <w:rFonts w:cs="Times New Roman"/>
          <w:color w:val="000000" w:themeColor="text1"/>
        </w:rPr>
        <w:t>remanded</w:t>
      </w:r>
      <w:r w:rsidR="00866601">
        <w:rPr>
          <w:rFonts w:cs="Times New Roman"/>
          <w:color w:val="000000" w:themeColor="text1"/>
        </w:rPr>
        <w:t xml:space="preserve"> to the district court</w:t>
      </w:r>
      <w:r w:rsidR="00735B0A">
        <w:rPr>
          <w:rFonts w:cs="Times New Roman"/>
          <w:color w:val="000000" w:themeColor="text1"/>
        </w:rPr>
        <w:t xml:space="preserve"> </w:t>
      </w:r>
      <w:r w:rsidR="009E4B09">
        <w:rPr>
          <w:rFonts w:cs="Times New Roman"/>
          <w:color w:val="000000" w:themeColor="text1"/>
        </w:rPr>
        <w:t>the</w:t>
      </w:r>
      <w:r w:rsidR="00866601">
        <w:rPr>
          <w:rFonts w:cs="Times New Roman"/>
          <w:color w:val="000000" w:themeColor="text1"/>
        </w:rPr>
        <w:t xml:space="preserve"> </w:t>
      </w:r>
      <w:r w:rsidR="009E4B09">
        <w:rPr>
          <w:rFonts w:cs="Times New Roman"/>
          <w:color w:val="000000" w:themeColor="text1"/>
        </w:rPr>
        <w:t>calculation of</w:t>
      </w:r>
      <w:r w:rsidR="00735B0A">
        <w:rPr>
          <w:rFonts w:cs="Times New Roman"/>
          <w:color w:val="000000" w:themeColor="text1"/>
        </w:rPr>
        <w:t xml:space="preserve"> </w:t>
      </w:r>
      <w:r w:rsidR="00866601">
        <w:rPr>
          <w:rFonts w:cs="Times New Roman"/>
          <w:color w:val="000000" w:themeColor="text1"/>
        </w:rPr>
        <w:t>damages for lost profits</w:t>
      </w:r>
      <w:r w:rsidR="009E4B09">
        <w:rPr>
          <w:rFonts w:cs="Times New Roman"/>
          <w:color w:val="000000" w:themeColor="text1"/>
        </w:rPr>
        <w:t>.</w:t>
      </w:r>
      <w:r w:rsidR="007840E8" w:rsidRPr="005A669A">
        <w:rPr>
          <w:rStyle w:val="FootnoteReference"/>
        </w:rPr>
        <w:footnoteReference w:id="657"/>
      </w:r>
      <w:r w:rsidR="009236F9">
        <w:rPr>
          <w:rFonts w:cs="Times New Roman"/>
          <w:color w:val="000000" w:themeColor="text1"/>
        </w:rPr>
        <w:t xml:space="preserve"> </w:t>
      </w:r>
      <w:r w:rsidR="009E4B09">
        <w:rPr>
          <w:rFonts w:cs="Times New Roman"/>
          <w:color w:val="000000" w:themeColor="text1"/>
        </w:rPr>
        <w:t xml:space="preserve">Four of the five claims that could have supported lost profits had been invalidated while the case </w:t>
      </w:r>
      <w:r w:rsidR="005F0440">
        <w:rPr>
          <w:rFonts w:cs="Times New Roman"/>
          <w:color w:val="000000" w:themeColor="text1"/>
        </w:rPr>
        <w:t>was</w:t>
      </w:r>
      <w:r w:rsidR="009E4B09">
        <w:rPr>
          <w:rFonts w:cs="Times New Roman"/>
          <w:color w:val="000000" w:themeColor="text1"/>
        </w:rPr>
        <w:t xml:space="preserve"> at the Supreme Court.</w:t>
      </w:r>
      <w:r w:rsidR="009E4B09" w:rsidRPr="005A669A">
        <w:rPr>
          <w:rStyle w:val="FootnoteReference"/>
        </w:rPr>
        <w:footnoteReference w:id="658"/>
      </w:r>
      <w:r w:rsidR="009E4B09" w:rsidRPr="009E4B09">
        <w:rPr>
          <w:rFonts w:cs="Times New Roman"/>
          <w:color w:val="000000" w:themeColor="text1"/>
        </w:rPr>
        <w:t xml:space="preserve"> </w:t>
      </w:r>
    </w:p>
    <w:p w14:paraId="0765973C" w14:textId="68BFE92C" w:rsidR="005D0B67" w:rsidRDefault="007840E8" w:rsidP="009E4B09">
      <w:pPr>
        <w:ind w:firstLine="720"/>
        <w:rPr>
          <w:rFonts w:cs="Times New Roman"/>
          <w:color w:val="000000" w:themeColor="text1"/>
        </w:rPr>
      </w:pPr>
      <w:r>
        <w:rPr>
          <w:rFonts w:cs="Times New Roman"/>
          <w:color w:val="000000" w:themeColor="text1"/>
        </w:rPr>
        <w:t>ION argued that the reasonable royalty award</w:t>
      </w:r>
      <w:r w:rsidR="009E3831">
        <w:rPr>
          <w:rFonts w:cs="Times New Roman"/>
          <w:color w:val="000000" w:themeColor="text1"/>
        </w:rPr>
        <w:t xml:space="preserve"> was never final </w:t>
      </w:r>
      <w:r w:rsidR="009E4B09">
        <w:rPr>
          <w:rFonts w:cs="Times New Roman"/>
          <w:color w:val="000000" w:themeColor="text1"/>
        </w:rPr>
        <w:t>because of the</w:t>
      </w:r>
      <w:r w:rsidR="009E3831">
        <w:rPr>
          <w:rFonts w:cs="Times New Roman"/>
          <w:color w:val="000000" w:themeColor="text1"/>
        </w:rPr>
        <w:t xml:space="preserve"> ongoing litigation and now</w:t>
      </w:r>
      <w:r>
        <w:rPr>
          <w:rFonts w:cs="Times New Roman"/>
          <w:color w:val="000000" w:themeColor="text1"/>
        </w:rPr>
        <w:t xml:space="preserve"> deserved reconsideration </w:t>
      </w:r>
      <w:r w:rsidR="009E4B09">
        <w:rPr>
          <w:rFonts w:cs="Times New Roman"/>
          <w:color w:val="000000" w:themeColor="text1"/>
        </w:rPr>
        <w:t xml:space="preserve">because </w:t>
      </w:r>
      <w:r>
        <w:rPr>
          <w:rFonts w:cs="Times New Roman"/>
          <w:color w:val="000000" w:themeColor="text1"/>
        </w:rPr>
        <w:t>of the invalidations</w:t>
      </w:r>
      <w:r w:rsidR="00593A13">
        <w:rPr>
          <w:rFonts w:cs="Times New Roman"/>
          <w:color w:val="000000" w:themeColor="text1"/>
        </w:rPr>
        <w:t>.</w:t>
      </w:r>
      <w:r w:rsidR="00593A13" w:rsidRPr="005A669A">
        <w:rPr>
          <w:rStyle w:val="FootnoteReference"/>
        </w:rPr>
        <w:footnoteReference w:id="659"/>
      </w:r>
      <w:r>
        <w:rPr>
          <w:rFonts w:cs="Times New Roman"/>
          <w:color w:val="000000" w:themeColor="text1"/>
        </w:rPr>
        <w:t xml:space="preserve"> But </w:t>
      </w:r>
      <w:r w:rsidR="00D2270D">
        <w:rPr>
          <w:rFonts w:cs="Times New Roman"/>
          <w:color w:val="000000" w:themeColor="text1"/>
        </w:rPr>
        <w:lastRenderedPageBreak/>
        <w:t>here,</w:t>
      </w:r>
      <w:r w:rsidR="006A2C1D">
        <w:rPr>
          <w:rFonts w:cs="Times New Roman"/>
          <w:color w:val="000000" w:themeColor="text1"/>
        </w:rPr>
        <w:t xml:space="preserve"> </w:t>
      </w:r>
      <w:r w:rsidR="00D2270D">
        <w:rPr>
          <w:rFonts w:cs="Times New Roman"/>
          <w:color w:val="000000" w:themeColor="text1"/>
        </w:rPr>
        <w:t xml:space="preserve">the parties had stipulated under Fed. R. Civ. P. 58 to the </w:t>
      </w:r>
      <w:r w:rsidR="00892049">
        <w:rPr>
          <w:rFonts w:cs="Times New Roman"/>
          <w:color w:val="000000" w:themeColor="text1"/>
        </w:rPr>
        <w:t xml:space="preserve">reasonable royalty award and only continued </w:t>
      </w:r>
      <w:r w:rsidR="00593A13">
        <w:rPr>
          <w:rFonts w:cs="Times New Roman"/>
          <w:color w:val="000000" w:themeColor="text1"/>
        </w:rPr>
        <w:t xml:space="preserve">to </w:t>
      </w:r>
      <w:r w:rsidR="00892049">
        <w:rPr>
          <w:rFonts w:cs="Times New Roman"/>
          <w:color w:val="000000" w:themeColor="text1"/>
        </w:rPr>
        <w:t>contest the lost profits awar</w:t>
      </w:r>
      <w:r w:rsidR="006A2C1D">
        <w:rPr>
          <w:rFonts w:cs="Times New Roman"/>
          <w:color w:val="000000" w:themeColor="text1"/>
        </w:rPr>
        <w:t>d</w:t>
      </w:r>
      <w:r w:rsidR="00892049">
        <w:rPr>
          <w:rFonts w:cs="Times New Roman"/>
          <w:color w:val="000000" w:themeColor="text1"/>
        </w:rPr>
        <w:t>.</w:t>
      </w:r>
      <w:r w:rsidR="00593A13" w:rsidRPr="005A669A">
        <w:rPr>
          <w:rStyle w:val="FootnoteReference"/>
        </w:rPr>
        <w:footnoteReference w:id="660"/>
      </w:r>
      <w:r w:rsidR="00892049">
        <w:rPr>
          <w:rFonts w:cs="Times New Roman"/>
          <w:color w:val="000000" w:themeColor="text1"/>
        </w:rPr>
        <w:t xml:space="preserve"> </w:t>
      </w:r>
      <w:r w:rsidR="003F5014">
        <w:rPr>
          <w:rFonts w:cs="Times New Roman"/>
          <w:color w:val="000000" w:themeColor="text1"/>
        </w:rPr>
        <w:t xml:space="preserve">They had made this stipulation even after </w:t>
      </w:r>
      <w:r w:rsidR="003F5014">
        <w:rPr>
          <w:rFonts w:cs="Times New Roman"/>
          <w:i/>
          <w:color w:val="000000" w:themeColor="text1"/>
        </w:rPr>
        <w:t xml:space="preserve">inter partes </w:t>
      </w:r>
      <w:r w:rsidR="003F5014" w:rsidRPr="0023371B">
        <w:rPr>
          <w:rFonts w:cs="Times New Roman"/>
          <w:color w:val="000000" w:themeColor="text1"/>
        </w:rPr>
        <w:t>review</w:t>
      </w:r>
      <w:r w:rsidR="003F5014">
        <w:rPr>
          <w:rFonts w:cs="Times New Roman"/>
          <w:i/>
          <w:color w:val="000000" w:themeColor="text1"/>
        </w:rPr>
        <w:t xml:space="preserve"> </w:t>
      </w:r>
      <w:r w:rsidR="003F5014">
        <w:rPr>
          <w:rFonts w:cs="Times New Roman"/>
          <w:color w:val="000000" w:themeColor="text1"/>
        </w:rPr>
        <w:t xml:space="preserve">decisions in 2015 </w:t>
      </w:r>
      <w:r w:rsidR="0023371B">
        <w:rPr>
          <w:rFonts w:cs="Times New Roman"/>
          <w:color w:val="000000" w:themeColor="text1"/>
        </w:rPr>
        <w:t xml:space="preserve">had </w:t>
      </w:r>
      <w:r w:rsidR="003F5014">
        <w:rPr>
          <w:rFonts w:cs="Times New Roman"/>
          <w:color w:val="000000" w:themeColor="text1"/>
        </w:rPr>
        <w:t>found four claims unpatentable.</w:t>
      </w:r>
      <w:r w:rsidR="003F5014" w:rsidRPr="005A669A">
        <w:rPr>
          <w:rStyle w:val="FootnoteReference"/>
        </w:rPr>
        <w:footnoteReference w:id="661"/>
      </w:r>
    </w:p>
    <w:p w14:paraId="5F10FB17" w14:textId="043A7DF9" w:rsidR="009E3831" w:rsidRDefault="009E3831" w:rsidP="00F6625B">
      <w:pPr>
        <w:rPr>
          <w:rFonts w:cs="Times New Roman"/>
          <w:color w:val="000000" w:themeColor="text1"/>
        </w:rPr>
      </w:pPr>
      <w:r>
        <w:rPr>
          <w:rFonts w:cs="Times New Roman"/>
          <w:color w:val="000000" w:themeColor="text1"/>
        </w:rPr>
        <w:tab/>
      </w:r>
      <w:r w:rsidR="006A2C1D">
        <w:rPr>
          <w:rFonts w:cs="Times New Roman"/>
          <w:color w:val="000000" w:themeColor="text1"/>
        </w:rPr>
        <w:t>Next, ION argued that no lost profits should be awarded because the parties were not competitors—a contention the district court had rejected in a motion for judgment as a matter of law.</w:t>
      </w:r>
      <w:r w:rsidR="006A2C1D" w:rsidRPr="005A669A">
        <w:rPr>
          <w:rStyle w:val="FootnoteReference"/>
        </w:rPr>
        <w:footnoteReference w:id="662"/>
      </w:r>
      <w:r w:rsidR="006A2C1D">
        <w:rPr>
          <w:rFonts w:cs="Times New Roman"/>
          <w:color w:val="000000" w:themeColor="text1"/>
        </w:rPr>
        <w:t xml:space="preserve"> </w:t>
      </w:r>
      <w:r w:rsidR="00F6625B">
        <w:rPr>
          <w:rFonts w:cs="Times New Roman"/>
          <w:color w:val="000000" w:themeColor="text1"/>
        </w:rPr>
        <w:t xml:space="preserve">ION sells devices used in marine surveys, whereas WesternGeco sells only marine surveys using those devices (WesternGeco’s patent claims </w:t>
      </w:r>
      <w:r w:rsidR="00DE71DB">
        <w:rPr>
          <w:rFonts w:cs="Times New Roman"/>
          <w:color w:val="000000" w:themeColor="text1"/>
        </w:rPr>
        <w:t>were directed to technology related to the devices)</w:t>
      </w:r>
      <w:r w:rsidR="00F6625B">
        <w:rPr>
          <w:rFonts w:cs="Times New Roman"/>
          <w:color w:val="000000" w:themeColor="text1"/>
        </w:rPr>
        <w:t>.</w:t>
      </w:r>
      <w:r w:rsidR="00DE71DB" w:rsidRPr="005A669A">
        <w:rPr>
          <w:rStyle w:val="FootnoteReference"/>
        </w:rPr>
        <w:footnoteReference w:id="663"/>
      </w:r>
      <w:r w:rsidR="00F6625B">
        <w:rPr>
          <w:rFonts w:cs="Times New Roman"/>
          <w:color w:val="000000" w:themeColor="text1"/>
        </w:rPr>
        <w:t xml:space="preserve"> The court </w:t>
      </w:r>
      <w:r w:rsidR="00721952">
        <w:rPr>
          <w:rFonts w:cs="Times New Roman"/>
          <w:color w:val="000000" w:themeColor="text1"/>
        </w:rPr>
        <w:t>suggested</w:t>
      </w:r>
      <w:r w:rsidR="00F6625B">
        <w:rPr>
          <w:rFonts w:cs="Times New Roman"/>
          <w:color w:val="000000" w:themeColor="text1"/>
        </w:rPr>
        <w:t xml:space="preserve"> that </w:t>
      </w:r>
      <w:r w:rsidR="00721952">
        <w:rPr>
          <w:rFonts w:cs="Times New Roman"/>
          <w:color w:val="000000" w:themeColor="text1"/>
        </w:rPr>
        <w:t>even if the</w:t>
      </w:r>
      <w:r w:rsidR="00606441">
        <w:rPr>
          <w:rFonts w:cs="Times New Roman"/>
          <w:color w:val="000000" w:themeColor="text1"/>
        </w:rPr>
        <w:t xml:space="preserve"> relevant</w:t>
      </w:r>
      <w:r w:rsidR="00F6625B">
        <w:rPr>
          <w:rFonts w:cs="Times New Roman"/>
          <w:color w:val="000000" w:themeColor="text1"/>
        </w:rPr>
        <w:t xml:space="preserve"> question </w:t>
      </w:r>
      <w:r w:rsidR="00721952">
        <w:rPr>
          <w:rFonts w:cs="Times New Roman"/>
          <w:color w:val="000000" w:themeColor="text1"/>
        </w:rPr>
        <w:t>were</w:t>
      </w:r>
      <w:r w:rsidR="00F6625B">
        <w:rPr>
          <w:rFonts w:cs="Times New Roman"/>
          <w:color w:val="000000" w:themeColor="text1"/>
        </w:rPr>
        <w:t xml:space="preserve"> “</w:t>
      </w:r>
      <w:r w:rsidR="00606441">
        <w:rPr>
          <w:rFonts w:cs="Times New Roman"/>
          <w:color w:val="000000" w:themeColor="text1"/>
        </w:rPr>
        <w:t>w</w:t>
      </w:r>
      <w:r w:rsidR="00F6625B" w:rsidRPr="00F6625B">
        <w:rPr>
          <w:rFonts w:cs="Times New Roman"/>
          <w:color w:val="000000" w:themeColor="text1"/>
        </w:rPr>
        <w:t xml:space="preserve">hether the patent owner’s and the infringer’s </w:t>
      </w:r>
      <w:r w:rsidR="00F6625B" w:rsidRPr="00721952">
        <w:rPr>
          <w:rFonts w:cs="Times New Roman"/>
          <w:i/>
          <w:color w:val="000000" w:themeColor="text1"/>
        </w:rPr>
        <w:t>products</w:t>
      </w:r>
      <w:r w:rsidR="00F6625B" w:rsidRPr="00F6625B">
        <w:rPr>
          <w:rFonts w:cs="Times New Roman"/>
          <w:color w:val="000000" w:themeColor="text1"/>
        </w:rPr>
        <w:t xml:space="preserve"> are adequate substitutes for consumers</w:t>
      </w:r>
      <w:r w:rsidR="00721952">
        <w:rPr>
          <w:rFonts w:cs="Times New Roman"/>
          <w:color w:val="000000" w:themeColor="text1"/>
        </w:rPr>
        <w:t xml:space="preserve">,” WesternGeco’s and ION’s devices “competed by performing the same types of functions for surveys” and adequate evidence supported </w:t>
      </w:r>
      <w:r w:rsidR="00544A30">
        <w:rPr>
          <w:rFonts w:cs="Times New Roman"/>
          <w:color w:val="000000" w:themeColor="text1"/>
        </w:rPr>
        <w:t>the</w:t>
      </w:r>
      <w:r w:rsidR="00721952">
        <w:rPr>
          <w:rFonts w:cs="Times New Roman"/>
          <w:color w:val="000000" w:themeColor="text1"/>
        </w:rPr>
        <w:t xml:space="preserve"> jury finding.</w:t>
      </w:r>
      <w:r w:rsidR="00721952" w:rsidRPr="005A669A">
        <w:rPr>
          <w:rStyle w:val="FootnoteReference"/>
        </w:rPr>
        <w:footnoteReference w:id="664"/>
      </w:r>
      <w:r w:rsidR="0082278B">
        <w:rPr>
          <w:rFonts w:cs="Times New Roman"/>
          <w:color w:val="000000" w:themeColor="text1"/>
        </w:rPr>
        <w:t xml:space="preserve"> </w:t>
      </w:r>
      <w:r w:rsidR="00E77948">
        <w:rPr>
          <w:rFonts w:cs="Times New Roman"/>
          <w:color w:val="000000" w:themeColor="text1"/>
        </w:rPr>
        <w:t xml:space="preserve">However, </w:t>
      </w:r>
      <w:r w:rsidR="0082278B">
        <w:rPr>
          <w:rFonts w:cs="Times New Roman"/>
          <w:color w:val="000000" w:themeColor="text1"/>
        </w:rPr>
        <w:t>the distinction between device and surveys using the device</w:t>
      </w:r>
      <w:r w:rsidR="00E77948">
        <w:rPr>
          <w:rFonts w:cs="Times New Roman"/>
          <w:color w:val="000000" w:themeColor="text1"/>
        </w:rPr>
        <w:t xml:space="preserve"> might present issues for </w:t>
      </w:r>
      <w:r w:rsidR="0082278B">
        <w:rPr>
          <w:rFonts w:cs="Times New Roman"/>
          <w:color w:val="000000" w:themeColor="text1"/>
        </w:rPr>
        <w:t xml:space="preserve">apportionment, that is, </w:t>
      </w:r>
      <w:r w:rsidR="004565CE">
        <w:rPr>
          <w:rFonts w:cs="Times New Roman"/>
          <w:color w:val="000000" w:themeColor="text1"/>
        </w:rPr>
        <w:t>the determination of</w:t>
      </w:r>
      <w:r w:rsidR="000020F6">
        <w:rPr>
          <w:rFonts w:cs="Times New Roman"/>
          <w:color w:val="000000" w:themeColor="text1"/>
        </w:rPr>
        <w:t xml:space="preserve"> lost profits</w:t>
      </w:r>
      <w:r w:rsidR="004565CE">
        <w:rPr>
          <w:rFonts w:cs="Times New Roman"/>
          <w:color w:val="000000" w:themeColor="text1"/>
        </w:rPr>
        <w:t xml:space="preserve"> attributable</w:t>
      </w:r>
      <w:r w:rsidR="000020F6">
        <w:rPr>
          <w:rFonts w:cs="Times New Roman"/>
          <w:color w:val="000000" w:themeColor="text1"/>
        </w:rPr>
        <w:t xml:space="preserve"> to infringement </w:t>
      </w:r>
      <w:r w:rsidR="0082278B">
        <w:rPr>
          <w:rFonts w:cs="Times New Roman"/>
          <w:color w:val="000000" w:themeColor="text1"/>
        </w:rPr>
        <w:t>from</w:t>
      </w:r>
      <w:r w:rsidR="000020F6">
        <w:rPr>
          <w:rFonts w:cs="Times New Roman"/>
          <w:color w:val="000000" w:themeColor="text1"/>
        </w:rPr>
        <w:t xml:space="preserve"> the device and </w:t>
      </w:r>
      <w:r w:rsidR="004565CE">
        <w:rPr>
          <w:rFonts w:cs="Times New Roman"/>
          <w:color w:val="000000" w:themeColor="text1"/>
        </w:rPr>
        <w:t>those attributable</w:t>
      </w:r>
      <w:r w:rsidR="000020F6">
        <w:rPr>
          <w:rFonts w:cs="Times New Roman"/>
          <w:color w:val="000000" w:themeColor="text1"/>
        </w:rPr>
        <w:t xml:space="preserve"> to other aspects of services (like </w:t>
      </w:r>
      <w:r w:rsidR="004565CE">
        <w:rPr>
          <w:rFonts w:cs="Times New Roman"/>
          <w:color w:val="000000" w:themeColor="text1"/>
        </w:rPr>
        <w:t>operating the marine vessel</w:t>
      </w:r>
      <w:r w:rsidR="000020F6">
        <w:rPr>
          <w:rFonts w:cs="Times New Roman"/>
          <w:color w:val="000000" w:themeColor="text1"/>
        </w:rPr>
        <w:t>).</w:t>
      </w:r>
      <w:r w:rsidR="000020F6" w:rsidRPr="005A669A">
        <w:rPr>
          <w:rStyle w:val="FootnoteReference"/>
        </w:rPr>
        <w:footnoteReference w:id="665"/>
      </w:r>
      <w:r w:rsidR="000020F6">
        <w:rPr>
          <w:rFonts w:cs="Times New Roman"/>
          <w:color w:val="000000" w:themeColor="text1"/>
        </w:rPr>
        <w:t xml:space="preserve"> The court </w:t>
      </w:r>
      <w:r w:rsidR="00E77948">
        <w:rPr>
          <w:rFonts w:cs="Times New Roman"/>
          <w:color w:val="000000" w:themeColor="text1"/>
        </w:rPr>
        <w:t xml:space="preserve">held </w:t>
      </w:r>
      <w:r w:rsidR="000020F6">
        <w:rPr>
          <w:rFonts w:cs="Times New Roman"/>
          <w:color w:val="000000" w:themeColor="text1"/>
        </w:rPr>
        <w:t xml:space="preserve">that issue </w:t>
      </w:r>
      <w:r w:rsidR="00544A30">
        <w:rPr>
          <w:rFonts w:cs="Times New Roman"/>
          <w:color w:val="000000" w:themeColor="text1"/>
        </w:rPr>
        <w:t>had been</w:t>
      </w:r>
      <w:r w:rsidR="00E77948">
        <w:rPr>
          <w:rFonts w:cs="Times New Roman"/>
          <w:color w:val="000000" w:themeColor="text1"/>
        </w:rPr>
        <w:t xml:space="preserve"> waived on appeal, </w:t>
      </w:r>
      <w:r w:rsidR="00544A30">
        <w:rPr>
          <w:rFonts w:cs="Times New Roman"/>
          <w:color w:val="000000" w:themeColor="text1"/>
        </w:rPr>
        <w:t>though it</w:t>
      </w:r>
      <w:r w:rsidR="000020F6">
        <w:rPr>
          <w:rFonts w:cs="Times New Roman"/>
          <w:color w:val="000000" w:themeColor="text1"/>
        </w:rPr>
        <w:t xml:space="preserve"> </w:t>
      </w:r>
      <w:r w:rsidR="004565CE">
        <w:rPr>
          <w:rFonts w:cs="Times New Roman"/>
          <w:color w:val="000000" w:themeColor="text1"/>
        </w:rPr>
        <w:t xml:space="preserve">could be opened in a </w:t>
      </w:r>
      <w:r w:rsidR="00E77948">
        <w:rPr>
          <w:rFonts w:cs="Times New Roman"/>
          <w:color w:val="000000" w:themeColor="text1"/>
        </w:rPr>
        <w:t xml:space="preserve">new </w:t>
      </w:r>
      <w:r w:rsidR="000020F6">
        <w:rPr>
          <w:rFonts w:cs="Times New Roman"/>
          <w:color w:val="000000" w:themeColor="text1"/>
        </w:rPr>
        <w:t>damages trial</w:t>
      </w:r>
      <w:r w:rsidR="00E77948">
        <w:rPr>
          <w:rFonts w:cs="Times New Roman"/>
          <w:color w:val="000000" w:themeColor="text1"/>
        </w:rPr>
        <w:t>.</w:t>
      </w:r>
      <w:r w:rsidR="00E77948" w:rsidRPr="005A669A">
        <w:rPr>
          <w:rStyle w:val="FootnoteReference"/>
        </w:rPr>
        <w:footnoteReference w:id="666"/>
      </w:r>
    </w:p>
    <w:p w14:paraId="2DF4C2A5" w14:textId="65FC5FB7" w:rsidR="005F0440" w:rsidRDefault="00DA58AD" w:rsidP="00564C03">
      <w:pPr>
        <w:rPr>
          <w:rFonts w:cs="Times New Roman"/>
          <w:color w:val="000000" w:themeColor="text1"/>
        </w:rPr>
      </w:pPr>
      <w:r>
        <w:rPr>
          <w:rFonts w:cs="Times New Roman"/>
          <w:color w:val="000000" w:themeColor="text1"/>
        </w:rPr>
        <w:tab/>
        <w:t xml:space="preserve">ION also argued the lost profits should be set aside </w:t>
      </w:r>
      <w:r w:rsidR="00544A30">
        <w:rPr>
          <w:rFonts w:cs="Times New Roman"/>
          <w:color w:val="000000" w:themeColor="text1"/>
        </w:rPr>
        <w:t>on the theory that</w:t>
      </w:r>
      <w:r w:rsidR="00EB10BB">
        <w:rPr>
          <w:rFonts w:cs="Times New Roman"/>
          <w:color w:val="000000" w:themeColor="text1"/>
        </w:rPr>
        <w:t xml:space="preserve"> where a jury </w:t>
      </w:r>
      <w:r w:rsidR="002B232F">
        <w:rPr>
          <w:rFonts w:cs="Times New Roman"/>
          <w:color w:val="000000" w:themeColor="text1"/>
        </w:rPr>
        <w:t>has made</w:t>
      </w:r>
      <w:r w:rsidR="00EB10BB">
        <w:rPr>
          <w:rFonts w:cs="Times New Roman"/>
          <w:color w:val="000000" w:themeColor="text1"/>
        </w:rPr>
        <w:t xml:space="preserve"> a general award and one of the bases for that award is later invalidated, the entire award must be set aside.</w:t>
      </w:r>
      <w:r w:rsidR="00EB10BB" w:rsidRPr="005A669A">
        <w:rPr>
          <w:rStyle w:val="FootnoteReference"/>
        </w:rPr>
        <w:footnoteReference w:id="667"/>
      </w:r>
      <w:r w:rsidR="00A906E3">
        <w:rPr>
          <w:rFonts w:cs="Times New Roman"/>
          <w:color w:val="000000" w:themeColor="text1"/>
        </w:rPr>
        <w:t xml:space="preserve"> </w:t>
      </w:r>
      <w:r w:rsidR="002B232F">
        <w:rPr>
          <w:rFonts w:cs="Times New Roman"/>
          <w:color w:val="000000" w:themeColor="text1"/>
        </w:rPr>
        <w:t xml:space="preserve">The court </w:t>
      </w:r>
      <w:r w:rsidR="00255A56">
        <w:rPr>
          <w:rFonts w:cs="Times New Roman"/>
          <w:color w:val="000000" w:themeColor="text1"/>
        </w:rPr>
        <w:t>was not persuaded</w:t>
      </w:r>
      <w:r w:rsidR="001C4C07">
        <w:rPr>
          <w:rFonts w:cs="Times New Roman"/>
          <w:color w:val="000000" w:themeColor="text1"/>
        </w:rPr>
        <w:t>. It held</w:t>
      </w:r>
      <w:r w:rsidR="00255A56">
        <w:rPr>
          <w:rFonts w:cs="Times New Roman"/>
          <w:color w:val="000000" w:themeColor="text1"/>
        </w:rPr>
        <w:t xml:space="preserve"> </w:t>
      </w:r>
      <w:r w:rsidR="002B232F">
        <w:rPr>
          <w:rFonts w:cs="Times New Roman"/>
          <w:color w:val="000000" w:themeColor="text1"/>
        </w:rPr>
        <w:t>that</w:t>
      </w:r>
      <w:r w:rsidR="00C04CC1">
        <w:rPr>
          <w:rFonts w:cs="Times New Roman"/>
          <w:color w:val="000000" w:themeColor="text1"/>
        </w:rPr>
        <w:t xml:space="preserve"> </w:t>
      </w:r>
      <w:r w:rsidR="002A13BF">
        <w:rPr>
          <w:rFonts w:cs="Times New Roman"/>
          <w:color w:val="000000" w:themeColor="text1"/>
        </w:rPr>
        <w:t xml:space="preserve">even if only one of several </w:t>
      </w:r>
      <w:r w:rsidR="001C4C07">
        <w:rPr>
          <w:rFonts w:cs="Times New Roman"/>
          <w:color w:val="000000" w:themeColor="text1"/>
        </w:rPr>
        <w:t>claims</w:t>
      </w:r>
      <w:r w:rsidR="002A13BF">
        <w:rPr>
          <w:rFonts w:cs="Times New Roman"/>
          <w:color w:val="000000" w:themeColor="text1"/>
        </w:rPr>
        <w:t xml:space="preserve"> </w:t>
      </w:r>
      <w:r w:rsidR="001C4C07">
        <w:rPr>
          <w:rFonts w:cs="Times New Roman"/>
          <w:color w:val="000000" w:themeColor="text1"/>
        </w:rPr>
        <w:t xml:space="preserve">once </w:t>
      </w:r>
      <w:r w:rsidR="002A13BF">
        <w:rPr>
          <w:rFonts w:cs="Times New Roman"/>
          <w:color w:val="000000" w:themeColor="text1"/>
        </w:rPr>
        <w:t>shown to a jury</w:t>
      </w:r>
      <w:r w:rsidR="001C4C07">
        <w:rPr>
          <w:rFonts w:cs="Times New Roman"/>
          <w:color w:val="000000" w:themeColor="text1"/>
        </w:rPr>
        <w:t xml:space="preserve"> as a basis for damages</w:t>
      </w:r>
      <w:r w:rsidR="002A13BF">
        <w:rPr>
          <w:rFonts w:cs="Times New Roman"/>
          <w:color w:val="000000" w:themeColor="text1"/>
        </w:rPr>
        <w:t xml:space="preserve"> remain</w:t>
      </w:r>
      <w:r w:rsidR="001C4C07">
        <w:rPr>
          <w:rFonts w:cs="Times New Roman"/>
          <w:color w:val="000000" w:themeColor="text1"/>
        </w:rPr>
        <w:t>s</w:t>
      </w:r>
      <w:r w:rsidR="002A13BF">
        <w:rPr>
          <w:rFonts w:cs="Times New Roman"/>
          <w:color w:val="000000" w:themeColor="text1"/>
        </w:rPr>
        <w:t xml:space="preserve"> valid, so long as that </w:t>
      </w:r>
      <w:r w:rsidR="00C04CC1">
        <w:rPr>
          <w:rFonts w:cs="Times New Roman"/>
          <w:color w:val="000000" w:themeColor="text1"/>
        </w:rPr>
        <w:t xml:space="preserve">claim </w:t>
      </w:r>
      <w:r w:rsidR="001C4C07">
        <w:rPr>
          <w:rFonts w:cs="Times New Roman"/>
          <w:color w:val="000000" w:themeColor="text1"/>
        </w:rPr>
        <w:t>was</w:t>
      </w:r>
      <w:r w:rsidR="00262A0B">
        <w:rPr>
          <w:rFonts w:cs="Times New Roman"/>
          <w:color w:val="000000" w:themeColor="text1"/>
        </w:rPr>
        <w:t xml:space="preserve"> shown to </w:t>
      </w:r>
      <w:r w:rsidR="00A17E0A">
        <w:rPr>
          <w:rFonts w:cs="Times New Roman"/>
          <w:color w:val="000000" w:themeColor="text1"/>
        </w:rPr>
        <w:t xml:space="preserve">the jury to </w:t>
      </w:r>
      <w:r w:rsidR="00262A0B">
        <w:rPr>
          <w:rFonts w:cs="Times New Roman"/>
          <w:color w:val="000000" w:themeColor="text1"/>
        </w:rPr>
        <w:t xml:space="preserve">be </w:t>
      </w:r>
      <w:r w:rsidR="00C04CC1">
        <w:rPr>
          <w:rFonts w:cs="Times New Roman"/>
          <w:color w:val="000000" w:themeColor="text1"/>
        </w:rPr>
        <w:t xml:space="preserve">essential </w:t>
      </w:r>
      <w:r w:rsidR="00262A0B">
        <w:rPr>
          <w:rFonts w:cs="Times New Roman"/>
          <w:color w:val="000000" w:themeColor="text1"/>
        </w:rPr>
        <w:t xml:space="preserve">to </w:t>
      </w:r>
      <w:r w:rsidR="001C4C07">
        <w:rPr>
          <w:rFonts w:cs="Times New Roman"/>
          <w:color w:val="000000" w:themeColor="text1"/>
        </w:rPr>
        <w:t>those damages</w:t>
      </w:r>
      <w:r w:rsidR="00C04CC1">
        <w:rPr>
          <w:rFonts w:cs="Times New Roman"/>
          <w:color w:val="000000" w:themeColor="text1"/>
        </w:rPr>
        <w:t>,</w:t>
      </w:r>
      <w:r w:rsidR="002A13BF">
        <w:rPr>
          <w:rFonts w:cs="Times New Roman"/>
          <w:color w:val="000000" w:themeColor="text1"/>
        </w:rPr>
        <w:t xml:space="preserve"> then</w:t>
      </w:r>
      <w:r w:rsidR="00C04CC1">
        <w:rPr>
          <w:rFonts w:cs="Times New Roman"/>
          <w:color w:val="000000" w:themeColor="text1"/>
        </w:rPr>
        <w:t xml:space="preserve"> </w:t>
      </w:r>
      <w:r w:rsidR="00A16527">
        <w:rPr>
          <w:rFonts w:cs="Times New Roman"/>
          <w:color w:val="000000" w:themeColor="text1"/>
        </w:rPr>
        <w:t xml:space="preserve">any error in instruction </w:t>
      </w:r>
      <w:r w:rsidR="002A13BF">
        <w:rPr>
          <w:rFonts w:cs="Times New Roman"/>
          <w:color w:val="000000" w:themeColor="text1"/>
        </w:rPr>
        <w:t>is</w:t>
      </w:r>
      <w:r w:rsidR="00A16527">
        <w:rPr>
          <w:rFonts w:cs="Times New Roman"/>
          <w:color w:val="000000" w:themeColor="text1"/>
        </w:rPr>
        <w:t xml:space="preserve"> harmless,</w:t>
      </w:r>
      <w:r w:rsidR="00A16527" w:rsidRPr="005A669A">
        <w:rPr>
          <w:rStyle w:val="FootnoteReference"/>
        </w:rPr>
        <w:footnoteReference w:id="668"/>
      </w:r>
      <w:r w:rsidR="00A16527">
        <w:rPr>
          <w:rFonts w:cs="Times New Roman"/>
          <w:color w:val="000000" w:themeColor="text1"/>
        </w:rPr>
        <w:t xml:space="preserve"> and </w:t>
      </w:r>
      <w:r w:rsidR="00C04CC1">
        <w:rPr>
          <w:rFonts w:cs="Times New Roman"/>
          <w:color w:val="000000" w:themeColor="text1"/>
        </w:rPr>
        <w:t>the entire award</w:t>
      </w:r>
      <w:r w:rsidR="00262A0B">
        <w:rPr>
          <w:rFonts w:cs="Times New Roman"/>
          <w:color w:val="000000" w:themeColor="text1"/>
        </w:rPr>
        <w:t xml:space="preserve"> of lost profits</w:t>
      </w:r>
      <w:r w:rsidR="002A13BF">
        <w:rPr>
          <w:rFonts w:cs="Times New Roman"/>
          <w:color w:val="000000" w:themeColor="text1"/>
        </w:rPr>
        <w:t xml:space="preserve"> can be</w:t>
      </w:r>
      <w:r w:rsidR="00C04CC1">
        <w:rPr>
          <w:rFonts w:cs="Times New Roman"/>
          <w:color w:val="000000" w:themeColor="text1"/>
        </w:rPr>
        <w:t xml:space="preserve"> sustained.</w:t>
      </w:r>
      <w:r w:rsidR="00255A56" w:rsidRPr="005A669A">
        <w:rPr>
          <w:rStyle w:val="FootnoteReference"/>
        </w:rPr>
        <w:footnoteReference w:id="669"/>
      </w:r>
      <w:r w:rsidR="00C04CC1">
        <w:rPr>
          <w:rFonts w:cs="Times New Roman"/>
          <w:color w:val="000000" w:themeColor="text1"/>
        </w:rPr>
        <w:t xml:space="preserve"> </w:t>
      </w:r>
      <w:r w:rsidR="005F0440">
        <w:rPr>
          <w:rFonts w:cs="Times New Roman"/>
          <w:color w:val="000000" w:themeColor="text1"/>
        </w:rPr>
        <w:t>[That seems self-evidently wrong, and inconsistent with the idea that every infringed claim is entitled to damages, but it is consistent with the Federal Circuit’s effort to preserve black box jury awards].</w:t>
      </w:r>
    </w:p>
    <w:p w14:paraId="5664E327" w14:textId="184F1C13" w:rsidR="00255A56" w:rsidRDefault="00D53777" w:rsidP="005F0440">
      <w:pPr>
        <w:ind w:firstLine="720"/>
        <w:rPr>
          <w:rFonts w:cs="Times New Roman"/>
          <w:color w:val="000000" w:themeColor="text1"/>
        </w:rPr>
      </w:pPr>
      <w:r>
        <w:rPr>
          <w:rFonts w:cs="Times New Roman"/>
          <w:color w:val="000000" w:themeColor="text1"/>
        </w:rPr>
        <w:t>Such a showing had not been clearly made</w:t>
      </w:r>
      <w:r w:rsidR="001C4C07">
        <w:rPr>
          <w:rFonts w:cs="Times New Roman"/>
          <w:color w:val="000000" w:themeColor="text1"/>
        </w:rPr>
        <w:t xml:space="preserve"> here</w:t>
      </w:r>
      <w:r>
        <w:rPr>
          <w:rFonts w:cs="Times New Roman"/>
          <w:color w:val="000000" w:themeColor="text1"/>
        </w:rPr>
        <w:t>, however</w:t>
      </w:r>
      <w:r w:rsidR="00255A56">
        <w:rPr>
          <w:rFonts w:cs="Times New Roman"/>
          <w:color w:val="000000" w:themeColor="text1"/>
        </w:rPr>
        <w:t xml:space="preserve">. </w:t>
      </w:r>
      <w:r w:rsidR="00E35721">
        <w:rPr>
          <w:rFonts w:cs="Times New Roman"/>
          <w:color w:val="000000" w:themeColor="text1"/>
        </w:rPr>
        <w:t>Multiple claims could have been construed as covering or not covering</w:t>
      </w:r>
      <w:r w:rsidR="001C4C07">
        <w:rPr>
          <w:rFonts w:cs="Times New Roman"/>
          <w:color w:val="000000" w:themeColor="text1"/>
        </w:rPr>
        <w:t xml:space="preserve"> </w:t>
      </w:r>
      <w:r w:rsidR="00E35721">
        <w:rPr>
          <w:rFonts w:cs="Times New Roman"/>
          <w:color w:val="000000" w:themeColor="text1"/>
        </w:rPr>
        <w:t xml:space="preserve">the generically described “lateral steering” that </w:t>
      </w:r>
      <w:r w:rsidR="001C4C07">
        <w:rPr>
          <w:rFonts w:cs="Times New Roman"/>
          <w:color w:val="000000" w:themeColor="text1"/>
        </w:rPr>
        <w:t xml:space="preserve">was </w:t>
      </w:r>
      <w:r w:rsidR="00E35721">
        <w:rPr>
          <w:rFonts w:cs="Times New Roman"/>
          <w:color w:val="000000" w:themeColor="text1"/>
        </w:rPr>
        <w:t xml:space="preserve">necessary to </w:t>
      </w:r>
      <w:r>
        <w:rPr>
          <w:rFonts w:cs="Times New Roman"/>
          <w:color w:val="000000" w:themeColor="text1"/>
        </w:rPr>
        <w:t>perform</w:t>
      </w:r>
      <w:r w:rsidR="00E35721">
        <w:rPr>
          <w:rFonts w:cs="Times New Roman"/>
          <w:color w:val="000000" w:themeColor="text1"/>
        </w:rPr>
        <w:t xml:space="preserve"> the surveys.</w:t>
      </w:r>
      <w:r w:rsidR="00E35721" w:rsidRPr="005A669A">
        <w:rPr>
          <w:rStyle w:val="FootnoteReference"/>
        </w:rPr>
        <w:footnoteReference w:id="670"/>
      </w:r>
      <w:r w:rsidR="00E35721">
        <w:rPr>
          <w:rFonts w:cs="Times New Roman"/>
          <w:color w:val="000000" w:themeColor="text1"/>
        </w:rPr>
        <w:t xml:space="preserve"> </w:t>
      </w:r>
      <w:r w:rsidR="00255A56">
        <w:rPr>
          <w:rFonts w:cs="Times New Roman"/>
          <w:color w:val="000000" w:themeColor="text1"/>
        </w:rPr>
        <w:t xml:space="preserve">Accordingly, the Federal Circuit instructed the district court </w:t>
      </w:r>
      <w:r w:rsidR="00BA1977">
        <w:rPr>
          <w:rFonts w:cs="Times New Roman"/>
          <w:color w:val="000000" w:themeColor="text1"/>
        </w:rPr>
        <w:t xml:space="preserve">on remand </w:t>
      </w:r>
      <w:r w:rsidR="00255A56">
        <w:rPr>
          <w:rFonts w:cs="Times New Roman"/>
          <w:color w:val="000000" w:themeColor="text1"/>
        </w:rPr>
        <w:t>to determine whether</w:t>
      </w:r>
      <w:r w:rsidR="00BA1977">
        <w:rPr>
          <w:rFonts w:cs="Times New Roman"/>
          <w:color w:val="000000" w:themeColor="text1"/>
        </w:rPr>
        <w:t xml:space="preserve"> on this record</w:t>
      </w:r>
      <w:r w:rsidR="00255A56">
        <w:rPr>
          <w:rFonts w:cs="Times New Roman"/>
          <w:color w:val="000000" w:themeColor="text1"/>
        </w:rPr>
        <w:t xml:space="preserve"> “</w:t>
      </w:r>
      <w:r w:rsidR="00255A56" w:rsidRPr="009236F9">
        <w:rPr>
          <w:rFonts w:cs="Times New Roman"/>
          <w:color w:val="000000" w:themeColor="text1"/>
        </w:rPr>
        <w:t>there was no dispute that the technology covered by</w:t>
      </w:r>
      <w:r w:rsidR="00255A56">
        <w:rPr>
          <w:rFonts w:cs="Times New Roman"/>
          <w:color w:val="000000" w:themeColor="text1"/>
        </w:rPr>
        <w:t xml:space="preserve"> </w:t>
      </w:r>
      <w:r w:rsidR="00A16527">
        <w:rPr>
          <w:rFonts w:cs="Times New Roman"/>
          <w:color w:val="000000" w:themeColor="text1"/>
        </w:rPr>
        <w:t>[the sole remaining claim]</w:t>
      </w:r>
      <w:r w:rsidR="00255A56" w:rsidRPr="009236F9">
        <w:rPr>
          <w:rFonts w:cs="Times New Roman"/>
          <w:color w:val="000000" w:themeColor="text1"/>
        </w:rPr>
        <w:t xml:space="preserve">, independent of the technology covered by the now-invalid claims </w:t>
      </w:r>
      <w:r w:rsidR="00255A56">
        <w:rPr>
          <w:rFonts w:cs="Times New Roman"/>
          <w:color w:val="000000" w:themeColor="text1"/>
        </w:rPr>
        <w:t xml:space="preserve">[including </w:t>
      </w:r>
      <w:r w:rsidR="00A16527">
        <w:rPr>
          <w:rFonts w:cs="Times New Roman"/>
          <w:color w:val="000000" w:themeColor="text1"/>
        </w:rPr>
        <w:t xml:space="preserve">one on which </w:t>
      </w:r>
      <w:r w:rsidR="00BA1977">
        <w:rPr>
          <w:rFonts w:cs="Times New Roman"/>
          <w:color w:val="000000" w:themeColor="text1"/>
        </w:rPr>
        <w:t>the valid claim</w:t>
      </w:r>
      <w:r w:rsidR="00A16527">
        <w:rPr>
          <w:rFonts w:cs="Times New Roman"/>
          <w:color w:val="000000" w:themeColor="text1"/>
        </w:rPr>
        <w:t xml:space="preserve"> had depended</w:t>
      </w:r>
      <w:r w:rsidR="00255A56">
        <w:rPr>
          <w:rFonts w:cs="Times New Roman"/>
          <w:color w:val="000000" w:themeColor="text1"/>
        </w:rPr>
        <w:t>],</w:t>
      </w:r>
      <w:r w:rsidR="00255A56" w:rsidRPr="009236F9">
        <w:rPr>
          <w:rFonts w:cs="Times New Roman"/>
          <w:color w:val="000000" w:themeColor="text1"/>
        </w:rPr>
        <w:t xml:space="preserve"> was required to perform the surveys at issue</w:t>
      </w:r>
      <w:r w:rsidR="00255A56">
        <w:rPr>
          <w:rFonts w:cs="Times New Roman"/>
          <w:color w:val="000000" w:themeColor="text1"/>
        </w:rPr>
        <w:t>”</w:t>
      </w:r>
      <w:r w:rsidR="00A16527">
        <w:rPr>
          <w:rFonts w:cs="Times New Roman"/>
          <w:color w:val="000000" w:themeColor="text1"/>
        </w:rPr>
        <w:t>; if so,</w:t>
      </w:r>
      <w:r w:rsidR="00255A56">
        <w:rPr>
          <w:rFonts w:cs="Times New Roman"/>
          <w:color w:val="000000" w:themeColor="text1"/>
        </w:rPr>
        <w:t xml:space="preserve"> </w:t>
      </w:r>
      <w:r w:rsidR="00BA1977">
        <w:rPr>
          <w:rFonts w:cs="Times New Roman"/>
          <w:color w:val="000000" w:themeColor="text1"/>
        </w:rPr>
        <w:t>the district court</w:t>
      </w:r>
      <w:r w:rsidR="00255A56">
        <w:rPr>
          <w:rFonts w:cs="Times New Roman"/>
          <w:color w:val="000000" w:themeColor="text1"/>
        </w:rPr>
        <w:t xml:space="preserve"> </w:t>
      </w:r>
      <w:r w:rsidR="00255A56">
        <w:rPr>
          <w:rFonts w:cs="Times New Roman"/>
          <w:color w:val="000000" w:themeColor="text1"/>
        </w:rPr>
        <w:lastRenderedPageBreak/>
        <w:t>could sustain the awarded lost profits</w:t>
      </w:r>
      <w:r w:rsidR="00BA1977">
        <w:rPr>
          <w:rFonts w:cs="Times New Roman"/>
          <w:color w:val="000000" w:themeColor="text1"/>
        </w:rPr>
        <w:t xml:space="preserve">, </w:t>
      </w:r>
      <w:r w:rsidR="001C4C07">
        <w:rPr>
          <w:rFonts w:cs="Times New Roman"/>
          <w:color w:val="000000" w:themeColor="text1"/>
        </w:rPr>
        <w:t>and if not it could order a new</w:t>
      </w:r>
      <w:r w:rsidR="006B504C">
        <w:rPr>
          <w:rFonts w:cs="Times New Roman"/>
          <w:color w:val="000000" w:themeColor="text1"/>
        </w:rPr>
        <w:t xml:space="preserve"> </w:t>
      </w:r>
      <w:r w:rsidR="001C4C07">
        <w:rPr>
          <w:rFonts w:cs="Times New Roman"/>
          <w:color w:val="000000" w:themeColor="text1"/>
        </w:rPr>
        <w:t xml:space="preserve">trial on </w:t>
      </w:r>
      <w:r w:rsidR="00BA1977">
        <w:rPr>
          <w:rFonts w:cs="Times New Roman"/>
          <w:color w:val="000000" w:themeColor="text1"/>
        </w:rPr>
        <w:t>lost profits.</w:t>
      </w:r>
      <w:r w:rsidR="00255A56" w:rsidRPr="005A669A">
        <w:rPr>
          <w:rStyle w:val="FootnoteReference"/>
        </w:rPr>
        <w:footnoteReference w:id="671"/>
      </w:r>
    </w:p>
    <w:p w14:paraId="224D33E6" w14:textId="77777777" w:rsidR="009B027D" w:rsidRDefault="009B027D" w:rsidP="00136E52">
      <w:pPr>
        <w:pStyle w:val="Heading4"/>
      </w:pPr>
      <w:bookmarkStart w:id="81" w:name="_Toc26792800"/>
      <w:r>
        <w:t>Attorneys Fees</w:t>
      </w:r>
      <w:bookmarkEnd w:id="81"/>
    </w:p>
    <w:p w14:paraId="1BC62BE1" w14:textId="77777777" w:rsidR="009B027D" w:rsidRDefault="009B027D" w:rsidP="00136E52">
      <w:pPr>
        <w:pStyle w:val="Heading4"/>
      </w:pPr>
    </w:p>
    <w:p w14:paraId="1ECC8887" w14:textId="008C2723" w:rsidR="002742FA" w:rsidRPr="00677ABE" w:rsidRDefault="002742FA" w:rsidP="00136E52">
      <w:pPr>
        <w:pStyle w:val="Heading4"/>
      </w:pPr>
      <w:bookmarkStart w:id="82" w:name="_Toc26792801"/>
      <w:r w:rsidRPr="00A41813">
        <w:rPr>
          <w:i/>
        </w:rPr>
        <w:t>NantKwest, Inc.</w:t>
      </w:r>
      <w:r w:rsidR="00712C22" w:rsidRPr="00A41813">
        <w:rPr>
          <w:i/>
        </w:rPr>
        <w:t xml:space="preserve"> v. </w:t>
      </w:r>
      <w:r w:rsidRPr="00A41813">
        <w:rPr>
          <w:i/>
        </w:rPr>
        <w:t>Iancu</w:t>
      </w:r>
      <w:r w:rsidRPr="00677ABE">
        <w:t xml:space="preserve">, 898 F.3d 1177 (Fed. Cir. </w:t>
      </w:r>
      <w:r w:rsidR="002B3CF9" w:rsidRPr="00677ABE">
        <w:t>July </w:t>
      </w:r>
      <w:r w:rsidR="00D746DC" w:rsidRPr="00677ABE">
        <w:t>27, 2018) (en banc)</w:t>
      </w:r>
      <w:bookmarkEnd w:id="82"/>
    </w:p>
    <w:p w14:paraId="279E5BD7" w14:textId="10061D79" w:rsidR="002742FA" w:rsidRPr="00677ABE" w:rsidRDefault="002742FA" w:rsidP="00CA2C0A">
      <w:pPr>
        <w:rPr>
          <w:rFonts w:cs="Times New Roman"/>
          <w:color w:val="000000" w:themeColor="text1"/>
        </w:rPr>
      </w:pPr>
      <w:r w:rsidRPr="00677ABE">
        <w:rPr>
          <w:rFonts w:cs="Times New Roman"/>
          <w:b/>
          <w:color w:val="000000" w:themeColor="text1"/>
        </w:rPr>
        <w:tab/>
      </w:r>
      <w:r w:rsidRPr="00677ABE">
        <w:rPr>
          <w:rFonts w:cs="Times New Roman"/>
          <w:color w:val="000000" w:themeColor="text1"/>
        </w:rPr>
        <w:t xml:space="preserve">In this appeal from the Eastern District of Virginia, the Federal Circuit </w:t>
      </w:r>
      <w:r w:rsidR="00E34583" w:rsidRPr="00677ABE">
        <w:rPr>
          <w:rFonts w:cs="Times New Roman"/>
          <w:color w:val="000000" w:themeColor="text1"/>
        </w:rPr>
        <w:t>held</w:t>
      </w:r>
      <w:r w:rsidRPr="00677ABE">
        <w:rPr>
          <w:rFonts w:cs="Times New Roman"/>
          <w:color w:val="000000" w:themeColor="text1"/>
        </w:rPr>
        <w:t xml:space="preserve"> that the Patent and Trademark Office (“PTO”) must pay its own attorney fees for appeals brought by applicants to district courts under </w:t>
      </w:r>
      <w:r w:rsidR="00AC00E6">
        <w:rPr>
          <w:rFonts w:cs="Times New Roman"/>
          <w:color w:val="000000" w:themeColor="text1"/>
        </w:rPr>
        <w:t>§ </w:t>
      </w:r>
      <w:r w:rsidRPr="00677ABE">
        <w:rPr>
          <w:rFonts w:cs="Times New Roman"/>
          <w:color w:val="000000" w:themeColor="text1"/>
        </w:rPr>
        <w:t>145.</w:t>
      </w:r>
      <w:r w:rsidRPr="005A669A">
        <w:rPr>
          <w:rStyle w:val="FootnoteReference"/>
        </w:rPr>
        <w:footnoteReference w:id="672"/>
      </w:r>
      <w:r w:rsidRPr="00677ABE">
        <w:rPr>
          <w:rFonts w:cs="Times New Roman"/>
          <w:color w:val="000000" w:themeColor="text1"/>
        </w:rPr>
        <w:t xml:space="preserve"> </w:t>
      </w:r>
    </w:p>
    <w:p w14:paraId="5C3C46FE" w14:textId="37324F8C" w:rsidR="00897569" w:rsidRPr="00677ABE" w:rsidRDefault="002742FA" w:rsidP="00CA2C0A">
      <w:pPr>
        <w:rPr>
          <w:rFonts w:cs="Times New Roman"/>
          <w:color w:val="000000" w:themeColor="text1"/>
        </w:rPr>
      </w:pPr>
      <w:r w:rsidRPr="00677ABE">
        <w:rPr>
          <w:rFonts w:cs="Times New Roman"/>
          <w:color w:val="000000" w:themeColor="text1"/>
        </w:rPr>
        <w:tab/>
        <w:t xml:space="preserve">At the PTO, an examiner found NantKwest’s method to treat cancer unpatentable as obvious, </w:t>
      </w:r>
      <w:r w:rsidR="00897569" w:rsidRPr="00677ABE">
        <w:rPr>
          <w:rFonts w:cs="Times New Roman"/>
          <w:color w:val="000000" w:themeColor="text1"/>
        </w:rPr>
        <w:t>which</w:t>
      </w:r>
      <w:r w:rsidRPr="00677ABE">
        <w:rPr>
          <w:rFonts w:cs="Times New Roman"/>
          <w:color w:val="000000" w:themeColor="text1"/>
        </w:rPr>
        <w:t xml:space="preserve"> the Patent Trial and Appeals Board affirmed.</w:t>
      </w:r>
      <w:r w:rsidRPr="005A669A">
        <w:rPr>
          <w:rStyle w:val="FootnoteReference"/>
        </w:rPr>
        <w:footnoteReference w:id="673"/>
      </w:r>
      <w:r w:rsidRPr="00677ABE">
        <w:rPr>
          <w:rFonts w:cs="Times New Roman"/>
          <w:color w:val="000000" w:themeColor="text1"/>
        </w:rPr>
        <w:t xml:space="preserve"> NantKwest appealed under </w:t>
      </w:r>
      <w:r w:rsidR="00AC00E6">
        <w:rPr>
          <w:rFonts w:cs="Times New Roman"/>
          <w:color w:val="000000" w:themeColor="text1"/>
        </w:rPr>
        <w:t>§ </w:t>
      </w:r>
      <w:r w:rsidRPr="00677ABE">
        <w:rPr>
          <w:rFonts w:cs="Times New Roman"/>
          <w:color w:val="000000" w:themeColor="text1"/>
        </w:rPr>
        <w:t xml:space="preserve">145. Whereas appeals under </w:t>
      </w:r>
      <w:r w:rsidR="00AC00E6">
        <w:rPr>
          <w:rFonts w:cs="Times New Roman"/>
          <w:color w:val="000000" w:themeColor="text1"/>
        </w:rPr>
        <w:t>§ </w:t>
      </w:r>
      <w:r w:rsidRPr="00677ABE">
        <w:rPr>
          <w:rFonts w:cs="Times New Roman"/>
          <w:color w:val="000000" w:themeColor="text1"/>
        </w:rPr>
        <w:t xml:space="preserve">141 review PTO records and decisions per the Administrative Procedure Act, appeals under </w:t>
      </w:r>
      <w:r w:rsidR="00AC00E6">
        <w:rPr>
          <w:rFonts w:cs="Times New Roman"/>
          <w:color w:val="000000" w:themeColor="text1"/>
        </w:rPr>
        <w:t>§ </w:t>
      </w:r>
      <w:r w:rsidRPr="00677ABE">
        <w:rPr>
          <w:rFonts w:cs="Times New Roman"/>
          <w:color w:val="000000" w:themeColor="text1"/>
        </w:rPr>
        <w:t xml:space="preserve">145 are </w:t>
      </w:r>
      <w:r w:rsidRPr="00677ABE">
        <w:rPr>
          <w:rFonts w:cs="Times New Roman"/>
          <w:i/>
          <w:color w:val="000000" w:themeColor="text1"/>
        </w:rPr>
        <w:t xml:space="preserve">de novo </w:t>
      </w:r>
      <w:r w:rsidRPr="00677ABE">
        <w:rPr>
          <w:rFonts w:cs="Times New Roman"/>
          <w:color w:val="000000" w:themeColor="text1"/>
        </w:rPr>
        <w:t>inquiries that may use new evidence to challenge PTO decisions.</w:t>
      </w:r>
      <w:r w:rsidRPr="005A669A">
        <w:rPr>
          <w:rStyle w:val="FootnoteReference"/>
        </w:rPr>
        <w:footnoteReference w:id="674"/>
      </w:r>
      <w:r w:rsidRPr="00677ABE">
        <w:rPr>
          <w:rFonts w:cs="Times New Roman"/>
          <w:color w:val="000000" w:themeColor="text1"/>
        </w:rPr>
        <w:t xml:space="preserve"> In exchange for robust review, the applicant must pay “[a]ll the expenses” of both parties.</w:t>
      </w:r>
      <w:r w:rsidRPr="005A669A">
        <w:rPr>
          <w:rStyle w:val="FootnoteReference"/>
        </w:rPr>
        <w:footnoteReference w:id="675"/>
      </w:r>
      <w:r w:rsidRPr="00677ABE">
        <w:rPr>
          <w:rFonts w:cs="Times New Roman"/>
          <w:color w:val="000000" w:themeColor="text1"/>
        </w:rPr>
        <w:t xml:space="preserve"> At the </w:t>
      </w:r>
      <w:r w:rsidR="00AC00E6">
        <w:rPr>
          <w:rFonts w:cs="Times New Roman"/>
          <w:color w:val="000000" w:themeColor="text1"/>
        </w:rPr>
        <w:t>§ </w:t>
      </w:r>
      <w:r w:rsidRPr="00677ABE">
        <w:rPr>
          <w:rFonts w:cs="Times New Roman"/>
          <w:color w:val="000000" w:themeColor="text1"/>
        </w:rPr>
        <w:t xml:space="preserve">145 appeal, the PTO won on summary judgment, then moved </w:t>
      </w:r>
      <w:r w:rsidR="00897569" w:rsidRPr="00677ABE">
        <w:rPr>
          <w:rFonts w:cs="Times New Roman"/>
          <w:color w:val="000000" w:themeColor="text1"/>
        </w:rPr>
        <w:t>for</w:t>
      </w:r>
      <w:r w:rsidRPr="00677ABE">
        <w:rPr>
          <w:rFonts w:cs="Times New Roman"/>
          <w:color w:val="000000" w:themeColor="text1"/>
        </w:rPr>
        <w:t xml:space="preserve"> expenses; for the first time in history, the PTO requested that attorney fees be included.</w:t>
      </w:r>
      <w:r w:rsidRPr="005A669A">
        <w:rPr>
          <w:rStyle w:val="FootnoteReference"/>
        </w:rPr>
        <w:footnoteReference w:id="676"/>
      </w:r>
      <w:r w:rsidRPr="00677ABE">
        <w:rPr>
          <w:rFonts w:cs="Times New Roman"/>
          <w:color w:val="000000" w:themeColor="text1"/>
        </w:rPr>
        <w:t xml:space="preserve"> The district court found attorney fees were not covered under </w:t>
      </w:r>
      <w:r w:rsidR="00AC00E6">
        <w:rPr>
          <w:rFonts w:cs="Times New Roman"/>
          <w:color w:val="000000" w:themeColor="text1"/>
        </w:rPr>
        <w:t>§ </w:t>
      </w:r>
      <w:r w:rsidRPr="00677ABE">
        <w:rPr>
          <w:rFonts w:cs="Times New Roman"/>
          <w:color w:val="000000" w:themeColor="text1"/>
        </w:rPr>
        <w:t>145.</w:t>
      </w:r>
      <w:r w:rsidRPr="005A669A">
        <w:rPr>
          <w:rStyle w:val="FootnoteReference"/>
        </w:rPr>
        <w:footnoteReference w:id="677"/>
      </w:r>
      <w:r w:rsidRPr="00677ABE">
        <w:rPr>
          <w:rFonts w:cs="Times New Roman"/>
          <w:color w:val="000000" w:themeColor="text1"/>
        </w:rPr>
        <w:t xml:space="preserve"> </w:t>
      </w:r>
    </w:p>
    <w:p w14:paraId="299FA938" w14:textId="68048C77" w:rsidR="00897569" w:rsidRPr="00677ABE" w:rsidRDefault="002742FA" w:rsidP="00CA2C0A">
      <w:pPr>
        <w:ind w:firstLine="720"/>
        <w:rPr>
          <w:rFonts w:cs="Times New Roman"/>
          <w:color w:val="000000" w:themeColor="text1"/>
        </w:rPr>
      </w:pPr>
      <w:r w:rsidRPr="00677ABE">
        <w:rPr>
          <w:rFonts w:cs="Times New Roman"/>
          <w:color w:val="000000" w:themeColor="text1"/>
        </w:rPr>
        <w:t>On appeal, a divided panel of the Federal Circuit reversed</w:t>
      </w:r>
      <w:r w:rsidR="00235767" w:rsidRPr="00677ABE">
        <w:rPr>
          <w:rFonts w:cs="Times New Roman"/>
          <w:color w:val="000000" w:themeColor="text1"/>
        </w:rPr>
        <w:t>, but—</w:t>
      </w:r>
      <w:r w:rsidRPr="00677ABE">
        <w:rPr>
          <w:rFonts w:cs="Times New Roman"/>
          <w:color w:val="000000" w:themeColor="text1"/>
        </w:rPr>
        <w:t xml:space="preserve">voting </w:t>
      </w:r>
      <w:r w:rsidRPr="00677ABE">
        <w:rPr>
          <w:rFonts w:cs="Times New Roman"/>
          <w:i/>
          <w:color w:val="000000" w:themeColor="text1"/>
        </w:rPr>
        <w:t xml:space="preserve">sua sponte </w:t>
      </w:r>
      <w:r w:rsidRPr="00677ABE">
        <w:rPr>
          <w:rFonts w:cs="Times New Roman"/>
          <w:color w:val="000000" w:themeColor="text1"/>
        </w:rPr>
        <w:t>to rehear the matter</w:t>
      </w:r>
      <w:r w:rsidR="00235767" w:rsidRPr="00677ABE">
        <w:rPr>
          <w:rFonts w:cs="Times New Roman"/>
          <w:color w:val="000000" w:themeColor="text1"/>
        </w:rPr>
        <w:t xml:space="preserve"> </w:t>
      </w:r>
      <w:r w:rsidR="00235767" w:rsidRPr="00677ABE">
        <w:rPr>
          <w:rFonts w:cs="Times New Roman"/>
          <w:i/>
          <w:color w:val="000000" w:themeColor="text1"/>
        </w:rPr>
        <w:t>en banc</w:t>
      </w:r>
      <w:r w:rsidR="00235767" w:rsidRPr="00677ABE">
        <w:rPr>
          <w:rFonts w:cs="Times New Roman"/>
          <w:color w:val="000000" w:themeColor="text1"/>
        </w:rPr>
        <w:t>—a</w:t>
      </w:r>
      <w:r w:rsidRPr="00677ABE">
        <w:rPr>
          <w:rFonts w:cs="Times New Roman"/>
          <w:color w:val="000000" w:themeColor="text1"/>
        </w:rPr>
        <w:t xml:space="preserve"> majority </w:t>
      </w:r>
      <w:r w:rsidR="00235767" w:rsidRPr="00677ABE">
        <w:rPr>
          <w:rFonts w:cs="Times New Roman"/>
          <w:color w:val="000000" w:themeColor="text1"/>
        </w:rPr>
        <w:t xml:space="preserve">of the full court </w:t>
      </w:r>
      <w:r w:rsidRPr="00677ABE">
        <w:rPr>
          <w:rFonts w:cs="Times New Roman"/>
          <w:color w:val="000000" w:themeColor="text1"/>
        </w:rPr>
        <w:t>affirmed the district</w:t>
      </w:r>
      <w:r w:rsidR="00235767" w:rsidRPr="00677ABE">
        <w:rPr>
          <w:rFonts w:cs="Times New Roman"/>
          <w:color w:val="000000" w:themeColor="text1"/>
        </w:rPr>
        <w:t xml:space="preserve"> decision</w:t>
      </w:r>
      <w:r w:rsidRPr="00677ABE">
        <w:rPr>
          <w:rFonts w:cs="Times New Roman"/>
          <w:color w:val="000000" w:themeColor="text1"/>
        </w:rPr>
        <w:t>.</w:t>
      </w:r>
      <w:r w:rsidRPr="005A669A">
        <w:rPr>
          <w:rStyle w:val="FootnoteReference"/>
        </w:rPr>
        <w:footnoteReference w:id="678"/>
      </w:r>
      <w:r w:rsidRPr="00677ABE">
        <w:rPr>
          <w:rFonts w:cs="Times New Roman"/>
          <w:color w:val="000000" w:themeColor="text1"/>
        </w:rPr>
        <w:t xml:space="preserve"> The </w:t>
      </w:r>
      <w:r w:rsidR="00235767" w:rsidRPr="00677ABE">
        <w:rPr>
          <w:rFonts w:cs="Times New Roman"/>
          <w:color w:val="000000" w:themeColor="text1"/>
        </w:rPr>
        <w:t>opinions</w:t>
      </w:r>
      <w:r w:rsidRPr="00677ABE">
        <w:rPr>
          <w:rFonts w:cs="Times New Roman"/>
          <w:color w:val="000000" w:themeColor="text1"/>
        </w:rPr>
        <w:t xml:space="preserve"> </w:t>
      </w:r>
      <w:r w:rsidR="00406636" w:rsidRPr="00677ABE">
        <w:rPr>
          <w:rFonts w:cs="Times New Roman"/>
          <w:color w:val="000000" w:themeColor="text1"/>
        </w:rPr>
        <w:t>can be read to turn</w:t>
      </w:r>
      <w:r w:rsidRPr="00677ABE">
        <w:rPr>
          <w:rFonts w:cs="Times New Roman"/>
          <w:color w:val="000000" w:themeColor="text1"/>
        </w:rPr>
        <w:t xml:space="preserve"> first on whether a system wherein the appealing party always pays both sides’ attorneys’ fees contradicts the American Rule, and second, if so, whether Congress was sufficiently “clear and explicit” in drafting </w:t>
      </w:r>
      <w:r w:rsidR="00AC00E6">
        <w:rPr>
          <w:rFonts w:cs="Times New Roman"/>
          <w:color w:val="000000" w:themeColor="text1"/>
        </w:rPr>
        <w:t>§ </w:t>
      </w:r>
      <w:r w:rsidRPr="00677ABE">
        <w:rPr>
          <w:rFonts w:cs="Times New Roman"/>
          <w:color w:val="000000" w:themeColor="text1"/>
        </w:rPr>
        <w:t xml:space="preserve">145 to </w:t>
      </w:r>
      <w:r w:rsidR="00AA2D64" w:rsidRPr="00677ABE">
        <w:rPr>
          <w:rFonts w:cs="Times New Roman"/>
          <w:color w:val="000000" w:themeColor="text1"/>
        </w:rPr>
        <w:t>create and permit</w:t>
      </w:r>
      <w:r w:rsidRPr="00677ABE">
        <w:rPr>
          <w:rFonts w:cs="Times New Roman"/>
          <w:color w:val="000000" w:themeColor="text1"/>
        </w:rPr>
        <w:t xml:space="preserve"> such a system here. </w:t>
      </w:r>
    </w:p>
    <w:p w14:paraId="45A61298" w14:textId="7C0ACDBE" w:rsidR="002742FA" w:rsidRPr="00677ABE" w:rsidRDefault="002742FA" w:rsidP="00CA2C0A">
      <w:pPr>
        <w:ind w:firstLine="720"/>
        <w:rPr>
          <w:rFonts w:cs="Times New Roman"/>
          <w:color w:val="000000" w:themeColor="text1"/>
        </w:rPr>
      </w:pPr>
      <w:r w:rsidRPr="00677ABE">
        <w:rPr>
          <w:rFonts w:cs="Times New Roman"/>
          <w:color w:val="000000" w:themeColor="text1"/>
        </w:rPr>
        <w:t xml:space="preserve">On the first point, the </w:t>
      </w:r>
      <w:r w:rsidRPr="00677ABE">
        <w:rPr>
          <w:rFonts w:cs="Times New Roman"/>
          <w:i/>
          <w:color w:val="000000" w:themeColor="text1"/>
        </w:rPr>
        <w:t xml:space="preserve">en banc </w:t>
      </w:r>
      <w:r w:rsidRPr="00677ABE">
        <w:rPr>
          <w:rFonts w:cs="Times New Roman"/>
          <w:color w:val="000000" w:themeColor="text1"/>
        </w:rPr>
        <w:t xml:space="preserve">decision held that the American Rule is violated whenever a party does not pay its own legal fees. </w:t>
      </w:r>
      <w:r w:rsidR="00406636" w:rsidRPr="00677ABE">
        <w:rPr>
          <w:rFonts w:cs="Times New Roman"/>
          <w:color w:val="000000" w:themeColor="text1"/>
        </w:rPr>
        <w:t>The American Rule that</w:t>
      </w:r>
      <w:r w:rsidRPr="00677ABE">
        <w:rPr>
          <w:rFonts w:cs="Times New Roman"/>
          <w:color w:val="000000" w:themeColor="text1"/>
        </w:rPr>
        <w:t xml:space="preserve"> each litigant</w:t>
      </w:r>
      <w:r w:rsidR="00406636" w:rsidRPr="00677ABE">
        <w:rPr>
          <w:rFonts w:cs="Times New Roman"/>
          <w:color w:val="000000" w:themeColor="text1"/>
        </w:rPr>
        <w:t xml:space="preserve"> pays its own fees, win or lose,</w:t>
      </w:r>
      <w:r w:rsidR="00AA2D64" w:rsidRPr="00677ABE">
        <w:rPr>
          <w:rFonts w:cs="Times New Roman"/>
          <w:color w:val="000000" w:themeColor="text1"/>
        </w:rPr>
        <w:t xml:space="preserve"> </w:t>
      </w:r>
      <w:r w:rsidRPr="00677ABE">
        <w:rPr>
          <w:rFonts w:cs="Times New Roman"/>
          <w:color w:val="000000" w:themeColor="text1"/>
        </w:rPr>
        <w:t>is a “bedrock principle” that “the Supreme Court has held . . . presumptively applies and any statutory deviations from it must be ‘specific and explicit.’”</w:t>
      </w:r>
      <w:r w:rsidRPr="005A669A">
        <w:rPr>
          <w:rStyle w:val="FootnoteReference"/>
        </w:rPr>
        <w:footnoteReference w:id="679"/>
      </w:r>
      <w:r w:rsidRPr="00677ABE">
        <w:rPr>
          <w:rFonts w:cs="Times New Roman"/>
          <w:color w:val="000000" w:themeColor="text1"/>
        </w:rPr>
        <w:t xml:space="preserve"> In contrast, the dissent (and the earlier panel’s majority) would have held that the American Rule is only broken when a statute requires the losing party to pay, as the Fourth Circuit </w:t>
      </w:r>
      <w:r w:rsidR="00AA2D64" w:rsidRPr="00677ABE">
        <w:rPr>
          <w:rFonts w:cs="Times New Roman"/>
          <w:color w:val="000000" w:themeColor="text1"/>
        </w:rPr>
        <w:t xml:space="preserve">had </w:t>
      </w:r>
      <w:r w:rsidRPr="00677ABE">
        <w:rPr>
          <w:rFonts w:cs="Times New Roman"/>
          <w:color w:val="000000" w:themeColor="text1"/>
        </w:rPr>
        <w:t xml:space="preserve">reasoned when interpreting a trademark statute in </w:t>
      </w:r>
      <w:r w:rsidRPr="00677ABE">
        <w:rPr>
          <w:rFonts w:cs="Times New Roman"/>
          <w:i/>
          <w:color w:val="000000" w:themeColor="text1"/>
        </w:rPr>
        <w:t>Shammas</w:t>
      </w:r>
      <w:r w:rsidRPr="00677ABE">
        <w:rPr>
          <w:rFonts w:cs="Times New Roman"/>
          <w:color w:val="000000" w:themeColor="text1"/>
        </w:rPr>
        <w:t>.</w:t>
      </w:r>
      <w:r w:rsidRPr="005A669A">
        <w:rPr>
          <w:rStyle w:val="FootnoteReference"/>
        </w:rPr>
        <w:footnoteReference w:id="680"/>
      </w:r>
      <w:r w:rsidRPr="00677ABE">
        <w:rPr>
          <w:rFonts w:cs="Times New Roman"/>
          <w:color w:val="000000" w:themeColor="text1"/>
        </w:rPr>
        <w:t xml:space="preserve"> </w:t>
      </w:r>
    </w:p>
    <w:p w14:paraId="0572196F" w14:textId="21806C59" w:rsidR="00FD12D9" w:rsidRPr="00677ABE" w:rsidRDefault="002742FA" w:rsidP="005F3677">
      <w:pPr>
        <w:ind w:firstLine="720"/>
        <w:rPr>
          <w:rFonts w:cs="Times New Roman"/>
        </w:rPr>
      </w:pPr>
      <w:r w:rsidRPr="00677ABE">
        <w:rPr>
          <w:rFonts w:cs="Times New Roman"/>
        </w:rPr>
        <w:t xml:space="preserve">On the second point, given the American Rule applied and was violated, the Federal Circuit held that the statute did not meet the stringent “specific and explicit” </w:t>
      </w:r>
      <w:r w:rsidRPr="00677ABE">
        <w:rPr>
          <w:rFonts w:cs="Times New Roman"/>
        </w:rPr>
        <w:lastRenderedPageBreak/>
        <w:t>standard to be a congressionally permitted exception. While no “magic words” are needed,</w:t>
      </w:r>
      <w:r w:rsidRPr="005A669A">
        <w:rPr>
          <w:rStyle w:val="FootnoteReference"/>
        </w:rPr>
        <w:footnoteReference w:id="681"/>
      </w:r>
      <w:r w:rsidRPr="00677ABE">
        <w:rPr>
          <w:rFonts w:cs="Times New Roman"/>
        </w:rPr>
        <w:t xml:space="preserve"> the Supreme Court has rejected “statutory language that might, to a layperson, seem broad enough to cover attorneys’ fees . . . .”</w:t>
      </w:r>
      <w:r w:rsidRPr="005A669A">
        <w:rPr>
          <w:rStyle w:val="FootnoteReference"/>
        </w:rPr>
        <w:footnoteReference w:id="682"/>
      </w:r>
      <w:r w:rsidR="00406636" w:rsidRPr="00677ABE">
        <w:rPr>
          <w:rFonts w:cs="Times New Roman"/>
        </w:rPr>
        <w:t xml:space="preserve"> One</w:t>
      </w:r>
      <w:r w:rsidRPr="00677ABE">
        <w:rPr>
          <w:rFonts w:cs="Times New Roman"/>
        </w:rPr>
        <w:t xml:space="preserve"> permitted exception, for example, </w:t>
      </w:r>
      <w:r w:rsidR="00406636" w:rsidRPr="00677ABE">
        <w:rPr>
          <w:rFonts w:cs="Times New Roman"/>
        </w:rPr>
        <w:t>is a statute directing</w:t>
      </w:r>
      <w:r w:rsidRPr="00677ABE">
        <w:rPr>
          <w:rFonts w:cs="Times New Roman"/>
        </w:rPr>
        <w:t xml:space="preserve"> a court to “award[] to a prevailing party . . . fees and other expenses.”</w:t>
      </w:r>
      <w:r w:rsidRPr="005A669A">
        <w:rPr>
          <w:rStyle w:val="FootnoteReference"/>
        </w:rPr>
        <w:footnoteReference w:id="683"/>
      </w:r>
      <w:r w:rsidRPr="00677ABE">
        <w:rPr>
          <w:rFonts w:cs="Times New Roman"/>
        </w:rPr>
        <w:t xml:space="preserve"> Here, the term “expenses” was held to be</w:t>
      </w:r>
      <w:r w:rsidR="005D052E" w:rsidRPr="00677ABE">
        <w:rPr>
          <w:rFonts w:cs="Times New Roman"/>
        </w:rPr>
        <w:t xml:space="preserve"> in</w:t>
      </w:r>
      <w:r w:rsidRPr="00677ABE">
        <w:rPr>
          <w:rFonts w:cs="Times New Roman"/>
        </w:rPr>
        <w:t>sufficiently explicit to cover “attorneys’ fees.” The majority supported this decision by drawing upon 170 years of understanding and practice,</w:t>
      </w:r>
      <w:r w:rsidRPr="005A669A">
        <w:rPr>
          <w:rStyle w:val="FootnoteReference"/>
        </w:rPr>
        <w:footnoteReference w:id="684"/>
      </w:r>
      <w:r w:rsidRPr="00677ABE">
        <w:rPr>
          <w:rFonts w:cs="Times New Roman"/>
        </w:rPr>
        <w:t xml:space="preserve"> </w:t>
      </w:r>
      <w:r w:rsidR="00406636" w:rsidRPr="00677ABE">
        <w:rPr>
          <w:rFonts w:cs="Times New Roman"/>
        </w:rPr>
        <w:t>historic</w:t>
      </w:r>
      <w:r w:rsidRPr="00677ABE">
        <w:rPr>
          <w:rFonts w:cs="Times New Roman"/>
        </w:rPr>
        <w:t xml:space="preserve"> dictionaries,</w:t>
      </w:r>
      <w:r w:rsidRPr="005A669A">
        <w:rPr>
          <w:rStyle w:val="FootnoteReference"/>
        </w:rPr>
        <w:footnoteReference w:id="685"/>
      </w:r>
      <w:r w:rsidRPr="00677ABE">
        <w:rPr>
          <w:rFonts w:cs="Times New Roman"/>
        </w:rPr>
        <w:t xml:space="preserve"> comparisons between this and other areas of the Patent Act,</w:t>
      </w:r>
      <w:r w:rsidRPr="005A669A">
        <w:rPr>
          <w:rStyle w:val="FootnoteReference"/>
        </w:rPr>
        <w:footnoteReference w:id="686"/>
      </w:r>
      <w:r w:rsidRPr="00677ABE">
        <w:rPr>
          <w:rFonts w:cs="Times New Roman"/>
        </w:rPr>
        <w:t xml:space="preserve"> comparisons between this and other statutes (which again treat attorneys’ fees as distinct from expenses or else as a component of expenses deserving explicit mention),</w:t>
      </w:r>
      <w:r w:rsidRPr="005A669A">
        <w:rPr>
          <w:rStyle w:val="FootnoteReference"/>
        </w:rPr>
        <w:footnoteReference w:id="687"/>
      </w:r>
      <w:r w:rsidRPr="00677ABE">
        <w:rPr>
          <w:rFonts w:cs="Times New Roman"/>
        </w:rPr>
        <w:t xml:space="preserve"> and other judicial decisions</w:t>
      </w:r>
      <w:r w:rsidR="0038054B" w:rsidRPr="00677ABE">
        <w:rPr>
          <w:rFonts w:cs="Times New Roman"/>
        </w:rPr>
        <w:t>.</w:t>
      </w:r>
      <w:r w:rsidRPr="005A669A">
        <w:rPr>
          <w:rStyle w:val="FootnoteReference"/>
        </w:rPr>
        <w:footnoteReference w:id="688"/>
      </w:r>
      <w:r w:rsidR="0038054B" w:rsidRPr="00677ABE">
        <w:rPr>
          <w:rFonts w:cs="Times New Roman"/>
        </w:rPr>
        <w:t xml:space="preserve"> It said the dissent’s reading of past decisions failed to appreciate distinguishing details</w:t>
      </w:r>
      <w:r w:rsidRPr="00677ABE">
        <w:rPr>
          <w:rFonts w:cs="Times New Roman"/>
        </w:rPr>
        <w:t>,</w:t>
      </w:r>
      <w:r w:rsidRPr="005A669A">
        <w:rPr>
          <w:rStyle w:val="FootnoteReference"/>
        </w:rPr>
        <w:footnoteReference w:id="689"/>
      </w:r>
      <w:r w:rsidRPr="00677ABE">
        <w:rPr>
          <w:rFonts w:cs="Times New Roman"/>
        </w:rPr>
        <w:t xml:space="preserve"> and that its reading of legislative history was </w:t>
      </w:r>
      <w:r w:rsidR="00262854" w:rsidRPr="00677ABE">
        <w:rPr>
          <w:rFonts w:cs="Times New Roman"/>
        </w:rPr>
        <w:t xml:space="preserve">not only inaccurate but </w:t>
      </w:r>
      <w:r w:rsidRPr="00677ABE">
        <w:rPr>
          <w:rFonts w:cs="Times New Roman"/>
        </w:rPr>
        <w:t>inappropriate</w:t>
      </w:r>
      <w:r w:rsidR="00262854" w:rsidRPr="00677ABE">
        <w:rPr>
          <w:rFonts w:cs="Times New Roman"/>
        </w:rPr>
        <w:t>,</w:t>
      </w:r>
      <w:r w:rsidRPr="00677ABE">
        <w:rPr>
          <w:rFonts w:cs="Times New Roman"/>
        </w:rPr>
        <w:t xml:space="preserve"> given the standard requires </w:t>
      </w:r>
      <w:r w:rsidR="00262854" w:rsidRPr="00677ABE">
        <w:rPr>
          <w:rFonts w:cs="Times New Roman"/>
        </w:rPr>
        <w:t>clear intent o</w:t>
      </w:r>
      <w:r w:rsidRPr="00677ABE">
        <w:rPr>
          <w:rFonts w:cs="Times New Roman"/>
        </w:rPr>
        <w:t xml:space="preserve">n </w:t>
      </w:r>
      <w:r w:rsidR="005D052E" w:rsidRPr="00677ABE">
        <w:rPr>
          <w:rFonts w:cs="Times New Roman"/>
        </w:rPr>
        <w:t>the statute’s</w:t>
      </w:r>
      <w:r w:rsidRPr="00677ABE">
        <w:rPr>
          <w:rFonts w:cs="Times New Roman"/>
        </w:rPr>
        <w:t xml:space="preserve"> face.</w:t>
      </w:r>
      <w:r w:rsidRPr="005A669A">
        <w:rPr>
          <w:rStyle w:val="FootnoteReference"/>
        </w:rPr>
        <w:footnoteReference w:id="690"/>
      </w:r>
      <w:r w:rsidRPr="00677ABE">
        <w:rPr>
          <w:rFonts w:cs="Times New Roman"/>
        </w:rPr>
        <w:t xml:space="preserve"> </w:t>
      </w:r>
    </w:p>
    <w:p w14:paraId="7BF78499" w14:textId="0FDF89A3" w:rsidR="002742FA" w:rsidRDefault="002742FA" w:rsidP="00CA2C0A">
      <w:pPr>
        <w:pStyle w:val="NormalWeb"/>
        <w:shd w:val="clear" w:color="auto" w:fill="FFFFFF"/>
        <w:spacing w:before="0" w:beforeAutospacing="0" w:after="0" w:afterAutospacing="0"/>
        <w:ind w:firstLine="720"/>
        <w:rPr>
          <w:color w:val="000000" w:themeColor="text1"/>
        </w:rPr>
      </w:pPr>
      <w:r w:rsidRPr="00677ABE">
        <w:rPr>
          <w:color w:val="000000" w:themeColor="text1"/>
        </w:rPr>
        <w:t xml:space="preserve">Finally, the majority rejected policy arguments that </w:t>
      </w:r>
      <w:r w:rsidR="00AC00E6">
        <w:rPr>
          <w:color w:val="000000" w:themeColor="text1"/>
        </w:rPr>
        <w:t>§ </w:t>
      </w:r>
      <w:r w:rsidRPr="00677ABE">
        <w:rPr>
          <w:color w:val="000000" w:themeColor="text1"/>
        </w:rPr>
        <w:t>145 suits create costs that all patent applicants bear, determining these costs to be small and the fairness of allocati</w:t>
      </w:r>
      <w:r w:rsidR="00262854" w:rsidRPr="00677ABE">
        <w:rPr>
          <w:color w:val="000000" w:themeColor="text1"/>
        </w:rPr>
        <w:t xml:space="preserve">ng them better left to Congress, </w:t>
      </w:r>
      <w:r w:rsidRPr="00677ABE">
        <w:rPr>
          <w:color w:val="000000" w:themeColor="text1"/>
        </w:rPr>
        <w:t xml:space="preserve">which recently rebuffed </w:t>
      </w:r>
      <w:r w:rsidR="00FD12D9" w:rsidRPr="00677ABE">
        <w:rPr>
          <w:color w:val="000000" w:themeColor="text1"/>
        </w:rPr>
        <w:t xml:space="preserve">a </w:t>
      </w:r>
      <w:r w:rsidR="00AC00E6">
        <w:rPr>
          <w:color w:val="000000" w:themeColor="text1"/>
        </w:rPr>
        <w:t>§ </w:t>
      </w:r>
      <w:r w:rsidR="00FD12D9" w:rsidRPr="00677ABE">
        <w:rPr>
          <w:color w:val="000000" w:themeColor="text1"/>
        </w:rPr>
        <w:t>145 repeal</w:t>
      </w:r>
      <w:r w:rsidRPr="00677ABE">
        <w:rPr>
          <w:color w:val="000000" w:themeColor="text1"/>
        </w:rPr>
        <w:t xml:space="preserve"> effort.</w:t>
      </w:r>
      <w:r w:rsidRPr="005A669A">
        <w:rPr>
          <w:rStyle w:val="FootnoteReference"/>
        </w:rPr>
        <w:footnoteReference w:id="691"/>
      </w:r>
    </w:p>
    <w:p w14:paraId="0DAFFBA6" w14:textId="562C7AEA" w:rsidR="00584AA3" w:rsidRPr="00F3220C" w:rsidRDefault="00584AA3" w:rsidP="008C131D">
      <w:pPr>
        <w:pStyle w:val="NormalWeb"/>
        <w:shd w:val="clear" w:color="auto" w:fill="FFFFFF"/>
        <w:ind w:firstLine="720"/>
        <w:rPr>
          <w:color w:val="000000" w:themeColor="text1"/>
        </w:rPr>
      </w:pPr>
      <w:r>
        <w:rPr>
          <w:color w:val="000000" w:themeColor="text1"/>
        </w:rPr>
        <w:t>The Supreme Court granted certiorari on March 4, 2019</w:t>
      </w:r>
      <w:r w:rsidR="009B027D">
        <w:rPr>
          <w:color w:val="000000" w:themeColor="text1"/>
        </w:rPr>
        <w:t>.  Oral argument was held in October 2019, and a decision is expected by June.</w:t>
      </w:r>
    </w:p>
    <w:p w14:paraId="6B49677C" w14:textId="77777777" w:rsidR="002416A7" w:rsidRDefault="002416A7" w:rsidP="00CA2C0A">
      <w:pPr>
        <w:rPr>
          <w:rFonts w:eastAsiaTheme="majorEastAsia" w:cs="Times New Roman"/>
          <w:b/>
          <w:bCs/>
        </w:rPr>
      </w:pPr>
      <w:r>
        <w:rPr>
          <w:rFonts w:cs="Times New Roman"/>
        </w:rPr>
        <w:br w:type="page"/>
      </w:r>
    </w:p>
    <w:p w14:paraId="5A283E35" w14:textId="77777777" w:rsidR="00F20B84" w:rsidRDefault="007D0629" w:rsidP="00CA2C0A">
      <w:pPr>
        <w:pStyle w:val="Heading1"/>
        <w:rPr>
          <w:rFonts w:cs="Times New Roman"/>
          <w:szCs w:val="24"/>
        </w:rPr>
      </w:pPr>
      <w:bookmarkStart w:id="83" w:name="_Toc26792802"/>
      <w:r w:rsidRPr="00677ABE">
        <w:rPr>
          <w:rFonts w:cs="Times New Roman"/>
          <w:szCs w:val="24"/>
        </w:rPr>
        <w:lastRenderedPageBreak/>
        <w:t>PRACTICE AND PROCEDURE</w:t>
      </w:r>
      <w:bookmarkEnd w:id="83"/>
    </w:p>
    <w:p w14:paraId="5A830837" w14:textId="4F102612" w:rsidR="00CD0984" w:rsidRDefault="00CD0984" w:rsidP="00CA2C0A">
      <w:pPr>
        <w:pStyle w:val="Heading2"/>
        <w:rPr>
          <w:rFonts w:cs="Times New Roman"/>
          <w:szCs w:val="24"/>
        </w:rPr>
      </w:pPr>
      <w:bookmarkStart w:id="84" w:name="_Toc26792803"/>
      <w:r>
        <w:rPr>
          <w:rFonts w:cs="Times New Roman"/>
          <w:szCs w:val="24"/>
        </w:rPr>
        <w:t>Forum Selection / Governing Law Clauses in License Agreements</w:t>
      </w:r>
      <w:bookmarkEnd w:id="84"/>
    </w:p>
    <w:p w14:paraId="40C261AD" w14:textId="77777777" w:rsidR="00CD0984" w:rsidRPr="00933F71" w:rsidRDefault="00CD0984" w:rsidP="00CD0984">
      <w:pPr>
        <w:pStyle w:val="Heading4"/>
      </w:pPr>
      <w:bookmarkStart w:id="85" w:name="_Toc26792804"/>
      <w:r>
        <w:rPr>
          <w:i/>
        </w:rPr>
        <w:t>Dodocase VR, Inc. v. MerchSource, LLC</w:t>
      </w:r>
      <w:r>
        <w:t>, No. 2018-1724, 2019 WL 1758481 (Fed. Cir. Apr. 18, 2019)</w:t>
      </w:r>
      <w:bookmarkEnd w:id="85"/>
    </w:p>
    <w:p w14:paraId="7C29EE07" w14:textId="66CD9843" w:rsidR="00CD0984" w:rsidRDefault="00CD0984" w:rsidP="00CD0984">
      <w:pPr>
        <w:ind w:firstLine="720"/>
        <w:rPr>
          <w:rFonts w:cs="Times New Roman"/>
        </w:rPr>
      </w:pPr>
      <w:r>
        <w:rPr>
          <w:rFonts w:cs="Times New Roman"/>
        </w:rPr>
        <w:t xml:space="preserve">In this case from the Northern District of California, the Federal Circuit affirmed an injunction </w:t>
      </w:r>
      <w:r w:rsidR="00351734">
        <w:rPr>
          <w:rFonts w:cs="Times New Roman"/>
        </w:rPr>
        <w:t>applying a</w:t>
      </w:r>
      <w:r>
        <w:rPr>
          <w:rFonts w:cs="Times New Roman"/>
        </w:rPr>
        <w:t xml:space="preserve"> licensing agreement’s forum selection clause</w:t>
      </w:r>
      <w:r w:rsidR="00351734">
        <w:rPr>
          <w:rFonts w:cs="Times New Roman"/>
        </w:rPr>
        <w:t xml:space="preserve"> to IPRs even though it was silent on that question</w:t>
      </w:r>
      <w:r>
        <w:rPr>
          <w:rFonts w:cs="Times New Roman"/>
        </w:rPr>
        <w:t xml:space="preserve"> and so </w:t>
      </w:r>
      <w:r w:rsidR="0029253F">
        <w:rPr>
          <w:rFonts w:cs="Times New Roman"/>
        </w:rPr>
        <w:t>enjoining</w:t>
      </w:r>
      <w:r>
        <w:rPr>
          <w:rFonts w:cs="Times New Roman"/>
        </w:rPr>
        <w:t xml:space="preserve"> proceedings at the Patent Trial and Appeal Board (“PTAB”).</w:t>
      </w:r>
      <w:r w:rsidRPr="005A669A">
        <w:rPr>
          <w:rStyle w:val="FootnoteReference"/>
        </w:rPr>
        <w:footnoteReference w:id="692"/>
      </w:r>
      <w:r>
        <w:rPr>
          <w:rFonts w:cs="Times New Roman"/>
        </w:rPr>
        <w:t xml:space="preserve">  </w:t>
      </w:r>
    </w:p>
    <w:p w14:paraId="6F9D8DFB" w14:textId="446AA345" w:rsidR="00CD0984" w:rsidRDefault="00CD0984" w:rsidP="00CD0984">
      <w:pPr>
        <w:ind w:firstLine="720"/>
        <w:rPr>
          <w:rFonts w:cs="Times New Roman"/>
        </w:rPr>
      </w:pPr>
      <w:r>
        <w:rPr>
          <w:rFonts w:cs="Times New Roman"/>
        </w:rPr>
        <w:t>Dodocase makes virtual reality headsets that MerchSource distributes, and the two entered a master licensing agreement (“MLA”) covering three patents.</w:t>
      </w:r>
      <w:r w:rsidRPr="005A669A">
        <w:rPr>
          <w:rStyle w:val="FootnoteReference"/>
        </w:rPr>
        <w:footnoteReference w:id="693"/>
      </w:r>
      <w:r>
        <w:rPr>
          <w:rFonts w:cs="Times New Roman"/>
        </w:rPr>
        <w:t xml:space="preserve"> The MLA contained a forum selection clause requiring disputes be settled in courts located in San Francisco or Orange County.</w:t>
      </w:r>
      <w:r w:rsidRPr="005A669A">
        <w:rPr>
          <w:rStyle w:val="FootnoteReference"/>
        </w:rPr>
        <w:footnoteReference w:id="694"/>
      </w:r>
      <w:r>
        <w:rPr>
          <w:rFonts w:cs="Times New Roman"/>
        </w:rPr>
        <w:t xml:space="preserve"> After the MLA </w:t>
      </w:r>
      <w:r w:rsidR="0029253F">
        <w:rPr>
          <w:rFonts w:cs="Times New Roman"/>
        </w:rPr>
        <w:t>was</w:t>
      </w:r>
      <w:r>
        <w:rPr>
          <w:rFonts w:cs="Times New Roman"/>
        </w:rPr>
        <w:t xml:space="preserve"> entered, MerchSource notified Dodocase it would cease royalty payments, now believing the patents invalid</w:t>
      </w:r>
      <w:r w:rsidR="00351734">
        <w:rPr>
          <w:rFonts w:cs="Times New Roman"/>
        </w:rPr>
        <w:t xml:space="preserve">, as </w:t>
      </w:r>
      <w:r w:rsidR="00351734">
        <w:rPr>
          <w:rFonts w:cs="Times New Roman"/>
          <w:i/>
        </w:rPr>
        <w:t xml:space="preserve">MedImmune v. Genentech </w:t>
      </w:r>
      <w:r w:rsidR="00351734">
        <w:rPr>
          <w:rFonts w:cs="Times New Roman"/>
        </w:rPr>
        <w:t>gives it the right to do</w:t>
      </w:r>
      <w:r>
        <w:rPr>
          <w:rFonts w:cs="Times New Roman"/>
        </w:rPr>
        <w:t>.</w:t>
      </w:r>
      <w:r w:rsidRPr="005A669A">
        <w:rPr>
          <w:rStyle w:val="FootnoteReference"/>
        </w:rPr>
        <w:footnoteReference w:id="695"/>
      </w:r>
      <w:r>
        <w:rPr>
          <w:rFonts w:cs="Times New Roman"/>
        </w:rPr>
        <w:t xml:space="preserve"> It then filed </w:t>
      </w:r>
      <w:r>
        <w:rPr>
          <w:rFonts w:cs="Times New Roman"/>
          <w:i/>
        </w:rPr>
        <w:t xml:space="preserve">inter partes </w:t>
      </w:r>
      <w:r>
        <w:rPr>
          <w:rFonts w:cs="Times New Roman"/>
        </w:rPr>
        <w:t>review (“IPR”) and post-grant review (“PGR”) proceedings before the PTAB.</w:t>
      </w:r>
      <w:r w:rsidRPr="005A669A">
        <w:rPr>
          <w:rStyle w:val="FootnoteReference"/>
        </w:rPr>
        <w:footnoteReference w:id="696"/>
      </w:r>
      <w:r>
        <w:rPr>
          <w:rFonts w:cs="Times New Roman"/>
        </w:rPr>
        <w:t xml:space="preserve"> Meanwhile, Dodocase brought this action before the d</w:t>
      </w:r>
      <w:r w:rsidR="00161CC8">
        <w:rPr>
          <w:rFonts w:cs="Times New Roman"/>
        </w:rPr>
        <w:t>istrict court, enjoining MerchS</w:t>
      </w:r>
      <w:r>
        <w:rPr>
          <w:rFonts w:cs="Times New Roman"/>
        </w:rPr>
        <w:t>ource’s breach.</w:t>
      </w:r>
      <w:r w:rsidRPr="005A669A">
        <w:rPr>
          <w:rStyle w:val="FootnoteReference"/>
        </w:rPr>
        <w:footnoteReference w:id="697"/>
      </w:r>
    </w:p>
    <w:p w14:paraId="5A760FE4" w14:textId="78571EB9" w:rsidR="00CD0984" w:rsidRPr="00351734" w:rsidRDefault="00CD0984" w:rsidP="00CD0984">
      <w:pPr>
        <w:ind w:firstLine="720"/>
      </w:pPr>
      <w:r>
        <w:rPr>
          <w:rFonts w:cs="Times New Roman"/>
        </w:rPr>
        <w:t>On appeal, the Federal Circuit applied state contract law, here of California, according to the MLA’s governing law clause.</w:t>
      </w:r>
      <w:r w:rsidRPr="005A669A">
        <w:rPr>
          <w:rStyle w:val="FootnoteReference"/>
        </w:rPr>
        <w:footnoteReference w:id="698"/>
      </w:r>
      <w:r>
        <w:rPr>
          <w:rFonts w:cs="Times New Roman"/>
        </w:rPr>
        <w:t xml:space="preserve"> The critical question in light of the contract’s language was whether PTAB petitions “constitute[d] a ‘dispute’ that ‘aris[es] out of or under” the MLA.”</w:t>
      </w:r>
      <w:r w:rsidRPr="005A669A">
        <w:rPr>
          <w:rStyle w:val="FootnoteReference"/>
        </w:rPr>
        <w:footnoteReference w:id="699"/>
      </w:r>
      <w:r>
        <w:rPr>
          <w:rFonts w:cs="Times New Roman"/>
        </w:rPr>
        <w:t xml:space="preserve"> MerchSource argued that nothing about the PTAB proceedings depended on the MLA. But in </w:t>
      </w:r>
      <w:r>
        <w:rPr>
          <w:rFonts w:cs="Times New Roman"/>
          <w:i/>
        </w:rPr>
        <w:t>Texas Instruments</w:t>
      </w:r>
      <w:r>
        <w:rPr>
          <w:rFonts w:cs="Times New Roman"/>
        </w:rPr>
        <w:t xml:space="preserve">, the Federal Circuit </w:t>
      </w:r>
      <w:r w:rsidR="00AE14BC">
        <w:rPr>
          <w:rFonts w:cs="Times New Roman"/>
        </w:rPr>
        <w:t>had</w:t>
      </w:r>
      <w:r>
        <w:rPr>
          <w:rFonts w:cs="Times New Roman"/>
        </w:rPr>
        <w:t xml:space="preserve"> held that similar forum selection language </w:t>
      </w:r>
      <w:r w:rsidR="00AE14BC">
        <w:rPr>
          <w:rFonts w:cs="Times New Roman"/>
        </w:rPr>
        <w:t>“</w:t>
      </w:r>
      <w:r>
        <w:rPr>
          <w:rFonts w:cs="Times New Roman"/>
        </w:rPr>
        <w:t>necessarily covers disputes concerning patent issues.”</w:t>
      </w:r>
      <w:r w:rsidRPr="005A669A">
        <w:rPr>
          <w:rStyle w:val="FootnoteReference"/>
        </w:rPr>
        <w:footnoteReference w:id="700"/>
      </w:r>
      <w:r>
        <w:rPr>
          <w:rFonts w:cs="Times New Roman"/>
        </w:rPr>
        <w:t xml:space="preserve"> </w:t>
      </w:r>
      <w:r w:rsidR="00AE14BC">
        <w:rPr>
          <w:rFonts w:cs="Times New Roman"/>
        </w:rPr>
        <w:t>In that</w:t>
      </w:r>
      <w:r>
        <w:rPr>
          <w:rFonts w:cs="Times New Roman"/>
        </w:rPr>
        <w:t xml:space="preserve"> case</w:t>
      </w:r>
      <w:r w:rsidR="00AE14BC">
        <w:rPr>
          <w:rFonts w:cs="Times New Roman"/>
        </w:rPr>
        <w:t xml:space="preserve">, </w:t>
      </w:r>
      <w:r>
        <w:rPr>
          <w:rFonts w:cs="Times New Roman"/>
        </w:rPr>
        <w:t>the clause cover</w:t>
      </w:r>
      <w:r w:rsidR="00AE14BC">
        <w:rPr>
          <w:rFonts w:cs="Times New Roman"/>
        </w:rPr>
        <w:t>ed</w:t>
      </w:r>
      <w:r>
        <w:rPr>
          <w:rFonts w:cs="Times New Roman"/>
        </w:rPr>
        <w:t xml:space="preserve"> ITC proceedings; in this case, the district court was right to view the clause as likely covering</w:t>
      </w:r>
      <w:r w:rsidR="00351734">
        <w:rPr>
          <w:rFonts w:cs="Times New Roman"/>
        </w:rPr>
        <w:t xml:space="preserve"> </w:t>
      </w:r>
      <w:r>
        <w:rPr>
          <w:rFonts w:cs="Times New Roman"/>
        </w:rPr>
        <w:t>PTAB proceedings.</w:t>
      </w:r>
      <w:r w:rsidRPr="005A669A">
        <w:rPr>
          <w:rStyle w:val="FootnoteReference"/>
        </w:rPr>
        <w:footnoteReference w:id="701"/>
      </w:r>
      <w:r w:rsidR="00351734">
        <w:rPr>
          <w:rFonts w:cs="Times New Roman"/>
        </w:rPr>
        <w:t xml:space="preserve">  The court made no mention of </w:t>
      </w:r>
      <w:r w:rsidR="00351734">
        <w:rPr>
          <w:rFonts w:cs="Times New Roman"/>
          <w:i/>
        </w:rPr>
        <w:t xml:space="preserve">Lear, Inc. v. Adkins </w:t>
      </w:r>
      <w:r w:rsidR="00351734">
        <w:rPr>
          <w:rFonts w:cs="Times New Roman"/>
        </w:rPr>
        <w:t xml:space="preserve">or </w:t>
      </w:r>
      <w:r w:rsidR="00351734">
        <w:rPr>
          <w:rFonts w:cs="Times New Roman"/>
          <w:i/>
        </w:rPr>
        <w:t>MedImmune v. Genentech</w:t>
      </w:r>
      <w:r w:rsidR="00351734">
        <w:rPr>
          <w:rFonts w:cs="Times New Roman"/>
        </w:rPr>
        <w:t>, which give a right to challenge patent validity outside the scope of a license.</w:t>
      </w:r>
    </w:p>
    <w:p w14:paraId="02A046E9" w14:textId="4D7D9CC1" w:rsidR="00F20B84" w:rsidRDefault="007D0629" w:rsidP="00CA2C0A">
      <w:pPr>
        <w:pStyle w:val="Heading2"/>
      </w:pPr>
      <w:bookmarkStart w:id="86" w:name="_Toc26792805"/>
      <w:r w:rsidRPr="00677ABE">
        <w:lastRenderedPageBreak/>
        <w:t>Venue</w:t>
      </w:r>
      <w:bookmarkEnd w:id="86"/>
    </w:p>
    <w:p w14:paraId="63D948A3" w14:textId="4F062D6C" w:rsidR="00E35831" w:rsidRPr="00A94387" w:rsidRDefault="00E35831" w:rsidP="00E35831">
      <w:pPr>
        <w:pStyle w:val="Heading4"/>
      </w:pPr>
      <w:bookmarkStart w:id="87" w:name="_Toc26792806"/>
      <w:r>
        <w:rPr>
          <w:i/>
        </w:rPr>
        <w:t>Westech Aerosol Corp. v. 3M Co.</w:t>
      </w:r>
      <w:r w:rsidRPr="0080157F">
        <w:t>,</w:t>
      </w:r>
      <w:r w:rsidR="0006132B">
        <w:t xml:space="preserve"> 927 F.3d 1378 (Fed. Cir. July 5, 2019)</w:t>
      </w:r>
      <w:bookmarkEnd w:id="87"/>
    </w:p>
    <w:p w14:paraId="1F92F54D" w14:textId="584A6134" w:rsidR="00E35831" w:rsidRDefault="0006132B" w:rsidP="00E35831">
      <w:pPr>
        <w:ind w:firstLine="720"/>
        <w:rPr>
          <w:rFonts w:eastAsia="Times New Roman" w:cs="Times New Roman"/>
          <w:color w:val="000000" w:themeColor="text1"/>
        </w:rPr>
      </w:pPr>
      <w:r>
        <w:rPr>
          <w:rFonts w:eastAsia="Times New Roman" w:cs="Times New Roman"/>
          <w:color w:val="000000" w:themeColor="text1"/>
        </w:rPr>
        <w:t>In this appeal from the Western District of Washington, the Federal Circuit affirmed dismissal for improper venue.</w:t>
      </w:r>
      <w:r>
        <w:rPr>
          <w:rStyle w:val="FootnoteReference"/>
          <w:rFonts w:eastAsia="Times New Roman" w:cs="Times New Roman"/>
          <w:color w:val="000000" w:themeColor="text1"/>
        </w:rPr>
        <w:footnoteReference w:id="702"/>
      </w:r>
    </w:p>
    <w:p w14:paraId="0BE6FA81" w14:textId="43880DC0" w:rsidR="00D976C3" w:rsidRDefault="00E40B94" w:rsidP="00E35831">
      <w:pPr>
        <w:ind w:firstLine="720"/>
        <w:rPr>
          <w:rFonts w:eastAsia="Times New Roman" w:cs="Times New Roman"/>
          <w:color w:val="000000" w:themeColor="text1"/>
        </w:rPr>
      </w:pPr>
      <w:r>
        <w:rPr>
          <w:rFonts w:eastAsia="Times New Roman" w:cs="Times New Roman"/>
          <w:color w:val="000000" w:themeColor="text1"/>
        </w:rPr>
        <w:t>Westech sued 3M</w:t>
      </w:r>
      <w:r w:rsidR="00ED7855">
        <w:rPr>
          <w:rFonts w:eastAsia="Times New Roman" w:cs="Times New Roman"/>
          <w:color w:val="000000" w:themeColor="text1"/>
        </w:rPr>
        <w:t xml:space="preserve"> Co.</w:t>
      </w:r>
      <w:r>
        <w:rPr>
          <w:rFonts w:eastAsia="Times New Roman" w:cs="Times New Roman"/>
          <w:color w:val="000000" w:themeColor="text1"/>
        </w:rPr>
        <w:t xml:space="preserve"> and Northstar</w:t>
      </w:r>
      <w:r w:rsidR="00ED7855">
        <w:rPr>
          <w:rFonts w:eastAsia="Times New Roman" w:cs="Times New Roman"/>
          <w:color w:val="000000" w:themeColor="text1"/>
        </w:rPr>
        <w:t xml:space="preserve"> Chemical for infringement in the Western District of Washington.</w:t>
      </w:r>
      <w:r w:rsidR="00ED7855">
        <w:rPr>
          <w:rStyle w:val="FootnoteReference"/>
          <w:rFonts w:eastAsia="Times New Roman" w:cs="Times New Roman"/>
          <w:color w:val="000000" w:themeColor="text1"/>
        </w:rPr>
        <w:footnoteReference w:id="703"/>
      </w:r>
      <w:r w:rsidR="00ED7855">
        <w:rPr>
          <w:rFonts w:eastAsia="Times New Roman" w:cs="Times New Roman"/>
          <w:color w:val="000000" w:themeColor="text1"/>
        </w:rPr>
        <w:t xml:space="preserve">  </w:t>
      </w:r>
      <w:r w:rsidR="0076370A">
        <w:rPr>
          <w:rFonts w:eastAsia="Times New Roman" w:cs="Times New Roman"/>
          <w:color w:val="000000" w:themeColor="text1"/>
        </w:rPr>
        <w:t xml:space="preserve">Attempting to </w:t>
      </w:r>
      <w:r w:rsidR="00D976C3">
        <w:rPr>
          <w:rFonts w:eastAsia="Times New Roman" w:cs="Times New Roman"/>
          <w:color w:val="000000" w:themeColor="text1"/>
        </w:rPr>
        <w:t xml:space="preserve">create venue under </w:t>
      </w:r>
      <w:r w:rsidR="008473F4">
        <w:rPr>
          <w:rFonts w:eastAsia="Times New Roman" w:cs="Times New Roman"/>
          <w:color w:val="000000" w:themeColor="text1"/>
        </w:rPr>
        <w:t>28 U.S.C. § 1400(b)</w:t>
      </w:r>
      <w:r w:rsidR="0016018B">
        <w:rPr>
          <w:rFonts w:eastAsia="Times New Roman" w:cs="Times New Roman"/>
          <w:color w:val="000000" w:themeColor="text1"/>
        </w:rPr>
        <w:t xml:space="preserve">, </w:t>
      </w:r>
      <w:r w:rsidR="00AC2692">
        <w:rPr>
          <w:rFonts w:eastAsia="Times New Roman" w:cs="Times New Roman"/>
          <w:color w:val="000000" w:themeColor="text1"/>
        </w:rPr>
        <w:t xml:space="preserve">Westech </w:t>
      </w:r>
      <w:r w:rsidR="009660EC">
        <w:rPr>
          <w:rFonts w:eastAsia="Times New Roman" w:cs="Times New Roman"/>
          <w:color w:val="000000" w:themeColor="text1"/>
        </w:rPr>
        <w:t>alleged</w:t>
      </w:r>
      <w:r w:rsidR="0016018B">
        <w:rPr>
          <w:rFonts w:eastAsia="Times New Roman" w:cs="Times New Roman"/>
          <w:color w:val="000000" w:themeColor="text1"/>
        </w:rPr>
        <w:t xml:space="preserve"> conclusorily </w:t>
      </w:r>
      <w:r w:rsidR="009660EC">
        <w:rPr>
          <w:rFonts w:eastAsia="Times New Roman" w:cs="Times New Roman"/>
          <w:color w:val="000000" w:themeColor="text1"/>
        </w:rPr>
        <w:t>that 3M had sufficient sales presence to create “a regular and established” place of business in Western Washington</w:t>
      </w:r>
      <w:r w:rsidR="0076370A">
        <w:rPr>
          <w:rFonts w:eastAsia="Times New Roman" w:cs="Times New Roman"/>
          <w:color w:val="000000" w:themeColor="text1"/>
        </w:rPr>
        <w:t xml:space="preserve">; it </w:t>
      </w:r>
      <w:r w:rsidR="009660EC">
        <w:rPr>
          <w:rFonts w:eastAsia="Times New Roman" w:cs="Times New Roman"/>
          <w:color w:val="000000" w:themeColor="text1"/>
        </w:rPr>
        <w:t>failed to</w:t>
      </w:r>
      <w:r w:rsidR="0016018B">
        <w:rPr>
          <w:rFonts w:eastAsia="Times New Roman" w:cs="Times New Roman"/>
          <w:color w:val="000000" w:themeColor="text1"/>
        </w:rPr>
        <w:t xml:space="preserve"> allege </w:t>
      </w:r>
      <w:r w:rsidR="00ED7855">
        <w:rPr>
          <w:rFonts w:eastAsia="Times New Roman" w:cs="Times New Roman"/>
          <w:color w:val="000000" w:themeColor="text1"/>
        </w:rPr>
        <w:t xml:space="preserve">even </w:t>
      </w:r>
      <w:r w:rsidR="0076370A">
        <w:rPr>
          <w:rFonts w:eastAsia="Times New Roman" w:cs="Times New Roman"/>
          <w:color w:val="000000" w:themeColor="text1"/>
        </w:rPr>
        <w:t>that</w:t>
      </w:r>
      <w:r w:rsidR="0016018B">
        <w:rPr>
          <w:rFonts w:eastAsia="Times New Roman" w:cs="Times New Roman"/>
          <w:color w:val="000000" w:themeColor="text1"/>
        </w:rPr>
        <w:t xml:space="preserve"> </w:t>
      </w:r>
      <w:r w:rsidR="00A55D84">
        <w:rPr>
          <w:rFonts w:eastAsia="Times New Roman" w:cs="Times New Roman"/>
          <w:color w:val="000000" w:themeColor="text1"/>
        </w:rPr>
        <w:t xml:space="preserve">much </w:t>
      </w:r>
      <w:r w:rsidR="0016018B">
        <w:rPr>
          <w:rFonts w:eastAsia="Times New Roman" w:cs="Times New Roman"/>
          <w:color w:val="000000" w:themeColor="text1"/>
        </w:rPr>
        <w:t>about</w:t>
      </w:r>
      <w:r w:rsidR="009660EC">
        <w:rPr>
          <w:rFonts w:eastAsia="Times New Roman" w:cs="Times New Roman"/>
          <w:color w:val="000000" w:themeColor="text1"/>
        </w:rPr>
        <w:t xml:space="preserve"> Northstar.</w:t>
      </w:r>
      <w:r w:rsidR="0016018B">
        <w:rPr>
          <w:rStyle w:val="FootnoteReference"/>
          <w:rFonts w:eastAsia="Times New Roman" w:cs="Times New Roman"/>
          <w:color w:val="000000" w:themeColor="text1"/>
        </w:rPr>
        <w:footnoteReference w:id="704"/>
      </w:r>
      <w:r w:rsidR="009660EC">
        <w:rPr>
          <w:rFonts w:eastAsia="Times New Roman" w:cs="Times New Roman"/>
          <w:color w:val="000000" w:themeColor="text1"/>
        </w:rPr>
        <w:t xml:space="preserve"> </w:t>
      </w:r>
      <w:r>
        <w:rPr>
          <w:rFonts w:eastAsia="Times New Roman" w:cs="Times New Roman"/>
          <w:color w:val="000000" w:themeColor="text1"/>
        </w:rPr>
        <w:t xml:space="preserve"> </w:t>
      </w:r>
      <w:r w:rsidR="00A55D84">
        <w:rPr>
          <w:rFonts w:eastAsia="Times New Roman" w:cs="Times New Roman"/>
          <w:color w:val="000000" w:themeColor="text1"/>
        </w:rPr>
        <w:t xml:space="preserve">Relying on the Supreme Court’s recent decision in </w:t>
      </w:r>
      <w:r w:rsidR="00A55D84">
        <w:rPr>
          <w:rFonts w:eastAsia="Times New Roman" w:cs="Times New Roman"/>
          <w:i/>
          <w:iCs/>
          <w:color w:val="000000" w:themeColor="text1"/>
        </w:rPr>
        <w:t>T.C. Heartland</w:t>
      </w:r>
      <w:r w:rsidR="00A55D84">
        <w:rPr>
          <w:rFonts w:eastAsia="Times New Roman" w:cs="Times New Roman"/>
          <w:color w:val="000000" w:themeColor="text1"/>
        </w:rPr>
        <w:t xml:space="preserve"> and the Federal Circuit’s decision in </w:t>
      </w:r>
      <w:r w:rsidR="00A55D84">
        <w:rPr>
          <w:rFonts w:eastAsia="Times New Roman" w:cs="Times New Roman"/>
          <w:i/>
          <w:iCs/>
          <w:color w:val="000000" w:themeColor="text1"/>
        </w:rPr>
        <w:t>In re Cray</w:t>
      </w:r>
      <w:r w:rsidR="00A55D84">
        <w:rPr>
          <w:rFonts w:eastAsia="Times New Roman" w:cs="Times New Roman"/>
          <w:color w:val="000000" w:themeColor="text1"/>
        </w:rPr>
        <w:t>,</w:t>
      </w:r>
      <w:r w:rsidR="00A55D84">
        <w:rPr>
          <w:rStyle w:val="FootnoteReference"/>
          <w:rFonts w:eastAsia="Times New Roman" w:cs="Times New Roman"/>
          <w:color w:val="000000" w:themeColor="text1"/>
        </w:rPr>
        <w:footnoteReference w:id="705"/>
      </w:r>
      <w:r w:rsidR="00A55D84">
        <w:rPr>
          <w:rFonts w:eastAsia="Times New Roman" w:cs="Times New Roman"/>
          <w:color w:val="000000" w:themeColor="text1"/>
        </w:rPr>
        <w:t xml:space="preserve"> the </w:t>
      </w:r>
      <w:r>
        <w:rPr>
          <w:rFonts w:eastAsia="Times New Roman" w:cs="Times New Roman"/>
          <w:color w:val="000000" w:themeColor="text1"/>
        </w:rPr>
        <w:t xml:space="preserve">district court dismissed </w:t>
      </w:r>
      <w:r w:rsidR="00A55D84">
        <w:rPr>
          <w:rFonts w:eastAsia="Times New Roman" w:cs="Times New Roman"/>
          <w:color w:val="000000" w:themeColor="text1"/>
        </w:rPr>
        <w:t xml:space="preserve">the action </w:t>
      </w:r>
      <w:r>
        <w:rPr>
          <w:rFonts w:eastAsia="Times New Roman" w:cs="Times New Roman"/>
          <w:color w:val="000000" w:themeColor="text1"/>
        </w:rPr>
        <w:t>for improper venue.</w:t>
      </w:r>
      <w:r>
        <w:rPr>
          <w:rStyle w:val="FootnoteReference"/>
          <w:rFonts w:eastAsia="Times New Roman" w:cs="Times New Roman"/>
          <w:color w:val="000000" w:themeColor="text1"/>
        </w:rPr>
        <w:footnoteReference w:id="706"/>
      </w:r>
      <w:r w:rsidR="0076370A">
        <w:rPr>
          <w:rFonts w:eastAsia="Times New Roman" w:cs="Times New Roman"/>
          <w:color w:val="000000" w:themeColor="text1"/>
        </w:rPr>
        <w:t xml:space="preserve">  </w:t>
      </w:r>
    </w:p>
    <w:p w14:paraId="55845238" w14:textId="499F981D" w:rsidR="004A1070" w:rsidRPr="00D976C3" w:rsidRDefault="004A1070" w:rsidP="00E35831">
      <w:pPr>
        <w:ind w:firstLine="720"/>
        <w:rPr>
          <w:rFonts w:eastAsia="Times New Roman" w:cs="Times New Roman"/>
          <w:color w:val="000000" w:themeColor="text1"/>
        </w:rPr>
      </w:pPr>
      <w:r>
        <w:rPr>
          <w:rFonts w:eastAsia="Times New Roman" w:cs="Times New Roman"/>
          <w:color w:val="000000" w:themeColor="text1"/>
        </w:rPr>
        <w:t>On appeal, the Federal Circuit clarified that the plaintiff bears the burden of establishing venue,</w:t>
      </w:r>
      <w:r>
        <w:rPr>
          <w:rStyle w:val="FootnoteReference"/>
          <w:rFonts w:eastAsia="Times New Roman" w:cs="Times New Roman"/>
          <w:color w:val="000000" w:themeColor="text1"/>
        </w:rPr>
        <w:footnoteReference w:id="707"/>
      </w:r>
      <w:r>
        <w:rPr>
          <w:rFonts w:eastAsia="Times New Roman" w:cs="Times New Roman"/>
          <w:color w:val="000000" w:themeColor="text1"/>
        </w:rPr>
        <w:t xml:space="preserve"> </w:t>
      </w:r>
      <w:r w:rsidR="00D6167E">
        <w:rPr>
          <w:rFonts w:eastAsia="Times New Roman" w:cs="Times New Roman"/>
          <w:color w:val="000000" w:themeColor="text1"/>
        </w:rPr>
        <w:t>and that “venue under the patent statute is proper when the facts</w:t>
      </w:r>
      <w:r w:rsidR="00FF52CE">
        <w:rPr>
          <w:rFonts w:eastAsia="Times New Roman" w:cs="Times New Roman"/>
          <w:color w:val="000000" w:themeColor="text1"/>
        </w:rPr>
        <w:t xml:space="preserve"> </w:t>
      </w:r>
      <w:r w:rsidR="00FF52CE" w:rsidRPr="00FF52CE">
        <w:rPr>
          <w:rFonts w:eastAsia="Times New Roman" w:cs="Times New Roman"/>
          <w:color w:val="000000" w:themeColor="text1"/>
        </w:rPr>
        <w:t>show that the defendant has a regular and established place of business physically located within the judicial district.</w:t>
      </w:r>
      <w:r w:rsidR="00FF52CE">
        <w:rPr>
          <w:rFonts w:eastAsia="Times New Roman" w:cs="Times New Roman"/>
          <w:color w:val="000000" w:themeColor="text1"/>
        </w:rPr>
        <w:t>”</w:t>
      </w:r>
      <w:r w:rsidR="00FF52CE">
        <w:rPr>
          <w:rStyle w:val="FootnoteReference"/>
          <w:rFonts w:eastAsia="Times New Roman" w:cs="Times New Roman"/>
          <w:color w:val="000000" w:themeColor="text1"/>
        </w:rPr>
        <w:footnoteReference w:id="708"/>
      </w:r>
      <w:r w:rsidR="000A308A">
        <w:rPr>
          <w:rFonts w:eastAsia="Times New Roman" w:cs="Times New Roman"/>
          <w:color w:val="000000" w:themeColor="text1"/>
        </w:rPr>
        <w:t xml:space="preserve">  Here, “</w:t>
      </w:r>
      <w:r w:rsidR="00A757E5">
        <w:rPr>
          <w:rFonts w:eastAsia="Times New Roman" w:cs="Times New Roman"/>
          <w:color w:val="000000" w:themeColor="text1"/>
        </w:rPr>
        <w:t>p</w:t>
      </w:r>
      <w:r w:rsidR="000A308A">
        <w:rPr>
          <w:rFonts w:eastAsia="Times New Roman" w:cs="Times New Roman"/>
          <w:color w:val="000000" w:themeColor="text1"/>
        </w:rPr>
        <w:t xml:space="preserve">arrot[ing] the language of § 1400(b)” </w:t>
      </w:r>
      <w:r w:rsidR="00DA5416">
        <w:rPr>
          <w:rFonts w:eastAsia="Times New Roman" w:cs="Times New Roman"/>
          <w:color w:val="000000" w:themeColor="text1"/>
        </w:rPr>
        <w:t>did not meet the plaintiff’s “burden to plead specific facts.”</w:t>
      </w:r>
      <w:r w:rsidR="00C13C8D">
        <w:rPr>
          <w:rStyle w:val="FootnoteReference"/>
          <w:rFonts w:eastAsia="Times New Roman" w:cs="Times New Roman"/>
          <w:color w:val="000000" w:themeColor="text1"/>
        </w:rPr>
        <w:footnoteReference w:id="709"/>
      </w:r>
      <w:r w:rsidR="00DA5416">
        <w:rPr>
          <w:rFonts w:eastAsia="Times New Roman" w:cs="Times New Roman"/>
          <w:color w:val="000000" w:themeColor="text1"/>
        </w:rPr>
        <w:t xml:space="preserve"> </w:t>
      </w:r>
      <w:r w:rsidR="00C13C8D">
        <w:rPr>
          <w:rFonts w:eastAsia="Times New Roman" w:cs="Times New Roman"/>
          <w:color w:val="000000" w:themeColor="text1"/>
        </w:rPr>
        <w:t xml:space="preserve"> </w:t>
      </w:r>
      <w:r w:rsidR="00A757E5">
        <w:rPr>
          <w:rFonts w:eastAsia="Times New Roman" w:cs="Times New Roman"/>
          <w:color w:val="000000" w:themeColor="text1"/>
        </w:rPr>
        <w:t>Dismissal</w:t>
      </w:r>
      <w:r w:rsidR="00C13C8D">
        <w:rPr>
          <w:rFonts w:eastAsia="Times New Roman" w:cs="Times New Roman"/>
          <w:color w:val="000000" w:themeColor="text1"/>
        </w:rPr>
        <w:t xml:space="preserve"> was no</w:t>
      </w:r>
      <w:r w:rsidR="00A757E5">
        <w:rPr>
          <w:rFonts w:eastAsia="Times New Roman" w:cs="Times New Roman"/>
          <w:color w:val="000000" w:themeColor="text1"/>
        </w:rPr>
        <w:t>t in</w:t>
      </w:r>
      <w:r w:rsidR="00C13C8D">
        <w:rPr>
          <w:rFonts w:eastAsia="Times New Roman" w:cs="Times New Roman"/>
          <w:color w:val="000000" w:themeColor="text1"/>
        </w:rPr>
        <w:t xml:space="preserve"> error.</w:t>
      </w:r>
    </w:p>
    <w:p w14:paraId="0FF50728" w14:textId="72D4C4BE" w:rsidR="00692758" w:rsidRPr="00A94387" w:rsidRDefault="00692758" w:rsidP="00136E52">
      <w:pPr>
        <w:pStyle w:val="Heading4"/>
      </w:pPr>
      <w:bookmarkStart w:id="88" w:name="_Toc26792807"/>
      <w:r w:rsidRPr="0080157F">
        <w:rPr>
          <w:i/>
        </w:rPr>
        <w:t>In re Google Inc.</w:t>
      </w:r>
      <w:r w:rsidRPr="0080157F">
        <w:t>, No. 2018-152, 2018 WL 5536478 (Fed. Cir. Oct. 29, 2018)</w:t>
      </w:r>
      <w:r w:rsidR="00A94387">
        <w:t xml:space="preserve">, </w:t>
      </w:r>
      <w:r w:rsidR="0068403A">
        <w:rPr>
          <w:i/>
        </w:rPr>
        <w:t>reh’g denied</w:t>
      </w:r>
      <w:r w:rsidR="00A94387" w:rsidRPr="0068403A">
        <w:t>,</w:t>
      </w:r>
      <w:r w:rsidR="00A94387">
        <w:t xml:space="preserve"> </w:t>
      </w:r>
      <w:r w:rsidR="00A94387" w:rsidRPr="0080157F">
        <w:rPr>
          <w:i/>
        </w:rPr>
        <w:t>In re Google Inc.</w:t>
      </w:r>
      <w:r w:rsidR="00A94387" w:rsidRPr="0080157F">
        <w:t xml:space="preserve">, </w:t>
      </w:r>
      <w:r w:rsidR="00A94387">
        <w:t>914 F.3d 1377 (Fed. Cir. Feb. 5, 2019)</w:t>
      </w:r>
      <w:bookmarkEnd w:id="88"/>
    </w:p>
    <w:p w14:paraId="5E77FFE5" w14:textId="3BB547AD" w:rsidR="00692758" w:rsidRPr="00300BD8" w:rsidRDefault="00D60C9F" w:rsidP="00692758">
      <w:pPr>
        <w:ind w:firstLine="720"/>
        <w:rPr>
          <w:rFonts w:eastAsia="Times New Roman" w:cs="Times New Roman"/>
          <w:color w:val="000000" w:themeColor="text1"/>
        </w:rPr>
      </w:pPr>
      <w:r>
        <w:rPr>
          <w:rFonts w:eastAsia="Times New Roman" w:cs="Times New Roman"/>
          <w:b/>
          <w:color w:val="000000" w:themeColor="text1"/>
        </w:rPr>
        <w:t>Panel Opinion</w:t>
      </w:r>
      <w:r w:rsidRPr="00D60C9F">
        <w:rPr>
          <w:rFonts w:eastAsia="Times New Roman" w:cs="Times New Roman"/>
          <w:color w:val="000000" w:themeColor="text1"/>
        </w:rPr>
        <w:t>:</w:t>
      </w:r>
      <w:r>
        <w:rPr>
          <w:rFonts w:eastAsia="Times New Roman" w:cs="Times New Roman"/>
          <w:color w:val="000000" w:themeColor="text1"/>
        </w:rPr>
        <w:t xml:space="preserve"> </w:t>
      </w:r>
      <w:r w:rsidR="00692758" w:rsidRPr="00300BD8">
        <w:rPr>
          <w:rFonts w:eastAsia="Times New Roman" w:cs="Times New Roman"/>
          <w:color w:val="000000" w:themeColor="text1"/>
        </w:rPr>
        <w:t>In this petition for a writ of mandamus, the Federal Circuit declined to direct the Eastern District of Texas to dismiss or transfer the case for improper venue under 28 U.S.C. § 1400(b).</w:t>
      </w:r>
      <w:r w:rsidR="00692758" w:rsidRPr="005A669A">
        <w:rPr>
          <w:rStyle w:val="FootnoteReference"/>
        </w:rPr>
        <w:footnoteReference w:id="710"/>
      </w:r>
    </w:p>
    <w:p w14:paraId="3CA0EB1A" w14:textId="43A07C85" w:rsidR="00692758" w:rsidRPr="00300BD8" w:rsidRDefault="00692758" w:rsidP="00692758">
      <w:pPr>
        <w:rPr>
          <w:rFonts w:eastAsia="Times New Roman" w:cs="Times New Roman"/>
          <w:color w:val="000000" w:themeColor="text1"/>
        </w:rPr>
      </w:pPr>
      <w:r w:rsidRPr="00300BD8">
        <w:rPr>
          <w:rFonts w:eastAsia="Times New Roman" w:cs="Times New Roman"/>
          <w:color w:val="000000" w:themeColor="text1"/>
        </w:rPr>
        <w:tab/>
        <w:t>SEVEN</w:t>
      </w:r>
      <w:r w:rsidR="000132B7">
        <w:rPr>
          <w:rFonts w:eastAsia="Times New Roman" w:cs="Times New Roman"/>
          <w:color w:val="000000" w:themeColor="text1"/>
        </w:rPr>
        <w:t xml:space="preserve"> had</w:t>
      </w:r>
      <w:r w:rsidRPr="00300BD8">
        <w:rPr>
          <w:rFonts w:eastAsia="Times New Roman" w:cs="Times New Roman"/>
          <w:color w:val="000000" w:themeColor="text1"/>
        </w:rPr>
        <w:t xml:space="preserve"> </w:t>
      </w:r>
      <w:r w:rsidR="000132B7">
        <w:rPr>
          <w:rFonts w:eastAsia="Times New Roman" w:cs="Times New Roman"/>
          <w:color w:val="000000" w:themeColor="text1"/>
        </w:rPr>
        <w:t>asserted that</w:t>
      </w:r>
      <w:r w:rsidRPr="00300BD8">
        <w:rPr>
          <w:rFonts w:eastAsia="Times New Roman" w:cs="Times New Roman"/>
          <w:color w:val="000000" w:themeColor="text1"/>
        </w:rPr>
        <w:t xml:space="preserve"> Google “committed acts of infringement in this District and has a regular and established place of business in this District.”</w:t>
      </w:r>
      <w:r w:rsidRPr="005A669A">
        <w:rPr>
          <w:rStyle w:val="FootnoteReference"/>
        </w:rPr>
        <w:footnoteReference w:id="711"/>
      </w:r>
      <w:r w:rsidRPr="00300BD8">
        <w:rPr>
          <w:rFonts w:eastAsia="Times New Roman" w:cs="Times New Roman"/>
          <w:color w:val="000000" w:themeColor="text1"/>
        </w:rPr>
        <w:t xml:space="preserve"> After discovery on venue, </w:t>
      </w:r>
      <w:r w:rsidR="000132B7">
        <w:rPr>
          <w:rFonts w:eastAsia="Times New Roman" w:cs="Times New Roman"/>
          <w:color w:val="000000" w:themeColor="text1"/>
        </w:rPr>
        <w:t xml:space="preserve">however, </w:t>
      </w:r>
      <w:r w:rsidRPr="00300BD8">
        <w:rPr>
          <w:rFonts w:eastAsia="Times New Roman" w:cs="Times New Roman"/>
          <w:color w:val="000000" w:themeColor="text1"/>
        </w:rPr>
        <w:t>Google moved for dismissal under Federal Rule of Civil Procedure 12(b)(2) or transfer under 28 U.S.C. § 1406(a).</w:t>
      </w:r>
      <w:r w:rsidRPr="005A669A">
        <w:rPr>
          <w:rStyle w:val="FootnoteReference"/>
        </w:rPr>
        <w:footnoteReference w:id="712"/>
      </w:r>
      <w:r w:rsidRPr="00300BD8">
        <w:rPr>
          <w:rFonts w:eastAsia="Times New Roman" w:cs="Times New Roman"/>
          <w:color w:val="000000" w:themeColor="text1"/>
        </w:rPr>
        <w:t xml:space="preserve"> The court first found that Google’s content-delivery Edge Network included servers housed at various Internet Service Providers in the district, and that (1) these constituted a place of business </w:t>
      </w:r>
      <w:r w:rsidR="006F0DE0">
        <w:rPr>
          <w:rFonts w:eastAsia="Times New Roman" w:cs="Times New Roman"/>
          <w:color w:val="000000" w:themeColor="text1"/>
        </w:rPr>
        <w:t>per</w:t>
      </w:r>
      <w:r w:rsidRPr="00300BD8">
        <w:rPr>
          <w:rFonts w:eastAsia="Times New Roman" w:cs="Times New Roman"/>
          <w:color w:val="000000" w:themeColor="text1"/>
        </w:rPr>
        <w:t xml:space="preserve"> </w:t>
      </w:r>
      <w:r w:rsidRPr="00300BD8">
        <w:rPr>
          <w:rFonts w:eastAsia="Times New Roman" w:cs="Times New Roman"/>
          <w:i/>
          <w:color w:val="000000" w:themeColor="text1"/>
        </w:rPr>
        <w:t>In Re Cray</w:t>
      </w:r>
      <w:r w:rsidRPr="00300BD8">
        <w:rPr>
          <w:rFonts w:eastAsia="Times New Roman" w:cs="Times New Roman"/>
          <w:color w:val="000000" w:themeColor="text1"/>
        </w:rPr>
        <w:t>.</w:t>
      </w:r>
      <w:r w:rsidRPr="005A669A">
        <w:rPr>
          <w:rStyle w:val="FootnoteReference"/>
        </w:rPr>
        <w:footnoteReference w:id="713"/>
      </w:r>
      <w:r w:rsidRPr="00300BD8">
        <w:rPr>
          <w:rFonts w:eastAsia="Times New Roman" w:cs="Times New Roman"/>
          <w:color w:val="000000" w:themeColor="text1"/>
        </w:rPr>
        <w:t xml:space="preserve"> The court furthermore found that, even if Google’s infringement did not directly </w:t>
      </w:r>
      <w:r w:rsidRPr="00300BD8">
        <w:rPr>
          <w:rFonts w:eastAsia="Times New Roman" w:cs="Times New Roman"/>
          <w:color w:val="000000" w:themeColor="text1"/>
        </w:rPr>
        <w:lastRenderedPageBreak/>
        <w:t>relate to that place of business, (2) venue remained proper because § 1400(b) does not require that the alleged misconduct directly relate to the place of business.</w:t>
      </w:r>
      <w:r w:rsidRPr="005A669A">
        <w:rPr>
          <w:rStyle w:val="FootnoteReference"/>
        </w:rPr>
        <w:footnoteReference w:id="714"/>
      </w:r>
      <w:r w:rsidRPr="00300BD8">
        <w:rPr>
          <w:rFonts w:eastAsia="Times New Roman" w:cs="Times New Roman"/>
          <w:color w:val="000000" w:themeColor="text1"/>
        </w:rPr>
        <w:t xml:space="preserve"> Google petitioned for a writ of mandamus, objecting to points</w:t>
      </w:r>
      <w:r w:rsidR="006F0DE0">
        <w:rPr>
          <w:rFonts w:eastAsia="Times New Roman" w:cs="Times New Roman"/>
          <w:color w:val="000000" w:themeColor="text1"/>
        </w:rPr>
        <w:t xml:space="preserve"> (1) and (2)</w:t>
      </w:r>
      <w:r w:rsidRPr="00300BD8">
        <w:rPr>
          <w:rFonts w:eastAsia="Times New Roman" w:cs="Times New Roman"/>
          <w:color w:val="000000" w:themeColor="text1"/>
        </w:rPr>
        <w:t>.</w:t>
      </w:r>
      <w:r w:rsidRPr="005A669A">
        <w:rPr>
          <w:rStyle w:val="FootnoteReference"/>
        </w:rPr>
        <w:footnoteReference w:id="715"/>
      </w:r>
      <w:r w:rsidRPr="00300BD8">
        <w:rPr>
          <w:rFonts w:eastAsia="Times New Roman" w:cs="Times New Roman"/>
          <w:color w:val="000000" w:themeColor="text1"/>
        </w:rPr>
        <w:t xml:space="preserve"> </w:t>
      </w:r>
    </w:p>
    <w:p w14:paraId="04682867" w14:textId="051F5A42" w:rsidR="00692758" w:rsidRPr="00300BD8" w:rsidRDefault="00692758" w:rsidP="00692758">
      <w:pPr>
        <w:rPr>
          <w:rFonts w:eastAsia="Times New Roman" w:cs="Times New Roman"/>
          <w:color w:val="000000" w:themeColor="text1"/>
        </w:rPr>
      </w:pPr>
      <w:r w:rsidRPr="00300BD8">
        <w:rPr>
          <w:rFonts w:eastAsia="Times New Roman" w:cs="Times New Roman"/>
          <w:color w:val="000000" w:themeColor="text1"/>
        </w:rPr>
        <w:tab/>
        <w:t>Hearing the petition, the Federal Circuit evaluated each argument against the three prongs of a petition review: (i) whether other adequate means to attain relief exist, (ii) whether the right of issuance is “clear and indisputable,” and (iii) appropriateness.</w:t>
      </w:r>
      <w:r w:rsidRPr="005A669A">
        <w:rPr>
          <w:rStyle w:val="FootnoteReference"/>
        </w:rPr>
        <w:footnoteReference w:id="716"/>
      </w:r>
      <w:r w:rsidRPr="00300BD8">
        <w:rPr>
          <w:rFonts w:eastAsia="Times New Roman" w:cs="Times New Roman"/>
          <w:color w:val="000000" w:themeColor="text1"/>
        </w:rPr>
        <w:t xml:space="preserve"> Addressing (1) whether servers constitute a place of business, the court reiterated that appeal upon final judgment is (i) typically adequate relief for wrongly denied § 1406 motions challenging § 1400(b) venue</w:t>
      </w:r>
      <w:r w:rsidR="00861C09">
        <w:rPr>
          <w:rFonts w:eastAsia="Times New Roman" w:cs="Times New Roman"/>
          <w:color w:val="000000" w:themeColor="text1"/>
        </w:rPr>
        <w:t>, and</w:t>
      </w:r>
      <w:r w:rsidRPr="00300BD8">
        <w:rPr>
          <w:rFonts w:eastAsia="Times New Roman" w:cs="Times New Roman"/>
          <w:color w:val="000000" w:themeColor="text1"/>
        </w:rPr>
        <w:t xml:space="preserve"> </w:t>
      </w:r>
      <w:r w:rsidR="00861C09">
        <w:rPr>
          <w:rFonts w:eastAsia="Times New Roman" w:cs="Times New Roman"/>
          <w:color w:val="000000" w:themeColor="text1"/>
        </w:rPr>
        <w:t>these</w:t>
      </w:r>
      <w:r w:rsidRPr="00300BD8">
        <w:rPr>
          <w:rFonts w:eastAsia="Times New Roman" w:cs="Times New Roman"/>
          <w:color w:val="000000" w:themeColor="text1"/>
        </w:rPr>
        <w:t xml:space="preserve"> circumstances </w:t>
      </w:r>
      <w:r w:rsidR="00861C09">
        <w:rPr>
          <w:rFonts w:eastAsia="Times New Roman" w:cs="Times New Roman"/>
          <w:color w:val="000000" w:themeColor="text1"/>
        </w:rPr>
        <w:t>were un</w:t>
      </w:r>
      <w:r w:rsidRPr="00300BD8">
        <w:rPr>
          <w:rFonts w:eastAsia="Times New Roman" w:cs="Times New Roman"/>
          <w:color w:val="000000" w:themeColor="text1"/>
        </w:rPr>
        <w:t>exceptional.</w:t>
      </w:r>
      <w:r w:rsidRPr="005A669A">
        <w:rPr>
          <w:rStyle w:val="FootnoteReference"/>
        </w:rPr>
        <w:footnoteReference w:id="717"/>
      </w:r>
      <w:r w:rsidRPr="00300BD8">
        <w:rPr>
          <w:rFonts w:eastAsia="Times New Roman" w:cs="Times New Roman"/>
          <w:color w:val="000000" w:themeColor="text1"/>
        </w:rPr>
        <w:t xml:space="preserve"> Furthermore, the right of issuance was (ii) not clear because Google failed to show the server question raised “basic, unsettled, recurring legal issues over which there is considerable litigation producing disparate results.”</w:t>
      </w:r>
      <w:r w:rsidRPr="005A669A">
        <w:rPr>
          <w:rStyle w:val="FootnoteReference"/>
        </w:rPr>
        <w:footnoteReference w:id="718"/>
      </w:r>
      <w:r w:rsidRPr="00300BD8">
        <w:rPr>
          <w:rFonts w:eastAsia="Times New Roman" w:cs="Times New Roman"/>
          <w:color w:val="000000" w:themeColor="text1"/>
        </w:rPr>
        <w:t>. Accordingly, the court denied the petition for the first issue.</w:t>
      </w:r>
      <w:r w:rsidRPr="005A669A">
        <w:rPr>
          <w:rStyle w:val="FootnoteReference"/>
        </w:rPr>
        <w:footnoteReference w:id="719"/>
      </w:r>
      <w:r w:rsidRPr="00300BD8">
        <w:rPr>
          <w:rFonts w:eastAsia="Times New Roman" w:cs="Times New Roman"/>
          <w:color w:val="000000" w:themeColor="text1"/>
        </w:rPr>
        <w:t xml:space="preserve"> </w:t>
      </w:r>
    </w:p>
    <w:p w14:paraId="2AE2B6BC" w14:textId="188CF4B1" w:rsidR="00692758" w:rsidRPr="00300BD8" w:rsidRDefault="00692758" w:rsidP="00692758">
      <w:pPr>
        <w:ind w:firstLine="720"/>
        <w:rPr>
          <w:rFonts w:eastAsia="Times New Roman" w:cs="Times New Roman"/>
          <w:color w:val="000000" w:themeColor="text1"/>
        </w:rPr>
      </w:pPr>
      <w:r w:rsidRPr="00300BD8">
        <w:rPr>
          <w:rFonts w:eastAsia="Times New Roman" w:cs="Times New Roman"/>
          <w:color w:val="000000" w:themeColor="text1"/>
        </w:rPr>
        <w:t>Addressing (2) whether venue remained proper even where alleged misconduct was not immediately related to the asserted place of business, the court emphasized factor (ii), stating that the question “is not one on which there is currently a substantial degree of disagreement or a demonstrated need for immediate appellate resolution.”</w:t>
      </w:r>
      <w:r w:rsidRPr="005A669A">
        <w:rPr>
          <w:rStyle w:val="FootnoteReference"/>
        </w:rPr>
        <w:footnoteReference w:id="720"/>
      </w:r>
      <w:r w:rsidRPr="00300BD8">
        <w:rPr>
          <w:rFonts w:eastAsia="Times New Roman" w:cs="Times New Roman"/>
          <w:color w:val="000000" w:themeColor="text1"/>
        </w:rPr>
        <w:t xml:space="preserve"> The court briefly assessed the statutory language, finding that </w:t>
      </w:r>
      <w:r w:rsidR="00D03546">
        <w:rPr>
          <w:rFonts w:eastAsia="Times New Roman" w:cs="Times New Roman"/>
          <w:color w:val="000000" w:themeColor="text1"/>
        </w:rPr>
        <w:t xml:space="preserve">the </w:t>
      </w:r>
      <w:r w:rsidRPr="00300BD8">
        <w:rPr>
          <w:rFonts w:eastAsia="Times New Roman" w:cs="Times New Roman"/>
          <w:color w:val="000000" w:themeColor="text1"/>
        </w:rPr>
        <w:t xml:space="preserve">“and” </w:t>
      </w:r>
      <w:r w:rsidR="00D03546">
        <w:rPr>
          <w:rFonts w:eastAsia="Times New Roman" w:cs="Times New Roman"/>
          <w:color w:val="000000" w:themeColor="text1"/>
        </w:rPr>
        <w:t>connecting</w:t>
      </w:r>
      <w:r w:rsidRPr="00300BD8">
        <w:rPr>
          <w:rFonts w:eastAsia="Times New Roman" w:cs="Times New Roman"/>
          <w:color w:val="000000" w:themeColor="text1"/>
        </w:rPr>
        <w:t xml:space="preserve"> the </w:t>
      </w:r>
      <w:r w:rsidR="00D03546">
        <w:rPr>
          <w:rFonts w:eastAsia="Times New Roman" w:cs="Times New Roman"/>
          <w:color w:val="000000" w:themeColor="text1"/>
        </w:rPr>
        <w:t xml:space="preserve">requirements (acts of infringement </w:t>
      </w:r>
      <w:r w:rsidR="00D03546" w:rsidRPr="00D03546">
        <w:rPr>
          <w:rFonts w:eastAsia="Times New Roman" w:cs="Times New Roman"/>
          <w:i/>
          <w:color w:val="000000" w:themeColor="text1"/>
        </w:rPr>
        <w:t>and</w:t>
      </w:r>
      <w:r w:rsidR="00D03546">
        <w:rPr>
          <w:rFonts w:eastAsia="Times New Roman" w:cs="Times New Roman"/>
          <w:color w:val="000000" w:themeColor="text1"/>
        </w:rPr>
        <w:t xml:space="preserve"> place of business) </w:t>
      </w:r>
      <w:r w:rsidRPr="00300BD8">
        <w:rPr>
          <w:rFonts w:eastAsia="Times New Roman" w:cs="Times New Roman"/>
          <w:color w:val="000000" w:themeColor="text1"/>
        </w:rPr>
        <w:t>does not necessarily suggest a “tight</w:t>
      </w:r>
      <w:r w:rsidR="00D03546">
        <w:rPr>
          <w:rFonts w:eastAsia="Times New Roman" w:cs="Times New Roman"/>
          <w:color w:val="000000" w:themeColor="text1"/>
        </w:rPr>
        <w:t>[]</w:t>
      </w:r>
      <w:r w:rsidRPr="00300BD8">
        <w:rPr>
          <w:rFonts w:eastAsia="Times New Roman" w:cs="Times New Roman"/>
          <w:color w:val="000000" w:themeColor="text1"/>
        </w:rPr>
        <w:t xml:space="preserve"> linkage” between them; the court also briefly assessed the case law, finding no clear disagreement across circuits.</w:t>
      </w:r>
      <w:r w:rsidRPr="005A669A">
        <w:rPr>
          <w:rStyle w:val="FootnoteReference"/>
        </w:rPr>
        <w:footnoteReference w:id="721"/>
      </w:r>
      <w:r w:rsidRPr="00300BD8">
        <w:rPr>
          <w:rFonts w:eastAsia="Times New Roman" w:cs="Times New Roman"/>
          <w:color w:val="000000" w:themeColor="text1"/>
        </w:rPr>
        <w:t xml:space="preserve"> While denying the petition, the court suggested questions (1) and (2) remain open for resolution upon appeal.</w:t>
      </w:r>
      <w:r w:rsidRPr="005A669A">
        <w:rPr>
          <w:rStyle w:val="FootnoteReference"/>
        </w:rPr>
        <w:footnoteReference w:id="722"/>
      </w:r>
    </w:p>
    <w:p w14:paraId="7057D5B2" w14:textId="348B8CAB" w:rsidR="00692758" w:rsidRDefault="00692758" w:rsidP="00692758">
      <w:pPr>
        <w:rPr>
          <w:rFonts w:eastAsia="Times New Roman" w:cs="Times New Roman"/>
          <w:color w:val="000000" w:themeColor="text1"/>
        </w:rPr>
      </w:pPr>
      <w:r w:rsidRPr="00300BD8">
        <w:rPr>
          <w:rFonts w:eastAsia="Times New Roman" w:cs="Times New Roman"/>
          <w:color w:val="000000" w:themeColor="text1"/>
        </w:rPr>
        <w:tab/>
        <w:t xml:space="preserve">In dissent, Judge Reyna reasoned </w:t>
      </w:r>
      <w:r w:rsidR="003437F7">
        <w:rPr>
          <w:rFonts w:eastAsia="Times New Roman" w:cs="Times New Roman"/>
          <w:color w:val="000000" w:themeColor="text1"/>
        </w:rPr>
        <w:t xml:space="preserve">that the petition </w:t>
      </w:r>
      <w:r w:rsidR="003437F7" w:rsidRPr="00300BD8">
        <w:rPr>
          <w:rFonts w:eastAsia="Times New Roman" w:cs="Times New Roman"/>
          <w:color w:val="000000" w:themeColor="text1"/>
        </w:rPr>
        <w:t>presented a novel and important question for internet businesses</w:t>
      </w:r>
      <w:r w:rsidR="003437F7" w:rsidRPr="005A669A">
        <w:rPr>
          <w:rStyle w:val="FootnoteReference"/>
        </w:rPr>
        <w:footnoteReference w:id="723"/>
      </w:r>
      <w:r w:rsidR="003437F7">
        <w:rPr>
          <w:rFonts w:eastAsia="Times New Roman" w:cs="Times New Roman"/>
          <w:color w:val="000000" w:themeColor="text1"/>
        </w:rPr>
        <w:t xml:space="preserve"> and that granting</w:t>
      </w:r>
      <w:r w:rsidRPr="00300BD8">
        <w:rPr>
          <w:rFonts w:eastAsia="Times New Roman" w:cs="Times New Roman"/>
          <w:color w:val="000000" w:themeColor="text1"/>
        </w:rPr>
        <w:t xml:space="preserve"> petition was warranted for the same reasons </w:t>
      </w:r>
      <w:r w:rsidR="003437F7">
        <w:rPr>
          <w:rFonts w:eastAsia="Times New Roman" w:cs="Times New Roman"/>
          <w:color w:val="000000" w:themeColor="text1"/>
        </w:rPr>
        <w:t>given for granting</w:t>
      </w:r>
      <w:r w:rsidRPr="00300BD8">
        <w:rPr>
          <w:rFonts w:eastAsia="Times New Roman" w:cs="Times New Roman"/>
          <w:color w:val="000000" w:themeColor="text1"/>
        </w:rPr>
        <w:t xml:space="preserve"> other venue-related petitions after </w:t>
      </w:r>
      <w:r w:rsidRPr="00300BD8">
        <w:rPr>
          <w:rFonts w:eastAsia="Times New Roman" w:cs="Times New Roman"/>
          <w:i/>
          <w:color w:val="000000" w:themeColor="text1"/>
        </w:rPr>
        <w:t>TC Heartland</w:t>
      </w:r>
      <w:r w:rsidRPr="00300BD8">
        <w:rPr>
          <w:rFonts w:eastAsia="Times New Roman" w:cs="Times New Roman"/>
          <w:color w:val="000000" w:themeColor="text1"/>
        </w:rPr>
        <w:t>.</w:t>
      </w:r>
      <w:r w:rsidRPr="005A669A">
        <w:rPr>
          <w:rStyle w:val="FootnoteReference"/>
        </w:rPr>
        <w:footnoteReference w:id="724"/>
      </w:r>
      <w:r w:rsidRPr="00300BD8">
        <w:rPr>
          <w:rFonts w:eastAsia="Times New Roman" w:cs="Times New Roman"/>
          <w:color w:val="000000" w:themeColor="text1"/>
        </w:rPr>
        <w:t xml:space="preserve"> Reciting </w:t>
      </w:r>
      <w:r w:rsidRPr="00300BD8">
        <w:rPr>
          <w:rFonts w:eastAsia="Times New Roman" w:cs="Times New Roman"/>
          <w:i/>
          <w:color w:val="000000" w:themeColor="text1"/>
        </w:rPr>
        <w:t>In Re Cray</w:t>
      </w:r>
      <w:r w:rsidRPr="00300BD8">
        <w:rPr>
          <w:rFonts w:eastAsia="Times New Roman" w:cs="Times New Roman"/>
          <w:color w:val="000000" w:themeColor="text1"/>
        </w:rPr>
        <w:t>, Judge Reyna stated</w:t>
      </w:r>
      <w:r w:rsidRPr="00300BD8">
        <w:rPr>
          <w:rFonts w:eastAsia="Times New Roman" w:cs="Times New Roman"/>
          <w:i/>
          <w:color w:val="000000" w:themeColor="text1"/>
        </w:rPr>
        <w:t xml:space="preserve"> </w:t>
      </w:r>
      <w:r w:rsidRPr="00300BD8">
        <w:rPr>
          <w:rFonts w:eastAsia="Times New Roman" w:cs="Times New Roman"/>
          <w:color w:val="000000" w:themeColor="text1"/>
        </w:rPr>
        <w:t>that § 1400(b) requires a physical “place” and “cannot be read to refer . . . merely to a virtual space or to electronic communications from one person to another”;</w:t>
      </w:r>
      <w:r w:rsidRPr="005A669A">
        <w:rPr>
          <w:rStyle w:val="FootnoteReference"/>
        </w:rPr>
        <w:footnoteReference w:id="725"/>
      </w:r>
      <w:r w:rsidRPr="00300BD8">
        <w:rPr>
          <w:rFonts w:eastAsia="Times New Roman" w:cs="Times New Roman"/>
          <w:color w:val="000000" w:themeColor="text1"/>
        </w:rPr>
        <w:t xml:space="preserve"> further, Congress intended a more restrictive test for venue in patent than in other cases.</w:t>
      </w:r>
      <w:r w:rsidRPr="005A669A">
        <w:rPr>
          <w:rStyle w:val="FootnoteReference"/>
        </w:rPr>
        <w:footnoteReference w:id="726"/>
      </w:r>
      <w:r w:rsidRPr="00300BD8">
        <w:rPr>
          <w:rFonts w:eastAsia="Times New Roman" w:cs="Times New Roman"/>
          <w:color w:val="000000" w:themeColor="text1"/>
        </w:rPr>
        <w:t xml:space="preserve"> In light of this, the district court’s reading of § 1400(b) to allow server ownership to suffice for a place of business seemed broader than even the </w:t>
      </w:r>
      <w:r w:rsidRPr="00300BD8">
        <w:rPr>
          <w:rFonts w:eastAsia="Times New Roman" w:cs="Times New Roman"/>
          <w:color w:val="000000" w:themeColor="text1"/>
        </w:rPr>
        <w:lastRenderedPageBreak/>
        <w:t xml:space="preserve">reading </w:t>
      </w:r>
      <w:r w:rsidRPr="00300BD8">
        <w:rPr>
          <w:rFonts w:eastAsia="Times New Roman" w:cs="Times New Roman"/>
          <w:i/>
          <w:color w:val="000000" w:themeColor="text1"/>
        </w:rPr>
        <w:t>In Re Cray</w:t>
      </w:r>
      <w:r w:rsidR="000A143C">
        <w:rPr>
          <w:rFonts w:eastAsia="Times New Roman" w:cs="Times New Roman"/>
          <w:i/>
          <w:color w:val="000000" w:themeColor="text1"/>
        </w:rPr>
        <w:t xml:space="preserve"> </w:t>
      </w:r>
      <w:r w:rsidR="000A143C">
        <w:rPr>
          <w:rFonts w:eastAsia="Times New Roman" w:cs="Times New Roman"/>
          <w:color w:val="000000" w:themeColor="text1"/>
        </w:rPr>
        <w:t>rejected</w:t>
      </w:r>
      <w:r w:rsidRPr="00300BD8">
        <w:rPr>
          <w:rFonts w:eastAsia="Times New Roman" w:cs="Times New Roman"/>
          <w:color w:val="000000" w:themeColor="text1"/>
        </w:rPr>
        <w:t>.</w:t>
      </w:r>
      <w:r w:rsidRPr="005A669A">
        <w:rPr>
          <w:rStyle w:val="FootnoteReference"/>
        </w:rPr>
        <w:footnoteReference w:id="727"/>
      </w:r>
      <w:r w:rsidRPr="00300BD8">
        <w:rPr>
          <w:rFonts w:eastAsia="Times New Roman" w:cs="Times New Roman"/>
          <w:color w:val="000000" w:themeColor="text1"/>
        </w:rPr>
        <w:t xml:space="preserve"> That case denied venue where a company employee used a home office in the district—an outcome that should hardly rest, Judge Reyna reasoned, on whether the employee used a company-owned computer.</w:t>
      </w:r>
      <w:r w:rsidRPr="005A669A">
        <w:rPr>
          <w:rStyle w:val="FootnoteReference"/>
        </w:rPr>
        <w:footnoteReference w:id="728"/>
      </w:r>
      <w:r w:rsidRPr="00300BD8">
        <w:rPr>
          <w:rFonts w:eastAsia="Times New Roman" w:cs="Times New Roman"/>
          <w:color w:val="000000" w:themeColor="text1"/>
        </w:rPr>
        <w:t xml:space="preserve"> Judge Reyna cited conflicting case law across circuits</w:t>
      </w:r>
      <w:r w:rsidRPr="005A669A">
        <w:rPr>
          <w:rStyle w:val="FootnoteReference"/>
        </w:rPr>
        <w:footnoteReference w:id="729"/>
      </w:r>
      <w:r w:rsidRPr="00300BD8">
        <w:rPr>
          <w:rFonts w:eastAsia="Times New Roman" w:cs="Times New Roman"/>
          <w:color w:val="000000" w:themeColor="text1"/>
        </w:rPr>
        <w:t xml:space="preserve"> as to whether a company should be “subject to venue in any judicial district in which a [server or a] physical object belonging to the company [like a vending machine] was located”</w:t>
      </w:r>
      <w:r w:rsidRPr="005A669A">
        <w:rPr>
          <w:rStyle w:val="FootnoteReference"/>
        </w:rPr>
        <w:footnoteReference w:id="730"/>
      </w:r>
      <w:r w:rsidRPr="00300BD8">
        <w:rPr>
          <w:rFonts w:eastAsia="Times New Roman" w:cs="Times New Roman"/>
          <w:color w:val="000000" w:themeColor="text1"/>
        </w:rPr>
        <w:t xml:space="preserve">—and </w:t>
      </w:r>
      <w:r w:rsidR="000A143C">
        <w:rPr>
          <w:rFonts w:eastAsia="Times New Roman" w:cs="Times New Roman"/>
          <w:color w:val="000000" w:themeColor="text1"/>
        </w:rPr>
        <w:t>urged</w:t>
      </w:r>
      <w:r w:rsidRPr="00300BD8">
        <w:rPr>
          <w:rFonts w:eastAsia="Times New Roman" w:cs="Times New Roman"/>
          <w:color w:val="000000" w:themeColor="text1"/>
        </w:rPr>
        <w:t xml:space="preserve"> </w:t>
      </w:r>
      <w:r w:rsidR="000A143C">
        <w:rPr>
          <w:rFonts w:eastAsia="Times New Roman" w:cs="Times New Roman"/>
          <w:color w:val="000000" w:themeColor="text1"/>
        </w:rPr>
        <w:t xml:space="preserve">judicial </w:t>
      </w:r>
      <w:r w:rsidRPr="00300BD8">
        <w:rPr>
          <w:rFonts w:eastAsia="Times New Roman" w:cs="Times New Roman"/>
          <w:color w:val="000000" w:themeColor="text1"/>
        </w:rPr>
        <w:t xml:space="preserve">clarification. </w:t>
      </w:r>
    </w:p>
    <w:p w14:paraId="68A04746" w14:textId="39A79C5A" w:rsidR="00D60C9F" w:rsidRDefault="00D60C9F" w:rsidP="00692758">
      <w:pPr>
        <w:rPr>
          <w:rFonts w:eastAsia="Times New Roman" w:cs="Times New Roman"/>
          <w:color w:val="000000" w:themeColor="text1"/>
        </w:rPr>
      </w:pPr>
      <w:r>
        <w:rPr>
          <w:rFonts w:eastAsia="Times New Roman" w:cs="Times New Roman"/>
          <w:color w:val="000000" w:themeColor="text1"/>
        </w:rPr>
        <w:tab/>
      </w:r>
      <w:r>
        <w:rPr>
          <w:rFonts w:eastAsia="Times New Roman" w:cs="Times New Roman"/>
          <w:b/>
          <w:color w:val="000000" w:themeColor="text1"/>
        </w:rPr>
        <w:t>Denied Rehearing</w:t>
      </w:r>
      <w:r>
        <w:rPr>
          <w:rFonts w:eastAsia="Times New Roman" w:cs="Times New Roman"/>
          <w:color w:val="000000" w:themeColor="text1"/>
        </w:rPr>
        <w:t>:</w:t>
      </w:r>
      <w:r w:rsidR="00C17153">
        <w:rPr>
          <w:rFonts w:eastAsia="Times New Roman" w:cs="Times New Roman"/>
          <w:color w:val="000000" w:themeColor="text1"/>
        </w:rPr>
        <w:t xml:space="preserve"> </w:t>
      </w:r>
      <w:r w:rsidR="00870F99">
        <w:rPr>
          <w:rFonts w:eastAsia="Times New Roman" w:cs="Times New Roman"/>
          <w:color w:val="000000" w:themeColor="text1"/>
        </w:rPr>
        <w:t>Google’s</w:t>
      </w:r>
      <w:r w:rsidR="00C17153">
        <w:rPr>
          <w:rFonts w:eastAsia="Times New Roman" w:cs="Times New Roman"/>
          <w:color w:val="000000" w:themeColor="text1"/>
        </w:rPr>
        <w:t xml:space="preserve"> request for panel or </w:t>
      </w:r>
      <w:r w:rsidR="00C17153">
        <w:rPr>
          <w:rFonts w:eastAsia="Times New Roman" w:cs="Times New Roman"/>
          <w:i/>
          <w:color w:val="000000" w:themeColor="text1"/>
        </w:rPr>
        <w:t xml:space="preserve">en banc </w:t>
      </w:r>
      <w:r w:rsidR="00C17153">
        <w:rPr>
          <w:rFonts w:eastAsia="Times New Roman" w:cs="Times New Roman"/>
          <w:color w:val="000000" w:themeColor="text1"/>
        </w:rPr>
        <w:t>rehearing</w:t>
      </w:r>
      <w:r w:rsidR="00870F99">
        <w:rPr>
          <w:rFonts w:eastAsia="Times New Roman" w:cs="Times New Roman"/>
          <w:color w:val="000000" w:themeColor="text1"/>
        </w:rPr>
        <w:t xml:space="preserve"> was denied without explanation.</w:t>
      </w:r>
      <w:r w:rsidR="00870F99" w:rsidRPr="005A669A">
        <w:rPr>
          <w:rStyle w:val="FootnoteReference"/>
        </w:rPr>
        <w:footnoteReference w:id="731"/>
      </w:r>
    </w:p>
    <w:p w14:paraId="7AD21312" w14:textId="68C4908C" w:rsidR="003837F1" w:rsidRPr="00D60C9F" w:rsidRDefault="00870F99" w:rsidP="00692758">
      <w:pPr>
        <w:rPr>
          <w:rFonts w:eastAsia="Times New Roman" w:cs="Times New Roman"/>
          <w:color w:val="000000" w:themeColor="text1"/>
        </w:rPr>
      </w:pPr>
      <w:r>
        <w:rPr>
          <w:rFonts w:eastAsia="Times New Roman" w:cs="Times New Roman"/>
          <w:color w:val="000000" w:themeColor="text1"/>
        </w:rPr>
        <w:tab/>
        <w:t>Judge Reyna</w:t>
      </w:r>
      <w:r w:rsidR="008618D2">
        <w:rPr>
          <w:rFonts w:eastAsia="Times New Roman" w:cs="Times New Roman"/>
          <w:color w:val="000000" w:themeColor="text1"/>
        </w:rPr>
        <w:t xml:space="preserve">, </w:t>
      </w:r>
      <w:r>
        <w:rPr>
          <w:rFonts w:eastAsia="Times New Roman" w:cs="Times New Roman"/>
          <w:color w:val="000000" w:themeColor="text1"/>
        </w:rPr>
        <w:t>Judge Newman</w:t>
      </w:r>
      <w:r w:rsidR="008618D2">
        <w:rPr>
          <w:rFonts w:eastAsia="Times New Roman" w:cs="Times New Roman"/>
          <w:color w:val="000000" w:themeColor="text1"/>
        </w:rPr>
        <w:t>,</w:t>
      </w:r>
      <w:r>
        <w:rPr>
          <w:rFonts w:eastAsia="Times New Roman" w:cs="Times New Roman"/>
          <w:color w:val="000000" w:themeColor="text1"/>
        </w:rPr>
        <w:t xml:space="preserve"> and Judge Lourie</w:t>
      </w:r>
      <w:r w:rsidR="008618D2">
        <w:rPr>
          <w:rFonts w:eastAsia="Times New Roman" w:cs="Times New Roman"/>
          <w:color w:val="000000" w:themeColor="text1"/>
        </w:rPr>
        <w:t xml:space="preserve"> dissented</w:t>
      </w:r>
      <w:r w:rsidR="007F6A8F">
        <w:rPr>
          <w:rFonts w:eastAsia="Times New Roman" w:cs="Times New Roman"/>
          <w:color w:val="000000" w:themeColor="text1"/>
        </w:rPr>
        <w:t xml:space="preserve"> from the denial of rehearing en banc</w:t>
      </w:r>
      <w:r w:rsidR="008618D2">
        <w:rPr>
          <w:rFonts w:eastAsia="Times New Roman" w:cs="Times New Roman"/>
          <w:color w:val="000000" w:themeColor="text1"/>
        </w:rPr>
        <w:t>.</w:t>
      </w:r>
      <w:r w:rsidR="008618D2" w:rsidRPr="005A669A">
        <w:rPr>
          <w:rStyle w:val="FootnoteReference"/>
        </w:rPr>
        <w:footnoteReference w:id="732"/>
      </w:r>
      <w:r w:rsidR="00A73D62">
        <w:rPr>
          <w:rFonts w:eastAsia="Times New Roman" w:cs="Times New Roman"/>
          <w:color w:val="000000" w:themeColor="text1"/>
        </w:rPr>
        <w:t xml:space="preserve"> </w:t>
      </w:r>
      <w:r w:rsidR="00822F6D">
        <w:rPr>
          <w:rFonts w:eastAsia="Times New Roman" w:cs="Times New Roman"/>
          <w:color w:val="000000" w:themeColor="text1"/>
        </w:rPr>
        <w:t>D</w:t>
      </w:r>
      <w:r w:rsidR="00007D1A">
        <w:rPr>
          <w:rFonts w:eastAsia="Times New Roman" w:cs="Times New Roman"/>
          <w:color w:val="000000" w:themeColor="text1"/>
        </w:rPr>
        <w:t>eclining to issue</w:t>
      </w:r>
      <w:r w:rsidR="007F6A8F">
        <w:rPr>
          <w:rFonts w:eastAsia="Times New Roman" w:cs="Times New Roman"/>
          <w:color w:val="000000" w:themeColor="text1"/>
        </w:rPr>
        <w:t xml:space="preserve"> the</w:t>
      </w:r>
      <w:r w:rsidR="00007D1A">
        <w:rPr>
          <w:rFonts w:eastAsia="Times New Roman" w:cs="Times New Roman"/>
          <w:color w:val="000000" w:themeColor="text1"/>
        </w:rPr>
        <w:t xml:space="preserve"> writ </w:t>
      </w:r>
      <w:r w:rsidR="000E1BA5">
        <w:rPr>
          <w:rFonts w:eastAsia="Times New Roman" w:cs="Times New Roman"/>
          <w:color w:val="000000" w:themeColor="text1"/>
        </w:rPr>
        <w:t xml:space="preserve">ignored litigants’ </w:t>
      </w:r>
      <w:r w:rsidR="00822F6D">
        <w:rPr>
          <w:rFonts w:eastAsia="Times New Roman" w:cs="Times New Roman"/>
          <w:color w:val="000000" w:themeColor="text1"/>
        </w:rPr>
        <w:t xml:space="preserve">venue-related </w:t>
      </w:r>
      <w:r w:rsidR="008D5F86">
        <w:rPr>
          <w:rFonts w:eastAsia="Times New Roman" w:cs="Times New Roman"/>
          <w:color w:val="000000" w:themeColor="text1"/>
        </w:rPr>
        <w:t>due process concerns</w:t>
      </w:r>
      <w:r w:rsidR="00822F6D">
        <w:rPr>
          <w:rFonts w:eastAsia="Times New Roman" w:cs="Times New Roman"/>
          <w:color w:val="000000" w:themeColor="text1"/>
        </w:rPr>
        <w:t>.</w:t>
      </w:r>
      <w:r w:rsidR="00822F6D" w:rsidRPr="005A669A">
        <w:rPr>
          <w:rStyle w:val="FootnoteReference"/>
        </w:rPr>
        <w:footnoteReference w:id="733"/>
      </w:r>
      <w:r w:rsidR="008D5F86">
        <w:rPr>
          <w:rFonts w:eastAsia="Times New Roman" w:cs="Times New Roman"/>
          <w:color w:val="000000" w:themeColor="text1"/>
        </w:rPr>
        <w:t xml:space="preserve"> </w:t>
      </w:r>
      <w:r w:rsidR="00980572">
        <w:rPr>
          <w:rFonts w:eastAsia="Times New Roman" w:cs="Times New Roman"/>
          <w:color w:val="000000" w:themeColor="text1"/>
        </w:rPr>
        <w:t>And</w:t>
      </w:r>
      <w:r w:rsidR="00F127D2">
        <w:rPr>
          <w:rFonts w:eastAsia="Times New Roman" w:cs="Times New Roman"/>
          <w:color w:val="000000" w:themeColor="text1"/>
        </w:rPr>
        <w:t xml:space="preserve"> it</w:t>
      </w:r>
      <w:r w:rsidR="000E1BA5">
        <w:rPr>
          <w:rFonts w:eastAsia="Times New Roman" w:cs="Times New Roman"/>
          <w:color w:val="000000" w:themeColor="text1"/>
        </w:rPr>
        <w:t xml:space="preserve"> </w:t>
      </w:r>
      <w:r w:rsidR="008D5F86">
        <w:rPr>
          <w:rFonts w:eastAsia="Times New Roman" w:cs="Times New Roman"/>
          <w:color w:val="000000" w:themeColor="text1"/>
        </w:rPr>
        <w:t xml:space="preserve">abdicated </w:t>
      </w:r>
      <w:r w:rsidR="000E1BA5">
        <w:rPr>
          <w:rFonts w:eastAsia="Times New Roman" w:cs="Times New Roman"/>
          <w:color w:val="000000" w:themeColor="text1"/>
        </w:rPr>
        <w:t>the</w:t>
      </w:r>
      <w:r w:rsidR="008D5F86">
        <w:rPr>
          <w:rFonts w:eastAsia="Times New Roman" w:cs="Times New Roman"/>
          <w:color w:val="000000" w:themeColor="text1"/>
        </w:rPr>
        <w:t xml:space="preserve"> Federal Circuit</w:t>
      </w:r>
      <w:r w:rsidR="000E1BA5">
        <w:rPr>
          <w:rFonts w:eastAsia="Times New Roman" w:cs="Times New Roman"/>
          <w:color w:val="000000" w:themeColor="text1"/>
        </w:rPr>
        <w:t>’s</w:t>
      </w:r>
      <w:r w:rsidR="008D5F86">
        <w:rPr>
          <w:rFonts w:eastAsia="Times New Roman" w:cs="Times New Roman"/>
          <w:color w:val="000000" w:themeColor="text1"/>
        </w:rPr>
        <w:t xml:space="preserve"> “supervisory and instructional roles</w:t>
      </w:r>
      <w:r w:rsidR="00980572">
        <w:rPr>
          <w:rFonts w:eastAsia="Times New Roman" w:cs="Times New Roman"/>
          <w:color w:val="000000" w:themeColor="text1"/>
        </w:rPr>
        <w:t>,</w:t>
      </w:r>
      <w:r w:rsidR="008D5F86">
        <w:rPr>
          <w:rFonts w:eastAsia="Times New Roman" w:cs="Times New Roman"/>
          <w:color w:val="000000" w:themeColor="text1"/>
        </w:rPr>
        <w:t xml:space="preserve">” </w:t>
      </w:r>
      <w:r w:rsidR="00980572">
        <w:rPr>
          <w:rFonts w:eastAsia="Times New Roman" w:cs="Times New Roman"/>
          <w:color w:val="000000" w:themeColor="text1"/>
        </w:rPr>
        <w:t>threatening</w:t>
      </w:r>
      <w:r w:rsidR="00F127D2">
        <w:rPr>
          <w:rFonts w:eastAsia="Times New Roman" w:cs="Times New Roman"/>
          <w:color w:val="000000" w:themeColor="text1"/>
        </w:rPr>
        <w:t xml:space="preserve"> the “uniformity and predictability” that</w:t>
      </w:r>
      <w:r w:rsidR="000E1BA5">
        <w:rPr>
          <w:rFonts w:eastAsia="Times New Roman" w:cs="Times New Roman"/>
          <w:color w:val="000000" w:themeColor="text1"/>
        </w:rPr>
        <w:t xml:space="preserve"> </w:t>
      </w:r>
      <w:r w:rsidR="008619D0">
        <w:rPr>
          <w:rFonts w:eastAsia="Times New Roman" w:cs="Times New Roman"/>
          <w:color w:val="000000" w:themeColor="text1"/>
        </w:rPr>
        <w:t>Judge Dyk</w:t>
      </w:r>
      <w:r w:rsidR="00822F6D">
        <w:rPr>
          <w:rFonts w:eastAsia="Times New Roman" w:cs="Times New Roman"/>
          <w:color w:val="000000" w:themeColor="text1"/>
        </w:rPr>
        <w:t xml:space="preserve">, in a law review article, had </w:t>
      </w:r>
      <w:r w:rsidR="00F127D2">
        <w:rPr>
          <w:rFonts w:eastAsia="Times New Roman" w:cs="Times New Roman"/>
          <w:color w:val="000000" w:themeColor="text1"/>
        </w:rPr>
        <w:t>called</w:t>
      </w:r>
      <w:r w:rsidR="00822F6D">
        <w:rPr>
          <w:rFonts w:eastAsia="Times New Roman" w:cs="Times New Roman"/>
          <w:color w:val="000000" w:themeColor="text1"/>
        </w:rPr>
        <w:t xml:space="preserve"> </w:t>
      </w:r>
      <w:r w:rsidR="00F127D2">
        <w:rPr>
          <w:rFonts w:eastAsia="Times New Roman" w:cs="Times New Roman"/>
          <w:color w:val="000000" w:themeColor="text1"/>
        </w:rPr>
        <w:t>the</w:t>
      </w:r>
      <w:r w:rsidR="00822F6D">
        <w:rPr>
          <w:rFonts w:eastAsia="Times New Roman" w:cs="Times New Roman"/>
          <w:color w:val="000000" w:themeColor="text1"/>
        </w:rPr>
        <w:t xml:space="preserve"> “cornerstone</w:t>
      </w:r>
      <w:r w:rsidR="00F127D2">
        <w:rPr>
          <w:rFonts w:eastAsia="Times New Roman" w:cs="Times New Roman"/>
          <w:color w:val="000000" w:themeColor="text1"/>
        </w:rPr>
        <w:t>[]</w:t>
      </w:r>
      <w:r w:rsidR="00822F6D">
        <w:rPr>
          <w:rFonts w:eastAsia="Times New Roman" w:cs="Times New Roman"/>
          <w:color w:val="000000" w:themeColor="text1"/>
        </w:rPr>
        <w:t xml:space="preserve"> </w:t>
      </w:r>
      <w:r w:rsidR="00F127D2">
        <w:rPr>
          <w:rFonts w:eastAsia="Times New Roman" w:cs="Times New Roman"/>
          <w:color w:val="000000" w:themeColor="text1"/>
        </w:rPr>
        <w:t xml:space="preserve">of a </w:t>
      </w:r>
      <w:r w:rsidR="00D66761">
        <w:rPr>
          <w:rFonts w:eastAsia="Times New Roman" w:cs="Times New Roman"/>
          <w:color w:val="000000" w:themeColor="text1"/>
        </w:rPr>
        <w:t>well-functioning patent system</w:t>
      </w:r>
      <w:r w:rsidR="00822F6D">
        <w:rPr>
          <w:rFonts w:eastAsia="Times New Roman" w:cs="Times New Roman"/>
          <w:color w:val="000000" w:themeColor="text1"/>
        </w:rPr>
        <w:t>.</w:t>
      </w:r>
      <w:r w:rsidR="00D66761">
        <w:rPr>
          <w:rFonts w:eastAsia="Times New Roman" w:cs="Times New Roman"/>
          <w:color w:val="000000" w:themeColor="text1"/>
        </w:rPr>
        <w:t>”</w:t>
      </w:r>
      <w:r w:rsidR="00D66761" w:rsidRPr="005A669A">
        <w:rPr>
          <w:rStyle w:val="FootnoteReference"/>
        </w:rPr>
        <w:footnoteReference w:id="734"/>
      </w:r>
      <w:r w:rsidR="00D66761">
        <w:rPr>
          <w:rFonts w:eastAsia="Times New Roman" w:cs="Times New Roman"/>
          <w:color w:val="000000" w:themeColor="text1"/>
        </w:rPr>
        <w:t xml:space="preserve"> </w:t>
      </w:r>
      <w:r w:rsidR="008021BE">
        <w:rPr>
          <w:rFonts w:eastAsia="Times New Roman" w:cs="Times New Roman"/>
          <w:color w:val="000000" w:themeColor="text1"/>
        </w:rPr>
        <w:t xml:space="preserve">Those fears were materializing. </w:t>
      </w:r>
      <w:r w:rsidR="005D7386">
        <w:rPr>
          <w:rFonts w:eastAsia="Times New Roman" w:cs="Times New Roman"/>
          <w:color w:val="000000" w:themeColor="text1"/>
        </w:rPr>
        <w:t>In the time since the panel’s denial, “</w:t>
      </w:r>
      <w:r w:rsidR="005D7386" w:rsidRPr="005D7386">
        <w:rPr>
          <w:rFonts w:eastAsia="Times New Roman" w:cs="Times New Roman"/>
          <w:color w:val="000000" w:themeColor="text1"/>
        </w:rPr>
        <w:t>another</w:t>
      </w:r>
      <w:r w:rsidR="005D7386">
        <w:rPr>
          <w:rFonts w:eastAsia="Times New Roman" w:cs="Times New Roman"/>
          <w:color w:val="000000" w:themeColor="text1"/>
        </w:rPr>
        <w:t xml:space="preserve"> </w:t>
      </w:r>
      <w:r w:rsidR="005D7386" w:rsidRPr="005D7386">
        <w:rPr>
          <w:rFonts w:eastAsia="Times New Roman" w:cs="Times New Roman"/>
          <w:color w:val="000000" w:themeColor="text1"/>
        </w:rPr>
        <w:t>district</w:t>
      </w:r>
      <w:r w:rsidR="005D7386">
        <w:rPr>
          <w:rFonts w:eastAsia="Times New Roman" w:cs="Times New Roman"/>
          <w:color w:val="000000" w:themeColor="text1"/>
        </w:rPr>
        <w:t xml:space="preserve"> </w:t>
      </w:r>
      <w:r w:rsidR="005D7386" w:rsidRPr="005D7386">
        <w:rPr>
          <w:rFonts w:eastAsia="Times New Roman" w:cs="Times New Roman"/>
          <w:color w:val="000000" w:themeColor="text1"/>
        </w:rPr>
        <w:t>court,</w:t>
      </w:r>
      <w:r w:rsidR="005D7386">
        <w:rPr>
          <w:rFonts w:eastAsia="Times New Roman" w:cs="Times New Roman"/>
          <w:color w:val="000000" w:themeColor="text1"/>
        </w:rPr>
        <w:t xml:space="preserve"> </w:t>
      </w:r>
      <w:r w:rsidR="005D7386" w:rsidRPr="005D7386">
        <w:rPr>
          <w:rFonts w:eastAsia="Times New Roman" w:cs="Times New Roman"/>
          <w:color w:val="000000" w:themeColor="text1"/>
        </w:rPr>
        <w:t>in</w:t>
      </w:r>
      <w:r w:rsidR="005D7386">
        <w:rPr>
          <w:rFonts w:eastAsia="Times New Roman" w:cs="Times New Roman"/>
          <w:color w:val="000000" w:themeColor="text1"/>
        </w:rPr>
        <w:t xml:space="preserve"> </w:t>
      </w:r>
      <w:r w:rsidR="005D7386" w:rsidRPr="005D7386">
        <w:rPr>
          <w:rFonts w:eastAsia="Times New Roman" w:cs="Times New Roman"/>
          <w:color w:val="000000" w:themeColor="text1"/>
        </w:rPr>
        <w:t>the</w:t>
      </w:r>
      <w:r w:rsidR="005D7386">
        <w:rPr>
          <w:rFonts w:eastAsia="Times New Roman" w:cs="Times New Roman"/>
          <w:color w:val="000000" w:themeColor="text1"/>
        </w:rPr>
        <w:t xml:space="preserve"> </w:t>
      </w:r>
      <w:r w:rsidR="005D7386" w:rsidRPr="005D7386">
        <w:rPr>
          <w:rFonts w:eastAsia="Times New Roman" w:cs="Times New Roman"/>
          <w:color w:val="000000" w:themeColor="text1"/>
        </w:rPr>
        <w:t>Northern</w:t>
      </w:r>
      <w:r w:rsidR="005D7386">
        <w:rPr>
          <w:rFonts w:eastAsia="Times New Roman" w:cs="Times New Roman"/>
          <w:color w:val="000000" w:themeColor="text1"/>
        </w:rPr>
        <w:t xml:space="preserve"> </w:t>
      </w:r>
      <w:r w:rsidR="005D7386" w:rsidRPr="005D7386">
        <w:rPr>
          <w:rFonts w:eastAsia="Times New Roman" w:cs="Times New Roman"/>
          <w:color w:val="000000" w:themeColor="text1"/>
        </w:rPr>
        <w:t>District</w:t>
      </w:r>
      <w:r w:rsidR="005D7386">
        <w:rPr>
          <w:rFonts w:eastAsia="Times New Roman" w:cs="Times New Roman"/>
          <w:color w:val="000000" w:themeColor="text1"/>
        </w:rPr>
        <w:t xml:space="preserve"> </w:t>
      </w:r>
      <w:r w:rsidR="005D7386" w:rsidRPr="005D7386">
        <w:rPr>
          <w:rFonts w:eastAsia="Times New Roman" w:cs="Times New Roman"/>
          <w:color w:val="000000" w:themeColor="text1"/>
        </w:rPr>
        <w:t>of</w:t>
      </w:r>
      <w:r w:rsidR="005D7386">
        <w:rPr>
          <w:rFonts w:eastAsia="Times New Roman" w:cs="Times New Roman"/>
          <w:color w:val="000000" w:themeColor="text1"/>
        </w:rPr>
        <w:t xml:space="preserve"> </w:t>
      </w:r>
      <w:r w:rsidR="005D7386" w:rsidRPr="005D7386">
        <w:rPr>
          <w:rFonts w:eastAsia="Times New Roman" w:cs="Times New Roman"/>
          <w:color w:val="000000" w:themeColor="text1"/>
        </w:rPr>
        <w:t>Texas,</w:t>
      </w:r>
      <w:r w:rsidR="005D7386">
        <w:rPr>
          <w:rFonts w:eastAsia="Times New Roman" w:cs="Times New Roman"/>
          <w:color w:val="000000" w:themeColor="text1"/>
        </w:rPr>
        <w:t xml:space="preserve"> </w:t>
      </w:r>
      <w:r w:rsidR="005D7386" w:rsidRPr="005D7386">
        <w:rPr>
          <w:rFonts w:eastAsia="Times New Roman" w:cs="Times New Roman"/>
          <w:color w:val="000000" w:themeColor="text1"/>
        </w:rPr>
        <w:t>faced the identical legal issue in a case with a different defendant—</w:t>
      </w:r>
      <w:r w:rsidR="005D7386">
        <w:rPr>
          <w:rFonts w:eastAsia="Times New Roman" w:cs="Times New Roman"/>
          <w:color w:val="000000" w:themeColor="text1"/>
        </w:rPr>
        <w:t>'</w:t>
      </w:r>
      <w:r w:rsidR="005D7386" w:rsidRPr="005D7386">
        <w:rPr>
          <w:rFonts w:eastAsia="Times New Roman" w:cs="Times New Roman"/>
          <w:color w:val="000000" w:themeColor="text1"/>
        </w:rPr>
        <w:t>whether the presence of [defendant’s] servers at a data center owned by a third party constitutes a regular and established place of business</w:t>
      </w:r>
      <w:r w:rsidR="005D7386">
        <w:rPr>
          <w:rFonts w:eastAsia="Times New Roman" w:cs="Times New Roman"/>
          <w:color w:val="000000" w:themeColor="text1"/>
        </w:rPr>
        <w:t>’</w:t>
      </w:r>
      <w:r w:rsidR="005D7386" w:rsidRPr="005D7386">
        <w:rPr>
          <w:rFonts w:eastAsia="Times New Roman" w:cs="Times New Roman"/>
          <w:color w:val="000000" w:themeColor="text1"/>
        </w:rPr>
        <w:t>—and concluded that they did not.</w:t>
      </w:r>
      <w:r w:rsidR="005D7386">
        <w:rPr>
          <w:rFonts w:eastAsia="Times New Roman" w:cs="Times New Roman"/>
          <w:color w:val="000000" w:themeColor="text1"/>
        </w:rPr>
        <w:t>”</w:t>
      </w:r>
      <w:r w:rsidR="005D7386" w:rsidRPr="005A669A">
        <w:rPr>
          <w:rStyle w:val="FootnoteReference"/>
        </w:rPr>
        <w:footnoteReference w:id="735"/>
      </w:r>
      <w:r w:rsidR="005D7386" w:rsidRPr="005D7386">
        <w:rPr>
          <w:rFonts w:eastAsia="Times New Roman" w:cs="Times New Roman"/>
          <w:color w:val="000000" w:themeColor="text1"/>
        </w:rPr>
        <w:t xml:space="preserve"> </w:t>
      </w:r>
      <w:r w:rsidR="00A96223">
        <w:rPr>
          <w:rFonts w:eastAsia="Times New Roman" w:cs="Times New Roman"/>
          <w:color w:val="000000" w:themeColor="text1"/>
        </w:rPr>
        <w:t>The judge there noted the “‘far reaching consequences’ of concluding that venue was proper, which would ‘distort the scope of the statue.’”</w:t>
      </w:r>
      <w:r w:rsidR="00402D98" w:rsidRPr="005A669A">
        <w:rPr>
          <w:rStyle w:val="FootnoteReference"/>
        </w:rPr>
        <w:footnoteReference w:id="736"/>
      </w:r>
      <w:r w:rsidR="00F86052">
        <w:rPr>
          <w:rFonts w:eastAsia="Times New Roman" w:cs="Times New Roman"/>
          <w:color w:val="000000" w:themeColor="text1"/>
        </w:rPr>
        <w:t xml:space="preserve"> </w:t>
      </w:r>
      <w:r w:rsidR="00B828DA">
        <w:rPr>
          <w:rFonts w:eastAsia="Times New Roman" w:cs="Times New Roman"/>
          <w:color w:val="000000" w:themeColor="text1"/>
        </w:rPr>
        <w:t xml:space="preserve">Indeed, </w:t>
      </w:r>
      <w:r w:rsidR="00F86052">
        <w:rPr>
          <w:rFonts w:eastAsia="Times New Roman" w:cs="Times New Roman"/>
          <w:color w:val="000000" w:themeColor="text1"/>
        </w:rPr>
        <w:t>Google had been sued thirty-four times in the same district on the same venue theory since the panel’s earlier opinion, and amici internet companies faced similar suits.</w:t>
      </w:r>
      <w:r w:rsidR="00F86052" w:rsidRPr="005A669A">
        <w:rPr>
          <w:rStyle w:val="FootnoteReference"/>
        </w:rPr>
        <w:footnoteReference w:id="737"/>
      </w:r>
      <w:r w:rsidR="00B960E5">
        <w:rPr>
          <w:rFonts w:eastAsia="Times New Roman" w:cs="Times New Roman"/>
          <w:color w:val="000000" w:themeColor="text1"/>
        </w:rPr>
        <w:t xml:space="preserve"> Judge Reyna feared “the </w:t>
      </w:r>
      <w:r w:rsidR="00B960E5" w:rsidRPr="00B960E5">
        <w:rPr>
          <w:rFonts w:eastAsia="Times New Roman" w:cs="Times New Roman"/>
          <w:color w:val="000000" w:themeColor="text1"/>
        </w:rPr>
        <w:t xml:space="preserve">district court’s </w:t>
      </w:r>
      <w:r w:rsidR="00B960E5">
        <w:rPr>
          <w:rFonts w:eastAsia="Times New Roman" w:cs="Times New Roman"/>
          <w:color w:val="000000" w:themeColor="text1"/>
        </w:rPr>
        <w:t>[theory, if not countered,]</w:t>
      </w:r>
      <w:r w:rsidR="00B960E5" w:rsidRPr="00B960E5">
        <w:rPr>
          <w:rFonts w:eastAsia="Times New Roman" w:cs="Times New Roman"/>
          <w:color w:val="000000" w:themeColor="text1"/>
        </w:rPr>
        <w:t xml:space="preserve"> could essentially reestablish nationwide venue, in conflict with </w:t>
      </w:r>
      <w:r w:rsidR="00B960E5" w:rsidRPr="00B960E5">
        <w:rPr>
          <w:rFonts w:eastAsia="Times New Roman" w:cs="Times New Roman"/>
          <w:i/>
          <w:color w:val="000000" w:themeColor="text1"/>
        </w:rPr>
        <w:t>TC Heartland</w:t>
      </w:r>
      <w:r w:rsidR="00B960E5" w:rsidRPr="00B960E5">
        <w:rPr>
          <w:rFonts w:eastAsia="Times New Roman" w:cs="Times New Roman"/>
          <w:color w:val="000000" w:themeColor="text1"/>
        </w:rPr>
        <w:t>, by standing for the proposition that owning and controlling computer hardware involved in some aspect of company business (e.g., transmitting data) alone is sufficient.</w:t>
      </w:r>
      <w:r w:rsidR="00B960E5">
        <w:rPr>
          <w:rFonts w:eastAsia="Times New Roman" w:cs="Times New Roman"/>
          <w:color w:val="000000" w:themeColor="text1"/>
        </w:rPr>
        <w:t>”</w:t>
      </w:r>
      <w:r w:rsidR="00B960E5" w:rsidRPr="005A669A">
        <w:rPr>
          <w:rStyle w:val="FootnoteReference"/>
        </w:rPr>
        <w:footnoteReference w:id="738"/>
      </w:r>
      <w:r w:rsidR="004376AE">
        <w:rPr>
          <w:rFonts w:eastAsia="Times New Roman" w:cs="Times New Roman"/>
          <w:color w:val="000000" w:themeColor="text1"/>
        </w:rPr>
        <w:t xml:space="preserve"> He concluded, “</w:t>
      </w:r>
      <w:r w:rsidR="004376AE" w:rsidRPr="004376AE">
        <w:rPr>
          <w:rFonts w:eastAsia="Times New Roman" w:cs="Times New Roman"/>
          <w:color w:val="000000" w:themeColor="text1"/>
        </w:rPr>
        <w:t>The question is not if we will take this issue up, but when, and how many judicial and party resources will have been needlessly wasted by the time we do.</w:t>
      </w:r>
      <w:r w:rsidR="004376AE">
        <w:rPr>
          <w:rFonts w:eastAsia="Times New Roman" w:cs="Times New Roman"/>
          <w:color w:val="000000" w:themeColor="text1"/>
        </w:rPr>
        <w:t>”</w:t>
      </w:r>
      <w:r w:rsidR="004376AE" w:rsidRPr="005A669A">
        <w:rPr>
          <w:rStyle w:val="FootnoteReference"/>
        </w:rPr>
        <w:footnoteReference w:id="739"/>
      </w:r>
    </w:p>
    <w:p w14:paraId="462DEFBD" w14:textId="77777777" w:rsidR="001956EB" w:rsidRDefault="001956EB" w:rsidP="001956EB">
      <w:pPr>
        <w:pStyle w:val="Heading2"/>
        <w:rPr>
          <w:rFonts w:cs="Times New Roman"/>
          <w:szCs w:val="24"/>
        </w:rPr>
      </w:pPr>
      <w:bookmarkStart w:id="89" w:name="_Toc26792808"/>
      <w:r>
        <w:rPr>
          <w:rFonts w:cs="Times New Roman"/>
          <w:szCs w:val="24"/>
        </w:rPr>
        <w:lastRenderedPageBreak/>
        <w:t>Unreasonable Delay and Patent Term Adjustment</w:t>
      </w:r>
      <w:bookmarkEnd w:id="89"/>
    </w:p>
    <w:p w14:paraId="6B5309E9" w14:textId="77777777" w:rsidR="001956EB" w:rsidRPr="00D7210B" w:rsidRDefault="001956EB" w:rsidP="001956EB">
      <w:pPr>
        <w:pStyle w:val="Heading4"/>
      </w:pPr>
      <w:bookmarkStart w:id="90" w:name="_Toc26792809"/>
      <w:r>
        <w:rPr>
          <w:i/>
        </w:rPr>
        <w:t>Supernus Pharms., Inc. v. Iancu</w:t>
      </w:r>
      <w:r w:rsidRPr="00677ABE">
        <w:t xml:space="preserve">, </w:t>
      </w:r>
      <w:r>
        <w:t>913 F.3d 1351 (Fed. Cir. Jan. 23, 2019)</w:t>
      </w:r>
      <w:bookmarkEnd w:id="90"/>
    </w:p>
    <w:p w14:paraId="6BB03131" w14:textId="77777777" w:rsidR="001956EB" w:rsidRPr="00BF5CF4" w:rsidRDefault="001956EB" w:rsidP="001956EB">
      <w:pPr>
        <w:ind w:firstLine="720"/>
        <w:rPr>
          <w:rFonts w:cs="Times New Roman"/>
          <w:lang w:eastAsia="x-none"/>
        </w:rPr>
      </w:pPr>
      <w:r w:rsidRPr="00677ABE">
        <w:rPr>
          <w:rFonts w:cs="Times New Roman"/>
          <w:lang w:eastAsia="x-none"/>
        </w:rPr>
        <w:t xml:space="preserve">In this </w:t>
      </w:r>
      <w:r w:rsidRPr="00677ABE">
        <w:rPr>
          <w:rFonts w:cs="Times New Roman"/>
        </w:rPr>
        <w:t>a</w:t>
      </w:r>
      <w:r>
        <w:rPr>
          <w:rFonts w:cs="Times New Roman"/>
        </w:rPr>
        <w:t>ppeal from the Eastern District of Virginia, the Federal Circuit reversed the lower court and held that the Patent and Trademark Office (“PTO”) had exceeded its authority by reducing a patent term for days of “delay” during which an applicant could not have taken any identifiable efforts to conclude prosecution.</w:t>
      </w:r>
      <w:r w:rsidRPr="005A669A">
        <w:rPr>
          <w:rStyle w:val="FootnoteReference"/>
        </w:rPr>
        <w:footnoteReference w:id="740"/>
      </w:r>
      <w:r>
        <w:rPr>
          <w:rFonts w:cs="Times New Roman"/>
        </w:rPr>
        <w:t xml:space="preserve"> “A</w:t>
      </w:r>
      <w:r w:rsidRPr="00F35EF7">
        <w:rPr>
          <w:rFonts w:cs="Times New Roman"/>
        </w:rPr>
        <w:t xml:space="preserve">ny reduction to </w:t>
      </w:r>
      <w:r>
        <w:rPr>
          <w:rFonts w:cs="Times New Roman"/>
        </w:rPr>
        <w:t>[a patent term]</w:t>
      </w:r>
      <w:r w:rsidRPr="00F35EF7">
        <w:rPr>
          <w:rFonts w:cs="Times New Roman"/>
        </w:rPr>
        <w:t xml:space="preserve"> shall be </w:t>
      </w:r>
      <w:r>
        <w:rPr>
          <w:rFonts w:cs="Times New Roman"/>
        </w:rPr>
        <w:t>‘</w:t>
      </w:r>
      <w:r w:rsidRPr="00F35EF7">
        <w:rPr>
          <w:rFonts w:cs="Times New Roman"/>
        </w:rPr>
        <w:t>equal to the period of time during which the applicant fail[s] to engage in reasonable efforts to conclude prosecution of the applicatio</w:t>
      </w:r>
      <w:r>
        <w:rPr>
          <w:rFonts w:cs="Times New Roman"/>
        </w:rPr>
        <w:t>n.’”</w:t>
      </w:r>
      <w:r w:rsidRPr="005A669A">
        <w:rPr>
          <w:rStyle w:val="FootnoteReference"/>
        </w:rPr>
        <w:footnoteReference w:id="741"/>
      </w:r>
      <w:r>
        <w:rPr>
          <w:rFonts w:cs="Times New Roman"/>
        </w:rPr>
        <w:t xml:space="preserve"> </w:t>
      </w:r>
    </w:p>
    <w:p w14:paraId="615C2740" w14:textId="6D70DE4D" w:rsidR="001956EB" w:rsidRDefault="001956EB" w:rsidP="001956EB">
      <w:r>
        <w:tab/>
        <w:t>The Patent Term Adjustment (“PTA”) statute aims to discourage delay during patent prosecution. Under it, the PTO may add or subtract days from the patent term to account for undue delay by the PTO or applicant.</w:t>
      </w:r>
      <w:r w:rsidRPr="005A669A">
        <w:rPr>
          <w:rStyle w:val="FootnoteReference"/>
        </w:rPr>
        <w:footnoteReference w:id="742"/>
      </w:r>
      <w:r>
        <w:t xml:space="preserve"> This case focused on Supernus’s delay between its filing of a request for continued examination (“RCE”) on February 22, 2011, and its submission of an information disclosure statement (“IDS”) on November 29, 2012, </w:t>
      </w:r>
      <w:r w:rsidR="00D3208A">
        <w:t>when it informed</w:t>
      </w:r>
      <w:r>
        <w:t xml:space="preserve"> the PTO of an opposition filed by Sandoz AG against its European patent application.</w:t>
      </w:r>
      <w:r w:rsidRPr="005A669A">
        <w:rPr>
          <w:rStyle w:val="FootnoteReference"/>
        </w:rPr>
        <w:footnoteReference w:id="743"/>
      </w:r>
      <w:r>
        <w:t xml:space="preserve"> </w:t>
      </w:r>
      <w:r w:rsidR="000561FD">
        <w:t>C</w:t>
      </w:r>
      <w:r>
        <w:t>ritically, only on September 11, 2012—546 days into this 646 day period of “delay”—</w:t>
      </w:r>
      <w:r w:rsidR="000561FD">
        <w:t>had</w:t>
      </w:r>
      <w:r>
        <w:t xml:space="preserve"> Supernus receive</w:t>
      </w:r>
      <w:r w:rsidR="000561FD">
        <w:t>d</w:t>
      </w:r>
      <w:r>
        <w:t xml:space="preserve"> notice from the European Patent Office of the opposition it later reported to the PTO.</w:t>
      </w:r>
      <w:r w:rsidRPr="005A669A">
        <w:rPr>
          <w:rStyle w:val="FootnoteReference"/>
        </w:rPr>
        <w:footnoteReference w:id="744"/>
      </w:r>
      <w:r>
        <w:t xml:space="preserve"> Nonetheless, the PTO determined that reducing the patent term by 646 days</w:t>
      </w:r>
      <w:r w:rsidR="000561FD">
        <w:t xml:space="preserve"> was appropriate</w:t>
      </w:r>
      <w:r>
        <w:t xml:space="preserve"> (for the full period between the RCE and IDS).</w:t>
      </w:r>
      <w:r w:rsidRPr="005A669A">
        <w:rPr>
          <w:rStyle w:val="FootnoteReference"/>
        </w:rPr>
        <w:footnoteReference w:id="745"/>
      </w:r>
      <w:r>
        <w:t xml:space="preserve"> Before the district court, Supernus argued </w:t>
      </w:r>
      <w:r w:rsidR="00F80D6F">
        <w:t>the</w:t>
      </w:r>
      <w:r>
        <w:t xml:space="preserve"> PTO’s PTA regulations were arbitrary and capricious, and that 546 of the 646 days should not be counted against it.</w:t>
      </w:r>
      <w:r w:rsidRPr="005A669A">
        <w:rPr>
          <w:rStyle w:val="FootnoteReference"/>
        </w:rPr>
        <w:footnoteReference w:id="746"/>
      </w:r>
      <w:r>
        <w:t xml:space="preserve">  The district court found for the PTO on all grounds on summary judgment.</w:t>
      </w:r>
      <w:r w:rsidRPr="005A669A">
        <w:rPr>
          <w:rStyle w:val="FootnoteReference"/>
        </w:rPr>
        <w:footnoteReference w:id="747"/>
      </w:r>
    </w:p>
    <w:p w14:paraId="275AA53B" w14:textId="60A9457E" w:rsidR="001956EB" w:rsidRDefault="001956EB" w:rsidP="001956EB">
      <w:r>
        <w:tab/>
        <w:t xml:space="preserve">On appeal, the Federal Circuit first held the district court had erred by deciding the case under </w:t>
      </w:r>
      <w:r>
        <w:rPr>
          <w:i/>
        </w:rPr>
        <w:t>Gilead</w:t>
      </w:r>
      <w:r>
        <w:t>.</w:t>
      </w:r>
      <w:r w:rsidRPr="005A669A">
        <w:rPr>
          <w:rStyle w:val="FootnoteReference"/>
        </w:rPr>
        <w:footnoteReference w:id="748"/>
      </w:r>
      <w:r>
        <w:t xml:space="preserve"> That case</w:t>
      </w:r>
      <w:r>
        <w:rPr>
          <w:i/>
        </w:rPr>
        <w:t xml:space="preserve"> </w:t>
      </w:r>
      <w:r>
        <w:t>involved an applicant who could have but did not take efforts to conclude patent prosecution</w:t>
      </w:r>
      <w:r w:rsidR="003522EC">
        <w:t xml:space="preserve">; it </w:t>
      </w:r>
      <w:r>
        <w:t>held that the PTO’s PTA-related regulations were reasonable in that context.</w:t>
      </w:r>
      <w:r w:rsidRPr="005A669A">
        <w:rPr>
          <w:rStyle w:val="FootnoteReference"/>
        </w:rPr>
        <w:footnoteReference w:id="749"/>
      </w:r>
      <w:r>
        <w:t xml:space="preserve"> But this case, by contrast, entailed an applicant who for some time could </w:t>
      </w:r>
      <w:r w:rsidRPr="00637683">
        <w:rPr>
          <w:i/>
        </w:rPr>
        <w:t>not</w:t>
      </w:r>
      <w:r>
        <w:t xml:space="preserve"> have taken efforts to conclude prosecution.</w:t>
      </w:r>
      <w:r w:rsidRPr="005A669A">
        <w:rPr>
          <w:rStyle w:val="FootnoteReference"/>
        </w:rPr>
        <w:footnoteReference w:id="750"/>
      </w:r>
      <w:r>
        <w:t xml:space="preserve"> An analysis of the statute and the agency regulations was thus in order.</w:t>
      </w:r>
    </w:p>
    <w:p w14:paraId="5B81A040" w14:textId="77777777" w:rsidR="001956EB" w:rsidRDefault="001956EB" w:rsidP="001956EB">
      <w:r>
        <w:tab/>
        <w:t xml:space="preserve">Moving to the </w:t>
      </w:r>
      <w:r>
        <w:rPr>
          <w:i/>
        </w:rPr>
        <w:t xml:space="preserve">Chevron </w:t>
      </w:r>
      <w:r>
        <w:t>analysis, the Federal Circuit decided the matter at step one: the PTA directly addressed the precise question at issue.</w:t>
      </w:r>
      <w:r w:rsidRPr="005A669A">
        <w:rPr>
          <w:rStyle w:val="FootnoteReference"/>
        </w:rPr>
        <w:footnoteReference w:id="751"/>
      </w:r>
      <w:r>
        <w:t xml:space="preserve"> The issue was “</w:t>
      </w:r>
      <w:r w:rsidRPr="0041616D">
        <w:t xml:space="preserve">whether the </w:t>
      </w:r>
      <w:r>
        <w:t>[PTO]</w:t>
      </w:r>
      <w:r w:rsidRPr="0041616D">
        <w:t xml:space="preserve"> may reduce PTA by a period that exceeds the </w:t>
      </w:r>
      <w:r>
        <w:t>‘</w:t>
      </w:r>
      <w:r w:rsidRPr="0041616D">
        <w:t xml:space="preserve">time during which the applicant </w:t>
      </w:r>
      <w:r w:rsidRPr="0041616D">
        <w:lastRenderedPageBreak/>
        <w:t>failed to engage in reasonable efforts to conclude prosecution.</w:t>
      </w:r>
      <w:r>
        <w:t>’”</w:t>
      </w:r>
      <w:r w:rsidRPr="005A669A">
        <w:rPr>
          <w:rStyle w:val="FootnoteReference"/>
        </w:rPr>
        <w:footnoteReference w:id="752"/>
      </w:r>
      <w:r>
        <w:t xml:space="preserve"> The statute’s language was “plain, clear, and conclusive”: any PTA reduction must be “</w:t>
      </w:r>
      <w:r>
        <w:rPr>
          <w:b/>
          <w:i/>
        </w:rPr>
        <w:t xml:space="preserve">equal to </w:t>
      </w:r>
      <w:r>
        <w:t>the period of time during which the applicant failed to engage in reasonable efforts.”</w:t>
      </w:r>
      <w:r w:rsidRPr="005A669A">
        <w:rPr>
          <w:rStyle w:val="FootnoteReference"/>
        </w:rPr>
        <w:footnoteReference w:id="753"/>
      </w:r>
      <w:r>
        <w:t xml:space="preserve"> Here, the applicant was charged a period of time during which “no identifiable efforts . . . could have been taken,” and such time could not be part of “the period of failure to undertake reasonable efforts . . . .”</w:t>
      </w:r>
      <w:r w:rsidRPr="005A669A">
        <w:rPr>
          <w:rStyle w:val="FootnoteReference"/>
        </w:rPr>
        <w:footnoteReference w:id="754"/>
      </w:r>
      <w:r>
        <w:t xml:space="preserve"> The PTO’s “</w:t>
      </w:r>
      <w:r w:rsidRPr="00812D31">
        <w:t>interpretation of the statute would unfairly penalize applicants, fail to incentivize applicants not to delay, and fail to protect applicants’ full patent terms.</w:t>
      </w:r>
      <w:r>
        <w:t>”</w:t>
      </w:r>
      <w:r w:rsidRPr="005A669A">
        <w:rPr>
          <w:rStyle w:val="FootnoteReference"/>
        </w:rPr>
        <w:footnoteReference w:id="755"/>
      </w:r>
    </w:p>
    <w:p w14:paraId="16ED8C99" w14:textId="77777777" w:rsidR="001956EB" w:rsidRPr="009D2528" w:rsidRDefault="001956EB" w:rsidP="001956EB">
      <w:r>
        <w:tab/>
        <w:t>Accordingly, the PTO’s actions exceeded statutory authority, and the 546 days could not be counted against Supernus’s term; the court remanded.</w:t>
      </w:r>
      <w:r w:rsidRPr="005A669A">
        <w:rPr>
          <w:rStyle w:val="FootnoteReference"/>
        </w:rPr>
        <w:footnoteReference w:id="756"/>
      </w:r>
      <w:r>
        <w:t xml:space="preserve"> </w:t>
      </w:r>
    </w:p>
    <w:p w14:paraId="3858EAA1" w14:textId="77777777" w:rsidR="001956EB" w:rsidRDefault="001956EB" w:rsidP="001956EB">
      <w:pPr>
        <w:rPr>
          <w:rFonts w:cs="Times New Roman"/>
        </w:rPr>
      </w:pPr>
    </w:p>
    <w:p w14:paraId="7A3D0DD3" w14:textId="541987D0" w:rsidR="00FF054A" w:rsidRPr="00677ABE" w:rsidRDefault="003B0A16" w:rsidP="00CA2C0A">
      <w:pPr>
        <w:rPr>
          <w:rFonts w:cs="Times New Roman"/>
          <w:b/>
        </w:rPr>
      </w:pPr>
      <w:r w:rsidRPr="00677ABE">
        <w:rPr>
          <w:rFonts w:cs="Times New Roman"/>
        </w:rPr>
        <w:br w:type="page"/>
      </w:r>
    </w:p>
    <w:p w14:paraId="1057BA01" w14:textId="6DEE62F3" w:rsidR="00933F71" w:rsidRDefault="007D0629" w:rsidP="00E61650">
      <w:pPr>
        <w:pStyle w:val="Heading1"/>
        <w:rPr>
          <w:rFonts w:cs="Times New Roman"/>
          <w:szCs w:val="24"/>
        </w:rPr>
      </w:pPr>
      <w:bookmarkStart w:id="91" w:name="_Toc26792810"/>
      <w:r w:rsidRPr="00677ABE">
        <w:rPr>
          <w:rFonts w:cs="Times New Roman"/>
          <w:szCs w:val="24"/>
        </w:rPr>
        <w:lastRenderedPageBreak/>
        <w:t>PATENT TRIAL AND APPEAL BOARD</w:t>
      </w:r>
      <w:bookmarkStart w:id="92" w:name="_Toc516586616"/>
      <w:bookmarkEnd w:id="91"/>
    </w:p>
    <w:p w14:paraId="280C854A" w14:textId="77777777" w:rsidR="00A26449" w:rsidRDefault="00A26449" w:rsidP="00A26449">
      <w:pPr>
        <w:pStyle w:val="Heading4"/>
      </w:pPr>
      <w:bookmarkStart w:id="93" w:name="_Hlk26741560"/>
      <w:bookmarkStart w:id="94" w:name="_Toc26792811"/>
      <w:r w:rsidRPr="006D6A82">
        <w:rPr>
          <w:i/>
          <w:iCs/>
        </w:rPr>
        <w:t>Arthrex, Inc. v. Smith &amp; Nephew, Inc.</w:t>
      </w:r>
      <w:r w:rsidRPr="006D6A82">
        <w:t>,</w:t>
      </w:r>
      <w:r w:rsidRPr="006D6A82">
        <w:rPr>
          <w:i/>
          <w:iCs/>
        </w:rPr>
        <w:t xml:space="preserve"> </w:t>
      </w:r>
      <w:r w:rsidRPr="006D6A82">
        <w:t xml:space="preserve">941 F.3d 1320 (Fed. Cir. </w:t>
      </w:r>
      <w:r>
        <w:t xml:space="preserve">October 31, </w:t>
      </w:r>
      <w:r w:rsidRPr="006D6A82">
        <w:t>2019)</w:t>
      </w:r>
      <w:bookmarkEnd w:id="94"/>
      <w:r w:rsidRPr="006D6A82">
        <w:t xml:space="preserve"> </w:t>
      </w:r>
    </w:p>
    <w:bookmarkEnd w:id="93"/>
    <w:p w14:paraId="03621D76" w14:textId="6425BED8" w:rsidR="00A26449" w:rsidRDefault="00A26449" w:rsidP="00A26449">
      <w:pPr>
        <w:ind w:firstLine="720"/>
      </w:pPr>
      <w:r>
        <w:t xml:space="preserve">In this appeal from the Patent Trial and Appeal Board (“PTAB”), the Federal Circuit vacated and remanded, holding </w:t>
      </w:r>
      <w:r w:rsidR="00401A27">
        <w:t xml:space="preserve">that </w:t>
      </w:r>
      <w:r>
        <w:t>the</w:t>
      </w:r>
      <w:r w:rsidR="00401A27">
        <w:t xml:space="preserve"> appointment of</w:t>
      </w:r>
      <w:r>
        <w:t xml:space="preserve"> Administrative Pat</w:t>
      </w:r>
      <w:r w:rsidR="00401A27">
        <w:t>ent Judges’ (“APJ”)</w:t>
      </w:r>
      <w:r>
        <w:t xml:space="preserve"> by th</w:t>
      </w:r>
      <w:r w:rsidR="00401A27">
        <w:t>e Secretary of Commerce violates</w:t>
      </w:r>
      <w:r>
        <w:t xml:space="preserve"> the Appointments Clause of the U.S. Constitution.</w:t>
      </w:r>
      <w:r>
        <w:rPr>
          <w:rStyle w:val="FootnoteReference"/>
        </w:rPr>
        <w:footnoteReference w:id="757"/>
      </w:r>
      <w:r>
        <w:t xml:space="preserve"> </w:t>
      </w:r>
    </w:p>
    <w:p w14:paraId="6610E678" w14:textId="77777777" w:rsidR="00A26449" w:rsidRDefault="00A26449" w:rsidP="00A26449">
      <w:pPr>
        <w:ind w:firstLine="720"/>
        <w:rPr>
          <w:rStyle w:val="ssleftalign"/>
        </w:rPr>
      </w:pPr>
      <w:r>
        <w:t>Arthrex’s ‘907 patent involves a “</w:t>
      </w:r>
      <w:r>
        <w:rPr>
          <w:rStyle w:val="ssleftalign"/>
        </w:rPr>
        <w:t>knotless suture securing assembly.”</w:t>
      </w:r>
      <w:r>
        <w:rPr>
          <w:rStyle w:val="FootnoteReference"/>
        </w:rPr>
        <w:footnoteReference w:id="758"/>
      </w:r>
      <w:r>
        <w:rPr>
          <w:rStyle w:val="ssleftalign"/>
        </w:rPr>
        <w:t xml:space="preserve"> In an </w:t>
      </w:r>
      <w:r>
        <w:rPr>
          <w:rStyle w:val="ssleftalign"/>
          <w:i/>
          <w:iCs/>
        </w:rPr>
        <w:t xml:space="preserve">inter partes </w:t>
      </w:r>
      <w:r>
        <w:rPr>
          <w:rStyle w:val="ssleftalign"/>
        </w:rPr>
        <w:t>review of the patent, a panel of three APJs found the claims patent ineligible. Arthrex appealed, arguing the APJs are principal officers who must be appointed by the President and confirmed by the Senate, but were not.</w:t>
      </w:r>
      <w:r>
        <w:rPr>
          <w:rStyle w:val="FootnoteReference"/>
        </w:rPr>
        <w:footnoteReference w:id="759"/>
      </w:r>
    </w:p>
    <w:p w14:paraId="3166890C" w14:textId="77777777" w:rsidR="00A26449" w:rsidRDefault="00A26449" w:rsidP="00A26449">
      <w:pPr>
        <w:ind w:firstLine="720"/>
      </w:pPr>
      <w:r>
        <w:t>On appeal, the Federal Circuit agreed. The Appointments Clause stipulates the President, with the advice and consent of the Senate, must nominate “Officers of the United States,” but Congress may vest the appointment of “inferior Officers … in the President alone, in the Courts of Law, or in the Heads of Departments.”</w:t>
      </w:r>
      <w:r>
        <w:rPr>
          <w:rStyle w:val="FootnoteReference"/>
        </w:rPr>
        <w:footnoteReference w:id="760"/>
      </w:r>
      <w:r>
        <w:t xml:space="preserve"> The “principal officers,” those who must be appointed by the president, are those who “exercise significant authority pursuant to the laws of the United States.”</w:t>
      </w:r>
      <w:r>
        <w:rPr>
          <w:rStyle w:val="FootnoteReference"/>
        </w:rPr>
        <w:footnoteReference w:id="761"/>
      </w:r>
      <w:r>
        <w:t xml:space="preserve"> </w:t>
      </w:r>
    </w:p>
    <w:p w14:paraId="45A46A13" w14:textId="0C8D1B97" w:rsidR="00A26449" w:rsidRDefault="00A26449" w:rsidP="00A26449">
      <w:pPr>
        <w:ind w:firstLine="720"/>
      </w:pPr>
      <w:r>
        <w:t>Three factors help distinguish principal from inferior officers: “(1) whether an appointed official has the power to review and reverse the officers’ decision; (2) the level of supervision and oversight an appointed official has over the officers; and (3) the appointed official’s power to remove the officers.”</w:t>
      </w:r>
      <w:r>
        <w:rPr>
          <w:rStyle w:val="FootnoteReference"/>
        </w:rPr>
        <w:footnoteReference w:id="762"/>
      </w:r>
      <w:r>
        <w:t xml:space="preserve"> The Federal Circuit reasoned the second factor weighed towards APJs being inferior officers because The Director of the PTO has “authority to promulgate regulations governing </w:t>
      </w:r>
      <w:r>
        <w:rPr>
          <w:rStyle w:val="Emphasis"/>
        </w:rPr>
        <w:t>inter partes</w:t>
      </w:r>
      <w:r>
        <w:t xml:space="preserve"> review procedure and to issue policy interpretations which the APJs must follow.”</w:t>
      </w:r>
      <w:r>
        <w:rPr>
          <w:rStyle w:val="FootnoteReference"/>
        </w:rPr>
        <w:footnoteReference w:id="763"/>
      </w:r>
      <w:r>
        <w:t xml:space="preserve"> However, the first and third factors weighed towards APJs being principal officers because they “have substantial power to issue final decisions on behalf of the United States without any review by a presidentially-appointed officer” and “are not removeable without cause.”</w:t>
      </w:r>
      <w:r>
        <w:rPr>
          <w:rStyle w:val="FootnoteReference"/>
        </w:rPr>
        <w:footnoteReference w:id="764"/>
      </w:r>
      <w:r>
        <w:t xml:space="preserve"> Further, the Court noted APJs “do not have limited tenure, limited duties, or limited jurisdiction” and “wield significantly more authority than their Examiner-in-Chief predecessors”</w:t>
      </w:r>
      <w:r>
        <w:rPr>
          <w:rStyle w:val="FootnoteReference"/>
        </w:rPr>
        <w:footnoteReference w:id="765"/>
      </w:r>
      <w:r>
        <w:t xml:space="preserve"> Given these considerations, the Federal Circuit concluded APJs are principal officers and, thus, “the current structure of the board violates the Appointments Clause.”</w:t>
      </w:r>
      <w:r>
        <w:rPr>
          <w:rStyle w:val="FootnoteReference"/>
        </w:rPr>
        <w:footnoteReference w:id="766"/>
      </w:r>
      <w:r>
        <w:t xml:space="preserve"> </w:t>
      </w:r>
    </w:p>
    <w:p w14:paraId="40640233" w14:textId="083A37D2" w:rsidR="00A26449" w:rsidRDefault="00A26449" w:rsidP="00A26449">
      <w:pPr>
        <w:ind w:firstLine="720"/>
      </w:pPr>
      <w:r>
        <w:lastRenderedPageBreak/>
        <w:t>The Federal Circuit next considered whether the constitutionality issue may be addressed through severance.</w:t>
      </w:r>
      <w:r>
        <w:rPr>
          <w:rStyle w:val="FootnoteReference"/>
        </w:rPr>
        <w:footnoteReference w:id="767"/>
      </w:r>
      <w:r>
        <w:t xml:space="preserve"> They concluded the “narrowest remedy” is severing the statutory removal restrictions for APJs.</w:t>
      </w:r>
      <w:r>
        <w:rPr>
          <w:rStyle w:val="FootnoteReference"/>
        </w:rPr>
        <w:footnoteReference w:id="768"/>
      </w:r>
      <w:r>
        <w:t xml:space="preserve"> Nonetheless, for this case, the Federal Circuit vacated and remanded the Board’s decision because it “was made by a panel of APJs that were not constitutionally appointed at the time the decision was rendered.”</w:t>
      </w:r>
      <w:r>
        <w:rPr>
          <w:rStyle w:val="FootnoteReference"/>
        </w:rPr>
        <w:footnoteReference w:id="769"/>
      </w:r>
      <w:r>
        <w:t xml:space="preserve"> The Federal Circuit further held Arthrex was entitled to a hearing by a new panel of APJs on remand.</w:t>
      </w:r>
      <w:r>
        <w:rPr>
          <w:rStyle w:val="FootnoteReference"/>
        </w:rPr>
        <w:footnoteReference w:id="770"/>
      </w:r>
    </w:p>
    <w:p w14:paraId="0B05CA78" w14:textId="77777777" w:rsidR="00401A27" w:rsidRDefault="00401A27" w:rsidP="00401A27">
      <w:pPr>
        <w:pStyle w:val="Heading4"/>
      </w:pPr>
      <w:bookmarkStart w:id="95" w:name="_Toc26792812"/>
      <w:r w:rsidRPr="00301655">
        <w:rPr>
          <w:i/>
          <w:iCs/>
        </w:rPr>
        <w:t>Bedgear, LLC v. Fredman Bros. Furniture Co.</w:t>
      </w:r>
      <w:r w:rsidRPr="00301655">
        <w:t>, 783 Fed.Appx. 1029 (Mem) (Fed. Cir. Nov. 7, 2019)</w:t>
      </w:r>
      <w:bookmarkEnd w:id="95"/>
    </w:p>
    <w:p w14:paraId="783515DD" w14:textId="77777777" w:rsidR="00401A27" w:rsidRDefault="00401A27" w:rsidP="00401A27">
      <w:pPr>
        <w:ind w:firstLine="720"/>
      </w:pPr>
      <w:r>
        <w:t>In this appeal from the Patent Trial and Appeal Board (“PTAB”), the Federal Circuit (Judges Newman, Dyk, and Stoll) vacated and remanded three</w:t>
      </w:r>
      <w:r>
        <w:rPr>
          <w:i/>
          <w:iCs/>
        </w:rPr>
        <w:t xml:space="preserve"> inter partes </w:t>
      </w:r>
      <w:r>
        <w:t>review decisions.</w:t>
      </w:r>
      <w:r>
        <w:rPr>
          <w:rStyle w:val="FootnoteReference"/>
        </w:rPr>
        <w:footnoteReference w:id="771"/>
      </w:r>
      <w:r>
        <w:t xml:space="preserve"> Bound by their earlier decision in </w:t>
      </w:r>
      <w:r w:rsidRPr="00301655">
        <w:rPr>
          <w:i/>
          <w:iCs/>
        </w:rPr>
        <w:t>Arthrex v. Smith &amp; Nephew</w:t>
      </w:r>
      <w:r>
        <w:t>, the Court held the appointments of Administrative Patent Judges (“APJs”) violated the Constitution’s Appointments Clause and Bedgear was entitled to a rehearing on remand by a new panel of APJs.</w:t>
      </w:r>
      <w:r>
        <w:rPr>
          <w:rStyle w:val="FootnoteReference"/>
        </w:rPr>
        <w:footnoteReference w:id="772"/>
      </w:r>
      <w:r>
        <w:t xml:space="preserve"> </w:t>
      </w:r>
    </w:p>
    <w:p w14:paraId="3C7C22A5" w14:textId="563E017B" w:rsidR="00401A27" w:rsidRPr="00A26449" w:rsidRDefault="00401A27" w:rsidP="00A26449">
      <w:pPr>
        <w:ind w:firstLine="720"/>
      </w:pPr>
      <w:r>
        <w:t>Judge Dyk, with Judge Newman joining, concurred but believed a rehearing before a new panel was unnecessary.</w:t>
      </w:r>
      <w:r>
        <w:rPr>
          <w:rStyle w:val="FootnoteReference"/>
        </w:rPr>
        <w:footnoteReference w:id="773"/>
      </w:r>
      <w:r>
        <w:t xml:space="preserve"> According to Judge Dyk, the remedy in </w:t>
      </w:r>
      <w:r>
        <w:rPr>
          <w:i/>
          <w:iCs/>
        </w:rPr>
        <w:t>Arthrex</w:t>
      </w:r>
      <w:r>
        <w:t xml:space="preserve"> “imposes large and unnecessary burdens on the system of </w:t>
      </w:r>
      <w:r>
        <w:rPr>
          <w:rStyle w:val="Emphasis"/>
        </w:rPr>
        <w:t>inter partes</w:t>
      </w:r>
      <w:r>
        <w:t xml:space="preserve"> review, requiring potentially hundreds of new proceedings, and involves unconstitutional prospective decision-making.”</w:t>
      </w:r>
      <w:r>
        <w:rPr>
          <w:rStyle w:val="FootnoteReference"/>
        </w:rPr>
        <w:footnoteReference w:id="774"/>
      </w:r>
      <w:r>
        <w:t xml:space="preserve"> The Court in </w:t>
      </w:r>
      <w:r>
        <w:rPr>
          <w:i/>
          <w:iCs/>
        </w:rPr>
        <w:t>Arthrex</w:t>
      </w:r>
      <w:r>
        <w:t xml:space="preserve"> erred by not making its ruling retroactive so that past actions by APJs would be constitutionally compliant.</w:t>
      </w:r>
      <w:r>
        <w:rPr>
          <w:rStyle w:val="FootnoteReference"/>
        </w:rPr>
        <w:footnoteReference w:id="775"/>
      </w:r>
      <w:r>
        <w:t xml:space="preserve"> They improperly held </w:t>
      </w:r>
      <w:r>
        <w:rPr>
          <w:i/>
          <w:iCs/>
        </w:rPr>
        <w:t xml:space="preserve">Lucia v. S.E.C. </w:t>
      </w:r>
      <w:r>
        <w:t>required a rehearing by a new panel.</w:t>
      </w:r>
      <w:r>
        <w:rPr>
          <w:rStyle w:val="FootnoteReference"/>
        </w:rPr>
        <w:footnoteReference w:id="776"/>
      </w:r>
      <w:r>
        <w:t xml:space="preserve"> </w:t>
      </w:r>
      <w:r>
        <w:rPr>
          <w:i/>
          <w:iCs/>
        </w:rPr>
        <w:t>Lucia</w:t>
      </w:r>
      <w:r>
        <w:t xml:space="preserve"> involved an “agency fix</w:t>
      </w:r>
      <w:r w:rsidR="0063151F">
        <w:t>,</w:t>
      </w:r>
      <w:r>
        <w:t xml:space="preserve">” while </w:t>
      </w:r>
      <w:r>
        <w:rPr>
          <w:i/>
          <w:iCs/>
        </w:rPr>
        <w:t>Arthrex</w:t>
      </w:r>
      <w:r>
        <w:t xml:space="preserve"> involved a “judicial fix.”</w:t>
      </w:r>
      <w:r>
        <w:rPr>
          <w:rStyle w:val="FootnoteReference"/>
        </w:rPr>
        <w:footnoteReference w:id="777"/>
      </w:r>
      <w:r>
        <w:t xml:space="preserve"> And, whereas agencies “generally act only prospectively,” judicial decisions are also “necessarily retrospective.”</w:t>
      </w:r>
      <w:r>
        <w:rPr>
          <w:rStyle w:val="FootnoteReference"/>
        </w:rPr>
        <w:footnoteReference w:id="778"/>
      </w:r>
      <w:r>
        <w:t xml:space="preserve"> The decision in </w:t>
      </w:r>
      <w:r>
        <w:rPr>
          <w:i/>
          <w:iCs/>
        </w:rPr>
        <w:t xml:space="preserve">Arthrex </w:t>
      </w:r>
      <w:r>
        <w:t>further</w:t>
      </w:r>
      <w:r>
        <w:rPr>
          <w:i/>
          <w:iCs/>
        </w:rPr>
        <w:t xml:space="preserve"> </w:t>
      </w:r>
      <w:r>
        <w:t>ignores binding Supreme Court precedent that new hearings are only required when either “the appointment’s defect had not been cured” or “the cure was the result of non-judicial action.”</w:t>
      </w:r>
      <w:r>
        <w:rPr>
          <w:rStyle w:val="FootnoteReference"/>
        </w:rPr>
        <w:footnoteReference w:id="779"/>
      </w:r>
      <w:r>
        <w:t xml:space="preserve"> Thus, because the construction in </w:t>
      </w:r>
      <w:r>
        <w:rPr>
          <w:i/>
          <w:iCs/>
        </w:rPr>
        <w:t>Arthrex</w:t>
      </w:r>
      <w:r>
        <w:t xml:space="preserve"> retroactively addressed the appointments constitutionality issue, prior decisions by APJs are valid.</w:t>
      </w:r>
      <w:r>
        <w:rPr>
          <w:rStyle w:val="FootnoteReference"/>
        </w:rPr>
        <w:footnoteReference w:id="780"/>
      </w:r>
      <w:r>
        <w:t xml:space="preserve"> </w:t>
      </w:r>
    </w:p>
    <w:p w14:paraId="4B291CDF" w14:textId="769B9D13" w:rsidR="00FB0587" w:rsidRDefault="00DE45FC" w:rsidP="005E70B2">
      <w:pPr>
        <w:pStyle w:val="Heading2"/>
        <w:rPr>
          <w:rFonts w:cs="Times New Roman"/>
          <w:szCs w:val="24"/>
        </w:rPr>
      </w:pPr>
      <w:bookmarkStart w:id="96" w:name="_Toc26792813"/>
      <w:bookmarkEnd w:id="92"/>
      <w:r w:rsidRPr="00677ABE">
        <w:rPr>
          <w:rFonts w:cs="Times New Roman"/>
          <w:szCs w:val="24"/>
        </w:rPr>
        <w:lastRenderedPageBreak/>
        <w:t>Inter Partes Review Procedure</w:t>
      </w:r>
      <w:bookmarkEnd w:id="96"/>
    </w:p>
    <w:p w14:paraId="2B369D40" w14:textId="15E90D9B" w:rsidR="00EA5E3C" w:rsidRDefault="00EA5E3C" w:rsidP="00E66A27">
      <w:pPr>
        <w:pStyle w:val="Heading4"/>
      </w:pPr>
      <w:bookmarkStart w:id="97" w:name="_Toc26792814"/>
      <w:r w:rsidRPr="0033193D">
        <w:rPr>
          <w:i/>
          <w:iCs/>
        </w:rPr>
        <w:t>Bio</w:t>
      </w:r>
      <w:r w:rsidR="00C92422">
        <w:rPr>
          <w:i/>
          <w:iCs/>
        </w:rPr>
        <w:t>D</w:t>
      </w:r>
      <w:r w:rsidRPr="0033193D">
        <w:rPr>
          <w:i/>
          <w:iCs/>
        </w:rPr>
        <w:t>elivery Sci</w:t>
      </w:r>
      <w:r w:rsidR="00E66A27">
        <w:rPr>
          <w:i/>
          <w:iCs/>
        </w:rPr>
        <w:t>ences</w:t>
      </w:r>
      <w:r w:rsidRPr="0033193D">
        <w:rPr>
          <w:i/>
          <w:iCs/>
        </w:rPr>
        <w:t xml:space="preserve"> Int</w:t>
      </w:r>
      <w:r w:rsidR="00E66A27">
        <w:rPr>
          <w:i/>
          <w:iCs/>
        </w:rPr>
        <w:t>ernational</w:t>
      </w:r>
      <w:r w:rsidRPr="0033193D">
        <w:rPr>
          <w:i/>
          <w:iCs/>
        </w:rPr>
        <w:t>, Inc. v. Aquestive Therapeutics, Inc.</w:t>
      </w:r>
      <w:r w:rsidRPr="0033193D">
        <w:t>,</w:t>
      </w:r>
      <w:r w:rsidRPr="00EA5E3C">
        <w:t xml:space="preserve"> </w:t>
      </w:r>
      <w:r w:rsidRPr="0033193D">
        <w:t xml:space="preserve">935 F.3d 1362 (Fed. Cir. </w:t>
      </w:r>
      <w:r>
        <w:t xml:space="preserve">August 29, </w:t>
      </w:r>
      <w:r w:rsidRPr="0033193D">
        <w:t>2019)</w:t>
      </w:r>
      <w:bookmarkEnd w:id="97"/>
    </w:p>
    <w:p w14:paraId="1CDFBBE1" w14:textId="5FFBFBFF" w:rsidR="00EA5E3C" w:rsidRDefault="00E66A27" w:rsidP="00E66A27">
      <w:r>
        <w:rPr>
          <w:i/>
          <w:iCs/>
        </w:rPr>
        <w:tab/>
      </w:r>
      <w:r>
        <w:t xml:space="preserve">In this appeal from the Patent Trial and Appeal Board (“PTAB”), </w:t>
      </w:r>
      <w:r w:rsidR="00C92422">
        <w:t xml:space="preserve">the Federal Circuit (Judges Lourie and Reyna) held </w:t>
      </w:r>
      <w:r w:rsidR="00C92422" w:rsidRPr="00C92422">
        <w:t>35 U.S.C.S. § 314(d)</w:t>
      </w:r>
      <w:r w:rsidR="00C92422">
        <w:t xml:space="preserve"> barred judicial review of the PTAB’s decision to not institute </w:t>
      </w:r>
      <w:r w:rsidR="00C92422">
        <w:rPr>
          <w:i/>
          <w:iCs/>
        </w:rPr>
        <w:t xml:space="preserve">inter partes </w:t>
      </w:r>
      <w:r w:rsidR="00C92422">
        <w:t>review (“IPR”).</w:t>
      </w:r>
      <w:r w:rsidR="00C92422">
        <w:rPr>
          <w:rStyle w:val="FootnoteReference"/>
        </w:rPr>
        <w:footnoteReference w:id="781"/>
      </w:r>
      <w:r w:rsidR="008B644D">
        <w:t xml:space="preserve"> Judge Newman dissented.</w:t>
      </w:r>
      <w:r w:rsidR="008B644D">
        <w:rPr>
          <w:rStyle w:val="FootnoteReference"/>
        </w:rPr>
        <w:footnoteReference w:id="782"/>
      </w:r>
    </w:p>
    <w:p w14:paraId="4486C156" w14:textId="7F4BB2C4" w:rsidR="00C92422" w:rsidRDefault="00C92422" w:rsidP="00E66A27">
      <w:r>
        <w:tab/>
        <w:t xml:space="preserve">BioDelivery filed three petitions of IPR, containing a total of seventeen grounds, for </w:t>
      </w:r>
      <w:r w:rsidR="00983567">
        <w:t>Aquestive Therapeutics’</w:t>
      </w:r>
      <w:r>
        <w:t xml:space="preserve"> ‘167 patent.</w:t>
      </w:r>
      <w:r>
        <w:rPr>
          <w:rStyle w:val="FootnoteReference"/>
        </w:rPr>
        <w:footnoteReference w:id="783"/>
      </w:r>
      <w:r w:rsidR="00983567">
        <w:t xml:space="preserve"> The PTAB reviewed one ground in each petition, but declined to review the other fourteen because it found BioDelivery did not establish a reasonable likelihood of success on the merits.</w:t>
      </w:r>
      <w:r w:rsidR="00983567">
        <w:rPr>
          <w:rStyle w:val="FootnoteReference"/>
        </w:rPr>
        <w:footnoteReference w:id="784"/>
      </w:r>
      <w:r w:rsidR="00983567">
        <w:t xml:space="preserve"> The Federal Circuit originally vacated</w:t>
      </w:r>
      <w:r w:rsidR="0085299C">
        <w:t xml:space="preserve"> and remanded</w:t>
      </w:r>
      <w:r w:rsidR="00983567">
        <w:t xml:space="preserve"> the PTAB’s decision without deciding on the merits because</w:t>
      </w:r>
      <w:r w:rsidR="0033193D">
        <w:t xml:space="preserve">, under </w:t>
      </w:r>
      <w:r w:rsidR="0033193D">
        <w:rPr>
          <w:i/>
          <w:iCs/>
        </w:rPr>
        <w:t>SAS</w:t>
      </w:r>
      <w:r w:rsidR="0033193D">
        <w:t>,</w:t>
      </w:r>
      <w:r w:rsidR="00983567">
        <w:t xml:space="preserve"> “</w:t>
      </w:r>
      <w:r w:rsidR="00983567" w:rsidRPr="00983567">
        <w:t>IPR proceedings must proceed in accordance with or in conformance to the petition</w:t>
      </w:r>
      <w:r w:rsidR="00983567">
        <w:t>,</w:t>
      </w:r>
      <w:r w:rsidR="00983567" w:rsidRPr="00983567">
        <w:t xml:space="preserve"> including each claim challenged and the grounds on which the challenge to each claim is based</w:t>
      </w:r>
      <w:r w:rsidR="00983567">
        <w:t>.”</w:t>
      </w:r>
      <w:r w:rsidR="00983567">
        <w:rPr>
          <w:rStyle w:val="FootnoteReference"/>
        </w:rPr>
        <w:footnoteReference w:id="785"/>
      </w:r>
      <w:r w:rsidR="00986622">
        <w:t xml:space="preserve"> </w:t>
      </w:r>
      <w:r w:rsidR="008B644D">
        <w:t>The PTAB eventually revised its previous decisions and declined to institute IPR at all.</w:t>
      </w:r>
      <w:r w:rsidR="008B644D">
        <w:rPr>
          <w:rStyle w:val="FootnoteReference"/>
        </w:rPr>
        <w:footnoteReference w:id="786"/>
      </w:r>
    </w:p>
    <w:p w14:paraId="063F5EB0" w14:textId="46A4B71B" w:rsidR="008B644D" w:rsidRDefault="008B644D" w:rsidP="00E66A27">
      <w:pPr>
        <w:rPr>
          <w:rStyle w:val="ssrfcpassagedeactivated"/>
        </w:rPr>
      </w:pPr>
      <w:r>
        <w:tab/>
        <w:t>On appeal, the Federal Circuit held the PTAB properly exercised its discretion to not institute IPR after revising its earlier partial review error.</w:t>
      </w:r>
      <w:r>
        <w:rPr>
          <w:rStyle w:val="FootnoteReference"/>
        </w:rPr>
        <w:footnoteReference w:id="787"/>
      </w:r>
      <w:r>
        <w:t xml:space="preserve"> The court noted “S</w:t>
      </w:r>
      <w:r w:rsidRPr="008B644D">
        <w:t>ection 314(d) plainly states that the Patent Office's decision whether to institute IPR is not appealable.</w:t>
      </w:r>
      <w:r>
        <w:t>”</w:t>
      </w:r>
      <w:r>
        <w:rPr>
          <w:rStyle w:val="FootnoteReference"/>
        </w:rPr>
        <w:footnoteReference w:id="788"/>
      </w:r>
      <w:r>
        <w:t xml:space="preserve"> And “</w:t>
      </w:r>
      <w:r>
        <w:rPr>
          <w:rStyle w:val="ssrfcpassagedeactivated"/>
        </w:rPr>
        <w:t>there is no requirement that once instituted, IPRs must proceed through final written decisions.”</w:t>
      </w:r>
      <w:r>
        <w:rPr>
          <w:rStyle w:val="FootnoteReference"/>
        </w:rPr>
        <w:footnoteReference w:id="789"/>
      </w:r>
    </w:p>
    <w:p w14:paraId="38116BAA" w14:textId="3F6A576C" w:rsidR="008B644D" w:rsidRPr="00C92422" w:rsidRDefault="008B644D" w:rsidP="0033193D">
      <w:r>
        <w:rPr>
          <w:rStyle w:val="ssrfcpassagedeactivated"/>
        </w:rPr>
        <w:tab/>
        <w:t>Judge Newman dissented.</w:t>
      </w:r>
      <w:r>
        <w:rPr>
          <w:rStyle w:val="FootnoteReference"/>
        </w:rPr>
        <w:footnoteReference w:id="790"/>
      </w:r>
      <w:r>
        <w:rPr>
          <w:rStyle w:val="ssrfcpassagedeactivated"/>
        </w:rPr>
        <w:t xml:space="preserve"> She would have held </w:t>
      </w:r>
      <w:r w:rsidR="0085299C">
        <w:rPr>
          <w:rStyle w:val="ssrfcpassagedeactivated"/>
        </w:rPr>
        <w:t>the PTAB had not properly followed the court’s original remand instruction.</w:t>
      </w:r>
      <w:r w:rsidR="0085299C">
        <w:rPr>
          <w:rStyle w:val="FootnoteReference"/>
        </w:rPr>
        <w:footnoteReference w:id="791"/>
      </w:r>
      <w:r w:rsidR="0085299C">
        <w:rPr>
          <w:rStyle w:val="ssrfcpassagedeactivated"/>
        </w:rPr>
        <w:t xml:space="preserve"> “</w:t>
      </w:r>
      <w:r w:rsidR="0085299C">
        <w:rPr>
          <w:rStyle w:val="ssleftalign"/>
        </w:rPr>
        <w:t>The PTO indeed had discretion to decline to institute these IPRs. However, here the PTO did institute the IPRs, and conducted full trials and issued final written decisions on the aspects it considered.”</w:t>
      </w:r>
      <w:r w:rsidR="0085299C">
        <w:rPr>
          <w:rStyle w:val="FootnoteReference"/>
        </w:rPr>
        <w:footnoteReference w:id="792"/>
      </w:r>
      <w:r w:rsidR="0085299C">
        <w:rPr>
          <w:rStyle w:val="ssleftalign"/>
        </w:rPr>
        <w:t xml:space="preserve"> Thus, she believed the PTAB needed to address all the challenged claims to comply with the remand order</w:t>
      </w:r>
      <w:r w:rsidR="00626ED3">
        <w:rPr>
          <w:rStyle w:val="ssleftalign"/>
        </w:rPr>
        <w:t xml:space="preserve"> rather than revise the three final decisions.</w:t>
      </w:r>
      <w:r w:rsidR="0085299C">
        <w:rPr>
          <w:rStyle w:val="FootnoteReference"/>
        </w:rPr>
        <w:footnoteReference w:id="793"/>
      </w:r>
    </w:p>
    <w:p w14:paraId="49BD7F47" w14:textId="2FC9080B" w:rsidR="00FB0587" w:rsidRDefault="005E668C" w:rsidP="00FB0587">
      <w:pPr>
        <w:pStyle w:val="Heading4"/>
        <w:rPr>
          <w:i/>
        </w:rPr>
      </w:pPr>
      <w:bookmarkStart w:id="98" w:name="_Toc26792815"/>
      <w:r>
        <w:rPr>
          <w:i/>
        </w:rPr>
        <w:lastRenderedPageBreak/>
        <w:t>Celgene Corp</w:t>
      </w:r>
      <w:r w:rsidR="00FB0587">
        <w:rPr>
          <w:i/>
        </w:rPr>
        <w:t>.</w:t>
      </w:r>
      <w:r>
        <w:rPr>
          <w:i/>
        </w:rPr>
        <w:t xml:space="preserve"> v. Peter</w:t>
      </w:r>
      <w:r w:rsidR="00FB0587" w:rsidRPr="00565F8F">
        <w:t xml:space="preserve">, </w:t>
      </w:r>
      <w:r w:rsidR="00C15FDD">
        <w:t>931 F.3d 1342</w:t>
      </w:r>
      <w:r w:rsidR="00FB0587" w:rsidRPr="00191D8F">
        <w:t xml:space="preserve"> </w:t>
      </w:r>
      <w:r w:rsidR="00FB0587" w:rsidRPr="00565F8F">
        <w:t>(</w:t>
      </w:r>
      <w:r w:rsidR="00C15FDD">
        <w:t xml:space="preserve">Fed. Cir. </w:t>
      </w:r>
      <w:r w:rsidR="003E167A">
        <w:t>July 30, 2019)</w:t>
      </w:r>
      <w:bookmarkEnd w:id="98"/>
      <w:r w:rsidR="003E167A">
        <w:t xml:space="preserve"> </w:t>
      </w:r>
    </w:p>
    <w:p w14:paraId="4FFA207F" w14:textId="3217DC76" w:rsidR="00FB0587" w:rsidRDefault="005E70B2" w:rsidP="005E70B2">
      <w:pPr>
        <w:ind w:firstLine="720"/>
      </w:pPr>
      <w:r>
        <w:t xml:space="preserve">In this appeal from consolidated </w:t>
      </w:r>
      <w:r>
        <w:rPr>
          <w:i/>
          <w:iCs/>
        </w:rPr>
        <w:t xml:space="preserve">inter partes </w:t>
      </w:r>
      <w:r>
        <w:t>reviews (“IPRs”) before the Patent Trial and Appeal Board (“PTAB”), the Federal Circuit held that “</w:t>
      </w:r>
      <w:r w:rsidRPr="005E70B2">
        <w:t>the retroactive application of IPR proceedings to pre-AIA patents is not an unconstitutional taking under the Fifth Amendment.</w:t>
      </w:r>
      <w:r>
        <w:t>”</w:t>
      </w:r>
      <w:r>
        <w:rPr>
          <w:rStyle w:val="FootnoteReference"/>
        </w:rPr>
        <w:footnoteReference w:id="794"/>
      </w:r>
      <w:r w:rsidR="00C40D28">
        <w:t xml:space="preserve">  (Other issues in the IPRs and on appeal are not addressed here.)</w:t>
      </w:r>
    </w:p>
    <w:p w14:paraId="587160C6" w14:textId="608ABD49" w:rsidR="00C40D28" w:rsidRDefault="00755AB6" w:rsidP="005E70B2">
      <w:pPr>
        <w:ind w:firstLine="720"/>
      </w:pPr>
      <w:r>
        <w:t xml:space="preserve">The Federal Circuit first decided to entertain Celgene’s “constitutional challenge even though it was not raised below” as an </w:t>
      </w:r>
      <w:r w:rsidR="00BF5DC9">
        <w:t>exception to the rule of waiver.</w:t>
      </w:r>
      <w:r w:rsidR="009A6FC6">
        <w:rPr>
          <w:rStyle w:val="FootnoteReference"/>
        </w:rPr>
        <w:footnoteReference w:id="795"/>
      </w:r>
      <w:r>
        <w:t xml:space="preserve"> </w:t>
      </w:r>
      <w:r w:rsidR="00BF5DC9">
        <w:t>S</w:t>
      </w:r>
      <w:r>
        <w:t xml:space="preserve">uch retroactivity challenges </w:t>
      </w:r>
      <w:r w:rsidR="00BF5DC9">
        <w:t>were raised but</w:t>
      </w:r>
      <w:r>
        <w:t xml:space="preserve"> unresolved by the Supreme Court’s recent decision in </w:t>
      </w:r>
      <w:r>
        <w:rPr>
          <w:i/>
          <w:iCs/>
        </w:rPr>
        <w:t>Oil States</w:t>
      </w:r>
      <w:r w:rsidR="00911047">
        <w:rPr>
          <w:i/>
          <w:iCs/>
        </w:rPr>
        <w:t xml:space="preserve"> </w:t>
      </w:r>
      <w:r w:rsidR="00B80113">
        <w:rPr>
          <w:i/>
          <w:iCs/>
        </w:rPr>
        <w:t>Energy</w:t>
      </w:r>
      <w:r w:rsidR="00911047">
        <w:rPr>
          <w:i/>
          <w:iCs/>
        </w:rPr>
        <w:t xml:space="preserve"> Services v. Greene’s Energy Group</w:t>
      </w:r>
      <w:r>
        <w:t xml:space="preserve">, </w:t>
      </w:r>
      <w:r w:rsidR="000A7626">
        <w:t>the</w:t>
      </w:r>
      <w:r>
        <w:t xml:space="preserve"> issue was</w:t>
      </w:r>
      <w:r w:rsidR="000A7626">
        <w:t xml:space="preserve"> a question of law</w:t>
      </w:r>
      <w:r w:rsidR="00911047">
        <w:t xml:space="preserve"> appropriate for </w:t>
      </w:r>
      <w:r w:rsidR="00EB395A">
        <w:rPr>
          <w:i/>
          <w:iCs/>
        </w:rPr>
        <w:t xml:space="preserve">de novo </w:t>
      </w:r>
      <w:r w:rsidR="00EB395A">
        <w:t>review</w:t>
      </w:r>
      <w:r w:rsidR="000A7626">
        <w:t xml:space="preserve">, and the </w:t>
      </w:r>
      <w:r w:rsidR="00911047">
        <w:t>issue was well-briefed (among other reasons).</w:t>
      </w:r>
      <w:r w:rsidR="00911047">
        <w:rPr>
          <w:rStyle w:val="FootnoteReference"/>
        </w:rPr>
        <w:footnoteReference w:id="796"/>
      </w:r>
      <w:r w:rsidR="008B644D">
        <w:t xml:space="preserve"> </w:t>
      </w:r>
    </w:p>
    <w:p w14:paraId="3B5F04B9" w14:textId="6AB82719" w:rsidR="00BF5DC9" w:rsidRPr="00781A5F" w:rsidRDefault="00BF5DC9" w:rsidP="005E70B2">
      <w:pPr>
        <w:ind w:firstLine="720"/>
      </w:pPr>
      <w:r>
        <w:t>Turning to the merits</w:t>
      </w:r>
      <w:r w:rsidR="001956FC">
        <w:t xml:space="preserve">: </w:t>
      </w:r>
      <w:r w:rsidR="00146092">
        <w:t xml:space="preserve"> </w:t>
      </w:r>
      <w:r w:rsidR="007E2491">
        <w:t>Celgene advanced “a regulatory takings theory” that “subjecting its pre-AIA patents to IPR</w:t>
      </w:r>
      <w:r w:rsidR="004F5EB3">
        <w:t>, a procedure that did not exist at the time its patents issued, unfairly interferes with reasonable investment-backed expectations without just compensation.”</w:t>
      </w:r>
      <w:r w:rsidR="004F5EB3">
        <w:rPr>
          <w:rStyle w:val="FootnoteReference"/>
        </w:rPr>
        <w:footnoteReference w:id="797"/>
      </w:r>
      <w:r w:rsidR="00F11FF4">
        <w:t xml:space="preserve">  The court concluded</w:t>
      </w:r>
      <w:r w:rsidR="00146092">
        <w:t>, however, that</w:t>
      </w:r>
      <w:r w:rsidR="00F11FF4">
        <w:t xml:space="preserve"> the IPR procedures did not differ “from the pre-AIA review mechanisms significantly enough, substantively or procedurally, to effectuate a taking.”</w:t>
      </w:r>
      <w:r w:rsidR="00F11FF4">
        <w:rPr>
          <w:rStyle w:val="FootnoteReference"/>
        </w:rPr>
        <w:footnoteReference w:id="798"/>
      </w:r>
      <w:r w:rsidR="00781A5F">
        <w:t xml:space="preserve">  Patents have always been reviewable by courts and for decades by the PTO</w:t>
      </w:r>
      <w:r w:rsidR="008E267F">
        <w:t>.  S</w:t>
      </w:r>
      <w:r w:rsidR="00781A5F">
        <w:t>pecifically</w:t>
      </w:r>
      <w:r w:rsidR="008E267F">
        <w:t xml:space="preserve">, both of the patents in suit could have been subject to </w:t>
      </w:r>
      <w:r w:rsidR="00781A5F">
        <w:rPr>
          <w:i/>
          <w:iCs/>
        </w:rPr>
        <w:t xml:space="preserve">ex parte </w:t>
      </w:r>
      <w:r w:rsidR="00781A5F">
        <w:t>reexamination</w:t>
      </w:r>
      <w:r w:rsidR="008E267F">
        <w:t xml:space="preserve"> at the time filed, and </w:t>
      </w:r>
      <w:r w:rsidR="008E267F">
        <w:rPr>
          <w:i/>
          <w:iCs/>
        </w:rPr>
        <w:t xml:space="preserve">inter partes </w:t>
      </w:r>
      <w:r w:rsidR="008E267F">
        <w:t xml:space="preserve">reexamination was </w:t>
      </w:r>
      <w:r w:rsidR="00047BA4">
        <w:t xml:space="preserve">also </w:t>
      </w:r>
      <w:r w:rsidR="008E267F">
        <w:t xml:space="preserve">available </w:t>
      </w:r>
      <w:r w:rsidR="00047BA4">
        <w:t>at the time one of the two was filed.</w:t>
      </w:r>
      <w:r w:rsidR="00047BA4">
        <w:rPr>
          <w:rStyle w:val="FootnoteReference"/>
        </w:rPr>
        <w:footnoteReference w:id="799"/>
      </w:r>
      <w:r w:rsidR="008E267F">
        <w:t xml:space="preserve">  </w:t>
      </w:r>
      <w:r w:rsidR="008B2E8A">
        <w:t>IPR and the reexamination predecessors entertain the same substantive issues (anticipation and obviousness) under the same standard of proof (preponderance) and construction (at all relevant times the “broadest reasonable interpretation” standard).</w:t>
      </w:r>
      <w:r w:rsidR="008B2E8A">
        <w:rPr>
          <w:rStyle w:val="FootnoteReference"/>
        </w:rPr>
        <w:footnoteReference w:id="800"/>
      </w:r>
      <w:r w:rsidR="00C54967">
        <w:t xml:space="preserve">  In past cases, the Supreme Court has even underscored that court challenges, reexaminations, and IPRs are all “different forms of the same thing—reexamination.”</w:t>
      </w:r>
      <w:r w:rsidR="00C54967">
        <w:rPr>
          <w:rStyle w:val="FootnoteReference"/>
        </w:rPr>
        <w:footnoteReference w:id="801"/>
      </w:r>
      <w:r w:rsidR="00345AE6">
        <w:t xml:space="preserve">  While IPRs are adjudicatory and come with procedural differences, including with respect to discovery, briefing, and oral argument, “[n]o one has a vested right in any given mode of procedure.”</w:t>
      </w:r>
      <w:r w:rsidR="00345AE6">
        <w:rPr>
          <w:rStyle w:val="FootnoteReference"/>
        </w:rPr>
        <w:footnoteReference w:id="802"/>
      </w:r>
      <w:r w:rsidR="00E31E25">
        <w:t xml:space="preserve">  And </w:t>
      </w:r>
      <w:r w:rsidR="007F03F5">
        <w:t xml:space="preserve">just because a meritless patent might have had greater commercial value pre-IPR than now, when patents are subjected to review more frequently or vigorously than previously, does not mean </w:t>
      </w:r>
      <w:r w:rsidR="007502CD">
        <w:t>investing in meritless patents was ever reasonable.</w:t>
      </w:r>
      <w:r w:rsidR="007502CD">
        <w:rPr>
          <w:rStyle w:val="FootnoteReference"/>
        </w:rPr>
        <w:footnoteReference w:id="803"/>
      </w:r>
      <w:r w:rsidR="007F03F5">
        <w:t xml:space="preserve"> </w:t>
      </w:r>
      <w:r w:rsidR="00C50906">
        <w:t xml:space="preserve"> Finally, though all parties agreed patents were private property for the purposes of the takings clause,</w:t>
      </w:r>
      <w:r w:rsidR="00C50906">
        <w:rPr>
          <w:rStyle w:val="FootnoteReference"/>
        </w:rPr>
        <w:footnoteReference w:id="804"/>
      </w:r>
      <w:r w:rsidR="00C50906">
        <w:t xml:space="preserve"> the court </w:t>
      </w:r>
      <w:r w:rsidR="00C50906">
        <w:lastRenderedPageBreak/>
        <w:t xml:space="preserve">emphasized that the </w:t>
      </w:r>
      <w:r w:rsidR="00C50906">
        <w:rPr>
          <w:i/>
          <w:iCs/>
        </w:rPr>
        <w:t>presumption of validity</w:t>
      </w:r>
      <w:r w:rsidR="00C50906">
        <w:t xml:space="preserve"> </w:t>
      </w:r>
      <w:r w:rsidR="00EE7BCC">
        <w:t>is</w:t>
      </w:r>
      <w:r w:rsidR="00C50906">
        <w:t xml:space="preserve"> not a </w:t>
      </w:r>
      <w:r w:rsidR="00EE7BCC">
        <w:t>property right subject to constitutional protection.</w:t>
      </w:r>
      <w:r w:rsidR="00EE7BCC">
        <w:rPr>
          <w:rStyle w:val="FootnoteReference"/>
        </w:rPr>
        <w:footnoteReference w:id="805"/>
      </w:r>
      <w:r w:rsidR="00C50906">
        <w:t xml:space="preserve">  </w:t>
      </w:r>
    </w:p>
    <w:p w14:paraId="356CB185" w14:textId="41252FE1" w:rsidR="002B59FE" w:rsidRDefault="00565F8F" w:rsidP="00191D8F">
      <w:pPr>
        <w:pStyle w:val="Heading4"/>
        <w:rPr>
          <w:i/>
        </w:rPr>
      </w:pPr>
      <w:bookmarkStart w:id="99" w:name="_Toc26792816"/>
      <w:r w:rsidRPr="00565F8F">
        <w:rPr>
          <w:i/>
        </w:rPr>
        <w:t>DexMedia Inc. v. Click-to</w:t>
      </w:r>
      <w:r>
        <w:rPr>
          <w:i/>
        </w:rPr>
        <w:t>-Call Techs., LP</w:t>
      </w:r>
      <w:r w:rsidR="002B59FE" w:rsidRPr="00565F8F">
        <w:t xml:space="preserve">, </w:t>
      </w:r>
      <w:r w:rsidR="00191D8F" w:rsidRPr="00191D8F">
        <w:t xml:space="preserve">139 S.Ct. 2742 </w:t>
      </w:r>
      <w:r w:rsidR="002B59FE" w:rsidRPr="00565F8F">
        <w:t>(</w:t>
      </w:r>
      <w:r w:rsidR="00191D8F">
        <w:t>June 24, 2019</w:t>
      </w:r>
      <w:r w:rsidR="002B59FE" w:rsidRPr="0080157F">
        <w:t>)</w:t>
      </w:r>
      <w:bookmarkEnd w:id="99"/>
    </w:p>
    <w:p w14:paraId="4C2B9678" w14:textId="6328C259" w:rsidR="006B581C" w:rsidRPr="002B59FE" w:rsidRDefault="006B581C" w:rsidP="006B581C">
      <w:pPr>
        <w:ind w:firstLine="720"/>
      </w:pPr>
      <w:r>
        <w:t xml:space="preserve">Previously, the Federal Circuit decided that serving a district court complaint more than one year before seeking </w:t>
      </w:r>
      <w:r>
        <w:rPr>
          <w:i/>
          <w:iCs/>
        </w:rPr>
        <w:t xml:space="preserve">inter partes </w:t>
      </w:r>
      <w:r>
        <w:t>review (IPR) bars petition for IPR, even where a district court dismisses the complaint without prejudice.</w:t>
      </w:r>
      <w:r>
        <w:rPr>
          <w:rStyle w:val="FootnoteReference"/>
        </w:rPr>
        <w:footnoteReference w:id="806"/>
      </w:r>
      <w:r>
        <w:t xml:space="preserve">  </w:t>
      </w:r>
    </w:p>
    <w:p w14:paraId="72629267" w14:textId="70AF6BC5" w:rsidR="006C5992" w:rsidRDefault="006B581C" w:rsidP="002B59FE">
      <w:pPr>
        <w:ind w:firstLine="720"/>
      </w:pPr>
      <w:r>
        <w:t>Recently, t</w:t>
      </w:r>
      <w:r w:rsidR="00191D8F">
        <w:t>he Supreme Court granted certiorari</w:t>
      </w:r>
      <w:r w:rsidR="00A73525">
        <w:t xml:space="preserve"> to answer </w:t>
      </w:r>
      <w:r w:rsidR="00763988">
        <w:t>“[w]</w:t>
      </w:r>
      <w:r w:rsidR="002B59FE" w:rsidRPr="002B59FE">
        <w:t xml:space="preserve">hether 35 U.S.C. § 314(d) permits appeal of </w:t>
      </w:r>
      <w:r w:rsidR="00A73525">
        <w:t>the</w:t>
      </w:r>
      <w:r w:rsidR="002B59FE" w:rsidRPr="002B59FE">
        <w:t xml:space="preserve"> </w:t>
      </w:r>
      <w:r w:rsidR="00763988">
        <w:t>[</w:t>
      </w:r>
      <w:r w:rsidR="002B59FE" w:rsidRPr="002B59FE">
        <w:t>Patent Trial and Appeal Board</w:t>
      </w:r>
      <w:r w:rsidR="00763988">
        <w:t>]</w:t>
      </w:r>
      <w:r w:rsidR="002B59FE" w:rsidRPr="002B59FE">
        <w:t>’s</w:t>
      </w:r>
      <w:r w:rsidR="00A73525">
        <w:t xml:space="preserve"> </w:t>
      </w:r>
      <w:r w:rsidR="002B59FE" w:rsidRPr="002B59FE">
        <w:t xml:space="preserve">decision to institute an </w:t>
      </w:r>
      <w:r w:rsidRPr="006B581C">
        <w:t>[IPR]</w:t>
      </w:r>
      <w:r w:rsidR="002B59FE" w:rsidRPr="002B59FE">
        <w:t xml:space="preserve"> </w:t>
      </w:r>
      <w:r w:rsidR="003B5BF2">
        <w:t>upon</w:t>
      </w:r>
      <w:r w:rsidR="002B59FE" w:rsidRPr="002B59FE">
        <w:t xml:space="preserve"> finding</w:t>
      </w:r>
      <w:r>
        <w:t xml:space="preserve"> . . . </w:t>
      </w:r>
      <w:r w:rsidR="002B59FE" w:rsidRPr="002B59FE">
        <w:t>§ 315(b)</w:t>
      </w:r>
      <w:r w:rsidR="003B5BF2">
        <w:t>’s time bar did not apply</w:t>
      </w:r>
      <w:r w:rsidR="002B59FE" w:rsidRPr="002B59FE">
        <w:t>.</w:t>
      </w:r>
      <w:r w:rsidR="00763988">
        <w:t>”</w:t>
      </w:r>
      <w:r w:rsidR="009E7A76">
        <w:rPr>
          <w:rStyle w:val="FootnoteReference"/>
        </w:rPr>
        <w:footnoteReference w:id="807"/>
      </w:r>
      <w:r w:rsidR="002C1C66">
        <w:t xml:space="preserve">  </w:t>
      </w:r>
      <w:r w:rsidR="008955F7">
        <w:t>A decision is expected by June.</w:t>
      </w:r>
    </w:p>
    <w:p w14:paraId="7781ECEC" w14:textId="1BF0F5C0" w:rsidR="000A50F5" w:rsidRPr="00300BD8" w:rsidRDefault="000A50F5" w:rsidP="00136E52">
      <w:pPr>
        <w:pStyle w:val="Heading4"/>
      </w:pPr>
      <w:bookmarkStart w:id="100" w:name="_Toc26792817"/>
      <w:r w:rsidRPr="000A31AE">
        <w:rPr>
          <w:i/>
        </w:rPr>
        <w:t>Return Mail, Inc. v. U.S. Postal Service</w:t>
      </w:r>
      <w:r w:rsidRPr="00F874E5">
        <w:t xml:space="preserve">, </w:t>
      </w:r>
      <w:r w:rsidR="00DE157D">
        <w:t>139 S. Ct. 1853, 1867-68 (U.S. June 10, 2019).</w:t>
      </w:r>
      <w:bookmarkEnd w:id="100"/>
      <w:r w:rsidRPr="00300BD8">
        <w:t xml:space="preserve"> </w:t>
      </w:r>
    </w:p>
    <w:p w14:paraId="7E365946" w14:textId="77777777" w:rsidR="000A50F5" w:rsidRPr="00300BD8" w:rsidRDefault="000A50F5" w:rsidP="000A50F5">
      <w:pPr>
        <w:ind w:firstLine="720"/>
        <w:rPr>
          <w:rFonts w:cs="Times New Roman"/>
          <w:color w:val="000000" w:themeColor="text1"/>
        </w:rPr>
      </w:pPr>
      <w:r w:rsidRPr="00300BD8">
        <w:rPr>
          <w:rFonts w:cs="Times New Roman"/>
          <w:color w:val="000000" w:themeColor="text1"/>
        </w:rPr>
        <w:t>The Supreme Court granted certiorari</w:t>
      </w:r>
      <w:r w:rsidRPr="005A669A">
        <w:rPr>
          <w:rStyle w:val="FootnoteReference"/>
        </w:rPr>
        <w:footnoteReference w:id="808"/>
      </w:r>
      <w:r w:rsidRPr="00300BD8">
        <w:rPr>
          <w:rFonts w:cs="Times New Roman"/>
          <w:color w:val="000000" w:themeColor="text1"/>
        </w:rPr>
        <w:t xml:space="preserve"> as to “whether the government is a ‘person’ who may petition to institute review proceedings under the AIA.”</w:t>
      </w:r>
      <w:r w:rsidRPr="005A669A">
        <w:rPr>
          <w:rStyle w:val="FootnoteReference"/>
        </w:rPr>
        <w:footnoteReference w:id="809"/>
      </w:r>
      <w:r w:rsidRPr="00300BD8">
        <w:rPr>
          <w:rFonts w:cs="Times New Roman"/>
          <w:color w:val="000000" w:themeColor="text1"/>
        </w:rPr>
        <w:t xml:space="preserve"> </w:t>
      </w:r>
    </w:p>
    <w:p w14:paraId="28E5C5FB" w14:textId="77777777" w:rsidR="00DE157D" w:rsidRDefault="000A50F5" w:rsidP="00DE157D">
      <w:pPr>
        <w:rPr>
          <w:rFonts w:cs="Times New Roman"/>
          <w:color w:val="000000" w:themeColor="text1"/>
        </w:rPr>
      </w:pPr>
      <w:r w:rsidRPr="00300BD8">
        <w:rPr>
          <w:rFonts w:cs="Times New Roman"/>
          <w:color w:val="000000" w:themeColor="text1"/>
        </w:rPr>
        <w:tab/>
        <w:t>The case concern</w:t>
      </w:r>
      <w:r w:rsidR="00CE58FB">
        <w:rPr>
          <w:rFonts w:cs="Times New Roman"/>
          <w:color w:val="000000" w:themeColor="text1"/>
        </w:rPr>
        <w:t>s</w:t>
      </w:r>
      <w:r w:rsidRPr="00300BD8">
        <w:rPr>
          <w:rFonts w:cs="Times New Roman"/>
          <w:color w:val="000000" w:themeColor="text1"/>
        </w:rPr>
        <w:t xml:space="preserve"> a patent that Return Mail allege</w:t>
      </w:r>
      <w:r w:rsidR="00BB16B0">
        <w:rPr>
          <w:rFonts w:cs="Times New Roman"/>
          <w:color w:val="000000" w:themeColor="text1"/>
        </w:rPr>
        <w:t>s</w:t>
      </w:r>
      <w:r w:rsidRPr="00300BD8">
        <w:rPr>
          <w:rFonts w:cs="Times New Roman"/>
          <w:color w:val="000000" w:themeColor="text1"/>
        </w:rPr>
        <w:t xml:space="preserve"> the U.S. Postal Office </w:t>
      </w:r>
      <w:r w:rsidR="00BB16B0">
        <w:rPr>
          <w:rFonts w:cs="Times New Roman"/>
          <w:color w:val="000000" w:themeColor="text1"/>
        </w:rPr>
        <w:t>used</w:t>
      </w:r>
      <w:r w:rsidRPr="00300BD8">
        <w:rPr>
          <w:rFonts w:cs="Times New Roman"/>
          <w:color w:val="000000" w:themeColor="text1"/>
        </w:rPr>
        <w:t>.</w:t>
      </w:r>
      <w:r w:rsidRPr="005A669A">
        <w:rPr>
          <w:rStyle w:val="FootnoteReference"/>
        </w:rPr>
        <w:footnoteReference w:id="810"/>
      </w:r>
      <w:r w:rsidRPr="00300BD8">
        <w:rPr>
          <w:rFonts w:cs="Times New Roman"/>
          <w:color w:val="000000" w:themeColor="text1"/>
        </w:rPr>
        <w:t xml:space="preserve"> Because the federal government cannot be sued for patent infringement under the Patent Act, Return Mail sued for compensation under 28 U.S.C. § 1498(a) at the U.S. Court of Federal Claims.</w:t>
      </w:r>
      <w:r w:rsidRPr="005A669A">
        <w:rPr>
          <w:rStyle w:val="FootnoteReference"/>
        </w:rPr>
        <w:footnoteReference w:id="811"/>
      </w:r>
      <w:r w:rsidRPr="00300BD8">
        <w:rPr>
          <w:rFonts w:cs="Times New Roman"/>
          <w:color w:val="000000" w:themeColor="text1"/>
        </w:rPr>
        <w:t xml:space="preserve"> The U.S. Postal Office petitioned for a covered business method (“CBM”) review at the Patent Trial and Appeal Board (“PTAB”).</w:t>
      </w:r>
      <w:r w:rsidRPr="005A669A">
        <w:rPr>
          <w:rStyle w:val="FootnoteReference"/>
        </w:rPr>
        <w:footnoteReference w:id="812"/>
      </w:r>
      <w:r w:rsidRPr="00300BD8">
        <w:rPr>
          <w:rFonts w:cs="Times New Roman"/>
          <w:color w:val="000000" w:themeColor="text1"/>
        </w:rPr>
        <w:t xml:space="preserve"> The PTAB initiated the CBM, and invalidated Return Mail’s patent.</w:t>
      </w:r>
      <w:r w:rsidRPr="005A669A">
        <w:rPr>
          <w:rStyle w:val="FootnoteReference"/>
        </w:rPr>
        <w:footnoteReference w:id="813"/>
      </w:r>
      <w:r w:rsidRPr="00300BD8">
        <w:rPr>
          <w:rFonts w:cs="Times New Roman"/>
          <w:color w:val="000000" w:themeColor="text1"/>
        </w:rPr>
        <w:t xml:space="preserve"> On appeal, the Federal Circuit affirmed, holding the PTAB had authority to initiate </w:t>
      </w:r>
      <w:r w:rsidR="00BB16B0">
        <w:rPr>
          <w:rFonts w:cs="Times New Roman"/>
          <w:color w:val="000000" w:themeColor="text1"/>
        </w:rPr>
        <w:t>the</w:t>
      </w:r>
      <w:r w:rsidRPr="00300BD8">
        <w:rPr>
          <w:rFonts w:cs="Times New Roman"/>
          <w:color w:val="000000" w:themeColor="text1"/>
        </w:rPr>
        <w:t xml:space="preserve"> proceeding.</w:t>
      </w:r>
      <w:r w:rsidRPr="005A669A">
        <w:rPr>
          <w:rStyle w:val="FootnoteReference"/>
        </w:rPr>
        <w:footnoteReference w:id="814"/>
      </w:r>
      <w:r w:rsidRPr="00300BD8">
        <w:rPr>
          <w:rFonts w:cs="Times New Roman"/>
          <w:color w:val="000000" w:themeColor="text1"/>
        </w:rPr>
        <w:t xml:space="preserve"> </w:t>
      </w:r>
    </w:p>
    <w:p w14:paraId="1C242068" w14:textId="75F1EDC0" w:rsidR="00DE157D" w:rsidRPr="00F3220C" w:rsidRDefault="00DE157D" w:rsidP="00DE157D">
      <w:pPr>
        <w:rPr>
          <w:color w:val="000000" w:themeColor="text1"/>
        </w:rPr>
      </w:pPr>
      <w:r>
        <w:rPr>
          <w:rFonts w:cs="Times New Roman"/>
          <w:color w:val="000000" w:themeColor="text1"/>
        </w:rPr>
        <w:tab/>
        <w:t>The majority h</w:t>
      </w:r>
      <w:r>
        <w:rPr>
          <w:color w:val="000000" w:themeColor="text1"/>
        </w:rPr>
        <w:t>eld that a federal agency is presumptively not a “person,” and that the AIA did not rebut this presumption.</w:t>
      </w:r>
      <w:r>
        <w:rPr>
          <w:rStyle w:val="FootnoteReference"/>
          <w:color w:val="000000" w:themeColor="text1"/>
        </w:rPr>
        <w:footnoteReference w:id="815"/>
      </w:r>
      <w:r>
        <w:rPr>
          <w:color w:val="000000" w:themeColor="text1"/>
        </w:rPr>
        <w:t xml:space="preserve">  Justices Breyer, Ginsburg, and Kagan dissented, pointing out that the government can obtain, maintain, and assert patents — and that under the legislative history and policy logic it should also be able to invoke administrative procedures to challenge other parties’ patents.</w:t>
      </w:r>
      <w:r>
        <w:rPr>
          <w:rStyle w:val="FootnoteReference"/>
          <w:color w:val="000000" w:themeColor="text1"/>
        </w:rPr>
        <w:footnoteReference w:id="816"/>
      </w:r>
    </w:p>
    <w:p w14:paraId="32018869" w14:textId="08BED5FE" w:rsidR="008E509C" w:rsidRPr="00677ABE" w:rsidRDefault="008E509C" w:rsidP="00E877EF">
      <w:pPr>
        <w:ind w:firstLine="720"/>
        <w:rPr>
          <w:rFonts w:eastAsiaTheme="majorEastAsia" w:cs="Times New Roman"/>
          <w:b/>
          <w:bCs/>
        </w:rPr>
      </w:pPr>
      <w:r w:rsidRPr="00677ABE">
        <w:rPr>
          <w:rFonts w:cs="Times New Roman"/>
        </w:rPr>
        <w:br w:type="page"/>
      </w:r>
    </w:p>
    <w:p w14:paraId="5CDD763B" w14:textId="77777777" w:rsidR="00F20B84" w:rsidRDefault="007D0629" w:rsidP="00CA2C0A">
      <w:pPr>
        <w:pStyle w:val="Heading1"/>
        <w:rPr>
          <w:rFonts w:cs="Times New Roman"/>
          <w:szCs w:val="24"/>
        </w:rPr>
      </w:pPr>
      <w:bookmarkStart w:id="101" w:name="_Toc26792818"/>
      <w:r w:rsidRPr="00677ABE">
        <w:rPr>
          <w:rFonts w:cs="Times New Roman"/>
          <w:szCs w:val="24"/>
        </w:rPr>
        <w:lastRenderedPageBreak/>
        <w:t>DESIGN PATENTS</w:t>
      </w:r>
      <w:bookmarkEnd w:id="101"/>
    </w:p>
    <w:p w14:paraId="0CEB32DA" w14:textId="70D7BE47" w:rsidR="00CD4995" w:rsidRDefault="00AA77EA" w:rsidP="008176D0">
      <w:pPr>
        <w:pStyle w:val="Heading2"/>
      </w:pPr>
      <w:bookmarkStart w:id="102" w:name="_Toc26792819"/>
      <w:r w:rsidRPr="00677ABE">
        <w:t xml:space="preserve">Design Patent </w:t>
      </w:r>
      <w:r>
        <w:t>Exhaustion</w:t>
      </w:r>
      <w:bookmarkEnd w:id="102"/>
      <w:r w:rsidRPr="00677ABE">
        <w:t xml:space="preserve"> </w:t>
      </w:r>
    </w:p>
    <w:p w14:paraId="207B1980" w14:textId="1A60F202" w:rsidR="00DE621C" w:rsidRPr="00677ABE" w:rsidRDefault="00DE621C" w:rsidP="00DE621C">
      <w:pPr>
        <w:pStyle w:val="Heading4"/>
      </w:pPr>
      <w:bookmarkStart w:id="103" w:name="_Toc26792820"/>
      <w:r>
        <w:rPr>
          <w:i/>
          <w:iCs/>
        </w:rPr>
        <w:t>Automotive Body Parts Ass’n v. Ford Global Techs., LLC</w:t>
      </w:r>
      <w:r>
        <w:rPr>
          <w:iCs/>
        </w:rPr>
        <w:t>, 930 F.3d 1314</w:t>
      </w:r>
      <w:r w:rsidRPr="00677ABE">
        <w:t xml:space="preserve"> (Fed. Cir. </w:t>
      </w:r>
      <w:r>
        <w:t>July 23, 2019</w:t>
      </w:r>
      <w:r w:rsidRPr="00677ABE">
        <w:t>)</w:t>
      </w:r>
      <w:r>
        <w:t>.</w:t>
      </w:r>
      <w:bookmarkEnd w:id="103"/>
    </w:p>
    <w:p w14:paraId="0AF8C1D5" w14:textId="12A5D2E6" w:rsidR="00AA77EA" w:rsidRDefault="00AA77EA" w:rsidP="00AA77EA">
      <w:pPr>
        <w:rPr>
          <w:rFonts w:cs="Times New Roman"/>
          <w:color w:val="000000" w:themeColor="text1"/>
        </w:rPr>
      </w:pPr>
      <w:r w:rsidRPr="00DE621C">
        <w:rPr>
          <w:rFonts w:cs="Times New Roman"/>
          <w:color w:val="000000" w:themeColor="text1"/>
        </w:rPr>
        <w:tab/>
        <w:t>In this appeal from t</w:t>
      </w:r>
      <w:r w:rsidR="004C0347">
        <w:rPr>
          <w:rFonts w:cs="Times New Roman"/>
          <w:color w:val="000000" w:themeColor="text1"/>
        </w:rPr>
        <w:t>he Eastern District of Michigan, the Federal Circuit affirmed that design patents to a</w:t>
      </w:r>
      <w:r w:rsidR="00B20B1E">
        <w:rPr>
          <w:rFonts w:cs="Times New Roman"/>
          <w:color w:val="000000" w:themeColor="text1"/>
        </w:rPr>
        <w:t xml:space="preserve"> </w:t>
      </w:r>
      <w:r w:rsidR="004C0347">
        <w:rPr>
          <w:rFonts w:cs="Times New Roman"/>
          <w:color w:val="000000" w:themeColor="text1"/>
        </w:rPr>
        <w:t xml:space="preserve">truck’s hood and headlamp were not exhausted by the sale of the truck and that truck buyers were not licensed to repair </w:t>
      </w:r>
      <w:r w:rsidR="00B20B1E">
        <w:rPr>
          <w:rFonts w:cs="Times New Roman"/>
          <w:color w:val="000000" w:themeColor="text1"/>
        </w:rPr>
        <w:t>using parts embodying the patented designs.</w:t>
      </w:r>
      <w:r w:rsidR="002D5F8B">
        <w:rPr>
          <w:rStyle w:val="FootnoteReference"/>
          <w:rFonts w:cs="Times New Roman"/>
          <w:color w:val="000000" w:themeColor="text1"/>
        </w:rPr>
        <w:footnoteReference w:id="817"/>
      </w:r>
      <w:r w:rsidR="00912052">
        <w:rPr>
          <w:rFonts w:cs="Times New Roman"/>
          <w:color w:val="000000" w:themeColor="text1"/>
        </w:rPr>
        <w:t xml:space="preserve">  </w:t>
      </w:r>
      <w:r w:rsidR="00D33CFE">
        <w:rPr>
          <w:rFonts w:cs="Times New Roman"/>
          <w:color w:val="000000" w:themeColor="text1"/>
        </w:rPr>
        <w:t>In short, the rule of patent exhaustion for design patents follows that for utility patents</w:t>
      </w:r>
      <w:r w:rsidR="00E67741">
        <w:rPr>
          <w:rFonts w:cs="Times New Roman"/>
          <w:color w:val="000000" w:themeColor="text1"/>
        </w:rPr>
        <w:t>.</w:t>
      </w:r>
      <w:r w:rsidR="00E67741">
        <w:rPr>
          <w:rStyle w:val="FootnoteReference"/>
          <w:rFonts w:cs="Times New Roman"/>
          <w:color w:val="000000" w:themeColor="text1"/>
        </w:rPr>
        <w:footnoteReference w:id="818"/>
      </w:r>
      <w:r w:rsidR="00E67741">
        <w:rPr>
          <w:rFonts w:cs="Times New Roman"/>
          <w:color w:val="000000" w:themeColor="text1"/>
        </w:rPr>
        <w:t xml:space="preserve"> </w:t>
      </w:r>
    </w:p>
    <w:p w14:paraId="39A4514C" w14:textId="273CAB5B" w:rsidR="003F5CC8" w:rsidRDefault="00B45F80" w:rsidP="00AA77EA">
      <w:pPr>
        <w:rPr>
          <w:rFonts w:cs="Times New Roman"/>
          <w:color w:val="000000" w:themeColor="text1"/>
        </w:rPr>
      </w:pPr>
      <w:r>
        <w:rPr>
          <w:rFonts w:cs="Times New Roman"/>
          <w:color w:val="000000" w:themeColor="text1"/>
        </w:rPr>
        <w:tab/>
      </w:r>
      <w:r w:rsidR="00D33CFE">
        <w:rPr>
          <w:rFonts w:cs="Times New Roman"/>
          <w:color w:val="000000" w:themeColor="text1"/>
        </w:rPr>
        <w:t>The</w:t>
      </w:r>
      <w:r w:rsidR="00924602">
        <w:rPr>
          <w:rFonts w:cs="Times New Roman"/>
          <w:color w:val="000000" w:themeColor="text1"/>
        </w:rPr>
        <w:t xml:space="preserve"> Automotive Body Parts Association </w:t>
      </w:r>
      <w:r w:rsidR="00664C0F">
        <w:rPr>
          <w:rFonts w:cs="Times New Roman"/>
          <w:color w:val="000000" w:themeColor="text1"/>
        </w:rPr>
        <w:t xml:space="preserve">(“ABPA”) </w:t>
      </w:r>
      <w:r w:rsidR="00D33CFE">
        <w:rPr>
          <w:rFonts w:cs="Times New Roman"/>
          <w:color w:val="000000" w:themeColor="text1"/>
        </w:rPr>
        <w:t>had s</w:t>
      </w:r>
      <w:r w:rsidR="00924602">
        <w:rPr>
          <w:rFonts w:cs="Times New Roman"/>
          <w:color w:val="000000" w:themeColor="text1"/>
        </w:rPr>
        <w:t xml:space="preserve">ought declaratory judgment </w:t>
      </w:r>
      <w:r w:rsidR="003F76CE">
        <w:rPr>
          <w:rFonts w:cs="Times New Roman"/>
          <w:color w:val="000000" w:themeColor="text1"/>
        </w:rPr>
        <w:t>that Ford’s D’299 and D’685 patents were invalid or unenforceable.</w:t>
      </w:r>
      <w:r w:rsidR="00924602">
        <w:rPr>
          <w:rStyle w:val="FootnoteReference"/>
          <w:rFonts w:cs="Times New Roman"/>
          <w:color w:val="000000" w:themeColor="text1"/>
        </w:rPr>
        <w:footnoteReference w:id="819"/>
      </w:r>
      <w:r w:rsidR="00E17AE3">
        <w:rPr>
          <w:rFonts w:cs="Times New Roman"/>
          <w:color w:val="000000" w:themeColor="text1"/>
        </w:rPr>
        <w:t xml:space="preserve">  The </w:t>
      </w:r>
      <w:r w:rsidR="00D33CFE">
        <w:rPr>
          <w:rFonts w:cs="Times New Roman"/>
          <w:color w:val="000000" w:themeColor="text1"/>
        </w:rPr>
        <w:t xml:space="preserve">district </w:t>
      </w:r>
      <w:r w:rsidR="00E17AE3">
        <w:rPr>
          <w:rFonts w:cs="Times New Roman"/>
          <w:color w:val="000000" w:themeColor="text1"/>
        </w:rPr>
        <w:t xml:space="preserve">court </w:t>
      </w:r>
      <w:r w:rsidR="00E17AE3">
        <w:rPr>
          <w:rFonts w:cs="Times New Roman"/>
          <w:i/>
          <w:color w:val="000000" w:themeColor="text1"/>
        </w:rPr>
        <w:t xml:space="preserve">sua sponte </w:t>
      </w:r>
      <w:r w:rsidR="00E17AE3">
        <w:rPr>
          <w:rFonts w:cs="Times New Roman"/>
          <w:color w:val="000000" w:themeColor="text1"/>
        </w:rPr>
        <w:t>entered summary judgment for Ford.</w:t>
      </w:r>
    </w:p>
    <w:p w14:paraId="7A1786B5" w14:textId="01B67693" w:rsidR="00B45F80" w:rsidRDefault="003F5CC8" w:rsidP="00AA77EA">
      <w:pPr>
        <w:rPr>
          <w:rFonts w:cs="Times New Roman"/>
          <w:color w:val="000000" w:themeColor="text1"/>
        </w:rPr>
      </w:pPr>
      <w:r>
        <w:rPr>
          <w:rFonts w:cs="Times New Roman"/>
          <w:color w:val="000000" w:themeColor="text1"/>
        </w:rPr>
        <w:tab/>
        <w:t>On appeal, the Federal Circuit affirmed.</w:t>
      </w:r>
      <w:r>
        <w:rPr>
          <w:rStyle w:val="FootnoteReference"/>
          <w:rFonts w:cs="Times New Roman"/>
          <w:color w:val="000000" w:themeColor="text1"/>
        </w:rPr>
        <w:footnoteReference w:id="820"/>
      </w:r>
      <w:r w:rsidR="008F6B4A">
        <w:rPr>
          <w:rFonts w:cs="Times New Roman"/>
          <w:color w:val="000000" w:themeColor="text1"/>
        </w:rPr>
        <w:t xml:space="preserve"> </w:t>
      </w:r>
      <w:r w:rsidR="00AD06F0">
        <w:rPr>
          <w:rFonts w:cs="Times New Roman"/>
          <w:color w:val="000000" w:themeColor="text1"/>
        </w:rPr>
        <w:t xml:space="preserve">Utility patent law has long held that </w:t>
      </w:r>
      <w:r w:rsidR="00912052">
        <w:rPr>
          <w:rFonts w:cs="Times New Roman"/>
          <w:color w:val="000000" w:themeColor="text1"/>
        </w:rPr>
        <w:t>“</w:t>
      </w:r>
      <w:r w:rsidR="00AD06F0">
        <w:rPr>
          <w:rFonts w:cs="Times New Roman"/>
          <w:color w:val="000000" w:themeColor="text1"/>
        </w:rPr>
        <w:t>e</w:t>
      </w:r>
      <w:r w:rsidR="00912052" w:rsidRPr="00912052">
        <w:rPr>
          <w:rFonts w:cs="Times New Roman"/>
          <w:color w:val="000000" w:themeColor="text1"/>
        </w:rPr>
        <w:t>xhaustion attaches only to items sold by, or with the authorization of, the patentee.</w:t>
      </w:r>
      <w:r w:rsidR="00912052">
        <w:rPr>
          <w:rFonts w:cs="Times New Roman"/>
          <w:color w:val="000000" w:themeColor="text1"/>
        </w:rPr>
        <w:t>”</w:t>
      </w:r>
      <w:r w:rsidR="003125FE">
        <w:rPr>
          <w:rStyle w:val="FootnoteReference"/>
          <w:rFonts w:cs="Times New Roman"/>
          <w:color w:val="000000" w:themeColor="text1"/>
        </w:rPr>
        <w:footnoteReference w:id="821"/>
      </w:r>
      <w:r w:rsidR="00E67741">
        <w:rPr>
          <w:rFonts w:cs="Times New Roman"/>
          <w:color w:val="000000" w:themeColor="text1"/>
        </w:rPr>
        <w:t xml:space="preserve">  </w:t>
      </w:r>
      <w:r w:rsidR="008A7F27">
        <w:rPr>
          <w:rFonts w:cs="Times New Roman"/>
          <w:color w:val="000000" w:themeColor="text1"/>
        </w:rPr>
        <w:t>Here,</w:t>
      </w:r>
      <w:r w:rsidR="00AD06F0">
        <w:rPr>
          <w:rFonts w:cs="Times New Roman"/>
          <w:color w:val="000000" w:themeColor="text1"/>
        </w:rPr>
        <w:t xml:space="preserve"> the</w:t>
      </w:r>
      <w:r w:rsidR="00664C0F">
        <w:rPr>
          <w:rFonts w:cs="Times New Roman"/>
          <w:color w:val="000000" w:themeColor="text1"/>
        </w:rPr>
        <w:t xml:space="preserve"> court declined ABPA’s invitation to create a separate rule for design patents</w:t>
      </w:r>
      <w:r w:rsidR="00AD06F0">
        <w:rPr>
          <w:rFonts w:cs="Times New Roman"/>
          <w:color w:val="000000" w:themeColor="text1"/>
        </w:rPr>
        <w:t xml:space="preserve">, </w:t>
      </w:r>
      <w:r w:rsidR="00B52327">
        <w:rPr>
          <w:rFonts w:cs="Times New Roman"/>
          <w:color w:val="000000" w:themeColor="text1"/>
        </w:rPr>
        <w:t>explaining</w:t>
      </w:r>
      <w:r w:rsidR="00AD06F0">
        <w:rPr>
          <w:rFonts w:cs="Times New Roman"/>
          <w:color w:val="000000" w:themeColor="text1"/>
        </w:rPr>
        <w:t xml:space="preserve"> </w:t>
      </w:r>
      <w:r w:rsidR="00B52327">
        <w:rPr>
          <w:rFonts w:cs="Times New Roman"/>
          <w:color w:val="000000" w:themeColor="text1"/>
        </w:rPr>
        <w:t>that</w:t>
      </w:r>
      <w:r w:rsidR="00407423">
        <w:rPr>
          <w:rFonts w:cs="Times New Roman"/>
          <w:color w:val="000000" w:themeColor="text1"/>
        </w:rPr>
        <w:t xml:space="preserve"> design patent</w:t>
      </w:r>
      <w:r w:rsidR="00850EF2">
        <w:rPr>
          <w:rFonts w:cs="Times New Roman"/>
          <w:color w:val="000000" w:themeColor="text1"/>
        </w:rPr>
        <w:t xml:space="preserve"> law</w:t>
      </w:r>
      <w:r w:rsidR="00407423">
        <w:rPr>
          <w:rFonts w:cs="Times New Roman"/>
          <w:color w:val="000000" w:themeColor="text1"/>
        </w:rPr>
        <w:t xml:space="preserve"> </w:t>
      </w:r>
      <w:r w:rsidR="00B52327">
        <w:rPr>
          <w:rFonts w:cs="Times New Roman"/>
          <w:color w:val="000000" w:themeColor="text1"/>
        </w:rPr>
        <w:t>aims to follow</w:t>
      </w:r>
      <w:r w:rsidR="00407423">
        <w:rPr>
          <w:rFonts w:cs="Times New Roman"/>
          <w:color w:val="000000" w:themeColor="text1"/>
        </w:rPr>
        <w:t xml:space="preserve"> </w:t>
      </w:r>
      <w:r w:rsidR="00AD06F0">
        <w:rPr>
          <w:rFonts w:cs="Times New Roman"/>
          <w:color w:val="000000" w:themeColor="text1"/>
        </w:rPr>
        <w:t>utility patent law</w:t>
      </w:r>
      <w:r w:rsidR="00B52327">
        <w:rPr>
          <w:rFonts w:cs="Times New Roman"/>
          <w:color w:val="000000" w:themeColor="text1"/>
        </w:rPr>
        <w:t xml:space="preserve"> wherever possible</w:t>
      </w:r>
      <w:r w:rsidR="00312B98">
        <w:rPr>
          <w:rFonts w:cs="Times New Roman"/>
          <w:color w:val="000000" w:themeColor="text1"/>
        </w:rPr>
        <w:t>.</w:t>
      </w:r>
      <w:r w:rsidR="00312B98">
        <w:rPr>
          <w:rStyle w:val="FootnoteReference"/>
          <w:rFonts w:cs="Times New Roman"/>
          <w:color w:val="000000" w:themeColor="text1"/>
        </w:rPr>
        <w:footnoteReference w:id="822"/>
      </w:r>
      <w:r w:rsidR="00664C0F">
        <w:rPr>
          <w:rFonts w:cs="Times New Roman"/>
          <w:color w:val="000000" w:themeColor="text1"/>
        </w:rPr>
        <w:t xml:space="preserve"> </w:t>
      </w:r>
      <w:r w:rsidR="00AD06F0">
        <w:rPr>
          <w:rFonts w:cs="Times New Roman"/>
          <w:color w:val="000000" w:themeColor="text1"/>
        </w:rPr>
        <w:t xml:space="preserve"> Further, with respect to patent exhaustion</w:t>
      </w:r>
      <w:r w:rsidR="00155224">
        <w:rPr>
          <w:rFonts w:cs="Times New Roman"/>
          <w:color w:val="000000" w:themeColor="text1"/>
        </w:rPr>
        <w:t xml:space="preserve"> in particular</w:t>
      </w:r>
      <w:r w:rsidR="00AD06F0">
        <w:rPr>
          <w:rFonts w:cs="Times New Roman"/>
          <w:color w:val="000000" w:themeColor="text1"/>
        </w:rPr>
        <w:t>, even</w:t>
      </w:r>
      <w:r w:rsidR="00664C0F">
        <w:rPr>
          <w:rFonts w:cs="Times New Roman"/>
          <w:color w:val="000000" w:themeColor="text1"/>
        </w:rPr>
        <w:t xml:space="preserve"> </w:t>
      </w:r>
      <w:r w:rsidR="00312B98">
        <w:rPr>
          <w:rFonts w:cs="Times New Roman"/>
          <w:color w:val="000000" w:themeColor="text1"/>
        </w:rPr>
        <w:t>cases related to method patents have</w:t>
      </w:r>
      <w:r w:rsidR="00FB1B17">
        <w:rPr>
          <w:rFonts w:cs="Times New Roman"/>
          <w:color w:val="000000" w:themeColor="text1"/>
        </w:rPr>
        <w:t xml:space="preserve"> found ways to</w:t>
      </w:r>
      <w:r w:rsidR="00312B98">
        <w:rPr>
          <w:rFonts w:cs="Times New Roman"/>
          <w:color w:val="000000" w:themeColor="text1"/>
        </w:rPr>
        <w:t xml:space="preserve"> </w:t>
      </w:r>
      <w:r w:rsidR="00FB1B17">
        <w:rPr>
          <w:rFonts w:cs="Times New Roman"/>
          <w:color w:val="000000" w:themeColor="text1"/>
        </w:rPr>
        <w:t>follow</w:t>
      </w:r>
      <w:r w:rsidR="003F45AF">
        <w:rPr>
          <w:rFonts w:cs="Times New Roman"/>
          <w:color w:val="000000" w:themeColor="text1"/>
        </w:rPr>
        <w:t xml:space="preserve"> </w:t>
      </w:r>
      <w:r w:rsidR="00312B98">
        <w:rPr>
          <w:rFonts w:cs="Times New Roman"/>
          <w:color w:val="000000" w:themeColor="text1"/>
        </w:rPr>
        <w:t xml:space="preserve">rules </w:t>
      </w:r>
      <w:r w:rsidR="00AD06F0">
        <w:rPr>
          <w:rFonts w:cs="Times New Roman"/>
          <w:color w:val="000000" w:themeColor="text1"/>
        </w:rPr>
        <w:t>developed in cases related to</w:t>
      </w:r>
      <w:r w:rsidR="00312B98">
        <w:rPr>
          <w:rFonts w:cs="Times New Roman"/>
          <w:color w:val="000000" w:themeColor="text1"/>
        </w:rPr>
        <w:t xml:space="preserve"> article patents.</w:t>
      </w:r>
      <w:r w:rsidR="00312B98">
        <w:rPr>
          <w:rStyle w:val="FootnoteReference"/>
          <w:rFonts w:cs="Times New Roman"/>
          <w:color w:val="000000" w:themeColor="text1"/>
        </w:rPr>
        <w:footnoteReference w:id="823"/>
      </w:r>
      <w:r w:rsidR="004D442C">
        <w:rPr>
          <w:rFonts w:cs="Times New Roman"/>
          <w:color w:val="000000" w:themeColor="text1"/>
        </w:rPr>
        <w:t xml:space="preserve">  Applying those rules </w:t>
      </w:r>
      <w:r w:rsidR="00850EF2">
        <w:rPr>
          <w:rFonts w:cs="Times New Roman"/>
          <w:color w:val="000000" w:themeColor="text1"/>
        </w:rPr>
        <w:t>to these facts</w:t>
      </w:r>
      <w:r w:rsidR="004D442C">
        <w:rPr>
          <w:rFonts w:cs="Times New Roman"/>
          <w:color w:val="000000" w:themeColor="text1"/>
        </w:rPr>
        <w:t>, replacement hoods and headlamps contained new (and unauthorized) embodiments of the design patent</w:t>
      </w:r>
      <w:r w:rsidR="00750E30">
        <w:rPr>
          <w:rFonts w:cs="Times New Roman"/>
          <w:color w:val="000000" w:themeColor="text1"/>
        </w:rPr>
        <w:t>, and so were infringing.</w:t>
      </w:r>
      <w:r w:rsidR="00B55CB0">
        <w:rPr>
          <w:rStyle w:val="FootnoteReference"/>
          <w:rFonts w:cs="Times New Roman"/>
          <w:color w:val="000000" w:themeColor="text1"/>
        </w:rPr>
        <w:footnoteReference w:id="824"/>
      </w:r>
    </w:p>
    <w:p w14:paraId="3D6ED0C8" w14:textId="220DF44A" w:rsidR="00605B3B" w:rsidRDefault="006B2086" w:rsidP="00605B3B">
      <w:r>
        <w:rPr>
          <w:rFonts w:cs="Times New Roman"/>
          <w:color w:val="000000" w:themeColor="text1"/>
        </w:rPr>
        <w:tab/>
      </w:r>
      <w:r w:rsidR="00D9012C">
        <w:rPr>
          <w:rFonts w:cs="Times New Roman"/>
          <w:color w:val="000000" w:themeColor="text1"/>
        </w:rPr>
        <w:t>Relatedly</w:t>
      </w:r>
      <w:r>
        <w:rPr>
          <w:rFonts w:cs="Times New Roman"/>
          <w:color w:val="000000" w:themeColor="text1"/>
        </w:rPr>
        <w:t>, the sale of the F-150 did not impart</w:t>
      </w:r>
      <w:r w:rsidR="00FA21C6">
        <w:rPr>
          <w:rFonts w:cs="Times New Roman"/>
          <w:color w:val="000000" w:themeColor="text1"/>
        </w:rPr>
        <w:t xml:space="preserve"> to customers</w:t>
      </w:r>
      <w:r>
        <w:rPr>
          <w:rFonts w:cs="Times New Roman"/>
          <w:color w:val="000000" w:themeColor="text1"/>
        </w:rPr>
        <w:t xml:space="preserve"> a license to repair the hood and headlamp </w:t>
      </w:r>
      <w:r w:rsidR="00850EF2">
        <w:rPr>
          <w:rFonts w:cs="Times New Roman"/>
          <w:color w:val="000000" w:themeColor="text1"/>
        </w:rPr>
        <w:t>using</w:t>
      </w:r>
      <w:r>
        <w:rPr>
          <w:rFonts w:cs="Times New Roman"/>
          <w:color w:val="000000" w:themeColor="text1"/>
        </w:rPr>
        <w:t xml:space="preserve"> </w:t>
      </w:r>
      <w:r w:rsidR="00566857">
        <w:rPr>
          <w:rFonts w:cs="Times New Roman"/>
          <w:color w:val="000000" w:themeColor="text1"/>
        </w:rPr>
        <w:t>replacem</w:t>
      </w:r>
      <w:r w:rsidR="00850EF2">
        <w:rPr>
          <w:rFonts w:cs="Times New Roman"/>
          <w:color w:val="000000" w:themeColor="text1"/>
        </w:rPr>
        <w:t xml:space="preserve">ents </w:t>
      </w:r>
      <w:r w:rsidR="00C20437">
        <w:rPr>
          <w:rFonts w:cs="Times New Roman"/>
          <w:color w:val="000000" w:themeColor="text1"/>
        </w:rPr>
        <w:t>embodying the designs</w:t>
      </w:r>
      <w:r w:rsidR="00F30A25">
        <w:rPr>
          <w:rFonts w:cs="Times New Roman"/>
          <w:color w:val="000000" w:themeColor="text1"/>
        </w:rPr>
        <w:t>.</w:t>
      </w:r>
      <w:r w:rsidR="00F30A25">
        <w:rPr>
          <w:rStyle w:val="FootnoteReference"/>
          <w:rFonts w:cs="Times New Roman"/>
          <w:color w:val="000000" w:themeColor="text1"/>
        </w:rPr>
        <w:footnoteReference w:id="825"/>
      </w:r>
      <w:r w:rsidR="00EC3CFA">
        <w:rPr>
          <w:rFonts w:cs="Times New Roman"/>
          <w:color w:val="000000" w:themeColor="text1"/>
        </w:rPr>
        <w:t xml:space="preserve">  </w:t>
      </w:r>
      <w:r w:rsidR="00475BDE">
        <w:rPr>
          <w:rFonts w:cs="Times New Roman"/>
          <w:color w:val="000000" w:themeColor="text1"/>
        </w:rPr>
        <w:t>Had Ford asserted a design patent covering the entire F-150, the manufacture of a replacement</w:t>
      </w:r>
      <w:r w:rsidR="00EC3CFA">
        <w:rPr>
          <w:rFonts w:cs="Times New Roman"/>
          <w:color w:val="000000" w:themeColor="text1"/>
        </w:rPr>
        <w:t xml:space="preserve"> hood</w:t>
      </w:r>
      <w:r w:rsidR="00850EF2">
        <w:rPr>
          <w:rFonts w:cs="Times New Roman"/>
          <w:color w:val="000000" w:themeColor="text1"/>
        </w:rPr>
        <w:t xml:space="preserve"> (and customer using it)</w:t>
      </w:r>
      <w:r w:rsidR="00EC3CFA">
        <w:rPr>
          <w:rFonts w:cs="Times New Roman"/>
          <w:color w:val="000000" w:themeColor="text1"/>
        </w:rPr>
        <w:t xml:space="preserve"> would not have infringed</w:t>
      </w:r>
      <w:r w:rsidR="00475BDE">
        <w:rPr>
          <w:rFonts w:cs="Times New Roman"/>
          <w:color w:val="000000" w:themeColor="text1"/>
        </w:rPr>
        <w:t>.  But “the name of the game is the claim.”</w:t>
      </w:r>
      <w:r w:rsidR="005F032F">
        <w:rPr>
          <w:rStyle w:val="FootnoteReference"/>
          <w:rFonts w:cs="Times New Roman"/>
          <w:color w:val="000000" w:themeColor="text1"/>
        </w:rPr>
        <w:footnoteReference w:id="826"/>
      </w:r>
      <w:r w:rsidR="00475BDE">
        <w:rPr>
          <w:rFonts w:cs="Times New Roman"/>
          <w:color w:val="000000" w:themeColor="text1"/>
        </w:rPr>
        <w:t xml:space="preserve">  And “</w:t>
      </w:r>
      <w:r w:rsidR="00475BDE" w:rsidRPr="00475BDE">
        <w:rPr>
          <w:rFonts w:cs="Times New Roman"/>
          <w:color w:val="000000" w:themeColor="text1"/>
        </w:rPr>
        <w:t>Ford chose to claim designs as</w:t>
      </w:r>
      <w:r w:rsidR="00EC3CFA">
        <w:rPr>
          <w:rFonts w:cs="Times New Roman"/>
          <w:color w:val="000000" w:themeColor="text1"/>
        </w:rPr>
        <w:t xml:space="preserve"> </w:t>
      </w:r>
      <w:r w:rsidR="00475BDE" w:rsidRPr="00475BDE">
        <w:rPr>
          <w:rFonts w:cs="Times New Roman"/>
          <w:color w:val="000000" w:themeColor="text1"/>
        </w:rPr>
        <w:t>applied to portions of particular components</w:t>
      </w:r>
      <w:r w:rsidR="00D40372" w:rsidRPr="00D40372">
        <w:rPr>
          <w:rFonts w:cs="Times New Roman"/>
          <w:color w:val="000000" w:themeColor="text1"/>
        </w:rPr>
        <w:t>.</w:t>
      </w:r>
      <w:r w:rsidR="00D40372">
        <w:rPr>
          <w:rFonts w:cs="Times New Roman"/>
          <w:color w:val="000000" w:themeColor="text1"/>
        </w:rPr>
        <w:t>”</w:t>
      </w:r>
      <w:r w:rsidR="00D40372">
        <w:rPr>
          <w:rStyle w:val="FootnoteReference"/>
          <w:rFonts w:cs="Times New Roman"/>
          <w:color w:val="000000" w:themeColor="text1"/>
        </w:rPr>
        <w:footnoteReference w:id="827"/>
      </w:r>
    </w:p>
    <w:sectPr w:rsidR="00605B3B" w:rsidSect="00FD2012">
      <w:footerReference w:type="even" r:id="rId8"/>
      <w:footerReference w:type="default" r:id="rId9"/>
      <w:footerReference w:type="first" r:id="rId10"/>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66100" w14:textId="77777777" w:rsidR="00347AC6" w:rsidRDefault="00347AC6" w:rsidP="009E5099">
      <w:r>
        <w:separator/>
      </w:r>
    </w:p>
  </w:endnote>
  <w:endnote w:type="continuationSeparator" w:id="0">
    <w:p w14:paraId="642BB3BF" w14:textId="77777777" w:rsidR="00347AC6" w:rsidRDefault="00347AC6" w:rsidP="009E5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orbel"/>
    <w:panose1 w:val="00000000000000000000"/>
    <w:charset w:val="00"/>
    <w:family w:val="swiss"/>
    <w:notTrueType/>
    <w:pitch w:val="variable"/>
    <w:sig w:usb0="00000001"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161CF" w14:textId="77777777" w:rsidR="00D90D35" w:rsidRDefault="00D90D35" w:rsidP="005C32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F2EA63" w14:textId="1F94EC7E" w:rsidR="00D90D35" w:rsidRDefault="00D90D35" w:rsidP="00FD20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301F6" w14:textId="47690D9E" w:rsidR="00D90D35" w:rsidRDefault="00D90D35" w:rsidP="005C32AD">
    <w:pPr>
      <w:pStyle w:val="Footer"/>
      <w:framePr w:wrap="around" w:vAnchor="text" w:hAnchor="margin" w:xAlign="right" w:y="1"/>
      <w:rPr>
        <w:rStyle w:val="PageNumber"/>
        <w:rFonts w:cs="Times New Roman"/>
      </w:rPr>
    </w:pPr>
    <w:r w:rsidRPr="00FD2012">
      <w:rPr>
        <w:rStyle w:val="PageNumber"/>
        <w:rFonts w:cs="Times New Roman"/>
      </w:rPr>
      <w:fldChar w:fldCharType="begin"/>
    </w:r>
    <w:r w:rsidRPr="00FD2012">
      <w:rPr>
        <w:rStyle w:val="PageNumber"/>
        <w:rFonts w:cs="Times New Roman"/>
      </w:rPr>
      <w:instrText xml:space="preserve">PAGE  </w:instrText>
    </w:r>
    <w:r w:rsidRPr="00FD2012">
      <w:rPr>
        <w:rStyle w:val="PageNumber"/>
        <w:rFonts w:cs="Times New Roman"/>
      </w:rPr>
      <w:fldChar w:fldCharType="separate"/>
    </w:r>
    <w:r w:rsidR="002876EF">
      <w:rPr>
        <w:rStyle w:val="PageNumber"/>
        <w:rFonts w:cs="Times New Roman"/>
        <w:noProof/>
      </w:rPr>
      <w:t>17</w:t>
    </w:r>
    <w:r w:rsidRPr="00FD2012">
      <w:rPr>
        <w:rStyle w:val="PageNumber"/>
        <w:rFonts w:cs="Times New Roman"/>
      </w:rPr>
      <w:fldChar w:fldCharType="end"/>
    </w:r>
  </w:p>
  <w:p w14:paraId="4389300F" w14:textId="7A521956" w:rsidR="00D90D35" w:rsidRDefault="00D90D35" w:rsidP="00FD201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312773"/>
      <w:docPartObj>
        <w:docPartGallery w:val="Page Numbers (Bottom of Page)"/>
        <w:docPartUnique/>
      </w:docPartObj>
    </w:sdtPr>
    <w:sdtEndPr>
      <w:rPr>
        <w:noProof/>
      </w:rPr>
    </w:sdtEndPr>
    <w:sdtContent>
      <w:p w14:paraId="4CBF3E28" w14:textId="4EE8CCF0" w:rsidR="00D90D35" w:rsidRDefault="00D90D35">
        <w:pPr>
          <w:pStyle w:val="Footer"/>
          <w:jc w:val="center"/>
        </w:pPr>
        <w:r>
          <w:fldChar w:fldCharType="begin"/>
        </w:r>
        <w:r>
          <w:instrText xml:space="preserve"> PAGE   \* MERGEFORMAT </w:instrText>
        </w:r>
        <w:r>
          <w:fldChar w:fldCharType="separate"/>
        </w:r>
        <w:r w:rsidR="002876EF">
          <w:rPr>
            <w:noProof/>
          </w:rPr>
          <w:t>1</w:t>
        </w:r>
        <w:r>
          <w:rPr>
            <w:noProof/>
          </w:rPr>
          <w:fldChar w:fldCharType="end"/>
        </w:r>
      </w:p>
    </w:sdtContent>
  </w:sdt>
  <w:p w14:paraId="464B2B0C" w14:textId="77777777" w:rsidR="00D90D35" w:rsidRDefault="00D90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85CA8" w14:textId="77777777" w:rsidR="00347AC6" w:rsidRDefault="00347AC6" w:rsidP="009E5099">
      <w:r>
        <w:separator/>
      </w:r>
    </w:p>
  </w:footnote>
  <w:footnote w:type="continuationSeparator" w:id="0">
    <w:p w14:paraId="52B988AE" w14:textId="77777777" w:rsidR="00347AC6" w:rsidRDefault="00347AC6" w:rsidP="009E5099">
      <w:r>
        <w:continuationSeparator/>
      </w:r>
    </w:p>
  </w:footnote>
  <w:footnote w:id="1">
    <w:p w14:paraId="183B3BC8" w14:textId="77777777" w:rsidR="00D90D35" w:rsidRPr="007F1307" w:rsidRDefault="00D90D35" w:rsidP="00AE50AD">
      <w:pPr>
        <w:pStyle w:val="FootnoteText"/>
        <w:rPr>
          <w:rFonts w:cs="Times New Roman"/>
          <w:szCs w:val="22"/>
        </w:rPr>
      </w:pPr>
      <w:r w:rsidRPr="005A669A">
        <w:rPr>
          <w:rStyle w:val="FootnoteReference"/>
        </w:rPr>
        <w:footnoteRef/>
      </w:r>
      <w:r w:rsidRPr="007F1307">
        <w:rPr>
          <w:rFonts w:cs="Times New Roman"/>
          <w:szCs w:val="22"/>
        </w:rPr>
        <w:t xml:space="preserve"> William H. Neukom Professor, Stanford Law School; Partner, Durie Tangri LLP.</w:t>
      </w:r>
    </w:p>
  </w:footnote>
  <w:footnote w:id="2">
    <w:p w14:paraId="33713249" w14:textId="22E06D4A" w:rsidR="00D90D35" w:rsidRPr="007F1307" w:rsidRDefault="00D90D35" w:rsidP="00AE50AD">
      <w:pPr>
        <w:pStyle w:val="FootnoteText"/>
        <w:rPr>
          <w:rFonts w:cs="Times New Roman"/>
          <w:szCs w:val="22"/>
        </w:rPr>
      </w:pPr>
      <w:r w:rsidRPr="005A669A">
        <w:rPr>
          <w:rStyle w:val="FootnoteReference"/>
        </w:rPr>
        <w:footnoteRef/>
      </w:r>
      <w:r w:rsidRPr="007F1307">
        <w:rPr>
          <w:rFonts w:cs="Times New Roman"/>
          <w:szCs w:val="22"/>
        </w:rPr>
        <w:t xml:space="preserve"> J.D.</w:t>
      </w:r>
      <w:r>
        <w:rPr>
          <w:rFonts w:cs="Times New Roman"/>
          <w:szCs w:val="22"/>
        </w:rPr>
        <w:t>/M.B.A.</w:t>
      </w:r>
      <w:r w:rsidRPr="007F1307">
        <w:rPr>
          <w:rFonts w:cs="Times New Roman"/>
          <w:szCs w:val="22"/>
        </w:rPr>
        <w:t xml:space="preserve"> expected </w:t>
      </w:r>
      <w:r>
        <w:rPr>
          <w:rFonts w:cs="Times New Roman"/>
          <w:szCs w:val="22"/>
        </w:rPr>
        <w:t>2021</w:t>
      </w:r>
      <w:r w:rsidRPr="007F1307">
        <w:rPr>
          <w:rFonts w:cs="Times New Roman"/>
          <w:szCs w:val="22"/>
        </w:rPr>
        <w:t>, Stanford Law School</w:t>
      </w:r>
      <w:r>
        <w:rPr>
          <w:rFonts w:cs="Times New Roman"/>
          <w:szCs w:val="22"/>
        </w:rPr>
        <w:t xml:space="preserve"> and Stanford Graduate School of Business.</w:t>
      </w:r>
    </w:p>
  </w:footnote>
  <w:footnote w:id="3">
    <w:p w14:paraId="46AE89FD" w14:textId="07192289" w:rsidR="00D90D35" w:rsidRDefault="00D90D35">
      <w:pPr>
        <w:pStyle w:val="FootnoteText"/>
      </w:pPr>
      <w:r>
        <w:rPr>
          <w:rStyle w:val="FootnoteReference"/>
        </w:rPr>
        <w:footnoteRef/>
      </w:r>
      <w:r>
        <w:t xml:space="preserve"> J.D. expected 2021, Stanford Law School.</w:t>
      </w:r>
    </w:p>
  </w:footnote>
  <w:footnote w:id="4">
    <w:p w14:paraId="79ED5F73" w14:textId="1EAB81E9" w:rsidR="00D90D35" w:rsidRDefault="00D90D35">
      <w:pPr>
        <w:pStyle w:val="FootnoteText"/>
      </w:pPr>
      <w:r>
        <w:rPr>
          <w:rStyle w:val="FootnoteReference"/>
        </w:rPr>
        <w:footnoteRef/>
      </w:r>
      <w:r>
        <w:t xml:space="preserve"> </w:t>
      </w:r>
      <w:r w:rsidRPr="00626F12">
        <w:t>Am. Axle &amp; Mfg., Inc. v. Neapco Holdings LLC</w:t>
      </w:r>
      <w:r w:rsidRPr="00FC0527">
        <w:t>, 939 F.3d 1355 (Fed. Cir. 2019)</w:t>
      </w:r>
      <w:r>
        <w:t>.</w:t>
      </w:r>
    </w:p>
  </w:footnote>
  <w:footnote w:id="5">
    <w:p w14:paraId="0368E440" w14:textId="34A382C4" w:rsidR="00D90D35" w:rsidRPr="008637B0" w:rsidRDefault="00D90D35">
      <w:pPr>
        <w:pStyle w:val="FootnoteText"/>
      </w:pPr>
      <w:r>
        <w:rPr>
          <w:rStyle w:val="FootnoteReference"/>
        </w:rPr>
        <w:footnoteRef/>
      </w:r>
      <w:r>
        <w:t xml:space="preserve"> </w:t>
      </w:r>
      <w:r>
        <w:rPr>
          <w:i/>
          <w:iCs/>
        </w:rPr>
        <w:t>Id.</w:t>
      </w:r>
      <w:r>
        <w:t xml:space="preserve"> at 1358 (internal quotations and alterations omitted) (quoting U.S. Patent No. </w:t>
      </w:r>
      <w:r w:rsidRPr="008637B0">
        <w:t>7</w:t>
      </w:r>
      <w:r>
        <w:t>,</w:t>
      </w:r>
      <w:r w:rsidRPr="008637B0">
        <w:t>774</w:t>
      </w:r>
      <w:r>
        <w:t>,</w:t>
      </w:r>
      <w:r w:rsidRPr="008637B0">
        <w:t>911</w:t>
      </w:r>
      <w:r>
        <w:t>).</w:t>
      </w:r>
    </w:p>
  </w:footnote>
  <w:footnote w:id="6">
    <w:p w14:paraId="4A42F6D3" w14:textId="0461B585" w:rsidR="00D90D35" w:rsidRPr="00080809" w:rsidRDefault="00D90D35">
      <w:pPr>
        <w:pStyle w:val="FootnoteText"/>
      </w:pPr>
      <w:r>
        <w:rPr>
          <w:rStyle w:val="FootnoteReference"/>
        </w:rPr>
        <w:footnoteRef/>
      </w:r>
      <w:r>
        <w:t xml:space="preserve"> </w:t>
      </w:r>
      <w:r>
        <w:rPr>
          <w:i/>
          <w:iCs/>
        </w:rPr>
        <w:t xml:space="preserve">Id. </w:t>
      </w:r>
    </w:p>
  </w:footnote>
  <w:footnote w:id="7">
    <w:p w14:paraId="1C217AF3" w14:textId="3D6BB7AD" w:rsidR="00D90D35" w:rsidRPr="00D64D93" w:rsidRDefault="00D90D35">
      <w:pPr>
        <w:pStyle w:val="FootnoteText"/>
      </w:pPr>
      <w:r>
        <w:rPr>
          <w:rStyle w:val="FootnoteReference"/>
        </w:rPr>
        <w:footnoteRef/>
      </w:r>
      <w:r>
        <w:t xml:space="preserve"> </w:t>
      </w:r>
      <w:r>
        <w:rPr>
          <w:i/>
          <w:iCs/>
        </w:rPr>
        <w:t>Id.</w:t>
      </w:r>
    </w:p>
  </w:footnote>
  <w:footnote w:id="8">
    <w:p w14:paraId="42450396" w14:textId="7FDC58BD" w:rsidR="00D90D35" w:rsidRPr="00080809" w:rsidRDefault="00D90D35">
      <w:pPr>
        <w:pStyle w:val="FootnoteText"/>
      </w:pPr>
      <w:r>
        <w:rPr>
          <w:rStyle w:val="FootnoteReference"/>
        </w:rPr>
        <w:footnoteRef/>
      </w:r>
      <w:r>
        <w:t xml:space="preserve"> </w:t>
      </w:r>
      <w:r>
        <w:rPr>
          <w:i/>
          <w:iCs/>
        </w:rPr>
        <w:t xml:space="preserve">Id. </w:t>
      </w:r>
      <w:r>
        <w:t>at 1359.</w:t>
      </w:r>
    </w:p>
  </w:footnote>
  <w:footnote w:id="9">
    <w:p w14:paraId="62A7DE36" w14:textId="43454C10" w:rsidR="00D90D35" w:rsidRPr="00080809" w:rsidRDefault="00D90D35">
      <w:pPr>
        <w:pStyle w:val="FootnoteText"/>
      </w:pPr>
      <w:r>
        <w:rPr>
          <w:rStyle w:val="FootnoteReference"/>
        </w:rPr>
        <w:footnoteRef/>
      </w:r>
      <w:r>
        <w:t xml:space="preserve"> </w:t>
      </w:r>
      <w:r>
        <w:rPr>
          <w:i/>
          <w:iCs/>
        </w:rPr>
        <w:t xml:space="preserve">Id. </w:t>
      </w:r>
      <w:r>
        <w:t>at 1360.</w:t>
      </w:r>
    </w:p>
  </w:footnote>
  <w:footnote w:id="10">
    <w:p w14:paraId="2B23933D" w14:textId="46C71768" w:rsidR="00D90D35" w:rsidRPr="00FC0527" w:rsidRDefault="00D90D35">
      <w:pPr>
        <w:pStyle w:val="FootnoteText"/>
      </w:pPr>
      <w:r>
        <w:rPr>
          <w:rStyle w:val="FootnoteReference"/>
        </w:rPr>
        <w:footnoteRef/>
      </w:r>
      <w:r>
        <w:t xml:space="preserve"> </w:t>
      </w:r>
      <w:r>
        <w:rPr>
          <w:i/>
          <w:iCs/>
        </w:rPr>
        <w:t>Id.</w:t>
      </w:r>
    </w:p>
  </w:footnote>
  <w:footnote w:id="11">
    <w:p w14:paraId="5C53FEA6" w14:textId="5483CFF6" w:rsidR="00D90D35" w:rsidRPr="00080809" w:rsidRDefault="00D90D35">
      <w:pPr>
        <w:pStyle w:val="FootnoteText"/>
      </w:pPr>
      <w:r>
        <w:rPr>
          <w:rStyle w:val="FootnoteReference"/>
        </w:rPr>
        <w:footnoteRef/>
      </w:r>
      <w:r>
        <w:t xml:space="preserve"> </w:t>
      </w:r>
      <w:r>
        <w:rPr>
          <w:i/>
          <w:iCs/>
        </w:rPr>
        <w:t>Id.</w:t>
      </w:r>
      <w:r>
        <w:t xml:space="preserve"> at 1368.</w:t>
      </w:r>
    </w:p>
  </w:footnote>
  <w:footnote w:id="12">
    <w:p w14:paraId="60416E34" w14:textId="5FCDFB83" w:rsidR="00D90D35" w:rsidRPr="00080809" w:rsidRDefault="00D90D35">
      <w:pPr>
        <w:pStyle w:val="FootnoteText"/>
      </w:pPr>
      <w:r>
        <w:rPr>
          <w:rStyle w:val="FootnoteReference"/>
        </w:rPr>
        <w:footnoteRef/>
      </w:r>
      <w:r>
        <w:t xml:space="preserve"> </w:t>
      </w:r>
      <w:r>
        <w:rPr>
          <w:i/>
          <w:iCs/>
        </w:rPr>
        <w:t>Id.</w:t>
      </w:r>
      <w:r>
        <w:t xml:space="preserve"> at 1364.</w:t>
      </w:r>
    </w:p>
  </w:footnote>
  <w:footnote w:id="13">
    <w:p w14:paraId="27085CBD" w14:textId="5719C3DB" w:rsidR="00D90D35" w:rsidRPr="00080809" w:rsidRDefault="00D90D35">
      <w:pPr>
        <w:pStyle w:val="FootnoteText"/>
      </w:pPr>
      <w:r>
        <w:rPr>
          <w:rStyle w:val="FootnoteReference"/>
        </w:rPr>
        <w:footnoteRef/>
      </w:r>
      <w:r>
        <w:t xml:space="preserve"> </w:t>
      </w:r>
      <w:r>
        <w:rPr>
          <w:i/>
          <w:iCs/>
        </w:rPr>
        <w:t>Id.</w:t>
      </w:r>
    </w:p>
  </w:footnote>
  <w:footnote w:id="14">
    <w:p w14:paraId="288E05FC" w14:textId="7C36C70C" w:rsidR="00D90D35" w:rsidRPr="00080809" w:rsidRDefault="00D90D35">
      <w:pPr>
        <w:pStyle w:val="FootnoteText"/>
      </w:pPr>
      <w:r>
        <w:rPr>
          <w:rStyle w:val="FootnoteReference"/>
        </w:rPr>
        <w:footnoteRef/>
      </w:r>
      <w:r>
        <w:t xml:space="preserve"> </w:t>
      </w:r>
      <w:r>
        <w:rPr>
          <w:i/>
          <w:iCs/>
        </w:rPr>
        <w:t>Id.</w:t>
      </w:r>
      <w:r>
        <w:t xml:space="preserve"> at 1367.</w:t>
      </w:r>
    </w:p>
  </w:footnote>
  <w:footnote w:id="15">
    <w:p w14:paraId="4C6C7A1C" w14:textId="5C7F1E3B" w:rsidR="00D90D35" w:rsidRPr="00080809" w:rsidRDefault="00D90D35">
      <w:pPr>
        <w:pStyle w:val="FootnoteText"/>
      </w:pPr>
      <w:r>
        <w:rPr>
          <w:rStyle w:val="FootnoteReference"/>
        </w:rPr>
        <w:footnoteRef/>
      </w:r>
      <w:r>
        <w:t xml:space="preserve"> </w:t>
      </w:r>
      <w:r>
        <w:rPr>
          <w:i/>
          <w:iCs/>
        </w:rPr>
        <w:t xml:space="preserve">Id. </w:t>
      </w:r>
      <w:r>
        <w:t>at 1368.</w:t>
      </w:r>
    </w:p>
  </w:footnote>
  <w:footnote w:id="16">
    <w:p w14:paraId="044DDD18" w14:textId="13B7957A" w:rsidR="00D90D35" w:rsidRPr="0031243B" w:rsidRDefault="00D90D35">
      <w:pPr>
        <w:pStyle w:val="FootnoteText"/>
      </w:pPr>
      <w:r>
        <w:rPr>
          <w:rStyle w:val="FootnoteReference"/>
        </w:rPr>
        <w:footnoteRef/>
      </w:r>
      <w:r>
        <w:t xml:space="preserve"> </w:t>
      </w:r>
      <w:r>
        <w:rPr>
          <w:i/>
          <w:iCs/>
        </w:rPr>
        <w:t xml:space="preserve">Id. </w:t>
      </w:r>
      <w:r>
        <w:t xml:space="preserve">(citing </w:t>
      </w:r>
      <w:r w:rsidRPr="0033193D">
        <w:rPr>
          <w:i/>
          <w:iCs/>
        </w:rPr>
        <w:t>Affinity Labs,</w:t>
      </w:r>
      <w:r w:rsidRPr="0031243B">
        <w:t xml:space="preserve"> 838 F.3d at 1256 n.1</w:t>
      </w:r>
      <w:r>
        <w:t>).</w:t>
      </w:r>
    </w:p>
  </w:footnote>
  <w:footnote w:id="17">
    <w:p w14:paraId="7820C920" w14:textId="13BFC7FE" w:rsidR="00D90D35" w:rsidRPr="00406FBA" w:rsidRDefault="00D90D35">
      <w:pPr>
        <w:pStyle w:val="FootnoteText"/>
      </w:pPr>
      <w:r>
        <w:rPr>
          <w:rStyle w:val="FootnoteReference"/>
        </w:rPr>
        <w:footnoteRef/>
      </w:r>
      <w:r>
        <w:t xml:space="preserve"> </w:t>
      </w:r>
      <w:r>
        <w:rPr>
          <w:i/>
          <w:iCs/>
        </w:rPr>
        <w:t>Id.</w:t>
      </w:r>
      <w:r>
        <w:t xml:space="preserve"> at 1369 (quoting Appellant’s Reply Brief).</w:t>
      </w:r>
    </w:p>
  </w:footnote>
  <w:footnote w:id="18">
    <w:p w14:paraId="72D220E0" w14:textId="3F68230E" w:rsidR="00D90D35" w:rsidRPr="00080809" w:rsidRDefault="00D90D35">
      <w:pPr>
        <w:pStyle w:val="FootnoteText"/>
      </w:pPr>
      <w:r>
        <w:rPr>
          <w:rStyle w:val="FootnoteReference"/>
        </w:rPr>
        <w:footnoteRef/>
      </w:r>
      <w:r>
        <w:t xml:space="preserve"> </w:t>
      </w:r>
      <w:r>
        <w:rPr>
          <w:i/>
          <w:iCs/>
        </w:rPr>
        <w:t xml:space="preserve">Id. </w:t>
      </w:r>
      <w:r>
        <w:t>at 1370.</w:t>
      </w:r>
    </w:p>
  </w:footnote>
  <w:footnote w:id="19">
    <w:p w14:paraId="6B8E4E4A" w14:textId="1915AA61" w:rsidR="00D90D35" w:rsidRPr="00080809" w:rsidRDefault="00D90D35">
      <w:pPr>
        <w:pStyle w:val="FootnoteText"/>
      </w:pPr>
      <w:r>
        <w:rPr>
          <w:rStyle w:val="FootnoteReference"/>
        </w:rPr>
        <w:footnoteRef/>
      </w:r>
      <w:r>
        <w:t xml:space="preserve"> </w:t>
      </w:r>
      <w:r>
        <w:rPr>
          <w:i/>
          <w:iCs/>
        </w:rPr>
        <w:t>Id.</w:t>
      </w:r>
      <w:r>
        <w:t xml:space="preserve"> at 1371.</w:t>
      </w:r>
    </w:p>
  </w:footnote>
  <w:footnote w:id="20">
    <w:p w14:paraId="14686A6E" w14:textId="6F35F9FE" w:rsidR="00D90D35" w:rsidRPr="00080809" w:rsidRDefault="00D90D35">
      <w:pPr>
        <w:pStyle w:val="FootnoteText"/>
      </w:pPr>
      <w:r>
        <w:rPr>
          <w:rStyle w:val="FootnoteReference"/>
        </w:rPr>
        <w:footnoteRef/>
      </w:r>
      <w:r>
        <w:t xml:space="preserve"> </w:t>
      </w:r>
      <w:r>
        <w:rPr>
          <w:i/>
          <w:iCs/>
        </w:rPr>
        <w:t>Id.</w:t>
      </w:r>
      <w:r>
        <w:t xml:space="preserve"> at 1374-75.</w:t>
      </w:r>
    </w:p>
  </w:footnote>
  <w:footnote w:id="21">
    <w:p w14:paraId="29D0A764" w14:textId="04C46C4E" w:rsidR="00D90D35" w:rsidRDefault="00D90D35">
      <w:pPr>
        <w:pStyle w:val="FootnoteText"/>
      </w:pPr>
      <w:r>
        <w:rPr>
          <w:rStyle w:val="FootnoteReference"/>
        </w:rPr>
        <w:footnoteRef/>
      </w:r>
      <w:r>
        <w:t xml:space="preserve"> </w:t>
      </w:r>
      <w:r w:rsidRPr="00454A74">
        <w:rPr>
          <w:i/>
          <w:iCs/>
        </w:rPr>
        <w:t>Chamberlain Grp., Inc. v. Techtronic Indus. Co.</w:t>
      </w:r>
      <w:r w:rsidRPr="004D7C3D">
        <w:t>, 935 F.3d 1341, 134</w:t>
      </w:r>
      <w:r>
        <w:t>2</w:t>
      </w:r>
      <w:r w:rsidRPr="004D7C3D">
        <w:t xml:space="preserve"> (Fed. Cir. 2019)</w:t>
      </w:r>
      <w:r>
        <w:t>.</w:t>
      </w:r>
    </w:p>
  </w:footnote>
  <w:footnote w:id="22">
    <w:p w14:paraId="10640C7D" w14:textId="7E7B9684" w:rsidR="00D90D35" w:rsidRDefault="00D90D35">
      <w:pPr>
        <w:pStyle w:val="FootnoteText"/>
      </w:pPr>
      <w:r>
        <w:rPr>
          <w:rStyle w:val="FootnoteReference"/>
        </w:rPr>
        <w:footnoteRef/>
      </w:r>
      <w:r>
        <w:t xml:space="preserve"> </w:t>
      </w:r>
      <w:r>
        <w:rPr>
          <w:i/>
          <w:iCs/>
        </w:rPr>
        <w:t>Id.</w:t>
      </w:r>
      <w:r>
        <w:t xml:space="preserve"> at </w:t>
      </w:r>
      <w:r w:rsidRPr="004D7C3D">
        <w:t>134</w:t>
      </w:r>
      <w:r>
        <w:t>5</w:t>
      </w:r>
      <w:r w:rsidRPr="004D7C3D">
        <w:t xml:space="preserve"> </w:t>
      </w:r>
      <w:r>
        <w:t xml:space="preserve">(citing U.S. Patent No. </w:t>
      </w:r>
      <w:r w:rsidRPr="00F34C0C">
        <w:t>7</w:t>
      </w:r>
      <w:r>
        <w:t>,</w:t>
      </w:r>
      <w:r w:rsidRPr="00F34C0C">
        <w:t>224</w:t>
      </w:r>
      <w:r>
        <w:t>,</w:t>
      </w:r>
      <w:r w:rsidRPr="00F34C0C">
        <w:t>275</w:t>
      </w:r>
      <w:r>
        <w:t>).</w:t>
      </w:r>
    </w:p>
  </w:footnote>
  <w:footnote w:id="23">
    <w:p w14:paraId="686F7F73" w14:textId="4BF64CE5" w:rsidR="00D90D35" w:rsidRPr="000455CE" w:rsidRDefault="00D90D35">
      <w:pPr>
        <w:pStyle w:val="FootnoteText"/>
      </w:pPr>
      <w:r>
        <w:rPr>
          <w:rStyle w:val="FootnoteReference"/>
        </w:rPr>
        <w:footnoteRef/>
      </w:r>
      <w:r>
        <w:t xml:space="preserve"> </w:t>
      </w:r>
      <w:r>
        <w:rPr>
          <w:i/>
          <w:iCs/>
        </w:rPr>
        <w:t>Id.</w:t>
      </w:r>
    </w:p>
  </w:footnote>
  <w:footnote w:id="24">
    <w:p w14:paraId="6D9BC91F" w14:textId="42F0C143" w:rsidR="00D90D35" w:rsidRPr="004D1845" w:rsidRDefault="00D90D35">
      <w:pPr>
        <w:pStyle w:val="FootnoteText"/>
      </w:pPr>
      <w:r>
        <w:rPr>
          <w:rStyle w:val="FootnoteReference"/>
        </w:rPr>
        <w:footnoteRef/>
      </w:r>
      <w:r>
        <w:t xml:space="preserve"> </w:t>
      </w:r>
      <w:r>
        <w:rPr>
          <w:i/>
          <w:iCs/>
        </w:rPr>
        <w:t>Id.</w:t>
      </w:r>
      <w:r>
        <w:t xml:space="preserve"> at 1345-46.</w:t>
      </w:r>
    </w:p>
  </w:footnote>
  <w:footnote w:id="25">
    <w:p w14:paraId="14B3E3B6" w14:textId="2932F98A" w:rsidR="00D90D35" w:rsidRPr="00F34C0C" w:rsidRDefault="00D90D35">
      <w:pPr>
        <w:pStyle w:val="FootnoteText"/>
      </w:pPr>
      <w:r>
        <w:rPr>
          <w:rStyle w:val="FootnoteReference"/>
        </w:rPr>
        <w:footnoteRef/>
      </w:r>
      <w:r>
        <w:t xml:space="preserve"> </w:t>
      </w:r>
      <w:r>
        <w:rPr>
          <w:i/>
          <w:iCs/>
        </w:rPr>
        <w:t>Id.</w:t>
      </w:r>
      <w:r>
        <w:t xml:space="preserve"> at 1342.</w:t>
      </w:r>
    </w:p>
  </w:footnote>
  <w:footnote w:id="26">
    <w:p w14:paraId="25D75AC1" w14:textId="239BE093" w:rsidR="00D90D35" w:rsidRPr="004D1845" w:rsidRDefault="00D90D35">
      <w:pPr>
        <w:pStyle w:val="FootnoteText"/>
      </w:pPr>
      <w:r>
        <w:rPr>
          <w:rStyle w:val="FootnoteReference"/>
        </w:rPr>
        <w:footnoteRef/>
      </w:r>
      <w:r>
        <w:t xml:space="preserve"> </w:t>
      </w:r>
      <w:r>
        <w:rPr>
          <w:i/>
          <w:iCs/>
        </w:rPr>
        <w:t>Id.</w:t>
      </w:r>
      <w:r>
        <w:t xml:space="preserve"> at 1346.</w:t>
      </w:r>
    </w:p>
  </w:footnote>
  <w:footnote w:id="27">
    <w:p w14:paraId="525DE30B" w14:textId="4D9A3CD1" w:rsidR="00D90D35" w:rsidRPr="0033193D" w:rsidRDefault="00D90D35">
      <w:pPr>
        <w:pStyle w:val="FootnoteText"/>
        <w:rPr>
          <w:i/>
          <w:iCs/>
        </w:rPr>
      </w:pPr>
      <w:r>
        <w:rPr>
          <w:rStyle w:val="FootnoteReference"/>
        </w:rPr>
        <w:footnoteRef/>
      </w:r>
      <w:r>
        <w:t xml:space="preserve"> </w:t>
      </w:r>
      <w:r>
        <w:rPr>
          <w:i/>
          <w:iCs/>
        </w:rPr>
        <w:t>Id.</w:t>
      </w:r>
    </w:p>
  </w:footnote>
  <w:footnote w:id="28">
    <w:p w14:paraId="6178EA17" w14:textId="7A55D680" w:rsidR="00D90D35" w:rsidRPr="009C0530" w:rsidRDefault="00D90D35">
      <w:pPr>
        <w:pStyle w:val="FootnoteText"/>
      </w:pPr>
      <w:r>
        <w:rPr>
          <w:rStyle w:val="FootnoteReference"/>
        </w:rPr>
        <w:footnoteRef/>
      </w:r>
      <w:r>
        <w:t xml:space="preserve"> </w:t>
      </w:r>
      <w:r>
        <w:rPr>
          <w:i/>
          <w:iCs/>
        </w:rPr>
        <w:t>Id.</w:t>
      </w:r>
      <w:r>
        <w:t xml:space="preserve"> at 1347 (citing </w:t>
      </w:r>
      <w:r w:rsidRPr="0033193D">
        <w:rPr>
          <w:i/>
          <w:iCs/>
        </w:rPr>
        <w:t>Affinity Labs of Texas, LLC v. DIRECTV, LLC</w:t>
      </w:r>
      <w:r w:rsidRPr="009C0530">
        <w:t>, 838 F.3d 1253, 125</w:t>
      </w:r>
      <w:r>
        <w:t>8</w:t>
      </w:r>
      <w:r w:rsidRPr="009C0530">
        <w:t xml:space="preserve"> (Fed. Cir. 2016)</w:t>
      </w:r>
      <w:r>
        <w:t xml:space="preserve">; </w:t>
      </w:r>
      <w:r w:rsidRPr="009C0530">
        <w:t>Affinity Labs of Texas, LLC v. Amazon.com Inc., 838 F.3d 1266 (Fed. Cir. 2016)</w:t>
      </w:r>
      <w:r>
        <w:t>)</w:t>
      </w:r>
    </w:p>
  </w:footnote>
  <w:footnote w:id="29">
    <w:p w14:paraId="21630C2C" w14:textId="311BF79E" w:rsidR="00D90D35" w:rsidRPr="003A1CE3" w:rsidRDefault="00D90D35">
      <w:pPr>
        <w:pStyle w:val="FootnoteText"/>
      </w:pPr>
      <w:r>
        <w:rPr>
          <w:rStyle w:val="FootnoteReference"/>
        </w:rPr>
        <w:footnoteRef/>
      </w:r>
      <w:r>
        <w:t xml:space="preserve"> </w:t>
      </w:r>
      <w:r>
        <w:rPr>
          <w:i/>
          <w:iCs/>
        </w:rPr>
        <w:t>Id.</w:t>
      </w:r>
      <w:r>
        <w:t xml:space="preserve"> at 1349.</w:t>
      </w:r>
    </w:p>
  </w:footnote>
  <w:footnote w:id="30">
    <w:p w14:paraId="71BCF777" w14:textId="18F72C23" w:rsidR="00D90D35" w:rsidRPr="00E62F05" w:rsidRDefault="00D90D35">
      <w:pPr>
        <w:pStyle w:val="FootnoteText"/>
      </w:pPr>
      <w:r>
        <w:rPr>
          <w:rStyle w:val="FootnoteReference"/>
        </w:rPr>
        <w:footnoteRef/>
      </w:r>
      <w:r>
        <w:t xml:space="preserve"> </w:t>
      </w:r>
      <w:r>
        <w:rPr>
          <w:i/>
          <w:iCs/>
        </w:rPr>
        <w:t xml:space="preserve">Id. </w:t>
      </w:r>
      <w:r>
        <w:t>at 1348.</w:t>
      </w:r>
    </w:p>
  </w:footnote>
  <w:footnote w:id="31">
    <w:p w14:paraId="5E905E66" w14:textId="053D9207" w:rsidR="00D90D35" w:rsidRPr="00E62F05" w:rsidRDefault="00D90D35">
      <w:pPr>
        <w:pStyle w:val="FootnoteText"/>
      </w:pPr>
      <w:r>
        <w:rPr>
          <w:rStyle w:val="FootnoteReference"/>
        </w:rPr>
        <w:footnoteRef/>
      </w:r>
      <w:r>
        <w:t xml:space="preserve"> </w:t>
      </w:r>
      <w:r>
        <w:rPr>
          <w:i/>
          <w:iCs/>
        </w:rPr>
        <w:t>Id</w:t>
      </w:r>
      <w:r>
        <w:t>. at 1349.</w:t>
      </w:r>
    </w:p>
  </w:footnote>
  <w:footnote w:id="32">
    <w:p w14:paraId="27E2C343" w14:textId="5D64F5FB" w:rsidR="00D90D35" w:rsidRPr="00E62F05" w:rsidRDefault="00D90D35" w:rsidP="00E62F05">
      <w:pPr>
        <w:pStyle w:val="FootnoteText"/>
      </w:pPr>
      <w:r>
        <w:rPr>
          <w:rStyle w:val="FootnoteReference"/>
        </w:rPr>
        <w:footnoteRef/>
      </w:r>
      <w:r>
        <w:t xml:space="preserve"> </w:t>
      </w:r>
      <w:r>
        <w:rPr>
          <w:i/>
          <w:iCs/>
        </w:rPr>
        <w:t xml:space="preserve">Id. </w:t>
      </w:r>
      <w:r>
        <w:t xml:space="preserve">(citing </w:t>
      </w:r>
      <w:r w:rsidRPr="0033193D">
        <w:rPr>
          <w:i/>
          <w:iCs/>
        </w:rPr>
        <w:t>Interval Licensing LLC v. AOL, Inc.</w:t>
      </w:r>
      <w:r>
        <w:t>, 896 F.3d 1335, 1347 (Fed. Cir. 2018)).</w:t>
      </w:r>
    </w:p>
  </w:footnote>
  <w:footnote w:id="33">
    <w:p w14:paraId="19712677" w14:textId="75274E7C" w:rsidR="00D90D35" w:rsidRPr="00D07627" w:rsidRDefault="00D90D35">
      <w:pPr>
        <w:pStyle w:val="FootnoteText"/>
        <w:rPr>
          <w:i/>
          <w:iCs/>
        </w:rPr>
      </w:pPr>
      <w:r>
        <w:rPr>
          <w:rStyle w:val="FootnoteReference"/>
        </w:rPr>
        <w:footnoteRef/>
      </w:r>
      <w:r>
        <w:t xml:space="preserve"> </w:t>
      </w:r>
      <w:r w:rsidRPr="009901E3">
        <w:rPr>
          <w:iCs/>
        </w:rPr>
        <w:t>Solutran, Inc. v. Evalon, Inc.</w:t>
      </w:r>
      <w:r w:rsidRPr="009901E3">
        <w:t>,</w:t>
      </w:r>
      <w:r w:rsidRPr="00D07627">
        <w:t xml:space="preserve"> 931 F.3d 116</w:t>
      </w:r>
      <w:r>
        <w:t>1, 1163, 1166</w:t>
      </w:r>
      <w:r w:rsidRPr="00D07627">
        <w:t xml:space="preserve"> (Fed. Cir. 2019).</w:t>
      </w:r>
    </w:p>
  </w:footnote>
  <w:footnote w:id="34">
    <w:p w14:paraId="77DB6164" w14:textId="4BA85D1B" w:rsidR="00D90D35" w:rsidRPr="00D07627" w:rsidRDefault="00D90D35">
      <w:pPr>
        <w:pStyle w:val="FootnoteText"/>
      </w:pPr>
      <w:r>
        <w:rPr>
          <w:rStyle w:val="FootnoteReference"/>
        </w:rPr>
        <w:footnoteRef/>
      </w:r>
      <w:r>
        <w:t xml:space="preserve"> </w:t>
      </w:r>
      <w:r>
        <w:rPr>
          <w:i/>
          <w:iCs/>
        </w:rPr>
        <w:t xml:space="preserve">Id. </w:t>
      </w:r>
      <w:r>
        <w:t>at 1164 (citing U.S. Patent No. 8,311,945).</w:t>
      </w:r>
    </w:p>
  </w:footnote>
  <w:footnote w:id="35">
    <w:p w14:paraId="27C5E332" w14:textId="0785DA79" w:rsidR="00D90D35" w:rsidRPr="00213536" w:rsidRDefault="00D90D35">
      <w:pPr>
        <w:pStyle w:val="FootnoteText"/>
      </w:pPr>
      <w:r>
        <w:rPr>
          <w:rStyle w:val="FootnoteReference"/>
        </w:rPr>
        <w:footnoteRef/>
      </w:r>
      <w:r>
        <w:t xml:space="preserve"> </w:t>
      </w:r>
      <w:r>
        <w:rPr>
          <w:i/>
          <w:iCs/>
        </w:rPr>
        <w:t>Id.</w:t>
      </w:r>
    </w:p>
  </w:footnote>
  <w:footnote w:id="36">
    <w:p w14:paraId="0B1305E7" w14:textId="5B2575BB" w:rsidR="00D90D35" w:rsidRPr="008B1A2F" w:rsidRDefault="00D90D35">
      <w:pPr>
        <w:pStyle w:val="FootnoteText"/>
      </w:pPr>
      <w:r>
        <w:rPr>
          <w:rStyle w:val="FootnoteReference"/>
        </w:rPr>
        <w:footnoteRef/>
      </w:r>
      <w:r>
        <w:t xml:space="preserve"> </w:t>
      </w:r>
      <w:r>
        <w:rPr>
          <w:i/>
          <w:iCs/>
        </w:rPr>
        <w:t xml:space="preserve">Id. </w:t>
      </w:r>
      <w:r>
        <w:t>at 1165.</w:t>
      </w:r>
    </w:p>
  </w:footnote>
  <w:footnote w:id="37">
    <w:p w14:paraId="0E47A9BC" w14:textId="03E93BDB" w:rsidR="00D90D35" w:rsidRPr="005527CB" w:rsidRDefault="00D90D35">
      <w:pPr>
        <w:pStyle w:val="FootnoteText"/>
      </w:pPr>
      <w:r>
        <w:rPr>
          <w:rStyle w:val="FootnoteReference"/>
        </w:rPr>
        <w:footnoteRef/>
      </w:r>
      <w:r>
        <w:t xml:space="preserve"> </w:t>
      </w:r>
      <w:r>
        <w:rPr>
          <w:i/>
          <w:iCs/>
        </w:rPr>
        <w:t xml:space="preserve">Id. </w:t>
      </w:r>
    </w:p>
  </w:footnote>
  <w:footnote w:id="38">
    <w:p w14:paraId="738EE998" w14:textId="1C31C42D" w:rsidR="00D90D35" w:rsidRPr="00CB3115" w:rsidRDefault="00D90D35">
      <w:pPr>
        <w:pStyle w:val="FootnoteText"/>
      </w:pPr>
      <w:r>
        <w:rPr>
          <w:rStyle w:val="FootnoteReference"/>
        </w:rPr>
        <w:footnoteRef/>
      </w:r>
      <w:r>
        <w:t xml:space="preserve"> </w:t>
      </w:r>
      <w:r>
        <w:rPr>
          <w:i/>
          <w:iCs/>
        </w:rPr>
        <w:t xml:space="preserve">Id. </w:t>
      </w:r>
      <w:r>
        <w:t>at 1166.</w:t>
      </w:r>
    </w:p>
  </w:footnote>
  <w:footnote w:id="39">
    <w:p w14:paraId="3266AD68" w14:textId="77777777" w:rsidR="00D90D35" w:rsidRPr="00042553" w:rsidRDefault="00D90D35" w:rsidP="00322FE8">
      <w:pPr>
        <w:pStyle w:val="FootnoteText"/>
      </w:pPr>
      <w:r>
        <w:rPr>
          <w:rStyle w:val="FootnoteReference"/>
        </w:rPr>
        <w:footnoteRef/>
      </w:r>
      <w:r>
        <w:t xml:space="preserve"> </w:t>
      </w:r>
      <w:r>
        <w:rPr>
          <w:i/>
          <w:iCs/>
        </w:rPr>
        <w:t xml:space="preserve">Id. </w:t>
      </w:r>
      <w:r>
        <w:t xml:space="preserve">at 1168 (citing, </w:t>
      </w:r>
      <w:r w:rsidRPr="00042553">
        <w:rPr>
          <w:i/>
          <w:iCs/>
        </w:rPr>
        <w:t>e.g.</w:t>
      </w:r>
      <w:r>
        <w:t xml:space="preserve">, </w:t>
      </w:r>
      <w:r w:rsidRPr="00042553">
        <w:t>Voter Verified, Inc. v. Election Sys. &amp; Software LLC, 887 F.3d 1376 (Fed. Cir. 2018)</w:t>
      </w:r>
      <w:r>
        <w:t>).</w:t>
      </w:r>
    </w:p>
  </w:footnote>
  <w:footnote w:id="40">
    <w:p w14:paraId="035C64D8" w14:textId="1114CF36" w:rsidR="00D90D35" w:rsidRPr="0055091D" w:rsidRDefault="00D90D35">
      <w:pPr>
        <w:pStyle w:val="FootnoteText"/>
      </w:pPr>
      <w:r>
        <w:rPr>
          <w:rStyle w:val="FootnoteReference"/>
        </w:rPr>
        <w:footnoteRef/>
      </w:r>
      <w:r>
        <w:t xml:space="preserve"> </w:t>
      </w:r>
      <w:r>
        <w:rPr>
          <w:i/>
          <w:iCs/>
        </w:rPr>
        <w:t xml:space="preserve">Id. </w:t>
      </w:r>
      <w:r>
        <w:t>at 1167 (also stating the abstract idea as “credit[ing] a merchant’s account as soon as possible”).</w:t>
      </w:r>
    </w:p>
  </w:footnote>
  <w:footnote w:id="41">
    <w:p w14:paraId="383812B4" w14:textId="0BDA0991" w:rsidR="00D90D35" w:rsidRPr="00AA0938" w:rsidRDefault="00D90D35" w:rsidP="00780966">
      <w:pPr>
        <w:pStyle w:val="FootnoteText"/>
      </w:pPr>
      <w:r>
        <w:rPr>
          <w:rStyle w:val="FootnoteReference"/>
        </w:rPr>
        <w:footnoteRef/>
      </w:r>
      <w:r>
        <w:t xml:space="preserve"> </w:t>
      </w:r>
      <w:r>
        <w:rPr>
          <w:i/>
          <w:iCs/>
        </w:rPr>
        <w:t xml:space="preserve">Id. </w:t>
      </w:r>
      <w:r>
        <w:t>(citing 561 U.S. 593 (2010)).</w:t>
      </w:r>
    </w:p>
  </w:footnote>
  <w:footnote w:id="42">
    <w:p w14:paraId="0812A209" w14:textId="12B54735" w:rsidR="00D90D35" w:rsidRPr="00CB3115" w:rsidRDefault="00D90D35">
      <w:pPr>
        <w:pStyle w:val="FootnoteText"/>
      </w:pPr>
      <w:r>
        <w:rPr>
          <w:rStyle w:val="FootnoteReference"/>
        </w:rPr>
        <w:footnoteRef/>
      </w:r>
      <w:r>
        <w:t xml:space="preserve"> </w:t>
      </w:r>
      <w:r>
        <w:rPr>
          <w:i/>
          <w:iCs/>
        </w:rPr>
        <w:t xml:space="preserve">Id. </w:t>
      </w:r>
      <w:r>
        <w:t xml:space="preserve">at 1166 (citing </w:t>
      </w:r>
      <w:r w:rsidRPr="00C66BA6">
        <w:t>Content Extraction &amp; Transmission LLC v. Wells Fargo Bank, National Ass’n</w:t>
      </w:r>
      <w:r>
        <w:t>, 776 F.3d 1343 (Fed. Cir. 2014)).</w:t>
      </w:r>
    </w:p>
  </w:footnote>
  <w:footnote w:id="43">
    <w:p w14:paraId="752C2F3A" w14:textId="5E62560E" w:rsidR="00D90D35" w:rsidRPr="00C6009D" w:rsidRDefault="00D90D35">
      <w:pPr>
        <w:pStyle w:val="FootnoteText"/>
      </w:pPr>
      <w:r>
        <w:rPr>
          <w:rStyle w:val="FootnoteReference"/>
        </w:rPr>
        <w:footnoteRef/>
      </w:r>
      <w:r>
        <w:t xml:space="preserve"> </w:t>
      </w:r>
      <w:r>
        <w:rPr>
          <w:i/>
          <w:iCs/>
        </w:rPr>
        <w:t xml:space="preserve">Id. </w:t>
      </w:r>
      <w:r>
        <w:t>at 1168.</w:t>
      </w:r>
    </w:p>
  </w:footnote>
  <w:footnote w:id="44">
    <w:p w14:paraId="208EC145" w14:textId="4BA5CA1D" w:rsidR="00D90D35" w:rsidRPr="00FC1496" w:rsidRDefault="00D90D35">
      <w:pPr>
        <w:pStyle w:val="FootnoteText"/>
      </w:pPr>
      <w:r>
        <w:rPr>
          <w:rStyle w:val="FootnoteReference"/>
        </w:rPr>
        <w:footnoteRef/>
      </w:r>
      <w:r>
        <w:t xml:space="preserve"> </w:t>
      </w:r>
      <w:r>
        <w:rPr>
          <w:i/>
          <w:iCs/>
        </w:rPr>
        <w:t xml:space="preserve">Id. </w:t>
      </w:r>
      <w:r>
        <w:t xml:space="preserve">at 1167 (citing </w:t>
      </w:r>
      <w:r w:rsidRPr="00FC1496">
        <w:t>Enfish, LLC v. Microsoft Corp., 822 F.3d 1327, 1336 (Fed. Cir. 2016)</w:t>
      </w:r>
      <w:r>
        <w:t>).</w:t>
      </w:r>
    </w:p>
  </w:footnote>
  <w:footnote w:id="45">
    <w:p w14:paraId="04516846" w14:textId="5FE91511" w:rsidR="00D90D35" w:rsidRPr="00FA2E32" w:rsidRDefault="00D90D35">
      <w:pPr>
        <w:pStyle w:val="FootnoteText"/>
      </w:pPr>
      <w:r>
        <w:rPr>
          <w:rStyle w:val="FootnoteReference"/>
        </w:rPr>
        <w:footnoteRef/>
      </w:r>
      <w:r>
        <w:t xml:space="preserve"> </w:t>
      </w:r>
      <w:r>
        <w:rPr>
          <w:i/>
          <w:iCs/>
        </w:rPr>
        <w:t xml:space="preserve">Id. </w:t>
      </w:r>
      <w:r>
        <w:t xml:space="preserve">(citing </w:t>
      </w:r>
      <w:r w:rsidRPr="00FA2E32">
        <w:t>McRO, Inc. v. Bandai Namco Games America Inc., 837 F.3d 1299, 1313 (Fed. Cir. 2016)</w:t>
      </w:r>
      <w:r>
        <w:t>).</w:t>
      </w:r>
    </w:p>
  </w:footnote>
  <w:footnote w:id="46">
    <w:p w14:paraId="2C32C55E" w14:textId="3F78B3E4" w:rsidR="00D90D35" w:rsidRPr="007F744E" w:rsidRDefault="00D90D35">
      <w:pPr>
        <w:pStyle w:val="FootnoteText"/>
      </w:pPr>
      <w:r>
        <w:rPr>
          <w:rStyle w:val="FootnoteReference"/>
        </w:rPr>
        <w:footnoteRef/>
      </w:r>
      <w:r>
        <w:t xml:space="preserve"> </w:t>
      </w:r>
      <w:r>
        <w:rPr>
          <w:i/>
          <w:iCs/>
        </w:rPr>
        <w:t xml:space="preserve">Id. </w:t>
      </w:r>
      <w:r>
        <w:t>at 1169.</w:t>
      </w:r>
    </w:p>
  </w:footnote>
  <w:footnote w:id="47">
    <w:p w14:paraId="3A31FC07" w14:textId="1EBAFB74" w:rsidR="00D90D35" w:rsidRPr="00E71899" w:rsidRDefault="00D90D35">
      <w:pPr>
        <w:pStyle w:val="FootnoteText"/>
      </w:pPr>
      <w:r>
        <w:rPr>
          <w:rStyle w:val="FootnoteReference"/>
        </w:rPr>
        <w:footnoteRef/>
      </w:r>
      <w:r>
        <w:t xml:space="preserve"> </w:t>
      </w:r>
      <w:r>
        <w:rPr>
          <w:i/>
          <w:iCs/>
        </w:rPr>
        <w:t xml:space="preserve">Id. </w:t>
      </w:r>
    </w:p>
  </w:footnote>
  <w:footnote w:id="48">
    <w:p w14:paraId="7264A09E" w14:textId="064D5601" w:rsidR="00D90D35" w:rsidRPr="00E71899" w:rsidRDefault="00D90D35" w:rsidP="00E71899">
      <w:pPr>
        <w:pStyle w:val="FootnoteText"/>
      </w:pPr>
      <w:r>
        <w:rPr>
          <w:rStyle w:val="FootnoteReference"/>
        </w:rPr>
        <w:footnoteRef/>
      </w:r>
      <w:r>
        <w:t xml:space="preserve"> </w:t>
      </w:r>
      <w:r>
        <w:rPr>
          <w:i/>
          <w:iCs/>
        </w:rPr>
        <w:t xml:space="preserve">Id. </w:t>
      </w:r>
    </w:p>
  </w:footnote>
  <w:footnote w:id="49">
    <w:p w14:paraId="452B8FAB" w14:textId="655785DB" w:rsidR="00D90D35" w:rsidRDefault="00D90D35">
      <w:pPr>
        <w:pStyle w:val="FootnoteText"/>
      </w:pPr>
      <w:r w:rsidRPr="005A669A">
        <w:rPr>
          <w:rStyle w:val="FootnoteReference"/>
        </w:rPr>
        <w:footnoteRef/>
      </w:r>
      <w:r>
        <w:t xml:space="preserve"> </w:t>
      </w:r>
      <w:r>
        <w:rPr>
          <w:i/>
        </w:rPr>
        <w:t xml:space="preserve">See </w:t>
      </w:r>
      <w:r w:rsidRPr="001B5C03">
        <w:t>Trading Techs. Int’l, Inc. v. IBG LLC, Nos. 2017-2257, 2017-2621, 2018-1063</w:t>
      </w:r>
      <w:r>
        <w:t>, at *1</w:t>
      </w:r>
      <w:r w:rsidRPr="001B5C03">
        <w:t xml:space="preserve"> (Apr.</w:t>
      </w:r>
      <w:r>
        <w:t> </w:t>
      </w:r>
      <w:r w:rsidRPr="001B5C03">
        <w:t>18, 2019).</w:t>
      </w:r>
    </w:p>
  </w:footnote>
  <w:footnote w:id="50">
    <w:p w14:paraId="5E126D23" w14:textId="75D2E946" w:rsidR="00D90D35" w:rsidRPr="00EB4471" w:rsidRDefault="00D90D35">
      <w:pPr>
        <w:pStyle w:val="FootnoteText"/>
      </w:pPr>
      <w:r w:rsidRPr="005A669A">
        <w:rPr>
          <w:rStyle w:val="FootnoteReference"/>
        </w:rPr>
        <w:footnoteRef/>
      </w:r>
      <w:r>
        <w:t xml:space="preserve"> </w:t>
      </w:r>
      <w:r>
        <w:rPr>
          <w:i/>
        </w:rPr>
        <w:t xml:space="preserve">Id. </w:t>
      </w:r>
      <w:r>
        <w:t>at *2-*3.</w:t>
      </w:r>
    </w:p>
  </w:footnote>
  <w:footnote w:id="51">
    <w:p w14:paraId="4A00C3A5" w14:textId="7F7C83DC" w:rsidR="00D90D35" w:rsidRPr="00A33C57" w:rsidRDefault="00D90D35">
      <w:pPr>
        <w:pStyle w:val="FootnoteText"/>
      </w:pPr>
      <w:r w:rsidRPr="005A669A">
        <w:rPr>
          <w:rStyle w:val="FootnoteReference"/>
        </w:rPr>
        <w:footnoteRef/>
      </w:r>
      <w:r>
        <w:t xml:space="preserve"> </w:t>
      </w:r>
      <w:r>
        <w:rPr>
          <w:i/>
        </w:rPr>
        <w:t xml:space="preserve">Id. </w:t>
      </w:r>
      <w:r>
        <w:t>at *7.</w:t>
      </w:r>
    </w:p>
  </w:footnote>
  <w:footnote w:id="52">
    <w:p w14:paraId="28D1142C" w14:textId="0A7EAAE5" w:rsidR="00D90D35" w:rsidRPr="00BA47B5" w:rsidRDefault="00D90D35">
      <w:pPr>
        <w:pStyle w:val="FootnoteText"/>
      </w:pPr>
      <w:r w:rsidRPr="005A669A">
        <w:rPr>
          <w:rStyle w:val="FootnoteReference"/>
        </w:rPr>
        <w:footnoteRef/>
      </w:r>
      <w:r>
        <w:t xml:space="preserve"> </w:t>
      </w:r>
      <w:r>
        <w:rPr>
          <w:i/>
        </w:rPr>
        <w:t xml:space="preserve">Id. </w:t>
      </w:r>
      <w:r>
        <w:t>at *6.</w:t>
      </w:r>
    </w:p>
  </w:footnote>
  <w:footnote w:id="53">
    <w:p w14:paraId="75CE1C08" w14:textId="01417330" w:rsidR="00D90D35" w:rsidRPr="00A23AF3" w:rsidRDefault="00D90D35" w:rsidP="00A257AA">
      <w:pPr>
        <w:rPr>
          <w:i/>
          <w:sz w:val="22"/>
        </w:rPr>
      </w:pPr>
      <w:r w:rsidRPr="005A669A">
        <w:rPr>
          <w:rStyle w:val="FootnoteReference"/>
        </w:rPr>
        <w:footnoteRef/>
      </w:r>
      <w:r>
        <w:t xml:space="preserve"> </w:t>
      </w:r>
      <w:r w:rsidRPr="00A23AF3">
        <w:rPr>
          <w:i/>
          <w:sz w:val="22"/>
        </w:rPr>
        <w:t xml:space="preserve">Id. </w:t>
      </w:r>
      <w:r>
        <w:rPr>
          <w:sz w:val="22"/>
        </w:rPr>
        <w:t>(</w:t>
      </w:r>
      <w:r w:rsidRPr="002520EB">
        <w:rPr>
          <w:sz w:val="22"/>
        </w:rPr>
        <w:t>citing Ultramercial, Inc. v. Hulu, LLC, 772 F.3d 709, 715 (Fed. Cir. 2014)).</w:t>
      </w:r>
    </w:p>
  </w:footnote>
  <w:footnote w:id="54">
    <w:p w14:paraId="01DB6DEC" w14:textId="77777777" w:rsidR="00D90D35" w:rsidRPr="00A257AA" w:rsidRDefault="00D90D35" w:rsidP="0037061B">
      <w:pPr>
        <w:pStyle w:val="FootnoteText"/>
      </w:pPr>
      <w:r w:rsidRPr="005A669A">
        <w:rPr>
          <w:rStyle w:val="FootnoteReference"/>
        </w:rPr>
        <w:footnoteRef/>
      </w:r>
      <w:r w:rsidRPr="00A23AF3">
        <w:rPr>
          <w:rStyle w:val="FootnoteReference"/>
          <w:sz w:val="24"/>
        </w:rPr>
        <w:t xml:space="preserve"> </w:t>
      </w:r>
      <w:r w:rsidRPr="00A23AF3">
        <w:rPr>
          <w:i/>
        </w:rPr>
        <w:t>Id</w:t>
      </w:r>
      <w:r>
        <w:rPr>
          <w:i/>
        </w:rPr>
        <w:t>.</w:t>
      </w:r>
    </w:p>
  </w:footnote>
  <w:footnote w:id="55">
    <w:p w14:paraId="0C7DB2E9" w14:textId="5FE98A24" w:rsidR="00D90D35" w:rsidRPr="00D477A7" w:rsidRDefault="00D90D35">
      <w:pPr>
        <w:pStyle w:val="FootnoteText"/>
      </w:pPr>
      <w:r w:rsidRPr="005A669A">
        <w:rPr>
          <w:rStyle w:val="FootnoteReference"/>
        </w:rPr>
        <w:footnoteRef/>
      </w:r>
      <w:r>
        <w:t xml:space="preserve"> </w:t>
      </w:r>
      <w:r>
        <w:rPr>
          <w:i/>
        </w:rPr>
        <w:t xml:space="preserve">See id. </w:t>
      </w:r>
      <w:r>
        <w:t>at *6, 7, 8.</w:t>
      </w:r>
    </w:p>
  </w:footnote>
  <w:footnote w:id="56">
    <w:p w14:paraId="73EE9520" w14:textId="7BF93483" w:rsidR="00D90D35" w:rsidRDefault="00D90D35" w:rsidP="00980849">
      <w:pPr>
        <w:pStyle w:val="FootnoteText"/>
      </w:pPr>
      <w:r w:rsidRPr="005A669A">
        <w:rPr>
          <w:rStyle w:val="FootnoteReference"/>
        </w:rPr>
        <w:footnoteRef/>
      </w:r>
      <w:r>
        <w:t xml:space="preserve"> </w:t>
      </w:r>
      <w:r w:rsidRPr="0078203F">
        <w:t>ChargePoint, Inc. v. SemaConnect, Inc., 920 F.3d 759</w:t>
      </w:r>
      <w:r>
        <w:t>, 763</w:t>
      </w:r>
      <w:r w:rsidRPr="0078203F">
        <w:t xml:space="preserve"> (Fed. Cir. 2019).</w:t>
      </w:r>
    </w:p>
  </w:footnote>
  <w:footnote w:id="57">
    <w:p w14:paraId="3D2D738E" w14:textId="352E0A87" w:rsidR="00D90D35" w:rsidRPr="0078203F" w:rsidRDefault="00D90D35">
      <w:pPr>
        <w:pStyle w:val="FootnoteText"/>
      </w:pPr>
      <w:r w:rsidRPr="005A669A">
        <w:rPr>
          <w:rStyle w:val="FootnoteReference"/>
        </w:rPr>
        <w:footnoteRef/>
      </w:r>
      <w:r>
        <w:t xml:space="preserve"> </w:t>
      </w:r>
      <w:r>
        <w:rPr>
          <w:i/>
        </w:rPr>
        <w:t xml:space="preserve">Id. </w:t>
      </w:r>
      <w:r>
        <w:t>at 763-64.</w:t>
      </w:r>
    </w:p>
  </w:footnote>
  <w:footnote w:id="58">
    <w:p w14:paraId="789637AB" w14:textId="7B4FC8C4" w:rsidR="00D90D35" w:rsidRPr="00E27830" w:rsidRDefault="00D90D35">
      <w:pPr>
        <w:pStyle w:val="FootnoteText"/>
      </w:pPr>
      <w:r w:rsidRPr="005A669A">
        <w:rPr>
          <w:rStyle w:val="FootnoteReference"/>
        </w:rPr>
        <w:footnoteRef/>
      </w:r>
      <w:r>
        <w:t xml:space="preserve"> </w:t>
      </w:r>
      <w:r>
        <w:rPr>
          <w:i/>
        </w:rPr>
        <w:t xml:space="preserve">Id. </w:t>
      </w:r>
      <w:r>
        <w:t>at 766, 767-68.</w:t>
      </w:r>
    </w:p>
  </w:footnote>
  <w:footnote w:id="59">
    <w:p w14:paraId="5A39C6D0" w14:textId="77777777" w:rsidR="00D90D35" w:rsidRPr="008B0D6A" w:rsidRDefault="00D90D35" w:rsidP="003267F8">
      <w:pPr>
        <w:pStyle w:val="FootnoteText"/>
      </w:pPr>
      <w:r w:rsidRPr="005A669A">
        <w:rPr>
          <w:rStyle w:val="FootnoteReference"/>
        </w:rPr>
        <w:footnoteRef/>
      </w:r>
      <w:r>
        <w:t xml:space="preserve"> </w:t>
      </w:r>
      <w:r>
        <w:rPr>
          <w:i/>
        </w:rPr>
        <w:t xml:space="preserve">Id. </w:t>
      </w:r>
      <w:r>
        <w:t>at 767, 770.</w:t>
      </w:r>
    </w:p>
  </w:footnote>
  <w:footnote w:id="60">
    <w:p w14:paraId="64497F9E" w14:textId="65223EC0" w:rsidR="00D90D35" w:rsidRPr="008B0D6A" w:rsidRDefault="00D90D35">
      <w:pPr>
        <w:pStyle w:val="FootnoteText"/>
      </w:pPr>
      <w:r w:rsidRPr="005A669A">
        <w:rPr>
          <w:rStyle w:val="FootnoteReference"/>
        </w:rPr>
        <w:footnoteRef/>
      </w:r>
      <w:r>
        <w:t xml:space="preserve"> </w:t>
      </w:r>
      <w:r>
        <w:rPr>
          <w:i/>
        </w:rPr>
        <w:t>Id.</w:t>
      </w:r>
    </w:p>
  </w:footnote>
  <w:footnote w:id="61">
    <w:p w14:paraId="7D719CEA" w14:textId="75C96A2A" w:rsidR="00D90D35" w:rsidRPr="003267F8" w:rsidRDefault="00D90D35">
      <w:pPr>
        <w:pStyle w:val="FootnoteText"/>
      </w:pPr>
      <w:r w:rsidRPr="005A669A">
        <w:rPr>
          <w:rStyle w:val="FootnoteReference"/>
        </w:rPr>
        <w:footnoteRef/>
      </w:r>
      <w:r>
        <w:t xml:space="preserve"> </w:t>
      </w:r>
      <w:r>
        <w:rPr>
          <w:i/>
        </w:rPr>
        <w:t xml:space="preserve">Id. </w:t>
      </w:r>
      <w:r>
        <w:t>at 767.</w:t>
      </w:r>
    </w:p>
  </w:footnote>
  <w:footnote w:id="62">
    <w:p w14:paraId="393EF447" w14:textId="5A064B1B" w:rsidR="00D90D35" w:rsidRPr="005F2870" w:rsidRDefault="00D90D35">
      <w:pPr>
        <w:pStyle w:val="FootnoteText"/>
      </w:pPr>
      <w:r w:rsidRPr="005A669A">
        <w:rPr>
          <w:rStyle w:val="FootnoteReference"/>
        </w:rPr>
        <w:footnoteRef/>
      </w:r>
      <w:r>
        <w:t xml:space="preserve"> </w:t>
      </w:r>
      <w:r>
        <w:rPr>
          <w:i/>
        </w:rPr>
        <w:t xml:space="preserve">Id. </w:t>
      </w:r>
      <w:r>
        <w:t>at 773.</w:t>
      </w:r>
    </w:p>
  </w:footnote>
  <w:footnote w:id="63">
    <w:p w14:paraId="489A7460" w14:textId="77777777" w:rsidR="00D90D35" w:rsidRPr="0078203F" w:rsidRDefault="00D90D35" w:rsidP="00462F0F">
      <w:pPr>
        <w:pStyle w:val="FootnoteText"/>
      </w:pPr>
      <w:r w:rsidRPr="005A669A">
        <w:rPr>
          <w:rStyle w:val="FootnoteReference"/>
        </w:rPr>
        <w:footnoteRef/>
      </w:r>
      <w:r>
        <w:t xml:space="preserve"> </w:t>
      </w:r>
      <w:r>
        <w:rPr>
          <w:i/>
        </w:rPr>
        <w:t xml:space="preserve">Id. </w:t>
      </w:r>
      <w:r>
        <w:t>at 770.</w:t>
      </w:r>
    </w:p>
  </w:footnote>
  <w:footnote w:id="64">
    <w:p w14:paraId="06B58041" w14:textId="77777777" w:rsidR="00D90D35" w:rsidRPr="005F2870" w:rsidRDefault="00D90D35" w:rsidP="00E00CB1">
      <w:pPr>
        <w:pStyle w:val="FootnoteText"/>
      </w:pPr>
      <w:r w:rsidRPr="005A669A">
        <w:rPr>
          <w:rStyle w:val="FootnoteReference"/>
        </w:rPr>
        <w:footnoteRef/>
      </w:r>
      <w:r>
        <w:t xml:space="preserve"> </w:t>
      </w:r>
      <w:r>
        <w:rPr>
          <w:i/>
        </w:rPr>
        <w:t xml:space="preserve">Id. </w:t>
      </w:r>
      <w:r>
        <w:t xml:space="preserve">(quoting </w:t>
      </w:r>
      <w:r w:rsidRPr="008A33D6">
        <w:t xml:space="preserve">Alice Corp. v. CLS Bank Int'l, 573 U.S. 208, </w:t>
      </w:r>
      <w:r>
        <w:t>220</w:t>
      </w:r>
      <w:r w:rsidRPr="008A33D6">
        <w:t xml:space="preserve"> (2014).</w:t>
      </w:r>
      <w:r>
        <w:t>).</w:t>
      </w:r>
    </w:p>
  </w:footnote>
  <w:footnote w:id="65">
    <w:p w14:paraId="572ECAC3" w14:textId="73C78CE2" w:rsidR="00D90D35" w:rsidRDefault="00D90D35">
      <w:pPr>
        <w:pStyle w:val="FootnoteText"/>
      </w:pPr>
      <w:r w:rsidRPr="005A669A">
        <w:rPr>
          <w:rStyle w:val="FootnoteReference"/>
        </w:rPr>
        <w:footnoteRef/>
      </w:r>
      <w:r>
        <w:t xml:space="preserve"> </w:t>
      </w:r>
      <w:r>
        <w:rPr>
          <w:i/>
        </w:rPr>
        <w:t xml:space="preserve">Id. </w:t>
      </w:r>
      <w:r>
        <w:t xml:space="preserve">at 774 (quoting </w:t>
      </w:r>
      <w:r w:rsidRPr="007F1307">
        <w:rPr>
          <w:rFonts w:cs="Times New Roman"/>
          <w:szCs w:val="22"/>
        </w:rPr>
        <w:t xml:space="preserve">BSG Tech LLC, v. Buyseasons, Inc. 899 F.3d 1281, </w:t>
      </w:r>
      <w:r>
        <w:rPr>
          <w:rFonts w:cs="Times New Roman"/>
          <w:szCs w:val="22"/>
        </w:rPr>
        <w:t>1290</w:t>
      </w:r>
      <w:r w:rsidRPr="007F1307">
        <w:rPr>
          <w:rFonts w:cs="Times New Roman"/>
          <w:szCs w:val="22"/>
        </w:rPr>
        <w:t xml:space="preserve"> (Fed. Cir. 2018)</w:t>
      </w:r>
      <w:r>
        <w:rPr>
          <w:rFonts w:cs="Times New Roman"/>
          <w:szCs w:val="22"/>
        </w:rPr>
        <w:t xml:space="preserve"> (internal citation and quotations omitted)).</w:t>
      </w:r>
    </w:p>
  </w:footnote>
  <w:footnote w:id="66">
    <w:p w14:paraId="7E3598D2" w14:textId="753D2772" w:rsidR="00D90D35" w:rsidRPr="00652DE3" w:rsidRDefault="00D90D35">
      <w:pPr>
        <w:pStyle w:val="FootnoteText"/>
      </w:pPr>
      <w:r w:rsidRPr="005A669A">
        <w:rPr>
          <w:rStyle w:val="FootnoteReference"/>
        </w:rPr>
        <w:footnoteRef/>
      </w:r>
      <w:r>
        <w:t xml:space="preserve"> </w:t>
      </w:r>
      <w:r>
        <w:rPr>
          <w:i/>
        </w:rPr>
        <w:t>Id</w:t>
      </w:r>
      <w:r w:rsidRPr="00373F0A">
        <w:rPr>
          <w:i/>
        </w:rPr>
        <w:t>.</w:t>
      </w:r>
    </w:p>
  </w:footnote>
  <w:footnote w:id="67">
    <w:p w14:paraId="47E26A5F" w14:textId="77777777" w:rsidR="00D90D35" w:rsidRDefault="00D90D35" w:rsidP="00DB4BAD">
      <w:pPr>
        <w:pStyle w:val="FootnoteText"/>
      </w:pPr>
      <w:r>
        <w:rPr>
          <w:rStyle w:val="FootnoteReference"/>
        </w:rPr>
        <w:footnoteRef/>
      </w:r>
      <w:r>
        <w:t xml:space="preserve"> </w:t>
      </w:r>
      <w:r w:rsidRPr="004D375C">
        <w:t>University of Florida Research Fo</w:t>
      </w:r>
      <w:r>
        <w:t>und. v. General Elec. Co.,</w:t>
      </w:r>
      <w:r w:rsidRPr="004D375C">
        <w:t xml:space="preserve"> 916 F.3d 1363</w:t>
      </w:r>
      <w:r>
        <w:t>, 1364</w:t>
      </w:r>
      <w:r w:rsidRPr="004D375C">
        <w:t xml:space="preserve"> (Fed. Cir. Feb. 26, 2019).</w:t>
      </w:r>
    </w:p>
  </w:footnote>
  <w:footnote w:id="68">
    <w:p w14:paraId="54179281" w14:textId="77777777" w:rsidR="00D90D35" w:rsidRPr="00537DA3" w:rsidRDefault="00D90D35" w:rsidP="00DB4BAD">
      <w:pPr>
        <w:pStyle w:val="FootnoteText"/>
      </w:pPr>
      <w:r>
        <w:rPr>
          <w:rStyle w:val="FootnoteReference"/>
        </w:rPr>
        <w:footnoteRef/>
      </w:r>
      <w:r>
        <w:t xml:space="preserve"> </w:t>
      </w:r>
      <w:r>
        <w:rPr>
          <w:i/>
          <w:iCs/>
        </w:rPr>
        <w:t xml:space="preserve">Id. </w:t>
      </w:r>
      <w:r>
        <w:t xml:space="preserve">at 1366 (citing U.S. Patent No. 7.062,251). </w:t>
      </w:r>
    </w:p>
  </w:footnote>
  <w:footnote w:id="69">
    <w:p w14:paraId="275C5075" w14:textId="77777777" w:rsidR="00D90D35" w:rsidRPr="0046236E" w:rsidRDefault="00D90D35" w:rsidP="00DB4BAD">
      <w:pPr>
        <w:pStyle w:val="FootnoteText"/>
      </w:pPr>
      <w:r>
        <w:rPr>
          <w:rStyle w:val="FootnoteReference"/>
        </w:rPr>
        <w:footnoteRef/>
      </w:r>
      <w:r>
        <w:t xml:space="preserve"> </w:t>
      </w:r>
      <w:r>
        <w:rPr>
          <w:i/>
          <w:iCs/>
        </w:rPr>
        <w:t xml:space="preserve">Id. </w:t>
      </w:r>
      <w:r>
        <w:t>at 1367.</w:t>
      </w:r>
    </w:p>
  </w:footnote>
  <w:footnote w:id="70">
    <w:p w14:paraId="1B875A12" w14:textId="77777777" w:rsidR="00D90D35" w:rsidRPr="007554FA" w:rsidRDefault="00D90D35" w:rsidP="00DB4BAD">
      <w:pPr>
        <w:pStyle w:val="FootnoteText"/>
        <w:rPr>
          <w:i/>
          <w:iCs/>
        </w:rPr>
      </w:pPr>
      <w:r>
        <w:rPr>
          <w:rStyle w:val="FootnoteReference"/>
        </w:rPr>
        <w:footnoteRef/>
      </w:r>
      <w:r>
        <w:t xml:space="preserve"> </w:t>
      </w:r>
      <w:r>
        <w:rPr>
          <w:i/>
          <w:iCs/>
        </w:rPr>
        <w:t xml:space="preserve">Id. </w:t>
      </w:r>
    </w:p>
  </w:footnote>
  <w:footnote w:id="71">
    <w:p w14:paraId="3297158B" w14:textId="77777777" w:rsidR="00D90D35" w:rsidRDefault="00D90D35" w:rsidP="00DB4BAD">
      <w:pPr>
        <w:pStyle w:val="FootnoteText"/>
      </w:pPr>
      <w:r>
        <w:rPr>
          <w:rStyle w:val="FootnoteReference"/>
        </w:rPr>
        <w:footnoteRef/>
      </w:r>
      <w:r>
        <w:t xml:space="preserve"> </w:t>
      </w:r>
      <w:r>
        <w:rPr>
          <w:i/>
          <w:iCs/>
        </w:rPr>
        <w:t xml:space="preserve">Id. </w:t>
      </w:r>
      <w:r>
        <w:t xml:space="preserve">(citing, </w:t>
      </w:r>
      <w:r>
        <w:rPr>
          <w:i/>
          <w:iCs/>
        </w:rPr>
        <w:t>e.g.</w:t>
      </w:r>
      <w:r>
        <w:t>, Intellectual Ventures I LLC v. Capital One Fin. Corp., 850 F.3d 1332,</w:t>
      </w:r>
    </w:p>
    <w:p w14:paraId="69224764" w14:textId="77777777" w:rsidR="00D90D35" w:rsidRPr="006E3445" w:rsidRDefault="00D90D35" w:rsidP="00DB4BAD">
      <w:pPr>
        <w:pStyle w:val="FootnoteText"/>
      </w:pPr>
      <w:r>
        <w:t>1340 (Fed. Cir. 2017)).</w:t>
      </w:r>
    </w:p>
  </w:footnote>
  <w:footnote w:id="72">
    <w:p w14:paraId="6319B59F" w14:textId="77777777" w:rsidR="00D90D35" w:rsidRPr="005A3DD4" w:rsidRDefault="00D90D35" w:rsidP="00DB4BAD">
      <w:pPr>
        <w:pStyle w:val="FootnoteText"/>
      </w:pPr>
      <w:r>
        <w:rPr>
          <w:rStyle w:val="FootnoteReference"/>
        </w:rPr>
        <w:footnoteRef/>
      </w:r>
      <w:r>
        <w:t xml:space="preserve"> </w:t>
      </w:r>
      <w:r>
        <w:rPr>
          <w:i/>
          <w:iCs/>
        </w:rPr>
        <w:t xml:space="preserve">Id. </w:t>
      </w:r>
      <w:r>
        <w:t xml:space="preserve">at 1367-68 (comparing with </w:t>
      </w:r>
      <w:r w:rsidRPr="005A3DD4">
        <w:t>Enfish,</w:t>
      </w:r>
      <w:r>
        <w:t xml:space="preserve"> </w:t>
      </w:r>
      <w:r w:rsidRPr="005A3DD4">
        <w:t>LLC</w:t>
      </w:r>
      <w:r>
        <w:t xml:space="preserve"> </w:t>
      </w:r>
      <w:r w:rsidRPr="005A3DD4">
        <w:t>v.</w:t>
      </w:r>
      <w:r>
        <w:t xml:space="preserve"> </w:t>
      </w:r>
      <w:r w:rsidRPr="005A3DD4">
        <w:t>Microsoft</w:t>
      </w:r>
      <w:r>
        <w:t xml:space="preserve"> </w:t>
      </w:r>
      <w:r w:rsidRPr="005A3DD4">
        <w:t>Corp.,</w:t>
      </w:r>
      <w:r>
        <w:t xml:space="preserve"> </w:t>
      </w:r>
      <w:r w:rsidRPr="005A3DD4">
        <w:t>822</w:t>
      </w:r>
      <w:r>
        <w:t xml:space="preserve"> </w:t>
      </w:r>
      <w:r w:rsidRPr="005A3DD4">
        <w:t>F.3d</w:t>
      </w:r>
      <w:r>
        <w:t xml:space="preserve"> </w:t>
      </w:r>
      <w:r w:rsidRPr="005A3DD4">
        <w:t>1327,</w:t>
      </w:r>
      <w:r>
        <w:t xml:space="preserve"> </w:t>
      </w:r>
      <w:r w:rsidRPr="005A3DD4">
        <w:t>1336</w:t>
      </w:r>
      <w:r>
        <w:t xml:space="preserve"> </w:t>
      </w:r>
      <w:r w:rsidRPr="005A3DD4">
        <w:t>(Fed.</w:t>
      </w:r>
      <w:r>
        <w:t xml:space="preserve"> </w:t>
      </w:r>
      <w:r w:rsidRPr="005A3DD4">
        <w:t>Cir.</w:t>
      </w:r>
      <w:r>
        <w:t xml:space="preserve"> </w:t>
      </w:r>
      <w:r w:rsidRPr="005A3DD4">
        <w:t>2016)</w:t>
      </w:r>
      <w:r>
        <w:t>).</w:t>
      </w:r>
    </w:p>
  </w:footnote>
  <w:footnote w:id="73">
    <w:p w14:paraId="6C597CFC" w14:textId="77777777" w:rsidR="00D90D35" w:rsidRPr="002F411B" w:rsidRDefault="00D90D35" w:rsidP="00DB4BAD">
      <w:pPr>
        <w:pStyle w:val="FootnoteText"/>
      </w:pPr>
      <w:r>
        <w:rPr>
          <w:rStyle w:val="FootnoteReference"/>
        </w:rPr>
        <w:footnoteRef/>
      </w:r>
      <w:r>
        <w:t xml:space="preserve"> </w:t>
      </w:r>
      <w:r>
        <w:rPr>
          <w:i/>
          <w:iCs/>
        </w:rPr>
        <w:t xml:space="preserve">Id. </w:t>
      </w:r>
      <w:r>
        <w:t xml:space="preserve">at 1368 (contrasting with eligible claims that described how improvements were achieved in </w:t>
      </w:r>
      <w:r w:rsidRPr="009F5D6F">
        <w:t>Visual Memory LLC v. NVIDIA Corp., 867 F.3d 1253 (Fed. Cir. 2017)</w:t>
      </w:r>
      <w:r>
        <w:t>).</w:t>
      </w:r>
    </w:p>
  </w:footnote>
  <w:footnote w:id="74">
    <w:p w14:paraId="401CC2C9" w14:textId="77777777" w:rsidR="00D90D35" w:rsidRPr="00403371" w:rsidRDefault="00D90D35" w:rsidP="00DB4BAD">
      <w:pPr>
        <w:pStyle w:val="FootnoteText"/>
      </w:pPr>
      <w:r>
        <w:rPr>
          <w:rStyle w:val="FootnoteReference"/>
        </w:rPr>
        <w:footnoteRef/>
      </w:r>
      <w:r>
        <w:t xml:space="preserve"> </w:t>
      </w:r>
      <w:r>
        <w:rPr>
          <w:i/>
          <w:iCs/>
        </w:rPr>
        <w:t xml:space="preserve">Id. </w:t>
      </w:r>
      <w:r>
        <w:t>at 1368-69.</w:t>
      </w:r>
    </w:p>
  </w:footnote>
  <w:footnote w:id="75">
    <w:p w14:paraId="2A6980F2" w14:textId="77777777" w:rsidR="00D90D35" w:rsidRPr="004B623C" w:rsidRDefault="00D90D35" w:rsidP="00DB4BAD">
      <w:pPr>
        <w:pStyle w:val="FootnoteText"/>
      </w:pPr>
      <w:r>
        <w:rPr>
          <w:rStyle w:val="FootnoteReference"/>
        </w:rPr>
        <w:footnoteRef/>
      </w:r>
      <w:r>
        <w:t xml:space="preserve"> </w:t>
      </w:r>
      <w:r>
        <w:rPr>
          <w:i/>
          <w:iCs/>
        </w:rPr>
        <w:t xml:space="preserve">Id. </w:t>
      </w:r>
      <w:r>
        <w:t>at 1369 (citing 8</w:t>
      </w:r>
      <w:r w:rsidRPr="004B623C">
        <w:t>27 F.3d 1341, 1350 (Fed. Cir. 2016)</w:t>
      </w:r>
      <w:r>
        <w:t>).</w:t>
      </w:r>
    </w:p>
  </w:footnote>
  <w:footnote w:id="76">
    <w:p w14:paraId="2C849B48" w14:textId="77777777" w:rsidR="00D90D35" w:rsidRPr="00C632D7" w:rsidRDefault="00D90D35" w:rsidP="00DB4BAD">
      <w:pPr>
        <w:pStyle w:val="FootnoteText"/>
        <w:rPr>
          <w:i/>
          <w:iCs/>
        </w:rPr>
      </w:pPr>
      <w:r>
        <w:rPr>
          <w:rStyle w:val="FootnoteReference"/>
        </w:rPr>
        <w:footnoteRef/>
      </w:r>
      <w:r>
        <w:t xml:space="preserve"> </w:t>
      </w:r>
      <w:r>
        <w:rPr>
          <w:i/>
          <w:iCs/>
        </w:rPr>
        <w:t>Id.</w:t>
      </w:r>
    </w:p>
  </w:footnote>
  <w:footnote w:id="77">
    <w:p w14:paraId="7645EB0D" w14:textId="77777777" w:rsidR="00D90D35" w:rsidRPr="00C632D7" w:rsidRDefault="00D90D35" w:rsidP="00DB4BAD">
      <w:pPr>
        <w:pStyle w:val="FootnoteText"/>
        <w:rPr>
          <w:i/>
          <w:iCs/>
        </w:rPr>
      </w:pPr>
      <w:r>
        <w:rPr>
          <w:rStyle w:val="FootnoteReference"/>
        </w:rPr>
        <w:footnoteRef/>
      </w:r>
      <w:r>
        <w:t xml:space="preserve"> </w:t>
      </w:r>
      <w:r>
        <w:rPr>
          <w:i/>
          <w:iCs/>
        </w:rPr>
        <w:t>Id.</w:t>
      </w:r>
    </w:p>
  </w:footnote>
  <w:footnote w:id="78">
    <w:p w14:paraId="72E996DB" w14:textId="2CE4DC4A" w:rsidR="00D90D35" w:rsidRDefault="00D90D35">
      <w:pPr>
        <w:pStyle w:val="FootnoteText"/>
      </w:pPr>
      <w:r>
        <w:rPr>
          <w:rStyle w:val="FootnoteReference"/>
        </w:rPr>
        <w:footnoteRef/>
      </w:r>
      <w:r>
        <w:t xml:space="preserve"> </w:t>
      </w:r>
      <w:r w:rsidRPr="0086320A">
        <w:t>Koninklijke KPN N.V. v. Gemalto M2M GmbH, 942 F.3d 1143 (Fed. Cir.  Nov. 15, 2019)</w:t>
      </w:r>
      <w:r>
        <w:t>.</w:t>
      </w:r>
    </w:p>
  </w:footnote>
  <w:footnote w:id="79">
    <w:p w14:paraId="002A4DA4" w14:textId="495DF041" w:rsidR="00D90D35" w:rsidRPr="00360012" w:rsidRDefault="00D90D35">
      <w:pPr>
        <w:pStyle w:val="FootnoteText"/>
      </w:pPr>
      <w:r>
        <w:rPr>
          <w:rStyle w:val="FootnoteReference"/>
        </w:rPr>
        <w:footnoteRef/>
      </w:r>
      <w:r>
        <w:t xml:space="preserve"> </w:t>
      </w:r>
      <w:r>
        <w:rPr>
          <w:i/>
          <w:iCs/>
        </w:rPr>
        <w:t>Id.</w:t>
      </w:r>
      <w:r>
        <w:t xml:space="preserve"> at 1146 (citing U.S. Patent No. </w:t>
      </w:r>
      <w:r w:rsidRPr="00360012">
        <w:t>6</w:t>
      </w:r>
      <w:r>
        <w:t>,</w:t>
      </w:r>
      <w:r w:rsidRPr="00360012">
        <w:t>212</w:t>
      </w:r>
      <w:r>
        <w:t>,</w:t>
      </w:r>
      <w:r w:rsidRPr="00360012">
        <w:t>662</w:t>
      </w:r>
      <w:r>
        <w:t>).</w:t>
      </w:r>
    </w:p>
  </w:footnote>
  <w:footnote w:id="80">
    <w:p w14:paraId="5B8A47D3" w14:textId="511820DA" w:rsidR="00D90D35" w:rsidRPr="00360012" w:rsidRDefault="00D90D35">
      <w:pPr>
        <w:pStyle w:val="FootnoteText"/>
      </w:pPr>
      <w:r>
        <w:rPr>
          <w:rStyle w:val="FootnoteReference"/>
        </w:rPr>
        <w:footnoteRef/>
      </w:r>
      <w:r>
        <w:t xml:space="preserve"> </w:t>
      </w:r>
      <w:r>
        <w:rPr>
          <w:i/>
          <w:iCs/>
        </w:rPr>
        <w:t>Id</w:t>
      </w:r>
      <w:r>
        <w:t>. at 1145.</w:t>
      </w:r>
    </w:p>
  </w:footnote>
  <w:footnote w:id="81">
    <w:p w14:paraId="4A0E74D7" w14:textId="5D2834DE" w:rsidR="00D90D35" w:rsidRPr="00360012" w:rsidRDefault="00D90D35">
      <w:pPr>
        <w:pStyle w:val="FootnoteText"/>
      </w:pPr>
      <w:r>
        <w:rPr>
          <w:rStyle w:val="FootnoteReference"/>
        </w:rPr>
        <w:footnoteRef/>
      </w:r>
      <w:r>
        <w:t xml:space="preserve"> </w:t>
      </w:r>
      <w:r>
        <w:rPr>
          <w:i/>
          <w:iCs/>
        </w:rPr>
        <w:t>Id.</w:t>
      </w:r>
      <w:r>
        <w:t xml:space="preserve"> at 1148.</w:t>
      </w:r>
    </w:p>
  </w:footnote>
  <w:footnote w:id="82">
    <w:p w14:paraId="2D68CD56" w14:textId="745C0E19" w:rsidR="00D90D35" w:rsidRPr="00D2056E" w:rsidRDefault="00D90D35">
      <w:pPr>
        <w:pStyle w:val="FootnoteText"/>
      </w:pPr>
      <w:r>
        <w:rPr>
          <w:rStyle w:val="FootnoteReference"/>
        </w:rPr>
        <w:footnoteRef/>
      </w:r>
      <w:r>
        <w:t xml:space="preserve"> </w:t>
      </w:r>
      <w:r>
        <w:rPr>
          <w:i/>
          <w:iCs/>
        </w:rPr>
        <w:t>Id.</w:t>
      </w:r>
    </w:p>
  </w:footnote>
  <w:footnote w:id="83">
    <w:p w14:paraId="48FDB3EC" w14:textId="145DB13E" w:rsidR="00D90D35" w:rsidRPr="00D2056E" w:rsidRDefault="00D90D35">
      <w:pPr>
        <w:pStyle w:val="FootnoteText"/>
      </w:pPr>
      <w:r>
        <w:rPr>
          <w:rStyle w:val="FootnoteReference"/>
        </w:rPr>
        <w:footnoteRef/>
      </w:r>
      <w:r>
        <w:t xml:space="preserve"> </w:t>
      </w:r>
      <w:r>
        <w:rPr>
          <w:i/>
          <w:iCs/>
        </w:rPr>
        <w:t>Id.</w:t>
      </w:r>
      <w:r>
        <w:t xml:space="preserve"> at 1153. </w:t>
      </w:r>
    </w:p>
  </w:footnote>
  <w:footnote w:id="84">
    <w:p w14:paraId="533008AE" w14:textId="76B64B89" w:rsidR="00D90D35" w:rsidRPr="00D2056E" w:rsidRDefault="00D90D35">
      <w:pPr>
        <w:pStyle w:val="FootnoteText"/>
      </w:pPr>
      <w:r>
        <w:rPr>
          <w:rStyle w:val="FootnoteReference"/>
        </w:rPr>
        <w:footnoteRef/>
      </w:r>
      <w:r>
        <w:t xml:space="preserve"> </w:t>
      </w:r>
      <w:r>
        <w:rPr>
          <w:i/>
          <w:iCs/>
        </w:rPr>
        <w:t>Id.</w:t>
      </w:r>
      <w:r>
        <w:t xml:space="preserve"> at 1150. </w:t>
      </w:r>
    </w:p>
  </w:footnote>
  <w:footnote w:id="85">
    <w:p w14:paraId="246F66B2" w14:textId="77777777" w:rsidR="00D90D35" w:rsidRPr="00292F59" w:rsidRDefault="00D90D35" w:rsidP="00292F59">
      <w:pPr>
        <w:pStyle w:val="FootnoteText"/>
      </w:pPr>
      <w:r>
        <w:rPr>
          <w:rStyle w:val="FootnoteReference"/>
        </w:rPr>
        <w:footnoteRef/>
      </w:r>
      <w:r>
        <w:t xml:space="preserve"> </w:t>
      </w:r>
      <w:r>
        <w:rPr>
          <w:i/>
          <w:iCs/>
        </w:rPr>
        <w:t>Id.</w:t>
      </w:r>
      <w:r>
        <w:t xml:space="preserve"> at 1151. </w:t>
      </w:r>
    </w:p>
  </w:footnote>
  <w:footnote w:id="86">
    <w:p w14:paraId="69C3BFCA" w14:textId="553F1303" w:rsidR="00D90D35" w:rsidRPr="00292F59" w:rsidRDefault="00D90D35">
      <w:pPr>
        <w:pStyle w:val="FootnoteText"/>
      </w:pPr>
      <w:r>
        <w:rPr>
          <w:rStyle w:val="FootnoteReference"/>
        </w:rPr>
        <w:footnoteRef/>
      </w:r>
      <w:r>
        <w:t xml:space="preserve"> </w:t>
      </w:r>
      <w:r>
        <w:rPr>
          <w:i/>
          <w:iCs/>
        </w:rPr>
        <w:t>Id.</w:t>
      </w:r>
      <w:r>
        <w:t xml:space="preserve"> at 1150-53</w:t>
      </w:r>
    </w:p>
  </w:footnote>
  <w:footnote w:id="87">
    <w:p w14:paraId="27AE5F9F" w14:textId="52EEBE98" w:rsidR="00D90D35" w:rsidRPr="00D90D35" w:rsidRDefault="00D90D35">
      <w:pPr>
        <w:pStyle w:val="FootnoteText"/>
      </w:pPr>
      <w:r>
        <w:rPr>
          <w:rStyle w:val="FootnoteReference"/>
        </w:rPr>
        <w:footnoteRef/>
      </w:r>
      <w:r>
        <w:t xml:space="preserve"> </w:t>
      </w:r>
      <w:r>
        <w:rPr>
          <w:i/>
          <w:iCs/>
        </w:rPr>
        <w:t>Id.</w:t>
      </w:r>
      <w:r>
        <w:t xml:space="preserve"> at 1153.</w:t>
      </w:r>
    </w:p>
  </w:footnote>
  <w:footnote w:id="88">
    <w:p w14:paraId="4E5905DA" w14:textId="0F1B9039" w:rsidR="00D90D35" w:rsidRPr="003701DE" w:rsidRDefault="00D90D35">
      <w:pPr>
        <w:pStyle w:val="FootnoteText"/>
      </w:pPr>
      <w:r w:rsidRPr="005A669A">
        <w:rPr>
          <w:rStyle w:val="FootnoteReference"/>
        </w:rPr>
        <w:footnoteRef/>
      </w:r>
      <w:r w:rsidRPr="003701DE">
        <w:t xml:space="preserve"> </w:t>
      </w:r>
      <w:r w:rsidRPr="00E676AA">
        <w:t>SRI Int’l, Inc. v. Cisco Sys., Inc., 930 F.3d 1295</w:t>
      </w:r>
      <w:r>
        <w:t>, 1300</w:t>
      </w:r>
      <w:r w:rsidRPr="00E676AA">
        <w:t xml:space="preserve"> (Fed. Cir. 2019)</w:t>
      </w:r>
      <w:r>
        <w:t xml:space="preserve">.  This opinion replaced a prior opinion, </w:t>
      </w:r>
      <w:r w:rsidRPr="003701DE">
        <w:t>SRI Int’l, Inc. v. Cisco Sys., Inc., 918 F.3d 1368</w:t>
      </w:r>
      <w:r>
        <w:t xml:space="preserve"> </w:t>
      </w:r>
      <w:r w:rsidRPr="003701DE">
        <w:t>(Fed. Cir. 2019).</w:t>
      </w:r>
    </w:p>
  </w:footnote>
  <w:footnote w:id="89">
    <w:p w14:paraId="4837EC54" w14:textId="32FA821D" w:rsidR="00D90D35" w:rsidRPr="0058085A" w:rsidRDefault="00D90D35">
      <w:pPr>
        <w:pStyle w:val="FootnoteText"/>
      </w:pPr>
      <w:r w:rsidRPr="005A669A">
        <w:rPr>
          <w:rStyle w:val="FootnoteReference"/>
        </w:rPr>
        <w:footnoteRef/>
      </w:r>
      <w:r>
        <w:t xml:space="preserve"> </w:t>
      </w:r>
      <w:r>
        <w:rPr>
          <w:i/>
        </w:rPr>
        <w:t xml:space="preserve">Id. </w:t>
      </w:r>
      <w:r>
        <w:t>at 1312-13 (Lourie, J., dissenting).</w:t>
      </w:r>
    </w:p>
  </w:footnote>
  <w:footnote w:id="90">
    <w:p w14:paraId="600CBF23" w14:textId="3A68D0D5" w:rsidR="00D90D35" w:rsidRPr="00247997" w:rsidRDefault="00D90D35">
      <w:pPr>
        <w:pStyle w:val="FootnoteText"/>
      </w:pPr>
      <w:r w:rsidRPr="005A669A">
        <w:rPr>
          <w:rStyle w:val="FootnoteReference"/>
        </w:rPr>
        <w:footnoteRef/>
      </w:r>
      <w:r>
        <w:t xml:space="preserve"> </w:t>
      </w:r>
      <w:r>
        <w:rPr>
          <w:i/>
        </w:rPr>
        <w:t xml:space="preserve">Id. </w:t>
      </w:r>
      <w:r>
        <w:t>at 1301.</w:t>
      </w:r>
    </w:p>
  </w:footnote>
  <w:footnote w:id="91">
    <w:p w14:paraId="52CBCB68" w14:textId="1EFB9935" w:rsidR="00D90D35" w:rsidRPr="00A918FC" w:rsidRDefault="00D90D35" w:rsidP="00DF6ABE">
      <w:pPr>
        <w:pStyle w:val="FootnoteText"/>
      </w:pPr>
      <w:r w:rsidRPr="005A669A">
        <w:rPr>
          <w:rStyle w:val="FootnoteReference"/>
        </w:rPr>
        <w:footnoteRef/>
      </w:r>
      <w:r>
        <w:t xml:space="preserve"> </w:t>
      </w:r>
      <w:r>
        <w:rPr>
          <w:i/>
        </w:rPr>
        <w:t xml:space="preserve">Id. </w:t>
      </w:r>
      <w:r>
        <w:t>at 1303.</w:t>
      </w:r>
    </w:p>
  </w:footnote>
  <w:footnote w:id="92">
    <w:p w14:paraId="2B51561E" w14:textId="0B4A4A2E" w:rsidR="00D90D35" w:rsidRPr="00A918FC" w:rsidRDefault="00D90D35">
      <w:pPr>
        <w:pStyle w:val="FootnoteText"/>
      </w:pPr>
      <w:r w:rsidRPr="005A669A">
        <w:rPr>
          <w:rStyle w:val="FootnoteReference"/>
        </w:rPr>
        <w:footnoteRef/>
      </w:r>
      <w:r>
        <w:t xml:space="preserve"> </w:t>
      </w:r>
      <w:r>
        <w:rPr>
          <w:i/>
        </w:rPr>
        <w:t xml:space="preserve">Id. </w:t>
      </w:r>
    </w:p>
  </w:footnote>
  <w:footnote w:id="93">
    <w:p w14:paraId="388E18A0" w14:textId="3C0C74B8" w:rsidR="00D90D35" w:rsidRPr="004E2B86" w:rsidRDefault="00D90D35" w:rsidP="00FA06D2">
      <w:pPr>
        <w:pStyle w:val="FootnoteText"/>
      </w:pPr>
      <w:r w:rsidRPr="005A669A">
        <w:rPr>
          <w:rStyle w:val="FootnoteReference"/>
        </w:rPr>
        <w:footnoteRef/>
      </w:r>
      <w:r>
        <w:t xml:space="preserve"> </w:t>
      </w:r>
      <w:r>
        <w:rPr>
          <w:i/>
        </w:rPr>
        <w:t xml:space="preserve">Id. </w:t>
      </w:r>
    </w:p>
  </w:footnote>
  <w:footnote w:id="94">
    <w:p w14:paraId="648F6CCD" w14:textId="44E67E8D" w:rsidR="00D90D35" w:rsidRPr="004E2B86" w:rsidRDefault="00D90D35" w:rsidP="007A5389">
      <w:pPr>
        <w:pStyle w:val="FootnoteText"/>
      </w:pPr>
      <w:r w:rsidRPr="005A669A">
        <w:rPr>
          <w:rStyle w:val="FootnoteReference"/>
        </w:rPr>
        <w:footnoteRef/>
      </w:r>
      <w:r>
        <w:t xml:space="preserve"> </w:t>
      </w:r>
      <w:r>
        <w:rPr>
          <w:i/>
        </w:rPr>
        <w:t xml:space="preserve">Id. </w:t>
      </w:r>
    </w:p>
  </w:footnote>
  <w:footnote w:id="95">
    <w:p w14:paraId="5251ADBA" w14:textId="463CBF5D" w:rsidR="00D90D35" w:rsidRPr="001C1BE0" w:rsidRDefault="00D90D35">
      <w:pPr>
        <w:pStyle w:val="FootnoteText"/>
      </w:pPr>
      <w:r w:rsidRPr="005A669A">
        <w:rPr>
          <w:rStyle w:val="FootnoteReference"/>
        </w:rPr>
        <w:footnoteRef/>
      </w:r>
      <w:r>
        <w:t xml:space="preserve"> </w:t>
      </w:r>
      <w:r>
        <w:rPr>
          <w:i/>
        </w:rPr>
        <w:t xml:space="preserve">Id. </w:t>
      </w:r>
      <w:r>
        <w:t>at 1303-04.</w:t>
      </w:r>
    </w:p>
  </w:footnote>
  <w:footnote w:id="96">
    <w:p w14:paraId="14289DA2" w14:textId="211F8D9E" w:rsidR="00D90D35" w:rsidRPr="0058085A" w:rsidRDefault="00D90D35" w:rsidP="008F486B">
      <w:pPr>
        <w:pStyle w:val="FootnoteText"/>
      </w:pPr>
      <w:r w:rsidRPr="005A669A">
        <w:rPr>
          <w:rStyle w:val="FootnoteReference"/>
        </w:rPr>
        <w:footnoteRef/>
      </w:r>
      <w:r>
        <w:t xml:space="preserve"> </w:t>
      </w:r>
      <w:r>
        <w:rPr>
          <w:i/>
        </w:rPr>
        <w:t xml:space="preserve">Id. </w:t>
      </w:r>
      <w:r>
        <w:t xml:space="preserve">at 1312-13 (Lourie, J., dissenting) (citing </w:t>
      </w:r>
      <w:r w:rsidRPr="008F486B">
        <w:t>830 F.3d 1350, 1355 (Fed. Cir. 2016)</w:t>
      </w:r>
      <w:r>
        <w:t>).</w:t>
      </w:r>
    </w:p>
  </w:footnote>
  <w:footnote w:id="97">
    <w:p w14:paraId="77B8FEDB" w14:textId="1FB7A7C1" w:rsidR="00D90D35" w:rsidRPr="00042B14" w:rsidRDefault="00D90D35">
      <w:pPr>
        <w:pStyle w:val="FootnoteText"/>
      </w:pPr>
      <w:r w:rsidRPr="005A669A">
        <w:rPr>
          <w:rStyle w:val="FootnoteReference"/>
        </w:rPr>
        <w:footnoteRef/>
      </w:r>
      <w:r>
        <w:t xml:space="preserve"> </w:t>
      </w:r>
      <w:r>
        <w:rPr>
          <w:i/>
        </w:rPr>
        <w:t xml:space="preserve">Id. </w:t>
      </w:r>
      <w:r>
        <w:t>at 1313 (Lourie, J., dissenting).</w:t>
      </w:r>
    </w:p>
  </w:footnote>
  <w:footnote w:id="98">
    <w:p w14:paraId="285B4DFD" w14:textId="324D761D" w:rsidR="00D90D35" w:rsidRPr="00042B14" w:rsidRDefault="00D90D35" w:rsidP="00136A25">
      <w:pPr>
        <w:pStyle w:val="FootnoteText"/>
      </w:pPr>
      <w:r w:rsidRPr="005A669A">
        <w:rPr>
          <w:rStyle w:val="FootnoteReference"/>
        </w:rPr>
        <w:footnoteRef/>
      </w:r>
      <w:r>
        <w:t xml:space="preserve"> </w:t>
      </w:r>
      <w:r>
        <w:rPr>
          <w:i/>
        </w:rPr>
        <w:t xml:space="preserve">Id. </w:t>
      </w:r>
    </w:p>
  </w:footnote>
  <w:footnote w:id="99">
    <w:p w14:paraId="5C5B7262" w14:textId="60B8FD6A" w:rsidR="00D90D35" w:rsidRPr="00042B14" w:rsidRDefault="00D90D35" w:rsidP="004F6A12">
      <w:pPr>
        <w:pStyle w:val="FootnoteText"/>
      </w:pPr>
      <w:r w:rsidRPr="005A669A">
        <w:rPr>
          <w:rStyle w:val="FootnoteReference"/>
        </w:rPr>
        <w:footnoteRef/>
      </w:r>
      <w:r>
        <w:t xml:space="preserve"> </w:t>
      </w:r>
      <w:r>
        <w:rPr>
          <w:i/>
        </w:rPr>
        <w:t xml:space="preserve">Id. </w:t>
      </w:r>
    </w:p>
  </w:footnote>
  <w:footnote w:id="100">
    <w:p w14:paraId="4D5415DD" w14:textId="33DEC544" w:rsidR="00D90D35" w:rsidRPr="00042B14" w:rsidRDefault="00D90D35" w:rsidP="00843483">
      <w:pPr>
        <w:pStyle w:val="FootnoteText"/>
      </w:pPr>
      <w:r w:rsidRPr="005A669A">
        <w:rPr>
          <w:rStyle w:val="FootnoteReference"/>
        </w:rPr>
        <w:footnoteRef/>
      </w:r>
      <w:r>
        <w:t xml:space="preserve"> </w:t>
      </w:r>
      <w:r>
        <w:rPr>
          <w:i/>
        </w:rPr>
        <w:t xml:space="preserve">Id. </w:t>
      </w:r>
    </w:p>
  </w:footnote>
  <w:footnote w:id="101">
    <w:p w14:paraId="2171EBCB" w14:textId="0442A1EA" w:rsidR="00D90D35" w:rsidRPr="00042B14" w:rsidRDefault="00D90D35" w:rsidP="00843483">
      <w:pPr>
        <w:pStyle w:val="FootnoteText"/>
      </w:pPr>
      <w:r w:rsidRPr="005A669A">
        <w:rPr>
          <w:rStyle w:val="FootnoteReference"/>
        </w:rPr>
        <w:footnoteRef/>
      </w:r>
      <w:r>
        <w:t xml:space="preserve"> </w:t>
      </w:r>
      <w:r>
        <w:rPr>
          <w:i/>
        </w:rPr>
        <w:t xml:space="preserve">Id. </w:t>
      </w:r>
    </w:p>
  </w:footnote>
  <w:footnote w:id="102">
    <w:p w14:paraId="251F6495" w14:textId="4B03E970" w:rsidR="00D90D35" w:rsidRDefault="00D90D35">
      <w:pPr>
        <w:pStyle w:val="FootnoteText"/>
      </w:pPr>
      <w:r>
        <w:rPr>
          <w:rStyle w:val="FootnoteReference"/>
        </w:rPr>
        <w:footnoteRef/>
      </w:r>
      <w:r>
        <w:t xml:space="preserve"> SRI Int’l, Inc. v. Cisco Sys., Inc., No. 2017-2223, slip op. at 1-2 (Fed. Cir. July 12, 2019), ECF No. 77 (en banc denial).</w:t>
      </w:r>
    </w:p>
  </w:footnote>
  <w:footnote w:id="103">
    <w:p w14:paraId="4D6B7606" w14:textId="010BD232" w:rsidR="00D90D35" w:rsidRDefault="00D90D35" w:rsidP="00C073FC">
      <w:pPr>
        <w:pStyle w:val="FootnoteText"/>
      </w:pPr>
      <w:r>
        <w:rPr>
          <w:rStyle w:val="FootnoteReference"/>
        </w:rPr>
        <w:footnoteRef/>
      </w:r>
      <w:r>
        <w:t xml:space="preserve"> </w:t>
      </w:r>
      <w:r>
        <w:rPr>
          <w:i/>
        </w:rPr>
        <w:t>Id.</w:t>
      </w:r>
    </w:p>
  </w:footnote>
  <w:footnote w:id="104">
    <w:p w14:paraId="061E58F1" w14:textId="0E8A400E" w:rsidR="00D90D35" w:rsidRDefault="00D90D35">
      <w:pPr>
        <w:pStyle w:val="FootnoteText"/>
      </w:pPr>
      <w:r>
        <w:rPr>
          <w:rStyle w:val="FootnoteReference"/>
        </w:rPr>
        <w:footnoteRef/>
      </w:r>
      <w:r>
        <w:t xml:space="preserve"> </w:t>
      </w:r>
      <w:r>
        <w:rPr>
          <w:i/>
          <w:iCs/>
        </w:rPr>
        <w:t xml:space="preserve">Id. </w:t>
      </w:r>
      <w:r>
        <w:t>at 2.</w:t>
      </w:r>
    </w:p>
  </w:footnote>
  <w:footnote w:id="105">
    <w:p w14:paraId="088A70BB" w14:textId="125E2C7D" w:rsidR="00D90D35" w:rsidRDefault="00D90D35">
      <w:pPr>
        <w:pStyle w:val="FootnoteText"/>
      </w:pPr>
      <w:r>
        <w:rPr>
          <w:rStyle w:val="FootnoteReference"/>
        </w:rPr>
        <w:footnoteRef/>
      </w:r>
      <w:r>
        <w:t xml:space="preserve"> </w:t>
      </w:r>
      <w:r w:rsidRPr="00BB099A">
        <w:t>Cellspin Soft, Inc. v. Fitbit, Inc., 927 F.3d 1306</w:t>
      </w:r>
      <w:r>
        <w:t xml:space="preserve">, 1309, 1315, 1317-18, (Fed. Cir. 2019) (discussing throughout </w:t>
      </w:r>
      <w:r w:rsidRPr="003D4182">
        <w:t>Berkheimer v. HP Inc., 881 F.3d 1360 (Fed. Cir. 2018</w:t>
      </w:r>
      <w:r>
        <w:t>)</w:t>
      </w:r>
      <w:r w:rsidRPr="003D4182">
        <w:t>).</w:t>
      </w:r>
    </w:p>
  </w:footnote>
  <w:footnote w:id="106">
    <w:p w14:paraId="433CFA65" w14:textId="21842002" w:rsidR="00D90D35" w:rsidRPr="00D90826" w:rsidRDefault="00D90D35" w:rsidP="00D90826">
      <w:pPr>
        <w:pStyle w:val="FootnoteText"/>
      </w:pPr>
      <w:r>
        <w:rPr>
          <w:rStyle w:val="FootnoteReference"/>
        </w:rPr>
        <w:footnoteRef/>
      </w:r>
      <w:r>
        <w:t xml:space="preserve"> </w:t>
      </w:r>
      <w:r>
        <w:rPr>
          <w:i/>
          <w:iCs/>
        </w:rPr>
        <w:t xml:space="preserve">Id. </w:t>
      </w:r>
      <w:r>
        <w:t>(citing U.S. Patent No. 8,738,794; U.S. Pat. No. 8,892,752; U.S. Pat. No. 9,258,698; U.S. Pat. No. 9,749,847).</w:t>
      </w:r>
    </w:p>
  </w:footnote>
  <w:footnote w:id="107">
    <w:p w14:paraId="713E676C" w14:textId="1B0C383D" w:rsidR="00D90D35" w:rsidRPr="00EE6137" w:rsidRDefault="00D90D35">
      <w:pPr>
        <w:pStyle w:val="FootnoteText"/>
      </w:pPr>
      <w:r>
        <w:rPr>
          <w:rStyle w:val="FootnoteReference"/>
        </w:rPr>
        <w:footnoteRef/>
      </w:r>
      <w:r>
        <w:t xml:space="preserve"> </w:t>
      </w:r>
      <w:r>
        <w:rPr>
          <w:i/>
          <w:iCs/>
        </w:rPr>
        <w:t xml:space="preserve">Id. </w:t>
      </w:r>
      <w:r>
        <w:t>at 1316.</w:t>
      </w:r>
    </w:p>
  </w:footnote>
  <w:footnote w:id="108">
    <w:p w14:paraId="31BE328E" w14:textId="7F8B0FBB" w:rsidR="00D90D35" w:rsidRPr="006059CD" w:rsidRDefault="00D90D35">
      <w:pPr>
        <w:pStyle w:val="FootnoteText"/>
      </w:pPr>
      <w:r>
        <w:rPr>
          <w:rStyle w:val="FootnoteReference"/>
        </w:rPr>
        <w:footnoteRef/>
      </w:r>
      <w:r>
        <w:t xml:space="preserve"> </w:t>
      </w:r>
      <w:r>
        <w:rPr>
          <w:i/>
          <w:iCs/>
        </w:rPr>
        <w:t xml:space="preserve">Id. </w:t>
      </w:r>
      <w:r>
        <w:t>at 1310-11.</w:t>
      </w:r>
    </w:p>
  </w:footnote>
  <w:footnote w:id="109">
    <w:p w14:paraId="52716173" w14:textId="5D6EC980" w:rsidR="00D90D35" w:rsidRPr="00762ED9" w:rsidRDefault="00D90D35">
      <w:pPr>
        <w:pStyle w:val="FootnoteText"/>
      </w:pPr>
      <w:r>
        <w:rPr>
          <w:rStyle w:val="FootnoteReference"/>
        </w:rPr>
        <w:footnoteRef/>
      </w:r>
      <w:r>
        <w:t xml:space="preserve"> </w:t>
      </w:r>
      <w:r>
        <w:rPr>
          <w:i/>
          <w:iCs/>
        </w:rPr>
        <w:t xml:space="preserve">Id. </w:t>
      </w:r>
      <w:r>
        <w:t>at 1311.</w:t>
      </w:r>
    </w:p>
  </w:footnote>
  <w:footnote w:id="110">
    <w:p w14:paraId="2BBF06A8" w14:textId="04EADAD8" w:rsidR="00D90D35" w:rsidRPr="006F74A2" w:rsidRDefault="00D90D35">
      <w:pPr>
        <w:pStyle w:val="FootnoteText"/>
      </w:pPr>
      <w:r>
        <w:rPr>
          <w:rStyle w:val="FootnoteReference"/>
        </w:rPr>
        <w:footnoteRef/>
      </w:r>
      <w:r>
        <w:t xml:space="preserve"> </w:t>
      </w:r>
      <w:r>
        <w:rPr>
          <w:i/>
          <w:iCs/>
        </w:rPr>
        <w:t xml:space="preserve">Id. </w:t>
      </w:r>
      <w:r>
        <w:t>at 1312.</w:t>
      </w:r>
    </w:p>
  </w:footnote>
  <w:footnote w:id="111">
    <w:p w14:paraId="6FB9F50C" w14:textId="1BA8629C" w:rsidR="00D90D35" w:rsidRPr="003A659A" w:rsidRDefault="00D90D35">
      <w:pPr>
        <w:pStyle w:val="FootnoteText"/>
        <w:rPr>
          <w:iCs/>
        </w:rPr>
      </w:pPr>
      <w:r>
        <w:rPr>
          <w:rStyle w:val="FootnoteReference"/>
        </w:rPr>
        <w:footnoteRef/>
      </w:r>
      <w:r>
        <w:t xml:space="preserve"> </w:t>
      </w:r>
      <w:r>
        <w:rPr>
          <w:i/>
        </w:rPr>
        <w:t xml:space="preserve">Id. </w:t>
      </w:r>
      <w:r>
        <w:rPr>
          <w:iCs/>
        </w:rPr>
        <w:t>at 1311-12.</w:t>
      </w:r>
    </w:p>
  </w:footnote>
  <w:footnote w:id="112">
    <w:p w14:paraId="1B79686C" w14:textId="76FA7001" w:rsidR="00D90D35" w:rsidRPr="00525758" w:rsidRDefault="00D90D35">
      <w:pPr>
        <w:pStyle w:val="FootnoteText"/>
      </w:pPr>
      <w:r>
        <w:rPr>
          <w:rStyle w:val="FootnoteReference"/>
        </w:rPr>
        <w:footnoteRef/>
      </w:r>
      <w:r>
        <w:t xml:space="preserve"> </w:t>
      </w:r>
      <w:r>
        <w:rPr>
          <w:i/>
          <w:iCs/>
        </w:rPr>
        <w:t xml:space="preserve">Id. </w:t>
      </w:r>
      <w:r>
        <w:t>at 1313 (quoting district court,</w:t>
      </w:r>
      <w:r w:rsidRPr="00525758">
        <w:t xml:space="preserve"> Cellspin Soft, Inc. v. Fitbit, Inc., 316 F. Supp. 3d 1138, 11</w:t>
      </w:r>
      <w:r>
        <w:t>50</w:t>
      </w:r>
      <w:r w:rsidRPr="00525758">
        <w:t xml:space="preserve"> (N.D. Cal. 2018)</w:t>
      </w:r>
      <w:r>
        <w:t>).</w:t>
      </w:r>
    </w:p>
  </w:footnote>
  <w:footnote w:id="113">
    <w:p w14:paraId="6D0AA17D" w14:textId="6A9F6D2C" w:rsidR="00D90D35" w:rsidRPr="00E15DBC" w:rsidRDefault="00D90D35">
      <w:pPr>
        <w:pStyle w:val="FootnoteText"/>
      </w:pPr>
      <w:r>
        <w:rPr>
          <w:rStyle w:val="FootnoteReference"/>
        </w:rPr>
        <w:footnoteRef/>
      </w:r>
      <w:r>
        <w:t xml:space="preserve"> </w:t>
      </w:r>
      <w:r>
        <w:rPr>
          <w:i/>
          <w:iCs/>
        </w:rPr>
        <w:t xml:space="preserve">Id. </w:t>
      </w:r>
      <w:r>
        <w:t xml:space="preserve">at 1313 (citing </w:t>
      </w:r>
      <w:r w:rsidRPr="00E15DBC">
        <w:rPr>
          <w:rFonts w:cs="Times New Roman"/>
        </w:rPr>
        <w:t>881 F.3d 1360 (Fed. Cir. 2018)</w:t>
      </w:r>
      <w:r>
        <w:rPr>
          <w:rFonts w:cs="Times New Roman"/>
        </w:rPr>
        <w:t>).</w:t>
      </w:r>
    </w:p>
  </w:footnote>
  <w:footnote w:id="114">
    <w:p w14:paraId="5693FED9" w14:textId="54A80D1D" w:rsidR="00D90D35" w:rsidRPr="009A5366" w:rsidRDefault="00D90D35">
      <w:pPr>
        <w:pStyle w:val="FootnoteText"/>
      </w:pPr>
      <w:r>
        <w:rPr>
          <w:rStyle w:val="FootnoteReference"/>
        </w:rPr>
        <w:footnoteRef/>
      </w:r>
      <w:r>
        <w:t xml:space="preserve"> </w:t>
      </w:r>
      <w:r>
        <w:rPr>
          <w:i/>
          <w:iCs/>
        </w:rPr>
        <w:t xml:space="preserve">Id. </w:t>
      </w:r>
    </w:p>
  </w:footnote>
  <w:footnote w:id="115">
    <w:p w14:paraId="0ACB68BD" w14:textId="41C92DD5" w:rsidR="00D90D35" w:rsidRDefault="00D90D35">
      <w:pPr>
        <w:pStyle w:val="FootnoteText"/>
      </w:pPr>
      <w:r>
        <w:rPr>
          <w:rStyle w:val="FootnoteReference"/>
        </w:rPr>
        <w:footnoteRef/>
      </w:r>
      <w:r>
        <w:t xml:space="preserve"> </w:t>
      </w:r>
      <w:r>
        <w:rPr>
          <w:rFonts w:cs="Times New Roman"/>
        </w:rPr>
        <w:t>The four patents were not directed towards improvements to technology as such, but “</w:t>
      </w:r>
      <w:r w:rsidRPr="00CF2E74">
        <w:rPr>
          <w:rFonts w:cs="Times New Roman"/>
        </w:rPr>
        <w:t>to the idea of capturing and transmitting data from one device to another.</w:t>
      </w:r>
      <w:r>
        <w:rPr>
          <w:rFonts w:cs="Times New Roman"/>
        </w:rPr>
        <w:t xml:space="preserve">” </w:t>
      </w:r>
      <w:r>
        <w:rPr>
          <w:i/>
          <w:iCs/>
        </w:rPr>
        <w:t xml:space="preserve">Id. </w:t>
      </w:r>
      <w:r>
        <w:t>at 1315.</w:t>
      </w:r>
    </w:p>
  </w:footnote>
  <w:footnote w:id="116">
    <w:p w14:paraId="496D76A5" w14:textId="4E0BF36E" w:rsidR="00D90D35" w:rsidRPr="00F6363A" w:rsidRDefault="00D90D35">
      <w:pPr>
        <w:pStyle w:val="FootnoteText"/>
      </w:pPr>
      <w:r>
        <w:rPr>
          <w:rStyle w:val="FootnoteReference"/>
        </w:rPr>
        <w:footnoteRef/>
      </w:r>
      <w:r>
        <w:t xml:space="preserve"> </w:t>
      </w:r>
      <w:r>
        <w:rPr>
          <w:i/>
          <w:iCs/>
        </w:rPr>
        <w:t xml:space="preserve">See id. </w:t>
      </w:r>
    </w:p>
  </w:footnote>
  <w:footnote w:id="117">
    <w:p w14:paraId="057F2B14" w14:textId="2B30785B" w:rsidR="00D90D35" w:rsidRPr="00193017" w:rsidRDefault="00D90D35">
      <w:pPr>
        <w:pStyle w:val="FootnoteText"/>
      </w:pPr>
      <w:r>
        <w:rPr>
          <w:rStyle w:val="FootnoteReference"/>
        </w:rPr>
        <w:footnoteRef/>
      </w:r>
      <w:r>
        <w:t xml:space="preserve"> </w:t>
      </w:r>
      <w:r>
        <w:rPr>
          <w:i/>
          <w:iCs/>
        </w:rPr>
        <w:t xml:space="preserve">Id. </w:t>
      </w:r>
      <w:r>
        <w:t xml:space="preserve">at 1317 (internal citations omitted) (citing </w:t>
      </w:r>
      <w:r w:rsidRPr="00C0170B">
        <w:t>882 F.3d 1121</w:t>
      </w:r>
      <w:r>
        <w:t>, 1128</w:t>
      </w:r>
      <w:r w:rsidRPr="00C0170B">
        <w:t xml:space="preserve"> (Fed. Cir. 2018</w:t>
      </w:r>
      <w:r>
        <w:t>))</w:t>
      </w:r>
      <w:r w:rsidRPr="00C0170B">
        <w:t>.</w:t>
      </w:r>
    </w:p>
  </w:footnote>
  <w:footnote w:id="118">
    <w:p w14:paraId="2E863177" w14:textId="77777777" w:rsidR="00D90D35" w:rsidRPr="0089122C" w:rsidRDefault="00D90D35" w:rsidP="00152248">
      <w:pPr>
        <w:pStyle w:val="FootnoteText"/>
      </w:pPr>
      <w:r>
        <w:rPr>
          <w:rStyle w:val="FootnoteReference"/>
        </w:rPr>
        <w:footnoteRef/>
      </w:r>
      <w:r>
        <w:t xml:space="preserve"> </w:t>
      </w:r>
      <w:r>
        <w:rPr>
          <w:i/>
          <w:iCs/>
        </w:rPr>
        <w:t xml:space="preserve">Id. </w:t>
      </w:r>
      <w:r>
        <w:t>at 1316-17.</w:t>
      </w:r>
    </w:p>
  </w:footnote>
  <w:footnote w:id="119">
    <w:p w14:paraId="05400708" w14:textId="2FD2032A" w:rsidR="00D90D35" w:rsidRPr="00F06027" w:rsidRDefault="00D90D35">
      <w:pPr>
        <w:pStyle w:val="FootnoteText"/>
      </w:pPr>
      <w:r>
        <w:rPr>
          <w:rStyle w:val="FootnoteReference"/>
        </w:rPr>
        <w:footnoteRef/>
      </w:r>
      <w:r>
        <w:t xml:space="preserve"> </w:t>
      </w:r>
      <w:r>
        <w:rPr>
          <w:i/>
          <w:iCs/>
        </w:rPr>
        <w:t xml:space="preserve">Id. </w:t>
      </w:r>
      <w:r>
        <w:t>at 1318.</w:t>
      </w:r>
    </w:p>
  </w:footnote>
  <w:footnote w:id="120">
    <w:p w14:paraId="023AD000" w14:textId="7E0C973F" w:rsidR="00D90D35" w:rsidRPr="00150E15" w:rsidRDefault="00D90D35">
      <w:pPr>
        <w:pStyle w:val="FootnoteText"/>
      </w:pPr>
      <w:r>
        <w:rPr>
          <w:rStyle w:val="FootnoteReference"/>
        </w:rPr>
        <w:footnoteRef/>
      </w:r>
      <w:r>
        <w:t xml:space="preserve"> </w:t>
      </w:r>
      <w:r>
        <w:rPr>
          <w:i/>
          <w:iCs/>
        </w:rPr>
        <w:t xml:space="preserve">Id. </w:t>
      </w:r>
      <w:r>
        <w:t xml:space="preserve">at 1319 (emphasis added).  The court vacated and remanded.  </w:t>
      </w:r>
      <w:r>
        <w:rPr>
          <w:i/>
          <w:iCs/>
        </w:rPr>
        <w:t xml:space="preserve">Id. </w:t>
      </w:r>
      <w:r>
        <w:t>at 1320.</w:t>
      </w:r>
    </w:p>
  </w:footnote>
  <w:footnote w:id="121">
    <w:p w14:paraId="3C426D48" w14:textId="77777777" w:rsidR="00D90D35" w:rsidRDefault="00D90D35" w:rsidP="0033193D">
      <w:pPr>
        <w:pStyle w:val="FootnoteText"/>
      </w:pPr>
      <w:r>
        <w:rPr>
          <w:rStyle w:val="FootnoteReference"/>
        </w:rPr>
        <w:footnoteRef/>
      </w:r>
      <w:r>
        <w:t xml:space="preserve"> MyMail, Ltd. v. ooVoo, LLC, 934 F.3d 1373, 1375 (Fed. Cir. August 16, 2019).</w:t>
      </w:r>
    </w:p>
  </w:footnote>
  <w:footnote w:id="122">
    <w:p w14:paraId="5B67282A" w14:textId="77777777" w:rsidR="00D90D35" w:rsidRPr="00080809" w:rsidRDefault="00D90D35" w:rsidP="0033193D">
      <w:pPr>
        <w:pStyle w:val="FootnoteText"/>
      </w:pPr>
      <w:r>
        <w:rPr>
          <w:rStyle w:val="FootnoteReference"/>
        </w:rPr>
        <w:footnoteRef/>
      </w:r>
      <w:r>
        <w:t xml:space="preserve"> </w:t>
      </w:r>
      <w:r>
        <w:rPr>
          <w:i/>
          <w:iCs/>
        </w:rPr>
        <w:t>Id.</w:t>
      </w:r>
      <w:r>
        <w:t xml:space="preserve"> at 1376 (citing U.S. patent 8,275,863 and 9,021,070).</w:t>
      </w:r>
    </w:p>
  </w:footnote>
  <w:footnote w:id="123">
    <w:p w14:paraId="1F7CB843" w14:textId="77777777" w:rsidR="00D90D35" w:rsidRPr="00080809" w:rsidRDefault="00D90D35" w:rsidP="0033193D">
      <w:pPr>
        <w:pStyle w:val="FootnoteText"/>
      </w:pPr>
      <w:r>
        <w:rPr>
          <w:rStyle w:val="FootnoteReference"/>
        </w:rPr>
        <w:footnoteRef/>
      </w:r>
      <w:r>
        <w:t xml:space="preserve"> </w:t>
      </w:r>
      <w:r>
        <w:rPr>
          <w:i/>
          <w:iCs/>
        </w:rPr>
        <w:t xml:space="preserve">Id. </w:t>
      </w:r>
      <w:r>
        <w:t>at 1378.</w:t>
      </w:r>
    </w:p>
  </w:footnote>
  <w:footnote w:id="124">
    <w:p w14:paraId="0EB5B67D" w14:textId="77777777" w:rsidR="00D90D35" w:rsidRPr="00080809" w:rsidRDefault="00D90D35" w:rsidP="0033193D">
      <w:pPr>
        <w:pStyle w:val="FootnoteText"/>
      </w:pPr>
      <w:r>
        <w:rPr>
          <w:rStyle w:val="FootnoteReference"/>
        </w:rPr>
        <w:footnoteRef/>
      </w:r>
      <w:r>
        <w:rPr>
          <w:i/>
          <w:iCs/>
        </w:rPr>
        <w:t>Id.</w:t>
      </w:r>
    </w:p>
  </w:footnote>
  <w:footnote w:id="125">
    <w:p w14:paraId="6C268C36" w14:textId="77777777" w:rsidR="00D90D35" w:rsidRPr="00080809" w:rsidRDefault="00D90D35" w:rsidP="0033193D">
      <w:pPr>
        <w:pStyle w:val="FootnoteText"/>
      </w:pPr>
      <w:r>
        <w:rPr>
          <w:rStyle w:val="FootnoteReference"/>
        </w:rPr>
        <w:footnoteRef/>
      </w:r>
      <w:r>
        <w:t xml:space="preserve"> </w:t>
      </w:r>
      <w:r>
        <w:rPr>
          <w:i/>
          <w:iCs/>
        </w:rPr>
        <w:t>Id.</w:t>
      </w:r>
    </w:p>
  </w:footnote>
  <w:footnote w:id="126">
    <w:p w14:paraId="1DDDD34E" w14:textId="77777777" w:rsidR="00D90D35" w:rsidRPr="00080809" w:rsidRDefault="00D90D35" w:rsidP="0033193D">
      <w:pPr>
        <w:pStyle w:val="FootnoteText"/>
      </w:pPr>
      <w:r>
        <w:rPr>
          <w:rStyle w:val="FootnoteReference"/>
        </w:rPr>
        <w:footnoteRef/>
      </w:r>
      <w:r>
        <w:t xml:space="preserve"> </w:t>
      </w:r>
      <w:r>
        <w:rPr>
          <w:i/>
          <w:iCs/>
        </w:rPr>
        <w:t xml:space="preserve">Id. </w:t>
      </w:r>
      <w:r>
        <w:t>at 1376.</w:t>
      </w:r>
    </w:p>
  </w:footnote>
  <w:footnote w:id="127">
    <w:p w14:paraId="62000929" w14:textId="77777777" w:rsidR="00D90D35" w:rsidRPr="00080809" w:rsidRDefault="00D90D35" w:rsidP="0033193D">
      <w:pPr>
        <w:pStyle w:val="FootnoteText"/>
      </w:pPr>
      <w:r>
        <w:rPr>
          <w:rStyle w:val="FootnoteReference"/>
        </w:rPr>
        <w:footnoteRef/>
      </w:r>
      <w:r>
        <w:t xml:space="preserve"> </w:t>
      </w:r>
      <w:r>
        <w:rPr>
          <w:i/>
          <w:iCs/>
        </w:rPr>
        <w:t>Id.</w:t>
      </w:r>
      <w:r>
        <w:t xml:space="preserve"> at 1379.</w:t>
      </w:r>
    </w:p>
  </w:footnote>
  <w:footnote w:id="128">
    <w:p w14:paraId="366C6215" w14:textId="77777777" w:rsidR="00D90D35" w:rsidRPr="00080809" w:rsidRDefault="00D90D35" w:rsidP="0033193D">
      <w:pPr>
        <w:pStyle w:val="FootnoteText"/>
      </w:pPr>
      <w:r>
        <w:rPr>
          <w:rStyle w:val="FootnoteReference"/>
        </w:rPr>
        <w:footnoteRef/>
      </w:r>
      <w:r>
        <w:t xml:space="preserve"> </w:t>
      </w:r>
      <w:r>
        <w:rPr>
          <w:i/>
          <w:iCs/>
        </w:rPr>
        <w:t>Id.</w:t>
      </w:r>
      <w:r>
        <w:t xml:space="preserve"> at 1380.</w:t>
      </w:r>
    </w:p>
  </w:footnote>
  <w:footnote w:id="129">
    <w:p w14:paraId="76FB8097" w14:textId="77777777" w:rsidR="00D90D35" w:rsidRPr="00985B4F" w:rsidRDefault="00D90D35" w:rsidP="0033193D">
      <w:pPr>
        <w:pStyle w:val="FootnoteText"/>
        <w:rPr>
          <w:i/>
          <w:iCs/>
        </w:rPr>
      </w:pPr>
      <w:r>
        <w:rPr>
          <w:rStyle w:val="FootnoteReference"/>
        </w:rPr>
        <w:footnoteRef/>
      </w:r>
      <w:r>
        <w:t xml:space="preserve"> </w:t>
      </w:r>
      <w:r>
        <w:rPr>
          <w:i/>
          <w:iCs/>
        </w:rPr>
        <w:t xml:space="preserve">Id. </w:t>
      </w:r>
    </w:p>
  </w:footnote>
  <w:footnote w:id="130">
    <w:p w14:paraId="3F2D2522" w14:textId="1E82FEA1" w:rsidR="00D90D35" w:rsidRPr="007F1307" w:rsidRDefault="00D90D35" w:rsidP="00BC167F">
      <w:pPr>
        <w:rPr>
          <w:rFonts w:cs="Times New Roman"/>
          <w:sz w:val="22"/>
          <w:szCs w:val="22"/>
        </w:rPr>
      </w:pPr>
      <w:r w:rsidRPr="005A669A">
        <w:rPr>
          <w:rStyle w:val="FootnoteReference"/>
        </w:rPr>
        <w:footnoteRef/>
      </w:r>
      <w:r w:rsidRPr="007F1307">
        <w:rPr>
          <w:rFonts w:cs="Times New Roman"/>
          <w:sz w:val="22"/>
          <w:szCs w:val="22"/>
        </w:rPr>
        <w:t xml:space="preserve"> </w:t>
      </w:r>
      <w:r w:rsidRPr="00447625">
        <w:rPr>
          <w:rFonts w:eastAsia="Times New Roman" w:cs="Times New Roman"/>
          <w:color w:val="000000"/>
          <w:sz w:val="22"/>
          <w:szCs w:val="22"/>
        </w:rPr>
        <w:t>Cleveland Clinic Found. v. True Health Diagnostics LLC, No. 2018-1218, 2019 WL 1452697 (Fed. Cir. Apr.</w:t>
      </w:r>
      <w:r>
        <w:rPr>
          <w:rFonts w:eastAsia="Times New Roman" w:cs="Times New Roman"/>
          <w:color w:val="000000"/>
          <w:sz w:val="22"/>
          <w:szCs w:val="22"/>
        </w:rPr>
        <w:t> </w:t>
      </w:r>
      <w:r w:rsidRPr="00447625">
        <w:rPr>
          <w:rFonts w:eastAsia="Times New Roman" w:cs="Times New Roman"/>
          <w:color w:val="000000"/>
          <w:sz w:val="22"/>
          <w:szCs w:val="22"/>
        </w:rPr>
        <w:t>1, 2019)</w:t>
      </w:r>
      <w:r w:rsidRPr="007F1307">
        <w:rPr>
          <w:rFonts w:eastAsia="Times New Roman" w:cs="Times New Roman"/>
          <w:color w:val="000000"/>
          <w:sz w:val="22"/>
          <w:szCs w:val="22"/>
        </w:rPr>
        <w:t>.</w:t>
      </w:r>
    </w:p>
  </w:footnote>
  <w:footnote w:id="131">
    <w:p w14:paraId="2BDD83F3" w14:textId="77777777" w:rsidR="00D90D35" w:rsidRPr="00D60CA3" w:rsidRDefault="00D90D35" w:rsidP="008C10D2">
      <w:pPr>
        <w:pStyle w:val="FootnoteText"/>
      </w:pPr>
      <w:r w:rsidRPr="005A669A">
        <w:rPr>
          <w:rStyle w:val="FootnoteReference"/>
        </w:rPr>
        <w:footnoteRef/>
      </w:r>
      <w:r>
        <w:t xml:space="preserve"> </w:t>
      </w:r>
      <w:r>
        <w:rPr>
          <w:i/>
        </w:rPr>
        <w:t xml:space="preserve">Id. </w:t>
      </w:r>
      <w:r>
        <w:t>at *5-*6 (discussing and rejecting an example hypothetical given in PTO guidance).</w:t>
      </w:r>
    </w:p>
  </w:footnote>
  <w:footnote w:id="132">
    <w:p w14:paraId="6ABE4F40" w14:textId="6F5DBEF4" w:rsidR="00D90D35" w:rsidRPr="00DA52EA" w:rsidRDefault="00D90D35" w:rsidP="00140F3C">
      <w:pPr>
        <w:pStyle w:val="FootnoteText"/>
      </w:pPr>
      <w:r w:rsidRPr="005A669A">
        <w:rPr>
          <w:rStyle w:val="FootnoteReference"/>
        </w:rPr>
        <w:footnoteRef/>
      </w:r>
      <w:r>
        <w:t xml:space="preserve"> </w:t>
      </w:r>
      <w:r>
        <w:rPr>
          <w:i/>
        </w:rPr>
        <w:t xml:space="preserve">Id. </w:t>
      </w:r>
      <w:r>
        <w:t>at *2 (citing Cleveland Clinic Foundation v. True Health Diagnostics LLC, 859 F.3d 1352 (Fed. Cir. 2017), cert. denied, 138 S. Ct. 2621 (2018)).</w:t>
      </w:r>
    </w:p>
  </w:footnote>
  <w:footnote w:id="133">
    <w:p w14:paraId="08512740" w14:textId="557D4C73" w:rsidR="00D90D35" w:rsidRPr="00DA52EA" w:rsidRDefault="00D90D35">
      <w:pPr>
        <w:pStyle w:val="FootnoteText"/>
      </w:pPr>
      <w:r w:rsidRPr="005A669A">
        <w:rPr>
          <w:rStyle w:val="FootnoteReference"/>
        </w:rPr>
        <w:footnoteRef/>
      </w:r>
      <w:r>
        <w:t xml:space="preserve"> </w:t>
      </w:r>
      <w:r>
        <w:rPr>
          <w:i/>
        </w:rPr>
        <w:t xml:space="preserve">Id. </w:t>
      </w:r>
      <w:r>
        <w:t>at *2.</w:t>
      </w:r>
    </w:p>
  </w:footnote>
  <w:footnote w:id="134">
    <w:p w14:paraId="120AB44F" w14:textId="7791153E" w:rsidR="00D90D35" w:rsidRPr="009235AB" w:rsidRDefault="00D90D35">
      <w:pPr>
        <w:pStyle w:val="FootnoteText"/>
      </w:pPr>
      <w:r w:rsidRPr="005A669A">
        <w:rPr>
          <w:rStyle w:val="FootnoteReference"/>
        </w:rPr>
        <w:footnoteRef/>
      </w:r>
      <w:r>
        <w:t xml:space="preserve"> </w:t>
      </w:r>
      <w:r>
        <w:rPr>
          <w:i/>
        </w:rPr>
        <w:t xml:space="preserve">Id. </w:t>
      </w:r>
      <w:r>
        <w:t>at *4.</w:t>
      </w:r>
    </w:p>
  </w:footnote>
  <w:footnote w:id="135">
    <w:p w14:paraId="3597BD3A" w14:textId="196FDC4A" w:rsidR="00D90D35" w:rsidRPr="009235AB" w:rsidRDefault="00D90D35">
      <w:pPr>
        <w:pStyle w:val="FootnoteText"/>
      </w:pPr>
      <w:r w:rsidRPr="005A669A">
        <w:rPr>
          <w:rStyle w:val="FootnoteReference"/>
        </w:rPr>
        <w:footnoteRef/>
      </w:r>
      <w:r>
        <w:t xml:space="preserve"> </w:t>
      </w:r>
      <w:r>
        <w:rPr>
          <w:i/>
        </w:rPr>
        <w:t>Id.</w:t>
      </w:r>
      <w:r>
        <w:t xml:space="preserve"> (quoting </w:t>
      </w:r>
      <w:r w:rsidRPr="009235AB">
        <w:t xml:space="preserve">Cleveland Clinic </w:t>
      </w:r>
      <w:r>
        <w:t>Found.</w:t>
      </w:r>
      <w:r w:rsidRPr="009235AB">
        <w:t xml:space="preserve"> v. True Health Diagnostics, LLC, No. 1:17-cv-00198-LMB-IDD, 2017 WL 3381976 (E.D. Va. Aug. 4, 2017)</w:t>
      </w:r>
      <w:r>
        <w:t>).</w:t>
      </w:r>
    </w:p>
  </w:footnote>
  <w:footnote w:id="136">
    <w:p w14:paraId="63726A3E" w14:textId="5F37DCE5" w:rsidR="00D90D35" w:rsidRPr="00B7545A" w:rsidRDefault="00D90D35" w:rsidP="00EC583F">
      <w:pPr>
        <w:pStyle w:val="FootnoteText"/>
      </w:pPr>
      <w:r w:rsidRPr="005A669A">
        <w:rPr>
          <w:rStyle w:val="FootnoteReference"/>
        </w:rPr>
        <w:footnoteRef/>
      </w:r>
      <w:r>
        <w:t xml:space="preserve"> </w:t>
      </w:r>
      <w:r>
        <w:rPr>
          <w:i/>
        </w:rPr>
        <w:t xml:space="preserve">Id. </w:t>
      </w:r>
      <w:r>
        <w:t>at *4.</w:t>
      </w:r>
    </w:p>
  </w:footnote>
  <w:footnote w:id="137">
    <w:p w14:paraId="5EBF63B2" w14:textId="56759950" w:rsidR="00D90D35" w:rsidRPr="00EC583F" w:rsidRDefault="00D90D35" w:rsidP="00EC583F">
      <w:pPr>
        <w:pStyle w:val="FootnoteText"/>
      </w:pPr>
      <w:r w:rsidRPr="005A669A">
        <w:rPr>
          <w:rStyle w:val="FootnoteReference"/>
        </w:rPr>
        <w:footnoteRef/>
      </w:r>
      <w:r>
        <w:t xml:space="preserve"> </w:t>
      </w:r>
      <w:r>
        <w:rPr>
          <w:i/>
        </w:rPr>
        <w:t xml:space="preserve">Id. </w:t>
      </w:r>
      <w:r>
        <w:t>at *5.</w:t>
      </w:r>
    </w:p>
  </w:footnote>
  <w:footnote w:id="138">
    <w:p w14:paraId="206D1E5F" w14:textId="5F21E4B6" w:rsidR="00D90D35" w:rsidRPr="00EC583F" w:rsidRDefault="00D90D35" w:rsidP="00D60CA3">
      <w:pPr>
        <w:pStyle w:val="FootnoteText"/>
      </w:pPr>
      <w:r w:rsidRPr="005A669A">
        <w:rPr>
          <w:rStyle w:val="FootnoteReference"/>
        </w:rPr>
        <w:footnoteRef/>
      </w:r>
      <w:r>
        <w:t xml:space="preserve"> </w:t>
      </w:r>
      <w:r>
        <w:rPr>
          <w:i/>
        </w:rPr>
        <w:t xml:space="preserve">Id. </w:t>
      </w:r>
    </w:p>
  </w:footnote>
  <w:footnote w:id="139">
    <w:p w14:paraId="1B14227D" w14:textId="3ED65525" w:rsidR="00D90D35" w:rsidRPr="009C646C" w:rsidRDefault="00D90D35">
      <w:pPr>
        <w:pStyle w:val="FootnoteText"/>
      </w:pPr>
      <w:r w:rsidRPr="005A669A">
        <w:rPr>
          <w:rStyle w:val="FootnoteReference"/>
        </w:rPr>
        <w:footnoteRef/>
      </w:r>
      <w:r>
        <w:t xml:space="preserve"> </w:t>
      </w:r>
      <w:r>
        <w:rPr>
          <w:i/>
        </w:rPr>
        <w:t xml:space="preserve">Id. </w:t>
      </w:r>
      <w:r>
        <w:t>at *5-*6 (discussing PTO Example 29 and A</w:t>
      </w:r>
      <w:r w:rsidRPr="00073BF5">
        <w:t>riosa</w:t>
      </w:r>
      <w:r>
        <w:t xml:space="preserve"> </w:t>
      </w:r>
      <w:r w:rsidRPr="00073BF5">
        <w:t>Diagnostics,</w:t>
      </w:r>
      <w:r>
        <w:t xml:space="preserve"> </w:t>
      </w:r>
      <w:r w:rsidRPr="00073BF5">
        <w:t>Inc.</w:t>
      </w:r>
      <w:r>
        <w:t xml:space="preserve"> </w:t>
      </w:r>
      <w:r w:rsidRPr="00073BF5">
        <w:t>v.</w:t>
      </w:r>
      <w:r>
        <w:t xml:space="preserve"> </w:t>
      </w:r>
      <w:r w:rsidRPr="00073BF5">
        <w:t>Sequenom,</w:t>
      </w:r>
      <w:r>
        <w:t xml:space="preserve"> </w:t>
      </w:r>
      <w:r w:rsidRPr="00073BF5">
        <w:t>Inc.,</w:t>
      </w:r>
      <w:r>
        <w:t xml:space="preserve"> </w:t>
      </w:r>
      <w:r w:rsidRPr="00073BF5">
        <w:t>788F.3d1371</w:t>
      </w:r>
      <w:r>
        <w:t xml:space="preserve"> </w:t>
      </w:r>
      <w:r w:rsidRPr="00073BF5">
        <w:t>(Fed. Cir. 2015)).</w:t>
      </w:r>
    </w:p>
  </w:footnote>
  <w:footnote w:id="140">
    <w:p w14:paraId="24640866" w14:textId="0FDC2901" w:rsidR="00D90D35" w:rsidRPr="009C646C" w:rsidRDefault="00D90D35" w:rsidP="00CF565A">
      <w:pPr>
        <w:pStyle w:val="FootnoteText"/>
      </w:pPr>
      <w:r w:rsidRPr="005A669A">
        <w:rPr>
          <w:rStyle w:val="FootnoteReference"/>
        </w:rPr>
        <w:footnoteRef/>
      </w:r>
      <w:r>
        <w:t xml:space="preserve"> </w:t>
      </w:r>
      <w:r>
        <w:rPr>
          <w:i/>
        </w:rPr>
        <w:t>Id.</w:t>
      </w:r>
    </w:p>
  </w:footnote>
  <w:footnote w:id="141">
    <w:p w14:paraId="3FAEADFF" w14:textId="1DA05C41" w:rsidR="00D90D35" w:rsidRPr="000B533C" w:rsidRDefault="00D90D35">
      <w:pPr>
        <w:pStyle w:val="FootnoteText"/>
      </w:pPr>
      <w:r w:rsidRPr="005A669A">
        <w:rPr>
          <w:rStyle w:val="FootnoteReference"/>
        </w:rPr>
        <w:footnoteRef/>
      </w:r>
      <w:r w:rsidRPr="000B533C">
        <w:t xml:space="preserve"> Athena Diagnostics, Inc. v. Mayo Collaborative Servs., LLC, 915</w:t>
      </w:r>
      <w:r>
        <w:t xml:space="preserve"> F.3d 743, 746 (Fed. Cir. 2019), </w:t>
      </w:r>
      <w:r>
        <w:rPr>
          <w:i/>
        </w:rPr>
        <w:t>reh’g and reh’g en banc denied</w:t>
      </w:r>
      <w:r>
        <w:t>, 927 F.3d 1333 (Fed. Cir. 2019).</w:t>
      </w:r>
    </w:p>
  </w:footnote>
  <w:footnote w:id="142">
    <w:p w14:paraId="09741D60" w14:textId="3E4D65BA" w:rsidR="00D90D35" w:rsidRPr="00787ABA" w:rsidRDefault="00D90D35">
      <w:pPr>
        <w:pStyle w:val="FootnoteText"/>
      </w:pPr>
      <w:r w:rsidRPr="005A669A">
        <w:rPr>
          <w:rStyle w:val="FootnoteReference"/>
        </w:rPr>
        <w:footnoteRef/>
      </w:r>
      <w:r>
        <w:t xml:space="preserve"> </w:t>
      </w:r>
      <w:r>
        <w:rPr>
          <w:i/>
        </w:rPr>
        <w:t xml:space="preserve">Id. </w:t>
      </w:r>
      <w:r>
        <w:t>at 757-64 (Newman, J., dissenting).</w:t>
      </w:r>
    </w:p>
  </w:footnote>
  <w:footnote w:id="143">
    <w:p w14:paraId="6ABF5782" w14:textId="3576146B" w:rsidR="00D90D35" w:rsidRDefault="00D90D35">
      <w:pPr>
        <w:pStyle w:val="FootnoteText"/>
      </w:pPr>
      <w:r>
        <w:rPr>
          <w:rStyle w:val="FootnoteReference"/>
        </w:rPr>
        <w:footnoteRef/>
      </w:r>
      <w:r>
        <w:t xml:space="preserve"> 927 F.3d at 1335-73.</w:t>
      </w:r>
    </w:p>
  </w:footnote>
  <w:footnote w:id="144">
    <w:p w14:paraId="68AEA2A2" w14:textId="6866F3A9" w:rsidR="00D90D35" w:rsidRPr="00787ABA" w:rsidRDefault="00D90D35" w:rsidP="00DF77FF">
      <w:pPr>
        <w:pStyle w:val="FootnoteText"/>
      </w:pPr>
      <w:r w:rsidRPr="005A669A">
        <w:rPr>
          <w:rStyle w:val="FootnoteReference"/>
        </w:rPr>
        <w:footnoteRef/>
      </w:r>
      <w:r>
        <w:t xml:space="preserve"> </w:t>
      </w:r>
      <w:r w:rsidRPr="000B533C">
        <w:t>915</w:t>
      </w:r>
      <w:r>
        <w:t xml:space="preserve"> F.3d</w:t>
      </w:r>
      <w:r>
        <w:rPr>
          <w:i/>
        </w:rPr>
        <w:t xml:space="preserve">. </w:t>
      </w:r>
      <w:r>
        <w:t>at 746-47.</w:t>
      </w:r>
    </w:p>
  </w:footnote>
  <w:footnote w:id="145">
    <w:p w14:paraId="54E63E36" w14:textId="56074EEF" w:rsidR="00D90D35" w:rsidRPr="00787ABA" w:rsidRDefault="00D90D35" w:rsidP="00DF77FF">
      <w:pPr>
        <w:pStyle w:val="FootnoteText"/>
      </w:pPr>
      <w:r w:rsidRPr="005A669A">
        <w:rPr>
          <w:rStyle w:val="FootnoteReference"/>
        </w:rPr>
        <w:footnoteRef/>
      </w:r>
      <w:r>
        <w:t xml:space="preserve"> </w:t>
      </w:r>
      <w:r>
        <w:rPr>
          <w:i/>
        </w:rPr>
        <w:t xml:space="preserve">Id. </w:t>
      </w:r>
      <w:r>
        <w:t>at 747.</w:t>
      </w:r>
    </w:p>
  </w:footnote>
  <w:footnote w:id="146">
    <w:p w14:paraId="3F7B6062" w14:textId="29CFFA0D" w:rsidR="00D90D35" w:rsidRPr="00BF6D81" w:rsidRDefault="00D90D35">
      <w:pPr>
        <w:pStyle w:val="FootnoteText"/>
      </w:pPr>
      <w:r w:rsidRPr="005A669A">
        <w:rPr>
          <w:rStyle w:val="FootnoteReference"/>
        </w:rPr>
        <w:footnoteRef/>
      </w:r>
      <w:r>
        <w:t xml:space="preserve"> </w:t>
      </w:r>
      <w:r>
        <w:rPr>
          <w:i/>
        </w:rPr>
        <w:t xml:space="preserve">Id. </w:t>
      </w:r>
    </w:p>
  </w:footnote>
  <w:footnote w:id="147">
    <w:p w14:paraId="49502772" w14:textId="6C44D7F9" w:rsidR="00D90D35" w:rsidRPr="00C65088" w:rsidRDefault="00D90D35">
      <w:pPr>
        <w:pStyle w:val="FootnoteText"/>
      </w:pPr>
      <w:r w:rsidRPr="005A669A">
        <w:rPr>
          <w:rStyle w:val="FootnoteReference"/>
        </w:rPr>
        <w:footnoteRef/>
      </w:r>
      <w:r>
        <w:t xml:space="preserve"> </w:t>
      </w:r>
      <w:r>
        <w:rPr>
          <w:i/>
        </w:rPr>
        <w:t xml:space="preserve">Id. </w:t>
      </w:r>
      <w:r>
        <w:t>at 748.</w:t>
      </w:r>
    </w:p>
  </w:footnote>
  <w:footnote w:id="148">
    <w:p w14:paraId="59209A20" w14:textId="42229C92" w:rsidR="00D90D35" w:rsidRPr="00FC1321" w:rsidRDefault="00D90D35">
      <w:pPr>
        <w:pStyle w:val="FootnoteText"/>
      </w:pPr>
      <w:r w:rsidRPr="005A669A">
        <w:rPr>
          <w:rStyle w:val="FootnoteReference"/>
        </w:rPr>
        <w:footnoteRef/>
      </w:r>
      <w:r>
        <w:t xml:space="preserve"> </w:t>
      </w:r>
      <w:r>
        <w:rPr>
          <w:i/>
        </w:rPr>
        <w:t xml:space="preserve">Id. </w:t>
      </w:r>
      <w:r>
        <w:t>at 749.</w:t>
      </w:r>
    </w:p>
  </w:footnote>
  <w:footnote w:id="149">
    <w:p w14:paraId="38C99FCD" w14:textId="77777777" w:rsidR="00D90D35" w:rsidRPr="000B533C" w:rsidRDefault="00D90D35" w:rsidP="00DE39B8">
      <w:pPr>
        <w:pStyle w:val="FootnoteText"/>
      </w:pPr>
      <w:r w:rsidRPr="005A669A">
        <w:rPr>
          <w:rStyle w:val="FootnoteReference"/>
        </w:rPr>
        <w:footnoteRef/>
      </w:r>
      <w:r>
        <w:t xml:space="preserve"> </w:t>
      </w:r>
      <w:r>
        <w:rPr>
          <w:i/>
        </w:rPr>
        <w:t xml:space="preserve">Id. </w:t>
      </w:r>
      <w:r>
        <w:t xml:space="preserve">at 751-52 (citing </w:t>
      </w:r>
      <w:r w:rsidRPr="000B533C">
        <w:t xml:space="preserve">Rapid Litig. Mgmt. Ltd. v. CellzDirect, Inc., 827 F.3d 1042, </w:t>
      </w:r>
      <w:r>
        <w:t>1048</w:t>
      </w:r>
      <w:r w:rsidRPr="000B533C">
        <w:t xml:space="preserve"> (Fed. Cir. 2016)</w:t>
      </w:r>
      <w:r>
        <w:t>).</w:t>
      </w:r>
    </w:p>
  </w:footnote>
  <w:footnote w:id="150">
    <w:p w14:paraId="6FCA2992" w14:textId="77777777" w:rsidR="00D90D35" w:rsidRDefault="00D90D35" w:rsidP="002013E0">
      <w:pPr>
        <w:pStyle w:val="FootnoteText"/>
      </w:pPr>
      <w:r w:rsidRPr="005A669A">
        <w:rPr>
          <w:rStyle w:val="FootnoteReference"/>
        </w:rPr>
        <w:footnoteRef/>
      </w:r>
      <w:r>
        <w:t xml:space="preserve"> </w:t>
      </w:r>
      <w:r>
        <w:rPr>
          <w:i/>
        </w:rPr>
        <w:t xml:space="preserve">Id. </w:t>
      </w:r>
      <w:r>
        <w:t>at 752 (citing Cleveland Clinic Found. v. True Health Diagnostics LLC, 859 F.3d</w:t>
      </w:r>
    </w:p>
    <w:p w14:paraId="133C2AE6" w14:textId="54E855FE" w:rsidR="00D90D35" w:rsidRPr="002013E0" w:rsidRDefault="00D90D35" w:rsidP="002013E0">
      <w:pPr>
        <w:pStyle w:val="FootnoteText"/>
      </w:pPr>
      <w:r>
        <w:t>1352, 1361 (Fed. Cir. 2017)).</w:t>
      </w:r>
    </w:p>
  </w:footnote>
  <w:footnote w:id="151">
    <w:p w14:paraId="472119BE" w14:textId="1FFC0E17" w:rsidR="00D90D35" w:rsidRPr="008D040D" w:rsidRDefault="00D90D35" w:rsidP="009018F6">
      <w:pPr>
        <w:pStyle w:val="FootnoteText"/>
      </w:pPr>
      <w:r w:rsidRPr="005A669A">
        <w:rPr>
          <w:rStyle w:val="FootnoteReference"/>
        </w:rPr>
        <w:footnoteRef/>
      </w:r>
      <w:r>
        <w:t xml:space="preserve"> </w:t>
      </w:r>
      <w:r>
        <w:rPr>
          <w:i/>
        </w:rPr>
        <w:t xml:space="preserve">Id. </w:t>
      </w:r>
      <w:r>
        <w:t>at 752.</w:t>
      </w:r>
    </w:p>
  </w:footnote>
  <w:footnote w:id="152">
    <w:p w14:paraId="44BE9FB6" w14:textId="15E274EE" w:rsidR="00D90D35" w:rsidRPr="008D040D" w:rsidRDefault="00D90D35">
      <w:pPr>
        <w:pStyle w:val="FootnoteText"/>
      </w:pPr>
      <w:r w:rsidRPr="005A669A">
        <w:rPr>
          <w:rStyle w:val="FootnoteReference"/>
        </w:rPr>
        <w:footnoteRef/>
      </w:r>
      <w:r>
        <w:t xml:space="preserve"> </w:t>
      </w:r>
      <w:r>
        <w:rPr>
          <w:i/>
        </w:rPr>
        <w:t xml:space="preserve">Id. </w:t>
      </w:r>
      <w:r>
        <w:t xml:space="preserve">(citing </w:t>
      </w:r>
      <w:r w:rsidRPr="008D040D">
        <w:t xml:space="preserve">Parker v. Flook, 437 U.S. 584, </w:t>
      </w:r>
      <w:r>
        <w:t>71-72 [sic]</w:t>
      </w:r>
      <w:r w:rsidRPr="008D040D">
        <w:t xml:space="preserve"> (1978)</w:t>
      </w:r>
      <w:r>
        <w:t>).</w:t>
      </w:r>
    </w:p>
  </w:footnote>
  <w:footnote w:id="153">
    <w:p w14:paraId="00A281BE" w14:textId="5D44DB39" w:rsidR="00D90D35" w:rsidRPr="00690573" w:rsidRDefault="00D90D35" w:rsidP="00690573">
      <w:pPr>
        <w:pStyle w:val="FootnoteText"/>
      </w:pPr>
      <w:r w:rsidRPr="005A669A">
        <w:rPr>
          <w:rStyle w:val="FootnoteReference"/>
        </w:rPr>
        <w:footnoteRef/>
      </w:r>
      <w:r>
        <w:t xml:space="preserve"> </w:t>
      </w:r>
      <w:r>
        <w:rPr>
          <w:i/>
        </w:rPr>
        <w:t xml:space="preserve">Id. </w:t>
      </w:r>
      <w:r>
        <w:t>at 752 (citing Mayo Collaborative Servs. v. Prometheus Labs., Inc., 566 U.S. 66, 74-75 (2012)).</w:t>
      </w:r>
    </w:p>
  </w:footnote>
  <w:footnote w:id="154">
    <w:p w14:paraId="3D1BB285" w14:textId="057EF0FD" w:rsidR="00D90D35" w:rsidRPr="002826BA" w:rsidRDefault="00D90D35">
      <w:pPr>
        <w:pStyle w:val="FootnoteText"/>
      </w:pPr>
      <w:r w:rsidRPr="005A669A">
        <w:rPr>
          <w:rStyle w:val="FootnoteReference"/>
        </w:rPr>
        <w:footnoteRef/>
      </w:r>
      <w:r>
        <w:t xml:space="preserve"> </w:t>
      </w:r>
      <w:r>
        <w:rPr>
          <w:i/>
        </w:rPr>
        <w:t xml:space="preserve">Id. </w:t>
      </w:r>
      <w:r>
        <w:t>at 753.</w:t>
      </w:r>
    </w:p>
  </w:footnote>
  <w:footnote w:id="155">
    <w:p w14:paraId="0D0F8BB4" w14:textId="0187B8E1" w:rsidR="00D90D35" w:rsidRPr="00C5443E" w:rsidRDefault="00D90D35">
      <w:pPr>
        <w:pStyle w:val="FootnoteText"/>
      </w:pPr>
      <w:r w:rsidRPr="005A669A">
        <w:rPr>
          <w:rStyle w:val="FootnoteReference"/>
        </w:rPr>
        <w:footnoteRef/>
      </w:r>
      <w:r>
        <w:t xml:space="preserve"> </w:t>
      </w:r>
      <w:r>
        <w:rPr>
          <w:i/>
        </w:rPr>
        <w:t xml:space="preserve">Id. </w:t>
      </w:r>
      <w:r>
        <w:t>at 754.</w:t>
      </w:r>
    </w:p>
  </w:footnote>
  <w:footnote w:id="156">
    <w:p w14:paraId="206DEAF8" w14:textId="118CC626" w:rsidR="00D90D35" w:rsidRPr="00BF6ABA" w:rsidRDefault="00D90D35">
      <w:pPr>
        <w:pStyle w:val="FootnoteText"/>
      </w:pPr>
      <w:r w:rsidRPr="005A669A">
        <w:rPr>
          <w:rStyle w:val="FootnoteReference"/>
        </w:rPr>
        <w:footnoteRef/>
      </w:r>
      <w:r>
        <w:t xml:space="preserve"> </w:t>
      </w:r>
      <w:r>
        <w:rPr>
          <w:i/>
        </w:rPr>
        <w:t xml:space="preserve">Id. </w:t>
      </w:r>
      <w:r>
        <w:t>at 756-57.</w:t>
      </w:r>
    </w:p>
  </w:footnote>
  <w:footnote w:id="157">
    <w:p w14:paraId="439CFC11" w14:textId="1E9293AA" w:rsidR="00D90D35" w:rsidRPr="006B0DB7" w:rsidRDefault="00D90D35">
      <w:pPr>
        <w:pStyle w:val="FootnoteText"/>
      </w:pPr>
      <w:r w:rsidRPr="005A669A">
        <w:rPr>
          <w:rStyle w:val="FootnoteReference"/>
        </w:rPr>
        <w:footnoteRef/>
      </w:r>
      <w:r>
        <w:t xml:space="preserve"> </w:t>
      </w:r>
      <w:r>
        <w:rPr>
          <w:i/>
        </w:rPr>
        <w:t>Id</w:t>
      </w:r>
      <w:r>
        <w:t>.</w:t>
      </w:r>
    </w:p>
  </w:footnote>
  <w:footnote w:id="158">
    <w:p w14:paraId="4847B268" w14:textId="77777777" w:rsidR="00D90D35" w:rsidRPr="00787ABA" w:rsidRDefault="00D90D35" w:rsidP="006B0DB7">
      <w:pPr>
        <w:pStyle w:val="FootnoteText"/>
      </w:pPr>
      <w:r w:rsidRPr="005A669A">
        <w:rPr>
          <w:rStyle w:val="FootnoteReference"/>
        </w:rPr>
        <w:footnoteRef/>
      </w:r>
      <w:r>
        <w:t xml:space="preserve"> </w:t>
      </w:r>
      <w:r>
        <w:rPr>
          <w:i/>
        </w:rPr>
        <w:t xml:space="preserve">Id. </w:t>
      </w:r>
      <w:r>
        <w:t>at 757-64 (Newman, J., dissenting).</w:t>
      </w:r>
    </w:p>
  </w:footnote>
  <w:footnote w:id="159">
    <w:p w14:paraId="16E4D436" w14:textId="58753B27" w:rsidR="00D90D35" w:rsidRPr="00787ABA" w:rsidRDefault="00D90D35" w:rsidP="00F464D5">
      <w:pPr>
        <w:pStyle w:val="FootnoteText"/>
      </w:pPr>
      <w:r w:rsidRPr="005A669A">
        <w:rPr>
          <w:rStyle w:val="FootnoteReference"/>
        </w:rPr>
        <w:footnoteRef/>
      </w:r>
      <w:r>
        <w:t xml:space="preserve"> </w:t>
      </w:r>
      <w:r>
        <w:rPr>
          <w:i/>
        </w:rPr>
        <w:t xml:space="preserve">Id. </w:t>
      </w:r>
      <w:r>
        <w:t>at 759 (Newman, J., dissenting).</w:t>
      </w:r>
    </w:p>
  </w:footnote>
  <w:footnote w:id="160">
    <w:p w14:paraId="4A802FBA" w14:textId="5192755D" w:rsidR="00D90D35" w:rsidRPr="00D9522B" w:rsidRDefault="00D90D35">
      <w:pPr>
        <w:pStyle w:val="FootnoteText"/>
      </w:pPr>
      <w:r w:rsidRPr="005A669A">
        <w:rPr>
          <w:rStyle w:val="FootnoteReference"/>
        </w:rPr>
        <w:footnoteRef/>
      </w:r>
      <w:r>
        <w:t xml:space="preserve"> </w:t>
      </w:r>
      <w:r>
        <w:rPr>
          <w:i/>
        </w:rPr>
        <w:t xml:space="preserve">Id. </w:t>
      </w:r>
      <w:r>
        <w:t>at 762 (Newman, J., dissenting).</w:t>
      </w:r>
    </w:p>
  </w:footnote>
  <w:footnote w:id="161">
    <w:p w14:paraId="29955CAC" w14:textId="0133E077" w:rsidR="00D90D35" w:rsidRPr="00CB09B6" w:rsidRDefault="00D90D35">
      <w:pPr>
        <w:pStyle w:val="FootnoteText"/>
      </w:pPr>
      <w:r w:rsidRPr="005A669A">
        <w:rPr>
          <w:rStyle w:val="FootnoteReference"/>
        </w:rPr>
        <w:footnoteRef/>
      </w:r>
      <w:r>
        <w:t xml:space="preserve"> </w:t>
      </w:r>
      <w:r>
        <w:rPr>
          <w:i/>
        </w:rPr>
        <w:t xml:space="preserve">Id. </w:t>
      </w:r>
      <w:r>
        <w:t>at 762-64 (Newman, J., dissenting).</w:t>
      </w:r>
    </w:p>
  </w:footnote>
  <w:footnote w:id="162">
    <w:p w14:paraId="520541DA" w14:textId="73FB05E3" w:rsidR="00D90D35" w:rsidRPr="00CA6E0D" w:rsidRDefault="00D90D35">
      <w:pPr>
        <w:pStyle w:val="FootnoteText"/>
      </w:pPr>
      <w:r>
        <w:rPr>
          <w:rStyle w:val="FootnoteReference"/>
        </w:rPr>
        <w:footnoteRef/>
      </w:r>
      <w:r>
        <w:t xml:space="preserve"> 927 F.3d at 1335.</w:t>
      </w:r>
    </w:p>
  </w:footnote>
  <w:footnote w:id="163">
    <w:p w14:paraId="1C042FAA" w14:textId="02257CF2" w:rsidR="00D90D35" w:rsidRPr="00782FA9" w:rsidRDefault="00D90D35">
      <w:pPr>
        <w:pStyle w:val="FootnoteText"/>
      </w:pPr>
      <w:r>
        <w:rPr>
          <w:rStyle w:val="FootnoteReference"/>
        </w:rPr>
        <w:footnoteRef/>
      </w:r>
      <w:r>
        <w:t xml:space="preserve"> </w:t>
      </w:r>
      <w:r>
        <w:rPr>
          <w:i/>
        </w:rPr>
        <w:t xml:space="preserve">Id. </w:t>
      </w:r>
      <w:r>
        <w:t>at 1334-35.</w:t>
      </w:r>
    </w:p>
  </w:footnote>
  <w:footnote w:id="164">
    <w:p w14:paraId="50802BDF" w14:textId="67C56319" w:rsidR="00D90D35" w:rsidRPr="000E7F9D" w:rsidRDefault="00D90D35">
      <w:pPr>
        <w:pStyle w:val="FootnoteText"/>
      </w:pPr>
      <w:r>
        <w:rPr>
          <w:rStyle w:val="FootnoteReference"/>
        </w:rPr>
        <w:footnoteRef/>
      </w:r>
      <w:r>
        <w:t xml:space="preserve"> </w:t>
      </w:r>
      <w:r>
        <w:rPr>
          <w:i/>
        </w:rPr>
        <w:t xml:space="preserve">Id. </w:t>
      </w:r>
      <w:r>
        <w:t>at 1335 (</w:t>
      </w:r>
      <w:r w:rsidRPr="000E7F9D">
        <w:t>Lourie, J., with Reyna and Chen, JJ</w:t>
      </w:r>
      <w:r>
        <w:t>, concurring in denial of petition for rehearing and rehearing en banc).</w:t>
      </w:r>
    </w:p>
  </w:footnote>
  <w:footnote w:id="165">
    <w:p w14:paraId="3BC115B2" w14:textId="09C634E2" w:rsidR="00D90D35" w:rsidRPr="0067073B" w:rsidRDefault="00D90D35" w:rsidP="0067073B">
      <w:pPr>
        <w:pStyle w:val="FootnoteText"/>
      </w:pPr>
      <w:r>
        <w:rPr>
          <w:rStyle w:val="FootnoteReference"/>
        </w:rPr>
        <w:footnoteRef/>
      </w:r>
      <w:r>
        <w:t xml:space="preserve"> </w:t>
      </w:r>
      <w:r>
        <w:rPr>
          <w:i/>
        </w:rPr>
        <w:t xml:space="preserve">Id. </w:t>
      </w:r>
      <w:r>
        <w:t xml:space="preserve">at 1336 (citing Cleveland Clinic Found. v. True Health Diagnostics LLC, 859 F.3d 1352, 1363 (Fed. Cir. 2017), </w:t>
      </w:r>
      <w:r w:rsidRPr="0067073B">
        <w:rPr>
          <w:i/>
        </w:rPr>
        <w:t>cert. denied</w:t>
      </w:r>
      <w:r>
        <w:t xml:space="preserve">, 138 S. Ct. 2621 (2018);  Ariosa Diagnostics, Inc. v. Sequenom, Inc., 788 F.3d 1371, 1378 (Fed. Cir. 2015), </w:t>
      </w:r>
      <w:r w:rsidRPr="0067073B">
        <w:rPr>
          <w:i/>
        </w:rPr>
        <w:t>cert. denied</w:t>
      </w:r>
      <w:r>
        <w:t>, 136 S. Ct. 2511 (2016)).</w:t>
      </w:r>
    </w:p>
  </w:footnote>
  <w:footnote w:id="166">
    <w:p w14:paraId="7DA898A5" w14:textId="3A976288" w:rsidR="00D90D35" w:rsidRPr="00CF60F4" w:rsidRDefault="00D90D35" w:rsidP="00CF60F4">
      <w:pPr>
        <w:pStyle w:val="FootnoteText"/>
      </w:pPr>
      <w:r>
        <w:rPr>
          <w:rStyle w:val="FootnoteReference"/>
        </w:rPr>
        <w:footnoteRef/>
      </w:r>
      <w:r>
        <w:t xml:space="preserve"> </w:t>
      </w:r>
      <w:r>
        <w:rPr>
          <w:i/>
        </w:rPr>
        <w:t xml:space="preserve">Id. </w:t>
      </w:r>
      <w:r>
        <w:t>(citing Vanda Pharm. Inc. v. West-Ward Pharm. Int’l Ltd., 887 F.3d 1117, 1136 (Fed. Cir. 2018)).</w:t>
      </w:r>
    </w:p>
  </w:footnote>
  <w:footnote w:id="167">
    <w:p w14:paraId="570EDB29" w14:textId="4D3CF836" w:rsidR="00D90D35" w:rsidRPr="00D73A9D" w:rsidRDefault="00D90D35" w:rsidP="00D73A9D">
      <w:pPr>
        <w:pStyle w:val="FootnoteText"/>
      </w:pPr>
      <w:r>
        <w:rPr>
          <w:rStyle w:val="FootnoteReference"/>
        </w:rPr>
        <w:footnoteRef/>
      </w:r>
      <w:r>
        <w:t xml:space="preserve"> </w:t>
      </w:r>
      <w:r>
        <w:rPr>
          <w:i/>
        </w:rPr>
        <w:t xml:space="preserve">Id. </w:t>
      </w:r>
      <w:r>
        <w:t>(citing Rapid Litig. Mgmt. Ltd. v. CellzDirect, Inc., 827 F.3d 1042, 1051 (Fed. Cir. 2016).</w:t>
      </w:r>
    </w:p>
  </w:footnote>
  <w:footnote w:id="168">
    <w:p w14:paraId="6949248C" w14:textId="26DC27AB" w:rsidR="00D90D35" w:rsidRPr="00133154" w:rsidRDefault="00D90D35">
      <w:pPr>
        <w:pStyle w:val="FootnoteText"/>
        <w:rPr>
          <w:i/>
        </w:rPr>
      </w:pPr>
      <w:r>
        <w:rPr>
          <w:rStyle w:val="FootnoteReference"/>
        </w:rPr>
        <w:footnoteRef/>
      </w:r>
      <w:r>
        <w:t xml:space="preserve"> </w:t>
      </w:r>
      <w:r>
        <w:rPr>
          <w:i/>
        </w:rPr>
        <w:t xml:space="preserve">Id. </w:t>
      </w:r>
    </w:p>
  </w:footnote>
  <w:footnote w:id="169">
    <w:p w14:paraId="1096D319" w14:textId="1A7799AA" w:rsidR="00D90D35" w:rsidRPr="00AD531E" w:rsidRDefault="00D90D35" w:rsidP="005E5A86">
      <w:pPr>
        <w:pStyle w:val="FootnoteText"/>
      </w:pPr>
      <w:r>
        <w:rPr>
          <w:rStyle w:val="FootnoteReference"/>
        </w:rPr>
        <w:footnoteRef/>
      </w:r>
      <w:r>
        <w:t xml:space="preserve"> </w:t>
      </w:r>
      <w:r>
        <w:rPr>
          <w:i/>
        </w:rPr>
        <w:t xml:space="preserve">Id. </w:t>
      </w:r>
      <w:r>
        <w:t>at 1337 (</w:t>
      </w:r>
      <w:r w:rsidRPr="00AD531E">
        <w:t>Hughes, J., with Prost, C.J., and Taranto, J</w:t>
      </w:r>
      <w:r>
        <w:t>, concurring in denial of petition for rehearing en banc).</w:t>
      </w:r>
    </w:p>
  </w:footnote>
  <w:footnote w:id="170">
    <w:p w14:paraId="5013B5B8" w14:textId="16591B07" w:rsidR="00D90D35" w:rsidRPr="005862DF" w:rsidRDefault="00D90D35" w:rsidP="00AD531E">
      <w:pPr>
        <w:pStyle w:val="FootnoteText"/>
      </w:pPr>
      <w:r>
        <w:rPr>
          <w:rStyle w:val="FootnoteReference"/>
        </w:rPr>
        <w:footnoteRef/>
      </w:r>
      <w:r>
        <w:t xml:space="preserve"> </w:t>
      </w:r>
      <w:r>
        <w:rPr>
          <w:i/>
        </w:rPr>
        <w:t xml:space="preserve">Id. </w:t>
      </w:r>
    </w:p>
  </w:footnote>
  <w:footnote w:id="171">
    <w:p w14:paraId="6B7CAFE3" w14:textId="120562C4" w:rsidR="00D90D35" w:rsidRPr="0035505C" w:rsidRDefault="00D90D35" w:rsidP="006A12B5">
      <w:pPr>
        <w:pStyle w:val="FootnoteText"/>
      </w:pPr>
      <w:r>
        <w:rPr>
          <w:rStyle w:val="FootnoteReference"/>
        </w:rPr>
        <w:footnoteRef/>
      </w:r>
      <w:r>
        <w:t xml:space="preserve"> </w:t>
      </w:r>
      <w:r>
        <w:rPr>
          <w:i/>
        </w:rPr>
        <w:t xml:space="preserve">Id. </w:t>
      </w:r>
      <w:r>
        <w:t xml:space="preserve">at 1341 (Dyk, J., with Hughes and, in select parts, Chen, JJ., concurring) (quoting Diamond v. Diehr, 450 U.S. 175 </w:t>
      </w:r>
      <w:r w:rsidRPr="0035505C">
        <w:t>(1981)).</w:t>
      </w:r>
    </w:p>
  </w:footnote>
  <w:footnote w:id="172">
    <w:p w14:paraId="7B33A662" w14:textId="196E2225" w:rsidR="00D90D35" w:rsidRPr="00B37213" w:rsidRDefault="00D90D35">
      <w:pPr>
        <w:pStyle w:val="FootnoteText"/>
      </w:pPr>
      <w:r>
        <w:rPr>
          <w:rStyle w:val="FootnoteReference"/>
        </w:rPr>
        <w:footnoteRef/>
      </w:r>
      <w:r>
        <w:t xml:space="preserve"> </w:t>
      </w:r>
      <w:r>
        <w:rPr>
          <w:i/>
        </w:rPr>
        <w:t xml:space="preserve">Id. </w:t>
      </w:r>
      <w:r>
        <w:t>at 1338.</w:t>
      </w:r>
    </w:p>
  </w:footnote>
  <w:footnote w:id="173">
    <w:p w14:paraId="3EDFD95D" w14:textId="2F97C17E" w:rsidR="00D90D35" w:rsidRPr="00232210" w:rsidRDefault="00D90D35" w:rsidP="0080601A">
      <w:pPr>
        <w:pStyle w:val="FootnoteText"/>
      </w:pPr>
      <w:r>
        <w:rPr>
          <w:rStyle w:val="FootnoteReference"/>
        </w:rPr>
        <w:footnoteRef/>
      </w:r>
      <w:r>
        <w:t xml:space="preserve"> </w:t>
      </w:r>
      <w:r>
        <w:rPr>
          <w:i/>
        </w:rPr>
        <w:t xml:space="preserve">Id. </w:t>
      </w:r>
      <w:r>
        <w:t>(describing In re BRCA1- &amp; BRCA2-Based Hereditary Cancer Test Patent Litig., 774 F.3d 755 (Fed. Cir. 2014), 774 F.3d 755 (Fed. Cir. 2014)).</w:t>
      </w:r>
    </w:p>
  </w:footnote>
  <w:footnote w:id="174">
    <w:p w14:paraId="5FE75D60" w14:textId="7F73B85C" w:rsidR="00D90D35" w:rsidRPr="00D53FF2" w:rsidRDefault="00D90D35">
      <w:pPr>
        <w:pStyle w:val="FootnoteText"/>
      </w:pPr>
      <w:r>
        <w:rPr>
          <w:rStyle w:val="FootnoteReference"/>
        </w:rPr>
        <w:footnoteRef/>
      </w:r>
      <w:r>
        <w:t xml:space="preserve"> </w:t>
      </w:r>
      <w:r>
        <w:rPr>
          <w:i/>
        </w:rPr>
        <w:t xml:space="preserve">Id. </w:t>
      </w:r>
      <w:r>
        <w:t>at 1339.</w:t>
      </w:r>
    </w:p>
  </w:footnote>
  <w:footnote w:id="175">
    <w:p w14:paraId="615633DB" w14:textId="0FE376FD" w:rsidR="00D90D35" w:rsidRPr="00CA773E" w:rsidRDefault="00D90D35">
      <w:pPr>
        <w:pStyle w:val="FootnoteText"/>
      </w:pPr>
      <w:r>
        <w:rPr>
          <w:rStyle w:val="FootnoteReference"/>
        </w:rPr>
        <w:footnoteRef/>
      </w:r>
      <w:r>
        <w:t xml:space="preserve"> </w:t>
      </w:r>
      <w:r>
        <w:rPr>
          <w:i/>
        </w:rPr>
        <w:t xml:space="preserve">Id. </w:t>
      </w:r>
      <w:r>
        <w:t xml:space="preserve">at 1340 (citing </w:t>
      </w:r>
      <w:r w:rsidRPr="00CA773E">
        <w:t>Mayo, 566 U.S. at 77–78, 88–89</w:t>
      </w:r>
      <w:r>
        <w:t>).</w:t>
      </w:r>
    </w:p>
  </w:footnote>
  <w:footnote w:id="176">
    <w:p w14:paraId="63A71FBA" w14:textId="47739145" w:rsidR="00D90D35" w:rsidRPr="003C094A" w:rsidRDefault="00D90D35">
      <w:pPr>
        <w:pStyle w:val="FootnoteText"/>
      </w:pPr>
      <w:r>
        <w:rPr>
          <w:rStyle w:val="FootnoteReference"/>
        </w:rPr>
        <w:footnoteRef/>
      </w:r>
      <w:r>
        <w:t xml:space="preserve">  </w:t>
      </w:r>
      <w:r>
        <w:rPr>
          <w:i/>
        </w:rPr>
        <w:t xml:space="preserve">Id. </w:t>
      </w:r>
      <w:r>
        <w:t xml:space="preserve">at (citing </w:t>
      </w:r>
      <w:r w:rsidRPr="003C094A">
        <w:t>Association for Molecular Pathology v. Myriad</w:t>
      </w:r>
      <w:r>
        <w:t xml:space="preserve"> </w:t>
      </w:r>
      <w:r w:rsidRPr="003C094A">
        <w:t xml:space="preserve">Genetics, Inc., 569 U.S. 576, </w:t>
      </w:r>
      <w:r>
        <w:t>596 (2013)).</w:t>
      </w:r>
    </w:p>
  </w:footnote>
  <w:footnote w:id="177">
    <w:p w14:paraId="45FD1F87" w14:textId="77777777" w:rsidR="00D90D35" w:rsidRPr="00DC4063" w:rsidRDefault="00D90D35" w:rsidP="002C2AEC">
      <w:pPr>
        <w:pStyle w:val="FootnoteText"/>
      </w:pPr>
      <w:r>
        <w:rPr>
          <w:rStyle w:val="FootnoteReference"/>
        </w:rPr>
        <w:footnoteRef/>
      </w:r>
      <w:r>
        <w:t xml:space="preserve"> </w:t>
      </w:r>
      <w:r>
        <w:rPr>
          <w:i/>
        </w:rPr>
        <w:t xml:space="preserve">Id. </w:t>
      </w:r>
      <w:r>
        <w:t xml:space="preserve">(citing </w:t>
      </w:r>
      <w:r w:rsidRPr="00DC4063">
        <w:t>788 F.3d at 1376–77</w:t>
      </w:r>
      <w:r>
        <w:t>).</w:t>
      </w:r>
    </w:p>
  </w:footnote>
  <w:footnote w:id="178">
    <w:p w14:paraId="1AAF4AB2" w14:textId="77777777" w:rsidR="00D90D35" w:rsidRPr="003C2B72" w:rsidRDefault="00D90D35" w:rsidP="002C2AEC">
      <w:pPr>
        <w:pStyle w:val="FootnoteText"/>
      </w:pPr>
      <w:r>
        <w:rPr>
          <w:rStyle w:val="FootnoteReference"/>
        </w:rPr>
        <w:footnoteRef/>
      </w:r>
      <w:r>
        <w:t xml:space="preserve"> </w:t>
      </w:r>
      <w:r>
        <w:rPr>
          <w:i/>
        </w:rPr>
        <w:t xml:space="preserve">Id. </w:t>
      </w:r>
      <w:r>
        <w:t>at 1339 (explaining why).</w:t>
      </w:r>
    </w:p>
  </w:footnote>
  <w:footnote w:id="179">
    <w:p w14:paraId="4004C0A7" w14:textId="75B2F39A" w:rsidR="00D90D35" w:rsidRPr="0035505C" w:rsidRDefault="00D90D35">
      <w:pPr>
        <w:pStyle w:val="FootnoteText"/>
      </w:pPr>
      <w:r>
        <w:rPr>
          <w:rStyle w:val="FootnoteReference"/>
        </w:rPr>
        <w:footnoteRef/>
      </w:r>
      <w:r>
        <w:t xml:space="preserve"> </w:t>
      </w:r>
      <w:r>
        <w:rPr>
          <w:i/>
        </w:rPr>
        <w:t xml:space="preserve">Id. </w:t>
      </w:r>
      <w:r>
        <w:t xml:space="preserve">at 1341 (quoting Diamond v. Diehr, 450 U.S. 175 </w:t>
      </w:r>
      <w:r w:rsidRPr="0035505C">
        <w:t>(1981)).</w:t>
      </w:r>
    </w:p>
  </w:footnote>
  <w:footnote w:id="180">
    <w:p w14:paraId="16FD0C85" w14:textId="7C3A778B" w:rsidR="00D90D35" w:rsidRPr="00281054" w:rsidRDefault="00D90D35">
      <w:pPr>
        <w:pStyle w:val="FootnoteText"/>
      </w:pPr>
      <w:r>
        <w:rPr>
          <w:rStyle w:val="FootnoteReference"/>
        </w:rPr>
        <w:footnoteRef/>
      </w:r>
      <w:r>
        <w:t xml:space="preserve"> </w:t>
      </w:r>
      <w:r>
        <w:rPr>
          <w:i/>
        </w:rPr>
        <w:t xml:space="preserve">Id. </w:t>
      </w:r>
      <w:r>
        <w:t xml:space="preserve">(internal citation omitted) (citing </w:t>
      </w:r>
      <w:r w:rsidRPr="00281054">
        <w:t>56 U.S. (1</w:t>
      </w:r>
      <w:r>
        <w:t>5 How.) 62 (1854)).</w:t>
      </w:r>
    </w:p>
  </w:footnote>
  <w:footnote w:id="181">
    <w:p w14:paraId="2724E3E0" w14:textId="4CA4751C" w:rsidR="00D90D35" w:rsidRPr="00163B2A" w:rsidRDefault="00D90D35">
      <w:pPr>
        <w:pStyle w:val="FootnoteText"/>
      </w:pPr>
      <w:r>
        <w:rPr>
          <w:rStyle w:val="FootnoteReference"/>
        </w:rPr>
        <w:footnoteRef/>
      </w:r>
      <w:r>
        <w:t xml:space="preserve"> </w:t>
      </w:r>
      <w:r>
        <w:rPr>
          <w:i/>
        </w:rPr>
        <w:t xml:space="preserve">Id. </w:t>
      </w:r>
      <w:r>
        <w:t>(citing 56 U.S. at 112-13).</w:t>
      </w:r>
    </w:p>
  </w:footnote>
  <w:footnote w:id="182">
    <w:p w14:paraId="3BC6793F" w14:textId="289A7782" w:rsidR="00D90D35" w:rsidRPr="00B678FA" w:rsidRDefault="00D90D35" w:rsidP="00B678FA">
      <w:pPr>
        <w:pStyle w:val="FootnoteText"/>
      </w:pPr>
      <w:r>
        <w:rPr>
          <w:rStyle w:val="FootnoteReference"/>
        </w:rPr>
        <w:footnoteRef/>
      </w:r>
      <w:r>
        <w:t xml:space="preserve"> </w:t>
      </w:r>
      <w:r>
        <w:rPr>
          <w:i/>
        </w:rPr>
        <w:t xml:space="preserve">Id. </w:t>
      </w:r>
      <w:r>
        <w:t xml:space="preserve">at 1342 (citing Diehr, 450 U.S. at 191–92 (1981); Parker v. Flook, 437 U.S. 584, 586 (1978)); </w:t>
      </w:r>
      <w:r w:rsidRPr="00B678FA">
        <w:t>Got</w:t>
      </w:r>
      <w:r>
        <w:t>tschalk v. Benson, 409 U.S. 63, 67-68 (1972)).</w:t>
      </w:r>
    </w:p>
  </w:footnote>
  <w:footnote w:id="183">
    <w:p w14:paraId="680C04B4" w14:textId="77777777" w:rsidR="00D90D35" w:rsidRPr="004912B4" w:rsidRDefault="00D90D35" w:rsidP="00E84427">
      <w:pPr>
        <w:pStyle w:val="FootnoteText"/>
      </w:pPr>
      <w:r>
        <w:rPr>
          <w:rStyle w:val="FootnoteReference"/>
        </w:rPr>
        <w:footnoteRef/>
      </w:r>
      <w:r>
        <w:t xml:space="preserve"> </w:t>
      </w:r>
      <w:r>
        <w:rPr>
          <w:i/>
        </w:rPr>
        <w:t xml:space="preserve">Id. </w:t>
      </w:r>
      <w:r>
        <w:t>at 1341.</w:t>
      </w:r>
    </w:p>
  </w:footnote>
  <w:footnote w:id="184">
    <w:p w14:paraId="195E63EF" w14:textId="1FB295DC" w:rsidR="00D90D35" w:rsidRPr="003434B3" w:rsidRDefault="00D90D35">
      <w:pPr>
        <w:pStyle w:val="FootnoteText"/>
      </w:pPr>
      <w:r>
        <w:rPr>
          <w:rStyle w:val="FootnoteReference"/>
        </w:rPr>
        <w:footnoteRef/>
      </w:r>
      <w:r>
        <w:t xml:space="preserve"> </w:t>
      </w:r>
      <w:r>
        <w:rPr>
          <w:i/>
        </w:rPr>
        <w:t xml:space="preserve">Id. </w:t>
      </w:r>
      <w:r>
        <w:t>at 1342-43.</w:t>
      </w:r>
    </w:p>
  </w:footnote>
  <w:footnote w:id="185">
    <w:p w14:paraId="28805D01" w14:textId="2827D869" w:rsidR="00D90D35" w:rsidRPr="003434B3" w:rsidRDefault="00D90D35">
      <w:pPr>
        <w:pStyle w:val="FootnoteText"/>
      </w:pPr>
      <w:r>
        <w:rPr>
          <w:rStyle w:val="FootnoteReference"/>
        </w:rPr>
        <w:footnoteRef/>
      </w:r>
      <w:r>
        <w:t xml:space="preserve"> </w:t>
      </w:r>
      <w:r>
        <w:rPr>
          <w:i/>
        </w:rPr>
        <w:t xml:space="preserve">Id. </w:t>
      </w:r>
      <w:r>
        <w:t>at 1343.</w:t>
      </w:r>
    </w:p>
  </w:footnote>
  <w:footnote w:id="186">
    <w:p w14:paraId="56135020" w14:textId="7870B2A0" w:rsidR="00D90D35" w:rsidRPr="002623EA" w:rsidRDefault="00D90D35">
      <w:pPr>
        <w:pStyle w:val="FootnoteText"/>
      </w:pPr>
      <w:r>
        <w:rPr>
          <w:rStyle w:val="FootnoteReference"/>
        </w:rPr>
        <w:footnoteRef/>
      </w:r>
      <w:r>
        <w:t xml:space="preserve"> </w:t>
      </w:r>
      <w:r>
        <w:rPr>
          <w:i/>
        </w:rPr>
        <w:t xml:space="preserve">Id. </w:t>
      </w:r>
      <w:r>
        <w:t>at 1343-44.</w:t>
      </w:r>
    </w:p>
  </w:footnote>
  <w:footnote w:id="187">
    <w:p w14:paraId="4AB431B0" w14:textId="0A9FA8A1" w:rsidR="00D90D35" w:rsidRPr="002623EA" w:rsidRDefault="00D90D35" w:rsidP="0045768C">
      <w:pPr>
        <w:pStyle w:val="FootnoteText"/>
      </w:pPr>
      <w:r>
        <w:rPr>
          <w:rStyle w:val="FootnoteReference"/>
        </w:rPr>
        <w:footnoteRef/>
      </w:r>
      <w:r>
        <w:t xml:space="preserve"> </w:t>
      </w:r>
      <w:r>
        <w:rPr>
          <w:i/>
        </w:rPr>
        <w:t xml:space="preserve">Id. </w:t>
      </w:r>
    </w:p>
  </w:footnote>
  <w:footnote w:id="188">
    <w:p w14:paraId="773B3284" w14:textId="1681A947" w:rsidR="00D90D35" w:rsidRPr="00DD5EB1" w:rsidRDefault="00D90D35">
      <w:pPr>
        <w:pStyle w:val="FootnoteText"/>
      </w:pPr>
      <w:r>
        <w:rPr>
          <w:rStyle w:val="FootnoteReference"/>
        </w:rPr>
        <w:footnoteRef/>
      </w:r>
      <w:r>
        <w:t xml:space="preserve"> </w:t>
      </w:r>
      <w:r>
        <w:rPr>
          <w:i/>
        </w:rPr>
        <w:t xml:space="preserve">Id. </w:t>
      </w:r>
    </w:p>
  </w:footnote>
  <w:footnote w:id="189">
    <w:p w14:paraId="6797B38F" w14:textId="729DC9A0" w:rsidR="00D90D35" w:rsidRPr="004D59B2" w:rsidRDefault="00D90D35">
      <w:pPr>
        <w:pStyle w:val="FootnoteText"/>
      </w:pPr>
      <w:r>
        <w:rPr>
          <w:rStyle w:val="FootnoteReference"/>
        </w:rPr>
        <w:footnoteRef/>
      </w:r>
      <w:r>
        <w:t xml:space="preserve"> </w:t>
      </w:r>
      <w:r>
        <w:rPr>
          <w:i/>
        </w:rPr>
        <w:t xml:space="preserve">Id. </w:t>
      </w:r>
      <w:r>
        <w:t>at 1344 (Chen, J., concurring).</w:t>
      </w:r>
    </w:p>
  </w:footnote>
  <w:footnote w:id="190">
    <w:p w14:paraId="1748B94C" w14:textId="77777777" w:rsidR="00D90D35" w:rsidRPr="00BC6C62" w:rsidRDefault="00D90D35" w:rsidP="00A5647D">
      <w:pPr>
        <w:pStyle w:val="FootnoteText"/>
      </w:pPr>
      <w:r>
        <w:rPr>
          <w:rStyle w:val="FootnoteReference"/>
        </w:rPr>
        <w:footnoteRef/>
      </w:r>
      <w:r>
        <w:t xml:space="preserve"> </w:t>
      </w:r>
      <w:r>
        <w:rPr>
          <w:i/>
        </w:rPr>
        <w:t xml:space="preserve">Id. </w:t>
      </w:r>
      <w:r>
        <w:t>at 1349.</w:t>
      </w:r>
    </w:p>
  </w:footnote>
  <w:footnote w:id="191">
    <w:p w14:paraId="5BF96363" w14:textId="77777777" w:rsidR="00D90D35" w:rsidRPr="003F651B" w:rsidRDefault="00D90D35" w:rsidP="00A5647D">
      <w:pPr>
        <w:pStyle w:val="FootnoteText"/>
      </w:pPr>
      <w:r>
        <w:rPr>
          <w:rStyle w:val="FootnoteReference"/>
        </w:rPr>
        <w:footnoteRef/>
      </w:r>
      <w:r>
        <w:t xml:space="preserve"> </w:t>
      </w:r>
      <w:r>
        <w:rPr>
          <w:i/>
        </w:rPr>
        <w:t xml:space="preserve">Id. </w:t>
      </w:r>
      <w:r>
        <w:t>at 1351 (quoting Myriad, 569 U.S. at 591).</w:t>
      </w:r>
    </w:p>
  </w:footnote>
  <w:footnote w:id="192">
    <w:p w14:paraId="47BBCF1F" w14:textId="77777777" w:rsidR="00D90D35" w:rsidRPr="00F37B8A" w:rsidRDefault="00D90D35" w:rsidP="00EF63D3">
      <w:pPr>
        <w:pStyle w:val="FootnoteText"/>
      </w:pPr>
      <w:r>
        <w:rPr>
          <w:rStyle w:val="FootnoteReference"/>
        </w:rPr>
        <w:footnoteRef/>
      </w:r>
      <w:r>
        <w:t xml:space="preserve"> </w:t>
      </w:r>
      <w:r>
        <w:rPr>
          <w:i/>
        </w:rPr>
        <w:t xml:space="preserve">Id. </w:t>
      </w:r>
      <w:r>
        <w:t>at 1352.</w:t>
      </w:r>
    </w:p>
  </w:footnote>
  <w:footnote w:id="193">
    <w:p w14:paraId="7E1DFA2C" w14:textId="75CB79A1" w:rsidR="00D90D35" w:rsidRPr="003E7012" w:rsidRDefault="00D90D35" w:rsidP="003E7012">
      <w:pPr>
        <w:pStyle w:val="FootnoteText"/>
      </w:pPr>
      <w:r>
        <w:rPr>
          <w:rStyle w:val="FootnoteReference"/>
        </w:rPr>
        <w:footnoteRef/>
      </w:r>
      <w:r>
        <w:t xml:space="preserve"> </w:t>
      </w:r>
      <w:r>
        <w:rPr>
          <w:i/>
        </w:rPr>
        <w:t xml:space="preserve">Id. </w:t>
      </w:r>
      <w:r>
        <w:t xml:space="preserve">at 1345 (previous alterations omitted) (quoting </w:t>
      </w:r>
      <w:r w:rsidRPr="001477FB">
        <w:t>Bilski</w:t>
      </w:r>
      <w:r>
        <w:t> </w:t>
      </w:r>
      <w:r w:rsidRPr="001477FB">
        <w:t>v. Kappos, 561 U.S. 593, 611</w:t>
      </w:r>
      <w:r>
        <w:t xml:space="preserve"> </w:t>
      </w:r>
      <w:r w:rsidRPr="001477FB">
        <w:t>(2010)</w:t>
      </w:r>
      <w:r>
        <w:t xml:space="preserve"> (quoting </w:t>
      </w:r>
      <w:r w:rsidRPr="000576CD">
        <w:t>Diehr</w:t>
      </w:r>
      <w:r>
        <w:t>, 450 U.S. at 188)).</w:t>
      </w:r>
    </w:p>
  </w:footnote>
  <w:footnote w:id="194">
    <w:p w14:paraId="1205904E" w14:textId="5422AC74" w:rsidR="00D90D35" w:rsidRPr="003D7E61" w:rsidRDefault="00D90D35">
      <w:pPr>
        <w:pStyle w:val="FootnoteText"/>
      </w:pPr>
      <w:r>
        <w:rPr>
          <w:rStyle w:val="FootnoteReference"/>
        </w:rPr>
        <w:footnoteRef/>
      </w:r>
      <w:r>
        <w:t xml:space="preserve"> </w:t>
      </w:r>
      <w:r>
        <w:rPr>
          <w:i/>
        </w:rPr>
        <w:t xml:space="preserve">Id. </w:t>
      </w:r>
      <w:r>
        <w:t>at 1347.</w:t>
      </w:r>
    </w:p>
  </w:footnote>
  <w:footnote w:id="195">
    <w:p w14:paraId="15F51953" w14:textId="77777777" w:rsidR="00D90D35" w:rsidRPr="006F775A" w:rsidRDefault="00D90D35" w:rsidP="00233E7B">
      <w:pPr>
        <w:pStyle w:val="FootnoteText"/>
      </w:pPr>
      <w:r>
        <w:rPr>
          <w:rStyle w:val="FootnoteReference"/>
        </w:rPr>
        <w:footnoteRef/>
      </w:r>
      <w:r>
        <w:t xml:space="preserve"> </w:t>
      </w:r>
      <w:r>
        <w:rPr>
          <w:i/>
        </w:rPr>
        <w:t>Id.</w:t>
      </w:r>
      <w:r>
        <w:t xml:space="preserve"> at 1348-49.</w:t>
      </w:r>
    </w:p>
  </w:footnote>
  <w:footnote w:id="196">
    <w:p w14:paraId="0410FB26" w14:textId="7C1D730E" w:rsidR="00D90D35" w:rsidRPr="00F37B8A" w:rsidRDefault="00D90D35">
      <w:pPr>
        <w:pStyle w:val="FootnoteText"/>
      </w:pPr>
      <w:r>
        <w:rPr>
          <w:rStyle w:val="FootnoteReference"/>
        </w:rPr>
        <w:footnoteRef/>
      </w:r>
      <w:r>
        <w:t xml:space="preserve"> </w:t>
      </w:r>
      <w:r>
        <w:rPr>
          <w:i/>
        </w:rPr>
        <w:t xml:space="preserve">Id. </w:t>
      </w:r>
      <w:r>
        <w:t>at 1351.</w:t>
      </w:r>
    </w:p>
  </w:footnote>
  <w:footnote w:id="197">
    <w:p w14:paraId="2EF9E954" w14:textId="6C7E0F8C" w:rsidR="00D90D35" w:rsidRPr="00B24BB4" w:rsidRDefault="00D90D35">
      <w:pPr>
        <w:pStyle w:val="FootnoteText"/>
      </w:pPr>
      <w:r>
        <w:rPr>
          <w:rStyle w:val="FootnoteReference"/>
        </w:rPr>
        <w:footnoteRef/>
      </w:r>
      <w:r>
        <w:t xml:space="preserve"> </w:t>
      </w:r>
      <w:r>
        <w:rPr>
          <w:i/>
        </w:rPr>
        <w:t xml:space="preserve">Id. </w:t>
      </w:r>
      <w:r>
        <w:t>at 1352 (</w:t>
      </w:r>
      <w:r w:rsidRPr="00852195">
        <w:t>Moore, J., with O</w:t>
      </w:r>
      <w:r>
        <w:t xml:space="preserve">’Malley, Wallach, and Stoll, JJ, dissenting in denial of petition for rehearing </w:t>
      </w:r>
      <w:r w:rsidRPr="00852195">
        <w:rPr>
          <w:i/>
        </w:rPr>
        <w:t>en banc</w:t>
      </w:r>
      <w:r>
        <w:t>).</w:t>
      </w:r>
    </w:p>
  </w:footnote>
  <w:footnote w:id="198">
    <w:p w14:paraId="753B86C0" w14:textId="66DDD6E8" w:rsidR="00D90D35" w:rsidRPr="00B24BB4" w:rsidRDefault="00D90D35" w:rsidP="000F4253">
      <w:pPr>
        <w:pStyle w:val="FootnoteText"/>
      </w:pPr>
      <w:r>
        <w:rPr>
          <w:rStyle w:val="FootnoteReference"/>
        </w:rPr>
        <w:footnoteRef/>
      </w:r>
      <w:r>
        <w:t xml:space="preserve"> </w:t>
      </w:r>
      <w:r>
        <w:rPr>
          <w:i/>
        </w:rPr>
        <w:t xml:space="preserve">Id. </w:t>
      </w:r>
    </w:p>
  </w:footnote>
  <w:footnote w:id="199">
    <w:p w14:paraId="0D5DE095" w14:textId="30A496A8" w:rsidR="00D90D35" w:rsidRPr="00F06214" w:rsidRDefault="00D90D35">
      <w:pPr>
        <w:pStyle w:val="FootnoteText"/>
      </w:pPr>
      <w:r>
        <w:rPr>
          <w:rStyle w:val="FootnoteReference"/>
        </w:rPr>
        <w:footnoteRef/>
      </w:r>
      <w:r>
        <w:t xml:space="preserve"> </w:t>
      </w:r>
      <w:r>
        <w:rPr>
          <w:i/>
        </w:rPr>
        <w:t xml:space="preserve">Id. </w:t>
      </w:r>
      <w:r>
        <w:t>at 1354 (quoting Mayo, 566 U.S. at 71)).</w:t>
      </w:r>
    </w:p>
  </w:footnote>
  <w:footnote w:id="200">
    <w:p w14:paraId="3AB6D5B4" w14:textId="77777777" w:rsidR="00D90D35" w:rsidRPr="00C25F12" w:rsidRDefault="00D90D35" w:rsidP="00C35FA9">
      <w:pPr>
        <w:pStyle w:val="FootnoteText"/>
      </w:pPr>
      <w:r>
        <w:rPr>
          <w:rStyle w:val="FootnoteReference"/>
        </w:rPr>
        <w:footnoteRef/>
      </w:r>
      <w:r>
        <w:t xml:space="preserve"> </w:t>
      </w:r>
      <w:r>
        <w:rPr>
          <w:i/>
        </w:rPr>
        <w:t xml:space="preserve">Id. </w:t>
      </w:r>
      <w:r>
        <w:t>(quoting Mayo, 566 U.S. at 72).</w:t>
      </w:r>
    </w:p>
  </w:footnote>
  <w:footnote w:id="201">
    <w:p w14:paraId="133138A7" w14:textId="77777777" w:rsidR="00D90D35" w:rsidRPr="00C25F12" w:rsidRDefault="00D90D35" w:rsidP="00C35FA9">
      <w:pPr>
        <w:pStyle w:val="FootnoteText"/>
      </w:pPr>
      <w:r>
        <w:rPr>
          <w:rStyle w:val="FootnoteReference"/>
        </w:rPr>
        <w:footnoteRef/>
      </w:r>
      <w:r>
        <w:t xml:space="preserve"> </w:t>
      </w:r>
      <w:r>
        <w:rPr>
          <w:i/>
        </w:rPr>
        <w:t xml:space="preserve">Id. </w:t>
      </w:r>
      <w:r>
        <w:t>(quoting Mayo, 566 U.S. at 71).</w:t>
      </w:r>
    </w:p>
  </w:footnote>
  <w:footnote w:id="202">
    <w:p w14:paraId="31BEAA8B" w14:textId="77777777" w:rsidR="00D90D35" w:rsidRPr="007E6EFC" w:rsidRDefault="00D90D35" w:rsidP="002041CF">
      <w:pPr>
        <w:pStyle w:val="FootnoteText"/>
      </w:pPr>
      <w:r>
        <w:rPr>
          <w:rStyle w:val="FootnoteReference"/>
        </w:rPr>
        <w:footnoteRef/>
      </w:r>
      <w:r>
        <w:t xml:space="preserve"> </w:t>
      </w:r>
      <w:r>
        <w:rPr>
          <w:i/>
        </w:rPr>
        <w:t xml:space="preserve">Id. </w:t>
      </w:r>
      <w:r>
        <w:t>at 1359.</w:t>
      </w:r>
    </w:p>
  </w:footnote>
  <w:footnote w:id="203">
    <w:p w14:paraId="3AF1D7BB" w14:textId="0422F44B" w:rsidR="00D90D35" w:rsidRPr="00A53BF1" w:rsidRDefault="00D90D35">
      <w:pPr>
        <w:pStyle w:val="FootnoteText"/>
      </w:pPr>
      <w:r>
        <w:rPr>
          <w:rStyle w:val="FootnoteReference"/>
        </w:rPr>
        <w:footnoteRef/>
      </w:r>
      <w:r>
        <w:t xml:space="preserve"> </w:t>
      </w:r>
      <w:r>
        <w:rPr>
          <w:i/>
        </w:rPr>
        <w:t>Id</w:t>
      </w:r>
      <w:r>
        <w:t>.</w:t>
      </w:r>
    </w:p>
  </w:footnote>
  <w:footnote w:id="204">
    <w:p w14:paraId="47EC21BE" w14:textId="44294124" w:rsidR="00D90D35" w:rsidRPr="008D617F" w:rsidRDefault="00D90D35">
      <w:pPr>
        <w:pStyle w:val="FootnoteText"/>
      </w:pPr>
      <w:r>
        <w:rPr>
          <w:rStyle w:val="FootnoteReference"/>
        </w:rPr>
        <w:footnoteRef/>
      </w:r>
      <w:r>
        <w:t xml:space="preserve"> </w:t>
      </w:r>
      <w:r>
        <w:rPr>
          <w:i/>
        </w:rPr>
        <w:t xml:space="preserve">Id. </w:t>
      </w:r>
      <w:r>
        <w:t>at 1361 (reprinting and analyzing claims).</w:t>
      </w:r>
    </w:p>
  </w:footnote>
  <w:footnote w:id="205">
    <w:p w14:paraId="35E0E684" w14:textId="1DED9D4C" w:rsidR="00D90D35" w:rsidRPr="00D0416C" w:rsidRDefault="00D90D35">
      <w:pPr>
        <w:pStyle w:val="FootnoteText"/>
      </w:pPr>
      <w:r>
        <w:rPr>
          <w:rStyle w:val="FootnoteReference"/>
        </w:rPr>
        <w:footnoteRef/>
      </w:r>
      <w:r>
        <w:t xml:space="preserve"> </w:t>
      </w:r>
      <w:r>
        <w:rPr>
          <w:i/>
        </w:rPr>
        <w:t xml:space="preserve">Id. </w:t>
      </w:r>
      <w:r>
        <w:t>at 1362.</w:t>
      </w:r>
    </w:p>
  </w:footnote>
  <w:footnote w:id="206">
    <w:p w14:paraId="275B6252" w14:textId="5F11E369" w:rsidR="00D90D35" w:rsidRPr="00D0416C" w:rsidRDefault="00D90D35" w:rsidP="003F08F4">
      <w:pPr>
        <w:pStyle w:val="FootnoteText"/>
      </w:pPr>
      <w:r>
        <w:rPr>
          <w:rStyle w:val="FootnoteReference"/>
        </w:rPr>
        <w:footnoteRef/>
      </w:r>
      <w:r>
        <w:t xml:space="preserve"> </w:t>
      </w:r>
      <w:r>
        <w:rPr>
          <w:i/>
        </w:rPr>
        <w:t>Id.</w:t>
      </w:r>
    </w:p>
  </w:footnote>
  <w:footnote w:id="207">
    <w:p w14:paraId="0CC6898F" w14:textId="780699EA" w:rsidR="00D90D35" w:rsidRPr="006A2177" w:rsidRDefault="00D90D35" w:rsidP="0093245F">
      <w:pPr>
        <w:pStyle w:val="FootnoteText"/>
      </w:pPr>
      <w:r>
        <w:rPr>
          <w:rStyle w:val="FootnoteReference"/>
        </w:rPr>
        <w:footnoteRef/>
      </w:r>
      <w:r>
        <w:t xml:space="preserve"> </w:t>
      </w:r>
      <w:r>
        <w:rPr>
          <w:i/>
        </w:rPr>
        <w:t xml:space="preserve">Id. </w:t>
      </w:r>
      <w:r>
        <w:t xml:space="preserve">at 1355.  </w:t>
      </w:r>
      <w:r>
        <w:rPr>
          <w:i/>
        </w:rPr>
        <w:t xml:space="preserve">See also id. </w:t>
      </w:r>
      <w:r>
        <w:t>at 1358 (“</w:t>
      </w:r>
      <w:r w:rsidRPr="00351C8D">
        <w:t>Without patent protection to recoup the enormous R&amp;D cost, investment in diagnostic medicine will decline.</w:t>
      </w:r>
      <w:r>
        <w:t>”)</w:t>
      </w:r>
    </w:p>
  </w:footnote>
  <w:footnote w:id="208">
    <w:p w14:paraId="0CD979A0" w14:textId="2476C6B9" w:rsidR="00D90D35" w:rsidRPr="009E6428" w:rsidRDefault="00D90D35">
      <w:pPr>
        <w:pStyle w:val="FootnoteText"/>
      </w:pPr>
      <w:r>
        <w:rPr>
          <w:rStyle w:val="FootnoteReference"/>
        </w:rPr>
        <w:footnoteRef/>
      </w:r>
      <w:r>
        <w:t xml:space="preserve"> </w:t>
      </w:r>
      <w:r>
        <w:rPr>
          <w:i/>
        </w:rPr>
        <w:t xml:space="preserve">Id . </w:t>
      </w:r>
      <w:r>
        <w:t>at 1363.</w:t>
      </w:r>
    </w:p>
  </w:footnote>
  <w:footnote w:id="209">
    <w:p w14:paraId="7F70B4D3" w14:textId="29307E6B" w:rsidR="00D90D35" w:rsidRPr="00FF7DAC" w:rsidRDefault="00D90D35">
      <w:pPr>
        <w:pStyle w:val="FootnoteText"/>
      </w:pPr>
      <w:r>
        <w:rPr>
          <w:rStyle w:val="FootnoteReference"/>
        </w:rPr>
        <w:footnoteRef/>
      </w:r>
      <w:r>
        <w:t xml:space="preserve"> </w:t>
      </w:r>
      <w:r>
        <w:rPr>
          <w:i/>
        </w:rPr>
        <w:t xml:space="preserve">Id. </w:t>
      </w:r>
      <w:r>
        <w:t xml:space="preserve">(Newman, J., with Wallach, J, dissenting in denial of petition for rehearing </w:t>
      </w:r>
      <w:r>
        <w:rPr>
          <w:i/>
        </w:rPr>
        <w:t>en banc</w:t>
      </w:r>
      <w:r>
        <w:t>).</w:t>
      </w:r>
    </w:p>
  </w:footnote>
  <w:footnote w:id="210">
    <w:p w14:paraId="4AD2A14B" w14:textId="40EB8A4E" w:rsidR="00D90D35" w:rsidRPr="00A61F54" w:rsidRDefault="00D90D35">
      <w:pPr>
        <w:pStyle w:val="FootnoteText"/>
      </w:pPr>
      <w:r>
        <w:rPr>
          <w:rStyle w:val="FootnoteReference"/>
        </w:rPr>
        <w:footnoteRef/>
      </w:r>
      <w:r>
        <w:t xml:space="preserve"> </w:t>
      </w:r>
      <w:r>
        <w:rPr>
          <w:i/>
        </w:rPr>
        <w:t xml:space="preserve">Id. </w:t>
      </w:r>
      <w:r>
        <w:t xml:space="preserve">at 1365 (quoting Diehr, 450 U.S. at 188).  </w:t>
      </w:r>
      <w:r>
        <w:rPr>
          <w:i/>
        </w:rPr>
        <w:t xml:space="preserve">See also id. </w:t>
      </w:r>
      <w:r>
        <w:t>at 1366 (“</w:t>
      </w:r>
      <w:r w:rsidRPr="00A61F54">
        <w:t>There is no support in the Court's precedent for our abandonment of the invention-as-a-whole in determining eligibility under section 101.”</w:t>
      </w:r>
      <w:r>
        <w:t>).</w:t>
      </w:r>
    </w:p>
  </w:footnote>
  <w:footnote w:id="211">
    <w:p w14:paraId="15B47EA5" w14:textId="77777777" w:rsidR="00D90D35" w:rsidRPr="00DD50BA" w:rsidRDefault="00D90D35" w:rsidP="00BE00DB">
      <w:pPr>
        <w:pStyle w:val="FootnoteText"/>
      </w:pPr>
      <w:r>
        <w:rPr>
          <w:rStyle w:val="FootnoteReference"/>
        </w:rPr>
        <w:footnoteRef/>
      </w:r>
      <w:r>
        <w:t xml:space="preserve"> </w:t>
      </w:r>
      <w:r>
        <w:rPr>
          <w:i/>
        </w:rPr>
        <w:t>Id .</w:t>
      </w:r>
      <w:r>
        <w:t>at 1364.</w:t>
      </w:r>
    </w:p>
  </w:footnote>
  <w:footnote w:id="212">
    <w:p w14:paraId="0E76D4AD" w14:textId="77777777" w:rsidR="00D90D35" w:rsidRPr="00E97AF2" w:rsidRDefault="00D90D35" w:rsidP="00A61F54">
      <w:pPr>
        <w:pStyle w:val="FootnoteText"/>
      </w:pPr>
      <w:r>
        <w:rPr>
          <w:rStyle w:val="FootnoteReference"/>
        </w:rPr>
        <w:footnoteRef/>
      </w:r>
      <w:r>
        <w:t xml:space="preserve"> </w:t>
      </w:r>
      <w:r>
        <w:rPr>
          <w:i/>
        </w:rPr>
        <w:t xml:space="preserve">Id. </w:t>
      </w:r>
      <w:r>
        <w:t>at 1368-70.</w:t>
      </w:r>
    </w:p>
  </w:footnote>
  <w:footnote w:id="213">
    <w:p w14:paraId="70430AA6" w14:textId="77777777" w:rsidR="00D90D35" w:rsidRPr="003A3047" w:rsidRDefault="00D90D35" w:rsidP="006C3555">
      <w:pPr>
        <w:pStyle w:val="FootnoteText"/>
      </w:pPr>
      <w:r>
        <w:rPr>
          <w:rStyle w:val="FootnoteReference"/>
        </w:rPr>
        <w:footnoteRef/>
      </w:r>
      <w:r>
        <w:t xml:space="preserve"> </w:t>
      </w:r>
      <w:r>
        <w:rPr>
          <w:i/>
        </w:rPr>
        <w:t xml:space="preserve">Id. </w:t>
      </w:r>
      <w:r>
        <w:t>at 1365-66 (quoting Diehr, 450 U.S. at 188).</w:t>
      </w:r>
    </w:p>
  </w:footnote>
  <w:footnote w:id="214">
    <w:p w14:paraId="233BA8E9" w14:textId="63EB4969" w:rsidR="00D90D35" w:rsidRPr="00352E5B" w:rsidRDefault="00D90D35" w:rsidP="006C3555">
      <w:pPr>
        <w:pStyle w:val="FootnoteText"/>
      </w:pPr>
      <w:r>
        <w:rPr>
          <w:rStyle w:val="FootnoteReference"/>
        </w:rPr>
        <w:footnoteRef/>
      </w:r>
      <w:r>
        <w:t xml:space="preserve"> </w:t>
      </w:r>
      <w:r>
        <w:rPr>
          <w:i/>
        </w:rPr>
        <w:t>Id.</w:t>
      </w:r>
      <w:r>
        <w:t xml:space="preserve"> at 1365</w:t>
      </w:r>
      <w:r>
        <w:rPr>
          <w:i/>
        </w:rPr>
        <w:t xml:space="preserve"> </w:t>
      </w:r>
      <w:r>
        <w:t>(quoting Athena, 915 F.3d at 750).</w:t>
      </w:r>
    </w:p>
  </w:footnote>
  <w:footnote w:id="215">
    <w:p w14:paraId="41879ED5" w14:textId="5439D15D" w:rsidR="00D90D35" w:rsidRPr="00352E5B" w:rsidRDefault="00D90D35" w:rsidP="00137D62">
      <w:pPr>
        <w:pStyle w:val="FootnoteText"/>
      </w:pPr>
      <w:r>
        <w:rPr>
          <w:rStyle w:val="FootnoteReference"/>
        </w:rPr>
        <w:footnoteRef/>
      </w:r>
      <w:r>
        <w:t xml:space="preserve"> </w:t>
      </w:r>
      <w:r>
        <w:rPr>
          <w:i/>
        </w:rPr>
        <w:t xml:space="preserve">Id. </w:t>
      </w:r>
    </w:p>
  </w:footnote>
  <w:footnote w:id="216">
    <w:p w14:paraId="15007FA5" w14:textId="3B9C49D5" w:rsidR="00D90D35" w:rsidRPr="00D32077" w:rsidRDefault="00D90D35">
      <w:pPr>
        <w:pStyle w:val="FootnoteText"/>
      </w:pPr>
      <w:r>
        <w:rPr>
          <w:rStyle w:val="FootnoteReference"/>
        </w:rPr>
        <w:footnoteRef/>
      </w:r>
      <w:r>
        <w:t xml:space="preserve"> </w:t>
      </w:r>
      <w:r>
        <w:rPr>
          <w:i/>
        </w:rPr>
        <w:t xml:space="preserve">Id. </w:t>
      </w:r>
      <w:r>
        <w:t>at 1367-68.</w:t>
      </w:r>
    </w:p>
  </w:footnote>
  <w:footnote w:id="217">
    <w:p w14:paraId="1273D498" w14:textId="6E5DDD87" w:rsidR="00D90D35" w:rsidRPr="000E0666" w:rsidRDefault="00D90D35">
      <w:pPr>
        <w:pStyle w:val="FootnoteText"/>
      </w:pPr>
      <w:r>
        <w:rPr>
          <w:rStyle w:val="FootnoteReference"/>
        </w:rPr>
        <w:footnoteRef/>
      </w:r>
      <w:r>
        <w:t xml:space="preserve"> </w:t>
      </w:r>
      <w:r>
        <w:rPr>
          <w:i/>
        </w:rPr>
        <w:t xml:space="preserve">Id. </w:t>
      </w:r>
      <w:r>
        <w:t>at 1370 (</w:t>
      </w:r>
      <w:r w:rsidRPr="000E0666">
        <w:t>Stoll, J., with Wallach, J</w:t>
      </w:r>
      <w:r>
        <w:t xml:space="preserve">., dissenting in denial of petition for rehearing </w:t>
      </w:r>
      <w:r>
        <w:rPr>
          <w:i/>
        </w:rPr>
        <w:t>en banc</w:t>
      </w:r>
      <w:r>
        <w:t>).</w:t>
      </w:r>
    </w:p>
  </w:footnote>
  <w:footnote w:id="218">
    <w:p w14:paraId="5F039E2B" w14:textId="5FCC71D0" w:rsidR="00D90D35" w:rsidRPr="002B2B0A" w:rsidRDefault="00D90D35">
      <w:pPr>
        <w:pStyle w:val="FootnoteText"/>
        <w:rPr>
          <w:i/>
        </w:rPr>
      </w:pPr>
      <w:r>
        <w:rPr>
          <w:rStyle w:val="FootnoteReference"/>
        </w:rPr>
        <w:footnoteRef/>
      </w:r>
      <w:r>
        <w:t xml:space="preserve"> </w:t>
      </w:r>
      <w:r>
        <w:rPr>
          <w:i/>
        </w:rPr>
        <w:t>Id.</w:t>
      </w:r>
    </w:p>
  </w:footnote>
  <w:footnote w:id="219">
    <w:p w14:paraId="033E8A2F" w14:textId="7D4CEA57" w:rsidR="00D90D35" w:rsidRPr="00270556" w:rsidRDefault="00D90D35" w:rsidP="00270556">
      <w:pPr>
        <w:pStyle w:val="FootnoteText"/>
      </w:pPr>
      <w:r>
        <w:rPr>
          <w:rStyle w:val="FootnoteReference"/>
        </w:rPr>
        <w:footnoteRef/>
      </w:r>
      <w:r>
        <w:t xml:space="preserve"> </w:t>
      </w:r>
      <w:r>
        <w:rPr>
          <w:i/>
        </w:rPr>
        <w:t xml:space="preserve">Id. </w:t>
      </w:r>
      <w:r>
        <w:t xml:space="preserve">at 1371 (citing </w:t>
      </w:r>
      <w:r>
        <w:rPr>
          <w:i/>
        </w:rPr>
        <w:t>Mayo</w:t>
      </w:r>
      <w:r>
        <w:t>,</w:t>
      </w:r>
      <w:r>
        <w:rPr>
          <w:i/>
        </w:rPr>
        <w:t xml:space="preserve"> </w:t>
      </w:r>
      <w:r>
        <w:t>566 U.S. at 72).</w:t>
      </w:r>
    </w:p>
  </w:footnote>
  <w:footnote w:id="220">
    <w:p w14:paraId="1CB7A6D2" w14:textId="252E6903" w:rsidR="00D90D35" w:rsidRPr="00496A4F" w:rsidRDefault="00D90D35">
      <w:pPr>
        <w:pStyle w:val="FootnoteText"/>
      </w:pPr>
      <w:r>
        <w:rPr>
          <w:rStyle w:val="FootnoteReference"/>
        </w:rPr>
        <w:footnoteRef/>
      </w:r>
      <w:r>
        <w:t xml:space="preserve"> </w:t>
      </w:r>
      <w:r>
        <w:rPr>
          <w:i/>
        </w:rPr>
        <w:t xml:space="preserve">Id. </w:t>
      </w:r>
    </w:p>
  </w:footnote>
  <w:footnote w:id="221">
    <w:p w14:paraId="4FCB0F34" w14:textId="6F061D79" w:rsidR="00D90D35" w:rsidRPr="00B846BC" w:rsidRDefault="00D90D35">
      <w:pPr>
        <w:pStyle w:val="FootnoteText"/>
      </w:pPr>
      <w:r>
        <w:rPr>
          <w:rStyle w:val="FootnoteReference"/>
        </w:rPr>
        <w:footnoteRef/>
      </w:r>
      <w:r>
        <w:t xml:space="preserve"> </w:t>
      </w:r>
      <w:r>
        <w:rPr>
          <w:i/>
        </w:rPr>
        <w:t xml:space="preserve">Id. </w:t>
      </w:r>
      <w:r>
        <w:t xml:space="preserve">(O’Malley, J., dissenting in denial of petition for rehearing </w:t>
      </w:r>
      <w:r>
        <w:rPr>
          <w:i/>
        </w:rPr>
        <w:t>en banc</w:t>
      </w:r>
      <w:r>
        <w:t>).</w:t>
      </w:r>
    </w:p>
  </w:footnote>
  <w:footnote w:id="222">
    <w:p w14:paraId="2A722DCE" w14:textId="123DD952" w:rsidR="00D90D35" w:rsidRPr="00E81BC6" w:rsidRDefault="00D90D35">
      <w:pPr>
        <w:pStyle w:val="FootnoteText"/>
        <w:rPr>
          <w:i/>
        </w:rPr>
      </w:pPr>
      <w:r>
        <w:rPr>
          <w:rStyle w:val="FootnoteReference"/>
        </w:rPr>
        <w:footnoteRef/>
      </w:r>
      <w:r>
        <w:t xml:space="preserve"> </w:t>
      </w:r>
      <w:r>
        <w:rPr>
          <w:i/>
        </w:rPr>
        <w:t xml:space="preserve">Id. </w:t>
      </w:r>
    </w:p>
  </w:footnote>
  <w:footnote w:id="223">
    <w:p w14:paraId="488D14E9" w14:textId="50F99E34" w:rsidR="00D90D35" w:rsidRPr="00035ACA" w:rsidRDefault="00D90D35">
      <w:pPr>
        <w:pStyle w:val="FootnoteText"/>
      </w:pPr>
      <w:r>
        <w:rPr>
          <w:rStyle w:val="FootnoteReference"/>
        </w:rPr>
        <w:footnoteRef/>
      </w:r>
      <w:r>
        <w:t xml:space="preserve"> </w:t>
      </w:r>
      <w:r>
        <w:rPr>
          <w:i/>
        </w:rPr>
        <w:t xml:space="preserve">Id. </w:t>
      </w:r>
      <w:r>
        <w:t xml:space="preserve">at 1371-71 (quoting </w:t>
      </w:r>
      <w:r w:rsidRPr="00035ACA">
        <w:t>Lyon v. Bausch &amp; Lomb Optical Co., 2</w:t>
      </w:r>
      <w:r>
        <w:t>24 F.2d 530, 536 (2d Cir. 1955) (Hand, J.)).</w:t>
      </w:r>
    </w:p>
  </w:footnote>
  <w:footnote w:id="224">
    <w:p w14:paraId="25FD180F" w14:textId="01B2F153" w:rsidR="00D90D35" w:rsidRPr="003A67F8" w:rsidRDefault="00D90D35">
      <w:pPr>
        <w:pStyle w:val="FootnoteText"/>
      </w:pPr>
      <w:r>
        <w:rPr>
          <w:rStyle w:val="FootnoteReference"/>
        </w:rPr>
        <w:footnoteRef/>
      </w:r>
      <w:r>
        <w:t xml:space="preserve"> </w:t>
      </w:r>
      <w:r>
        <w:rPr>
          <w:i/>
        </w:rPr>
        <w:t xml:space="preserve">Id. </w:t>
      </w:r>
      <w:r>
        <w:t>at 1372.</w:t>
      </w:r>
    </w:p>
  </w:footnote>
  <w:footnote w:id="225">
    <w:p w14:paraId="2678125A" w14:textId="5E9ECA9F" w:rsidR="00D90D35" w:rsidRPr="00774A97" w:rsidRDefault="00D90D35" w:rsidP="00E52618">
      <w:pPr>
        <w:pStyle w:val="FootnoteText"/>
      </w:pPr>
      <w:r>
        <w:rPr>
          <w:rStyle w:val="FootnoteReference"/>
        </w:rPr>
        <w:footnoteRef/>
      </w:r>
      <w:r>
        <w:t xml:space="preserve"> </w:t>
      </w:r>
      <w:r>
        <w:rPr>
          <w:i/>
        </w:rPr>
        <w:t xml:space="preserve">Id. </w:t>
      </w:r>
      <w:r>
        <w:t>(collecting cases).</w:t>
      </w:r>
    </w:p>
  </w:footnote>
  <w:footnote w:id="226">
    <w:p w14:paraId="72B943B7" w14:textId="0FD07240" w:rsidR="00D90D35" w:rsidRPr="007A6C27" w:rsidRDefault="00D90D35">
      <w:pPr>
        <w:pStyle w:val="FootnoteText"/>
      </w:pPr>
      <w:r>
        <w:rPr>
          <w:rStyle w:val="FootnoteReference"/>
        </w:rPr>
        <w:footnoteRef/>
      </w:r>
      <w:r>
        <w:t xml:space="preserve"> </w:t>
      </w:r>
      <w:r>
        <w:rPr>
          <w:i/>
        </w:rPr>
        <w:t xml:space="preserve">Id. </w:t>
      </w:r>
      <w:r>
        <w:t>at 1373.</w:t>
      </w:r>
    </w:p>
  </w:footnote>
  <w:footnote w:id="227">
    <w:p w14:paraId="30D8E587" w14:textId="1244AEAD" w:rsidR="00D90D35" w:rsidRPr="007A6C27" w:rsidRDefault="00D90D35" w:rsidP="00564132">
      <w:pPr>
        <w:pStyle w:val="FootnoteText"/>
      </w:pPr>
      <w:r>
        <w:rPr>
          <w:rStyle w:val="FootnoteReference"/>
        </w:rPr>
        <w:footnoteRef/>
      </w:r>
      <w:r>
        <w:t xml:space="preserve"> </w:t>
      </w:r>
      <w:r>
        <w:rPr>
          <w:i/>
        </w:rPr>
        <w:t>Id.</w:t>
      </w:r>
    </w:p>
  </w:footnote>
  <w:footnote w:id="228">
    <w:p w14:paraId="012C37AE" w14:textId="5F5F4612" w:rsidR="00D90D35" w:rsidRDefault="00D90D35">
      <w:pPr>
        <w:pStyle w:val="FootnoteText"/>
      </w:pPr>
      <w:r w:rsidRPr="005A669A">
        <w:rPr>
          <w:rStyle w:val="FootnoteReference"/>
        </w:rPr>
        <w:footnoteRef/>
      </w:r>
      <w:r>
        <w:t xml:space="preserve"> </w:t>
      </w:r>
      <w:r w:rsidRPr="00D939B9">
        <w:t>Natural Alternatives Int’l, Inc. v. Creative Compounds, LLC, 918 F.3d 1338</w:t>
      </w:r>
      <w:r>
        <w:t>, 1346-47</w:t>
      </w:r>
      <w:r w:rsidRPr="00D939B9">
        <w:t xml:space="preserve"> (Fed. Cir. 2019)</w:t>
      </w:r>
      <w:r>
        <w:t>.</w:t>
      </w:r>
    </w:p>
  </w:footnote>
  <w:footnote w:id="229">
    <w:p w14:paraId="63BE5547" w14:textId="69C89FD6" w:rsidR="00D90D35" w:rsidRPr="00C365A3" w:rsidRDefault="00D90D35">
      <w:pPr>
        <w:pStyle w:val="FootnoteText"/>
      </w:pPr>
      <w:r w:rsidRPr="005A669A">
        <w:rPr>
          <w:rStyle w:val="FootnoteReference"/>
        </w:rPr>
        <w:footnoteRef/>
      </w:r>
      <w:r>
        <w:t xml:space="preserve"> </w:t>
      </w:r>
      <w:r>
        <w:rPr>
          <w:i/>
        </w:rPr>
        <w:t xml:space="preserve">Id. </w:t>
      </w:r>
      <w:r>
        <w:t>at 1350-55 (Reyna, J., dissenting in part and concurring in part).</w:t>
      </w:r>
    </w:p>
  </w:footnote>
  <w:footnote w:id="230">
    <w:p w14:paraId="484FCEDB" w14:textId="10205264" w:rsidR="00D90D35" w:rsidRPr="005C55D7" w:rsidRDefault="00D90D35">
      <w:pPr>
        <w:pStyle w:val="FootnoteText"/>
      </w:pPr>
      <w:r w:rsidRPr="005A669A">
        <w:rPr>
          <w:rStyle w:val="FootnoteReference"/>
        </w:rPr>
        <w:footnoteRef/>
      </w:r>
      <w:r>
        <w:t xml:space="preserve"> </w:t>
      </w:r>
      <w:r>
        <w:rPr>
          <w:i/>
        </w:rPr>
        <w:t xml:space="preserve">Id. </w:t>
      </w:r>
      <w:r>
        <w:t>at 1341</w:t>
      </w:r>
      <w:r>
        <w:rPr>
          <w:i/>
        </w:rPr>
        <w:t xml:space="preserve"> </w:t>
      </w:r>
      <w:r>
        <w:t xml:space="preserve">(quoting U.S. Patent No. 5,965,596 col. 2 ll. 16-18); </w:t>
      </w:r>
      <w:r>
        <w:rPr>
          <w:i/>
        </w:rPr>
        <w:t xml:space="preserve">see also id. </w:t>
      </w:r>
      <w:r>
        <w:t>at 1343-44.</w:t>
      </w:r>
    </w:p>
  </w:footnote>
  <w:footnote w:id="231">
    <w:p w14:paraId="7B50F6D5" w14:textId="4E53EE91" w:rsidR="00D90D35" w:rsidRPr="00A318A0" w:rsidRDefault="00D90D35">
      <w:pPr>
        <w:pStyle w:val="FootnoteText"/>
      </w:pPr>
      <w:r w:rsidRPr="005A669A">
        <w:rPr>
          <w:rStyle w:val="FootnoteReference"/>
        </w:rPr>
        <w:footnoteRef/>
      </w:r>
      <w:r>
        <w:t xml:space="preserve"> </w:t>
      </w:r>
      <w:r>
        <w:rPr>
          <w:i/>
        </w:rPr>
        <w:t xml:space="preserve">Id. </w:t>
      </w:r>
      <w:r>
        <w:t>at 1342, 1344.</w:t>
      </w:r>
    </w:p>
  </w:footnote>
  <w:footnote w:id="232">
    <w:p w14:paraId="35DF7674" w14:textId="1E5A7606" w:rsidR="00D90D35" w:rsidRPr="00B75A75" w:rsidRDefault="00D90D35">
      <w:pPr>
        <w:pStyle w:val="FootnoteText"/>
      </w:pPr>
      <w:r w:rsidRPr="005A669A">
        <w:rPr>
          <w:rStyle w:val="FootnoteReference"/>
        </w:rPr>
        <w:footnoteRef/>
      </w:r>
      <w:r>
        <w:t xml:space="preserve"> </w:t>
      </w:r>
      <w:r>
        <w:rPr>
          <w:i/>
        </w:rPr>
        <w:t xml:space="preserve">Id. </w:t>
      </w:r>
      <w:r>
        <w:t>at 1344.</w:t>
      </w:r>
    </w:p>
  </w:footnote>
  <w:footnote w:id="233">
    <w:p w14:paraId="7C8FD2C0" w14:textId="294BC37A" w:rsidR="00D90D35" w:rsidRPr="00B75A75" w:rsidRDefault="00D90D35">
      <w:pPr>
        <w:pStyle w:val="FootnoteText"/>
      </w:pPr>
      <w:r w:rsidRPr="005A669A">
        <w:rPr>
          <w:rStyle w:val="FootnoteReference"/>
        </w:rPr>
        <w:footnoteRef/>
      </w:r>
      <w:r>
        <w:t xml:space="preserve"> </w:t>
      </w:r>
      <w:r>
        <w:rPr>
          <w:i/>
        </w:rPr>
        <w:t xml:space="preserve">Id. </w:t>
      </w:r>
      <w:r>
        <w:t xml:space="preserve">(citing </w:t>
      </w:r>
      <w:r w:rsidRPr="00B75A75">
        <w:t xml:space="preserve">Vanda </w:t>
      </w:r>
      <w:r>
        <w:t>Pharms.</w:t>
      </w:r>
      <w:r w:rsidRPr="00B75A75">
        <w:t xml:space="preserve"> Inc. v. West-Ward </w:t>
      </w:r>
      <w:r>
        <w:t>Pharms.</w:t>
      </w:r>
      <w:r w:rsidRPr="00B75A75">
        <w:t xml:space="preserve"> </w:t>
      </w:r>
      <w:r>
        <w:t>Int’l</w:t>
      </w:r>
      <w:r w:rsidRPr="00B75A75">
        <w:t xml:space="preserve"> Ltd., 887 F.3d 1117, 1134–36 (Fed. Cir. 2018)</w:t>
      </w:r>
      <w:r>
        <w:t>).</w:t>
      </w:r>
    </w:p>
  </w:footnote>
  <w:footnote w:id="234">
    <w:p w14:paraId="2ED1B4FD" w14:textId="27AB8266" w:rsidR="00D90D35" w:rsidRDefault="00D90D35">
      <w:pPr>
        <w:pStyle w:val="FootnoteText"/>
      </w:pPr>
      <w:r w:rsidRPr="005A669A">
        <w:rPr>
          <w:rStyle w:val="FootnoteReference"/>
        </w:rPr>
        <w:footnoteRef/>
      </w:r>
      <w:r>
        <w:t xml:space="preserve"> </w:t>
      </w:r>
      <w:r>
        <w:rPr>
          <w:i/>
        </w:rPr>
        <w:t xml:space="preserve">Id. </w:t>
      </w:r>
      <w:r>
        <w:t>at 1344-45</w:t>
      </w:r>
      <w:r>
        <w:rPr>
          <w:i/>
        </w:rPr>
        <w:t xml:space="preserve"> </w:t>
      </w:r>
      <w:r>
        <w:t xml:space="preserve">(citing </w:t>
      </w:r>
      <w:r w:rsidRPr="00BD7D34">
        <w:t>Vanda</w:t>
      </w:r>
      <w:r>
        <w:t>, 887 F.3d at 1135).</w:t>
      </w:r>
    </w:p>
  </w:footnote>
  <w:footnote w:id="235">
    <w:p w14:paraId="5858AAB3" w14:textId="5D4965C2" w:rsidR="00D90D35" w:rsidRPr="007F19E2" w:rsidRDefault="00D90D35">
      <w:pPr>
        <w:pStyle w:val="FootnoteText"/>
      </w:pPr>
      <w:r w:rsidRPr="005A669A">
        <w:rPr>
          <w:rStyle w:val="FootnoteReference"/>
        </w:rPr>
        <w:footnoteRef/>
      </w:r>
      <w:r>
        <w:t xml:space="preserve"> </w:t>
      </w:r>
      <w:r>
        <w:rPr>
          <w:i/>
        </w:rPr>
        <w:t xml:space="preserve">Id. </w:t>
      </w:r>
      <w:r>
        <w:t>at 1345-46.</w:t>
      </w:r>
    </w:p>
  </w:footnote>
  <w:footnote w:id="236">
    <w:p w14:paraId="10B42023" w14:textId="4F7F321E" w:rsidR="00D90D35" w:rsidRPr="0086223C" w:rsidRDefault="00D90D35">
      <w:pPr>
        <w:pStyle w:val="FootnoteText"/>
        <w:rPr>
          <w:i/>
        </w:rPr>
      </w:pPr>
      <w:r w:rsidRPr="005A669A">
        <w:rPr>
          <w:rStyle w:val="FootnoteReference"/>
        </w:rPr>
        <w:footnoteRef/>
      </w:r>
      <w:r>
        <w:t xml:space="preserve"> </w:t>
      </w:r>
      <w:r>
        <w:rPr>
          <w:i/>
        </w:rPr>
        <w:t xml:space="preserve">Id. </w:t>
      </w:r>
      <w:r>
        <w:t>at 1345</w:t>
      </w:r>
      <w:r>
        <w:rPr>
          <w:i/>
        </w:rPr>
        <w:t xml:space="preserve"> </w:t>
      </w:r>
      <w:r>
        <w:t xml:space="preserve">(citing </w:t>
      </w:r>
      <w:r w:rsidRPr="00BD7D34">
        <w:t>Mayo Collaborative Servs. v. Prometheus Labs., Inc., 566 U.S. 66,</w:t>
      </w:r>
      <w:r>
        <w:t xml:space="preserve"> 75-76 </w:t>
      </w:r>
      <w:r w:rsidRPr="00BD7D34">
        <w:t>(2012)</w:t>
      </w:r>
      <w:r>
        <w:t>).</w:t>
      </w:r>
    </w:p>
  </w:footnote>
  <w:footnote w:id="237">
    <w:p w14:paraId="1280BFC0" w14:textId="331314F7" w:rsidR="00D90D35" w:rsidRPr="00ED6218" w:rsidRDefault="00D90D35">
      <w:pPr>
        <w:pStyle w:val="FootnoteText"/>
      </w:pPr>
      <w:r w:rsidRPr="005A669A">
        <w:rPr>
          <w:rStyle w:val="FootnoteReference"/>
        </w:rPr>
        <w:footnoteRef/>
      </w:r>
      <w:r>
        <w:t xml:space="preserve"> </w:t>
      </w:r>
      <w:r>
        <w:rPr>
          <w:i/>
        </w:rPr>
        <w:t xml:space="preserve">Id. </w:t>
      </w:r>
      <w:r>
        <w:t>at 1346.</w:t>
      </w:r>
    </w:p>
  </w:footnote>
  <w:footnote w:id="238">
    <w:p w14:paraId="5B41649A" w14:textId="40017659" w:rsidR="00D90D35" w:rsidRPr="00B2482E" w:rsidRDefault="00D90D35">
      <w:pPr>
        <w:pStyle w:val="FootnoteText"/>
      </w:pPr>
      <w:r w:rsidRPr="005A669A">
        <w:rPr>
          <w:rStyle w:val="FootnoteReference"/>
        </w:rPr>
        <w:footnoteRef/>
      </w:r>
      <w:r>
        <w:t xml:space="preserve"> </w:t>
      </w:r>
      <w:r>
        <w:rPr>
          <w:i/>
        </w:rPr>
        <w:t xml:space="preserve">Id. </w:t>
      </w:r>
      <w:r>
        <w:t>at 1347.</w:t>
      </w:r>
    </w:p>
  </w:footnote>
  <w:footnote w:id="239">
    <w:p w14:paraId="6123A494" w14:textId="6B7C0BB5" w:rsidR="00D90D35" w:rsidRPr="00297CB2" w:rsidRDefault="00D90D35">
      <w:pPr>
        <w:pStyle w:val="FootnoteText"/>
      </w:pPr>
      <w:r w:rsidRPr="005A669A">
        <w:rPr>
          <w:rStyle w:val="FootnoteReference"/>
        </w:rPr>
        <w:footnoteRef/>
      </w:r>
      <w:r>
        <w:t xml:space="preserve"> </w:t>
      </w:r>
      <w:r>
        <w:rPr>
          <w:i/>
        </w:rPr>
        <w:t xml:space="preserve">Id. </w:t>
      </w:r>
      <w:r>
        <w:t xml:space="preserve">at 1348. Another patent, the ’947, was determined to have been not asserted and not properly before the court. </w:t>
      </w:r>
      <w:r>
        <w:rPr>
          <w:i/>
        </w:rPr>
        <w:t>Id.</w:t>
      </w:r>
    </w:p>
  </w:footnote>
  <w:footnote w:id="240">
    <w:p w14:paraId="34DE5553" w14:textId="28E31F6F" w:rsidR="00D90D35" w:rsidRPr="003324ED" w:rsidRDefault="00D90D35">
      <w:pPr>
        <w:pStyle w:val="FootnoteText"/>
      </w:pPr>
      <w:r w:rsidRPr="005A669A">
        <w:rPr>
          <w:rStyle w:val="FootnoteReference"/>
        </w:rPr>
        <w:footnoteRef/>
      </w:r>
      <w:r>
        <w:t xml:space="preserve"> </w:t>
      </w:r>
      <w:r>
        <w:rPr>
          <w:i/>
        </w:rPr>
        <w:t>Id.</w:t>
      </w:r>
    </w:p>
  </w:footnote>
  <w:footnote w:id="241">
    <w:p w14:paraId="221B377A" w14:textId="77777777" w:rsidR="00D90D35" w:rsidRPr="003324ED" w:rsidRDefault="00D90D35" w:rsidP="003324ED">
      <w:pPr>
        <w:pStyle w:val="FootnoteText"/>
      </w:pPr>
      <w:r w:rsidRPr="005A669A">
        <w:rPr>
          <w:rStyle w:val="FootnoteReference"/>
        </w:rPr>
        <w:footnoteRef/>
      </w:r>
      <w:r>
        <w:t xml:space="preserve"> </w:t>
      </w:r>
      <w:r>
        <w:rPr>
          <w:i/>
        </w:rPr>
        <w:t>Id.</w:t>
      </w:r>
    </w:p>
  </w:footnote>
  <w:footnote w:id="242">
    <w:p w14:paraId="2159BF61" w14:textId="77777777" w:rsidR="00D90D35" w:rsidRPr="003324ED" w:rsidRDefault="00D90D35" w:rsidP="00BD1712">
      <w:pPr>
        <w:pStyle w:val="FootnoteText"/>
      </w:pPr>
      <w:r w:rsidRPr="005A669A">
        <w:rPr>
          <w:rStyle w:val="FootnoteReference"/>
        </w:rPr>
        <w:footnoteRef/>
      </w:r>
      <w:r>
        <w:t xml:space="preserve"> </w:t>
      </w:r>
      <w:r>
        <w:rPr>
          <w:i/>
        </w:rPr>
        <w:t>Id.</w:t>
      </w:r>
    </w:p>
  </w:footnote>
  <w:footnote w:id="243">
    <w:p w14:paraId="429FA0B8" w14:textId="1ABFFDE9" w:rsidR="00D90D35" w:rsidRPr="006C38D4" w:rsidRDefault="00D90D35" w:rsidP="006C38D4">
      <w:pPr>
        <w:pStyle w:val="FootnoteText"/>
      </w:pPr>
      <w:r w:rsidRPr="005A669A">
        <w:rPr>
          <w:rStyle w:val="FootnoteReference"/>
        </w:rPr>
        <w:footnoteRef/>
      </w:r>
      <w:r>
        <w:t xml:space="preserve"> </w:t>
      </w:r>
      <w:r>
        <w:rPr>
          <w:i/>
        </w:rPr>
        <w:t xml:space="preserve">Id. </w:t>
      </w:r>
      <w:r>
        <w:t>at 1348-49.</w:t>
      </w:r>
    </w:p>
  </w:footnote>
  <w:footnote w:id="244">
    <w:p w14:paraId="3F683370" w14:textId="2612C963" w:rsidR="00D90D35" w:rsidRPr="003E5F81" w:rsidRDefault="00D90D35">
      <w:pPr>
        <w:pStyle w:val="FootnoteText"/>
      </w:pPr>
      <w:r w:rsidRPr="005A669A">
        <w:rPr>
          <w:rStyle w:val="FootnoteReference"/>
        </w:rPr>
        <w:footnoteRef/>
      </w:r>
      <w:r>
        <w:t xml:space="preserve"> </w:t>
      </w:r>
      <w:r>
        <w:rPr>
          <w:i/>
        </w:rPr>
        <w:t xml:space="preserve">Id. </w:t>
      </w:r>
      <w:r>
        <w:t xml:space="preserve">at 1349 (citing </w:t>
      </w:r>
      <w:r w:rsidRPr="003E5F81">
        <w:t>Funk</w:t>
      </w:r>
      <w:r>
        <w:t xml:space="preserve"> </w:t>
      </w:r>
      <w:r w:rsidRPr="003E5F81">
        <w:t>Brothers</w:t>
      </w:r>
      <w:r>
        <w:t xml:space="preserve"> </w:t>
      </w:r>
      <w:r w:rsidRPr="003E5F81">
        <w:t>Seed</w:t>
      </w:r>
      <w:r>
        <w:t xml:space="preserve"> </w:t>
      </w:r>
      <w:r w:rsidRPr="003E5F81">
        <w:t>Co.</w:t>
      </w:r>
      <w:r>
        <w:t> </w:t>
      </w:r>
      <w:r w:rsidRPr="003E5F81">
        <w:t>v.</w:t>
      </w:r>
      <w:r>
        <w:t xml:space="preserve"> </w:t>
      </w:r>
      <w:r w:rsidRPr="003E5F81">
        <w:t>Kalo</w:t>
      </w:r>
      <w:r>
        <w:t xml:space="preserve"> </w:t>
      </w:r>
      <w:r w:rsidRPr="003E5F81">
        <w:t>Inoculant</w:t>
      </w:r>
      <w:r>
        <w:t xml:space="preserve"> </w:t>
      </w:r>
      <w:r w:rsidRPr="003E5F81">
        <w:t>Co.,</w:t>
      </w:r>
      <w:r>
        <w:t xml:space="preserve"> </w:t>
      </w:r>
      <w:r w:rsidRPr="003E5F81">
        <w:t>333</w:t>
      </w:r>
      <w:r>
        <w:t xml:space="preserve"> </w:t>
      </w:r>
      <w:r w:rsidRPr="003E5F81">
        <w:t>U.S.</w:t>
      </w:r>
      <w:r>
        <w:t xml:space="preserve"> </w:t>
      </w:r>
      <w:r w:rsidRPr="003E5F81">
        <w:t>127,</w:t>
      </w:r>
      <w:r>
        <w:t xml:space="preserve"> 131 </w:t>
      </w:r>
      <w:r w:rsidRPr="003E5F81">
        <w:t>(1948)</w:t>
      </w:r>
      <w:r>
        <w:t>).</w:t>
      </w:r>
    </w:p>
  </w:footnote>
  <w:footnote w:id="245">
    <w:p w14:paraId="2B2CC976" w14:textId="251EA749" w:rsidR="00D90D35" w:rsidRPr="00CA178C" w:rsidRDefault="00D90D35">
      <w:pPr>
        <w:pStyle w:val="FootnoteText"/>
        <w:rPr>
          <w:i/>
        </w:rPr>
      </w:pPr>
      <w:r w:rsidRPr="005A669A">
        <w:rPr>
          <w:rStyle w:val="FootnoteReference"/>
        </w:rPr>
        <w:footnoteRef/>
      </w:r>
      <w:r>
        <w:t xml:space="preserve"> </w:t>
      </w:r>
      <w:r>
        <w:rPr>
          <w:i/>
        </w:rPr>
        <w:t xml:space="preserve">Id. </w:t>
      </w:r>
    </w:p>
  </w:footnote>
  <w:footnote w:id="246">
    <w:p w14:paraId="2D769B1C" w14:textId="2A0305A0" w:rsidR="00D90D35" w:rsidRPr="0004135E" w:rsidRDefault="00D90D35">
      <w:pPr>
        <w:pStyle w:val="FootnoteText"/>
      </w:pPr>
      <w:r w:rsidRPr="005A669A">
        <w:rPr>
          <w:rStyle w:val="FootnoteReference"/>
        </w:rPr>
        <w:footnoteRef/>
      </w:r>
      <w:r>
        <w:t xml:space="preserve"> </w:t>
      </w:r>
      <w:r>
        <w:rPr>
          <w:i/>
        </w:rPr>
        <w:t xml:space="preserve">Id. </w:t>
      </w:r>
      <w:r>
        <w:t>at 1349-50.</w:t>
      </w:r>
    </w:p>
  </w:footnote>
  <w:footnote w:id="247">
    <w:p w14:paraId="45185B86" w14:textId="32B39BB8" w:rsidR="00D90D35" w:rsidRPr="0004135E" w:rsidRDefault="00D90D35" w:rsidP="00A05BD4">
      <w:pPr>
        <w:pStyle w:val="FootnoteText"/>
      </w:pPr>
      <w:r w:rsidRPr="005A669A">
        <w:rPr>
          <w:rStyle w:val="FootnoteReference"/>
        </w:rPr>
        <w:footnoteRef/>
      </w:r>
      <w:r>
        <w:t xml:space="preserve"> </w:t>
      </w:r>
      <w:r>
        <w:rPr>
          <w:i/>
        </w:rPr>
        <w:t xml:space="preserve">Id. </w:t>
      </w:r>
      <w:r>
        <w:t>at 1350.</w:t>
      </w:r>
    </w:p>
  </w:footnote>
  <w:footnote w:id="248">
    <w:p w14:paraId="2DCC38EB" w14:textId="0573904F" w:rsidR="00D90D35" w:rsidRPr="00FA6803" w:rsidRDefault="00D90D35">
      <w:pPr>
        <w:pStyle w:val="FootnoteText"/>
      </w:pPr>
      <w:r w:rsidRPr="005A669A">
        <w:rPr>
          <w:rStyle w:val="FootnoteReference"/>
        </w:rPr>
        <w:footnoteRef/>
      </w:r>
      <w:r>
        <w:t xml:space="preserve"> </w:t>
      </w:r>
      <w:r>
        <w:rPr>
          <w:i/>
        </w:rPr>
        <w:t xml:space="preserve">Id. </w:t>
      </w:r>
      <w:r>
        <w:t>at 1344.</w:t>
      </w:r>
    </w:p>
  </w:footnote>
  <w:footnote w:id="249">
    <w:p w14:paraId="2F8B36C2" w14:textId="2DD00BDB" w:rsidR="00D90D35" w:rsidRPr="007515D2" w:rsidRDefault="00D90D35">
      <w:pPr>
        <w:pStyle w:val="FootnoteText"/>
      </w:pPr>
      <w:r w:rsidRPr="005A669A">
        <w:rPr>
          <w:rStyle w:val="FootnoteReference"/>
        </w:rPr>
        <w:footnoteRef/>
      </w:r>
      <w:r>
        <w:t xml:space="preserve"> </w:t>
      </w:r>
      <w:r>
        <w:rPr>
          <w:i/>
        </w:rPr>
        <w:t xml:space="preserve">Id. </w:t>
      </w:r>
      <w:r>
        <w:t>at 1351 (Reyna, J., concurring in part).</w:t>
      </w:r>
    </w:p>
  </w:footnote>
  <w:footnote w:id="250">
    <w:p w14:paraId="13791CEE" w14:textId="4A277BAF" w:rsidR="00D90D35" w:rsidRPr="00EA4696" w:rsidRDefault="00D90D35">
      <w:pPr>
        <w:pStyle w:val="FootnoteText"/>
      </w:pPr>
      <w:r w:rsidRPr="005A669A">
        <w:rPr>
          <w:rStyle w:val="FootnoteReference"/>
        </w:rPr>
        <w:footnoteRef/>
      </w:r>
      <w:r>
        <w:t xml:space="preserve"> </w:t>
      </w:r>
      <w:r>
        <w:rPr>
          <w:i/>
        </w:rPr>
        <w:t xml:space="preserve">Id. </w:t>
      </w:r>
      <w:r>
        <w:t>at 1354.</w:t>
      </w:r>
    </w:p>
  </w:footnote>
  <w:footnote w:id="251">
    <w:p w14:paraId="489CA60F" w14:textId="16F528BB" w:rsidR="00D90D35" w:rsidRPr="007771ED" w:rsidRDefault="00D90D35" w:rsidP="007771ED">
      <w:pPr>
        <w:pStyle w:val="FootnoteText"/>
        <w:rPr>
          <w:rFonts w:cs="Times New Roman"/>
          <w:szCs w:val="22"/>
          <w:lang w:val="es-ES"/>
        </w:rPr>
      </w:pPr>
      <w:r w:rsidRPr="005A669A">
        <w:rPr>
          <w:rStyle w:val="FootnoteReference"/>
        </w:rPr>
        <w:footnoteRef/>
      </w:r>
      <w:r w:rsidRPr="007F1307">
        <w:rPr>
          <w:rFonts w:cs="Times New Roman"/>
          <w:szCs w:val="22"/>
        </w:rPr>
        <w:t xml:space="preserve"> </w:t>
      </w:r>
      <w:r w:rsidRPr="007771ED">
        <w:rPr>
          <w:rFonts w:cs="Times New Roman"/>
          <w:szCs w:val="22"/>
        </w:rPr>
        <w:t xml:space="preserve">Endo Pharms. Inc. v. Teva Pharms. </w:t>
      </w:r>
      <w:r w:rsidRPr="007771ED">
        <w:rPr>
          <w:rFonts w:cs="Times New Roman"/>
          <w:szCs w:val="22"/>
          <w:lang w:val="es-ES"/>
        </w:rPr>
        <w:t>USA, Inc., 919 F.3d 1347</w:t>
      </w:r>
      <w:r>
        <w:rPr>
          <w:rFonts w:cs="Times New Roman"/>
          <w:szCs w:val="22"/>
          <w:lang w:val="es-ES"/>
        </w:rPr>
        <w:t>, 1348</w:t>
      </w:r>
      <w:r w:rsidRPr="007771ED">
        <w:rPr>
          <w:rFonts w:cs="Times New Roman"/>
          <w:szCs w:val="22"/>
          <w:lang w:val="es-ES"/>
        </w:rPr>
        <w:t xml:space="preserve"> (Fed. Cir. 2019)</w:t>
      </w:r>
      <w:r>
        <w:rPr>
          <w:rFonts w:cs="Times New Roman"/>
          <w:szCs w:val="22"/>
          <w:lang w:val="es-ES"/>
        </w:rPr>
        <w:t>.</w:t>
      </w:r>
    </w:p>
  </w:footnote>
  <w:footnote w:id="252">
    <w:p w14:paraId="32B5240E" w14:textId="5CEF0A53" w:rsidR="00D90D35" w:rsidRPr="004B01C5" w:rsidRDefault="00D90D35">
      <w:pPr>
        <w:pStyle w:val="FootnoteText"/>
      </w:pPr>
      <w:r w:rsidRPr="005A669A">
        <w:rPr>
          <w:rStyle w:val="FootnoteReference"/>
        </w:rPr>
        <w:footnoteRef/>
      </w:r>
      <w:r>
        <w:t xml:space="preserve"> </w:t>
      </w:r>
      <w:r>
        <w:rPr>
          <w:i/>
        </w:rPr>
        <w:t xml:space="preserve">Id. </w:t>
      </w:r>
      <w:r>
        <w:t>at 1349-50.</w:t>
      </w:r>
    </w:p>
  </w:footnote>
  <w:footnote w:id="253">
    <w:p w14:paraId="0FE53D95" w14:textId="218A67C3" w:rsidR="00D90D35" w:rsidRPr="00B56EDF" w:rsidRDefault="00D90D35" w:rsidP="00F929F2">
      <w:pPr>
        <w:pStyle w:val="FootnoteText"/>
      </w:pPr>
      <w:r w:rsidRPr="005A669A">
        <w:rPr>
          <w:rStyle w:val="FootnoteReference"/>
        </w:rPr>
        <w:footnoteRef/>
      </w:r>
      <w:r>
        <w:t xml:space="preserve"> </w:t>
      </w:r>
      <w:r>
        <w:rPr>
          <w:i/>
        </w:rPr>
        <w:t xml:space="preserve">Id. </w:t>
      </w:r>
      <w:r>
        <w:t>at 1351 (quoting</w:t>
      </w:r>
      <w:r w:rsidRPr="00A0798A">
        <w:t xml:space="preserve"> Endo Pharms. Inc.</w:t>
      </w:r>
      <w:r>
        <w:t> </w:t>
      </w:r>
      <w:r w:rsidRPr="00A0798A">
        <w:t xml:space="preserve">v. Actavis Inc., No. 14-cv-1381-RGA, </w:t>
      </w:r>
      <w:r>
        <w:t>2015 WL 5580488, at *6 (D. Del. Sept. 23, 2015)).</w:t>
      </w:r>
    </w:p>
  </w:footnote>
  <w:footnote w:id="254">
    <w:p w14:paraId="3304F4EB" w14:textId="25B4CAA0" w:rsidR="00D90D35" w:rsidRPr="0082565B" w:rsidRDefault="00D90D35">
      <w:pPr>
        <w:pStyle w:val="FootnoteText"/>
      </w:pPr>
      <w:r w:rsidRPr="005A669A">
        <w:rPr>
          <w:rStyle w:val="FootnoteReference"/>
        </w:rPr>
        <w:footnoteRef/>
      </w:r>
      <w:r>
        <w:t xml:space="preserve"> </w:t>
      </w:r>
      <w:r>
        <w:rPr>
          <w:i/>
        </w:rPr>
        <w:t xml:space="preserve">Id. </w:t>
      </w:r>
      <w:r>
        <w:t>at 1351-52.</w:t>
      </w:r>
    </w:p>
  </w:footnote>
  <w:footnote w:id="255">
    <w:p w14:paraId="31D03194" w14:textId="7B0DE0EA" w:rsidR="00D90D35" w:rsidRPr="002B2DE3" w:rsidRDefault="00D90D35">
      <w:pPr>
        <w:pStyle w:val="FootnoteText"/>
      </w:pPr>
      <w:r w:rsidRPr="005A669A">
        <w:rPr>
          <w:rStyle w:val="FootnoteReference"/>
        </w:rPr>
        <w:footnoteRef/>
      </w:r>
      <w:r>
        <w:t xml:space="preserve"> </w:t>
      </w:r>
      <w:r>
        <w:rPr>
          <w:i/>
        </w:rPr>
        <w:t xml:space="preserve">Id. </w:t>
      </w:r>
      <w:r>
        <w:t>at 1353.</w:t>
      </w:r>
    </w:p>
  </w:footnote>
  <w:footnote w:id="256">
    <w:p w14:paraId="20FE5176" w14:textId="09C444EF" w:rsidR="00D90D35" w:rsidRPr="00B06127" w:rsidRDefault="00D90D35" w:rsidP="00B06127">
      <w:pPr>
        <w:pStyle w:val="FootnoteText"/>
      </w:pPr>
      <w:r w:rsidRPr="005A669A">
        <w:rPr>
          <w:rStyle w:val="FootnoteReference"/>
        </w:rPr>
        <w:footnoteRef/>
      </w:r>
      <w:r>
        <w:t xml:space="preserve"> </w:t>
      </w:r>
      <w:r>
        <w:rPr>
          <w:i/>
        </w:rPr>
        <w:t xml:space="preserve">Id. </w:t>
      </w:r>
      <w:r>
        <w:t xml:space="preserve">at 1353 (quoting </w:t>
      </w:r>
      <w:r w:rsidRPr="007F1307">
        <w:rPr>
          <w:rFonts w:cs="Times New Roman"/>
          <w:szCs w:val="22"/>
        </w:rPr>
        <w:t>Vanda Pharms. Inc. v. West-Ward Pharms. Int’l Ltd., 887 F.3d 1117, 1121 (Fed. Cir. 2018).</w:t>
      </w:r>
    </w:p>
  </w:footnote>
  <w:footnote w:id="257">
    <w:p w14:paraId="75B1A29B" w14:textId="49954C3B" w:rsidR="00D90D35" w:rsidRPr="00B06127" w:rsidRDefault="00D90D35" w:rsidP="00F004A3">
      <w:pPr>
        <w:pStyle w:val="FootnoteText"/>
      </w:pPr>
      <w:r w:rsidRPr="005A669A">
        <w:rPr>
          <w:rStyle w:val="FootnoteReference"/>
        </w:rPr>
        <w:footnoteRef/>
      </w:r>
      <w:r>
        <w:t xml:space="preserve"> </w:t>
      </w:r>
      <w:r>
        <w:rPr>
          <w:i/>
        </w:rPr>
        <w:t xml:space="preserve">Id. </w:t>
      </w:r>
    </w:p>
  </w:footnote>
  <w:footnote w:id="258">
    <w:p w14:paraId="38DF967D" w14:textId="2DFE79EC" w:rsidR="00D90D35" w:rsidRPr="00794342" w:rsidRDefault="00D90D35">
      <w:pPr>
        <w:pStyle w:val="FootnoteText"/>
      </w:pPr>
      <w:r w:rsidRPr="005A669A">
        <w:rPr>
          <w:rStyle w:val="FootnoteReference"/>
        </w:rPr>
        <w:footnoteRef/>
      </w:r>
      <w:r>
        <w:t xml:space="preserve"> </w:t>
      </w:r>
      <w:r>
        <w:rPr>
          <w:i/>
        </w:rPr>
        <w:t xml:space="preserve">Id. </w:t>
      </w:r>
      <w:r>
        <w:t>at 1353-54.</w:t>
      </w:r>
    </w:p>
  </w:footnote>
  <w:footnote w:id="259">
    <w:p w14:paraId="71237AC1" w14:textId="77777777" w:rsidR="00D90D35" w:rsidRPr="00B707C4" w:rsidRDefault="00D90D35" w:rsidP="008716DF">
      <w:pPr>
        <w:pStyle w:val="FootnoteText"/>
      </w:pPr>
      <w:r w:rsidRPr="005A669A">
        <w:rPr>
          <w:rStyle w:val="FootnoteReference"/>
        </w:rPr>
        <w:footnoteRef/>
      </w:r>
      <w:r>
        <w:t xml:space="preserve"> </w:t>
      </w:r>
      <w:r>
        <w:rPr>
          <w:i/>
        </w:rPr>
        <w:t xml:space="preserve">Id. </w:t>
      </w:r>
      <w:r>
        <w:t>at 1355.</w:t>
      </w:r>
    </w:p>
  </w:footnote>
  <w:footnote w:id="260">
    <w:p w14:paraId="51BB23B2" w14:textId="77777777" w:rsidR="00D90D35" w:rsidRPr="004F1971" w:rsidRDefault="00D90D35" w:rsidP="00DB4A16">
      <w:pPr>
        <w:pStyle w:val="FootnoteText"/>
      </w:pPr>
      <w:r w:rsidRPr="005A669A">
        <w:rPr>
          <w:rStyle w:val="FootnoteReference"/>
        </w:rPr>
        <w:footnoteRef/>
      </w:r>
      <w:r>
        <w:t xml:space="preserve"> </w:t>
      </w:r>
      <w:r>
        <w:rPr>
          <w:i/>
        </w:rPr>
        <w:t xml:space="preserve">See id. </w:t>
      </w:r>
      <w:r>
        <w:t xml:space="preserve">at 1356 (discussing </w:t>
      </w:r>
      <w:r w:rsidRPr="004F1971">
        <w:t>Ariosa Diagnostics, Inc. v. Sequenom, Inc., 788 F.3d 1371 (Fed. Cir. 2015)</w:t>
      </w:r>
      <w:r>
        <w:t>).</w:t>
      </w:r>
    </w:p>
  </w:footnote>
  <w:footnote w:id="261">
    <w:p w14:paraId="13553A6F" w14:textId="77777777" w:rsidR="00D90D35" w:rsidRPr="0079726A" w:rsidRDefault="00D90D35" w:rsidP="00DB4A16">
      <w:pPr>
        <w:pStyle w:val="FootnoteText"/>
      </w:pPr>
      <w:r w:rsidRPr="005A669A">
        <w:rPr>
          <w:rStyle w:val="FootnoteReference"/>
        </w:rPr>
        <w:footnoteRef/>
      </w:r>
      <w:r>
        <w:t xml:space="preserve"> </w:t>
      </w:r>
      <w:r>
        <w:rPr>
          <w:i/>
        </w:rPr>
        <w:t>Id.</w:t>
      </w:r>
    </w:p>
  </w:footnote>
  <w:footnote w:id="262">
    <w:p w14:paraId="76906A0D" w14:textId="68EC10C0" w:rsidR="00D90D35" w:rsidRPr="00886746" w:rsidRDefault="00D90D35" w:rsidP="003B0105">
      <w:pPr>
        <w:pStyle w:val="FootnoteText"/>
      </w:pPr>
      <w:r w:rsidRPr="005A669A">
        <w:rPr>
          <w:rStyle w:val="FootnoteReference"/>
        </w:rPr>
        <w:footnoteRef/>
      </w:r>
      <w:r>
        <w:t xml:space="preserve"> </w:t>
      </w:r>
      <w:r>
        <w:rPr>
          <w:i/>
        </w:rPr>
        <w:t xml:space="preserve">See id. </w:t>
      </w:r>
      <w:r>
        <w:t>at 1354.</w:t>
      </w:r>
    </w:p>
  </w:footnote>
  <w:footnote w:id="263">
    <w:p w14:paraId="007F35AF" w14:textId="0C096259" w:rsidR="00D90D35" w:rsidRPr="002E7370" w:rsidRDefault="00D90D35">
      <w:pPr>
        <w:pStyle w:val="FootnoteText"/>
      </w:pPr>
      <w:r w:rsidRPr="005A669A">
        <w:rPr>
          <w:rStyle w:val="FootnoteReference"/>
        </w:rPr>
        <w:footnoteRef/>
      </w:r>
      <w:r>
        <w:t xml:space="preserve"> </w:t>
      </w:r>
      <w:r>
        <w:rPr>
          <w:i/>
        </w:rPr>
        <w:t xml:space="preserve">Id. </w:t>
      </w:r>
      <w:r>
        <w:t>at 1351. The clause from the patent was “</w:t>
      </w:r>
      <w:r w:rsidRPr="00872EE8">
        <w:t xml:space="preserve">wherein after said administration to said patient, the average </w:t>
      </w:r>
      <w:r>
        <w:t>[area under the curve]</w:t>
      </w:r>
      <w:r w:rsidRPr="00872EE8">
        <w:t xml:space="preserve"> of oxymorphone over a 12-hour period is less than about 21 ng·hr/mL.</w:t>
      </w:r>
      <w:r>
        <w:t>”).</w:t>
      </w:r>
    </w:p>
  </w:footnote>
  <w:footnote w:id="264">
    <w:p w14:paraId="06B791DC" w14:textId="77777777" w:rsidR="00D90D35" w:rsidRPr="0089303E" w:rsidRDefault="00D90D35" w:rsidP="00D949C0">
      <w:pPr>
        <w:pStyle w:val="FootnoteText"/>
      </w:pPr>
      <w:r w:rsidRPr="005A669A">
        <w:rPr>
          <w:rStyle w:val="FootnoteReference"/>
        </w:rPr>
        <w:footnoteRef/>
      </w:r>
      <w:r>
        <w:t xml:space="preserve"> </w:t>
      </w:r>
      <w:r>
        <w:rPr>
          <w:i/>
        </w:rPr>
        <w:t xml:space="preserve">See id. </w:t>
      </w:r>
      <w:r>
        <w:t>at 1354-55.</w:t>
      </w:r>
    </w:p>
  </w:footnote>
  <w:footnote w:id="265">
    <w:p w14:paraId="77E36F1D" w14:textId="77777777" w:rsidR="00D90D35" w:rsidRPr="00886746" w:rsidRDefault="00D90D35" w:rsidP="004F4950">
      <w:pPr>
        <w:pStyle w:val="FootnoteText"/>
      </w:pPr>
      <w:r w:rsidRPr="005A669A">
        <w:rPr>
          <w:rStyle w:val="FootnoteReference"/>
        </w:rPr>
        <w:footnoteRef/>
      </w:r>
      <w:r>
        <w:t xml:space="preserve"> </w:t>
      </w:r>
      <w:r>
        <w:rPr>
          <w:i/>
        </w:rPr>
        <w:t xml:space="preserve">See id. </w:t>
      </w:r>
      <w:r>
        <w:t xml:space="preserve">at 1354 (citations omitted) (citing </w:t>
      </w:r>
      <w:r w:rsidRPr="00437412">
        <w:t>Mayo Collaborative Servs.</w:t>
      </w:r>
      <w:r>
        <w:t> </w:t>
      </w:r>
      <w:r w:rsidRPr="00437412">
        <w:t>v. Prometheus Labs., Inc., 566 U.S. 66, 77</w:t>
      </w:r>
      <w:r>
        <w:t>, 87 (2012)).</w:t>
      </w:r>
    </w:p>
  </w:footnote>
  <w:footnote w:id="266">
    <w:p w14:paraId="5403528B" w14:textId="0267ACCE" w:rsidR="00D90D35" w:rsidRPr="003507B6" w:rsidRDefault="00D90D35">
      <w:pPr>
        <w:pStyle w:val="FootnoteText"/>
      </w:pPr>
      <w:r w:rsidRPr="005A669A">
        <w:rPr>
          <w:rStyle w:val="FootnoteReference"/>
        </w:rPr>
        <w:footnoteRef/>
      </w:r>
      <w:r>
        <w:t xml:space="preserve"> </w:t>
      </w:r>
      <w:r>
        <w:rPr>
          <w:i/>
        </w:rPr>
        <w:t xml:space="preserve">Id. </w:t>
      </w:r>
      <w:r>
        <w:t xml:space="preserve">at 1355. </w:t>
      </w:r>
    </w:p>
  </w:footnote>
  <w:footnote w:id="267">
    <w:p w14:paraId="6B8DBF32" w14:textId="77777777" w:rsidR="00D90D35" w:rsidRDefault="00D90D35" w:rsidP="00AE73C3">
      <w:pPr>
        <w:pStyle w:val="FootnoteText"/>
      </w:pPr>
      <w:r w:rsidRPr="005A669A">
        <w:rPr>
          <w:rStyle w:val="FootnoteReference"/>
        </w:rPr>
        <w:footnoteRef/>
      </w:r>
      <w:r>
        <w:t xml:space="preserve"> </w:t>
      </w:r>
      <w:r w:rsidRPr="00A1777A">
        <w:t>In re Guldenaar Holding B.V., 911 F.3d 1157</w:t>
      </w:r>
      <w:r>
        <w:t>, 11589-59</w:t>
      </w:r>
      <w:r w:rsidRPr="00A1777A">
        <w:t xml:space="preserve"> (Fed. Cir. 2018)</w:t>
      </w:r>
      <w:r>
        <w:t>.</w:t>
      </w:r>
    </w:p>
  </w:footnote>
  <w:footnote w:id="268">
    <w:p w14:paraId="37ECC3B2" w14:textId="77777777" w:rsidR="00D90D35" w:rsidRPr="000C254C" w:rsidRDefault="00D90D35" w:rsidP="00AE73C3">
      <w:pPr>
        <w:pStyle w:val="FootnoteText"/>
      </w:pPr>
      <w:r w:rsidRPr="005A669A">
        <w:rPr>
          <w:rStyle w:val="FootnoteReference"/>
        </w:rPr>
        <w:footnoteRef/>
      </w:r>
      <w:r>
        <w:t xml:space="preserve"> </w:t>
      </w:r>
      <w:r>
        <w:rPr>
          <w:i/>
        </w:rPr>
        <w:t xml:space="preserve">Id. </w:t>
      </w:r>
      <w:r>
        <w:t>at 1159.</w:t>
      </w:r>
    </w:p>
  </w:footnote>
  <w:footnote w:id="269">
    <w:p w14:paraId="111C581D" w14:textId="77777777" w:rsidR="00D90D35" w:rsidRPr="000C254C" w:rsidRDefault="00D90D35" w:rsidP="00AE73C3">
      <w:pPr>
        <w:pStyle w:val="FootnoteText"/>
      </w:pPr>
      <w:r w:rsidRPr="005A669A">
        <w:rPr>
          <w:rStyle w:val="FootnoteReference"/>
        </w:rPr>
        <w:footnoteRef/>
      </w:r>
      <w:r>
        <w:t xml:space="preserve"> </w:t>
      </w:r>
      <w:r>
        <w:rPr>
          <w:i/>
        </w:rPr>
        <w:t>Id.</w:t>
      </w:r>
    </w:p>
  </w:footnote>
  <w:footnote w:id="270">
    <w:p w14:paraId="076CF8DA" w14:textId="77777777" w:rsidR="00D90D35" w:rsidRPr="00071950" w:rsidRDefault="00D90D35" w:rsidP="00AE73C3">
      <w:pPr>
        <w:pStyle w:val="FootnoteText"/>
      </w:pPr>
      <w:r w:rsidRPr="005A669A">
        <w:rPr>
          <w:rStyle w:val="FootnoteReference"/>
        </w:rPr>
        <w:footnoteRef/>
      </w:r>
      <w:r>
        <w:t xml:space="preserve"> </w:t>
      </w:r>
      <w:r>
        <w:rPr>
          <w:i/>
        </w:rPr>
        <w:t xml:space="preserve">Id. </w:t>
      </w:r>
      <w:r>
        <w:t>(quoting J.A. 35, 85).</w:t>
      </w:r>
    </w:p>
  </w:footnote>
  <w:footnote w:id="271">
    <w:p w14:paraId="7A936C07" w14:textId="77777777" w:rsidR="00D90D35" w:rsidRPr="00071950" w:rsidRDefault="00D90D35" w:rsidP="00AE73C3">
      <w:pPr>
        <w:pStyle w:val="FootnoteText"/>
      </w:pPr>
      <w:r w:rsidRPr="005A669A">
        <w:rPr>
          <w:rStyle w:val="FootnoteReference"/>
        </w:rPr>
        <w:footnoteRef/>
      </w:r>
      <w:r>
        <w:t xml:space="preserve"> </w:t>
      </w:r>
      <w:r>
        <w:rPr>
          <w:i/>
        </w:rPr>
        <w:t xml:space="preserve">Id. </w:t>
      </w:r>
      <w:r>
        <w:t>at 1159.</w:t>
      </w:r>
    </w:p>
  </w:footnote>
  <w:footnote w:id="272">
    <w:p w14:paraId="04A44886" w14:textId="77777777" w:rsidR="00D90D35" w:rsidRPr="00C91A0B" w:rsidRDefault="00D90D35" w:rsidP="00AE73C3">
      <w:pPr>
        <w:pStyle w:val="FootnoteText"/>
      </w:pPr>
      <w:r w:rsidRPr="005A669A">
        <w:rPr>
          <w:rStyle w:val="FootnoteReference"/>
        </w:rPr>
        <w:footnoteRef/>
      </w:r>
      <w:r>
        <w:t xml:space="preserve"> </w:t>
      </w:r>
      <w:r>
        <w:rPr>
          <w:i/>
        </w:rPr>
        <w:t xml:space="preserve">Id. </w:t>
      </w:r>
      <w:r>
        <w:t>at 1161.</w:t>
      </w:r>
    </w:p>
  </w:footnote>
  <w:footnote w:id="273">
    <w:p w14:paraId="2D7EF973" w14:textId="171368FD" w:rsidR="00D90D35" w:rsidRPr="00B01449" w:rsidRDefault="00D90D35" w:rsidP="00AE73C3">
      <w:pPr>
        <w:pStyle w:val="FootnoteText"/>
      </w:pPr>
      <w:r w:rsidRPr="005A669A">
        <w:rPr>
          <w:rStyle w:val="FootnoteReference"/>
        </w:rPr>
        <w:footnoteRef/>
      </w:r>
      <w:r>
        <w:t xml:space="preserve"> </w:t>
      </w:r>
      <w:r>
        <w:rPr>
          <w:i/>
        </w:rPr>
        <w:t xml:space="preserve">Id. </w:t>
      </w:r>
      <w:r>
        <w:t xml:space="preserve">at 1159 (citing </w:t>
      </w:r>
      <w:r w:rsidRPr="00B01449">
        <w:t>Alice</w:t>
      </w:r>
      <w:r>
        <w:t xml:space="preserve"> </w:t>
      </w:r>
      <w:r w:rsidRPr="00B01449">
        <w:t>Corp</w:t>
      </w:r>
      <w:r>
        <w:t>. </w:t>
      </w:r>
      <w:r w:rsidRPr="00B01449">
        <w:t>v.</w:t>
      </w:r>
      <w:r>
        <w:t xml:space="preserve"> </w:t>
      </w:r>
      <w:r w:rsidRPr="00B01449">
        <w:t>CLS</w:t>
      </w:r>
      <w:r>
        <w:t xml:space="preserve"> </w:t>
      </w:r>
      <w:r w:rsidRPr="00B01449">
        <w:t xml:space="preserve">Bank </w:t>
      </w:r>
      <w:r>
        <w:t>Int’l</w:t>
      </w:r>
      <w:r w:rsidRPr="00B01449">
        <w:t>, 573 U.S. 208 (2014)</w:t>
      </w:r>
      <w:r>
        <w:t>).</w:t>
      </w:r>
    </w:p>
  </w:footnote>
  <w:footnote w:id="274">
    <w:p w14:paraId="7B34702A" w14:textId="77777777" w:rsidR="00D90D35" w:rsidRDefault="00D90D35" w:rsidP="00AE73C3">
      <w:pPr>
        <w:pStyle w:val="FootnoteText"/>
      </w:pPr>
      <w:r w:rsidRPr="005A669A">
        <w:rPr>
          <w:rStyle w:val="FootnoteReference"/>
        </w:rPr>
        <w:footnoteRef/>
      </w:r>
      <w:r>
        <w:t xml:space="preserve"> </w:t>
      </w:r>
      <w:r>
        <w:rPr>
          <w:i/>
        </w:rPr>
        <w:t xml:space="preserve">Id. </w:t>
      </w:r>
      <w:r>
        <w:t xml:space="preserve">at 1160 (citing </w:t>
      </w:r>
      <w:r w:rsidRPr="001477FB">
        <w:t>Bilski</w:t>
      </w:r>
      <w:r>
        <w:t> </w:t>
      </w:r>
      <w:r w:rsidRPr="001477FB">
        <w:t>v. Kappos, 561 U.S. 593, 611</w:t>
      </w:r>
      <w:r>
        <w:t xml:space="preserve"> </w:t>
      </w:r>
      <w:r w:rsidRPr="001477FB">
        <w:t>(2010)</w:t>
      </w:r>
      <w:r>
        <w:t>).</w:t>
      </w:r>
    </w:p>
  </w:footnote>
  <w:footnote w:id="275">
    <w:p w14:paraId="25BFEEB9" w14:textId="77777777" w:rsidR="00D90D35" w:rsidRPr="00F57F73" w:rsidRDefault="00D90D35" w:rsidP="00AE73C3">
      <w:pPr>
        <w:pStyle w:val="FootnoteText"/>
      </w:pPr>
      <w:r w:rsidRPr="005A669A">
        <w:rPr>
          <w:rStyle w:val="FootnoteReference"/>
        </w:rPr>
        <w:footnoteRef/>
      </w:r>
      <w:r>
        <w:t xml:space="preserve"> </w:t>
      </w:r>
      <w:r>
        <w:rPr>
          <w:i/>
        </w:rPr>
        <w:t xml:space="preserve">Id. </w:t>
      </w:r>
      <w:r>
        <w:t xml:space="preserve">(citing </w:t>
      </w:r>
      <w:r w:rsidRPr="00F57F73">
        <w:rPr>
          <w:i/>
        </w:rPr>
        <w:t>In re</w:t>
      </w:r>
      <w:r w:rsidRPr="00F57F73">
        <w:t xml:space="preserve"> Smith, 815 F.3d 816 (Fed. Cir. 2016)</w:t>
      </w:r>
      <w:r>
        <w:t>).</w:t>
      </w:r>
    </w:p>
  </w:footnote>
  <w:footnote w:id="276">
    <w:p w14:paraId="4F360599" w14:textId="77777777" w:rsidR="00D90D35" w:rsidRPr="00F57F73" w:rsidRDefault="00D90D35" w:rsidP="00AE73C3">
      <w:pPr>
        <w:pStyle w:val="FootnoteText"/>
      </w:pPr>
      <w:r w:rsidRPr="005A669A">
        <w:rPr>
          <w:rStyle w:val="FootnoteReference"/>
        </w:rPr>
        <w:footnoteRef/>
      </w:r>
      <w:r>
        <w:t xml:space="preserve"> </w:t>
      </w:r>
      <w:r>
        <w:rPr>
          <w:i/>
        </w:rPr>
        <w:t xml:space="preserve">Id. </w:t>
      </w:r>
      <w:r>
        <w:t>at 1162.</w:t>
      </w:r>
    </w:p>
  </w:footnote>
  <w:footnote w:id="277">
    <w:p w14:paraId="6681A8FA" w14:textId="77777777" w:rsidR="00D90D35" w:rsidRPr="00F57F73" w:rsidRDefault="00D90D35" w:rsidP="00AE73C3">
      <w:pPr>
        <w:pStyle w:val="FootnoteText"/>
      </w:pPr>
      <w:r w:rsidRPr="005A669A">
        <w:rPr>
          <w:rStyle w:val="FootnoteReference"/>
        </w:rPr>
        <w:footnoteRef/>
      </w:r>
      <w:r>
        <w:t xml:space="preserve"> </w:t>
      </w:r>
      <w:r>
        <w:rPr>
          <w:i/>
        </w:rPr>
        <w:t xml:space="preserve">Id. </w:t>
      </w:r>
      <w:r>
        <w:t>at 1161.</w:t>
      </w:r>
    </w:p>
  </w:footnote>
  <w:footnote w:id="278">
    <w:p w14:paraId="173C7C54" w14:textId="77777777" w:rsidR="00D90D35" w:rsidRPr="00013070" w:rsidRDefault="00D90D35" w:rsidP="00AE73C3">
      <w:pPr>
        <w:pStyle w:val="FootnoteText"/>
      </w:pPr>
      <w:r w:rsidRPr="005A669A">
        <w:rPr>
          <w:rStyle w:val="FootnoteReference"/>
        </w:rPr>
        <w:footnoteRef/>
      </w:r>
      <w:r>
        <w:t xml:space="preserve"> </w:t>
      </w:r>
      <w:r>
        <w:rPr>
          <w:i/>
        </w:rPr>
        <w:t xml:space="preserve">Id. </w:t>
      </w:r>
      <w:r>
        <w:t>(quoting Praxair Distrib., Inc. v. Mallinckrodt Hosp. Prod. IP Ltd., 890 F.3d 1024, 1032 (Fed. Cir. 2018)).</w:t>
      </w:r>
    </w:p>
  </w:footnote>
  <w:footnote w:id="279">
    <w:p w14:paraId="067A5F83" w14:textId="77777777" w:rsidR="00D90D35" w:rsidRPr="00D26A61" w:rsidRDefault="00D90D35" w:rsidP="00AE73C3">
      <w:pPr>
        <w:pStyle w:val="FootnoteText"/>
      </w:pPr>
      <w:r w:rsidRPr="005A669A">
        <w:rPr>
          <w:rStyle w:val="FootnoteReference"/>
        </w:rPr>
        <w:footnoteRef/>
      </w:r>
      <w:r>
        <w:t xml:space="preserve"> </w:t>
      </w:r>
      <w:r>
        <w:rPr>
          <w:i/>
        </w:rPr>
        <w:t>Id.</w:t>
      </w:r>
      <w:r>
        <w:t xml:space="preserve"> (analogizing to the measuring cup in </w:t>
      </w:r>
      <w:r w:rsidRPr="00D26A61">
        <w:rPr>
          <w:i/>
        </w:rPr>
        <w:t>In re</w:t>
      </w:r>
      <w:r w:rsidRPr="00D26A61">
        <w:t xml:space="preserve"> Miller, 418 F.2d 1392 (CCPA 1969)</w:t>
      </w:r>
      <w:r>
        <w:t>).</w:t>
      </w:r>
    </w:p>
  </w:footnote>
  <w:footnote w:id="280">
    <w:p w14:paraId="1FAED286" w14:textId="77777777" w:rsidR="00D90D35" w:rsidRPr="00D26A61" w:rsidRDefault="00D90D35" w:rsidP="00AE73C3">
      <w:pPr>
        <w:pStyle w:val="FootnoteText"/>
      </w:pPr>
      <w:r w:rsidRPr="005A669A">
        <w:rPr>
          <w:rStyle w:val="FootnoteReference"/>
        </w:rPr>
        <w:footnoteRef/>
      </w:r>
      <w:r>
        <w:t xml:space="preserve"> </w:t>
      </w:r>
      <w:r>
        <w:rPr>
          <w:i/>
        </w:rPr>
        <w:t>Id.</w:t>
      </w:r>
      <w:r>
        <w:t xml:space="preserve"> (analogizing to the measuring cup in </w:t>
      </w:r>
      <w:r w:rsidRPr="00D26A61">
        <w:rPr>
          <w:i/>
        </w:rPr>
        <w:t>In re</w:t>
      </w:r>
      <w:r w:rsidRPr="00D26A61">
        <w:t xml:space="preserve"> Miller, 418 F.2d 1392 (CCPA 1969)</w:t>
      </w:r>
      <w:r>
        <w:t>).</w:t>
      </w:r>
    </w:p>
  </w:footnote>
  <w:footnote w:id="281">
    <w:p w14:paraId="10CF1F6C" w14:textId="77777777" w:rsidR="00D90D35" w:rsidRPr="00D26A61" w:rsidRDefault="00D90D35" w:rsidP="00AE73C3">
      <w:pPr>
        <w:pStyle w:val="FootnoteText"/>
      </w:pPr>
      <w:r w:rsidRPr="005A669A">
        <w:rPr>
          <w:rStyle w:val="FootnoteReference"/>
        </w:rPr>
        <w:footnoteRef/>
      </w:r>
      <w:r>
        <w:t xml:space="preserve"> </w:t>
      </w:r>
      <w:r>
        <w:rPr>
          <w:i/>
        </w:rPr>
        <w:t>Id.</w:t>
      </w:r>
      <w:r>
        <w:t xml:space="preserve"> (analogizing to the measuring cup in </w:t>
      </w:r>
      <w:r w:rsidRPr="00D26A61">
        <w:rPr>
          <w:i/>
        </w:rPr>
        <w:t>In re</w:t>
      </w:r>
      <w:r w:rsidRPr="00D26A61">
        <w:t xml:space="preserve"> Miller, 418 F.2d 1392 (CCPA 1969)</w:t>
      </w:r>
      <w:r>
        <w:t>).</w:t>
      </w:r>
    </w:p>
  </w:footnote>
  <w:footnote w:id="282">
    <w:p w14:paraId="74F5234F" w14:textId="77777777" w:rsidR="00D90D35" w:rsidRPr="007439B1" w:rsidRDefault="00D90D35" w:rsidP="00AE73C3">
      <w:pPr>
        <w:pStyle w:val="FootnoteText"/>
      </w:pPr>
      <w:r w:rsidRPr="005A669A">
        <w:rPr>
          <w:rStyle w:val="FootnoteReference"/>
        </w:rPr>
        <w:footnoteRef/>
      </w:r>
      <w:r>
        <w:t xml:space="preserve"> </w:t>
      </w:r>
      <w:r>
        <w:rPr>
          <w:i/>
        </w:rPr>
        <w:t xml:space="preserve">Id. </w:t>
      </w:r>
      <w:r>
        <w:t>at 1166 (Mayer, J., concurring).</w:t>
      </w:r>
    </w:p>
  </w:footnote>
  <w:footnote w:id="283">
    <w:p w14:paraId="689B508C" w14:textId="342ABFE5" w:rsidR="00D90D35" w:rsidRDefault="00D90D35">
      <w:pPr>
        <w:pStyle w:val="FootnoteText"/>
      </w:pPr>
      <w:r>
        <w:rPr>
          <w:rStyle w:val="FootnoteReference"/>
        </w:rPr>
        <w:footnoteRef/>
      </w:r>
      <w:r>
        <w:t xml:space="preserve"> </w:t>
      </w:r>
      <w:r w:rsidRPr="00416FF0">
        <w:rPr>
          <w:i/>
          <w:iCs/>
        </w:rPr>
        <w:t>HZNP Medicines LLC v. Actavis Labs. UT, Inc.</w:t>
      </w:r>
      <w:r w:rsidRPr="00FF7272">
        <w:t>, No. 2017-2149, 2019 WL 5076226 (Fed. Cir. Oct. 10, 2019)</w:t>
      </w:r>
      <w:r>
        <w:t>.</w:t>
      </w:r>
    </w:p>
  </w:footnote>
  <w:footnote w:id="284">
    <w:p w14:paraId="72485B3C" w14:textId="3F31E311" w:rsidR="00D90D35" w:rsidRDefault="00D90D35">
      <w:pPr>
        <w:pStyle w:val="FootnoteText"/>
      </w:pPr>
      <w:r>
        <w:rPr>
          <w:rStyle w:val="FootnoteReference"/>
        </w:rPr>
        <w:footnoteRef/>
      </w:r>
      <w:r>
        <w:t xml:space="preserve"> </w:t>
      </w:r>
      <w:r>
        <w:rPr>
          <w:i/>
          <w:iCs/>
        </w:rPr>
        <w:t>Id.</w:t>
      </w:r>
      <w:r>
        <w:t xml:space="preserve"> at *1 (citing </w:t>
      </w:r>
      <w:r w:rsidRPr="00FF7272">
        <w:t>U.S. Patent Nos. 8,217,078; 9,132,110; 8,618,164; 9,168,304</w:t>
      </w:r>
      <w:r>
        <w:t xml:space="preserve"> </w:t>
      </w:r>
      <w:r w:rsidRPr="00FF7272">
        <w:t>9,168,305; 8,546,450; 9,101,591; 8,563,613; 9,220,784; 8,871,809; 8,252,838; and 9,066,913</w:t>
      </w:r>
      <w:r>
        <w:t>).</w:t>
      </w:r>
    </w:p>
  </w:footnote>
  <w:footnote w:id="285">
    <w:p w14:paraId="28BA3A5A" w14:textId="77E0E4BB" w:rsidR="00D90D35" w:rsidRPr="00080809" w:rsidRDefault="00D90D35">
      <w:pPr>
        <w:pStyle w:val="FootnoteText"/>
      </w:pPr>
      <w:r>
        <w:rPr>
          <w:rStyle w:val="FootnoteReference"/>
        </w:rPr>
        <w:footnoteRef/>
      </w:r>
      <w:r>
        <w:t xml:space="preserve"> </w:t>
      </w:r>
      <w:r>
        <w:rPr>
          <w:i/>
          <w:iCs/>
        </w:rPr>
        <w:t>Id.</w:t>
      </w:r>
      <w:r>
        <w:t xml:space="preserve"> at *2.</w:t>
      </w:r>
    </w:p>
  </w:footnote>
  <w:footnote w:id="286">
    <w:p w14:paraId="08CE55AB" w14:textId="068C103E" w:rsidR="00D90D35" w:rsidRPr="00080809" w:rsidRDefault="00D90D35">
      <w:pPr>
        <w:pStyle w:val="FootnoteText"/>
      </w:pPr>
      <w:r>
        <w:rPr>
          <w:rStyle w:val="FootnoteReference"/>
        </w:rPr>
        <w:footnoteRef/>
      </w:r>
      <w:r>
        <w:t xml:space="preserve"> </w:t>
      </w:r>
      <w:r>
        <w:rPr>
          <w:i/>
          <w:iCs/>
        </w:rPr>
        <w:t>Id.</w:t>
      </w:r>
    </w:p>
  </w:footnote>
  <w:footnote w:id="287">
    <w:p w14:paraId="39D03BF4" w14:textId="72B42FF9" w:rsidR="00D90D35" w:rsidRPr="00080809" w:rsidRDefault="00D90D35">
      <w:pPr>
        <w:pStyle w:val="FootnoteText"/>
      </w:pPr>
      <w:r>
        <w:rPr>
          <w:rStyle w:val="FootnoteReference"/>
        </w:rPr>
        <w:footnoteRef/>
      </w:r>
      <w:r>
        <w:t xml:space="preserve"> </w:t>
      </w:r>
      <w:r>
        <w:rPr>
          <w:i/>
          <w:iCs/>
        </w:rPr>
        <w:t>Id.</w:t>
      </w:r>
    </w:p>
  </w:footnote>
  <w:footnote w:id="288">
    <w:p w14:paraId="56294E8F" w14:textId="09B3C6CF" w:rsidR="00D90D35" w:rsidRPr="00080809" w:rsidRDefault="00D90D35">
      <w:pPr>
        <w:pStyle w:val="FootnoteText"/>
      </w:pPr>
      <w:r>
        <w:rPr>
          <w:rStyle w:val="FootnoteReference"/>
        </w:rPr>
        <w:footnoteRef/>
      </w:r>
      <w:r>
        <w:t xml:space="preserve"> </w:t>
      </w:r>
      <w:r>
        <w:rPr>
          <w:i/>
          <w:iCs/>
        </w:rPr>
        <w:t>Id.</w:t>
      </w:r>
      <w:r>
        <w:t xml:space="preserve"> at *3.</w:t>
      </w:r>
    </w:p>
  </w:footnote>
  <w:footnote w:id="289">
    <w:p w14:paraId="5856F99A" w14:textId="50DEA3D4" w:rsidR="00D90D35" w:rsidRPr="00080809" w:rsidRDefault="00D90D35">
      <w:pPr>
        <w:pStyle w:val="FootnoteText"/>
      </w:pPr>
      <w:r>
        <w:rPr>
          <w:rStyle w:val="FootnoteReference"/>
        </w:rPr>
        <w:footnoteRef/>
      </w:r>
      <w:r>
        <w:t xml:space="preserve"> </w:t>
      </w:r>
      <w:r>
        <w:rPr>
          <w:i/>
          <w:iCs/>
        </w:rPr>
        <w:t xml:space="preserve">Id. </w:t>
      </w:r>
      <w:r>
        <w:t>at *1.</w:t>
      </w:r>
    </w:p>
  </w:footnote>
  <w:footnote w:id="290">
    <w:p w14:paraId="1B5BB946" w14:textId="083FD170" w:rsidR="00D90D35" w:rsidRPr="00080809" w:rsidRDefault="00D90D35" w:rsidP="0033193D">
      <w:pPr>
        <w:pStyle w:val="FootnoteText"/>
        <w:ind w:left="720" w:hanging="720"/>
      </w:pPr>
      <w:r>
        <w:rPr>
          <w:rStyle w:val="FootnoteReference"/>
        </w:rPr>
        <w:footnoteRef/>
      </w:r>
      <w:r>
        <w:t xml:space="preserve"> </w:t>
      </w:r>
      <w:r>
        <w:rPr>
          <w:i/>
          <w:iCs/>
        </w:rPr>
        <w:t>Id</w:t>
      </w:r>
      <w:r>
        <w:t>. at *7-8.</w:t>
      </w:r>
    </w:p>
  </w:footnote>
  <w:footnote w:id="291">
    <w:p w14:paraId="15FCAB73" w14:textId="13526BDD" w:rsidR="00D90D35" w:rsidRPr="00080809" w:rsidRDefault="00D90D35">
      <w:pPr>
        <w:pStyle w:val="FootnoteText"/>
      </w:pPr>
      <w:r>
        <w:rPr>
          <w:rStyle w:val="FootnoteReference"/>
        </w:rPr>
        <w:footnoteRef/>
      </w:r>
      <w:r>
        <w:t xml:space="preserve"> </w:t>
      </w:r>
      <w:r>
        <w:rPr>
          <w:i/>
          <w:iCs/>
        </w:rPr>
        <w:t xml:space="preserve">Id. </w:t>
      </w:r>
      <w:r>
        <w:t>at *8.</w:t>
      </w:r>
    </w:p>
  </w:footnote>
  <w:footnote w:id="292">
    <w:p w14:paraId="6AADE9CF" w14:textId="5C00BD46" w:rsidR="00D90D35" w:rsidRPr="00080809" w:rsidRDefault="00D90D35">
      <w:pPr>
        <w:pStyle w:val="FootnoteText"/>
      </w:pPr>
      <w:r>
        <w:rPr>
          <w:rStyle w:val="FootnoteReference"/>
        </w:rPr>
        <w:footnoteRef/>
      </w:r>
      <w:r>
        <w:t xml:space="preserve"> </w:t>
      </w:r>
      <w:r>
        <w:rPr>
          <w:i/>
          <w:iCs/>
        </w:rPr>
        <w:t>Id.</w:t>
      </w:r>
      <w:r>
        <w:t xml:space="preserve"> at *9 (citing </w:t>
      </w:r>
      <w:r w:rsidRPr="001258AB">
        <w:t>PPG Indus. v. Guardian Indus. Corp., 156 F.3d 1351, 1354 (Fed. Cir. 1998)</w:t>
      </w:r>
      <w:r>
        <w:t>).</w:t>
      </w:r>
    </w:p>
  </w:footnote>
  <w:footnote w:id="293">
    <w:p w14:paraId="7B12F45F" w14:textId="1946A6E2" w:rsidR="00D90D35" w:rsidRPr="00080809" w:rsidRDefault="00D90D35">
      <w:pPr>
        <w:pStyle w:val="FootnoteText"/>
      </w:pPr>
      <w:r>
        <w:rPr>
          <w:rStyle w:val="FootnoteReference"/>
        </w:rPr>
        <w:footnoteRef/>
      </w:r>
      <w:r>
        <w:t xml:space="preserve"> </w:t>
      </w:r>
      <w:r>
        <w:rPr>
          <w:i/>
          <w:iCs/>
        </w:rPr>
        <w:t>Id.</w:t>
      </w:r>
    </w:p>
  </w:footnote>
  <w:footnote w:id="294">
    <w:p w14:paraId="0F059D55" w14:textId="236A04EB" w:rsidR="00D90D35" w:rsidRPr="00080809" w:rsidRDefault="00D90D35">
      <w:pPr>
        <w:pStyle w:val="FootnoteText"/>
      </w:pPr>
      <w:r>
        <w:rPr>
          <w:rStyle w:val="FootnoteReference"/>
        </w:rPr>
        <w:footnoteRef/>
      </w:r>
      <w:r>
        <w:t xml:space="preserve"> </w:t>
      </w:r>
      <w:r>
        <w:rPr>
          <w:i/>
          <w:iCs/>
        </w:rPr>
        <w:t xml:space="preserve">Id. </w:t>
      </w:r>
      <w:r>
        <w:t>at *10.</w:t>
      </w:r>
    </w:p>
  </w:footnote>
  <w:footnote w:id="295">
    <w:p w14:paraId="49149722" w14:textId="69CAB409" w:rsidR="00D90D35" w:rsidRPr="00080809" w:rsidRDefault="00D90D35">
      <w:pPr>
        <w:pStyle w:val="FootnoteText"/>
      </w:pPr>
      <w:r>
        <w:rPr>
          <w:rStyle w:val="FootnoteReference"/>
        </w:rPr>
        <w:footnoteRef/>
      </w:r>
      <w:r>
        <w:t xml:space="preserve"> </w:t>
      </w:r>
      <w:r>
        <w:rPr>
          <w:i/>
          <w:iCs/>
        </w:rPr>
        <w:t>Id.</w:t>
      </w:r>
    </w:p>
  </w:footnote>
  <w:footnote w:id="296">
    <w:p w14:paraId="4DF730F3" w14:textId="354B60B9" w:rsidR="00D90D35" w:rsidRPr="00080809" w:rsidRDefault="00D90D35">
      <w:pPr>
        <w:pStyle w:val="FootnoteText"/>
      </w:pPr>
      <w:r>
        <w:rPr>
          <w:rStyle w:val="FootnoteReference"/>
        </w:rPr>
        <w:footnoteRef/>
      </w:r>
      <w:r>
        <w:t xml:space="preserve"> </w:t>
      </w:r>
      <w:r>
        <w:rPr>
          <w:i/>
          <w:iCs/>
        </w:rPr>
        <w:t>Id.</w:t>
      </w:r>
      <w:r>
        <w:t xml:space="preserve"> at *14.</w:t>
      </w:r>
    </w:p>
  </w:footnote>
  <w:footnote w:id="297">
    <w:p w14:paraId="10C7DB3D" w14:textId="01088D2F" w:rsidR="00D90D35" w:rsidRPr="00080809" w:rsidRDefault="00D90D35">
      <w:pPr>
        <w:pStyle w:val="FootnoteText"/>
      </w:pPr>
      <w:r>
        <w:rPr>
          <w:rStyle w:val="FootnoteReference"/>
        </w:rPr>
        <w:footnoteRef/>
      </w:r>
      <w:r>
        <w:t xml:space="preserve"> </w:t>
      </w:r>
      <w:r>
        <w:rPr>
          <w:i/>
          <w:iCs/>
        </w:rPr>
        <w:t>Id.</w:t>
      </w:r>
      <w:r>
        <w:t xml:space="preserve"> </w:t>
      </w:r>
    </w:p>
  </w:footnote>
  <w:footnote w:id="298">
    <w:p w14:paraId="2B091E45" w14:textId="27CA5946" w:rsidR="00D90D35" w:rsidRPr="00080809" w:rsidRDefault="00D90D35">
      <w:pPr>
        <w:pStyle w:val="FootnoteText"/>
      </w:pPr>
      <w:r>
        <w:rPr>
          <w:rStyle w:val="FootnoteReference"/>
        </w:rPr>
        <w:footnoteRef/>
      </w:r>
      <w:r>
        <w:t xml:space="preserve"> </w:t>
      </w:r>
      <w:r>
        <w:rPr>
          <w:i/>
          <w:iCs/>
        </w:rPr>
        <w:t>Id.</w:t>
      </w:r>
      <w:r>
        <w:t xml:space="preserve"> at *16.</w:t>
      </w:r>
    </w:p>
  </w:footnote>
  <w:footnote w:id="299">
    <w:p w14:paraId="664EE0A0" w14:textId="5C3C0414" w:rsidR="00061C6E" w:rsidRDefault="00061C6E">
      <w:pPr>
        <w:pStyle w:val="FootnoteText"/>
      </w:pPr>
      <w:r>
        <w:rPr>
          <w:rStyle w:val="FootnoteReference"/>
        </w:rPr>
        <w:footnoteRef/>
      </w:r>
      <w:r>
        <w:t xml:space="preserve"> </w:t>
      </w:r>
      <w:r w:rsidRPr="00061C6E">
        <w:t>Idenix Pharm. LLC v. Gilead Scis. Inc., 941 F.3d 1149 (Fed. Cir. Oct. 30, 2019)</w:t>
      </w:r>
    </w:p>
  </w:footnote>
  <w:footnote w:id="300">
    <w:p w14:paraId="5C46E047" w14:textId="4534B459" w:rsidR="00B87DAB" w:rsidRPr="00B87DAB" w:rsidRDefault="00B87DAB">
      <w:pPr>
        <w:pStyle w:val="FootnoteText"/>
      </w:pPr>
      <w:r>
        <w:rPr>
          <w:rStyle w:val="FootnoteReference"/>
        </w:rPr>
        <w:footnoteRef/>
      </w:r>
      <w:r>
        <w:t xml:space="preserve"> </w:t>
      </w:r>
      <w:r>
        <w:rPr>
          <w:i/>
          <w:iCs/>
        </w:rPr>
        <w:t>Id.</w:t>
      </w:r>
      <w:r>
        <w:t xml:space="preserve"> at 1153 (citing U.S. Patent No. </w:t>
      </w:r>
      <w:r w:rsidRPr="00B87DAB">
        <w:t>7</w:t>
      </w:r>
      <w:r>
        <w:t>,</w:t>
      </w:r>
      <w:r w:rsidRPr="00B87DAB">
        <w:t>608</w:t>
      </w:r>
      <w:r>
        <w:t>,</w:t>
      </w:r>
      <w:r w:rsidRPr="00B87DAB">
        <w:t>597</w:t>
      </w:r>
      <w:r>
        <w:t>).</w:t>
      </w:r>
    </w:p>
  </w:footnote>
  <w:footnote w:id="301">
    <w:p w14:paraId="4E253A5A" w14:textId="4CCD6F07" w:rsidR="000F04C9" w:rsidRPr="000F04C9" w:rsidRDefault="000F04C9">
      <w:pPr>
        <w:pStyle w:val="FootnoteText"/>
      </w:pPr>
      <w:r>
        <w:rPr>
          <w:rStyle w:val="FootnoteReference"/>
        </w:rPr>
        <w:footnoteRef/>
      </w:r>
      <w:r>
        <w:t xml:space="preserve"> </w:t>
      </w:r>
      <w:r>
        <w:rPr>
          <w:i/>
          <w:iCs/>
        </w:rPr>
        <w:t>Id.</w:t>
      </w:r>
    </w:p>
  </w:footnote>
  <w:footnote w:id="302">
    <w:p w14:paraId="1D058EE1" w14:textId="171B35AA" w:rsidR="00255CE3" w:rsidRPr="00255CE3" w:rsidRDefault="00255CE3">
      <w:pPr>
        <w:pStyle w:val="FootnoteText"/>
      </w:pPr>
      <w:r>
        <w:rPr>
          <w:rStyle w:val="FootnoteReference"/>
        </w:rPr>
        <w:footnoteRef/>
      </w:r>
      <w:r>
        <w:t xml:space="preserve"> </w:t>
      </w:r>
      <w:r>
        <w:rPr>
          <w:i/>
          <w:iCs/>
        </w:rPr>
        <w:t>Id.</w:t>
      </w:r>
    </w:p>
  </w:footnote>
  <w:footnote w:id="303">
    <w:p w14:paraId="441C83DC" w14:textId="517EC04F" w:rsidR="000F04C9" w:rsidRPr="000F04C9" w:rsidRDefault="000F04C9">
      <w:pPr>
        <w:pStyle w:val="FootnoteText"/>
      </w:pPr>
      <w:r>
        <w:rPr>
          <w:rStyle w:val="FootnoteReference"/>
        </w:rPr>
        <w:footnoteRef/>
      </w:r>
      <w:r>
        <w:t xml:space="preserve"> </w:t>
      </w:r>
      <w:r>
        <w:rPr>
          <w:i/>
          <w:iCs/>
        </w:rPr>
        <w:t>Id.</w:t>
      </w:r>
    </w:p>
  </w:footnote>
  <w:footnote w:id="304">
    <w:p w14:paraId="194FC2D7" w14:textId="6075B11B" w:rsidR="00255CE3" w:rsidRPr="00255CE3" w:rsidRDefault="00255CE3">
      <w:pPr>
        <w:pStyle w:val="FootnoteText"/>
      </w:pPr>
      <w:r>
        <w:rPr>
          <w:rStyle w:val="FootnoteReference"/>
        </w:rPr>
        <w:footnoteRef/>
      </w:r>
      <w:r>
        <w:t xml:space="preserve"> </w:t>
      </w:r>
      <w:r>
        <w:rPr>
          <w:i/>
          <w:iCs/>
        </w:rPr>
        <w:t>Id.</w:t>
      </w:r>
      <w:r>
        <w:t xml:space="preserve"> </w:t>
      </w:r>
    </w:p>
  </w:footnote>
  <w:footnote w:id="305">
    <w:p w14:paraId="34A4DC10" w14:textId="06C6CEA1" w:rsidR="00255CE3" w:rsidRPr="00255CE3" w:rsidRDefault="00255CE3">
      <w:pPr>
        <w:pStyle w:val="FootnoteText"/>
      </w:pPr>
      <w:r>
        <w:rPr>
          <w:rStyle w:val="FootnoteReference"/>
        </w:rPr>
        <w:footnoteRef/>
      </w:r>
      <w:r>
        <w:t xml:space="preserve"> </w:t>
      </w:r>
      <w:r>
        <w:rPr>
          <w:i/>
          <w:iCs/>
        </w:rPr>
        <w:t>Id.</w:t>
      </w:r>
      <w:r>
        <w:t xml:space="preserve"> at 1165.</w:t>
      </w:r>
    </w:p>
  </w:footnote>
  <w:footnote w:id="306">
    <w:p w14:paraId="6BDA6892" w14:textId="627F6EA8" w:rsidR="00061C6E" w:rsidRPr="00061C6E" w:rsidRDefault="00061C6E">
      <w:pPr>
        <w:pStyle w:val="FootnoteText"/>
      </w:pPr>
      <w:r>
        <w:rPr>
          <w:rStyle w:val="FootnoteReference"/>
        </w:rPr>
        <w:footnoteRef/>
      </w:r>
      <w:r>
        <w:t xml:space="preserve"> </w:t>
      </w:r>
      <w:r>
        <w:rPr>
          <w:i/>
          <w:iCs/>
        </w:rPr>
        <w:t>Id.</w:t>
      </w:r>
    </w:p>
  </w:footnote>
  <w:footnote w:id="307">
    <w:p w14:paraId="4C5976EC" w14:textId="09E847E8" w:rsidR="001B0373" w:rsidRPr="001B0373" w:rsidRDefault="001B0373">
      <w:pPr>
        <w:pStyle w:val="FootnoteText"/>
      </w:pPr>
      <w:r>
        <w:rPr>
          <w:rStyle w:val="FootnoteReference"/>
        </w:rPr>
        <w:footnoteRef/>
      </w:r>
      <w:r>
        <w:t xml:space="preserve"> </w:t>
      </w:r>
      <w:r>
        <w:rPr>
          <w:i/>
          <w:iCs/>
        </w:rPr>
        <w:t>Id.</w:t>
      </w:r>
      <w:r>
        <w:t xml:space="preserve"> at 1163-64.</w:t>
      </w:r>
    </w:p>
  </w:footnote>
  <w:footnote w:id="308">
    <w:p w14:paraId="797B7EA8" w14:textId="17AE0451" w:rsidR="001B0373" w:rsidRPr="001B0373" w:rsidRDefault="001B0373">
      <w:pPr>
        <w:pStyle w:val="FootnoteText"/>
      </w:pPr>
      <w:r>
        <w:rPr>
          <w:rStyle w:val="FootnoteReference"/>
        </w:rPr>
        <w:footnoteRef/>
      </w:r>
      <w:r>
        <w:t xml:space="preserve"> </w:t>
      </w:r>
      <w:r>
        <w:rPr>
          <w:i/>
          <w:iCs/>
        </w:rPr>
        <w:t xml:space="preserve">Id. </w:t>
      </w:r>
      <w:r>
        <w:t>at 1164.</w:t>
      </w:r>
    </w:p>
  </w:footnote>
  <w:footnote w:id="309">
    <w:p w14:paraId="431C1DAB" w14:textId="742CFBD4" w:rsidR="001B0373" w:rsidRPr="001B0373" w:rsidRDefault="001B0373">
      <w:pPr>
        <w:pStyle w:val="FootnoteText"/>
      </w:pPr>
      <w:r>
        <w:rPr>
          <w:rStyle w:val="FootnoteReference"/>
        </w:rPr>
        <w:footnoteRef/>
      </w:r>
      <w:r>
        <w:t xml:space="preserve"> </w:t>
      </w:r>
      <w:r>
        <w:rPr>
          <w:i/>
          <w:iCs/>
        </w:rPr>
        <w:t>Id.</w:t>
      </w:r>
    </w:p>
  </w:footnote>
  <w:footnote w:id="310">
    <w:p w14:paraId="1D66C735" w14:textId="491A57CE" w:rsidR="001B0373" w:rsidRPr="001B0373" w:rsidRDefault="001B0373">
      <w:pPr>
        <w:pStyle w:val="FootnoteText"/>
      </w:pPr>
      <w:r>
        <w:rPr>
          <w:rStyle w:val="FootnoteReference"/>
        </w:rPr>
        <w:footnoteRef/>
      </w:r>
      <w:r>
        <w:t xml:space="preserve"> </w:t>
      </w:r>
      <w:r>
        <w:rPr>
          <w:i/>
          <w:iCs/>
        </w:rPr>
        <w:t>Id.</w:t>
      </w:r>
    </w:p>
  </w:footnote>
  <w:footnote w:id="311">
    <w:p w14:paraId="351AB463" w14:textId="0CAA9196" w:rsidR="00A770C9" w:rsidRPr="00A770C9" w:rsidRDefault="00A770C9">
      <w:pPr>
        <w:pStyle w:val="FootnoteText"/>
      </w:pPr>
      <w:r>
        <w:rPr>
          <w:rStyle w:val="FootnoteReference"/>
        </w:rPr>
        <w:footnoteRef/>
      </w:r>
      <w:r>
        <w:t xml:space="preserve"> </w:t>
      </w:r>
      <w:r>
        <w:rPr>
          <w:i/>
          <w:iCs/>
        </w:rPr>
        <w:t>Id.</w:t>
      </w:r>
    </w:p>
  </w:footnote>
  <w:footnote w:id="312">
    <w:p w14:paraId="1E738B3F" w14:textId="01367796" w:rsidR="00A770C9" w:rsidRPr="00A770C9" w:rsidRDefault="00A770C9">
      <w:pPr>
        <w:pStyle w:val="FootnoteText"/>
      </w:pPr>
      <w:r>
        <w:rPr>
          <w:rStyle w:val="FootnoteReference"/>
        </w:rPr>
        <w:footnoteRef/>
      </w:r>
      <w:r>
        <w:t xml:space="preserve"> </w:t>
      </w:r>
      <w:r>
        <w:rPr>
          <w:i/>
          <w:iCs/>
        </w:rPr>
        <w:t>Id.</w:t>
      </w:r>
    </w:p>
  </w:footnote>
  <w:footnote w:id="313">
    <w:p w14:paraId="1BC1D828" w14:textId="675C6CDE" w:rsidR="006D4832" w:rsidRPr="006D4832" w:rsidRDefault="006D4832">
      <w:pPr>
        <w:pStyle w:val="FootnoteText"/>
      </w:pPr>
      <w:r>
        <w:rPr>
          <w:rStyle w:val="FootnoteReference"/>
        </w:rPr>
        <w:footnoteRef/>
      </w:r>
      <w:r>
        <w:t xml:space="preserve"> </w:t>
      </w:r>
      <w:r>
        <w:rPr>
          <w:i/>
          <w:iCs/>
        </w:rPr>
        <w:t>Id.</w:t>
      </w:r>
    </w:p>
  </w:footnote>
  <w:footnote w:id="314">
    <w:p w14:paraId="71EE5663" w14:textId="1DC4EF50" w:rsidR="006D4832" w:rsidRPr="006D4832" w:rsidRDefault="006D4832">
      <w:pPr>
        <w:pStyle w:val="FootnoteText"/>
        <w:rPr>
          <w:i/>
          <w:iCs/>
        </w:rPr>
      </w:pPr>
      <w:r>
        <w:rPr>
          <w:rStyle w:val="FootnoteReference"/>
        </w:rPr>
        <w:footnoteRef/>
      </w:r>
      <w:r>
        <w:t xml:space="preserve"> </w:t>
      </w:r>
      <w:r>
        <w:rPr>
          <w:i/>
          <w:iCs/>
        </w:rPr>
        <w:t xml:space="preserve">Id. </w:t>
      </w:r>
      <w:r w:rsidRPr="006D4832">
        <w:t>at 1165-66</w:t>
      </w:r>
      <w:r>
        <w:t>.</w:t>
      </w:r>
    </w:p>
  </w:footnote>
  <w:footnote w:id="315">
    <w:p w14:paraId="0D1CAB67" w14:textId="474206AA" w:rsidR="006E25EB" w:rsidRPr="006E25EB" w:rsidRDefault="006E25EB">
      <w:pPr>
        <w:pStyle w:val="FootnoteText"/>
      </w:pPr>
      <w:r>
        <w:rPr>
          <w:rStyle w:val="FootnoteReference"/>
        </w:rPr>
        <w:footnoteRef/>
      </w:r>
      <w:r>
        <w:t xml:space="preserve"> </w:t>
      </w:r>
      <w:r>
        <w:rPr>
          <w:i/>
          <w:iCs/>
        </w:rPr>
        <w:t>Id.</w:t>
      </w:r>
      <w:r>
        <w:t xml:space="preserve"> at 1166. </w:t>
      </w:r>
    </w:p>
  </w:footnote>
  <w:footnote w:id="316">
    <w:p w14:paraId="3FF5E144" w14:textId="0E5F99F1" w:rsidR="00D90D35" w:rsidRPr="00292BD9" w:rsidRDefault="00D90D35">
      <w:pPr>
        <w:pStyle w:val="FootnoteText"/>
      </w:pPr>
      <w:r>
        <w:rPr>
          <w:rStyle w:val="FootnoteReference"/>
        </w:rPr>
        <w:footnoteRef/>
      </w:r>
      <w:r>
        <w:t xml:space="preserve"> </w:t>
      </w:r>
      <w:r w:rsidRPr="00292BD9">
        <w:t>Enzo Life Sc</w:t>
      </w:r>
      <w:r>
        <w:t>is., Inc. v. Roche Molecular Sy</w:t>
      </w:r>
      <w:r w:rsidRPr="00292BD9">
        <w:t>s.,</w:t>
      </w:r>
      <w:r w:rsidRPr="00292BD9">
        <w:rPr>
          <w:i/>
          <w:iCs/>
        </w:rPr>
        <w:t xml:space="preserve"> </w:t>
      </w:r>
      <w:r w:rsidRPr="00292BD9">
        <w:t>928 F.3d 1340</w:t>
      </w:r>
      <w:r>
        <w:t>, 1342</w:t>
      </w:r>
      <w:r w:rsidRPr="00292BD9">
        <w:t xml:space="preserve"> (Fed. Cir</w:t>
      </w:r>
      <w:r>
        <w:t>.</w:t>
      </w:r>
      <w:r w:rsidRPr="00292BD9">
        <w:t xml:space="preserve"> 2019)</w:t>
      </w:r>
      <w:r>
        <w:t>.</w:t>
      </w:r>
    </w:p>
  </w:footnote>
  <w:footnote w:id="317">
    <w:p w14:paraId="2CA892F9" w14:textId="7C5A64C2" w:rsidR="00D90D35" w:rsidRPr="00B107AB" w:rsidRDefault="00D90D35">
      <w:pPr>
        <w:pStyle w:val="FootnoteText"/>
      </w:pPr>
      <w:r>
        <w:rPr>
          <w:rStyle w:val="FootnoteReference"/>
        </w:rPr>
        <w:footnoteRef/>
      </w:r>
      <w:r>
        <w:t xml:space="preserve"> </w:t>
      </w:r>
      <w:r>
        <w:rPr>
          <w:i/>
          <w:iCs/>
        </w:rPr>
        <w:t xml:space="preserve">Id. </w:t>
      </w:r>
      <w:r>
        <w:t>at 1343-44.</w:t>
      </w:r>
    </w:p>
  </w:footnote>
  <w:footnote w:id="318">
    <w:p w14:paraId="494ACEF8" w14:textId="77777777" w:rsidR="00D90D35" w:rsidRPr="00665F58" w:rsidRDefault="00D90D35" w:rsidP="001C0FCD">
      <w:pPr>
        <w:pStyle w:val="FootnoteText"/>
      </w:pPr>
      <w:r>
        <w:rPr>
          <w:rStyle w:val="FootnoteReference"/>
        </w:rPr>
        <w:footnoteRef/>
      </w:r>
      <w:r>
        <w:t xml:space="preserve"> </w:t>
      </w:r>
      <w:r>
        <w:rPr>
          <w:i/>
          <w:iCs/>
        </w:rPr>
        <w:t xml:space="preserve">Id. </w:t>
      </w:r>
      <w:r>
        <w:t>at 1346.</w:t>
      </w:r>
    </w:p>
  </w:footnote>
  <w:footnote w:id="319">
    <w:p w14:paraId="421E8AB0" w14:textId="6DF9B322" w:rsidR="00D90D35" w:rsidRPr="00B47024" w:rsidRDefault="00D90D35" w:rsidP="001C0FCD">
      <w:pPr>
        <w:pStyle w:val="FootnoteText"/>
      </w:pPr>
      <w:r>
        <w:rPr>
          <w:rStyle w:val="FootnoteReference"/>
        </w:rPr>
        <w:footnoteRef/>
      </w:r>
      <w:r>
        <w:t xml:space="preserve"> </w:t>
      </w:r>
      <w:r>
        <w:rPr>
          <w:i/>
          <w:iCs/>
        </w:rPr>
        <w:t xml:space="preserve">Id. </w:t>
      </w:r>
      <w:r>
        <w:t xml:space="preserve">(citing </w:t>
      </w:r>
      <w:r w:rsidRPr="00B47024">
        <w:t>720 F.3d 1380 (Fed. Cir. 2013)</w:t>
      </w:r>
      <w:r>
        <w:t>).</w:t>
      </w:r>
    </w:p>
  </w:footnote>
  <w:footnote w:id="320">
    <w:p w14:paraId="0666763F" w14:textId="53B6AD81" w:rsidR="00D90D35" w:rsidRPr="00AF702C" w:rsidRDefault="00D90D35">
      <w:pPr>
        <w:pStyle w:val="FootnoteText"/>
      </w:pPr>
      <w:r>
        <w:rPr>
          <w:rStyle w:val="FootnoteReference"/>
        </w:rPr>
        <w:footnoteRef/>
      </w:r>
      <w:r>
        <w:t xml:space="preserve"> </w:t>
      </w:r>
      <w:r>
        <w:rPr>
          <w:i/>
          <w:iCs/>
        </w:rPr>
        <w:t xml:space="preserve">Id. </w:t>
      </w:r>
      <w:r>
        <w:t>at 1347.</w:t>
      </w:r>
    </w:p>
  </w:footnote>
  <w:footnote w:id="321">
    <w:p w14:paraId="109BF970" w14:textId="0561A63C" w:rsidR="00D90D35" w:rsidRPr="002731A8" w:rsidRDefault="00D90D35" w:rsidP="003D0D9B">
      <w:pPr>
        <w:pStyle w:val="FootnoteText"/>
      </w:pPr>
      <w:r>
        <w:rPr>
          <w:rStyle w:val="FootnoteReference"/>
        </w:rPr>
        <w:footnoteRef/>
      </w:r>
      <w:r>
        <w:t xml:space="preserve"> </w:t>
      </w:r>
      <w:r>
        <w:rPr>
          <w:i/>
          <w:iCs/>
        </w:rPr>
        <w:t xml:space="preserve">Id. </w:t>
      </w:r>
      <w:r>
        <w:t>at 1348-49 (“[E]ach labeled polynucleotide would need to be tested to determine whether it is hybridizable and detectable upon hybridization.”).</w:t>
      </w:r>
    </w:p>
  </w:footnote>
  <w:footnote w:id="322">
    <w:p w14:paraId="5A383A33" w14:textId="77777777" w:rsidR="00D90D35" w:rsidRPr="00B477F2" w:rsidRDefault="00D90D35" w:rsidP="003D0D9B">
      <w:pPr>
        <w:pStyle w:val="FootnoteText"/>
      </w:pPr>
      <w:r>
        <w:rPr>
          <w:rStyle w:val="FootnoteReference"/>
        </w:rPr>
        <w:footnoteRef/>
      </w:r>
      <w:r>
        <w:t xml:space="preserve"> </w:t>
      </w:r>
      <w:r>
        <w:rPr>
          <w:i/>
          <w:iCs/>
        </w:rPr>
        <w:t xml:space="preserve">Id. </w:t>
      </w:r>
      <w:r>
        <w:t>at 1349.</w:t>
      </w:r>
    </w:p>
  </w:footnote>
  <w:footnote w:id="323">
    <w:p w14:paraId="3A1DA7BF" w14:textId="77777777" w:rsidR="00D90D35" w:rsidRPr="002731A8" w:rsidRDefault="00D90D35" w:rsidP="003D0D9B">
      <w:pPr>
        <w:pStyle w:val="FootnoteText"/>
      </w:pPr>
      <w:r>
        <w:rPr>
          <w:rStyle w:val="FootnoteReference"/>
        </w:rPr>
        <w:footnoteRef/>
      </w:r>
      <w:r>
        <w:t xml:space="preserve"> </w:t>
      </w:r>
      <w:r>
        <w:rPr>
          <w:i/>
          <w:iCs/>
        </w:rPr>
        <w:t xml:space="preserve">Id. </w:t>
      </w:r>
      <w:r>
        <w:t>at 1348.</w:t>
      </w:r>
    </w:p>
  </w:footnote>
  <w:footnote w:id="324">
    <w:p w14:paraId="1EB90F79" w14:textId="77777777" w:rsidR="00D90D35" w:rsidRPr="00AD1B54" w:rsidRDefault="00D90D35" w:rsidP="003D0D9B">
      <w:pPr>
        <w:pStyle w:val="FootnoteText"/>
      </w:pPr>
      <w:r>
        <w:rPr>
          <w:rStyle w:val="FootnoteReference"/>
        </w:rPr>
        <w:footnoteRef/>
      </w:r>
      <w:r>
        <w:t xml:space="preserve"> </w:t>
      </w:r>
      <w:r>
        <w:rPr>
          <w:i/>
          <w:iCs/>
        </w:rPr>
        <w:t xml:space="preserve">Id. </w:t>
      </w:r>
      <w:r>
        <w:t>at 1349.</w:t>
      </w:r>
    </w:p>
  </w:footnote>
  <w:footnote w:id="325">
    <w:p w14:paraId="72537908" w14:textId="77777777" w:rsidR="00D90D35" w:rsidRDefault="00D90D35" w:rsidP="00B878E6">
      <w:pPr>
        <w:pStyle w:val="FootnoteText"/>
      </w:pPr>
      <w:r>
        <w:rPr>
          <w:rStyle w:val="FootnoteReference"/>
        </w:rPr>
        <w:footnoteRef/>
      </w:r>
      <w:r>
        <w:t xml:space="preserve"> </w:t>
      </w:r>
      <w:r w:rsidRPr="00BE1400">
        <w:t>Nuvo Pharms. (Ireland) Designated Activity Co.  v. Dr. Reddy’s Labs. Inc., 923 F.3d 1368 (Fed. Cir. 2019)</w:t>
      </w:r>
      <w:r>
        <w:t>.</w:t>
      </w:r>
    </w:p>
  </w:footnote>
  <w:footnote w:id="326">
    <w:p w14:paraId="5C8AFECE" w14:textId="77777777" w:rsidR="00D90D35" w:rsidRPr="00FB0DDE" w:rsidRDefault="00D90D35" w:rsidP="00FB45EB">
      <w:pPr>
        <w:pStyle w:val="FootnoteText"/>
      </w:pPr>
      <w:r>
        <w:rPr>
          <w:rStyle w:val="FootnoteReference"/>
        </w:rPr>
        <w:footnoteRef/>
      </w:r>
      <w:r>
        <w:t xml:space="preserve"> </w:t>
      </w:r>
      <w:r>
        <w:rPr>
          <w:i/>
          <w:iCs/>
        </w:rPr>
        <w:t xml:space="preserve">Id. </w:t>
      </w:r>
      <w:r>
        <w:t>at 1381.</w:t>
      </w:r>
    </w:p>
  </w:footnote>
  <w:footnote w:id="327">
    <w:p w14:paraId="55C32C4F" w14:textId="435CFA53" w:rsidR="00D90D35" w:rsidRPr="00BD61FF" w:rsidRDefault="00D90D35">
      <w:pPr>
        <w:pStyle w:val="FootnoteText"/>
      </w:pPr>
      <w:r>
        <w:rPr>
          <w:rStyle w:val="FootnoteReference"/>
        </w:rPr>
        <w:footnoteRef/>
      </w:r>
      <w:r>
        <w:t xml:space="preserve"> </w:t>
      </w:r>
      <w:r>
        <w:rPr>
          <w:i/>
          <w:iCs/>
        </w:rPr>
        <w:t xml:space="preserve">Id. </w:t>
      </w:r>
      <w:r>
        <w:t xml:space="preserve">at 1372-73.  </w:t>
      </w:r>
    </w:p>
  </w:footnote>
  <w:footnote w:id="328">
    <w:p w14:paraId="0B0C1D0B" w14:textId="6E0BB778" w:rsidR="00D90D35" w:rsidRPr="00BB0043" w:rsidRDefault="00D90D35">
      <w:pPr>
        <w:pStyle w:val="FootnoteText"/>
      </w:pPr>
      <w:r>
        <w:rPr>
          <w:rStyle w:val="FootnoteReference"/>
        </w:rPr>
        <w:footnoteRef/>
      </w:r>
      <w:r>
        <w:t xml:space="preserve"> </w:t>
      </w:r>
      <w:r>
        <w:rPr>
          <w:i/>
          <w:iCs/>
        </w:rPr>
        <w:t>Id.</w:t>
      </w:r>
      <w:r>
        <w:t>.</w:t>
      </w:r>
    </w:p>
  </w:footnote>
  <w:footnote w:id="329">
    <w:p w14:paraId="1E032EA8" w14:textId="75C5B9DC" w:rsidR="00D90D35" w:rsidRPr="00E82D48" w:rsidRDefault="00D90D35">
      <w:pPr>
        <w:pStyle w:val="FootnoteText"/>
      </w:pPr>
      <w:r>
        <w:rPr>
          <w:rStyle w:val="FootnoteReference"/>
        </w:rPr>
        <w:footnoteRef/>
      </w:r>
      <w:r>
        <w:t xml:space="preserve"> </w:t>
      </w:r>
      <w:r>
        <w:rPr>
          <w:i/>
          <w:iCs/>
        </w:rPr>
        <w:t xml:space="preserve">Id. </w:t>
      </w:r>
      <w:r>
        <w:t>at 1384.</w:t>
      </w:r>
    </w:p>
  </w:footnote>
  <w:footnote w:id="330">
    <w:p w14:paraId="2DBBEBD6" w14:textId="71A0C311" w:rsidR="00D90D35" w:rsidRPr="007C3292" w:rsidRDefault="00D90D35">
      <w:pPr>
        <w:pStyle w:val="FootnoteText"/>
      </w:pPr>
      <w:r>
        <w:rPr>
          <w:rStyle w:val="FootnoteReference"/>
        </w:rPr>
        <w:footnoteRef/>
      </w:r>
      <w:r>
        <w:t xml:space="preserve"> Nuvo proposed five ways to read the claims thusly, none of them entertained in district court.</w:t>
      </w:r>
      <w:r>
        <w:rPr>
          <w:i/>
          <w:iCs/>
        </w:rPr>
        <w:t xml:space="preserve"> Id. </w:t>
      </w:r>
      <w:r>
        <w:t xml:space="preserve">at 1377-79.  But “[b]oth patents-in-suit . . . [clearly] recite[d] claims requiring amounts of uncoated PPI effective to raise the gastric pH to at least 3.5.” </w:t>
      </w:r>
      <w:r>
        <w:rPr>
          <w:i/>
          <w:iCs/>
        </w:rPr>
        <w:t xml:space="preserve"> . </w:t>
      </w:r>
      <w:r>
        <w:t>at 1378.</w:t>
      </w:r>
    </w:p>
  </w:footnote>
  <w:footnote w:id="331">
    <w:p w14:paraId="4C09926E" w14:textId="77777777" w:rsidR="00D90D35" w:rsidRPr="001D0022" w:rsidRDefault="00D90D35" w:rsidP="00F841E6">
      <w:pPr>
        <w:pStyle w:val="FootnoteText"/>
      </w:pPr>
      <w:r>
        <w:rPr>
          <w:rStyle w:val="FootnoteReference"/>
        </w:rPr>
        <w:footnoteRef/>
      </w:r>
      <w:r>
        <w:t xml:space="preserve"> </w:t>
      </w:r>
      <w:r>
        <w:rPr>
          <w:i/>
          <w:iCs/>
        </w:rPr>
        <w:t xml:space="preserve">Id. </w:t>
      </w:r>
      <w:r>
        <w:t>at 1380-81.</w:t>
      </w:r>
    </w:p>
  </w:footnote>
  <w:footnote w:id="332">
    <w:p w14:paraId="63DEEDE1" w14:textId="03334B0E" w:rsidR="00D90D35" w:rsidRPr="001B6CCA" w:rsidRDefault="00D90D35">
      <w:pPr>
        <w:pStyle w:val="FootnoteText"/>
      </w:pPr>
      <w:r>
        <w:rPr>
          <w:rStyle w:val="FootnoteReference"/>
        </w:rPr>
        <w:footnoteRef/>
      </w:r>
      <w:r>
        <w:t xml:space="preserve"> </w:t>
      </w:r>
      <w:r>
        <w:rPr>
          <w:i/>
          <w:iCs/>
        </w:rPr>
        <w:t xml:space="preserve">Id. </w:t>
      </w:r>
      <w:r>
        <w:t>at 1379-80.</w:t>
      </w:r>
    </w:p>
  </w:footnote>
  <w:footnote w:id="333">
    <w:p w14:paraId="5B541BD0" w14:textId="64C75360" w:rsidR="00D90D35" w:rsidRPr="00367BF3" w:rsidRDefault="00D90D35" w:rsidP="00566728">
      <w:pPr>
        <w:pStyle w:val="FootnoteText"/>
      </w:pPr>
      <w:r>
        <w:rPr>
          <w:rStyle w:val="FootnoteReference"/>
        </w:rPr>
        <w:footnoteRef/>
      </w:r>
      <w:r>
        <w:t xml:space="preserve"> </w:t>
      </w:r>
      <w:r>
        <w:rPr>
          <w:i/>
          <w:iCs/>
        </w:rPr>
        <w:t xml:space="preserve">Id. </w:t>
      </w:r>
      <w:r>
        <w:t xml:space="preserve">at 1380.  </w:t>
      </w:r>
    </w:p>
  </w:footnote>
  <w:footnote w:id="334">
    <w:p w14:paraId="2DA45700" w14:textId="715A8DDB" w:rsidR="00D90D35" w:rsidRPr="00367BF3" w:rsidRDefault="00D90D35">
      <w:pPr>
        <w:pStyle w:val="FootnoteText"/>
      </w:pPr>
      <w:r>
        <w:rPr>
          <w:rStyle w:val="FootnoteReference"/>
        </w:rPr>
        <w:footnoteRef/>
      </w:r>
      <w:r>
        <w:t xml:space="preserve"> </w:t>
      </w:r>
      <w:r>
        <w:rPr>
          <w:i/>
          <w:iCs/>
        </w:rPr>
        <w:t xml:space="preserve">Id. </w:t>
      </w:r>
      <w:r>
        <w:t xml:space="preserve">(quoting </w:t>
      </w:r>
      <w:r w:rsidRPr="00AC01E7">
        <w:rPr>
          <w:i/>
          <w:iCs/>
        </w:rPr>
        <w:t>Enzo Biochem, Inc. v. Gen–Probe Inc.</w:t>
      </w:r>
      <w:r w:rsidRPr="00E840B6">
        <w:t>, 323</w:t>
      </w:r>
      <w:r>
        <w:t xml:space="preserve"> F.3d 956, 968 (Fed. Cir. 2002)).</w:t>
      </w:r>
    </w:p>
  </w:footnote>
  <w:footnote w:id="335">
    <w:p w14:paraId="1CFFC461" w14:textId="0FACFB14" w:rsidR="00D90D35" w:rsidRPr="00322558" w:rsidRDefault="00D90D35">
      <w:pPr>
        <w:pStyle w:val="FootnoteText"/>
      </w:pPr>
      <w:r>
        <w:rPr>
          <w:rStyle w:val="FootnoteReference"/>
        </w:rPr>
        <w:footnoteRef/>
      </w:r>
      <w:r>
        <w:t xml:space="preserve"> </w:t>
      </w:r>
      <w:r>
        <w:rPr>
          <w:i/>
          <w:iCs/>
        </w:rPr>
        <w:t xml:space="preserve">Id. </w:t>
      </w:r>
      <w:r>
        <w:t>at 1381.</w:t>
      </w:r>
    </w:p>
  </w:footnote>
  <w:footnote w:id="336">
    <w:p w14:paraId="1CDB4A64" w14:textId="77777777" w:rsidR="00D90D35" w:rsidRPr="00022157" w:rsidRDefault="00D90D35" w:rsidP="00CE0CA6">
      <w:pPr>
        <w:pStyle w:val="FootnoteText"/>
      </w:pPr>
      <w:r>
        <w:rPr>
          <w:rStyle w:val="FootnoteReference"/>
        </w:rPr>
        <w:footnoteRef/>
      </w:r>
      <w:r>
        <w:t xml:space="preserve"> </w:t>
      </w:r>
      <w:r>
        <w:rPr>
          <w:i/>
          <w:iCs/>
        </w:rPr>
        <w:t xml:space="preserve">Id. </w:t>
      </w:r>
      <w:r>
        <w:t>at 1382 (citing Ariad Pharm., Inc. v. Eli Lilly &amp; Co., 598 F.3d 1336, 1343-51 (Fed. Cir. 2010) (en banc)).</w:t>
      </w:r>
    </w:p>
  </w:footnote>
  <w:footnote w:id="337">
    <w:p w14:paraId="4CD1EAE9" w14:textId="46A2E4C7" w:rsidR="00D90D35" w:rsidRPr="00A054AC" w:rsidRDefault="00D90D35">
      <w:pPr>
        <w:pStyle w:val="FootnoteText"/>
      </w:pPr>
      <w:r>
        <w:rPr>
          <w:rStyle w:val="FootnoteReference"/>
        </w:rPr>
        <w:footnoteRef/>
      </w:r>
      <w:r>
        <w:t xml:space="preserve"> </w:t>
      </w:r>
      <w:r>
        <w:rPr>
          <w:i/>
          <w:iCs/>
        </w:rPr>
        <w:t xml:space="preserve">Id. </w:t>
      </w:r>
      <w:r>
        <w:t>at 1383 (distinguishing case).</w:t>
      </w:r>
    </w:p>
  </w:footnote>
  <w:footnote w:id="338">
    <w:p w14:paraId="14F1173E" w14:textId="5F250B7F" w:rsidR="00D90D35" w:rsidRPr="0090789D" w:rsidRDefault="00D90D35">
      <w:pPr>
        <w:pStyle w:val="FootnoteText"/>
      </w:pPr>
      <w:r>
        <w:rPr>
          <w:rStyle w:val="FootnoteReference"/>
        </w:rPr>
        <w:footnoteRef/>
      </w:r>
      <w:r>
        <w:t xml:space="preserve"> </w:t>
      </w:r>
      <w:r>
        <w:rPr>
          <w:i/>
          <w:iCs/>
        </w:rPr>
        <w:t xml:space="preserve">Id. </w:t>
      </w:r>
    </w:p>
  </w:footnote>
  <w:footnote w:id="339">
    <w:p w14:paraId="171DE4D6" w14:textId="08EE42DB" w:rsidR="00D90D35" w:rsidRDefault="00D90D35">
      <w:pPr>
        <w:pStyle w:val="FootnoteText"/>
      </w:pPr>
      <w:r w:rsidRPr="005A669A">
        <w:rPr>
          <w:rStyle w:val="FootnoteReference"/>
        </w:rPr>
        <w:footnoteRef/>
      </w:r>
      <w:r>
        <w:t xml:space="preserve"> Centrak, Inc. v. Sonitor Techs.</w:t>
      </w:r>
      <w:r w:rsidRPr="00047771">
        <w:t xml:space="preserve"> Inc., 915 F.3d 1360</w:t>
      </w:r>
      <w:r>
        <w:t>, 1362</w:t>
      </w:r>
      <w:r w:rsidRPr="00047771">
        <w:t xml:space="preserve"> (Fed. Cir</w:t>
      </w:r>
      <w:r>
        <w:t xml:space="preserve">. </w:t>
      </w:r>
      <w:r w:rsidRPr="00047771">
        <w:t>2019)</w:t>
      </w:r>
      <w:r>
        <w:t>.</w:t>
      </w:r>
    </w:p>
  </w:footnote>
  <w:footnote w:id="340">
    <w:p w14:paraId="24CE8FF4" w14:textId="36CF7FEC" w:rsidR="00D90D35" w:rsidRPr="00047771" w:rsidRDefault="00D90D35" w:rsidP="00047771">
      <w:pPr>
        <w:pStyle w:val="FootnoteText"/>
      </w:pPr>
      <w:r w:rsidRPr="005A669A">
        <w:rPr>
          <w:rStyle w:val="FootnoteReference"/>
        </w:rPr>
        <w:footnoteRef/>
      </w:r>
      <w:r>
        <w:t xml:space="preserve"> </w:t>
      </w:r>
      <w:r>
        <w:rPr>
          <w:i/>
        </w:rPr>
        <w:t xml:space="preserve">Id. </w:t>
      </w:r>
      <w:r>
        <w:t>at 1363.</w:t>
      </w:r>
    </w:p>
  </w:footnote>
  <w:footnote w:id="341">
    <w:p w14:paraId="33716AA0" w14:textId="2894A95B" w:rsidR="00D90D35" w:rsidRPr="00E7147A" w:rsidRDefault="00D90D35">
      <w:pPr>
        <w:pStyle w:val="FootnoteText"/>
      </w:pPr>
      <w:r w:rsidRPr="005A669A">
        <w:rPr>
          <w:rStyle w:val="FootnoteReference"/>
        </w:rPr>
        <w:footnoteRef/>
      </w:r>
      <w:r>
        <w:t xml:space="preserve"> </w:t>
      </w:r>
      <w:r>
        <w:rPr>
          <w:i/>
        </w:rPr>
        <w:t xml:space="preserve">Id. </w:t>
      </w:r>
      <w:r>
        <w:t>at 1364.</w:t>
      </w:r>
    </w:p>
  </w:footnote>
  <w:footnote w:id="342">
    <w:p w14:paraId="1CD566A8" w14:textId="37DD0798" w:rsidR="00D90D35" w:rsidRPr="0020272E" w:rsidRDefault="00D90D35">
      <w:pPr>
        <w:pStyle w:val="FootnoteText"/>
      </w:pPr>
      <w:r w:rsidRPr="005A669A">
        <w:rPr>
          <w:rStyle w:val="FootnoteReference"/>
        </w:rPr>
        <w:footnoteRef/>
      </w:r>
      <w:r>
        <w:t xml:space="preserve"> </w:t>
      </w:r>
      <w:r>
        <w:rPr>
          <w:i/>
        </w:rPr>
        <w:t xml:space="preserve">Id. </w:t>
      </w:r>
      <w:r>
        <w:t xml:space="preserve">at 1365 (quoting </w:t>
      </w:r>
      <w:r w:rsidRPr="0020272E">
        <w:t>CenTrak, Inc. v. Sonitor Techs., Inc., No. CV 14-183-RGA, 2017 WL 3730617, at *</w:t>
      </w:r>
      <w:r>
        <w:t>8</w:t>
      </w:r>
      <w:r w:rsidRPr="0020272E">
        <w:t xml:space="preserve"> (D. Del. Aug. 30, 2017)</w:t>
      </w:r>
      <w:r>
        <w:t>).</w:t>
      </w:r>
    </w:p>
  </w:footnote>
  <w:footnote w:id="343">
    <w:p w14:paraId="79889145" w14:textId="48B891F0" w:rsidR="00D90D35" w:rsidRPr="008D0EFC" w:rsidRDefault="00D90D35">
      <w:pPr>
        <w:pStyle w:val="FootnoteText"/>
      </w:pPr>
      <w:r w:rsidRPr="005A669A">
        <w:rPr>
          <w:rStyle w:val="FootnoteReference"/>
        </w:rPr>
        <w:footnoteRef/>
      </w:r>
      <w:r>
        <w:t xml:space="preserve"> </w:t>
      </w:r>
      <w:r>
        <w:rPr>
          <w:i/>
        </w:rPr>
        <w:t xml:space="preserve">Id. </w:t>
      </w:r>
      <w:r>
        <w:t>at 1365.</w:t>
      </w:r>
    </w:p>
  </w:footnote>
  <w:footnote w:id="344">
    <w:p w14:paraId="2806A57D" w14:textId="28F9E35E" w:rsidR="00D90D35" w:rsidRDefault="00D90D35" w:rsidP="00B211D0">
      <w:pPr>
        <w:pStyle w:val="FootnoteText"/>
      </w:pPr>
      <w:r w:rsidRPr="005A669A">
        <w:rPr>
          <w:rStyle w:val="FootnoteReference"/>
        </w:rPr>
        <w:footnoteRef/>
      </w:r>
      <w:r>
        <w:t xml:space="preserve"> </w:t>
      </w:r>
      <w:r>
        <w:rPr>
          <w:i/>
        </w:rPr>
        <w:t xml:space="preserve">Id. </w:t>
      </w:r>
      <w:r>
        <w:t>at 1362.</w:t>
      </w:r>
    </w:p>
  </w:footnote>
  <w:footnote w:id="345">
    <w:p w14:paraId="55D6663A" w14:textId="14B39D48" w:rsidR="00D90D35" w:rsidRPr="003F2E9F" w:rsidRDefault="00D90D35" w:rsidP="00843C7E">
      <w:pPr>
        <w:pStyle w:val="FootnoteText"/>
      </w:pPr>
      <w:r w:rsidRPr="005A669A">
        <w:rPr>
          <w:rStyle w:val="FootnoteReference"/>
        </w:rPr>
        <w:footnoteRef/>
      </w:r>
      <w:r>
        <w:t xml:space="preserve"> </w:t>
      </w:r>
      <w:r>
        <w:rPr>
          <w:i/>
        </w:rPr>
        <w:t xml:space="preserve">Id. </w:t>
      </w:r>
      <w:r>
        <w:t>at 1366 (“[W]ritten description is about whether the skilled reader of the patent disclosure can recognize that what was claimed corresponds to what was described; it is not about whether the patentee has proven to the skilled reader that the invention works, or how to make it work, which is an enablement issue.” (quoting Alcon Research Ltd. v. Barr Labs., Inc., 745 F.3d 1180, 1191 (Fed. Cir. 2014)).</w:t>
      </w:r>
    </w:p>
  </w:footnote>
  <w:footnote w:id="346">
    <w:p w14:paraId="4F41642B" w14:textId="711371E1" w:rsidR="00D90D35" w:rsidRPr="00331266" w:rsidRDefault="00D90D35">
      <w:pPr>
        <w:pStyle w:val="FootnoteText"/>
      </w:pPr>
      <w:r w:rsidRPr="005A669A">
        <w:rPr>
          <w:rStyle w:val="FootnoteReference"/>
        </w:rPr>
        <w:footnoteRef/>
      </w:r>
      <w:r>
        <w:t xml:space="preserve"> </w:t>
      </w:r>
      <w:r>
        <w:rPr>
          <w:i/>
        </w:rPr>
        <w:t xml:space="preserve">Id. </w:t>
      </w:r>
      <w:r>
        <w:t xml:space="preserve">at 1367 (quoting </w:t>
      </w:r>
      <w:r w:rsidRPr="00DD448A">
        <w:t xml:space="preserve">Ariad Pharm., Inc. v. Eli Lilly &amp; Co., 598 F.3d 1336, </w:t>
      </w:r>
      <w:r>
        <w:t>1351</w:t>
      </w:r>
      <w:r w:rsidRPr="00DD448A">
        <w:t xml:space="preserve"> (Fed. Cir. 2010) (en banc)</w:t>
      </w:r>
      <w:r>
        <w:t>).</w:t>
      </w:r>
    </w:p>
  </w:footnote>
  <w:footnote w:id="347">
    <w:p w14:paraId="41BEFD15" w14:textId="772A3807" w:rsidR="00D90D35" w:rsidRPr="00DD448A" w:rsidRDefault="00D90D35" w:rsidP="005807C6">
      <w:pPr>
        <w:pStyle w:val="FootnoteText"/>
      </w:pPr>
      <w:r w:rsidRPr="005A669A">
        <w:rPr>
          <w:rStyle w:val="FootnoteReference"/>
        </w:rPr>
        <w:footnoteRef/>
      </w:r>
      <w:r>
        <w:t xml:space="preserve"> </w:t>
      </w:r>
      <w:r>
        <w:rPr>
          <w:i/>
        </w:rPr>
        <w:t xml:space="preserve">Id. </w:t>
      </w:r>
    </w:p>
  </w:footnote>
  <w:footnote w:id="348">
    <w:p w14:paraId="06ED8872" w14:textId="25A2CDA5" w:rsidR="00D90D35" w:rsidRPr="003B10E3" w:rsidRDefault="00D90D35">
      <w:pPr>
        <w:pStyle w:val="FootnoteText"/>
      </w:pPr>
      <w:r w:rsidRPr="005A669A">
        <w:rPr>
          <w:rStyle w:val="FootnoteReference"/>
        </w:rPr>
        <w:footnoteRef/>
      </w:r>
      <w:r>
        <w:t xml:space="preserve"> </w:t>
      </w:r>
      <w:r>
        <w:rPr>
          <w:i/>
        </w:rPr>
        <w:t xml:space="preserve">Id. </w:t>
      </w:r>
      <w:r>
        <w:t xml:space="preserve">at 1366 (citing </w:t>
      </w:r>
      <w:r w:rsidRPr="002A1311">
        <w:rPr>
          <w:rFonts w:cs="Times New Roman"/>
        </w:rPr>
        <w:t>ScriptPro LLC v. Innovation Associates, Inc</w:t>
      </w:r>
      <w:r>
        <w:t xml:space="preserve">, </w:t>
      </w:r>
      <w:r w:rsidRPr="003B10E3">
        <w:t>833</w:t>
      </w:r>
      <w:r>
        <w:t xml:space="preserve"> </w:t>
      </w:r>
      <w:r w:rsidRPr="003B10E3">
        <w:t>F.3d</w:t>
      </w:r>
      <w:r>
        <w:t xml:space="preserve"> </w:t>
      </w:r>
      <w:r w:rsidRPr="003B10E3">
        <w:t>1336,</w:t>
      </w:r>
      <w:r>
        <w:t xml:space="preserve"> </w:t>
      </w:r>
      <w:r w:rsidRPr="003B10E3">
        <w:t>1341</w:t>
      </w:r>
      <w:r>
        <w:t xml:space="preserve"> </w:t>
      </w:r>
      <w:r w:rsidRPr="003B10E3">
        <w:t>(Fed.</w:t>
      </w:r>
      <w:r>
        <w:t xml:space="preserve"> </w:t>
      </w:r>
      <w:r w:rsidRPr="003B10E3">
        <w:t>Cir.</w:t>
      </w:r>
      <w:r>
        <w:t xml:space="preserve"> </w:t>
      </w:r>
      <w:r w:rsidRPr="003B10E3">
        <w:t>2016)</w:t>
      </w:r>
      <w:r>
        <w:t>).</w:t>
      </w:r>
    </w:p>
  </w:footnote>
  <w:footnote w:id="349">
    <w:p w14:paraId="7D3FA89C" w14:textId="587820FA" w:rsidR="00D90D35" w:rsidRPr="001406E2" w:rsidRDefault="00D90D35" w:rsidP="001406E2">
      <w:pPr>
        <w:pStyle w:val="FootnoteText"/>
      </w:pPr>
      <w:r w:rsidRPr="005A669A">
        <w:rPr>
          <w:rStyle w:val="FootnoteReference"/>
        </w:rPr>
        <w:footnoteRef/>
      </w:r>
      <w:r>
        <w:t xml:space="preserve"> </w:t>
      </w:r>
      <w:r>
        <w:rPr>
          <w:i/>
        </w:rPr>
        <w:t xml:space="preserve">Id. </w:t>
      </w:r>
      <w:r>
        <w:t>at 1367 (citing Lockwood v. Am. Airlines, Inc., 107 F.3d 1565, 1567 (Fed. Cir. 1997)).</w:t>
      </w:r>
    </w:p>
  </w:footnote>
  <w:footnote w:id="350">
    <w:p w14:paraId="18CEE908" w14:textId="59A0B843" w:rsidR="00D90D35" w:rsidRPr="007411B9" w:rsidRDefault="00D90D35">
      <w:pPr>
        <w:pStyle w:val="FootnoteText"/>
      </w:pPr>
      <w:r w:rsidRPr="005A669A">
        <w:rPr>
          <w:rStyle w:val="FootnoteReference"/>
        </w:rPr>
        <w:footnoteRef/>
      </w:r>
      <w:r>
        <w:t xml:space="preserve"> </w:t>
      </w:r>
      <w:r>
        <w:rPr>
          <w:i/>
        </w:rPr>
        <w:t xml:space="preserve">Id. </w:t>
      </w:r>
      <w:r>
        <w:t>at 1368-69 (discussing interview with doctors).</w:t>
      </w:r>
    </w:p>
  </w:footnote>
  <w:footnote w:id="351">
    <w:p w14:paraId="51E0F52C" w14:textId="429DC4AE" w:rsidR="00D90D35" w:rsidRDefault="00D90D35">
      <w:pPr>
        <w:pStyle w:val="FootnoteText"/>
      </w:pPr>
      <w:r w:rsidRPr="005A669A">
        <w:rPr>
          <w:rStyle w:val="FootnoteReference"/>
        </w:rPr>
        <w:footnoteRef/>
      </w:r>
      <w:r>
        <w:t xml:space="preserve"> </w:t>
      </w:r>
      <w:r w:rsidRPr="00781E75">
        <w:t>Barry v. Medtronic, Inc.,</w:t>
      </w:r>
      <w:r>
        <w:t xml:space="preserve"> 914 F.3d 1310, 1316-1317 (Fed. Cir. 2019).</w:t>
      </w:r>
    </w:p>
  </w:footnote>
  <w:footnote w:id="352">
    <w:p w14:paraId="10CBB50B" w14:textId="77777777" w:rsidR="00D90D35" w:rsidRPr="002B4000" w:rsidRDefault="00D90D35" w:rsidP="00EB71F4">
      <w:pPr>
        <w:pStyle w:val="FootnoteText"/>
      </w:pPr>
      <w:r w:rsidRPr="005A669A">
        <w:rPr>
          <w:rStyle w:val="FootnoteReference"/>
        </w:rPr>
        <w:footnoteRef/>
      </w:r>
      <w:r>
        <w:t xml:space="preserve"> </w:t>
      </w:r>
      <w:r>
        <w:rPr>
          <w:i/>
        </w:rPr>
        <w:t xml:space="preserve">Id. </w:t>
      </w:r>
      <w:r>
        <w:t>at 1317-19.</w:t>
      </w:r>
    </w:p>
  </w:footnote>
  <w:footnote w:id="353">
    <w:p w14:paraId="37C7CD0C" w14:textId="285531A5" w:rsidR="00D90D35" w:rsidRPr="0003379E" w:rsidRDefault="00D90D35">
      <w:pPr>
        <w:pStyle w:val="FootnoteText"/>
      </w:pPr>
      <w:r w:rsidRPr="005A669A">
        <w:rPr>
          <w:rStyle w:val="FootnoteReference"/>
        </w:rPr>
        <w:footnoteRef/>
      </w:r>
      <w:r>
        <w:t xml:space="preserve"> </w:t>
      </w:r>
      <w:r>
        <w:rPr>
          <w:i/>
        </w:rPr>
        <w:t xml:space="preserve">Id. </w:t>
      </w:r>
      <w:r>
        <w:t>at 1319.</w:t>
      </w:r>
    </w:p>
  </w:footnote>
  <w:footnote w:id="354">
    <w:p w14:paraId="046D4DFF" w14:textId="57DF6B08" w:rsidR="00D90D35" w:rsidRPr="001A5F46" w:rsidRDefault="00D90D35" w:rsidP="001A5F46">
      <w:pPr>
        <w:pStyle w:val="FootnoteText"/>
      </w:pPr>
      <w:r w:rsidRPr="005A669A">
        <w:rPr>
          <w:rStyle w:val="FootnoteReference"/>
        </w:rPr>
        <w:footnoteRef/>
      </w:r>
      <w:r>
        <w:t xml:space="preserve"> </w:t>
      </w:r>
      <w:r>
        <w:rPr>
          <w:i/>
        </w:rPr>
        <w:t xml:space="preserve">Id. </w:t>
      </w:r>
      <w:r>
        <w:rPr>
          <w:rFonts w:cs="Times New Roman"/>
        </w:rPr>
        <w:t>In late 2002 or early 2003, Dr. Barry had begun working on the idea with a sales representative of the DePuy medical-device company, whose devices Dr. Barry modified (or had modified on his behalf).</w:t>
      </w:r>
    </w:p>
  </w:footnote>
  <w:footnote w:id="355">
    <w:p w14:paraId="4CD180F6" w14:textId="13F00C1E" w:rsidR="00D90D35" w:rsidRPr="0003379E" w:rsidRDefault="00D90D35" w:rsidP="005A12E9">
      <w:pPr>
        <w:pStyle w:val="FootnoteText"/>
      </w:pPr>
      <w:r w:rsidRPr="005A669A">
        <w:rPr>
          <w:rStyle w:val="FootnoteReference"/>
        </w:rPr>
        <w:footnoteRef/>
      </w:r>
      <w:r>
        <w:t xml:space="preserve"> </w:t>
      </w:r>
      <w:r>
        <w:rPr>
          <w:i/>
        </w:rPr>
        <w:t xml:space="preserve">Id. </w:t>
      </w:r>
    </w:p>
  </w:footnote>
  <w:footnote w:id="356">
    <w:p w14:paraId="5A3C9FE0" w14:textId="09186E86" w:rsidR="00D90D35" w:rsidRPr="00750D4C" w:rsidRDefault="00D90D35">
      <w:pPr>
        <w:pStyle w:val="FootnoteText"/>
      </w:pPr>
      <w:r w:rsidRPr="005A669A">
        <w:rPr>
          <w:rStyle w:val="FootnoteReference"/>
        </w:rPr>
        <w:footnoteRef/>
      </w:r>
      <w:r>
        <w:t xml:space="preserve"> </w:t>
      </w:r>
      <w:r>
        <w:rPr>
          <w:i/>
        </w:rPr>
        <w:t>Id.</w:t>
      </w:r>
      <w:r>
        <w:t xml:space="preserve"> at 1321.</w:t>
      </w:r>
    </w:p>
  </w:footnote>
  <w:footnote w:id="357">
    <w:p w14:paraId="0D97524A" w14:textId="702A91F8" w:rsidR="00D90D35" w:rsidRPr="00E1434C" w:rsidRDefault="00D90D35" w:rsidP="00174DB7">
      <w:pPr>
        <w:pStyle w:val="FootnoteText"/>
      </w:pPr>
      <w:r w:rsidRPr="005A669A">
        <w:rPr>
          <w:rStyle w:val="FootnoteReference"/>
        </w:rPr>
        <w:footnoteRef/>
      </w:r>
      <w:r>
        <w:t xml:space="preserve"> </w:t>
      </w:r>
      <w:r>
        <w:rPr>
          <w:i/>
        </w:rPr>
        <w:t xml:space="preserve">See id. </w:t>
      </w:r>
      <w:r>
        <w:t xml:space="preserve">at 1327-29; </w:t>
      </w:r>
      <w:r>
        <w:rPr>
          <w:i/>
        </w:rPr>
        <w:t xml:space="preserve">id. </w:t>
      </w:r>
      <w:r>
        <w:t>at 1336-37 (Prost, C.J., dissenting-in-part).</w:t>
      </w:r>
    </w:p>
  </w:footnote>
  <w:footnote w:id="358">
    <w:p w14:paraId="05195295" w14:textId="3AA9E108" w:rsidR="00D90D35" w:rsidRPr="000E0638" w:rsidRDefault="00D90D35" w:rsidP="00CF5E77">
      <w:pPr>
        <w:pStyle w:val="FootnoteText"/>
      </w:pPr>
      <w:r w:rsidRPr="005A669A">
        <w:rPr>
          <w:rStyle w:val="FootnoteReference"/>
        </w:rPr>
        <w:footnoteRef/>
      </w:r>
      <w:r>
        <w:t xml:space="preserve"> </w:t>
      </w:r>
      <w:r>
        <w:rPr>
          <w:i/>
        </w:rPr>
        <w:t xml:space="preserve">Id. </w:t>
      </w:r>
      <w:r>
        <w:t xml:space="preserve">at 1331 (citing </w:t>
      </w:r>
      <w:r w:rsidRPr="00381E44">
        <w:t>Pfaff v. Wells Elecs., Inc., 525 U.S. 55, 67</w:t>
      </w:r>
      <w:r>
        <w:t xml:space="preserve"> </w:t>
      </w:r>
      <w:r w:rsidRPr="00381E44">
        <w:t>(1998)</w:t>
      </w:r>
      <w:r>
        <w:t>).</w:t>
      </w:r>
    </w:p>
  </w:footnote>
  <w:footnote w:id="359">
    <w:p w14:paraId="07F19FE6" w14:textId="47D8E959" w:rsidR="00D90D35" w:rsidRPr="00CF5E77" w:rsidRDefault="00D90D35" w:rsidP="00CF5E77">
      <w:pPr>
        <w:pStyle w:val="FootnoteText"/>
      </w:pPr>
      <w:r w:rsidRPr="005A669A">
        <w:rPr>
          <w:rStyle w:val="FootnoteReference"/>
        </w:rPr>
        <w:footnoteRef/>
      </w:r>
      <w:r>
        <w:t xml:space="preserve"> </w:t>
      </w:r>
      <w:r>
        <w:rPr>
          <w:i/>
        </w:rPr>
        <w:t xml:space="preserve">Id. </w:t>
      </w:r>
      <w:r>
        <w:t xml:space="preserve">at 1321 (citing </w:t>
      </w:r>
      <w:r w:rsidRPr="000E0638">
        <w:t>Polara Eng'g Inc v. Campbell Co., 894 F.3d 1339, 1348 (Fed. Cir. 2018)</w:t>
      </w:r>
      <w:r>
        <w:t xml:space="preserve">); </w:t>
      </w:r>
      <w:r>
        <w:rPr>
          <w:i/>
        </w:rPr>
        <w:t xml:space="preserve">id. </w:t>
      </w:r>
      <w:r>
        <w:t>at 1331 (applying analysis from p. 1321 in the context of on-sale bar).</w:t>
      </w:r>
    </w:p>
  </w:footnote>
  <w:footnote w:id="360">
    <w:p w14:paraId="196D720D" w14:textId="77777777" w:rsidR="00D90D35" w:rsidRPr="0072078E" w:rsidRDefault="00D90D35" w:rsidP="00521053">
      <w:pPr>
        <w:pStyle w:val="FootnoteText"/>
      </w:pPr>
      <w:r w:rsidRPr="005A669A">
        <w:rPr>
          <w:rStyle w:val="FootnoteReference"/>
        </w:rPr>
        <w:footnoteRef/>
      </w:r>
      <w:r>
        <w:t xml:space="preserve"> </w:t>
      </w:r>
      <w:r>
        <w:rPr>
          <w:i/>
        </w:rPr>
        <w:t xml:space="preserve">Id. </w:t>
      </w:r>
      <w:r>
        <w:t>at 1337 (Prost, C.J., dissenting-in-part)</w:t>
      </w:r>
      <w:r>
        <w:rPr>
          <w:i/>
        </w:rPr>
        <w:t xml:space="preserve"> </w:t>
      </w:r>
      <w:r>
        <w:t>(citing Pfaff v. Wells Elecs., Inc., 525 U.S. 55, 67-68 (1998)).</w:t>
      </w:r>
    </w:p>
  </w:footnote>
  <w:footnote w:id="361">
    <w:p w14:paraId="16BD1419" w14:textId="5D2BF2C3" w:rsidR="00D90D35" w:rsidRPr="00051EE8" w:rsidRDefault="00D90D35" w:rsidP="00521053">
      <w:pPr>
        <w:pStyle w:val="FootnoteText"/>
        <w:rPr>
          <w:i/>
        </w:rPr>
      </w:pPr>
      <w:r w:rsidRPr="005A669A">
        <w:rPr>
          <w:rStyle w:val="FootnoteReference"/>
        </w:rPr>
        <w:footnoteRef/>
      </w:r>
      <w:r>
        <w:t xml:space="preserve"> </w:t>
      </w:r>
      <w:r>
        <w:rPr>
          <w:i/>
        </w:rPr>
        <w:t xml:space="preserve">Id. </w:t>
      </w:r>
      <w:r>
        <w:t xml:space="preserve">(quoting </w:t>
      </w:r>
      <w:r w:rsidRPr="00051EE8">
        <w:t>In re Omeprazole Patent Litig., 536 F.3d 1361, 1373 (Fed. Cir. 2008)</w:t>
      </w:r>
      <w:r>
        <w:t>).</w:t>
      </w:r>
    </w:p>
  </w:footnote>
  <w:footnote w:id="362">
    <w:p w14:paraId="0148ED5D" w14:textId="43D77662" w:rsidR="00D90D35" w:rsidRPr="00F75A14" w:rsidRDefault="00D90D35">
      <w:pPr>
        <w:pStyle w:val="FootnoteText"/>
      </w:pPr>
      <w:r w:rsidRPr="005A669A">
        <w:rPr>
          <w:rStyle w:val="FootnoteReference"/>
        </w:rPr>
        <w:footnoteRef/>
      </w:r>
      <w:r>
        <w:t xml:space="preserve"> </w:t>
      </w:r>
      <w:r>
        <w:rPr>
          <w:i/>
        </w:rPr>
        <w:t xml:space="preserve">Id. </w:t>
      </w:r>
      <w:r>
        <w:t xml:space="preserve">at 1321 (setting out public use standard); </w:t>
      </w:r>
      <w:r>
        <w:rPr>
          <w:i/>
        </w:rPr>
        <w:t xml:space="preserve">id. </w:t>
      </w:r>
      <w:r>
        <w:t>at 1331 (adopting same reasoning when discussing on-sale bar).</w:t>
      </w:r>
    </w:p>
  </w:footnote>
  <w:footnote w:id="363">
    <w:p w14:paraId="44FBB75A" w14:textId="7DAD284D" w:rsidR="00D90D35" w:rsidRPr="002B6834" w:rsidRDefault="00D90D35">
      <w:pPr>
        <w:pStyle w:val="FootnoteText"/>
      </w:pPr>
      <w:r w:rsidRPr="005A669A">
        <w:rPr>
          <w:rStyle w:val="FootnoteReference"/>
        </w:rPr>
        <w:footnoteRef/>
      </w:r>
      <w:r>
        <w:t xml:space="preserve"> </w:t>
      </w:r>
      <w:r>
        <w:rPr>
          <w:i/>
        </w:rPr>
        <w:t xml:space="preserve">Id. </w:t>
      </w:r>
      <w:r>
        <w:t xml:space="preserve">at 1322-23 (citing, among other cases, </w:t>
      </w:r>
      <w:r w:rsidRPr="008176AF">
        <w:t>Seal-Flex,</w:t>
      </w:r>
      <w:r>
        <w:t xml:space="preserve"> </w:t>
      </w:r>
      <w:r w:rsidRPr="008176AF">
        <w:t>Inc.</w:t>
      </w:r>
      <w:r>
        <w:t xml:space="preserve"> </w:t>
      </w:r>
      <w:r w:rsidRPr="008176AF">
        <w:t>v.</w:t>
      </w:r>
      <w:r>
        <w:t xml:space="preserve"> </w:t>
      </w:r>
      <w:r w:rsidRPr="008176AF">
        <w:t>Athletic</w:t>
      </w:r>
      <w:r>
        <w:t xml:space="preserve"> </w:t>
      </w:r>
      <w:r w:rsidRPr="008176AF">
        <w:t>Track</w:t>
      </w:r>
      <w:r>
        <w:t xml:space="preserve"> </w:t>
      </w:r>
      <w:r w:rsidRPr="008176AF">
        <w:t>&amp;</w:t>
      </w:r>
      <w:r>
        <w:t xml:space="preserve"> </w:t>
      </w:r>
      <w:r w:rsidRPr="008176AF">
        <w:t>Court</w:t>
      </w:r>
      <w:r>
        <w:t xml:space="preserve"> </w:t>
      </w:r>
      <w:r w:rsidRPr="008176AF">
        <w:t>Const.,</w:t>
      </w:r>
      <w:r>
        <w:t xml:space="preserve"> </w:t>
      </w:r>
      <w:r w:rsidRPr="008176AF">
        <w:t>98</w:t>
      </w:r>
      <w:r>
        <w:t xml:space="preserve"> </w:t>
      </w:r>
      <w:r w:rsidRPr="008176AF">
        <w:t>F.3d</w:t>
      </w:r>
      <w:r>
        <w:t xml:space="preserve"> </w:t>
      </w:r>
      <w:r w:rsidRPr="008176AF">
        <w:t>1318,</w:t>
      </w:r>
      <w:r>
        <w:t xml:space="preserve"> </w:t>
      </w:r>
      <w:r w:rsidRPr="008176AF">
        <w:t>1324</w:t>
      </w:r>
      <w:r>
        <w:t xml:space="preserve"> </w:t>
      </w:r>
      <w:r w:rsidRPr="008176AF">
        <w:t>(Fed.</w:t>
      </w:r>
      <w:r>
        <w:t xml:space="preserve"> </w:t>
      </w:r>
      <w:r w:rsidRPr="008176AF">
        <w:t>Cir.</w:t>
      </w:r>
      <w:r>
        <w:t xml:space="preserve"> </w:t>
      </w:r>
      <w:r w:rsidRPr="008176AF">
        <w:t>1996)</w:t>
      </w:r>
      <w:r>
        <w:t xml:space="preserve">); </w:t>
      </w:r>
      <w:r>
        <w:rPr>
          <w:i/>
        </w:rPr>
        <w:t xml:space="preserve">id. </w:t>
      </w:r>
      <w:r>
        <w:t>at 1331 (adopting same reasoning when discussing on-sale bar).</w:t>
      </w:r>
    </w:p>
  </w:footnote>
  <w:footnote w:id="364">
    <w:p w14:paraId="47D1109C" w14:textId="77777777" w:rsidR="00D90D35" w:rsidRPr="00BE0759" w:rsidRDefault="00D90D35" w:rsidP="00C946F6">
      <w:pPr>
        <w:pStyle w:val="FootnoteText"/>
      </w:pPr>
      <w:r w:rsidRPr="005A669A">
        <w:rPr>
          <w:rStyle w:val="FootnoteReference"/>
        </w:rPr>
        <w:footnoteRef/>
      </w:r>
      <w:r>
        <w:t xml:space="preserve"> </w:t>
      </w:r>
      <w:r>
        <w:rPr>
          <w:i/>
        </w:rPr>
        <w:t xml:space="preserve">Id. </w:t>
      </w:r>
      <w:r>
        <w:t>at 1321 (acknowledging that “readiness for patenting and experimental use . . . are related”).</w:t>
      </w:r>
    </w:p>
  </w:footnote>
  <w:footnote w:id="365">
    <w:p w14:paraId="16FFD0B9" w14:textId="23E7305A" w:rsidR="00D90D35" w:rsidRPr="00224C6A" w:rsidRDefault="00D90D35">
      <w:pPr>
        <w:pStyle w:val="FootnoteText"/>
      </w:pPr>
      <w:r w:rsidRPr="005A669A">
        <w:rPr>
          <w:rStyle w:val="FootnoteReference"/>
        </w:rPr>
        <w:footnoteRef/>
      </w:r>
      <w:r>
        <w:t xml:space="preserve"> </w:t>
      </w:r>
      <w:r>
        <w:rPr>
          <w:i/>
        </w:rPr>
        <w:t xml:space="preserve">Id. </w:t>
      </w:r>
      <w:r>
        <w:t xml:space="preserve">at 1325-26 (first citing </w:t>
      </w:r>
      <w:r w:rsidRPr="00224C6A">
        <w:t xml:space="preserve">Manville Sales Corp. v. Paramount Sys., Inc., 917 F.2d 544, </w:t>
      </w:r>
      <w:r>
        <w:t>550</w:t>
      </w:r>
      <w:r w:rsidRPr="00224C6A">
        <w:t xml:space="preserve"> (Fed. Cir. 1990)</w:t>
      </w:r>
      <w:r>
        <w:t xml:space="preserve">, then citing </w:t>
      </w:r>
      <w:r w:rsidRPr="00224C6A">
        <w:t xml:space="preserve">Polara Eng'g Inc v. Campbell Co., 894 F.3d 1339, </w:t>
      </w:r>
      <w:r>
        <w:t>1349</w:t>
      </w:r>
      <w:r w:rsidRPr="00224C6A">
        <w:t xml:space="preserve"> (Fed. Cir. 2018</w:t>
      </w:r>
      <w:r>
        <w:t>)).</w:t>
      </w:r>
    </w:p>
  </w:footnote>
  <w:footnote w:id="366">
    <w:p w14:paraId="32EB98C5" w14:textId="278D575C" w:rsidR="00D90D35" w:rsidRDefault="00D90D35" w:rsidP="00F935EA">
      <w:pPr>
        <w:pStyle w:val="FootnoteText"/>
      </w:pPr>
      <w:r w:rsidRPr="005A669A">
        <w:rPr>
          <w:rStyle w:val="FootnoteReference"/>
        </w:rPr>
        <w:footnoteRef/>
      </w:r>
      <w:r>
        <w:t xml:space="preserve"> </w:t>
      </w:r>
      <w:r>
        <w:rPr>
          <w:i/>
        </w:rPr>
        <w:t xml:space="preserve">Id. </w:t>
      </w:r>
      <w:r>
        <w:t xml:space="preserve">at 1328 (“[R]egardless of the foregoing [discussion of, among other things, whether the claims were ready-for-patenting], the August and October surgeries come within the experimental-use exception. An inventor's use, while public in one sense, will not be considered a statutory public use if the use was experimental.”); </w:t>
      </w:r>
      <w:r>
        <w:rPr>
          <w:i/>
        </w:rPr>
        <w:t xml:space="preserve">id. </w:t>
      </w:r>
      <w:r>
        <w:t xml:space="preserve">(citing for its experimental use factors </w:t>
      </w:r>
      <w:r w:rsidRPr="00D64940">
        <w:t>Clock Spring, L.P. v. Wrapmaster, Inc., 560 F.3d 1317, 1327 (Fed. Cir. 2009)</w:t>
      </w:r>
      <w:r>
        <w:t>). Those factors include:</w:t>
      </w:r>
    </w:p>
    <w:p w14:paraId="01F50198" w14:textId="701F8890" w:rsidR="00D90D35" w:rsidRDefault="00D90D35" w:rsidP="003455A6">
      <w:pPr>
        <w:pStyle w:val="FootnoteText"/>
        <w:ind w:left="720" w:right="720"/>
      </w:pPr>
      <w:r w:rsidRPr="003455A6">
        <w:t>(1) the necessity for public testing, (2) the amount of control over the experiment retained by the inventor, (3) the nature of the invention, (4) the length of the test period, (5) whether payment was made, (6) whether there was a secrecy obligation, (7) whether records of the experiment were kept, (8) who conducted the experiment, (9) the degree of commercial exploitation during testing, (10) whether the invention reasonably requires evaluation under actual conditions of use, (11) whether testing was systematically performed, (12) whether the inventor continually monitored the invention during testing, and (13) the nature of contacts made with potential customers.</w:t>
      </w:r>
    </w:p>
    <w:p w14:paraId="04C6EF42" w14:textId="694A4E40" w:rsidR="00D90D35" w:rsidRPr="00D03323" w:rsidRDefault="00D90D35" w:rsidP="003455A6">
      <w:pPr>
        <w:pStyle w:val="FootnoteText"/>
        <w:ind w:right="720"/>
      </w:pPr>
      <w:r>
        <w:rPr>
          <w:i/>
        </w:rPr>
        <w:t xml:space="preserve">Id. See also id. </w:t>
      </w:r>
      <w:r>
        <w:t>at 1331 (adopting this analysis from the public-use portion of its opinion into the on-sale portion of its opinion).</w:t>
      </w:r>
    </w:p>
  </w:footnote>
  <w:footnote w:id="367">
    <w:p w14:paraId="1CDF4B55" w14:textId="1B7872B5" w:rsidR="00D90D35" w:rsidRPr="000C3597" w:rsidRDefault="00D90D35" w:rsidP="009B7859">
      <w:pPr>
        <w:pStyle w:val="FootnoteText"/>
      </w:pPr>
      <w:r w:rsidRPr="005A669A">
        <w:rPr>
          <w:rStyle w:val="FootnoteReference"/>
        </w:rPr>
        <w:footnoteRef/>
      </w:r>
      <w:r>
        <w:t xml:space="preserve"> </w:t>
      </w:r>
      <w:r>
        <w:rPr>
          <w:i/>
        </w:rPr>
        <w:t xml:space="preserve">Id. </w:t>
      </w:r>
      <w:r>
        <w:t>at 1330-31 (discussing, among other cases, LaBounty Mfg., Inc. v. U.S. Int'l Trade Comm'n, 958 F.2d 1066, 1072 (Fed. Cir. 1992)).</w:t>
      </w:r>
    </w:p>
  </w:footnote>
  <w:footnote w:id="368">
    <w:p w14:paraId="23F35534" w14:textId="4D6EDCA4" w:rsidR="00D90D35" w:rsidRPr="001015A4" w:rsidRDefault="00D90D35">
      <w:pPr>
        <w:pStyle w:val="FootnoteText"/>
      </w:pPr>
      <w:r w:rsidRPr="005A669A">
        <w:rPr>
          <w:rStyle w:val="FootnoteReference"/>
        </w:rPr>
        <w:footnoteRef/>
      </w:r>
      <w:r>
        <w:t xml:space="preserve"> </w:t>
      </w:r>
      <w:r>
        <w:rPr>
          <w:i/>
        </w:rPr>
        <w:t xml:space="preserve">Id. </w:t>
      </w:r>
      <w:r>
        <w:t>at 1336-47 (Prost, C.J., dissenting-in-part).</w:t>
      </w:r>
    </w:p>
  </w:footnote>
  <w:footnote w:id="369">
    <w:p w14:paraId="5F3F7D77" w14:textId="0FA123BC" w:rsidR="00D90D35" w:rsidRPr="001015A4" w:rsidRDefault="00D90D35" w:rsidP="00BA5D8B">
      <w:pPr>
        <w:pStyle w:val="FootnoteText"/>
      </w:pPr>
      <w:r w:rsidRPr="005A669A">
        <w:rPr>
          <w:rStyle w:val="FootnoteReference"/>
        </w:rPr>
        <w:footnoteRef/>
      </w:r>
      <w:r>
        <w:t xml:space="preserve"> </w:t>
      </w:r>
      <w:r>
        <w:rPr>
          <w:i/>
        </w:rPr>
        <w:t xml:space="preserve">Id. </w:t>
      </w:r>
      <w:r>
        <w:t>at 1336-37 (Prost, C.J., dissenting-in-part).</w:t>
      </w:r>
    </w:p>
  </w:footnote>
  <w:footnote w:id="370">
    <w:p w14:paraId="7A569E41" w14:textId="3FBBAC67" w:rsidR="00D90D35" w:rsidRPr="0072078E" w:rsidRDefault="00D90D35" w:rsidP="0072078E">
      <w:pPr>
        <w:pStyle w:val="FootnoteText"/>
      </w:pPr>
      <w:r w:rsidRPr="005A669A">
        <w:rPr>
          <w:rStyle w:val="FootnoteReference"/>
        </w:rPr>
        <w:footnoteRef/>
      </w:r>
      <w:r>
        <w:t xml:space="preserve"> </w:t>
      </w:r>
      <w:r>
        <w:rPr>
          <w:i/>
        </w:rPr>
        <w:t xml:space="preserve">Id. </w:t>
      </w:r>
      <w:r>
        <w:t>at 1337 (Prost, C.J., dissenting-in-part)</w:t>
      </w:r>
      <w:r>
        <w:rPr>
          <w:i/>
        </w:rPr>
        <w:t xml:space="preserve"> </w:t>
      </w:r>
      <w:r>
        <w:t>(citing Pfaff v. Wells Elecs., Inc., 525 U.S. 55, 67-68 (1998)).</w:t>
      </w:r>
    </w:p>
  </w:footnote>
  <w:footnote w:id="371">
    <w:p w14:paraId="0643963A" w14:textId="33D14190" w:rsidR="00D90D35" w:rsidRPr="00DF51D5" w:rsidRDefault="00D90D35">
      <w:pPr>
        <w:pStyle w:val="FootnoteText"/>
      </w:pPr>
      <w:r w:rsidRPr="005A669A">
        <w:rPr>
          <w:rStyle w:val="FootnoteReference"/>
        </w:rPr>
        <w:footnoteRef/>
      </w:r>
      <w:r>
        <w:t xml:space="preserve"> </w:t>
      </w:r>
      <w:r>
        <w:rPr>
          <w:i/>
        </w:rPr>
        <w:t xml:space="preserve">Id. </w:t>
      </w:r>
      <w:r>
        <w:t>at 1336-37 (Prost, C.J., dissenting-in-part).</w:t>
      </w:r>
    </w:p>
  </w:footnote>
  <w:footnote w:id="372">
    <w:p w14:paraId="4F23F986" w14:textId="171E9DEA" w:rsidR="00D90D35" w:rsidRPr="00DF0852" w:rsidRDefault="00D90D35">
      <w:pPr>
        <w:pStyle w:val="FootnoteText"/>
      </w:pPr>
      <w:r w:rsidRPr="005A669A">
        <w:rPr>
          <w:rStyle w:val="FootnoteReference"/>
        </w:rPr>
        <w:footnoteRef/>
      </w:r>
      <w:r>
        <w:t xml:space="preserve"> </w:t>
      </w:r>
      <w:r>
        <w:rPr>
          <w:i/>
        </w:rPr>
        <w:t xml:space="preserve">Id. </w:t>
      </w:r>
      <w:r>
        <w:t>at 1336-37 &amp; n.3, 1340-41 (Prost, C.J., dissenting-in-part) (internal quotations omitted).</w:t>
      </w:r>
    </w:p>
  </w:footnote>
  <w:footnote w:id="373">
    <w:p w14:paraId="7E282E2E" w14:textId="77777777" w:rsidR="00D90D35" w:rsidRPr="008955BB" w:rsidRDefault="00D90D35" w:rsidP="007B11F2">
      <w:pPr>
        <w:pStyle w:val="FootnoteText"/>
      </w:pPr>
      <w:r w:rsidRPr="005A669A">
        <w:rPr>
          <w:rStyle w:val="FootnoteReference"/>
        </w:rPr>
        <w:footnoteRef/>
      </w:r>
      <w:r>
        <w:t xml:space="preserve"> </w:t>
      </w:r>
      <w:r>
        <w:rPr>
          <w:i/>
        </w:rPr>
        <w:t xml:space="preserve">Id. </w:t>
      </w:r>
      <w:r>
        <w:t>at 1341 (Prost, C.J., dissenting-in-part) (characterizing majority findings, and quoting ’</w:t>
      </w:r>
      <w:r w:rsidRPr="008955BB">
        <w:t>358 patent col. 6 ll. 7–8</w:t>
      </w:r>
      <w:r>
        <w:t>).</w:t>
      </w:r>
    </w:p>
  </w:footnote>
  <w:footnote w:id="374">
    <w:p w14:paraId="68A6FDF1" w14:textId="4FA2AEF3" w:rsidR="00D90D35" w:rsidRPr="009E7307" w:rsidRDefault="00D90D35">
      <w:pPr>
        <w:pStyle w:val="FootnoteText"/>
      </w:pPr>
      <w:r w:rsidRPr="005A669A">
        <w:rPr>
          <w:rStyle w:val="FootnoteReference"/>
        </w:rPr>
        <w:footnoteRef/>
      </w:r>
      <w:r>
        <w:t xml:space="preserve"> </w:t>
      </w:r>
      <w:r>
        <w:rPr>
          <w:i/>
        </w:rPr>
        <w:t xml:space="preserve">Id. </w:t>
      </w:r>
      <w:r>
        <w:t>at 1342 (Prost, C.J., dissenting-in-part).</w:t>
      </w:r>
    </w:p>
  </w:footnote>
  <w:footnote w:id="375">
    <w:p w14:paraId="60121681" w14:textId="03F38D18" w:rsidR="00D90D35" w:rsidRDefault="00D90D35">
      <w:pPr>
        <w:pStyle w:val="FootnoteText"/>
      </w:pPr>
      <w:r w:rsidRPr="005A669A">
        <w:rPr>
          <w:rStyle w:val="FootnoteReference"/>
        </w:rPr>
        <w:footnoteRef/>
      </w:r>
      <w:r>
        <w:t xml:space="preserve"> </w:t>
      </w:r>
      <w:r>
        <w:rPr>
          <w:i/>
        </w:rPr>
        <w:t xml:space="preserve">Id. </w:t>
      </w:r>
      <w:r>
        <w:t>at 1342 (Prost, C.J., dissenting-in-part).</w:t>
      </w:r>
    </w:p>
  </w:footnote>
  <w:footnote w:id="376">
    <w:p w14:paraId="498E0EAA" w14:textId="3D2A6151" w:rsidR="00D90D35" w:rsidRDefault="00D90D35">
      <w:pPr>
        <w:pStyle w:val="FootnoteText"/>
      </w:pPr>
      <w:r w:rsidRPr="005A669A">
        <w:rPr>
          <w:rStyle w:val="FootnoteReference"/>
        </w:rPr>
        <w:footnoteRef/>
      </w:r>
      <w:r>
        <w:t xml:space="preserve"> </w:t>
      </w:r>
      <w:r>
        <w:rPr>
          <w:i/>
        </w:rPr>
        <w:t xml:space="preserve">Id. </w:t>
      </w:r>
      <w:r>
        <w:t>at 1343 (Prost, C.J., dissenting-in-part).</w:t>
      </w:r>
    </w:p>
  </w:footnote>
  <w:footnote w:id="377">
    <w:p w14:paraId="36582CE2" w14:textId="3994CB06" w:rsidR="00D90D35" w:rsidRDefault="00D90D35" w:rsidP="00977A5C">
      <w:pPr>
        <w:pStyle w:val="FootnoteText"/>
      </w:pPr>
      <w:r w:rsidRPr="005A669A">
        <w:rPr>
          <w:rStyle w:val="FootnoteReference"/>
        </w:rPr>
        <w:footnoteRef/>
      </w:r>
      <w:r>
        <w:t xml:space="preserve"> </w:t>
      </w:r>
      <w:r>
        <w:rPr>
          <w:i/>
        </w:rPr>
        <w:t xml:space="preserve">Id. </w:t>
      </w:r>
      <w:r>
        <w:t>at 1344 (Prost, C.J., dissenting-in-part) (quoting Electromotive Div. of Gen. Motors Corp. v. Transp. Sys. Div. of Gen. Elec. Co., 417 F.3d 1203, 1211-12 (Fed. Cir. 2005)).</w:t>
      </w:r>
    </w:p>
  </w:footnote>
  <w:footnote w:id="378">
    <w:p w14:paraId="59D76108" w14:textId="47687B24" w:rsidR="00D90D35" w:rsidRPr="00694206" w:rsidRDefault="00D90D35" w:rsidP="006C4F7E">
      <w:pPr>
        <w:pStyle w:val="FootnoteText"/>
        <w:rPr>
          <w:rFonts w:cs="Times New Roman"/>
        </w:rPr>
      </w:pPr>
      <w:r w:rsidRPr="005A669A">
        <w:rPr>
          <w:rStyle w:val="FootnoteReference"/>
        </w:rPr>
        <w:footnoteRef/>
      </w:r>
      <w:r>
        <w:t xml:space="preserve"> </w:t>
      </w:r>
      <w:r w:rsidRPr="005C0EF7">
        <w:t xml:space="preserve">Helsinn Healthcare S.A. v. Teva </w:t>
      </w:r>
      <w:r>
        <w:t>Pharms.</w:t>
      </w:r>
      <w:r w:rsidRPr="005C0EF7">
        <w:t xml:space="preserve"> USA, Inc., 139 S.</w:t>
      </w:r>
      <w:r>
        <w:t xml:space="preserve"> </w:t>
      </w:r>
      <w:r w:rsidRPr="005C0EF7">
        <w:t>Ct. 628</w:t>
      </w:r>
      <w:r>
        <w:t>, 630</w:t>
      </w:r>
      <w:r w:rsidRPr="005C0EF7">
        <w:t xml:space="preserve"> (2019)</w:t>
      </w:r>
      <w:r>
        <w:t xml:space="preserve"> (citing Pfaff v. Wells Elecs., Inc., </w:t>
      </w:r>
      <w:r w:rsidRPr="005C0EF7">
        <w:rPr>
          <w:rFonts w:cs="Times New Roman"/>
        </w:rPr>
        <w:t>525 U.S. 55, 67 (1998)</w:t>
      </w:r>
      <w:r>
        <w:rPr>
          <w:rFonts w:cs="Times New Roman"/>
        </w:rPr>
        <w:t>)</w:t>
      </w:r>
      <w:r w:rsidRPr="005C0EF7">
        <w:rPr>
          <w:rFonts w:cs="Times New Roman"/>
        </w:rPr>
        <w:t xml:space="preserve">. </w:t>
      </w:r>
      <w:r>
        <w:rPr>
          <w:rFonts w:cs="Times New Roman"/>
        </w:rPr>
        <w:t xml:space="preserve">One of us—Lemley—wrote an amicus brief advocating for the result the Supreme Court reached. </w:t>
      </w:r>
      <w:r>
        <w:rPr>
          <w:rFonts w:cs="Times New Roman"/>
          <w:i/>
        </w:rPr>
        <w:t xml:space="preserve">See </w:t>
      </w:r>
      <w:r>
        <w:rPr>
          <w:rFonts w:cs="Times New Roman"/>
        </w:rPr>
        <w:t>Brief for</w:t>
      </w:r>
      <w:r w:rsidRPr="00694206">
        <w:rPr>
          <w:rFonts w:cs="Times New Roman"/>
        </w:rPr>
        <w:t xml:space="preserve"> 45 Intellectual Property Professors </w:t>
      </w:r>
      <w:r>
        <w:rPr>
          <w:rFonts w:cs="Times New Roman"/>
        </w:rPr>
        <w:t>as Amici Curiae</w:t>
      </w:r>
      <w:r w:rsidRPr="00694206">
        <w:rPr>
          <w:rFonts w:cs="Times New Roman"/>
        </w:rPr>
        <w:t xml:space="preserve"> Support</w:t>
      </w:r>
      <w:r>
        <w:rPr>
          <w:rFonts w:cs="Times New Roman"/>
        </w:rPr>
        <w:t xml:space="preserve">ing </w:t>
      </w:r>
      <w:r w:rsidRPr="00694206">
        <w:rPr>
          <w:rFonts w:cs="Times New Roman"/>
        </w:rPr>
        <w:t>Respondents</w:t>
      </w:r>
      <w:r>
        <w:rPr>
          <w:rFonts w:cs="Times New Roman"/>
        </w:rPr>
        <w:t xml:space="preserve">, </w:t>
      </w:r>
      <w:r w:rsidRPr="005C0EF7">
        <w:t>139 S.</w:t>
      </w:r>
      <w:r>
        <w:t xml:space="preserve"> </w:t>
      </w:r>
      <w:r w:rsidRPr="005C0EF7">
        <w:t>Ct. 628</w:t>
      </w:r>
      <w:r>
        <w:t xml:space="preserve"> (2019) (</w:t>
      </w:r>
      <w:r w:rsidRPr="00CD09FE">
        <w:rPr>
          <w:rFonts w:cs="Times New Roman"/>
        </w:rPr>
        <w:t>No. 17-1229</w:t>
      </w:r>
      <w:r>
        <w:rPr>
          <w:rFonts w:cs="Times New Roman"/>
        </w:rPr>
        <w:t xml:space="preserve">), </w:t>
      </w:r>
      <w:r w:rsidRPr="006C4F7E">
        <w:rPr>
          <w:rFonts w:cs="Times New Roman"/>
        </w:rPr>
        <w:t>2018 WL 4941710</w:t>
      </w:r>
      <w:r>
        <w:rPr>
          <w:rFonts w:cs="Times New Roman"/>
        </w:rPr>
        <w:t>.</w:t>
      </w:r>
    </w:p>
  </w:footnote>
  <w:footnote w:id="379">
    <w:p w14:paraId="60C4C92B" w14:textId="77777777" w:rsidR="00D90D35" w:rsidRPr="007F1307" w:rsidRDefault="00D90D35" w:rsidP="00AE50AD">
      <w:pPr>
        <w:pStyle w:val="FootnoteText"/>
        <w:rPr>
          <w:rFonts w:cs="Times New Roman"/>
          <w:szCs w:val="22"/>
        </w:rPr>
      </w:pPr>
      <w:r w:rsidRPr="005A669A">
        <w:rPr>
          <w:rStyle w:val="FootnoteReference"/>
        </w:rPr>
        <w:footnoteRef/>
      </w:r>
      <w:r w:rsidRPr="007F1307">
        <w:rPr>
          <w:rFonts w:cs="Times New Roman"/>
          <w:szCs w:val="22"/>
        </w:rPr>
        <w:t xml:space="preserve"> U.S. Patent Nos. 7,947,724; 7,947,725; 7,960,424; and 8,598,219 (collectively, “the patents-in-suit”).</w:t>
      </w:r>
    </w:p>
  </w:footnote>
  <w:footnote w:id="380">
    <w:p w14:paraId="78666A9C" w14:textId="6DEB41CA" w:rsidR="00D90D35" w:rsidRPr="007F1307" w:rsidRDefault="00D90D35" w:rsidP="00AE50AD">
      <w:pPr>
        <w:pStyle w:val="FootnoteText"/>
        <w:rPr>
          <w:rFonts w:cs="Times New Roman"/>
          <w:szCs w:val="22"/>
        </w:rPr>
      </w:pPr>
      <w:r w:rsidRPr="005A669A">
        <w:rPr>
          <w:rStyle w:val="FootnoteReference"/>
        </w:rPr>
        <w:footnoteRef/>
      </w:r>
      <w:r w:rsidRPr="007F1307">
        <w:rPr>
          <w:rFonts w:cs="Times New Roman"/>
          <w:szCs w:val="22"/>
        </w:rPr>
        <w:t xml:space="preserve"> Helsinn, 2017 WL 1541518, at *1. </w:t>
      </w:r>
    </w:p>
  </w:footnote>
  <w:footnote w:id="381">
    <w:p w14:paraId="0C14CEDF" w14:textId="77777777" w:rsidR="00D90D35" w:rsidRPr="007F1307" w:rsidRDefault="00D90D35" w:rsidP="00AE50AD">
      <w:pPr>
        <w:pStyle w:val="FootnoteText"/>
        <w:rPr>
          <w:rFonts w:cs="Times New Roman"/>
          <w:szCs w:val="22"/>
        </w:rPr>
      </w:pPr>
      <w:r w:rsidRPr="005A669A">
        <w:rPr>
          <w:rStyle w:val="FootnoteReference"/>
        </w:rPr>
        <w:footnoteRef/>
      </w:r>
      <w:r w:rsidRPr="007F1307">
        <w:rPr>
          <w:rFonts w:cs="Times New Roman"/>
          <w:szCs w:val="22"/>
        </w:rPr>
        <w:t xml:space="preserve"> </w:t>
      </w:r>
      <w:r w:rsidRPr="007F1307">
        <w:rPr>
          <w:rFonts w:cs="Times New Roman"/>
          <w:i/>
          <w:szCs w:val="22"/>
        </w:rPr>
        <w:t>Id.</w:t>
      </w:r>
    </w:p>
  </w:footnote>
  <w:footnote w:id="382">
    <w:p w14:paraId="1550FF94" w14:textId="77777777" w:rsidR="00D90D35" w:rsidRPr="007F1307" w:rsidRDefault="00D90D35" w:rsidP="00AE50AD">
      <w:pPr>
        <w:pStyle w:val="FootnoteText"/>
        <w:rPr>
          <w:rFonts w:cs="Times New Roman"/>
          <w:szCs w:val="22"/>
        </w:rPr>
      </w:pPr>
      <w:r w:rsidRPr="005A669A">
        <w:rPr>
          <w:rStyle w:val="FootnoteReference"/>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*2.</w:t>
      </w:r>
    </w:p>
  </w:footnote>
  <w:footnote w:id="383">
    <w:p w14:paraId="5F699DF1" w14:textId="77777777" w:rsidR="00D90D35" w:rsidRPr="007F1307" w:rsidRDefault="00D90D35" w:rsidP="00AE50AD">
      <w:pPr>
        <w:pStyle w:val="FootnoteText"/>
        <w:rPr>
          <w:rFonts w:cs="Times New Roman"/>
          <w:szCs w:val="22"/>
        </w:rPr>
      </w:pPr>
      <w:r w:rsidRPr="005A669A">
        <w:rPr>
          <w:rStyle w:val="FootnoteReference"/>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*3.</w:t>
      </w:r>
    </w:p>
  </w:footnote>
  <w:footnote w:id="384">
    <w:p w14:paraId="71DD03D5" w14:textId="77777777" w:rsidR="00D90D35" w:rsidRPr="007F1307" w:rsidRDefault="00D90D35" w:rsidP="00AE50AD">
      <w:pPr>
        <w:pStyle w:val="FootnoteText"/>
        <w:rPr>
          <w:rFonts w:cs="Times New Roman"/>
          <w:szCs w:val="22"/>
        </w:rPr>
      </w:pPr>
      <w:r w:rsidRPr="005A669A">
        <w:rPr>
          <w:rStyle w:val="FootnoteReference"/>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w:t>
      </w:r>
    </w:p>
  </w:footnote>
  <w:footnote w:id="385">
    <w:p w14:paraId="74E6B65B" w14:textId="77777777" w:rsidR="00D90D35" w:rsidRPr="007F1307" w:rsidRDefault="00D90D35" w:rsidP="00AE50AD">
      <w:pPr>
        <w:pStyle w:val="FootnoteText"/>
        <w:rPr>
          <w:rFonts w:cs="Times New Roman"/>
          <w:szCs w:val="22"/>
        </w:rPr>
      </w:pPr>
      <w:r w:rsidRPr="005A669A">
        <w:rPr>
          <w:rStyle w:val="FootnoteReference"/>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*4.</w:t>
      </w:r>
    </w:p>
  </w:footnote>
  <w:footnote w:id="386">
    <w:p w14:paraId="247D9859" w14:textId="14F77C31" w:rsidR="00D90D35" w:rsidRPr="00CD09FE" w:rsidRDefault="00D90D35">
      <w:pPr>
        <w:pStyle w:val="FootnoteText"/>
        <w:rPr>
          <w:lang w:val="es-ES"/>
        </w:rPr>
      </w:pPr>
      <w:r w:rsidRPr="005A669A">
        <w:rPr>
          <w:rStyle w:val="FootnoteReference"/>
        </w:rPr>
        <w:footnoteRef/>
      </w:r>
      <w:r>
        <w:t xml:space="preserve"> </w:t>
      </w:r>
      <w:r w:rsidRPr="00CC7E5D">
        <w:t>Helsinn Healthcare S.A.</w:t>
      </w:r>
      <w:r>
        <w:t> </w:t>
      </w:r>
      <w:r w:rsidRPr="00CC7E5D">
        <w:t xml:space="preserve">v. Teva Pharms. </w:t>
      </w:r>
      <w:r w:rsidRPr="00CD09FE">
        <w:rPr>
          <w:lang w:val="es-ES"/>
        </w:rPr>
        <w:t xml:space="preserve">USA, Inc., </w:t>
      </w:r>
      <w:r>
        <w:rPr>
          <w:lang w:val="es-ES"/>
        </w:rPr>
        <w:t>138</w:t>
      </w:r>
      <w:r w:rsidRPr="00CD09FE">
        <w:rPr>
          <w:lang w:val="es-ES"/>
        </w:rPr>
        <w:t xml:space="preserve"> </w:t>
      </w:r>
      <w:r>
        <w:rPr>
          <w:lang w:val="es-ES"/>
        </w:rPr>
        <w:t>S. Ct.</w:t>
      </w:r>
      <w:r w:rsidRPr="00CD09FE">
        <w:rPr>
          <w:lang w:val="es-ES"/>
        </w:rPr>
        <w:t xml:space="preserve"> </w:t>
      </w:r>
      <w:r>
        <w:rPr>
          <w:lang w:val="es-ES"/>
        </w:rPr>
        <w:t>2678</w:t>
      </w:r>
      <w:r w:rsidRPr="00CD09FE">
        <w:rPr>
          <w:lang w:val="es-ES"/>
        </w:rPr>
        <w:t xml:space="preserve"> (June 2</w:t>
      </w:r>
      <w:r>
        <w:rPr>
          <w:lang w:val="es-ES"/>
        </w:rPr>
        <w:t>5</w:t>
      </w:r>
      <w:r w:rsidRPr="00CD09FE">
        <w:rPr>
          <w:lang w:val="es-ES"/>
        </w:rPr>
        <w:t>, 201</w:t>
      </w:r>
      <w:r>
        <w:rPr>
          <w:lang w:val="es-ES"/>
        </w:rPr>
        <w:t>8</w:t>
      </w:r>
      <w:r w:rsidRPr="00CD09FE">
        <w:rPr>
          <w:lang w:val="es-ES"/>
        </w:rPr>
        <w:t>).</w:t>
      </w:r>
    </w:p>
  </w:footnote>
  <w:footnote w:id="387">
    <w:p w14:paraId="7DBED8A6" w14:textId="56FF1568" w:rsidR="00D90D35" w:rsidRDefault="00D90D35">
      <w:pPr>
        <w:pStyle w:val="FootnoteText"/>
      </w:pPr>
      <w:r w:rsidRPr="005A669A">
        <w:rPr>
          <w:rStyle w:val="FootnoteReference"/>
        </w:rPr>
        <w:footnoteRef/>
      </w:r>
      <w:r>
        <w:t xml:space="preserve"> </w:t>
      </w:r>
      <w:r w:rsidRPr="005C0EF7">
        <w:t xml:space="preserve">Helsinn Healthcare S.A., 139 </w:t>
      </w:r>
      <w:r>
        <w:t>S. Ct.</w:t>
      </w:r>
      <w:r w:rsidRPr="005C0EF7">
        <w:t xml:space="preserve"> </w:t>
      </w:r>
      <w:r>
        <w:t>at 632.</w:t>
      </w:r>
    </w:p>
  </w:footnote>
  <w:footnote w:id="388">
    <w:p w14:paraId="5A2E8658" w14:textId="60814F10" w:rsidR="00D90D35" w:rsidRPr="00B82DA3" w:rsidRDefault="00D90D35">
      <w:pPr>
        <w:pStyle w:val="FootnoteText"/>
      </w:pPr>
      <w:r w:rsidRPr="005A669A">
        <w:rPr>
          <w:rStyle w:val="FootnoteReference"/>
        </w:rPr>
        <w:footnoteRef/>
      </w:r>
      <w:r>
        <w:t xml:space="preserve"> </w:t>
      </w:r>
      <w:r>
        <w:rPr>
          <w:i/>
        </w:rPr>
        <w:t xml:space="preserve">Id. </w:t>
      </w:r>
    </w:p>
  </w:footnote>
  <w:footnote w:id="389">
    <w:p w14:paraId="6241EEE8" w14:textId="711CEEF6" w:rsidR="00D90D35" w:rsidRPr="00CD09FE" w:rsidRDefault="00D90D35">
      <w:pPr>
        <w:pStyle w:val="FootnoteText"/>
        <w:rPr>
          <w:i/>
        </w:rPr>
      </w:pPr>
      <w:r w:rsidRPr="005A669A">
        <w:rPr>
          <w:rStyle w:val="FootnoteReference"/>
        </w:rPr>
        <w:footnoteRef/>
      </w:r>
      <w:r>
        <w:t xml:space="preserve"> </w:t>
      </w:r>
      <w:r>
        <w:rPr>
          <w:i/>
        </w:rPr>
        <w:t>Id.</w:t>
      </w:r>
      <w:r w:rsidRPr="00CD09FE">
        <w:t xml:space="preserve"> at 634.</w:t>
      </w:r>
    </w:p>
  </w:footnote>
  <w:footnote w:id="390">
    <w:p w14:paraId="14CC6808" w14:textId="62FA91AA" w:rsidR="00D90D35" w:rsidRPr="00CD09FE" w:rsidRDefault="00D90D35">
      <w:pPr>
        <w:pStyle w:val="FootnoteText"/>
        <w:rPr>
          <w:i/>
        </w:rPr>
      </w:pPr>
      <w:r w:rsidRPr="005A669A">
        <w:rPr>
          <w:rStyle w:val="FootnoteReference"/>
        </w:rPr>
        <w:footnoteRef/>
      </w:r>
      <w:r>
        <w:t xml:space="preserve"> </w:t>
      </w:r>
      <w:r>
        <w:rPr>
          <w:i/>
        </w:rPr>
        <w:t>Id.</w:t>
      </w:r>
    </w:p>
  </w:footnote>
  <w:footnote w:id="391">
    <w:p w14:paraId="3E37996C" w14:textId="74C3CA88" w:rsidR="005F2AAA" w:rsidRDefault="005F2AAA">
      <w:pPr>
        <w:pStyle w:val="FootnoteText"/>
      </w:pPr>
      <w:r>
        <w:rPr>
          <w:rStyle w:val="FootnoteReference"/>
        </w:rPr>
        <w:footnoteRef/>
      </w:r>
      <w:r>
        <w:t xml:space="preserve"> </w:t>
      </w:r>
      <w:r w:rsidRPr="005F2AAA">
        <w:t>Airbus S.A.S. v. Firepass Corp., 941 F.3d 1374</w:t>
      </w:r>
      <w:r>
        <w:t>, 137</w:t>
      </w:r>
      <w:r w:rsidR="00BB4D41">
        <w:t>5</w:t>
      </w:r>
      <w:r>
        <w:t>-7</w:t>
      </w:r>
      <w:r w:rsidR="00BB4D41">
        <w:t>6</w:t>
      </w:r>
      <w:r w:rsidRPr="005F2AAA">
        <w:t xml:space="preserve"> (Fed. Cir. Nov. 4, 2019)</w:t>
      </w:r>
      <w:r>
        <w:t>.</w:t>
      </w:r>
    </w:p>
  </w:footnote>
  <w:footnote w:id="392">
    <w:p w14:paraId="220F457A" w14:textId="35277CED" w:rsidR="00BB4D41" w:rsidRPr="00BB4D41" w:rsidRDefault="00BB4D41">
      <w:pPr>
        <w:pStyle w:val="FootnoteText"/>
      </w:pPr>
      <w:r>
        <w:rPr>
          <w:rStyle w:val="FootnoteReference"/>
        </w:rPr>
        <w:footnoteRef/>
      </w:r>
      <w:r>
        <w:t xml:space="preserve"> </w:t>
      </w:r>
      <w:r>
        <w:rPr>
          <w:i/>
          <w:iCs/>
        </w:rPr>
        <w:t>Id.</w:t>
      </w:r>
      <w:r>
        <w:t xml:space="preserve"> at 1376 (citing U.S. Patent No. 6,418,752). </w:t>
      </w:r>
    </w:p>
  </w:footnote>
  <w:footnote w:id="393">
    <w:p w14:paraId="20317EAB" w14:textId="50463821" w:rsidR="00BB4D41" w:rsidRPr="00BB4D41" w:rsidRDefault="00BB4D41">
      <w:pPr>
        <w:pStyle w:val="FootnoteText"/>
      </w:pPr>
      <w:r>
        <w:rPr>
          <w:rStyle w:val="FootnoteReference"/>
        </w:rPr>
        <w:footnoteRef/>
      </w:r>
      <w:r>
        <w:t xml:space="preserve"> </w:t>
      </w:r>
      <w:r>
        <w:rPr>
          <w:i/>
          <w:iCs/>
        </w:rPr>
        <w:t>Id.</w:t>
      </w:r>
    </w:p>
  </w:footnote>
  <w:footnote w:id="394">
    <w:p w14:paraId="6D5F4521" w14:textId="1AD0FCD4" w:rsidR="00BB4D41" w:rsidRPr="00BB4D41" w:rsidRDefault="00BB4D41">
      <w:pPr>
        <w:pStyle w:val="FootnoteText"/>
      </w:pPr>
      <w:r>
        <w:rPr>
          <w:rStyle w:val="FootnoteReference"/>
        </w:rPr>
        <w:footnoteRef/>
      </w:r>
      <w:r>
        <w:t xml:space="preserve"> </w:t>
      </w:r>
      <w:r>
        <w:rPr>
          <w:i/>
          <w:iCs/>
        </w:rPr>
        <w:t>Id.</w:t>
      </w:r>
    </w:p>
  </w:footnote>
  <w:footnote w:id="395">
    <w:p w14:paraId="3BDE1F61" w14:textId="274B2F17" w:rsidR="00372C25" w:rsidRPr="00372C25" w:rsidRDefault="00372C25">
      <w:pPr>
        <w:pStyle w:val="FootnoteText"/>
      </w:pPr>
      <w:r>
        <w:rPr>
          <w:rStyle w:val="FootnoteReference"/>
        </w:rPr>
        <w:footnoteRef/>
      </w:r>
      <w:r>
        <w:t xml:space="preserve"> </w:t>
      </w:r>
      <w:r>
        <w:rPr>
          <w:i/>
          <w:iCs/>
        </w:rPr>
        <w:t xml:space="preserve">Id </w:t>
      </w:r>
      <w:r>
        <w:t xml:space="preserve">at 1377. </w:t>
      </w:r>
    </w:p>
  </w:footnote>
  <w:footnote w:id="396">
    <w:p w14:paraId="705E17AE" w14:textId="178AD238" w:rsidR="00372C25" w:rsidRPr="00372C25" w:rsidRDefault="00372C25">
      <w:pPr>
        <w:pStyle w:val="FootnoteText"/>
      </w:pPr>
      <w:r>
        <w:rPr>
          <w:rStyle w:val="FootnoteReference"/>
        </w:rPr>
        <w:footnoteRef/>
      </w:r>
      <w:r>
        <w:t xml:space="preserve"> </w:t>
      </w:r>
      <w:r>
        <w:rPr>
          <w:i/>
          <w:iCs/>
        </w:rPr>
        <w:t>Id.</w:t>
      </w:r>
    </w:p>
  </w:footnote>
  <w:footnote w:id="397">
    <w:p w14:paraId="2DB835D2" w14:textId="6C1DB9EB" w:rsidR="00E17FA0" w:rsidRPr="00E17FA0" w:rsidRDefault="00E17FA0">
      <w:pPr>
        <w:pStyle w:val="FootnoteText"/>
      </w:pPr>
      <w:r>
        <w:rPr>
          <w:rStyle w:val="FootnoteReference"/>
        </w:rPr>
        <w:footnoteRef/>
      </w:r>
      <w:r>
        <w:t xml:space="preserve"> </w:t>
      </w:r>
      <w:r>
        <w:rPr>
          <w:i/>
          <w:iCs/>
        </w:rPr>
        <w:t xml:space="preserve">Id. </w:t>
      </w:r>
      <w:r>
        <w:t>at 1377-78</w:t>
      </w:r>
    </w:p>
  </w:footnote>
  <w:footnote w:id="398">
    <w:p w14:paraId="6DBAF6DC" w14:textId="49A6450A" w:rsidR="00D449DE" w:rsidRPr="00D449DE" w:rsidRDefault="00D449DE">
      <w:pPr>
        <w:pStyle w:val="FootnoteText"/>
      </w:pPr>
      <w:r>
        <w:rPr>
          <w:rStyle w:val="FootnoteReference"/>
        </w:rPr>
        <w:footnoteRef/>
      </w:r>
      <w:r>
        <w:t xml:space="preserve"> </w:t>
      </w:r>
      <w:r>
        <w:rPr>
          <w:i/>
          <w:iCs/>
        </w:rPr>
        <w:t>Id.</w:t>
      </w:r>
      <w:r>
        <w:t xml:space="preserve"> at 1379.</w:t>
      </w:r>
    </w:p>
  </w:footnote>
  <w:footnote w:id="399">
    <w:p w14:paraId="594D3E40" w14:textId="14C4532F" w:rsidR="00D449DE" w:rsidRPr="00D449DE" w:rsidRDefault="00D449DE">
      <w:pPr>
        <w:pStyle w:val="FootnoteText"/>
      </w:pPr>
      <w:r>
        <w:rPr>
          <w:rStyle w:val="FootnoteReference"/>
        </w:rPr>
        <w:footnoteRef/>
      </w:r>
      <w:r>
        <w:t xml:space="preserve"> </w:t>
      </w:r>
      <w:r>
        <w:rPr>
          <w:i/>
          <w:iCs/>
        </w:rPr>
        <w:t>Id.</w:t>
      </w:r>
    </w:p>
  </w:footnote>
  <w:footnote w:id="400">
    <w:p w14:paraId="6BA39AEE" w14:textId="19F2167F" w:rsidR="00C25428" w:rsidRPr="00C25428" w:rsidRDefault="00C25428">
      <w:pPr>
        <w:pStyle w:val="FootnoteText"/>
      </w:pPr>
      <w:r>
        <w:rPr>
          <w:rStyle w:val="FootnoteReference"/>
        </w:rPr>
        <w:footnoteRef/>
      </w:r>
      <w:r>
        <w:t xml:space="preserve"> </w:t>
      </w:r>
      <w:r>
        <w:rPr>
          <w:i/>
          <w:iCs/>
        </w:rPr>
        <w:t>Id.</w:t>
      </w:r>
      <w:r>
        <w:t xml:space="preserve"> at 1380.</w:t>
      </w:r>
    </w:p>
  </w:footnote>
  <w:footnote w:id="401">
    <w:p w14:paraId="7FEF0E09" w14:textId="1AB061E8" w:rsidR="00C25428" w:rsidRPr="00C25428" w:rsidRDefault="00C25428">
      <w:pPr>
        <w:pStyle w:val="FootnoteText"/>
      </w:pPr>
      <w:r>
        <w:rPr>
          <w:rStyle w:val="FootnoteReference"/>
        </w:rPr>
        <w:footnoteRef/>
      </w:r>
      <w:r>
        <w:t xml:space="preserve"> </w:t>
      </w:r>
      <w:r>
        <w:rPr>
          <w:i/>
          <w:iCs/>
        </w:rPr>
        <w:t>Id</w:t>
      </w:r>
      <w:r>
        <w:t>. at 1382.</w:t>
      </w:r>
    </w:p>
  </w:footnote>
  <w:footnote w:id="402">
    <w:p w14:paraId="2FACA143" w14:textId="4762A562" w:rsidR="003B1176" w:rsidRPr="003B1176" w:rsidRDefault="003B1176">
      <w:pPr>
        <w:pStyle w:val="FootnoteText"/>
      </w:pPr>
      <w:r>
        <w:rPr>
          <w:rStyle w:val="FootnoteReference"/>
        </w:rPr>
        <w:footnoteRef/>
      </w:r>
      <w:r>
        <w:t xml:space="preserve"> </w:t>
      </w:r>
      <w:r>
        <w:rPr>
          <w:i/>
          <w:iCs/>
        </w:rPr>
        <w:t>Id.</w:t>
      </w:r>
    </w:p>
  </w:footnote>
  <w:footnote w:id="403">
    <w:p w14:paraId="679DCBAE" w14:textId="2E2F2C57" w:rsidR="003B1176" w:rsidRPr="003B1176" w:rsidRDefault="003B1176">
      <w:pPr>
        <w:pStyle w:val="FootnoteText"/>
      </w:pPr>
      <w:r>
        <w:rPr>
          <w:rStyle w:val="FootnoteReference"/>
        </w:rPr>
        <w:footnoteRef/>
      </w:r>
      <w:r>
        <w:t xml:space="preserve"> </w:t>
      </w:r>
      <w:r>
        <w:rPr>
          <w:i/>
          <w:iCs/>
        </w:rPr>
        <w:t>Id.</w:t>
      </w:r>
      <w:r>
        <w:t xml:space="preserve"> at 1380.</w:t>
      </w:r>
    </w:p>
  </w:footnote>
  <w:footnote w:id="404">
    <w:p w14:paraId="2EE4AC8A" w14:textId="226D55CA" w:rsidR="007A51AD" w:rsidRPr="007A51AD" w:rsidRDefault="007A51AD">
      <w:pPr>
        <w:pStyle w:val="FootnoteText"/>
      </w:pPr>
      <w:r>
        <w:rPr>
          <w:rStyle w:val="FootnoteReference"/>
        </w:rPr>
        <w:footnoteRef/>
      </w:r>
      <w:r>
        <w:t xml:space="preserve"> </w:t>
      </w:r>
      <w:r>
        <w:rPr>
          <w:i/>
          <w:iCs/>
        </w:rPr>
        <w:t xml:space="preserve">Id. </w:t>
      </w:r>
      <w:r>
        <w:t>at 1382.</w:t>
      </w:r>
    </w:p>
  </w:footnote>
  <w:footnote w:id="405">
    <w:p w14:paraId="4A3CBB20" w14:textId="2113B62E" w:rsidR="00F97263" w:rsidRPr="00F97263" w:rsidRDefault="00F97263">
      <w:pPr>
        <w:pStyle w:val="FootnoteText"/>
      </w:pPr>
      <w:r>
        <w:rPr>
          <w:rStyle w:val="FootnoteReference"/>
        </w:rPr>
        <w:footnoteRef/>
      </w:r>
      <w:r>
        <w:t xml:space="preserve"> </w:t>
      </w:r>
      <w:r>
        <w:rPr>
          <w:i/>
          <w:iCs/>
        </w:rPr>
        <w:t>Id.</w:t>
      </w:r>
      <w:r>
        <w:t>at 1382-83.</w:t>
      </w:r>
    </w:p>
  </w:footnote>
  <w:footnote w:id="406">
    <w:p w14:paraId="75F74663" w14:textId="3262DAC8" w:rsidR="00F97263" w:rsidRPr="00F97263" w:rsidRDefault="00F97263">
      <w:pPr>
        <w:pStyle w:val="FootnoteText"/>
      </w:pPr>
      <w:r>
        <w:rPr>
          <w:rStyle w:val="FootnoteReference"/>
        </w:rPr>
        <w:footnoteRef/>
      </w:r>
      <w:r>
        <w:t xml:space="preserve"> </w:t>
      </w:r>
      <w:r>
        <w:rPr>
          <w:i/>
          <w:iCs/>
        </w:rPr>
        <w:t xml:space="preserve">Id. </w:t>
      </w:r>
      <w:r>
        <w:t>at 1383.</w:t>
      </w:r>
    </w:p>
  </w:footnote>
  <w:footnote w:id="407">
    <w:p w14:paraId="1629B940" w14:textId="032BAC32" w:rsidR="00F97263" w:rsidRPr="00F97263" w:rsidRDefault="00F97263">
      <w:pPr>
        <w:pStyle w:val="FootnoteText"/>
      </w:pPr>
      <w:r>
        <w:rPr>
          <w:rStyle w:val="FootnoteReference"/>
        </w:rPr>
        <w:footnoteRef/>
      </w:r>
      <w:r>
        <w:t xml:space="preserve"> </w:t>
      </w:r>
      <w:r>
        <w:rPr>
          <w:i/>
          <w:iCs/>
        </w:rPr>
        <w:t>Id.</w:t>
      </w:r>
    </w:p>
  </w:footnote>
  <w:footnote w:id="408">
    <w:p w14:paraId="59D60959" w14:textId="7376488A" w:rsidR="00E2663D" w:rsidRPr="00E2663D" w:rsidRDefault="00E2663D">
      <w:pPr>
        <w:pStyle w:val="FootnoteText"/>
      </w:pPr>
      <w:r>
        <w:rPr>
          <w:rStyle w:val="FootnoteReference"/>
        </w:rPr>
        <w:footnoteRef/>
      </w:r>
      <w:r>
        <w:t xml:space="preserve"> </w:t>
      </w:r>
      <w:r>
        <w:rPr>
          <w:i/>
          <w:iCs/>
        </w:rPr>
        <w:t>Id.</w:t>
      </w:r>
      <w:r>
        <w:t>at 1384.</w:t>
      </w:r>
    </w:p>
  </w:footnote>
  <w:footnote w:id="409">
    <w:p w14:paraId="6C0CC148" w14:textId="40932FD9" w:rsidR="00D90D35" w:rsidRDefault="00D90D35">
      <w:pPr>
        <w:pStyle w:val="FootnoteText"/>
      </w:pPr>
      <w:r>
        <w:rPr>
          <w:rStyle w:val="FootnoteReference"/>
        </w:rPr>
        <w:footnoteRef/>
      </w:r>
      <w:r>
        <w:t xml:space="preserve"> </w:t>
      </w:r>
      <w:r w:rsidRPr="0033193D">
        <w:rPr>
          <w:i/>
          <w:iCs/>
        </w:rPr>
        <w:t>OSI Pharm., LLC v. Apotex Inc.</w:t>
      </w:r>
      <w:r>
        <w:t>,</w:t>
      </w:r>
      <w:r w:rsidRPr="009A4086">
        <w:t xml:space="preserve"> 939 F.3d 1375</w:t>
      </w:r>
      <w:r>
        <w:t>, 1377</w:t>
      </w:r>
      <w:r w:rsidRPr="009A4086">
        <w:t xml:space="preserve"> (Fed. Cir. 2019)</w:t>
      </w:r>
      <w:r>
        <w:t>.</w:t>
      </w:r>
    </w:p>
  </w:footnote>
  <w:footnote w:id="410">
    <w:p w14:paraId="0B3E8515" w14:textId="77477B96" w:rsidR="00D90D35" w:rsidRPr="009A4086" w:rsidRDefault="00D90D35">
      <w:pPr>
        <w:pStyle w:val="FootnoteText"/>
      </w:pPr>
      <w:r>
        <w:rPr>
          <w:rStyle w:val="FootnoteReference"/>
        </w:rPr>
        <w:footnoteRef/>
      </w:r>
      <w:r>
        <w:t xml:space="preserve"> </w:t>
      </w:r>
      <w:r>
        <w:rPr>
          <w:i/>
          <w:iCs/>
        </w:rPr>
        <w:t>Id.</w:t>
      </w:r>
      <w:r>
        <w:t xml:space="preserve"> at 1377-78 (citing U.S. Patent No. </w:t>
      </w:r>
      <w:r w:rsidRPr="009A4086">
        <w:t>6</w:t>
      </w:r>
      <w:r>
        <w:t>,</w:t>
      </w:r>
      <w:r w:rsidRPr="009A4086">
        <w:t>900</w:t>
      </w:r>
      <w:r>
        <w:t>,</w:t>
      </w:r>
      <w:r w:rsidRPr="009A4086">
        <w:t>221</w:t>
      </w:r>
      <w:r>
        <w:t>).</w:t>
      </w:r>
    </w:p>
  </w:footnote>
  <w:footnote w:id="411">
    <w:p w14:paraId="764CBAFC" w14:textId="21865447" w:rsidR="00D90D35" w:rsidRPr="00080809" w:rsidRDefault="00D90D35">
      <w:pPr>
        <w:pStyle w:val="FootnoteText"/>
      </w:pPr>
      <w:r>
        <w:rPr>
          <w:rStyle w:val="FootnoteReference"/>
        </w:rPr>
        <w:footnoteRef/>
      </w:r>
      <w:r>
        <w:t xml:space="preserve"> </w:t>
      </w:r>
      <w:r>
        <w:rPr>
          <w:i/>
          <w:iCs/>
        </w:rPr>
        <w:t>Id</w:t>
      </w:r>
      <w:r>
        <w:t>. at 1379.</w:t>
      </w:r>
    </w:p>
  </w:footnote>
  <w:footnote w:id="412">
    <w:p w14:paraId="1D60EE91" w14:textId="1B742291" w:rsidR="00D90D35" w:rsidRPr="00080809" w:rsidRDefault="00D90D35">
      <w:pPr>
        <w:pStyle w:val="FootnoteText"/>
      </w:pPr>
      <w:r>
        <w:rPr>
          <w:rStyle w:val="FootnoteReference"/>
        </w:rPr>
        <w:footnoteRef/>
      </w:r>
      <w:r>
        <w:t xml:space="preserve"> </w:t>
      </w:r>
      <w:r>
        <w:rPr>
          <w:i/>
          <w:iCs/>
        </w:rPr>
        <w:t>Id</w:t>
      </w:r>
      <w:r>
        <w:t>. (citing U.S. Patent No. 5,747,498).</w:t>
      </w:r>
    </w:p>
  </w:footnote>
  <w:footnote w:id="413">
    <w:p w14:paraId="4F574880" w14:textId="37D96288" w:rsidR="00D90D35" w:rsidRPr="00080809" w:rsidRDefault="00D90D35">
      <w:pPr>
        <w:pStyle w:val="FootnoteText"/>
      </w:pPr>
      <w:r>
        <w:rPr>
          <w:rStyle w:val="FootnoteReference"/>
        </w:rPr>
        <w:footnoteRef/>
      </w:r>
      <w:r>
        <w:t xml:space="preserve"> </w:t>
      </w:r>
      <w:r>
        <w:rPr>
          <w:i/>
          <w:iCs/>
        </w:rPr>
        <w:t>Id.</w:t>
      </w:r>
    </w:p>
  </w:footnote>
  <w:footnote w:id="414">
    <w:p w14:paraId="4B777AE3" w14:textId="4ED9423A" w:rsidR="00D90D35" w:rsidRPr="0033193D" w:rsidRDefault="00D90D35">
      <w:pPr>
        <w:pStyle w:val="FootnoteText"/>
        <w:rPr>
          <w:i/>
          <w:iCs/>
        </w:rPr>
      </w:pPr>
      <w:r>
        <w:rPr>
          <w:rStyle w:val="FootnoteReference"/>
        </w:rPr>
        <w:footnoteRef/>
      </w:r>
      <w:r>
        <w:t xml:space="preserve"> </w:t>
      </w:r>
      <w:r>
        <w:rPr>
          <w:i/>
          <w:iCs/>
        </w:rPr>
        <w:t>Id.</w:t>
      </w:r>
    </w:p>
  </w:footnote>
  <w:footnote w:id="415">
    <w:p w14:paraId="1241BD4B" w14:textId="39DBC96A" w:rsidR="00D90D35" w:rsidRPr="00080809" w:rsidRDefault="00D90D35">
      <w:pPr>
        <w:pStyle w:val="FootnoteText"/>
      </w:pPr>
      <w:r>
        <w:rPr>
          <w:rStyle w:val="FootnoteReference"/>
        </w:rPr>
        <w:footnoteRef/>
      </w:r>
      <w:r>
        <w:t xml:space="preserve"> </w:t>
      </w:r>
      <w:r>
        <w:rPr>
          <w:i/>
          <w:iCs/>
        </w:rPr>
        <w:t>Id.</w:t>
      </w:r>
    </w:p>
  </w:footnote>
  <w:footnote w:id="416">
    <w:p w14:paraId="19CCAD34" w14:textId="44F3A53E" w:rsidR="00D90D35" w:rsidRPr="00080809" w:rsidRDefault="00D90D35">
      <w:pPr>
        <w:pStyle w:val="FootnoteText"/>
      </w:pPr>
      <w:r>
        <w:rPr>
          <w:rStyle w:val="FootnoteReference"/>
        </w:rPr>
        <w:footnoteRef/>
      </w:r>
      <w:r>
        <w:t xml:space="preserve"> </w:t>
      </w:r>
      <w:r>
        <w:rPr>
          <w:i/>
          <w:iCs/>
        </w:rPr>
        <w:t xml:space="preserve">Id. </w:t>
      </w:r>
      <w:r>
        <w:t xml:space="preserve"> at 1380.</w:t>
      </w:r>
    </w:p>
  </w:footnote>
  <w:footnote w:id="417">
    <w:p w14:paraId="68D89877" w14:textId="09E0E41E" w:rsidR="00D90D35" w:rsidRPr="00080809" w:rsidRDefault="00D90D35">
      <w:pPr>
        <w:pStyle w:val="FootnoteText"/>
      </w:pPr>
      <w:r>
        <w:rPr>
          <w:rStyle w:val="FootnoteReference"/>
        </w:rPr>
        <w:footnoteRef/>
      </w:r>
      <w:r>
        <w:t xml:space="preserve"> </w:t>
      </w:r>
      <w:r>
        <w:rPr>
          <w:i/>
          <w:iCs/>
        </w:rPr>
        <w:t>Id.</w:t>
      </w:r>
      <w:r>
        <w:t xml:space="preserve"> at 1380.</w:t>
      </w:r>
    </w:p>
  </w:footnote>
  <w:footnote w:id="418">
    <w:p w14:paraId="30C23F65" w14:textId="6BA4E176" w:rsidR="00D90D35" w:rsidRPr="0033193D" w:rsidRDefault="00D90D35">
      <w:pPr>
        <w:pStyle w:val="FootnoteText"/>
        <w:rPr>
          <w:i/>
          <w:iCs/>
        </w:rPr>
      </w:pPr>
      <w:r>
        <w:rPr>
          <w:rStyle w:val="FootnoteReference"/>
        </w:rPr>
        <w:footnoteRef/>
      </w:r>
      <w:r>
        <w:t xml:space="preserve"> </w:t>
      </w:r>
      <w:r>
        <w:rPr>
          <w:i/>
          <w:iCs/>
        </w:rPr>
        <w:t>Id.</w:t>
      </w:r>
    </w:p>
  </w:footnote>
  <w:footnote w:id="419">
    <w:p w14:paraId="729C74A7" w14:textId="4842E600" w:rsidR="00D90D35" w:rsidRPr="00080809" w:rsidRDefault="00D90D35">
      <w:pPr>
        <w:pStyle w:val="FootnoteText"/>
      </w:pPr>
      <w:r>
        <w:rPr>
          <w:rStyle w:val="FootnoteReference"/>
        </w:rPr>
        <w:footnoteRef/>
      </w:r>
      <w:r>
        <w:t xml:space="preserve"> </w:t>
      </w:r>
      <w:r>
        <w:rPr>
          <w:i/>
          <w:iCs/>
        </w:rPr>
        <w:t>Id.</w:t>
      </w:r>
    </w:p>
  </w:footnote>
  <w:footnote w:id="420">
    <w:p w14:paraId="67831C5C" w14:textId="55844BA3" w:rsidR="00D90D35" w:rsidRPr="00080809" w:rsidRDefault="00D90D35">
      <w:pPr>
        <w:pStyle w:val="FootnoteText"/>
      </w:pPr>
      <w:r>
        <w:rPr>
          <w:rStyle w:val="FootnoteReference"/>
        </w:rPr>
        <w:footnoteRef/>
      </w:r>
      <w:r>
        <w:t xml:space="preserve"> </w:t>
      </w:r>
      <w:r>
        <w:rPr>
          <w:i/>
          <w:iCs/>
        </w:rPr>
        <w:t>Id.</w:t>
      </w:r>
      <w:r>
        <w:t xml:space="preserve"> at 1381.</w:t>
      </w:r>
    </w:p>
  </w:footnote>
  <w:footnote w:id="421">
    <w:p w14:paraId="2AC4EDB2" w14:textId="21DCA644" w:rsidR="00D90D35" w:rsidRPr="00080809" w:rsidRDefault="00D90D35">
      <w:pPr>
        <w:pStyle w:val="FootnoteText"/>
      </w:pPr>
      <w:r>
        <w:rPr>
          <w:rStyle w:val="FootnoteReference"/>
        </w:rPr>
        <w:footnoteRef/>
      </w:r>
      <w:r>
        <w:t xml:space="preserve"> </w:t>
      </w:r>
      <w:r>
        <w:rPr>
          <w:i/>
          <w:iCs/>
        </w:rPr>
        <w:t>Id.</w:t>
      </w:r>
    </w:p>
  </w:footnote>
  <w:footnote w:id="422">
    <w:p w14:paraId="33448FA1" w14:textId="5E6118D3" w:rsidR="00D90D35" w:rsidRDefault="00D90D35">
      <w:pPr>
        <w:pStyle w:val="FootnoteText"/>
      </w:pPr>
      <w:r>
        <w:rPr>
          <w:rStyle w:val="FootnoteReference"/>
        </w:rPr>
        <w:footnoteRef/>
      </w:r>
      <w:r>
        <w:t xml:space="preserve"> </w:t>
      </w:r>
      <w:r>
        <w:rPr>
          <w:i/>
          <w:iCs/>
        </w:rPr>
        <w:t xml:space="preserve">Id. </w:t>
      </w:r>
      <w:r>
        <w:t>at 1377.</w:t>
      </w:r>
    </w:p>
  </w:footnote>
  <w:footnote w:id="423">
    <w:p w14:paraId="2B9EC638" w14:textId="17DCCA7A" w:rsidR="00D90D35" w:rsidRPr="00080809" w:rsidRDefault="00D90D35">
      <w:pPr>
        <w:pStyle w:val="FootnoteText"/>
      </w:pPr>
      <w:r>
        <w:rPr>
          <w:rStyle w:val="FootnoteReference"/>
        </w:rPr>
        <w:footnoteRef/>
      </w:r>
      <w:r>
        <w:t xml:space="preserve"> </w:t>
      </w:r>
      <w:r>
        <w:rPr>
          <w:i/>
          <w:iCs/>
        </w:rPr>
        <w:t>Id.</w:t>
      </w:r>
      <w:r>
        <w:t xml:space="preserve"> at 1383.</w:t>
      </w:r>
    </w:p>
  </w:footnote>
  <w:footnote w:id="424">
    <w:p w14:paraId="1685864F" w14:textId="125F283F" w:rsidR="00D90D35" w:rsidRPr="00080809" w:rsidRDefault="00D90D35">
      <w:pPr>
        <w:pStyle w:val="FootnoteText"/>
      </w:pPr>
      <w:r>
        <w:rPr>
          <w:rStyle w:val="FootnoteReference"/>
        </w:rPr>
        <w:footnoteRef/>
      </w:r>
      <w:r>
        <w:t xml:space="preserve"> </w:t>
      </w:r>
      <w:r>
        <w:rPr>
          <w:i/>
          <w:iCs/>
        </w:rPr>
        <w:t>Id.</w:t>
      </w:r>
    </w:p>
  </w:footnote>
  <w:footnote w:id="425">
    <w:p w14:paraId="358C1159" w14:textId="35EF4A0F" w:rsidR="00D90D35" w:rsidRDefault="00D90D35" w:rsidP="008E1F96">
      <w:pPr>
        <w:pStyle w:val="FootnoteText"/>
      </w:pPr>
      <w:r w:rsidRPr="005A669A">
        <w:rPr>
          <w:rStyle w:val="FootnoteReference"/>
        </w:rPr>
        <w:footnoteRef/>
      </w:r>
      <w:r>
        <w:t xml:space="preserve"> </w:t>
      </w:r>
      <w:r w:rsidRPr="00363432">
        <w:t>Endo Pharms. Inc. v. Actavis LLC, 922 F.3d 1365</w:t>
      </w:r>
      <w:r>
        <w:t>, 1367, 1373</w:t>
      </w:r>
      <w:r w:rsidRPr="00363432">
        <w:t xml:space="preserve"> (Fed. Cir. May 2019)</w:t>
      </w:r>
      <w:r>
        <w:t>.</w:t>
      </w:r>
    </w:p>
  </w:footnote>
  <w:footnote w:id="426">
    <w:p w14:paraId="2E4CFE66" w14:textId="0B8B105A" w:rsidR="00D90D35" w:rsidRPr="00921874" w:rsidRDefault="00D90D35">
      <w:pPr>
        <w:pStyle w:val="FootnoteText"/>
      </w:pPr>
      <w:r>
        <w:rPr>
          <w:rStyle w:val="FootnoteReference"/>
        </w:rPr>
        <w:footnoteRef/>
      </w:r>
      <w:r>
        <w:t xml:space="preserve"> </w:t>
      </w:r>
      <w:r>
        <w:rPr>
          <w:i/>
          <w:iCs/>
        </w:rPr>
        <w:t>Id.</w:t>
      </w:r>
      <w:r>
        <w:t xml:space="preserve"> at 1367-68 (citing U.S. Patent No. 8,871,779).</w:t>
      </w:r>
    </w:p>
  </w:footnote>
  <w:footnote w:id="427">
    <w:p w14:paraId="79C9A00C" w14:textId="734FDA31" w:rsidR="00D90D35" w:rsidRPr="00FC3688" w:rsidRDefault="00D90D35">
      <w:pPr>
        <w:pStyle w:val="FootnoteText"/>
      </w:pPr>
      <w:r>
        <w:rPr>
          <w:rStyle w:val="FootnoteReference"/>
        </w:rPr>
        <w:footnoteRef/>
      </w:r>
      <w:r>
        <w:t xml:space="preserve"> </w:t>
      </w:r>
      <w:r>
        <w:rPr>
          <w:i/>
          <w:iCs/>
        </w:rPr>
        <w:t xml:space="preserve">Id. </w:t>
      </w:r>
      <w:r>
        <w:t>at 1368 (quoting ’779 col. 2 ll. 29-32).</w:t>
      </w:r>
    </w:p>
  </w:footnote>
  <w:footnote w:id="428">
    <w:p w14:paraId="7D8F2AB3" w14:textId="3D339290" w:rsidR="00D90D35" w:rsidRPr="00E70099" w:rsidRDefault="00D90D35">
      <w:pPr>
        <w:pStyle w:val="FootnoteText"/>
      </w:pPr>
      <w:r>
        <w:rPr>
          <w:rStyle w:val="FootnoteReference"/>
        </w:rPr>
        <w:footnoteRef/>
      </w:r>
      <w:r>
        <w:t xml:space="preserve"> </w:t>
      </w:r>
      <w:r>
        <w:rPr>
          <w:i/>
          <w:iCs/>
        </w:rPr>
        <w:t xml:space="preserve">Id. </w:t>
      </w:r>
      <w:r>
        <w:t>at 1374-75.</w:t>
      </w:r>
    </w:p>
  </w:footnote>
  <w:footnote w:id="429">
    <w:p w14:paraId="37A93729" w14:textId="325D5643" w:rsidR="00D90D35" w:rsidRPr="000E4050" w:rsidRDefault="00D90D35">
      <w:pPr>
        <w:pStyle w:val="FootnoteText"/>
      </w:pPr>
      <w:r>
        <w:rPr>
          <w:rStyle w:val="FootnoteReference"/>
        </w:rPr>
        <w:footnoteRef/>
      </w:r>
      <w:r>
        <w:t xml:space="preserve"> </w:t>
      </w:r>
      <w:r>
        <w:rPr>
          <w:i/>
          <w:iCs/>
        </w:rPr>
        <w:t xml:space="preserve">Id. </w:t>
      </w:r>
      <w:r>
        <w:t>at 1375.</w:t>
      </w:r>
    </w:p>
  </w:footnote>
  <w:footnote w:id="430">
    <w:p w14:paraId="5531128F" w14:textId="0539586F" w:rsidR="00D90D35" w:rsidRPr="000E4050" w:rsidRDefault="00D90D35" w:rsidP="00C3314D">
      <w:pPr>
        <w:pStyle w:val="FootnoteText"/>
      </w:pPr>
      <w:r>
        <w:rPr>
          <w:rStyle w:val="FootnoteReference"/>
        </w:rPr>
        <w:footnoteRef/>
      </w:r>
      <w:r>
        <w:t xml:space="preserve"> </w:t>
      </w:r>
      <w:r>
        <w:rPr>
          <w:i/>
          <w:iCs/>
        </w:rPr>
        <w:t>Id</w:t>
      </w:r>
      <w:r>
        <w:t>.</w:t>
      </w:r>
    </w:p>
  </w:footnote>
  <w:footnote w:id="431">
    <w:p w14:paraId="0DCE9EC8" w14:textId="3847CCAE" w:rsidR="00D90D35" w:rsidRPr="00800C4C" w:rsidRDefault="00D90D35">
      <w:pPr>
        <w:pStyle w:val="FootnoteText"/>
      </w:pPr>
      <w:r>
        <w:rPr>
          <w:rStyle w:val="FootnoteReference"/>
        </w:rPr>
        <w:footnoteRef/>
      </w:r>
      <w:r>
        <w:t xml:space="preserve"> </w:t>
      </w:r>
      <w:r>
        <w:rPr>
          <w:i/>
          <w:iCs/>
        </w:rPr>
        <w:t xml:space="preserve">Id. </w:t>
      </w:r>
      <w:r>
        <w:t>at 1377.</w:t>
      </w:r>
    </w:p>
  </w:footnote>
  <w:footnote w:id="432">
    <w:p w14:paraId="7AF44254" w14:textId="79D4008E" w:rsidR="00D90D35" w:rsidRPr="00DD048D" w:rsidRDefault="00D90D35">
      <w:pPr>
        <w:pStyle w:val="FootnoteText"/>
      </w:pPr>
      <w:r>
        <w:rPr>
          <w:rStyle w:val="FootnoteReference"/>
        </w:rPr>
        <w:footnoteRef/>
      </w:r>
      <w:r>
        <w:t xml:space="preserve"> </w:t>
      </w:r>
      <w:r>
        <w:rPr>
          <w:i/>
          <w:iCs/>
        </w:rPr>
        <w:t xml:space="preserve">Id. </w:t>
      </w:r>
      <w:r>
        <w:t>at 1375.</w:t>
      </w:r>
    </w:p>
  </w:footnote>
  <w:footnote w:id="433">
    <w:p w14:paraId="51AF7451" w14:textId="4392CF14" w:rsidR="00D90D35" w:rsidRPr="00C3314D" w:rsidRDefault="00D90D35" w:rsidP="00355FCB">
      <w:pPr>
        <w:pStyle w:val="FootnoteText"/>
      </w:pPr>
      <w:r>
        <w:rPr>
          <w:rStyle w:val="FootnoteReference"/>
        </w:rPr>
        <w:footnoteRef/>
      </w:r>
      <w:r>
        <w:t xml:space="preserve"> </w:t>
      </w:r>
      <w:r>
        <w:rPr>
          <w:i/>
          <w:iCs/>
        </w:rPr>
        <w:t xml:space="preserve">Id. </w:t>
      </w:r>
      <w:r>
        <w:t>at 1376.</w:t>
      </w:r>
    </w:p>
  </w:footnote>
  <w:footnote w:id="434">
    <w:p w14:paraId="5819E1E3" w14:textId="161D878F" w:rsidR="00D90D35" w:rsidRPr="00DD048D" w:rsidRDefault="00D90D35">
      <w:pPr>
        <w:pStyle w:val="FootnoteText"/>
      </w:pPr>
      <w:r>
        <w:rPr>
          <w:rStyle w:val="FootnoteReference"/>
        </w:rPr>
        <w:footnoteRef/>
      </w:r>
      <w:r>
        <w:t xml:space="preserve"> </w:t>
      </w:r>
      <w:r>
        <w:rPr>
          <w:i/>
          <w:iCs/>
        </w:rPr>
        <w:t>Id.</w:t>
      </w:r>
    </w:p>
  </w:footnote>
  <w:footnote w:id="435">
    <w:p w14:paraId="67C50CDA" w14:textId="24DD5E95" w:rsidR="00D90D35" w:rsidRPr="007C1589" w:rsidRDefault="00D90D35">
      <w:pPr>
        <w:pStyle w:val="FootnoteText"/>
      </w:pPr>
      <w:r>
        <w:rPr>
          <w:rStyle w:val="FootnoteReference"/>
        </w:rPr>
        <w:footnoteRef/>
      </w:r>
      <w:r>
        <w:t xml:space="preserve"> </w:t>
      </w:r>
      <w:r>
        <w:rPr>
          <w:i/>
          <w:iCs/>
        </w:rPr>
        <w:t xml:space="preserve">Id. </w:t>
      </w:r>
      <w:r>
        <w:t>at 1377.</w:t>
      </w:r>
    </w:p>
  </w:footnote>
  <w:footnote w:id="436">
    <w:p w14:paraId="20D40172" w14:textId="2AC9C98F" w:rsidR="00D90D35" w:rsidRPr="007C1589" w:rsidRDefault="00D90D35" w:rsidP="003A3083">
      <w:pPr>
        <w:pStyle w:val="FootnoteText"/>
      </w:pPr>
      <w:r>
        <w:rPr>
          <w:rStyle w:val="FootnoteReference"/>
        </w:rPr>
        <w:footnoteRef/>
      </w:r>
      <w:r>
        <w:t xml:space="preserve"> </w:t>
      </w:r>
      <w:r>
        <w:rPr>
          <w:i/>
          <w:iCs/>
        </w:rPr>
        <w:t xml:space="preserve">Id. </w:t>
      </w:r>
    </w:p>
  </w:footnote>
  <w:footnote w:id="437">
    <w:p w14:paraId="59291618" w14:textId="504EA95E" w:rsidR="00D90D35" w:rsidRPr="00AE3C07" w:rsidRDefault="00D90D35">
      <w:pPr>
        <w:pStyle w:val="FootnoteText"/>
      </w:pPr>
      <w:r>
        <w:rPr>
          <w:rStyle w:val="FootnoteReference"/>
        </w:rPr>
        <w:footnoteRef/>
      </w:r>
      <w:r>
        <w:t xml:space="preserve"> </w:t>
      </w:r>
      <w:r>
        <w:rPr>
          <w:i/>
          <w:iCs/>
        </w:rPr>
        <w:t xml:space="preserve">Id. </w:t>
      </w:r>
      <w:r>
        <w:t>at 1378.</w:t>
      </w:r>
    </w:p>
  </w:footnote>
  <w:footnote w:id="438">
    <w:p w14:paraId="1F955BCE" w14:textId="261A235D" w:rsidR="00D90D35" w:rsidRPr="00922263" w:rsidRDefault="00D90D35">
      <w:pPr>
        <w:pStyle w:val="FootnoteText"/>
      </w:pPr>
      <w:r>
        <w:rPr>
          <w:rStyle w:val="FootnoteReference"/>
        </w:rPr>
        <w:footnoteRef/>
      </w:r>
      <w:r>
        <w:t xml:space="preserve"> </w:t>
      </w:r>
      <w:r>
        <w:rPr>
          <w:i/>
          <w:iCs/>
        </w:rPr>
        <w:t xml:space="preserve">Id. </w:t>
      </w:r>
      <w:r>
        <w:t>at 1378-81 (Stoll, J., dissenting).</w:t>
      </w:r>
    </w:p>
  </w:footnote>
  <w:footnote w:id="439">
    <w:p w14:paraId="320B9DAC" w14:textId="10E40C6E" w:rsidR="00D90D35" w:rsidRPr="00334DA4" w:rsidRDefault="00D90D35">
      <w:pPr>
        <w:pStyle w:val="FootnoteText"/>
      </w:pPr>
      <w:r>
        <w:rPr>
          <w:rStyle w:val="FootnoteReference"/>
        </w:rPr>
        <w:footnoteRef/>
      </w:r>
      <w:r>
        <w:t xml:space="preserve"> </w:t>
      </w:r>
      <w:r>
        <w:rPr>
          <w:i/>
          <w:iCs/>
        </w:rPr>
        <w:t xml:space="preserve">Id. </w:t>
      </w:r>
      <w:r>
        <w:t>at 1379.</w:t>
      </w:r>
    </w:p>
  </w:footnote>
  <w:footnote w:id="440">
    <w:p w14:paraId="525B89E1" w14:textId="4D4616CF" w:rsidR="00D90D35" w:rsidRPr="00107DF5" w:rsidRDefault="00D90D35">
      <w:pPr>
        <w:pStyle w:val="FootnoteText"/>
      </w:pPr>
      <w:r>
        <w:rPr>
          <w:rStyle w:val="FootnoteReference"/>
        </w:rPr>
        <w:footnoteRef/>
      </w:r>
      <w:r>
        <w:t xml:space="preserve"> </w:t>
      </w:r>
      <w:r>
        <w:rPr>
          <w:i/>
          <w:iCs/>
        </w:rPr>
        <w:t xml:space="preserve">See id. </w:t>
      </w:r>
      <w:r>
        <w:t>at 1380.</w:t>
      </w:r>
    </w:p>
  </w:footnote>
  <w:footnote w:id="441">
    <w:p w14:paraId="02402BAF" w14:textId="31C3208B" w:rsidR="00D90D35" w:rsidRPr="00416EB6" w:rsidRDefault="00D90D35">
      <w:pPr>
        <w:pStyle w:val="FootnoteText"/>
      </w:pPr>
      <w:r>
        <w:rPr>
          <w:rStyle w:val="FootnoteReference"/>
        </w:rPr>
        <w:footnoteRef/>
      </w:r>
      <w:r>
        <w:t xml:space="preserve"> </w:t>
      </w:r>
      <w:r>
        <w:rPr>
          <w:i/>
          <w:iCs/>
        </w:rPr>
        <w:t>Id.</w:t>
      </w:r>
    </w:p>
  </w:footnote>
  <w:footnote w:id="442">
    <w:p w14:paraId="78283565" w14:textId="512692F5" w:rsidR="00D90D35" w:rsidRDefault="00D90D35">
      <w:pPr>
        <w:pStyle w:val="FootnoteText"/>
      </w:pPr>
      <w:r>
        <w:rPr>
          <w:rStyle w:val="FootnoteReference"/>
        </w:rPr>
        <w:footnoteRef/>
      </w:r>
      <w:r>
        <w:t xml:space="preserve"> </w:t>
      </w:r>
      <w:r>
        <w:rPr>
          <w:i/>
        </w:rPr>
        <w:t xml:space="preserve">Id. </w:t>
      </w:r>
      <w:r>
        <w:t>at 1376.</w:t>
      </w:r>
    </w:p>
  </w:footnote>
  <w:footnote w:id="443">
    <w:p w14:paraId="67AA1F8D" w14:textId="41BE178E" w:rsidR="00D90D35" w:rsidRPr="007C53B5" w:rsidRDefault="00D90D35">
      <w:pPr>
        <w:pStyle w:val="FootnoteText"/>
      </w:pPr>
      <w:r>
        <w:rPr>
          <w:rStyle w:val="FootnoteReference"/>
        </w:rPr>
        <w:footnoteRef/>
      </w:r>
      <w:r>
        <w:t xml:space="preserve"> </w:t>
      </w:r>
      <w:r>
        <w:rPr>
          <w:i/>
          <w:iCs/>
        </w:rPr>
        <w:t xml:space="preserve">Id. </w:t>
      </w:r>
      <w:r>
        <w:t xml:space="preserve">at 1381. </w:t>
      </w:r>
    </w:p>
  </w:footnote>
  <w:footnote w:id="444">
    <w:p w14:paraId="6CB4E77C" w14:textId="29F1749D" w:rsidR="00D90D35" w:rsidRDefault="00D90D35">
      <w:pPr>
        <w:pStyle w:val="FootnoteText"/>
      </w:pPr>
      <w:r w:rsidRPr="005A669A">
        <w:rPr>
          <w:rStyle w:val="FootnoteReference"/>
        </w:rPr>
        <w:footnoteRef/>
      </w:r>
      <w:r>
        <w:t xml:space="preserve"> </w:t>
      </w:r>
      <w:r w:rsidRPr="00C107A2">
        <w:t xml:space="preserve">Grunenthal GMBH v. Alkem Labs. </w:t>
      </w:r>
      <w:r>
        <w:t>Ltd.</w:t>
      </w:r>
      <w:r w:rsidRPr="00C107A2">
        <w:t>, 919 F.3d 1333</w:t>
      </w:r>
      <w:r>
        <w:t>, 1336</w:t>
      </w:r>
      <w:r w:rsidRPr="00C107A2">
        <w:t xml:space="preserve"> (Fed. Cir. 2019)</w:t>
      </w:r>
      <w:r>
        <w:t>.</w:t>
      </w:r>
    </w:p>
  </w:footnote>
  <w:footnote w:id="445">
    <w:p w14:paraId="2BBA172F" w14:textId="0586BF96" w:rsidR="00D90D35" w:rsidRPr="0026659F" w:rsidRDefault="00D90D35">
      <w:pPr>
        <w:pStyle w:val="FootnoteText"/>
      </w:pPr>
      <w:r w:rsidRPr="005A669A">
        <w:rPr>
          <w:rStyle w:val="FootnoteReference"/>
        </w:rPr>
        <w:footnoteRef/>
      </w:r>
      <w:r>
        <w:t xml:space="preserve"> </w:t>
      </w:r>
      <w:r>
        <w:rPr>
          <w:i/>
        </w:rPr>
        <w:t xml:space="preserve">Id. </w:t>
      </w:r>
      <w:r>
        <w:t>at 1344-45.</w:t>
      </w:r>
    </w:p>
  </w:footnote>
  <w:footnote w:id="446">
    <w:p w14:paraId="190211C2" w14:textId="0AED50B9" w:rsidR="00D90D35" w:rsidRPr="0026659F" w:rsidRDefault="00D90D35" w:rsidP="00EF3F17">
      <w:pPr>
        <w:pStyle w:val="FootnoteText"/>
      </w:pPr>
      <w:r w:rsidRPr="005A669A">
        <w:rPr>
          <w:rStyle w:val="FootnoteReference"/>
        </w:rPr>
        <w:footnoteRef/>
      </w:r>
      <w:r>
        <w:t xml:space="preserve"> </w:t>
      </w:r>
      <w:r>
        <w:rPr>
          <w:i/>
        </w:rPr>
        <w:t xml:space="preserve">Id. </w:t>
      </w:r>
      <w:r>
        <w:t>at 1336.</w:t>
      </w:r>
    </w:p>
  </w:footnote>
  <w:footnote w:id="447">
    <w:p w14:paraId="1BDED020" w14:textId="77777777" w:rsidR="00D90D35" w:rsidRPr="00EF3F17" w:rsidRDefault="00D90D35" w:rsidP="00F21911">
      <w:pPr>
        <w:pStyle w:val="FootnoteText"/>
      </w:pPr>
      <w:r w:rsidRPr="005A669A">
        <w:rPr>
          <w:rStyle w:val="FootnoteReference"/>
        </w:rPr>
        <w:footnoteRef/>
      </w:r>
      <w:r>
        <w:t xml:space="preserve"> </w:t>
      </w:r>
      <w:r>
        <w:rPr>
          <w:i/>
        </w:rPr>
        <w:t>Id.</w:t>
      </w:r>
    </w:p>
  </w:footnote>
  <w:footnote w:id="448">
    <w:p w14:paraId="07B13756" w14:textId="77777777" w:rsidR="00D90D35" w:rsidRPr="00EF3F17" w:rsidRDefault="00D90D35" w:rsidP="00E73E4F">
      <w:pPr>
        <w:pStyle w:val="FootnoteText"/>
      </w:pPr>
      <w:r w:rsidRPr="005A669A">
        <w:rPr>
          <w:rStyle w:val="FootnoteReference"/>
        </w:rPr>
        <w:footnoteRef/>
      </w:r>
      <w:r>
        <w:t xml:space="preserve"> </w:t>
      </w:r>
      <w:r>
        <w:rPr>
          <w:i/>
        </w:rPr>
        <w:t>Id.</w:t>
      </w:r>
    </w:p>
  </w:footnote>
  <w:footnote w:id="449">
    <w:p w14:paraId="6B484690" w14:textId="423E4CFE" w:rsidR="00D90D35" w:rsidRPr="007334B9" w:rsidRDefault="00D90D35" w:rsidP="007334B9">
      <w:pPr>
        <w:pStyle w:val="FootnoteText"/>
      </w:pPr>
      <w:r w:rsidRPr="005A669A">
        <w:rPr>
          <w:rStyle w:val="FootnoteReference"/>
        </w:rPr>
        <w:footnoteRef/>
      </w:r>
      <w:r>
        <w:t xml:space="preserve"> </w:t>
      </w:r>
      <w:r>
        <w:rPr>
          <w:i/>
        </w:rPr>
        <w:t xml:space="preserve">Id. </w:t>
      </w:r>
      <w:r>
        <w:t>at 1338.</w:t>
      </w:r>
    </w:p>
  </w:footnote>
  <w:footnote w:id="450">
    <w:p w14:paraId="0CD05AFA" w14:textId="534D9664" w:rsidR="00D90D35" w:rsidRPr="00806192" w:rsidRDefault="00D90D35">
      <w:pPr>
        <w:pStyle w:val="FootnoteText"/>
      </w:pPr>
      <w:r w:rsidRPr="005A669A">
        <w:rPr>
          <w:rStyle w:val="FootnoteReference"/>
        </w:rPr>
        <w:footnoteRef/>
      </w:r>
      <w:r>
        <w:t xml:space="preserve"> </w:t>
      </w:r>
      <w:r>
        <w:rPr>
          <w:i/>
        </w:rPr>
        <w:t xml:space="preserve">Id. </w:t>
      </w:r>
      <w:r>
        <w:t xml:space="preserve">at 1341 (citing, for standard of law, </w:t>
      </w:r>
      <w:r w:rsidRPr="004D659A">
        <w:t>IXI IP, LLC v. Samsung Elecs. Co., Ltd., 903 F.3d 1257, 1262 (Fed. Cir. 2018)</w:t>
      </w:r>
      <w:r>
        <w:t>).</w:t>
      </w:r>
    </w:p>
  </w:footnote>
  <w:footnote w:id="451">
    <w:p w14:paraId="797636B9" w14:textId="3DF832F8" w:rsidR="00D90D35" w:rsidRPr="004A36D8" w:rsidRDefault="00D90D35" w:rsidP="00EE6AEB">
      <w:pPr>
        <w:pStyle w:val="FootnoteText"/>
      </w:pPr>
      <w:r w:rsidRPr="005A669A">
        <w:rPr>
          <w:rStyle w:val="FootnoteReference"/>
        </w:rPr>
        <w:footnoteRef/>
      </w:r>
      <w:r>
        <w:t xml:space="preserve"> </w:t>
      </w:r>
      <w:r>
        <w:rPr>
          <w:i/>
        </w:rPr>
        <w:t xml:space="preserve">Id. </w:t>
      </w:r>
    </w:p>
  </w:footnote>
  <w:footnote w:id="452">
    <w:p w14:paraId="53248A86" w14:textId="0FD3AACD" w:rsidR="00D90D35" w:rsidRPr="001A0A27" w:rsidRDefault="00D90D35" w:rsidP="00F73604">
      <w:pPr>
        <w:pStyle w:val="FootnoteText"/>
      </w:pPr>
      <w:r w:rsidRPr="005A669A">
        <w:rPr>
          <w:rStyle w:val="FootnoteReference"/>
        </w:rPr>
        <w:footnoteRef/>
      </w:r>
      <w:r>
        <w:t xml:space="preserve"> </w:t>
      </w:r>
      <w:r>
        <w:rPr>
          <w:i/>
        </w:rPr>
        <w:t xml:space="preserve">Id. </w:t>
      </w:r>
      <w:r>
        <w:t xml:space="preserve">at 1344 (citing </w:t>
      </w:r>
      <w:r w:rsidRPr="001A0A27">
        <w:t>KSR</w:t>
      </w:r>
      <w:r>
        <w:t xml:space="preserve"> </w:t>
      </w:r>
      <w:r w:rsidRPr="001A0A27">
        <w:t>Int'l</w:t>
      </w:r>
      <w:r>
        <w:t xml:space="preserve"> </w:t>
      </w:r>
      <w:r w:rsidRPr="001A0A27">
        <w:t>Co.</w:t>
      </w:r>
      <w:r>
        <w:t xml:space="preserve"> </w:t>
      </w:r>
      <w:r w:rsidRPr="001A0A27">
        <w:t>v.</w:t>
      </w:r>
      <w:r>
        <w:t xml:space="preserve"> </w:t>
      </w:r>
      <w:r w:rsidRPr="001A0A27">
        <w:t>Teleflex</w:t>
      </w:r>
      <w:r>
        <w:t xml:space="preserve"> </w:t>
      </w:r>
      <w:r w:rsidRPr="001A0A27">
        <w:t>Inc., 550 U.S. 398, 417</w:t>
      </w:r>
      <w:r>
        <w:t xml:space="preserve"> </w:t>
      </w:r>
      <w:r w:rsidRPr="001A0A27">
        <w:t>(2007)</w:t>
      </w:r>
      <w:r>
        <w:t>).</w:t>
      </w:r>
    </w:p>
  </w:footnote>
  <w:footnote w:id="453">
    <w:p w14:paraId="66D4C287" w14:textId="01442F29" w:rsidR="00D90D35" w:rsidRPr="005057D9" w:rsidRDefault="00D90D35">
      <w:pPr>
        <w:pStyle w:val="FootnoteText"/>
      </w:pPr>
      <w:r w:rsidRPr="005A669A">
        <w:rPr>
          <w:rStyle w:val="FootnoteReference"/>
        </w:rPr>
        <w:footnoteRef/>
      </w:r>
      <w:r>
        <w:t xml:space="preserve"> </w:t>
      </w:r>
      <w:r>
        <w:rPr>
          <w:i/>
        </w:rPr>
        <w:t xml:space="preserve">Id. </w:t>
      </w:r>
      <w:r>
        <w:t>at 1343.</w:t>
      </w:r>
    </w:p>
  </w:footnote>
  <w:footnote w:id="454">
    <w:p w14:paraId="42F163AB" w14:textId="651DC207" w:rsidR="00D90D35" w:rsidRPr="004A36D8" w:rsidRDefault="00D90D35" w:rsidP="004A36D8">
      <w:pPr>
        <w:pStyle w:val="FootnoteText"/>
      </w:pPr>
      <w:r w:rsidRPr="005A669A">
        <w:rPr>
          <w:rStyle w:val="FootnoteReference"/>
        </w:rPr>
        <w:footnoteRef/>
      </w:r>
      <w:r>
        <w:t xml:space="preserve"> </w:t>
      </w:r>
      <w:r>
        <w:rPr>
          <w:i/>
        </w:rPr>
        <w:t xml:space="preserve">Id. </w:t>
      </w:r>
      <w:r>
        <w:t>at 1341.</w:t>
      </w:r>
    </w:p>
  </w:footnote>
  <w:footnote w:id="455">
    <w:p w14:paraId="2F77F3F2" w14:textId="43775F9F" w:rsidR="00D90D35" w:rsidRPr="004A36D8" w:rsidRDefault="00D90D35" w:rsidP="004A36D8">
      <w:pPr>
        <w:pStyle w:val="FootnoteText"/>
      </w:pPr>
      <w:r w:rsidRPr="005A669A">
        <w:rPr>
          <w:rStyle w:val="FootnoteReference"/>
        </w:rPr>
        <w:footnoteRef/>
      </w:r>
      <w:r>
        <w:t xml:space="preserve"> </w:t>
      </w:r>
      <w:r>
        <w:rPr>
          <w:i/>
        </w:rPr>
        <w:t xml:space="preserve">Id. </w:t>
      </w:r>
      <w:r>
        <w:t>at 1343.</w:t>
      </w:r>
    </w:p>
  </w:footnote>
  <w:footnote w:id="456">
    <w:p w14:paraId="3437A856" w14:textId="3F703CDE" w:rsidR="00D90D35" w:rsidRPr="004A36D8" w:rsidRDefault="00D90D35">
      <w:pPr>
        <w:pStyle w:val="FootnoteText"/>
      </w:pPr>
      <w:r w:rsidRPr="005A669A">
        <w:rPr>
          <w:rStyle w:val="FootnoteReference"/>
        </w:rPr>
        <w:footnoteRef/>
      </w:r>
      <w:r>
        <w:t xml:space="preserve"> </w:t>
      </w:r>
      <w:r>
        <w:rPr>
          <w:i/>
        </w:rPr>
        <w:t xml:space="preserve">Id. </w:t>
      </w:r>
      <w:r>
        <w:t>at 1342 (quoting Figure 1).</w:t>
      </w:r>
    </w:p>
  </w:footnote>
  <w:footnote w:id="457">
    <w:p w14:paraId="41185C21" w14:textId="0047BDD3" w:rsidR="00D90D35" w:rsidRPr="00572825" w:rsidRDefault="00D90D35">
      <w:pPr>
        <w:pStyle w:val="FootnoteText"/>
      </w:pPr>
      <w:r w:rsidRPr="005A669A">
        <w:rPr>
          <w:rStyle w:val="FootnoteReference"/>
        </w:rPr>
        <w:footnoteRef/>
      </w:r>
      <w:r>
        <w:t xml:space="preserve"> </w:t>
      </w:r>
      <w:r>
        <w:rPr>
          <w:i/>
        </w:rPr>
        <w:t xml:space="preserve">Id. </w:t>
      </w:r>
      <w:r>
        <w:t xml:space="preserve">at 1345 (citing </w:t>
      </w:r>
      <w:r w:rsidRPr="001A0A27">
        <w:t>KSR</w:t>
      </w:r>
      <w:r>
        <w:t xml:space="preserve">, </w:t>
      </w:r>
      <w:r w:rsidRPr="001A0A27">
        <w:t xml:space="preserve">550 U.S. </w:t>
      </w:r>
      <w:r>
        <w:t>at 421).</w:t>
      </w:r>
    </w:p>
  </w:footnote>
  <w:footnote w:id="458">
    <w:p w14:paraId="171813A7" w14:textId="77777777" w:rsidR="00D90D35" w:rsidRPr="004A36D8" w:rsidRDefault="00D90D35" w:rsidP="00792F2F">
      <w:pPr>
        <w:pStyle w:val="FootnoteText"/>
      </w:pPr>
      <w:r w:rsidRPr="005A669A">
        <w:rPr>
          <w:rStyle w:val="FootnoteReference"/>
        </w:rPr>
        <w:footnoteRef/>
      </w:r>
      <w:r>
        <w:t xml:space="preserve"> </w:t>
      </w:r>
      <w:r>
        <w:rPr>
          <w:i/>
        </w:rPr>
        <w:t xml:space="preserve">Id. </w:t>
      </w:r>
      <w:r>
        <w:t>at 1343.</w:t>
      </w:r>
    </w:p>
  </w:footnote>
  <w:footnote w:id="459">
    <w:p w14:paraId="14097D2D" w14:textId="6018E26D" w:rsidR="00D90D35" w:rsidRPr="004A36D8" w:rsidRDefault="00D90D35" w:rsidP="00722831">
      <w:pPr>
        <w:pStyle w:val="FootnoteText"/>
      </w:pPr>
      <w:r w:rsidRPr="005A669A">
        <w:rPr>
          <w:rStyle w:val="FootnoteReference"/>
        </w:rPr>
        <w:footnoteRef/>
      </w:r>
      <w:r>
        <w:t xml:space="preserve"> </w:t>
      </w:r>
      <w:r>
        <w:rPr>
          <w:i/>
        </w:rPr>
        <w:t xml:space="preserve">Id. </w:t>
      </w:r>
      <w:r>
        <w:t>at 1343.</w:t>
      </w:r>
    </w:p>
  </w:footnote>
  <w:footnote w:id="460">
    <w:p w14:paraId="3895910E" w14:textId="3C9BEBE8" w:rsidR="00D90D35" w:rsidRPr="00064024" w:rsidRDefault="00D90D35">
      <w:pPr>
        <w:pStyle w:val="FootnoteText"/>
      </w:pPr>
      <w:r w:rsidRPr="005A669A">
        <w:rPr>
          <w:rStyle w:val="FootnoteReference"/>
        </w:rPr>
        <w:footnoteRef/>
      </w:r>
      <w:r>
        <w:t xml:space="preserve"> </w:t>
      </w:r>
      <w:r w:rsidRPr="00064024">
        <w:t>Forest Labs., LLC v. SigmaPharm Labs., LLC, 918 F.3d 928</w:t>
      </w:r>
      <w:r>
        <w:t>, 932</w:t>
      </w:r>
      <w:r w:rsidRPr="00064024">
        <w:t xml:space="preserve"> (Fed. Cir</w:t>
      </w:r>
      <w:r>
        <w:t>.</w:t>
      </w:r>
      <w:r w:rsidRPr="00064024">
        <w:t xml:space="preserve"> 2019).</w:t>
      </w:r>
    </w:p>
  </w:footnote>
  <w:footnote w:id="461">
    <w:p w14:paraId="3D811314" w14:textId="77777777" w:rsidR="00D90D35" w:rsidRPr="00E65206" w:rsidRDefault="00D90D35" w:rsidP="001B25BD">
      <w:pPr>
        <w:pStyle w:val="FootnoteText"/>
      </w:pPr>
      <w:r w:rsidRPr="005A669A">
        <w:rPr>
          <w:rStyle w:val="FootnoteReference"/>
        </w:rPr>
        <w:footnoteRef/>
      </w:r>
      <w:r>
        <w:t xml:space="preserve"> </w:t>
      </w:r>
      <w:r>
        <w:rPr>
          <w:i/>
        </w:rPr>
        <w:t xml:space="preserve">Id. </w:t>
      </w:r>
      <w:r>
        <w:t>at 935-36.</w:t>
      </w:r>
    </w:p>
  </w:footnote>
  <w:footnote w:id="462">
    <w:p w14:paraId="055BBB43" w14:textId="76781762" w:rsidR="00D90D35" w:rsidRPr="00084412" w:rsidRDefault="00D90D35">
      <w:pPr>
        <w:pStyle w:val="FootnoteText"/>
      </w:pPr>
      <w:r w:rsidRPr="005A669A">
        <w:rPr>
          <w:rStyle w:val="FootnoteReference"/>
        </w:rPr>
        <w:footnoteRef/>
      </w:r>
      <w:r>
        <w:t xml:space="preserve"> </w:t>
      </w:r>
      <w:r>
        <w:rPr>
          <w:i/>
        </w:rPr>
        <w:t xml:space="preserve">Id. </w:t>
      </w:r>
      <w:r>
        <w:t>at 931-32.</w:t>
      </w:r>
    </w:p>
  </w:footnote>
  <w:footnote w:id="463">
    <w:p w14:paraId="0B6F5F4B" w14:textId="6D66B8AF" w:rsidR="00D90D35" w:rsidRPr="00CA5462" w:rsidRDefault="00D90D35">
      <w:pPr>
        <w:pStyle w:val="FootnoteText"/>
      </w:pPr>
      <w:r w:rsidRPr="005A669A">
        <w:rPr>
          <w:rStyle w:val="FootnoteReference"/>
        </w:rPr>
        <w:footnoteRef/>
      </w:r>
      <w:r>
        <w:t xml:space="preserve"> </w:t>
      </w:r>
      <w:r>
        <w:rPr>
          <w:i/>
        </w:rPr>
        <w:t xml:space="preserve">Id. </w:t>
      </w:r>
      <w:r>
        <w:t>at 933-34.</w:t>
      </w:r>
    </w:p>
  </w:footnote>
  <w:footnote w:id="464">
    <w:p w14:paraId="1BB181E0" w14:textId="3F2EBC81" w:rsidR="00D90D35" w:rsidRPr="00CA5462" w:rsidRDefault="00D90D35" w:rsidP="009F48BB">
      <w:pPr>
        <w:pStyle w:val="FootnoteText"/>
      </w:pPr>
      <w:r w:rsidRPr="005A669A">
        <w:rPr>
          <w:rStyle w:val="FootnoteReference"/>
        </w:rPr>
        <w:footnoteRef/>
      </w:r>
      <w:r>
        <w:t xml:space="preserve"> </w:t>
      </w:r>
      <w:r>
        <w:rPr>
          <w:i/>
        </w:rPr>
        <w:t xml:space="preserve">Id. </w:t>
      </w:r>
    </w:p>
  </w:footnote>
  <w:footnote w:id="465">
    <w:p w14:paraId="5533738F" w14:textId="0B8840A2" w:rsidR="00D90D35" w:rsidRPr="009F48BB" w:rsidRDefault="00D90D35" w:rsidP="009F48BB">
      <w:pPr>
        <w:pStyle w:val="FootnoteText"/>
      </w:pPr>
      <w:r w:rsidRPr="005A669A">
        <w:rPr>
          <w:rStyle w:val="FootnoteReference"/>
        </w:rPr>
        <w:footnoteRef/>
      </w:r>
      <w:r>
        <w:t xml:space="preserve"> </w:t>
      </w:r>
      <w:r>
        <w:rPr>
          <w:i/>
        </w:rPr>
        <w:t xml:space="preserve">Id. </w:t>
      </w:r>
      <w:r>
        <w:t>at 937.</w:t>
      </w:r>
    </w:p>
  </w:footnote>
  <w:footnote w:id="466">
    <w:p w14:paraId="142F9130" w14:textId="05C2473A" w:rsidR="00D90D35" w:rsidRPr="00F624D6" w:rsidRDefault="00D90D35">
      <w:pPr>
        <w:pStyle w:val="FootnoteText"/>
      </w:pPr>
      <w:r w:rsidRPr="005A669A">
        <w:rPr>
          <w:rStyle w:val="FootnoteReference"/>
        </w:rPr>
        <w:footnoteRef/>
      </w:r>
      <w:r>
        <w:t xml:space="preserve"> </w:t>
      </w:r>
      <w:r>
        <w:rPr>
          <w:i/>
        </w:rPr>
        <w:t xml:space="preserve">Id. </w:t>
      </w:r>
      <w:r>
        <w:t>at 934 (quoting Smiths Indus. Med. Sys., Inc. v. Vital Signs, Inc., 183 F.3d 1347, 1356 (Fed. Cir. 1999)).</w:t>
      </w:r>
    </w:p>
  </w:footnote>
  <w:footnote w:id="467">
    <w:p w14:paraId="4FE628F9" w14:textId="67160322" w:rsidR="00D90D35" w:rsidRPr="00201AAA" w:rsidRDefault="00D90D35" w:rsidP="00544178">
      <w:pPr>
        <w:pStyle w:val="FootnoteText"/>
      </w:pPr>
      <w:r w:rsidRPr="005A669A">
        <w:rPr>
          <w:rStyle w:val="FootnoteReference"/>
        </w:rPr>
        <w:footnoteRef/>
      </w:r>
      <w:r>
        <w:t xml:space="preserve"> </w:t>
      </w:r>
      <w:r>
        <w:rPr>
          <w:i/>
        </w:rPr>
        <w:t xml:space="preserve">Cf. id. </w:t>
      </w:r>
      <w:r>
        <w:t>at 934</w:t>
      </w:r>
      <w:r>
        <w:rPr>
          <w:i/>
        </w:rPr>
        <w:t xml:space="preserve"> </w:t>
      </w:r>
      <w:r>
        <w:t xml:space="preserve">(citing </w:t>
      </w:r>
      <w:r w:rsidRPr="00201AAA">
        <w:t>Arctic Cat Inc. v. Bombardier Recreational Prods. Inc., 876 F.3d 1350, 1359 (Fed. Cir. 2017)</w:t>
      </w:r>
      <w:r>
        <w:t>).</w:t>
      </w:r>
    </w:p>
  </w:footnote>
  <w:footnote w:id="468">
    <w:p w14:paraId="2140FD99" w14:textId="77777777" w:rsidR="00D90D35" w:rsidRPr="00F539E8" w:rsidRDefault="00D90D35" w:rsidP="00663286">
      <w:pPr>
        <w:pStyle w:val="FootnoteText"/>
      </w:pPr>
      <w:r w:rsidRPr="005A669A">
        <w:rPr>
          <w:rStyle w:val="FootnoteReference"/>
        </w:rPr>
        <w:footnoteRef/>
      </w:r>
      <w:r>
        <w:t xml:space="preserve"> </w:t>
      </w:r>
      <w:r>
        <w:rPr>
          <w:i/>
        </w:rPr>
        <w:t xml:space="preserve">Id. </w:t>
      </w:r>
      <w:r>
        <w:t>at 934-35.</w:t>
      </w:r>
    </w:p>
  </w:footnote>
  <w:footnote w:id="469">
    <w:p w14:paraId="0FCB149C" w14:textId="28A794F4" w:rsidR="00D90D35" w:rsidRPr="00006227" w:rsidRDefault="00D90D35" w:rsidP="00716638">
      <w:pPr>
        <w:pStyle w:val="FootnoteText"/>
      </w:pPr>
      <w:r w:rsidRPr="005A669A">
        <w:rPr>
          <w:rStyle w:val="FootnoteReference"/>
        </w:rPr>
        <w:footnoteRef/>
      </w:r>
      <w:r>
        <w:t xml:space="preserve"> </w:t>
      </w:r>
      <w:r>
        <w:rPr>
          <w:i/>
        </w:rPr>
        <w:t>Id.</w:t>
      </w:r>
    </w:p>
  </w:footnote>
  <w:footnote w:id="470">
    <w:p w14:paraId="1B8F4B7A" w14:textId="77777777" w:rsidR="00D90D35" w:rsidRPr="00006227" w:rsidRDefault="00D90D35" w:rsidP="00D5619F">
      <w:pPr>
        <w:pStyle w:val="FootnoteText"/>
      </w:pPr>
      <w:r w:rsidRPr="005A669A">
        <w:rPr>
          <w:rStyle w:val="FootnoteReference"/>
        </w:rPr>
        <w:footnoteRef/>
      </w:r>
      <w:r>
        <w:t xml:space="preserve"> </w:t>
      </w:r>
      <w:r>
        <w:rPr>
          <w:i/>
        </w:rPr>
        <w:t xml:space="preserve">Id. </w:t>
      </w:r>
      <w:r>
        <w:t>at 936 (citing WBIP, LLC v. Kohler Co., 829 F.3d 1317, 1332 (Fed. Cir.2016)).</w:t>
      </w:r>
    </w:p>
  </w:footnote>
  <w:footnote w:id="471">
    <w:p w14:paraId="6AA7D15E" w14:textId="130457C3" w:rsidR="00D90D35" w:rsidRPr="00006227" w:rsidRDefault="00D90D35" w:rsidP="008A1F95">
      <w:pPr>
        <w:pStyle w:val="FootnoteText"/>
      </w:pPr>
      <w:r w:rsidRPr="005A669A">
        <w:rPr>
          <w:rStyle w:val="FootnoteReference"/>
        </w:rPr>
        <w:footnoteRef/>
      </w:r>
      <w:r>
        <w:t xml:space="preserve"> </w:t>
      </w:r>
      <w:r>
        <w:rPr>
          <w:i/>
        </w:rPr>
        <w:t>Id.</w:t>
      </w:r>
    </w:p>
  </w:footnote>
  <w:footnote w:id="472">
    <w:p w14:paraId="4AD327C2" w14:textId="77777777" w:rsidR="00D90D35" w:rsidRPr="00AC009B" w:rsidRDefault="00D90D35" w:rsidP="006134DF">
      <w:pPr>
        <w:pStyle w:val="FootnoteText"/>
      </w:pPr>
      <w:r w:rsidRPr="005A669A">
        <w:rPr>
          <w:rStyle w:val="FootnoteReference"/>
        </w:rPr>
        <w:footnoteRef/>
      </w:r>
      <w:r>
        <w:t xml:space="preserve"> </w:t>
      </w:r>
      <w:r>
        <w:rPr>
          <w:i/>
        </w:rPr>
        <w:t xml:space="preserve">Id. </w:t>
      </w:r>
      <w:r>
        <w:t>at 936-37.</w:t>
      </w:r>
    </w:p>
  </w:footnote>
  <w:footnote w:id="473">
    <w:p w14:paraId="4A839A07" w14:textId="77777777" w:rsidR="00D90D35" w:rsidRPr="00E448BC" w:rsidRDefault="00D90D35" w:rsidP="00D5619F">
      <w:pPr>
        <w:pStyle w:val="FootnoteText"/>
      </w:pPr>
      <w:r w:rsidRPr="005A669A">
        <w:rPr>
          <w:rStyle w:val="FootnoteReference"/>
        </w:rPr>
        <w:footnoteRef/>
      </w:r>
      <w:r>
        <w:t xml:space="preserve"> </w:t>
      </w:r>
      <w:r>
        <w:rPr>
          <w:i/>
        </w:rPr>
        <w:t xml:space="preserve">Id. </w:t>
      </w:r>
    </w:p>
  </w:footnote>
  <w:footnote w:id="474">
    <w:p w14:paraId="004C2BD0" w14:textId="3E7A351C" w:rsidR="00D90D35" w:rsidRPr="009A113E" w:rsidRDefault="00D90D35" w:rsidP="00B9439B">
      <w:pPr>
        <w:pStyle w:val="FootnoteText"/>
      </w:pPr>
      <w:r w:rsidRPr="005A669A">
        <w:rPr>
          <w:rStyle w:val="FootnoteReference"/>
        </w:rPr>
        <w:footnoteRef/>
      </w:r>
      <w:r>
        <w:t xml:space="preserve"> </w:t>
      </w:r>
      <w:r>
        <w:rPr>
          <w:i/>
        </w:rPr>
        <w:t xml:space="preserve">Id. </w:t>
      </w:r>
      <w:r>
        <w:t>at 937 (</w:t>
      </w:r>
      <w:r w:rsidRPr="007B7715">
        <w:t>In</w:t>
      </w:r>
      <w:r>
        <w:t xml:space="preserve"> </w:t>
      </w:r>
      <w:r w:rsidRPr="007B7715">
        <w:t>re</w:t>
      </w:r>
      <w:r>
        <w:t xml:space="preserve"> </w:t>
      </w:r>
      <w:r w:rsidRPr="007B7715">
        <w:t>Soni,</w:t>
      </w:r>
      <w:r>
        <w:t xml:space="preserve"> </w:t>
      </w:r>
      <w:r w:rsidRPr="007B7715">
        <w:t>54</w:t>
      </w:r>
      <w:r>
        <w:t xml:space="preserve"> </w:t>
      </w:r>
      <w:r w:rsidRPr="007B7715">
        <w:t>F.3d</w:t>
      </w:r>
      <w:r>
        <w:t xml:space="preserve"> </w:t>
      </w:r>
      <w:r w:rsidRPr="007B7715">
        <w:t>746,</w:t>
      </w:r>
      <w:r>
        <w:t xml:space="preserve"> </w:t>
      </w:r>
      <w:r w:rsidRPr="007B7715">
        <w:t>750</w:t>
      </w:r>
      <w:r>
        <w:t xml:space="preserve"> </w:t>
      </w:r>
      <w:r w:rsidRPr="007B7715">
        <w:t>(Fed.</w:t>
      </w:r>
      <w:r>
        <w:t xml:space="preserve"> </w:t>
      </w:r>
      <w:r w:rsidRPr="007B7715">
        <w:t>Cir.</w:t>
      </w:r>
      <w:r>
        <w:t xml:space="preserve"> </w:t>
      </w:r>
      <w:r w:rsidRPr="007B7715">
        <w:t>1995)</w:t>
      </w:r>
      <w:r>
        <w:t>).</w:t>
      </w:r>
    </w:p>
  </w:footnote>
  <w:footnote w:id="475">
    <w:p w14:paraId="017276F9" w14:textId="59778130" w:rsidR="00D90D35" w:rsidRPr="00F52E96" w:rsidRDefault="00D90D35">
      <w:pPr>
        <w:pStyle w:val="FootnoteText"/>
      </w:pPr>
      <w:r w:rsidRPr="005A669A">
        <w:rPr>
          <w:rStyle w:val="FootnoteReference"/>
        </w:rPr>
        <w:footnoteRef/>
      </w:r>
      <w:r>
        <w:t xml:space="preserve"> </w:t>
      </w:r>
      <w:r>
        <w:rPr>
          <w:i/>
        </w:rPr>
        <w:t xml:space="preserve">Id. </w:t>
      </w:r>
      <w:r>
        <w:t>at 935 (“</w:t>
      </w:r>
      <w:r w:rsidRPr="00FF1DED">
        <w:t>The district court characterized the inventors’ discovery as a recognition of an unknown problem in the art</w:t>
      </w:r>
      <w:r>
        <w:t xml:space="preserve"> [cardiotoxicity]</w:t>
      </w:r>
      <w:r w:rsidRPr="00FF1DED">
        <w:t xml:space="preserve"> in conjunction with the discovery of the solution to that problem</w:t>
      </w:r>
      <w:r>
        <w:t xml:space="preserve"> [sublingual administration reduced cardiotoxicity].”)</w:t>
      </w:r>
    </w:p>
  </w:footnote>
  <w:footnote w:id="476">
    <w:p w14:paraId="79653B93" w14:textId="10E5C3AF" w:rsidR="00D90D35" w:rsidRPr="00E448BC" w:rsidRDefault="00D90D35">
      <w:pPr>
        <w:pStyle w:val="FootnoteText"/>
      </w:pPr>
      <w:r w:rsidRPr="005A669A">
        <w:rPr>
          <w:rStyle w:val="FootnoteReference"/>
        </w:rPr>
        <w:footnoteRef/>
      </w:r>
      <w:r>
        <w:t xml:space="preserve"> </w:t>
      </w:r>
      <w:r>
        <w:rPr>
          <w:i/>
        </w:rPr>
        <w:t xml:space="preserve">Id. </w:t>
      </w:r>
      <w:r>
        <w:t xml:space="preserve">at 937 (“A </w:t>
      </w:r>
      <w:r w:rsidRPr="00E448BC">
        <w:t>person</w:t>
      </w:r>
      <w:r>
        <w:t xml:space="preserve"> </w:t>
      </w:r>
      <w:r w:rsidRPr="00E448BC">
        <w:t>of</w:t>
      </w:r>
      <w:r>
        <w:t xml:space="preserve"> </w:t>
      </w:r>
      <w:r w:rsidRPr="00E448BC">
        <w:t>ordinary</w:t>
      </w:r>
      <w:r>
        <w:t xml:space="preserve"> </w:t>
      </w:r>
      <w:r w:rsidRPr="00E448BC">
        <w:t>skill</w:t>
      </w:r>
      <w:r>
        <w:t xml:space="preserve"> </w:t>
      </w:r>
      <w:r w:rsidRPr="00E448BC">
        <w:t>could</w:t>
      </w:r>
      <w:r>
        <w:t xml:space="preserve"> </w:t>
      </w:r>
      <w:r w:rsidRPr="00E448BC">
        <w:t>not</w:t>
      </w:r>
      <w:r>
        <w:t xml:space="preserve"> </w:t>
      </w:r>
      <w:r w:rsidRPr="00E448BC">
        <w:t>have</w:t>
      </w:r>
      <w:r>
        <w:t xml:space="preserve"> </w:t>
      </w:r>
      <w:r w:rsidRPr="00E448BC">
        <w:t>been</w:t>
      </w:r>
      <w:r>
        <w:t xml:space="preserve"> </w:t>
      </w:r>
      <w:r w:rsidRPr="00E448BC">
        <w:t>surprised that the sublingual route of administration did not result in cardiotoxic effects because the person of ordinary skill would not have been aware that other routes of administration do result in cardiotoxic effects</w:t>
      </w:r>
      <w:r>
        <w:t>.”)</w:t>
      </w:r>
    </w:p>
  </w:footnote>
  <w:footnote w:id="477">
    <w:p w14:paraId="128E5F69" w14:textId="41D393E1" w:rsidR="00D90D35" w:rsidRPr="00E448BC" w:rsidRDefault="00D90D35" w:rsidP="00967AFA">
      <w:pPr>
        <w:pStyle w:val="FootnoteText"/>
      </w:pPr>
      <w:r w:rsidRPr="005A669A">
        <w:rPr>
          <w:rStyle w:val="FootnoteReference"/>
        </w:rPr>
        <w:footnoteRef/>
      </w:r>
      <w:r>
        <w:t xml:space="preserve"> </w:t>
      </w:r>
      <w:r>
        <w:rPr>
          <w:i/>
        </w:rPr>
        <w:t xml:space="preserve">Id. </w:t>
      </w:r>
    </w:p>
  </w:footnote>
  <w:footnote w:id="478">
    <w:p w14:paraId="6FDE6F8B" w14:textId="34F5FF80" w:rsidR="00D90D35" w:rsidRPr="0012560B" w:rsidRDefault="00D90D35">
      <w:pPr>
        <w:pStyle w:val="FootnoteText"/>
      </w:pPr>
      <w:r w:rsidRPr="005A669A">
        <w:rPr>
          <w:rStyle w:val="FootnoteReference"/>
        </w:rPr>
        <w:footnoteRef/>
      </w:r>
      <w:r>
        <w:t xml:space="preserve"> </w:t>
      </w:r>
      <w:r>
        <w:rPr>
          <w:i/>
        </w:rPr>
        <w:t xml:space="preserve">Id. </w:t>
      </w:r>
      <w:r>
        <w:t>at 935-36.</w:t>
      </w:r>
    </w:p>
  </w:footnote>
  <w:footnote w:id="479">
    <w:p w14:paraId="36DCCEBC" w14:textId="178B4D8E" w:rsidR="00D90D35" w:rsidRPr="000235D3" w:rsidRDefault="00D90D35" w:rsidP="007F4722">
      <w:pPr>
        <w:pStyle w:val="FootnoteText"/>
      </w:pPr>
      <w:r w:rsidRPr="005A669A">
        <w:rPr>
          <w:rStyle w:val="FootnoteReference"/>
        </w:rPr>
        <w:footnoteRef/>
      </w:r>
      <w:r>
        <w:t xml:space="preserve"> </w:t>
      </w:r>
      <w:r>
        <w:rPr>
          <w:i/>
        </w:rPr>
        <w:t xml:space="preserve">Cf. id. </w:t>
      </w:r>
      <w:r>
        <w:t>at 935-36 (discussing that special knowledge of ).</w:t>
      </w:r>
    </w:p>
  </w:footnote>
  <w:footnote w:id="480">
    <w:p w14:paraId="6DA686FC" w14:textId="6CDCFECB" w:rsidR="00D90D35" w:rsidRPr="00E65206" w:rsidRDefault="00D90D35" w:rsidP="0034531E">
      <w:pPr>
        <w:pStyle w:val="FootnoteText"/>
      </w:pPr>
      <w:r w:rsidRPr="005A669A">
        <w:rPr>
          <w:rStyle w:val="FootnoteReference"/>
        </w:rPr>
        <w:footnoteRef/>
      </w:r>
      <w:r>
        <w:t xml:space="preserve"> </w:t>
      </w:r>
      <w:r>
        <w:rPr>
          <w:i/>
        </w:rPr>
        <w:t xml:space="preserve">Id. </w:t>
      </w:r>
    </w:p>
  </w:footnote>
  <w:footnote w:id="481">
    <w:p w14:paraId="025E133E" w14:textId="77777777" w:rsidR="00D90D35" w:rsidRPr="00F539E8" w:rsidRDefault="00D90D35" w:rsidP="00085224">
      <w:pPr>
        <w:pStyle w:val="FootnoteText"/>
      </w:pPr>
      <w:r w:rsidRPr="005A669A">
        <w:rPr>
          <w:rStyle w:val="FootnoteReference"/>
        </w:rPr>
        <w:footnoteRef/>
      </w:r>
      <w:r>
        <w:t xml:space="preserve"> </w:t>
      </w:r>
      <w:r>
        <w:rPr>
          <w:i/>
        </w:rPr>
        <w:t xml:space="preserve">Id. </w:t>
      </w:r>
      <w:r>
        <w:t>at 934-35.</w:t>
      </w:r>
    </w:p>
  </w:footnote>
  <w:footnote w:id="482">
    <w:p w14:paraId="6E14E080" w14:textId="77777777" w:rsidR="00D90D35" w:rsidRPr="00F539E8" w:rsidRDefault="00D90D35" w:rsidP="00085224">
      <w:pPr>
        <w:pStyle w:val="FootnoteText"/>
      </w:pPr>
      <w:r w:rsidRPr="005A669A">
        <w:rPr>
          <w:rStyle w:val="FootnoteReference"/>
        </w:rPr>
        <w:footnoteRef/>
      </w:r>
      <w:r>
        <w:t xml:space="preserve"> </w:t>
      </w:r>
      <w:r>
        <w:rPr>
          <w:i/>
        </w:rPr>
        <w:t xml:space="preserve">Id. </w:t>
      </w:r>
      <w:r>
        <w:t>at 934.</w:t>
      </w:r>
    </w:p>
  </w:footnote>
  <w:footnote w:id="483">
    <w:p w14:paraId="31F58A6F" w14:textId="77777777" w:rsidR="00D90D35" w:rsidRPr="00F539E8" w:rsidRDefault="00D90D35" w:rsidP="00085224">
      <w:pPr>
        <w:pStyle w:val="FootnoteText"/>
      </w:pPr>
      <w:r w:rsidRPr="005A669A">
        <w:rPr>
          <w:rStyle w:val="FootnoteReference"/>
        </w:rPr>
        <w:footnoteRef/>
      </w:r>
      <w:r>
        <w:t xml:space="preserve"> </w:t>
      </w:r>
      <w:r>
        <w:rPr>
          <w:i/>
        </w:rPr>
        <w:t xml:space="preserve">Id. </w:t>
      </w:r>
      <w:r>
        <w:t>at 935.</w:t>
      </w:r>
    </w:p>
  </w:footnote>
  <w:footnote w:id="484">
    <w:p w14:paraId="33CC9F83" w14:textId="77777777" w:rsidR="00D90D35" w:rsidRPr="00F539E8" w:rsidRDefault="00D90D35" w:rsidP="00085224">
      <w:pPr>
        <w:pStyle w:val="FootnoteText"/>
      </w:pPr>
      <w:r w:rsidRPr="005A669A">
        <w:rPr>
          <w:rStyle w:val="FootnoteReference"/>
        </w:rPr>
        <w:footnoteRef/>
      </w:r>
      <w:r>
        <w:t xml:space="preserve"> </w:t>
      </w:r>
      <w:r>
        <w:rPr>
          <w:i/>
        </w:rPr>
        <w:t xml:space="preserve">Id. </w:t>
      </w:r>
      <w:r>
        <w:t>at 934-35.</w:t>
      </w:r>
    </w:p>
  </w:footnote>
  <w:footnote w:id="485">
    <w:p w14:paraId="4F0EE83F" w14:textId="61CC1457" w:rsidR="00D90D35" w:rsidRDefault="00D90D35">
      <w:pPr>
        <w:pStyle w:val="FootnoteText"/>
      </w:pPr>
      <w:r w:rsidRPr="005A669A">
        <w:rPr>
          <w:rStyle w:val="FootnoteReference"/>
        </w:rPr>
        <w:footnoteRef/>
      </w:r>
      <w:r>
        <w:t xml:space="preserve"> </w:t>
      </w:r>
      <w:r w:rsidRPr="00013C1F">
        <w:t>Realtime Data, LLC v. Iancu, 912 F.3d 1368</w:t>
      </w:r>
      <w:r>
        <w:t>, 1373</w:t>
      </w:r>
      <w:r w:rsidRPr="00013C1F">
        <w:t xml:space="preserve"> (</w:t>
      </w:r>
      <w:r>
        <w:t xml:space="preserve">Fed. Cir. </w:t>
      </w:r>
      <w:r w:rsidRPr="00013C1F">
        <w:t>2019)</w:t>
      </w:r>
      <w:r>
        <w:t>.</w:t>
      </w:r>
    </w:p>
  </w:footnote>
  <w:footnote w:id="486">
    <w:p w14:paraId="010DDC8A" w14:textId="3F829FCC" w:rsidR="00D90D35" w:rsidRPr="00C668BB" w:rsidRDefault="00D90D35">
      <w:pPr>
        <w:pStyle w:val="FootnoteText"/>
      </w:pPr>
      <w:r w:rsidRPr="005A669A">
        <w:rPr>
          <w:rStyle w:val="FootnoteReference"/>
        </w:rPr>
        <w:footnoteRef/>
      </w:r>
      <w:r>
        <w:t xml:space="preserve"> </w:t>
      </w:r>
      <w:r>
        <w:rPr>
          <w:i/>
        </w:rPr>
        <w:t xml:space="preserve">Id. </w:t>
      </w:r>
      <w:r>
        <w:t>at 1370.</w:t>
      </w:r>
    </w:p>
  </w:footnote>
  <w:footnote w:id="487">
    <w:p w14:paraId="69B05EE9" w14:textId="2D5A57CB" w:rsidR="00D90D35" w:rsidRPr="007B7715" w:rsidRDefault="00D90D35" w:rsidP="008E528A">
      <w:pPr>
        <w:pStyle w:val="FootnoteText"/>
      </w:pPr>
      <w:r w:rsidRPr="005A669A">
        <w:rPr>
          <w:rStyle w:val="FootnoteReference"/>
        </w:rPr>
        <w:footnoteRef/>
      </w:r>
      <w:r>
        <w:t xml:space="preserve"> </w:t>
      </w:r>
      <w:r>
        <w:rPr>
          <w:i/>
        </w:rPr>
        <w:t xml:space="preserve">Id. </w:t>
      </w:r>
    </w:p>
  </w:footnote>
  <w:footnote w:id="488">
    <w:p w14:paraId="2043D242" w14:textId="3EACD174" w:rsidR="00D90D35" w:rsidRPr="00613F14" w:rsidRDefault="00D90D35">
      <w:pPr>
        <w:pStyle w:val="FootnoteText"/>
      </w:pPr>
      <w:r w:rsidRPr="005A669A">
        <w:rPr>
          <w:rStyle w:val="FootnoteReference"/>
        </w:rPr>
        <w:footnoteRef/>
      </w:r>
      <w:r>
        <w:t xml:space="preserve"> </w:t>
      </w:r>
      <w:r>
        <w:rPr>
          <w:i/>
        </w:rPr>
        <w:t xml:space="preserve">Id. </w:t>
      </w:r>
      <w:r>
        <w:t>at 1372.</w:t>
      </w:r>
    </w:p>
  </w:footnote>
  <w:footnote w:id="489">
    <w:p w14:paraId="3885115A" w14:textId="77777777" w:rsidR="00D90D35" w:rsidRPr="00501577" w:rsidRDefault="00D90D35" w:rsidP="00D12BCD">
      <w:pPr>
        <w:pStyle w:val="FootnoteText"/>
      </w:pPr>
      <w:r w:rsidRPr="005A669A">
        <w:rPr>
          <w:rStyle w:val="FootnoteReference"/>
        </w:rPr>
        <w:footnoteRef/>
      </w:r>
      <w:r>
        <w:t xml:space="preserve"> </w:t>
      </w:r>
      <w:r>
        <w:rPr>
          <w:i/>
        </w:rPr>
        <w:t xml:space="preserve">Id. </w:t>
      </w:r>
      <w:r>
        <w:t>at 1372-73.</w:t>
      </w:r>
    </w:p>
  </w:footnote>
  <w:footnote w:id="490">
    <w:p w14:paraId="02C7E204" w14:textId="61CF8D2C" w:rsidR="00D90D35" w:rsidRPr="00896607" w:rsidRDefault="00D90D35">
      <w:pPr>
        <w:pStyle w:val="FootnoteText"/>
      </w:pPr>
      <w:r w:rsidRPr="005A669A">
        <w:rPr>
          <w:rStyle w:val="FootnoteReference"/>
        </w:rPr>
        <w:footnoteRef/>
      </w:r>
      <w:r>
        <w:t xml:space="preserve"> Realtime chose to focus on differences in how the claimed invention and the O’Brien reference “</w:t>
      </w:r>
      <w:r w:rsidRPr="006B28EF">
        <w:t>maintain</w:t>
      </w:r>
      <w:r>
        <w:t xml:space="preserve">[]” a dictionary. The PTAB sidestepped this question of claim construction, and it again proved unavailing on appeal. </w:t>
      </w:r>
      <w:r>
        <w:rPr>
          <w:i/>
        </w:rPr>
        <w:t xml:space="preserve">See id. </w:t>
      </w:r>
      <w:r>
        <w:t xml:space="preserve">at 1371 (explaining alleged differences in the technologies); </w:t>
      </w:r>
      <w:r>
        <w:rPr>
          <w:i/>
        </w:rPr>
        <w:t xml:space="preserve">id. </w:t>
      </w:r>
      <w:r>
        <w:t>at 1374-76 (addressing construction issues, and summarizing that “[t]</w:t>
      </w:r>
      <w:r w:rsidRPr="0030572A">
        <w:t xml:space="preserve">he Board did not expressly construe the phrase </w:t>
      </w:r>
      <w:r>
        <w:t>‘</w:t>
      </w:r>
      <w:r w:rsidRPr="0030572A">
        <w:t>maintaining a dictionary,</w:t>
      </w:r>
      <w:r>
        <w:t>’</w:t>
      </w:r>
      <w:r w:rsidRPr="0030572A">
        <w:t xml:space="preserve"> but found that O'Brien satisfied this limitation because it disclosed all of the steps in </w:t>
      </w:r>
      <w:r>
        <w:t xml:space="preserve">[a] </w:t>
      </w:r>
      <w:r w:rsidRPr="0030572A">
        <w:t>dependent claim</w:t>
      </w:r>
      <w:r>
        <w:t>” that stated “maintaining a dictionary comprises the steps of”).</w:t>
      </w:r>
    </w:p>
  </w:footnote>
  <w:footnote w:id="491">
    <w:p w14:paraId="2788A821" w14:textId="19288168" w:rsidR="00D90D35" w:rsidRPr="00B27736" w:rsidRDefault="00D90D35">
      <w:pPr>
        <w:pStyle w:val="FootnoteText"/>
      </w:pPr>
      <w:r w:rsidRPr="005A669A">
        <w:rPr>
          <w:rStyle w:val="FootnoteReference"/>
        </w:rPr>
        <w:footnoteRef/>
      </w:r>
      <w:r>
        <w:t xml:space="preserve"> </w:t>
      </w:r>
      <w:r>
        <w:rPr>
          <w:i/>
        </w:rPr>
        <w:t xml:space="preserve">Id. </w:t>
      </w:r>
      <w:r>
        <w:t>at 1372.</w:t>
      </w:r>
    </w:p>
  </w:footnote>
  <w:footnote w:id="492">
    <w:p w14:paraId="4FB00EB8" w14:textId="607BE626" w:rsidR="00D90D35" w:rsidRPr="0069268C" w:rsidRDefault="00D90D35" w:rsidP="00B27736">
      <w:pPr>
        <w:pStyle w:val="FootnoteText"/>
      </w:pPr>
      <w:r w:rsidRPr="005A669A">
        <w:rPr>
          <w:rStyle w:val="FootnoteReference"/>
        </w:rPr>
        <w:footnoteRef/>
      </w:r>
      <w:r>
        <w:t xml:space="preserve"> </w:t>
      </w:r>
      <w:r>
        <w:rPr>
          <w:i/>
        </w:rPr>
        <w:t xml:space="preserve">Id. </w:t>
      </w:r>
      <w:r>
        <w:t>at 1373 (quoting Connell v. Sears, Roebuck &amp; Co., 722 F.2d 1542, 1548 (Fed. Cir. 1983)).</w:t>
      </w:r>
    </w:p>
  </w:footnote>
  <w:footnote w:id="493">
    <w:p w14:paraId="74375D0A" w14:textId="77777777" w:rsidR="00D90D35" w:rsidRPr="0069268C" w:rsidRDefault="00D90D35" w:rsidP="009B285C">
      <w:pPr>
        <w:pStyle w:val="FootnoteText"/>
      </w:pPr>
      <w:r w:rsidRPr="005A669A">
        <w:rPr>
          <w:rStyle w:val="FootnoteReference"/>
        </w:rPr>
        <w:footnoteRef/>
      </w:r>
      <w:r>
        <w:t xml:space="preserve"> </w:t>
      </w:r>
      <w:r>
        <w:rPr>
          <w:i/>
        </w:rPr>
        <w:t xml:space="preserve">Id. </w:t>
      </w:r>
      <w:r>
        <w:t>at 1373.</w:t>
      </w:r>
    </w:p>
  </w:footnote>
  <w:footnote w:id="494">
    <w:p w14:paraId="176CA9D6" w14:textId="664A59D1" w:rsidR="00D90D35" w:rsidRPr="0069268C" w:rsidRDefault="00D90D35" w:rsidP="009B285C">
      <w:pPr>
        <w:pStyle w:val="FootnoteText"/>
      </w:pPr>
      <w:r w:rsidRPr="005A669A">
        <w:rPr>
          <w:rStyle w:val="FootnoteReference"/>
        </w:rPr>
        <w:footnoteRef/>
      </w:r>
      <w:r>
        <w:t xml:space="preserve"> </w:t>
      </w:r>
      <w:r>
        <w:rPr>
          <w:i/>
        </w:rPr>
        <w:t xml:space="preserve">Id. </w:t>
      </w:r>
    </w:p>
  </w:footnote>
  <w:footnote w:id="495">
    <w:p w14:paraId="2F3D99D8" w14:textId="77777777" w:rsidR="00D90D35" w:rsidRPr="005045C4" w:rsidRDefault="00D90D35" w:rsidP="009B285C">
      <w:pPr>
        <w:pStyle w:val="FootnoteText"/>
      </w:pPr>
      <w:r w:rsidRPr="005A669A">
        <w:rPr>
          <w:rStyle w:val="FootnoteReference"/>
        </w:rPr>
        <w:footnoteRef/>
      </w:r>
      <w:r>
        <w:t xml:space="preserve"> </w:t>
      </w:r>
      <w:r>
        <w:rPr>
          <w:i/>
        </w:rPr>
        <w:t xml:space="preserve">Id. </w:t>
      </w:r>
      <w:r>
        <w:t xml:space="preserve">at 1372 (citing </w:t>
      </w:r>
      <w:r w:rsidRPr="005045C4">
        <w:t>KSR Int'l Co. v. Teleflex Inc., 550 U.S. 398, 418</w:t>
      </w:r>
      <w:r>
        <w:t xml:space="preserve"> </w:t>
      </w:r>
      <w:r w:rsidRPr="005045C4">
        <w:t>(2007)</w:t>
      </w:r>
      <w:r>
        <w:t>).</w:t>
      </w:r>
    </w:p>
  </w:footnote>
  <w:footnote w:id="496">
    <w:p w14:paraId="52DC6993" w14:textId="77777777" w:rsidR="00D90D35" w:rsidRPr="0069268C" w:rsidRDefault="00D90D35" w:rsidP="009B285C">
      <w:pPr>
        <w:pStyle w:val="FootnoteText"/>
      </w:pPr>
      <w:r w:rsidRPr="005A669A">
        <w:rPr>
          <w:rStyle w:val="FootnoteReference"/>
        </w:rPr>
        <w:footnoteRef/>
      </w:r>
      <w:r>
        <w:t xml:space="preserve"> </w:t>
      </w:r>
      <w:r>
        <w:rPr>
          <w:i/>
        </w:rPr>
        <w:t xml:space="preserve">Id. </w:t>
      </w:r>
      <w:r>
        <w:t>at 1373.</w:t>
      </w:r>
    </w:p>
  </w:footnote>
  <w:footnote w:id="497">
    <w:p w14:paraId="0A664378" w14:textId="55867A0B" w:rsidR="00D90D35" w:rsidRPr="00BD15D2" w:rsidRDefault="00D90D35">
      <w:pPr>
        <w:pStyle w:val="FootnoteText"/>
      </w:pPr>
      <w:r w:rsidRPr="005A669A">
        <w:rPr>
          <w:rStyle w:val="FootnoteReference"/>
        </w:rPr>
        <w:footnoteRef/>
      </w:r>
      <w:r>
        <w:t xml:space="preserve"> </w:t>
      </w:r>
      <w:r>
        <w:rPr>
          <w:i/>
        </w:rPr>
        <w:t xml:space="preserve">Id. </w:t>
      </w:r>
      <w:r>
        <w:t>at 1373-74.</w:t>
      </w:r>
    </w:p>
  </w:footnote>
  <w:footnote w:id="498">
    <w:p w14:paraId="0AB1BC2F" w14:textId="40C14A5F" w:rsidR="00D90D35" w:rsidRPr="0033193D" w:rsidRDefault="00D90D35" w:rsidP="0033193D">
      <w:pPr>
        <w:contextualSpacing w:val="0"/>
        <w:rPr>
          <w:rFonts w:eastAsia="Times New Roman" w:cs="Times New Roman"/>
        </w:rPr>
      </w:pPr>
      <w:r>
        <w:rPr>
          <w:rStyle w:val="FootnoteReference"/>
        </w:rPr>
        <w:footnoteRef/>
      </w:r>
      <w:r>
        <w:t xml:space="preserve"> </w:t>
      </w:r>
      <w:r w:rsidRPr="00E364EC">
        <w:rPr>
          <w:rFonts w:eastAsia="Times New Roman" w:cs="Times New Roman"/>
          <w:i/>
          <w:iCs/>
        </w:rPr>
        <w:t>MTD Prods. Inc. v. Iancu</w:t>
      </w:r>
      <w:r w:rsidRPr="00E364EC">
        <w:rPr>
          <w:rFonts w:eastAsia="Times New Roman" w:cs="Times New Roman"/>
        </w:rPr>
        <w:t>, 933 F.3d 1336</w:t>
      </w:r>
      <w:r>
        <w:rPr>
          <w:rFonts w:eastAsia="Times New Roman" w:cs="Times New Roman"/>
        </w:rPr>
        <w:t>, 1338</w:t>
      </w:r>
      <w:r w:rsidRPr="00E364EC">
        <w:rPr>
          <w:rFonts w:eastAsia="Times New Roman" w:cs="Times New Roman"/>
        </w:rPr>
        <w:t xml:space="preserve"> (Fed. Cir. 2019)</w:t>
      </w:r>
      <w:r>
        <w:rPr>
          <w:rFonts w:eastAsia="Times New Roman" w:cs="Times New Roman"/>
        </w:rPr>
        <w:t>.</w:t>
      </w:r>
    </w:p>
  </w:footnote>
  <w:footnote w:id="499">
    <w:p w14:paraId="5A2F88B3" w14:textId="3BE7D75E" w:rsidR="00D90D35" w:rsidRPr="00080809" w:rsidRDefault="00D90D35">
      <w:pPr>
        <w:pStyle w:val="FootnoteText"/>
      </w:pPr>
      <w:r>
        <w:rPr>
          <w:rStyle w:val="FootnoteReference"/>
        </w:rPr>
        <w:footnoteRef/>
      </w:r>
      <w:r>
        <w:t xml:space="preserve"> </w:t>
      </w:r>
      <w:r>
        <w:rPr>
          <w:i/>
          <w:iCs/>
        </w:rPr>
        <w:t>Id.</w:t>
      </w:r>
    </w:p>
  </w:footnote>
  <w:footnote w:id="500">
    <w:p w14:paraId="727A16E6" w14:textId="483DF8DB" w:rsidR="00D90D35" w:rsidRPr="00080809" w:rsidRDefault="00D90D35">
      <w:pPr>
        <w:pStyle w:val="FootnoteText"/>
      </w:pPr>
      <w:r>
        <w:rPr>
          <w:rStyle w:val="FootnoteReference"/>
        </w:rPr>
        <w:footnoteRef/>
      </w:r>
      <w:r>
        <w:t xml:space="preserve"> </w:t>
      </w:r>
      <w:r>
        <w:rPr>
          <w:i/>
          <w:iCs/>
        </w:rPr>
        <w:t xml:space="preserve">Id. </w:t>
      </w:r>
      <w:r>
        <w:t>at 1339.</w:t>
      </w:r>
    </w:p>
  </w:footnote>
  <w:footnote w:id="501">
    <w:p w14:paraId="618371E7" w14:textId="3D8B2A80" w:rsidR="00D90D35" w:rsidRPr="00080809" w:rsidRDefault="00D90D35">
      <w:pPr>
        <w:pStyle w:val="FootnoteText"/>
      </w:pPr>
      <w:r>
        <w:rPr>
          <w:rStyle w:val="FootnoteReference"/>
        </w:rPr>
        <w:footnoteRef/>
      </w:r>
      <w:r>
        <w:t xml:space="preserve"> </w:t>
      </w:r>
      <w:r>
        <w:rPr>
          <w:i/>
          <w:iCs/>
        </w:rPr>
        <w:t>Id.</w:t>
      </w:r>
    </w:p>
  </w:footnote>
  <w:footnote w:id="502">
    <w:p w14:paraId="27E66EA3" w14:textId="0C80BCE2" w:rsidR="00D90D35" w:rsidRPr="00080809" w:rsidRDefault="00D90D35">
      <w:pPr>
        <w:pStyle w:val="FootnoteText"/>
      </w:pPr>
      <w:r>
        <w:rPr>
          <w:rStyle w:val="FootnoteReference"/>
        </w:rPr>
        <w:footnoteRef/>
      </w:r>
      <w:r>
        <w:t xml:space="preserve"> </w:t>
      </w:r>
      <w:r>
        <w:rPr>
          <w:i/>
          <w:iCs/>
        </w:rPr>
        <w:t>Id.</w:t>
      </w:r>
      <w:r>
        <w:t xml:space="preserve"> at 1340.</w:t>
      </w:r>
    </w:p>
  </w:footnote>
  <w:footnote w:id="503">
    <w:p w14:paraId="4E01D506" w14:textId="41DADCFA" w:rsidR="00D90D35" w:rsidRPr="00080809" w:rsidRDefault="00D90D35">
      <w:pPr>
        <w:pStyle w:val="FootnoteText"/>
      </w:pPr>
      <w:r>
        <w:rPr>
          <w:rStyle w:val="FootnoteReference"/>
        </w:rPr>
        <w:footnoteRef/>
      </w:r>
      <w:r>
        <w:t xml:space="preserve"> </w:t>
      </w:r>
      <w:r>
        <w:rPr>
          <w:i/>
          <w:iCs/>
        </w:rPr>
        <w:t xml:space="preserve">Id. </w:t>
      </w:r>
      <w:r>
        <w:t xml:space="preserve">at 1340-41 (quoting </w:t>
      </w:r>
      <w:r w:rsidRPr="0033193D">
        <w:rPr>
          <w:rStyle w:val="ssit"/>
          <w:i/>
          <w:iCs/>
        </w:rPr>
        <w:t>Toro Co. v. MTD Prods. Inc.</w:t>
      </w:r>
      <w:r>
        <w:rPr>
          <w:rStyle w:val="ssrfcpassagedeactivated"/>
        </w:rPr>
        <w:t>, No. IPR2016-00194, 2017 WL 1969747, at *9 (P.T.A.B. May 10, 2017)).</w:t>
      </w:r>
    </w:p>
  </w:footnote>
  <w:footnote w:id="504">
    <w:p w14:paraId="717848AB" w14:textId="6AE335D2" w:rsidR="00D90D35" w:rsidRPr="00080809" w:rsidRDefault="00D90D35">
      <w:pPr>
        <w:pStyle w:val="FootnoteText"/>
      </w:pPr>
      <w:r>
        <w:rPr>
          <w:rStyle w:val="FootnoteReference"/>
        </w:rPr>
        <w:footnoteRef/>
      </w:r>
      <w:r>
        <w:t xml:space="preserve"> </w:t>
      </w:r>
      <w:r>
        <w:rPr>
          <w:i/>
          <w:iCs/>
        </w:rPr>
        <w:t>Id</w:t>
      </w:r>
      <w:r>
        <w:t>.</w:t>
      </w:r>
    </w:p>
  </w:footnote>
  <w:footnote w:id="505">
    <w:p w14:paraId="7DBD592E" w14:textId="32A5DCFC" w:rsidR="00D90D35" w:rsidRPr="00080809" w:rsidRDefault="00D90D35">
      <w:pPr>
        <w:pStyle w:val="FootnoteText"/>
      </w:pPr>
      <w:r>
        <w:rPr>
          <w:rStyle w:val="FootnoteReference"/>
        </w:rPr>
        <w:footnoteRef/>
      </w:r>
      <w:r>
        <w:t xml:space="preserve"> </w:t>
      </w:r>
      <w:r>
        <w:rPr>
          <w:i/>
          <w:iCs/>
        </w:rPr>
        <w:t xml:space="preserve">Id. </w:t>
      </w:r>
      <w:r>
        <w:t xml:space="preserve"> at 1338.</w:t>
      </w:r>
    </w:p>
  </w:footnote>
  <w:footnote w:id="506">
    <w:p w14:paraId="4EC07437" w14:textId="045C497A" w:rsidR="00D90D35" w:rsidRPr="00080809" w:rsidRDefault="00D90D35">
      <w:pPr>
        <w:pStyle w:val="FootnoteText"/>
      </w:pPr>
      <w:r>
        <w:rPr>
          <w:rStyle w:val="FootnoteReference"/>
        </w:rPr>
        <w:footnoteRef/>
      </w:r>
      <w:r>
        <w:t xml:space="preserve"> </w:t>
      </w:r>
      <w:r>
        <w:rPr>
          <w:i/>
          <w:iCs/>
        </w:rPr>
        <w:t>Id.</w:t>
      </w:r>
      <w:r>
        <w:t xml:space="preserve"> at 1344.</w:t>
      </w:r>
    </w:p>
  </w:footnote>
  <w:footnote w:id="507">
    <w:p w14:paraId="02033D92" w14:textId="637B7AF3" w:rsidR="00D90D35" w:rsidRPr="00080809" w:rsidRDefault="00D90D35">
      <w:pPr>
        <w:pStyle w:val="FootnoteText"/>
      </w:pPr>
      <w:r>
        <w:rPr>
          <w:rStyle w:val="FootnoteReference"/>
        </w:rPr>
        <w:footnoteRef/>
      </w:r>
      <w:r>
        <w:t xml:space="preserve"> </w:t>
      </w:r>
      <w:r>
        <w:rPr>
          <w:i/>
          <w:iCs/>
        </w:rPr>
        <w:t>Id.</w:t>
      </w:r>
      <w:r>
        <w:t xml:space="preserve"> at 1345.</w:t>
      </w:r>
    </w:p>
  </w:footnote>
  <w:footnote w:id="508">
    <w:p w14:paraId="6E5689C8" w14:textId="3A63EA81" w:rsidR="00D90D35" w:rsidRPr="00080809" w:rsidRDefault="00D90D35">
      <w:pPr>
        <w:pStyle w:val="FootnoteText"/>
      </w:pPr>
      <w:r>
        <w:rPr>
          <w:rStyle w:val="FootnoteReference"/>
        </w:rPr>
        <w:footnoteRef/>
      </w:r>
      <w:r>
        <w:t xml:space="preserve"> </w:t>
      </w:r>
      <w:r>
        <w:rPr>
          <w:i/>
          <w:iCs/>
        </w:rPr>
        <w:t>Id.</w:t>
      </w:r>
    </w:p>
  </w:footnote>
  <w:footnote w:id="509">
    <w:p w14:paraId="1729567E" w14:textId="6A7DAC6B" w:rsidR="00D90D35" w:rsidRPr="00080809" w:rsidRDefault="00D90D35">
      <w:pPr>
        <w:pStyle w:val="FootnoteText"/>
      </w:pPr>
      <w:r>
        <w:rPr>
          <w:rStyle w:val="FootnoteReference"/>
        </w:rPr>
        <w:footnoteRef/>
      </w:r>
      <w:r>
        <w:t xml:space="preserve"> </w:t>
      </w:r>
      <w:r>
        <w:rPr>
          <w:i/>
          <w:iCs/>
        </w:rPr>
        <w:t>Id.</w:t>
      </w:r>
    </w:p>
  </w:footnote>
  <w:footnote w:id="510">
    <w:p w14:paraId="52AF1E52" w14:textId="1F03B5A8" w:rsidR="00D90D35" w:rsidRDefault="00D90D35">
      <w:pPr>
        <w:pStyle w:val="FootnoteText"/>
      </w:pPr>
      <w:r>
        <w:rPr>
          <w:rStyle w:val="FootnoteReference"/>
        </w:rPr>
        <w:footnoteRef/>
      </w:r>
      <w:r>
        <w:t xml:space="preserve"> </w:t>
      </w:r>
      <w:r w:rsidRPr="0033193D">
        <w:rPr>
          <w:i/>
          <w:iCs/>
        </w:rPr>
        <w:t>Ajinomoto Co. v. ITC</w:t>
      </w:r>
      <w:r w:rsidRPr="009003ED">
        <w:t>, 932 F.3d 1342 (Fed. Cir. 2019)</w:t>
      </w:r>
      <w:r>
        <w:t>.</w:t>
      </w:r>
    </w:p>
  </w:footnote>
  <w:footnote w:id="511">
    <w:p w14:paraId="0AB31F4B" w14:textId="78E908CE" w:rsidR="00D90D35" w:rsidRPr="00080809" w:rsidRDefault="00D90D35">
      <w:pPr>
        <w:pStyle w:val="FootnoteText"/>
      </w:pPr>
      <w:r>
        <w:rPr>
          <w:rStyle w:val="FootnoteReference"/>
        </w:rPr>
        <w:footnoteRef/>
      </w:r>
      <w:r>
        <w:t xml:space="preserve"> </w:t>
      </w:r>
      <w:r>
        <w:rPr>
          <w:i/>
          <w:iCs/>
        </w:rPr>
        <w:t xml:space="preserve">Id. </w:t>
      </w:r>
      <w:r>
        <w:t xml:space="preserve">at 1346. (citing U.S. Patent No. 7,666,655). </w:t>
      </w:r>
    </w:p>
  </w:footnote>
  <w:footnote w:id="512">
    <w:p w14:paraId="746A189F" w14:textId="45BB6B91" w:rsidR="00D90D35" w:rsidRPr="00080809" w:rsidRDefault="00D90D35">
      <w:pPr>
        <w:pStyle w:val="FootnoteText"/>
      </w:pPr>
      <w:r>
        <w:rPr>
          <w:rStyle w:val="FootnoteReference"/>
        </w:rPr>
        <w:footnoteRef/>
      </w:r>
      <w:r>
        <w:t xml:space="preserve"> </w:t>
      </w:r>
      <w:r>
        <w:rPr>
          <w:i/>
          <w:iCs/>
        </w:rPr>
        <w:t>Id.</w:t>
      </w:r>
      <w:r>
        <w:t xml:space="preserve"> at 1347. </w:t>
      </w:r>
    </w:p>
  </w:footnote>
  <w:footnote w:id="513">
    <w:p w14:paraId="21D1832B" w14:textId="0DC83E25" w:rsidR="00D90D35" w:rsidRPr="00080809" w:rsidRDefault="00D90D35">
      <w:pPr>
        <w:pStyle w:val="FootnoteText"/>
      </w:pPr>
      <w:r>
        <w:rPr>
          <w:rStyle w:val="FootnoteReference"/>
        </w:rPr>
        <w:footnoteRef/>
      </w:r>
      <w:r>
        <w:t xml:space="preserve"> </w:t>
      </w:r>
      <w:r>
        <w:rPr>
          <w:i/>
          <w:iCs/>
        </w:rPr>
        <w:t>Id.</w:t>
      </w:r>
    </w:p>
  </w:footnote>
  <w:footnote w:id="514">
    <w:p w14:paraId="3B97AB6F" w14:textId="55E444D3" w:rsidR="00D90D35" w:rsidRPr="0033193D" w:rsidRDefault="00D90D35">
      <w:pPr>
        <w:pStyle w:val="FootnoteText"/>
        <w:rPr>
          <w:i/>
          <w:iCs/>
        </w:rPr>
      </w:pPr>
      <w:r>
        <w:rPr>
          <w:rStyle w:val="FootnoteReference"/>
        </w:rPr>
        <w:footnoteRef/>
      </w:r>
      <w:r>
        <w:t xml:space="preserve"> </w:t>
      </w:r>
      <w:r>
        <w:rPr>
          <w:i/>
          <w:iCs/>
        </w:rPr>
        <w:t>Id.</w:t>
      </w:r>
    </w:p>
  </w:footnote>
  <w:footnote w:id="515">
    <w:p w14:paraId="351A2C3D" w14:textId="3C3ABA78" w:rsidR="00D90D35" w:rsidRPr="00080809" w:rsidRDefault="00D90D35">
      <w:pPr>
        <w:pStyle w:val="FootnoteText"/>
      </w:pPr>
      <w:r>
        <w:rPr>
          <w:rStyle w:val="FootnoteReference"/>
        </w:rPr>
        <w:footnoteRef/>
      </w:r>
      <w:r>
        <w:t xml:space="preserve"> </w:t>
      </w:r>
      <w:r>
        <w:rPr>
          <w:i/>
          <w:iCs/>
        </w:rPr>
        <w:t>Id.</w:t>
      </w:r>
      <w:r>
        <w:t xml:space="preserve"> at 1348.</w:t>
      </w:r>
    </w:p>
  </w:footnote>
  <w:footnote w:id="516">
    <w:p w14:paraId="5EF5991A" w14:textId="6A84CC7F" w:rsidR="00D90D35" w:rsidRPr="00080809" w:rsidRDefault="00D90D35">
      <w:pPr>
        <w:pStyle w:val="FootnoteText"/>
      </w:pPr>
      <w:r>
        <w:rPr>
          <w:rStyle w:val="FootnoteReference"/>
        </w:rPr>
        <w:footnoteRef/>
      </w:r>
      <w:r>
        <w:t xml:space="preserve"> </w:t>
      </w:r>
      <w:r>
        <w:rPr>
          <w:i/>
          <w:iCs/>
        </w:rPr>
        <w:t>Id.</w:t>
      </w:r>
    </w:p>
  </w:footnote>
  <w:footnote w:id="517">
    <w:p w14:paraId="09757D88" w14:textId="629D56B7" w:rsidR="00D90D35" w:rsidRPr="0033193D" w:rsidRDefault="00D90D35">
      <w:pPr>
        <w:pStyle w:val="FootnoteText"/>
        <w:rPr>
          <w:i/>
          <w:iCs/>
        </w:rPr>
      </w:pPr>
      <w:r>
        <w:rPr>
          <w:rStyle w:val="FootnoteReference"/>
        </w:rPr>
        <w:footnoteRef/>
      </w:r>
      <w:r>
        <w:t xml:space="preserve"> </w:t>
      </w:r>
      <w:r>
        <w:rPr>
          <w:i/>
          <w:iCs/>
        </w:rPr>
        <w:t>Id.</w:t>
      </w:r>
    </w:p>
  </w:footnote>
  <w:footnote w:id="518">
    <w:p w14:paraId="1915C2EA" w14:textId="34A43C05" w:rsidR="00D90D35" w:rsidRPr="00080809" w:rsidRDefault="00D90D35">
      <w:pPr>
        <w:pStyle w:val="FootnoteText"/>
      </w:pPr>
      <w:r>
        <w:rPr>
          <w:rStyle w:val="FootnoteReference"/>
        </w:rPr>
        <w:footnoteRef/>
      </w:r>
      <w:r>
        <w:t xml:space="preserve"> </w:t>
      </w:r>
      <w:r>
        <w:rPr>
          <w:i/>
          <w:iCs/>
        </w:rPr>
        <w:t>Id.</w:t>
      </w:r>
      <w:r>
        <w:t xml:space="preserve"> at 1349. </w:t>
      </w:r>
    </w:p>
  </w:footnote>
  <w:footnote w:id="519">
    <w:p w14:paraId="1DCE1CD6" w14:textId="76D6116C" w:rsidR="00D90D35" w:rsidRPr="00080809" w:rsidRDefault="00D90D35">
      <w:pPr>
        <w:pStyle w:val="FootnoteText"/>
      </w:pPr>
      <w:r>
        <w:rPr>
          <w:rStyle w:val="FootnoteReference"/>
        </w:rPr>
        <w:footnoteRef/>
      </w:r>
      <w:r>
        <w:t xml:space="preserve"> </w:t>
      </w:r>
      <w:r>
        <w:rPr>
          <w:i/>
          <w:iCs/>
        </w:rPr>
        <w:t>Id.</w:t>
      </w:r>
    </w:p>
  </w:footnote>
  <w:footnote w:id="520">
    <w:p w14:paraId="0FCBB179" w14:textId="1328ADDF" w:rsidR="00D90D35" w:rsidRPr="00080809" w:rsidRDefault="00D90D35">
      <w:pPr>
        <w:pStyle w:val="FootnoteText"/>
      </w:pPr>
      <w:r>
        <w:rPr>
          <w:rStyle w:val="FootnoteReference"/>
        </w:rPr>
        <w:footnoteRef/>
      </w:r>
      <w:r>
        <w:t xml:space="preserve"> </w:t>
      </w:r>
      <w:r>
        <w:rPr>
          <w:i/>
          <w:iCs/>
        </w:rPr>
        <w:t xml:space="preserve">Id. </w:t>
      </w:r>
      <w:r>
        <w:t>at 1351-52.</w:t>
      </w:r>
    </w:p>
  </w:footnote>
  <w:footnote w:id="521">
    <w:p w14:paraId="1D35CDCE" w14:textId="1AA30594" w:rsidR="00D90D35" w:rsidRPr="00080809" w:rsidRDefault="00D90D35">
      <w:pPr>
        <w:pStyle w:val="FootnoteText"/>
      </w:pPr>
      <w:r>
        <w:rPr>
          <w:rStyle w:val="FootnoteReference"/>
        </w:rPr>
        <w:footnoteRef/>
      </w:r>
      <w:r>
        <w:t xml:space="preserve"> </w:t>
      </w:r>
      <w:r>
        <w:rPr>
          <w:i/>
          <w:iCs/>
        </w:rPr>
        <w:t xml:space="preserve">Id. </w:t>
      </w:r>
      <w:r>
        <w:t>at 1358.</w:t>
      </w:r>
    </w:p>
  </w:footnote>
  <w:footnote w:id="522">
    <w:p w14:paraId="12AB33BA" w14:textId="7B19AFC4" w:rsidR="00D90D35" w:rsidRPr="00080809" w:rsidRDefault="00D90D35">
      <w:pPr>
        <w:pStyle w:val="FootnoteText"/>
      </w:pPr>
      <w:r>
        <w:rPr>
          <w:rStyle w:val="FootnoteReference"/>
        </w:rPr>
        <w:footnoteRef/>
      </w:r>
      <w:r>
        <w:t xml:space="preserve"> </w:t>
      </w:r>
      <w:r>
        <w:rPr>
          <w:i/>
          <w:iCs/>
        </w:rPr>
        <w:t xml:space="preserve">Id. </w:t>
      </w:r>
      <w:r>
        <w:t>at 1361.</w:t>
      </w:r>
    </w:p>
  </w:footnote>
  <w:footnote w:id="523">
    <w:p w14:paraId="304432C6" w14:textId="5398E527" w:rsidR="00D90D35" w:rsidRDefault="00D90D35">
      <w:pPr>
        <w:pStyle w:val="FootnoteText"/>
      </w:pPr>
      <w:r>
        <w:rPr>
          <w:rStyle w:val="FootnoteReference"/>
        </w:rPr>
        <w:footnoteRef/>
      </w:r>
      <w:r>
        <w:t xml:space="preserve"> </w:t>
      </w:r>
      <w:r w:rsidRPr="00B16D75">
        <w:t>Sony Corp. v. Iancu, 924 F.3d 1235</w:t>
      </w:r>
      <w:r>
        <w:t>, 1237</w:t>
      </w:r>
      <w:r w:rsidRPr="00B16D75">
        <w:t xml:space="preserve"> (Fed. Cir. 2019)</w:t>
      </w:r>
      <w:r>
        <w:t>.</w:t>
      </w:r>
    </w:p>
  </w:footnote>
  <w:footnote w:id="524">
    <w:p w14:paraId="08DA11E9" w14:textId="6114B6A6" w:rsidR="00D90D35" w:rsidRPr="00B16D75" w:rsidRDefault="00D90D35">
      <w:pPr>
        <w:pStyle w:val="FootnoteText"/>
      </w:pPr>
      <w:r>
        <w:rPr>
          <w:rStyle w:val="FootnoteReference"/>
        </w:rPr>
        <w:footnoteRef/>
      </w:r>
      <w:r>
        <w:t xml:space="preserve"> </w:t>
      </w:r>
      <w:r>
        <w:rPr>
          <w:i/>
          <w:iCs/>
        </w:rPr>
        <w:t xml:space="preserve">Id. </w:t>
      </w:r>
      <w:r>
        <w:t>at 1237 (quoting U.S. Patent No. 6,097,676 col. 12, ll. 28-43).</w:t>
      </w:r>
    </w:p>
  </w:footnote>
  <w:footnote w:id="525">
    <w:p w14:paraId="33B6AD60" w14:textId="17C924A5" w:rsidR="00D90D35" w:rsidRPr="004E3670" w:rsidRDefault="00D90D35" w:rsidP="00C94A2F">
      <w:pPr>
        <w:pStyle w:val="FootnoteText"/>
      </w:pPr>
      <w:r>
        <w:rPr>
          <w:rStyle w:val="FootnoteReference"/>
        </w:rPr>
        <w:footnoteRef/>
      </w:r>
      <w:r>
        <w:t xml:space="preserve"> </w:t>
      </w:r>
      <w:r>
        <w:rPr>
          <w:i/>
          <w:iCs/>
        </w:rPr>
        <w:t xml:space="preserve">Id. </w:t>
      </w:r>
      <w:r>
        <w:t xml:space="preserve">at 1240 (citing </w:t>
      </w:r>
      <w:r w:rsidRPr="00512454">
        <w:t>Aristocrat Techs. Austl. Pty Ltd. v. Int’l Game Tech., 521 F.3d 1328, 1333 (Fed. Cir. 2008)</w:t>
      </w:r>
      <w:r>
        <w:t xml:space="preserve">); </w:t>
      </w:r>
      <w:r>
        <w:rPr>
          <w:i/>
        </w:rPr>
        <w:t xml:space="preserve">see also id. </w:t>
      </w:r>
      <w:r>
        <w:t>at 1238 (calling this the “core question” of the IPR).</w:t>
      </w:r>
    </w:p>
  </w:footnote>
  <w:footnote w:id="526">
    <w:p w14:paraId="117C75D4" w14:textId="77777777" w:rsidR="00D90D35" w:rsidRPr="009816C8" w:rsidRDefault="00D90D35" w:rsidP="00E41582">
      <w:pPr>
        <w:pStyle w:val="FootnoteText"/>
      </w:pPr>
      <w:r>
        <w:rPr>
          <w:rStyle w:val="FootnoteReference"/>
        </w:rPr>
        <w:footnoteRef/>
      </w:r>
      <w:r>
        <w:t xml:space="preserve"> </w:t>
      </w:r>
      <w:r>
        <w:rPr>
          <w:i/>
          <w:iCs/>
        </w:rPr>
        <w:t xml:space="preserve">Id. </w:t>
      </w:r>
      <w:r>
        <w:t>at 1238.</w:t>
      </w:r>
    </w:p>
  </w:footnote>
  <w:footnote w:id="527">
    <w:p w14:paraId="71840468" w14:textId="77777777" w:rsidR="00D90D35" w:rsidRPr="00E8692D" w:rsidRDefault="00D90D35" w:rsidP="004E3670">
      <w:pPr>
        <w:pStyle w:val="FootnoteText"/>
      </w:pPr>
      <w:r>
        <w:rPr>
          <w:rStyle w:val="FootnoteReference"/>
        </w:rPr>
        <w:footnoteRef/>
      </w:r>
      <w:r>
        <w:t xml:space="preserve"> </w:t>
      </w:r>
      <w:r>
        <w:rPr>
          <w:i/>
          <w:iCs/>
        </w:rPr>
        <w:t xml:space="preserve">Id. </w:t>
      </w:r>
      <w:r>
        <w:t xml:space="preserve">at 1240 (citing </w:t>
      </w:r>
      <w:r w:rsidRPr="00512454">
        <w:t>Aristocrat Techs. Austl. Pty Ltd. v. Int’l Game Tech., 521 F.3d 1328, 1333 (Fed. Cir. 2008)</w:t>
      </w:r>
      <w:r>
        <w:t>).</w:t>
      </w:r>
    </w:p>
  </w:footnote>
  <w:footnote w:id="528">
    <w:p w14:paraId="34D267A8" w14:textId="27DC51FD" w:rsidR="00D90D35" w:rsidRPr="000B48CF" w:rsidRDefault="00D90D35">
      <w:pPr>
        <w:pStyle w:val="FootnoteText"/>
      </w:pPr>
      <w:r>
        <w:rPr>
          <w:rStyle w:val="FootnoteReference"/>
        </w:rPr>
        <w:footnoteRef/>
      </w:r>
      <w:r>
        <w:t xml:space="preserve"> </w:t>
      </w:r>
      <w:r>
        <w:rPr>
          <w:i/>
          <w:iCs/>
        </w:rPr>
        <w:t xml:space="preserve">Id. </w:t>
      </w:r>
      <w:r>
        <w:t xml:space="preserve">at 1239.  </w:t>
      </w:r>
    </w:p>
  </w:footnote>
  <w:footnote w:id="529">
    <w:p w14:paraId="0653A8C6" w14:textId="6F0D723C" w:rsidR="00D90D35" w:rsidRPr="000B48CF" w:rsidRDefault="00D90D35" w:rsidP="00D20214">
      <w:pPr>
        <w:pStyle w:val="FootnoteText"/>
      </w:pPr>
      <w:r>
        <w:rPr>
          <w:rStyle w:val="FootnoteReference"/>
        </w:rPr>
        <w:footnoteRef/>
      </w:r>
      <w:r>
        <w:t xml:space="preserve"> </w:t>
      </w:r>
      <w:r>
        <w:rPr>
          <w:i/>
          <w:iCs/>
        </w:rPr>
        <w:t xml:space="preserve">Id. </w:t>
      </w:r>
      <w:r>
        <w:t xml:space="preserve">at 1240.  </w:t>
      </w:r>
    </w:p>
  </w:footnote>
  <w:footnote w:id="530">
    <w:p w14:paraId="7FD8A905" w14:textId="0F791165" w:rsidR="00D90D35" w:rsidRPr="00C2259A" w:rsidRDefault="00D90D35">
      <w:pPr>
        <w:pStyle w:val="FootnoteText"/>
      </w:pPr>
      <w:r>
        <w:rPr>
          <w:rStyle w:val="FootnoteReference"/>
        </w:rPr>
        <w:footnoteRef/>
      </w:r>
      <w:r>
        <w:t xml:space="preserve"> </w:t>
      </w:r>
      <w:r>
        <w:rPr>
          <w:i/>
          <w:iCs/>
        </w:rPr>
        <w:t xml:space="preserve">Id. </w:t>
      </w:r>
      <w:r>
        <w:t>at 1242-43 (Newman, J., dissenting).</w:t>
      </w:r>
    </w:p>
  </w:footnote>
  <w:footnote w:id="531">
    <w:p w14:paraId="24DE3105" w14:textId="70C7E8D7" w:rsidR="00D90D35" w:rsidRDefault="00D90D35">
      <w:pPr>
        <w:pStyle w:val="FootnoteText"/>
      </w:pPr>
      <w:r>
        <w:rPr>
          <w:rStyle w:val="FootnoteReference"/>
        </w:rPr>
        <w:footnoteRef/>
      </w:r>
      <w:r>
        <w:t xml:space="preserve"> </w:t>
      </w:r>
      <w:r w:rsidRPr="005F7520">
        <w:t>BTG Int’l Ltd. v. Amneal Pharms. LLC</w:t>
      </w:r>
      <w:r w:rsidRPr="00B6796E">
        <w:t>, 923 F.3d 1063</w:t>
      </w:r>
      <w:r>
        <w:t>, 1066</w:t>
      </w:r>
      <w:r w:rsidRPr="00B6796E">
        <w:t xml:space="preserve"> (Fed. Cir. 2019)</w:t>
      </w:r>
      <w:r>
        <w:t>.</w:t>
      </w:r>
    </w:p>
  </w:footnote>
  <w:footnote w:id="532">
    <w:p w14:paraId="65DD974A" w14:textId="079AB4F8" w:rsidR="00D90D35" w:rsidRPr="005F7520" w:rsidRDefault="00D90D35">
      <w:pPr>
        <w:pStyle w:val="FootnoteText"/>
      </w:pPr>
      <w:r>
        <w:rPr>
          <w:rStyle w:val="FootnoteReference"/>
        </w:rPr>
        <w:footnoteRef/>
      </w:r>
      <w:r>
        <w:t xml:space="preserve"> </w:t>
      </w:r>
      <w:r>
        <w:rPr>
          <w:i/>
          <w:iCs/>
        </w:rPr>
        <w:t xml:space="preserve">Id. </w:t>
      </w:r>
      <w:r>
        <w:t>at 1067.</w:t>
      </w:r>
    </w:p>
  </w:footnote>
  <w:footnote w:id="533">
    <w:p w14:paraId="23616383" w14:textId="4D11A31E" w:rsidR="00D90D35" w:rsidRPr="005F7520" w:rsidRDefault="00D90D35" w:rsidP="00EB520D">
      <w:pPr>
        <w:pStyle w:val="FootnoteText"/>
      </w:pPr>
      <w:r>
        <w:rPr>
          <w:rStyle w:val="FootnoteReference"/>
        </w:rPr>
        <w:footnoteRef/>
      </w:r>
      <w:r>
        <w:t xml:space="preserve"> </w:t>
      </w:r>
      <w:r>
        <w:rPr>
          <w:i/>
          <w:iCs/>
        </w:rPr>
        <w:t xml:space="preserve">Id. </w:t>
      </w:r>
    </w:p>
  </w:footnote>
  <w:footnote w:id="534">
    <w:p w14:paraId="6E7DCC5A" w14:textId="0ABC6A24" w:rsidR="00D90D35" w:rsidRPr="005F7520" w:rsidRDefault="00D90D35" w:rsidP="00EB520D">
      <w:pPr>
        <w:pStyle w:val="FootnoteText"/>
      </w:pPr>
      <w:r>
        <w:rPr>
          <w:rStyle w:val="FootnoteReference"/>
        </w:rPr>
        <w:footnoteRef/>
      </w:r>
      <w:r>
        <w:t xml:space="preserve"> </w:t>
      </w:r>
      <w:r>
        <w:rPr>
          <w:i/>
          <w:iCs/>
        </w:rPr>
        <w:t xml:space="preserve">Id. </w:t>
      </w:r>
      <w:r>
        <w:t>at 1069-70.</w:t>
      </w:r>
    </w:p>
  </w:footnote>
  <w:footnote w:id="535">
    <w:p w14:paraId="33BE158D" w14:textId="7F3C2C29" w:rsidR="00D90D35" w:rsidRPr="009C75A8" w:rsidRDefault="00D90D35">
      <w:pPr>
        <w:pStyle w:val="FootnoteText"/>
      </w:pPr>
      <w:r>
        <w:rPr>
          <w:rStyle w:val="FootnoteReference"/>
        </w:rPr>
        <w:footnoteRef/>
      </w:r>
      <w:r>
        <w:t xml:space="preserve"> </w:t>
      </w:r>
      <w:r>
        <w:rPr>
          <w:i/>
          <w:iCs/>
        </w:rPr>
        <w:t xml:space="preserve">Id. </w:t>
      </w:r>
      <w:r>
        <w:t>at 1069.</w:t>
      </w:r>
    </w:p>
  </w:footnote>
  <w:footnote w:id="536">
    <w:p w14:paraId="067161F4" w14:textId="77777777" w:rsidR="00D90D35" w:rsidRPr="005F7520" w:rsidRDefault="00D90D35" w:rsidP="001B0E5B">
      <w:pPr>
        <w:pStyle w:val="FootnoteText"/>
      </w:pPr>
      <w:r>
        <w:rPr>
          <w:rStyle w:val="FootnoteReference"/>
        </w:rPr>
        <w:footnoteRef/>
      </w:r>
      <w:r>
        <w:t xml:space="preserve"> </w:t>
      </w:r>
      <w:r>
        <w:rPr>
          <w:i/>
          <w:iCs/>
        </w:rPr>
        <w:t xml:space="preserve">Id. </w:t>
      </w:r>
      <w:r>
        <w:t>at 1071.</w:t>
      </w:r>
    </w:p>
  </w:footnote>
  <w:footnote w:id="537">
    <w:p w14:paraId="447A7E5B" w14:textId="0B2B5AB5" w:rsidR="00D90D35" w:rsidRPr="005F7520" w:rsidRDefault="00D90D35" w:rsidP="002E4055">
      <w:pPr>
        <w:pStyle w:val="FootnoteText"/>
      </w:pPr>
      <w:r>
        <w:rPr>
          <w:rStyle w:val="FootnoteReference"/>
        </w:rPr>
        <w:footnoteRef/>
      </w:r>
      <w:r>
        <w:t xml:space="preserve"> </w:t>
      </w:r>
      <w:r>
        <w:rPr>
          <w:i/>
          <w:iCs/>
        </w:rPr>
        <w:t xml:space="preserve">Id. </w:t>
      </w:r>
      <w:r>
        <w:t xml:space="preserve">at 1070 (quoting </w:t>
      </w:r>
      <w:r w:rsidRPr="002E4055">
        <w:t>Wockhardt Bio AG v. Janssen Oncology, Inc., No. IPR2016-01582, 2018 WL 6317975, at *</w:t>
      </w:r>
      <w:r>
        <w:t>3</w:t>
      </w:r>
      <w:r w:rsidRPr="002E4055">
        <w:t xml:space="preserve"> (P.T.A.B. Dec. 3, 2018)</w:t>
      </w:r>
      <w:r>
        <w:t>).</w:t>
      </w:r>
    </w:p>
  </w:footnote>
  <w:footnote w:id="538">
    <w:p w14:paraId="31EF43AB" w14:textId="354F08CD" w:rsidR="00D90D35" w:rsidRPr="001B0E5B" w:rsidRDefault="00D90D35">
      <w:pPr>
        <w:pStyle w:val="FootnoteText"/>
      </w:pPr>
      <w:r>
        <w:rPr>
          <w:rStyle w:val="FootnoteReference"/>
        </w:rPr>
        <w:footnoteRef/>
      </w:r>
      <w:r>
        <w:t xml:space="preserve"> </w:t>
      </w:r>
      <w:r>
        <w:rPr>
          <w:i/>
          <w:iCs/>
        </w:rPr>
        <w:t xml:space="preserve">Id. </w:t>
      </w:r>
      <w:r>
        <w:t>at 1071.</w:t>
      </w:r>
    </w:p>
  </w:footnote>
  <w:footnote w:id="539">
    <w:p w14:paraId="2B659738" w14:textId="38AB8CD1" w:rsidR="00D90D35" w:rsidRPr="00406E32" w:rsidRDefault="00D90D35">
      <w:pPr>
        <w:pStyle w:val="FootnoteText"/>
      </w:pPr>
      <w:r>
        <w:rPr>
          <w:rStyle w:val="FootnoteReference"/>
        </w:rPr>
        <w:footnoteRef/>
      </w:r>
      <w:r>
        <w:t xml:space="preserve"> </w:t>
      </w:r>
      <w:r>
        <w:rPr>
          <w:i/>
          <w:iCs/>
        </w:rPr>
        <w:t xml:space="preserve">Id. </w:t>
      </w:r>
      <w:r>
        <w:t>(emphasis in opinion) (quoting U.S. Patent No. 8,822,438</w:t>
      </w:r>
      <w:r w:rsidRPr="00406E32">
        <w:t xml:space="preserve"> col. 10 ll. 54–55</w:t>
      </w:r>
      <w:r>
        <w:t>).</w:t>
      </w:r>
    </w:p>
  </w:footnote>
  <w:footnote w:id="540">
    <w:p w14:paraId="1B2E2325" w14:textId="43908CCB" w:rsidR="00D90D35" w:rsidRPr="00041256" w:rsidRDefault="00D90D35">
      <w:pPr>
        <w:pStyle w:val="FootnoteText"/>
      </w:pPr>
      <w:r>
        <w:rPr>
          <w:rStyle w:val="FootnoteReference"/>
        </w:rPr>
        <w:footnoteRef/>
      </w:r>
      <w:r>
        <w:t xml:space="preserve"> </w:t>
      </w:r>
      <w:r>
        <w:rPr>
          <w:i/>
          <w:iCs/>
        </w:rPr>
        <w:t xml:space="preserve">Id. </w:t>
      </w:r>
      <w:r>
        <w:t>at 1072.</w:t>
      </w:r>
    </w:p>
  </w:footnote>
  <w:footnote w:id="541">
    <w:p w14:paraId="2274ED86" w14:textId="2845FC61" w:rsidR="00D90D35" w:rsidRPr="00773BE2" w:rsidRDefault="00D90D35">
      <w:pPr>
        <w:pStyle w:val="FootnoteText"/>
      </w:pPr>
      <w:r>
        <w:rPr>
          <w:rStyle w:val="FootnoteReference"/>
        </w:rPr>
        <w:footnoteRef/>
      </w:r>
      <w:r>
        <w:t xml:space="preserve"> </w:t>
      </w:r>
      <w:r>
        <w:rPr>
          <w:i/>
          <w:iCs/>
        </w:rPr>
        <w:t xml:space="preserve">Id. </w:t>
      </w:r>
      <w:r>
        <w:t xml:space="preserve">(quoting </w:t>
      </w:r>
      <w:r w:rsidRPr="00AF6C5F">
        <w:t>J.A. 23065</w:t>
      </w:r>
      <w:r>
        <w:t>).</w:t>
      </w:r>
    </w:p>
  </w:footnote>
  <w:footnote w:id="542">
    <w:p w14:paraId="5F2FE8CE" w14:textId="1CF2A235" w:rsidR="00D90D35" w:rsidRPr="00773BE2" w:rsidRDefault="00D90D35" w:rsidP="009571BD">
      <w:pPr>
        <w:pStyle w:val="FootnoteText"/>
      </w:pPr>
      <w:r>
        <w:rPr>
          <w:rStyle w:val="FootnoteReference"/>
        </w:rPr>
        <w:footnoteRef/>
      </w:r>
      <w:r>
        <w:t xml:space="preserve"> </w:t>
      </w:r>
      <w:r>
        <w:rPr>
          <w:i/>
          <w:iCs/>
        </w:rPr>
        <w:t xml:space="preserve">Id. </w:t>
      </w:r>
      <w:r>
        <w:t>at 1073.</w:t>
      </w:r>
    </w:p>
  </w:footnote>
  <w:footnote w:id="543">
    <w:p w14:paraId="6DCD6657" w14:textId="2FFDB72B" w:rsidR="00D90D35" w:rsidRDefault="00D90D35" w:rsidP="00275CC2">
      <w:pPr>
        <w:pStyle w:val="FootnoteText"/>
      </w:pPr>
      <w:r>
        <w:rPr>
          <w:rStyle w:val="FootnoteReference"/>
        </w:rPr>
        <w:footnoteRef/>
      </w:r>
      <w:r>
        <w:t xml:space="preserve"> </w:t>
      </w:r>
      <w:r w:rsidRPr="00AC6EF3">
        <w:t>Amgen Inc. v. Sandoz Inc, 923 F.3d 1023</w:t>
      </w:r>
      <w:r>
        <w:t>, 1025</w:t>
      </w:r>
      <w:r w:rsidRPr="00AC6EF3">
        <w:t xml:space="preserve"> (Fed. Cir. 2019)</w:t>
      </w:r>
      <w:r>
        <w:t>.</w:t>
      </w:r>
    </w:p>
  </w:footnote>
  <w:footnote w:id="544">
    <w:p w14:paraId="7F8E500B" w14:textId="2F45186A" w:rsidR="00D90D35" w:rsidRPr="00373571" w:rsidRDefault="00D90D35" w:rsidP="00373571">
      <w:pPr>
        <w:pStyle w:val="FootnoteText"/>
      </w:pPr>
      <w:r>
        <w:rPr>
          <w:rStyle w:val="FootnoteReference"/>
        </w:rPr>
        <w:footnoteRef/>
      </w:r>
      <w:r>
        <w:t xml:space="preserve"> </w:t>
      </w:r>
      <w:r>
        <w:rPr>
          <w:i/>
          <w:iCs/>
        </w:rPr>
        <w:t xml:space="preserve">Id. </w:t>
      </w:r>
      <w:r>
        <w:t>at 1032.</w:t>
      </w:r>
    </w:p>
  </w:footnote>
  <w:footnote w:id="545">
    <w:p w14:paraId="707B8491" w14:textId="5A1A1A1C" w:rsidR="00D90D35" w:rsidRPr="00DA27D8" w:rsidRDefault="00D90D35" w:rsidP="00AC6EF3">
      <w:pPr>
        <w:outlineLvl w:val="0"/>
      </w:pPr>
      <w:r>
        <w:rPr>
          <w:rStyle w:val="FootnoteReference"/>
        </w:rPr>
        <w:footnoteRef/>
      </w:r>
      <w:r>
        <w:t xml:space="preserve"> These were litigated </w:t>
      </w:r>
      <w:r>
        <w:rPr>
          <w:rFonts w:cs="Times New Roman"/>
          <w:bCs/>
        </w:rPr>
        <w:t xml:space="preserve">under </w:t>
      </w:r>
      <w:r w:rsidRPr="00AC6EF3">
        <w:rPr>
          <w:rFonts w:cs="Times New Roman"/>
          <w:bCs/>
        </w:rPr>
        <w:t>the Biologics</w:t>
      </w:r>
      <w:r>
        <w:rPr>
          <w:rFonts w:cs="Times New Roman"/>
          <w:bCs/>
        </w:rPr>
        <w:t xml:space="preserve"> </w:t>
      </w:r>
      <w:r w:rsidRPr="00AC6EF3">
        <w:rPr>
          <w:rFonts w:cs="Times New Roman"/>
          <w:bCs/>
        </w:rPr>
        <w:t>Price Competition and Innovation Act (“BPCIA”), 42 U.S.C. § 262 (2012)</w:t>
      </w:r>
      <w:r>
        <w:rPr>
          <w:rFonts w:cs="Times New Roman"/>
          <w:bCs/>
        </w:rPr>
        <w:t xml:space="preserve">.  </w:t>
      </w:r>
      <w:r>
        <w:rPr>
          <w:rFonts w:cs="Times New Roman"/>
          <w:bCs/>
          <w:i/>
          <w:iCs/>
        </w:rPr>
        <w:t xml:space="preserve">Id. </w:t>
      </w:r>
      <w:r>
        <w:rPr>
          <w:rFonts w:cs="Times New Roman"/>
          <w:bCs/>
        </w:rPr>
        <w:t>at 1025.</w:t>
      </w:r>
    </w:p>
  </w:footnote>
  <w:footnote w:id="546">
    <w:p w14:paraId="063F5FF6" w14:textId="3226AFC5" w:rsidR="00D90D35" w:rsidRPr="00FD5EF7" w:rsidRDefault="00D90D35">
      <w:pPr>
        <w:pStyle w:val="FootnoteText"/>
      </w:pPr>
      <w:r>
        <w:rPr>
          <w:rStyle w:val="FootnoteReference"/>
        </w:rPr>
        <w:footnoteRef/>
      </w:r>
      <w:r>
        <w:t xml:space="preserve"> </w:t>
      </w:r>
      <w:r>
        <w:rPr>
          <w:i/>
          <w:iCs/>
        </w:rPr>
        <w:t xml:space="preserve">Id. </w:t>
      </w:r>
      <w:r>
        <w:t xml:space="preserve">at 1025-26.  </w:t>
      </w:r>
    </w:p>
  </w:footnote>
  <w:footnote w:id="547">
    <w:p w14:paraId="129D07BC" w14:textId="269900CE" w:rsidR="00D90D35" w:rsidRPr="00FD5EF7" w:rsidRDefault="00D90D35" w:rsidP="00B37856">
      <w:pPr>
        <w:pStyle w:val="FootnoteText"/>
      </w:pPr>
      <w:r>
        <w:rPr>
          <w:rStyle w:val="FootnoteReference"/>
        </w:rPr>
        <w:footnoteRef/>
      </w:r>
      <w:r>
        <w:t xml:space="preserve"> </w:t>
      </w:r>
      <w:r>
        <w:rPr>
          <w:i/>
          <w:iCs/>
        </w:rPr>
        <w:t xml:space="preserve">Id. </w:t>
      </w:r>
      <w:r>
        <w:t xml:space="preserve">at 1028.  </w:t>
      </w:r>
    </w:p>
  </w:footnote>
  <w:footnote w:id="548">
    <w:p w14:paraId="4441703B" w14:textId="79CE709A" w:rsidR="00D90D35" w:rsidRPr="000F21FA" w:rsidRDefault="00D90D35">
      <w:pPr>
        <w:pStyle w:val="FootnoteText"/>
      </w:pPr>
      <w:r>
        <w:rPr>
          <w:rStyle w:val="FootnoteReference"/>
        </w:rPr>
        <w:footnoteRef/>
      </w:r>
      <w:r>
        <w:t xml:space="preserve"> </w:t>
      </w:r>
      <w:r>
        <w:rPr>
          <w:i/>
          <w:iCs/>
        </w:rPr>
        <w:t xml:space="preserve">Id. </w:t>
      </w:r>
      <w:r>
        <w:t>at 1029 (agreeing with district court regarding doctrine of equivalents).</w:t>
      </w:r>
    </w:p>
  </w:footnote>
  <w:footnote w:id="549">
    <w:p w14:paraId="6432BC63" w14:textId="05B03587" w:rsidR="00D90D35" w:rsidRPr="00E0383A" w:rsidRDefault="00D90D35">
      <w:pPr>
        <w:pStyle w:val="FootnoteText"/>
      </w:pPr>
      <w:r>
        <w:rPr>
          <w:rStyle w:val="FootnoteReference"/>
        </w:rPr>
        <w:footnoteRef/>
      </w:r>
      <w:r>
        <w:t xml:space="preserve"> </w:t>
      </w:r>
      <w:r>
        <w:rPr>
          <w:i/>
          <w:iCs/>
        </w:rPr>
        <w:t xml:space="preserve">Id. </w:t>
      </w:r>
      <w:r>
        <w:t>at 1031.</w:t>
      </w:r>
    </w:p>
  </w:footnote>
  <w:footnote w:id="550">
    <w:p w14:paraId="093AC160" w14:textId="3A1A0F2B" w:rsidR="00D90D35" w:rsidRPr="00FD5EF7" w:rsidRDefault="00D90D35" w:rsidP="00B37856">
      <w:pPr>
        <w:pStyle w:val="FootnoteText"/>
      </w:pPr>
      <w:r>
        <w:rPr>
          <w:rStyle w:val="FootnoteReference"/>
        </w:rPr>
        <w:footnoteRef/>
      </w:r>
      <w:r>
        <w:t xml:space="preserve"> </w:t>
      </w:r>
      <w:r>
        <w:rPr>
          <w:i/>
          <w:iCs/>
        </w:rPr>
        <w:t xml:space="preserve">Id. </w:t>
      </w:r>
      <w:r>
        <w:t xml:space="preserve">at 1028.  </w:t>
      </w:r>
    </w:p>
  </w:footnote>
  <w:footnote w:id="551">
    <w:p w14:paraId="4BC538ED" w14:textId="211A1038" w:rsidR="00D90D35" w:rsidRPr="00FD5EF7" w:rsidRDefault="00D90D35" w:rsidP="00787EFC">
      <w:pPr>
        <w:pStyle w:val="FootnoteText"/>
      </w:pPr>
      <w:r>
        <w:rPr>
          <w:rStyle w:val="FootnoteReference"/>
        </w:rPr>
        <w:footnoteRef/>
      </w:r>
      <w:r>
        <w:t xml:space="preserve"> </w:t>
      </w:r>
      <w:r>
        <w:rPr>
          <w:i/>
          <w:iCs/>
        </w:rPr>
        <w:t xml:space="preserve">Id. </w:t>
      </w:r>
    </w:p>
  </w:footnote>
  <w:footnote w:id="552">
    <w:p w14:paraId="26CF6FAE" w14:textId="4E5C7B76" w:rsidR="00D90D35" w:rsidRPr="00FD5EF7" w:rsidRDefault="00D90D35" w:rsidP="000F21FA">
      <w:pPr>
        <w:pStyle w:val="FootnoteText"/>
      </w:pPr>
      <w:r>
        <w:rPr>
          <w:rStyle w:val="FootnoteReference"/>
        </w:rPr>
        <w:footnoteRef/>
      </w:r>
      <w:r>
        <w:t xml:space="preserve"> </w:t>
      </w:r>
      <w:r>
        <w:rPr>
          <w:i/>
          <w:iCs/>
        </w:rPr>
        <w:t xml:space="preserve">Id. </w:t>
      </w:r>
      <w:r>
        <w:t xml:space="preserve">at 1029.  </w:t>
      </w:r>
    </w:p>
  </w:footnote>
  <w:footnote w:id="553">
    <w:p w14:paraId="35D0A280" w14:textId="7FECEBDD" w:rsidR="00D90D35" w:rsidRPr="005E04CC" w:rsidRDefault="00D90D35">
      <w:pPr>
        <w:pStyle w:val="FootnoteText"/>
      </w:pPr>
      <w:r>
        <w:rPr>
          <w:rStyle w:val="FootnoteReference"/>
        </w:rPr>
        <w:footnoteRef/>
      </w:r>
      <w:r>
        <w:t xml:space="preserve"> </w:t>
      </w:r>
      <w:r>
        <w:rPr>
          <w:i/>
          <w:iCs/>
        </w:rPr>
        <w:t xml:space="preserve">Id. </w:t>
      </w:r>
      <w:r>
        <w:t xml:space="preserve">(quoting </w:t>
      </w:r>
      <w:r w:rsidRPr="00F41D78">
        <w:t>London v. Carson Pirie Scott &amp; Co., 946 F.2d 1534, 1538 (Fed. Cir. 1991)</w:t>
      </w:r>
      <w:r>
        <w:t>).</w:t>
      </w:r>
    </w:p>
  </w:footnote>
  <w:footnote w:id="554">
    <w:p w14:paraId="0047183A" w14:textId="4DFE4143" w:rsidR="00D90D35" w:rsidRPr="005E04CC" w:rsidRDefault="00D90D35" w:rsidP="00DD1F03">
      <w:pPr>
        <w:pStyle w:val="FootnoteText"/>
      </w:pPr>
      <w:r>
        <w:rPr>
          <w:rStyle w:val="FootnoteReference"/>
        </w:rPr>
        <w:footnoteRef/>
      </w:r>
      <w:r>
        <w:t xml:space="preserve"> </w:t>
      </w:r>
      <w:r>
        <w:rPr>
          <w:i/>
          <w:iCs/>
        </w:rPr>
        <w:t xml:space="preserve">Id. </w:t>
      </w:r>
      <w:r>
        <w:t>at 1031.</w:t>
      </w:r>
    </w:p>
  </w:footnote>
  <w:footnote w:id="555">
    <w:p w14:paraId="359892B2" w14:textId="0C670414" w:rsidR="00D90D35" w:rsidRPr="005E04CC" w:rsidRDefault="00D90D35" w:rsidP="00AD75E8">
      <w:pPr>
        <w:pStyle w:val="FootnoteText"/>
      </w:pPr>
      <w:r>
        <w:rPr>
          <w:rStyle w:val="FootnoteReference"/>
        </w:rPr>
        <w:footnoteRef/>
      </w:r>
      <w:r>
        <w:t xml:space="preserve"> </w:t>
      </w:r>
      <w:r>
        <w:rPr>
          <w:i/>
          <w:iCs/>
        </w:rPr>
        <w:t xml:space="preserve">Id. </w:t>
      </w:r>
      <w:r>
        <w:t>at 1032.</w:t>
      </w:r>
    </w:p>
  </w:footnote>
  <w:footnote w:id="556">
    <w:p w14:paraId="209C9D3E" w14:textId="5C28735A" w:rsidR="00D90D35" w:rsidRPr="001F4C0A" w:rsidRDefault="00D90D35">
      <w:pPr>
        <w:pStyle w:val="FootnoteText"/>
      </w:pPr>
      <w:r w:rsidRPr="005A669A">
        <w:rPr>
          <w:rStyle w:val="FootnoteReference"/>
        </w:rPr>
        <w:footnoteRef/>
      </w:r>
      <w:r>
        <w:t xml:space="preserve"> </w:t>
      </w:r>
      <w:r w:rsidRPr="001F705B">
        <w:t>Du Pont v. Unifrax I LLC, No. 2017-2575, 2019 WL 1646491</w:t>
      </w:r>
      <w:r>
        <w:t>, at *1</w:t>
      </w:r>
      <w:r w:rsidRPr="001F705B">
        <w:t xml:space="preserve"> (Fed. Cir. Apr. 17, 2019)</w:t>
      </w:r>
      <w:r>
        <w:t>.</w:t>
      </w:r>
    </w:p>
  </w:footnote>
  <w:footnote w:id="557">
    <w:p w14:paraId="7D8616FF" w14:textId="12EE9D59" w:rsidR="00D90D35" w:rsidRPr="00B04382" w:rsidRDefault="00D90D35">
      <w:pPr>
        <w:pStyle w:val="FootnoteText"/>
      </w:pPr>
      <w:r w:rsidRPr="005A669A">
        <w:rPr>
          <w:rStyle w:val="FootnoteReference"/>
        </w:rPr>
        <w:footnoteRef/>
      </w:r>
      <w:r>
        <w:t xml:space="preserve"> </w:t>
      </w:r>
      <w:r>
        <w:rPr>
          <w:i/>
        </w:rPr>
        <w:t xml:space="preserve">Id. </w:t>
      </w:r>
      <w:r>
        <w:t>at *1.</w:t>
      </w:r>
    </w:p>
  </w:footnote>
  <w:footnote w:id="558">
    <w:p w14:paraId="6CEE57AF" w14:textId="47A18F83" w:rsidR="00D90D35" w:rsidRPr="00B04382" w:rsidRDefault="00D90D35" w:rsidP="001F4C0A">
      <w:pPr>
        <w:pStyle w:val="FootnoteText"/>
      </w:pPr>
      <w:r w:rsidRPr="005A669A">
        <w:rPr>
          <w:rStyle w:val="FootnoteReference"/>
        </w:rPr>
        <w:footnoteRef/>
      </w:r>
      <w:r>
        <w:t xml:space="preserve"> </w:t>
      </w:r>
      <w:r>
        <w:rPr>
          <w:i/>
        </w:rPr>
        <w:t xml:space="preserve">Id. </w:t>
      </w:r>
      <w:r>
        <w:t xml:space="preserve">(quoting </w:t>
      </w:r>
      <w:r w:rsidRPr="0053565F">
        <w:t>U.S. Patent No. 8,607,926</w:t>
      </w:r>
      <w:r>
        <w:t xml:space="preserve"> fig. 1 (emphasis added)).</w:t>
      </w:r>
    </w:p>
  </w:footnote>
  <w:footnote w:id="559">
    <w:p w14:paraId="081593BA" w14:textId="0B7BDEB9" w:rsidR="00D90D35" w:rsidRPr="00B04382" w:rsidRDefault="00D90D35" w:rsidP="00A86259">
      <w:pPr>
        <w:pStyle w:val="FootnoteText"/>
      </w:pPr>
      <w:r w:rsidRPr="005A669A">
        <w:rPr>
          <w:rStyle w:val="FootnoteReference"/>
        </w:rPr>
        <w:footnoteRef/>
      </w:r>
      <w:r>
        <w:t xml:space="preserve"> </w:t>
      </w:r>
      <w:r>
        <w:rPr>
          <w:i/>
        </w:rPr>
        <w:t xml:space="preserve">Id. </w:t>
      </w:r>
      <w:r>
        <w:t>at *2-*3, *4.</w:t>
      </w:r>
    </w:p>
  </w:footnote>
  <w:footnote w:id="560">
    <w:p w14:paraId="6AF87F57" w14:textId="23F3233F" w:rsidR="00D90D35" w:rsidRPr="00B04382" w:rsidRDefault="00D90D35" w:rsidP="00DC616D">
      <w:pPr>
        <w:pStyle w:val="FootnoteText"/>
      </w:pPr>
      <w:r w:rsidRPr="005A669A">
        <w:rPr>
          <w:rStyle w:val="FootnoteReference"/>
        </w:rPr>
        <w:footnoteRef/>
      </w:r>
      <w:r>
        <w:t xml:space="preserve"> </w:t>
      </w:r>
      <w:r>
        <w:rPr>
          <w:i/>
        </w:rPr>
        <w:t xml:space="preserve">Id. </w:t>
      </w:r>
    </w:p>
  </w:footnote>
  <w:footnote w:id="561">
    <w:p w14:paraId="092B0452" w14:textId="4E224ECA" w:rsidR="00D90D35" w:rsidRPr="00D43F87" w:rsidRDefault="00D90D35">
      <w:pPr>
        <w:pStyle w:val="FootnoteText"/>
      </w:pPr>
      <w:r w:rsidRPr="005A669A">
        <w:rPr>
          <w:rStyle w:val="FootnoteReference"/>
        </w:rPr>
        <w:footnoteRef/>
      </w:r>
      <w:r>
        <w:t xml:space="preserve"> </w:t>
      </w:r>
      <w:r>
        <w:rPr>
          <w:i/>
        </w:rPr>
        <w:t xml:space="preserve">Id. </w:t>
      </w:r>
      <w:r>
        <w:t>at *4.</w:t>
      </w:r>
    </w:p>
  </w:footnote>
  <w:footnote w:id="562">
    <w:p w14:paraId="6C859C29" w14:textId="009BD88D" w:rsidR="00D90D35" w:rsidRPr="00271A7B" w:rsidRDefault="00D90D35">
      <w:pPr>
        <w:pStyle w:val="FootnoteText"/>
      </w:pPr>
      <w:r w:rsidRPr="005A669A">
        <w:rPr>
          <w:rStyle w:val="FootnoteReference"/>
        </w:rPr>
        <w:footnoteRef/>
      </w:r>
      <w:r>
        <w:t xml:space="preserve"> </w:t>
      </w:r>
      <w:r>
        <w:rPr>
          <w:i/>
        </w:rPr>
        <w:t xml:space="preserve">Id. </w:t>
      </w:r>
      <w:r>
        <w:t xml:space="preserve">(citing </w:t>
      </w:r>
      <w:r w:rsidRPr="00271A7B">
        <w:t>Phillips v. AWH Corp., 415 F.3d 1303, 1312-14 (Fed. Cir. 2005) (en banc)</w:t>
      </w:r>
      <w:r>
        <w:t>).</w:t>
      </w:r>
    </w:p>
  </w:footnote>
  <w:footnote w:id="563">
    <w:p w14:paraId="4B77511E" w14:textId="0CE692CB" w:rsidR="00D90D35" w:rsidRPr="00025205" w:rsidRDefault="00D90D35">
      <w:pPr>
        <w:pStyle w:val="FootnoteText"/>
      </w:pPr>
      <w:r w:rsidRPr="005A669A">
        <w:rPr>
          <w:rStyle w:val="FootnoteReference"/>
        </w:rPr>
        <w:footnoteRef/>
      </w:r>
      <w:r>
        <w:t xml:space="preserve"> </w:t>
      </w:r>
      <w:r>
        <w:rPr>
          <w:i/>
        </w:rPr>
        <w:t xml:space="preserve">Id. </w:t>
      </w:r>
      <w:r>
        <w:t>at *5 (quoting ’926 patent col. 9 ll. 14-17).</w:t>
      </w:r>
    </w:p>
  </w:footnote>
  <w:footnote w:id="564">
    <w:p w14:paraId="20B56763" w14:textId="52F1E1FD" w:rsidR="00D90D35" w:rsidRPr="00B84678" w:rsidRDefault="00D90D35">
      <w:pPr>
        <w:pStyle w:val="FootnoteText"/>
      </w:pPr>
      <w:r w:rsidRPr="005A669A">
        <w:rPr>
          <w:rStyle w:val="FootnoteReference"/>
        </w:rPr>
        <w:footnoteRef/>
      </w:r>
      <w:r>
        <w:t xml:space="preserve"> </w:t>
      </w:r>
      <w:r>
        <w:rPr>
          <w:i/>
        </w:rPr>
        <w:t xml:space="preserve">Id. </w:t>
      </w:r>
      <w:r>
        <w:t>at *5.</w:t>
      </w:r>
    </w:p>
  </w:footnote>
  <w:footnote w:id="565">
    <w:p w14:paraId="04ADE522" w14:textId="38E1C078" w:rsidR="00D90D35" w:rsidRPr="00C9578F" w:rsidRDefault="00D90D35">
      <w:pPr>
        <w:pStyle w:val="FootnoteText"/>
      </w:pPr>
      <w:r w:rsidRPr="005A669A">
        <w:rPr>
          <w:rStyle w:val="FootnoteReference"/>
        </w:rPr>
        <w:footnoteRef/>
      </w:r>
      <w:r>
        <w:t xml:space="preserve"> </w:t>
      </w:r>
      <w:r>
        <w:rPr>
          <w:i/>
        </w:rPr>
        <w:t xml:space="preserve">Id. </w:t>
      </w:r>
    </w:p>
  </w:footnote>
  <w:footnote w:id="566">
    <w:p w14:paraId="790B335B" w14:textId="5990D0FF" w:rsidR="00D90D35" w:rsidRPr="00F66FD1" w:rsidRDefault="00D90D35">
      <w:pPr>
        <w:pStyle w:val="FootnoteText"/>
      </w:pPr>
      <w:r w:rsidRPr="005A669A">
        <w:rPr>
          <w:rStyle w:val="FootnoteReference"/>
        </w:rPr>
        <w:footnoteRef/>
      </w:r>
      <w:r>
        <w:t xml:space="preserve"> </w:t>
      </w:r>
      <w:r>
        <w:rPr>
          <w:i/>
        </w:rPr>
        <w:t xml:space="preserve">Id. </w:t>
      </w:r>
      <w:r>
        <w:t xml:space="preserve">at *6 (quoting </w:t>
      </w:r>
      <w:r w:rsidRPr="00A51BFA">
        <w:t>Wang</w:t>
      </w:r>
      <w:r>
        <w:t xml:space="preserve"> </w:t>
      </w:r>
      <w:r w:rsidRPr="00A51BFA">
        <w:t>Labs.,</w:t>
      </w:r>
      <w:r>
        <w:t xml:space="preserve"> </w:t>
      </w:r>
      <w:r w:rsidRPr="00A51BFA">
        <w:t>Inc. v. Am. Online, Inc., 197 F.3d 1377, 1384 (Fed. Cir. 1999)</w:t>
      </w:r>
      <w:r>
        <w:t>).</w:t>
      </w:r>
    </w:p>
  </w:footnote>
  <w:footnote w:id="567">
    <w:p w14:paraId="6D41D40B" w14:textId="07911D3F" w:rsidR="00D90D35" w:rsidRPr="00222672" w:rsidRDefault="00D90D35">
      <w:pPr>
        <w:pStyle w:val="FootnoteText"/>
      </w:pPr>
      <w:r w:rsidRPr="005A669A">
        <w:rPr>
          <w:rStyle w:val="FootnoteReference"/>
        </w:rPr>
        <w:footnoteRef/>
      </w:r>
      <w:r>
        <w:t xml:space="preserve"> </w:t>
      </w:r>
      <w:r>
        <w:rPr>
          <w:i/>
        </w:rPr>
        <w:t xml:space="preserve">Id. </w:t>
      </w:r>
      <w:r>
        <w:t>at *5 (quoting U.S. Patent No. 8,292,027 col. 2 ll. 32-36).</w:t>
      </w:r>
    </w:p>
  </w:footnote>
  <w:footnote w:id="568">
    <w:p w14:paraId="0727247F" w14:textId="6849BA7A" w:rsidR="00D90D35" w:rsidRPr="00143FF6" w:rsidRDefault="00D90D35">
      <w:pPr>
        <w:pStyle w:val="FootnoteText"/>
      </w:pPr>
      <w:r w:rsidRPr="005A669A">
        <w:rPr>
          <w:rStyle w:val="FootnoteReference"/>
        </w:rPr>
        <w:footnoteRef/>
      </w:r>
      <w:r>
        <w:t xml:space="preserve"> </w:t>
      </w:r>
      <w:r>
        <w:rPr>
          <w:i/>
        </w:rPr>
        <w:t xml:space="preserve">Id. </w:t>
      </w:r>
      <w:r>
        <w:t>at *6-*7.</w:t>
      </w:r>
    </w:p>
  </w:footnote>
  <w:footnote w:id="569">
    <w:p w14:paraId="6BDD4B6D" w14:textId="77777777" w:rsidR="00D90D35" w:rsidRPr="005E7ADE" w:rsidRDefault="00D90D35" w:rsidP="00A5657B">
      <w:pPr>
        <w:pStyle w:val="FootnoteText"/>
      </w:pPr>
      <w:r w:rsidRPr="005A669A">
        <w:rPr>
          <w:rStyle w:val="FootnoteReference"/>
        </w:rPr>
        <w:footnoteRef/>
      </w:r>
      <w:r>
        <w:t xml:space="preserve"> </w:t>
      </w:r>
      <w:r>
        <w:rPr>
          <w:i/>
        </w:rPr>
        <w:t xml:space="preserve">Id. </w:t>
      </w:r>
      <w:r>
        <w:t>at *7.</w:t>
      </w:r>
    </w:p>
  </w:footnote>
  <w:footnote w:id="570">
    <w:p w14:paraId="378D19E2" w14:textId="2FEDBD09" w:rsidR="00D90D35" w:rsidRPr="005E7ADE" w:rsidRDefault="00D90D35">
      <w:pPr>
        <w:pStyle w:val="FootnoteText"/>
      </w:pPr>
      <w:r w:rsidRPr="005A669A">
        <w:rPr>
          <w:rStyle w:val="FootnoteReference"/>
        </w:rPr>
        <w:footnoteRef/>
      </w:r>
      <w:r>
        <w:t xml:space="preserve"> </w:t>
      </w:r>
      <w:r>
        <w:rPr>
          <w:i/>
        </w:rPr>
        <w:t xml:space="preserve">Id. </w:t>
      </w:r>
    </w:p>
  </w:footnote>
  <w:footnote w:id="571">
    <w:p w14:paraId="7B01858E" w14:textId="2FDF9898" w:rsidR="00D90D35" w:rsidRPr="005E7ADE" w:rsidRDefault="00D90D35" w:rsidP="0090678A">
      <w:pPr>
        <w:pStyle w:val="FootnoteText"/>
      </w:pPr>
      <w:r w:rsidRPr="005A669A">
        <w:rPr>
          <w:rStyle w:val="FootnoteReference"/>
        </w:rPr>
        <w:footnoteRef/>
      </w:r>
      <w:r>
        <w:t xml:space="preserve"> </w:t>
      </w:r>
      <w:r>
        <w:rPr>
          <w:i/>
        </w:rPr>
        <w:t xml:space="preserve">Id. </w:t>
      </w:r>
    </w:p>
  </w:footnote>
  <w:footnote w:id="572">
    <w:p w14:paraId="0C60AF18" w14:textId="2D55D353" w:rsidR="00D90D35" w:rsidRPr="005E5D54" w:rsidRDefault="00D90D35">
      <w:pPr>
        <w:pStyle w:val="FootnoteText"/>
      </w:pPr>
      <w:r w:rsidRPr="005A669A">
        <w:rPr>
          <w:rStyle w:val="FootnoteReference"/>
        </w:rPr>
        <w:footnoteRef/>
      </w:r>
      <w:r>
        <w:t xml:space="preserve"> </w:t>
      </w:r>
      <w:r>
        <w:rPr>
          <w:i/>
        </w:rPr>
        <w:t xml:space="preserve">Id. </w:t>
      </w:r>
      <w:r>
        <w:t>at *13 (O’Malley, J., dissenting).</w:t>
      </w:r>
    </w:p>
  </w:footnote>
  <w:footnote w:id="573">
    <w:p w14:paraId="27979106" w14:textId="3093C454" w:rsidR="00D90D35" w:rsidRPr="005E5D54" w:rsidRDefault="00D90D35" w:rsidP="00377367">
      <w:pPr>
        <w:pStyle w:val="FootnoteText"/>
      </w:pPr>
      <w:r w:rsidRPr="005A669A">
        <w:rPr>
          <w:rStyle w:val="FootnoteReference"/>
        </w:rPr>
        <w:footnoteRef/>
      </w:r>
      <w:r>
        <w:t xml:space="preserve"> </w:t>
      </w:r>
      <w:r>
        <w:rPr>
          <w:i/>
        </w:rPr>
        <w:t xml:space="preserve">Id. </w:t>
      </w:r>
    </w:p>
  </w:footnote>
  <w:footnote w:id="574">
    <w:p w14:paraId="58B553BE" w14:textId="4DA2B59E" w:rsidR="00D90D35" w:rsidRPr="00877B1D" w:rsidRDefault="00D90D35" w:rsidP="00877B1D">
      <w:pPr>
        <w:pStyle w:val="FootnoteText"/>
      </w:pPr>
      <w:r w:rsidRPr="005A669A">
        <w:rPr>
          <w:rStyle w:val="FootnoteReference"/>
        </w:rPr>
        <w:footnoteRef/>
      </w:r>
      <w:r>
        <w:t xml:space="preserve"> </w:t>
      </w:r>
      <w:r>
        <w:rPr>
          <w:i/>
        </w:rPr>
        <w:t xml:space="preserve">Id. </w:t>
      </w:r>
      <w:r>
        <w:t>at *14 (O’Malley, J., dissenting).</w:t>
      </w:r>
    </w:p>
  </w:footnote>
  <w:footnote w:id="575">
    <w:p w14:paraId="017BBAA4" w14:textId="04FE76CB" w:rsidR="00D90D35" w:rsidRPr="00BA0849" w:rsidRDefault="00D90D35">
      <w:pPr>
        <w:pStyle w:val="FootnoteText"/>
      </w:pPr>
      <w:r w:rsidRPr="005A669A">
        <w:rPr>
          <w:rStyle w:val="FootnoteReference"/>
        </w:rPr>
        <w:footnoteRef/>
      </w:r>
      <w:r>
        <w:t xml:space="preserve"> </w:t>
      </w:r>
      <w:r>
        <w:rPr>
          <w:i/>
        </w:rPr>
        <w:t xml:space="preserve">Id. </w:t>
      </w:r>
      <w:r>
        <w:t xml:space="preserve">(alterations in court opinion) (quoting </w:t>
      </w:r>
      <w:r w:rsidRPr="00BA0849">
        <w:t xml:space="preserve"> J.A. 819 at 63:13-64:25</w:t>
      </w:r>
      <w:r>
        <w:t>).</w:t>
      </w:r>
    </w:p>
  </w:footnote>
  <w:footnote w:id="576">
    <w:p w14:paraId="4BA10250" w14:textId="5B34CD31" w:rsidR="00D90D35" w:rsidRPr="00A07DE8" w:rsidRDefault="00D90D35">
      <w:pPr>
        <w:pStyle w:val="FootnoteText"/>
      </w:pPr>
      <w:r w:rsidRPr="005A669A">
        <w:rPr>
          <w:rStyle w:val="FootnoteReference"/>
        </w:rPr>
        <w:footnoteRef/>
      </w:r>
      <w:r>
        <w:t xml:space="preserve"> </w:t>
      </w:r>
      <w:r>
        <w:rPr>
          <w:i/>
        </w:rPr>
        <w:t xml:space="preserve">Id. </w:t>
      </w:r>
      <w:r>
        <w:t xml:space="preserve">(citing </w:t>
      </w:r>
      <w:r w:rsidRPr="00A07DE8">
        <w:t>Elekta Instrument S.A. v. O.U.R. Sci. Int’l, Inc., 214 F.3d 1302, 1308 (Fed. Cir. 2000)</w:t>
      </w:r>
      <w:r>
        <w:t>).</w:t>
      </w:r>
    </w:p>
  </w:footnote>
  <w:footnote w:id="577">
    <w:p w14:paraId="13EF6351" w14:textId="28A65DB9" w:rsidR="00D90D35" w:rsidRPr="00A07DE8" w:rsidRDefault="00D90D35">
      <w:pPr>
        <w:pStyle w:val="FootnoteText"/>
      </w:pPr>
      <w:r w:rsidRPr="005A669A">
        <w:rPr>
          <w:rStyle w:val="FootnoteReference"/>
        </w:rPr>
        <w:footnoteRef/>
      </w:r>
      <w:r>
        <w:t xml:space="preserve"> </w:t>
      </w:r>
      <w:r>
        <w:rPr>
          <w:i/>
        </w:rPr>
        <w:t xml:space="preserve">Id. </w:t>
      </w:r>
      <w:r>
        <w:t>at *14 (O’Malley, J., dissenting).</w:t>
      </w:r>
    </w:p>
  </w:footnote>
  <w:footnote w:id="578">
    <w:p w14:paraId="0E4B10F0" w14:textId="11663F0D" w:rsidR="00D90D35" w:rsidRPr="00F90E91" w:rsidRDefault="00D90D35">
      <w:pPr>
        <w:pStyle w:val="FootnoteText"/>
      </w:pPr>
      <w:r w:rsidRPr="005A669A">
        <w:rPr>
          <w:rStyle w:val="FootnoteReference"/>
        </w:rPr>
        <w:footnoteRef/>
      </w:r>
      <w:r>
        <w:t xml:space="preserve"> </w:t>
      </w:r>
      <w:r>
        <w:rPr>
          <w:i/>
        </w:rPr>
        <w:t xml:space="preserve">Id. </w:t>
      </w:r>
      <w:r>
        <w:t>at *15</w:t>
      </w:r>
      <w:r w:rsidRPr="001219E4">
        <w:t xml:space="preserve"> </w:t>
      </w:r>
      <w:r>
        <w:t>(O’Malley, J., dissenting).</w:t>
      </w:r>
    </w:p>
  </w:footnote>
  <w:footnote w:id="579">
    <w:p w14:paraId="4F92E2A8" w14:textId="70684A28" w:rsidR="00D90D35" w:rsidRPr="00264514" w:rsidRDefault="00D90D35">
      <w:pPr>
        <w:pStyle w:val="FootnoteText"/>
      </w:pPr>
      <w:r w:rsidRPr="005A669A">
        <w:rPr>
          <w:rStyle w:val="FootnoteReference"/>
        </w:rPr>
        <w:footnoteRef/>
      </w:r>
      <w:r>
        <w:t xml:space="preserve"> </w:t>
      </w:r>
      <w:r>
        <w:rPr>
          <w:i/>
        </w:rPr>
        <w:t xml:space="preserve">Id. </w:t>
      </w:r>
    </w:p>
  </w:footnote>
  <w:footnote w:id="580">
    <w:p w14:paraId="035BF009" w14:textId="57B72638" w:rsidR="00D90D35" w:rsidRDefault="00D90D35">
      <w:pPr>
        <w:pStyle w:val="FootnoteText"/>
      </w:pPr>
      <w:r w:rsidRPr="005A669A">
        <w:rPr>
          <w:rStyle w:val="FootnoteReference"/>
        </w:rPr>
        <w:footnoteRef/>
      </w:r>
      <w:r>
        <w:t xml:space="preserve"> </w:t>
      </w:r>
      <w:r w:rsidRPr="00655642">
        <w:t>Continental Circuits LLC v. Intel Corp., 915 F.3d 788</w:t>
      </w:r>
      <w:r>
        <w:t>, 792</w:t>
      </w:r>
      <w:r w:rsidRPr="00655642">
        <w:t xml:space="preserve"> (Fed. Cir. 2019)</w:t>
      </w:r>
      <w:r>
        <w:t>.</w:t>
      </w:r>
    </w:p>
  </w:footnote>
  <w:footnote w:id="581">
    <w:p w14:paraId="1EB3B020" w14:textId="3209C5F8" w:rsidR="00D90D35" w:rsidRPr="00AB04D9" w:rsidRDefault="00D90D35">
      <w:pPr>
        <w:pStyle w:val="FootnoteText"/>
      </w:pPr>
      <w:r w:rsidRPr="005A669A">
        <w:rPr>
          <w:rStyle w:val="FootnoteReference"/>
        </w:rPr>
        <w:footnoteRef/>
      </w:r>
      <w:r>
        <w:t xml:space="preserve"> </w:t>
      </w:r>
      <w:r>
        <w:rPr>
          <w:i/>
        </w:rPr>
        <w:t xml:space="preserve">Id. </w:t>
      </w:r>
      <w:r>
        <w:t>at 792.</w:t>
      </w:r>
    </w:p>
  </w:footnote>
  <w:footnote w:id="582">
    <w:p w14:paraId="3EBD90A6" w14:textId="229614C8" w:rsidR="00D90D35" w:rsidRPr="00DA6722" w:rsidRDefault="00D90D35">
      <w:pPr>
        <w:pStyle w:val="FootnoteText"/>
      </w:pPr>
      <w:r w:rsidRPr="005A669A">
        <w:rPr>
          <w:rStyle w:val="FootnoteReference"/>
        </w:rPr>
        <w:footnoteRef/>
      </w:r>
      <w:r>
        <w:t xml:space="preserve"> </w:t>
      </w:r>
      <w:r>
        <w:rPr>
          <w:i/>
        </w:rPr>
        <w:t xml:space="preserve">Id. </w:t>
      </w:r>
      <w:r>
        <w:t>at 792-93, 795.</w:t>
      </w:r>
    </w:p>
  </w:footnote>
  <w:footnote w:id="583">
    <w:p w14:paraId="22083E74" w14:textId="63F6A36F" w:rsidR="00D90D35" w:rsidRPr="00980D81" w:rsidRDefault="00D90D35">
      <w:pPr>
        <w:pStyle w:val="FootnoteText"/>
      </w:pPr>
      <w:r w:rsidRPr="005A669A">
        <w:rPr>
          <w:rStyle w:val="FootnoteReference"/>
        </w:rPr>
        <w:footnoteRef/>
      </w:r>
      <w:r>
        <w:t xml:space="preserve"> </w:t>
      </w:r>
      <w:r>
        <w:rPr>
          <w:i/>
        </w:rPr>
        <w:t xml:space="preserve">Id. </w:t>
      </w:r>
      <w:r>
        <w:t>at 794.</w:t>
      </w:r>
    </w:p>
  </w:footnote>
  <w:footnote w:id="584">
    <w:p w14:paraId="483A7DC5" w14:textId="65E0FAB3" w:rsidR="00D90D35" w:rsidRPr="00980D81" w:rsidRDefault="00D90D35" w:rsidP="00980D81">
      <w:pPr>
        <w:pStyle w:val="FootnoteText"/>
      </w:pPr>
      <w:r w:rsidRPr="005A669A">
        <w:rPr>
          <w:rStyle w:val="FootnoteReference"/>
        </w:rPr>
        <w:footnoteRef/>
      </w:r>
      <w:r>
        <w:t xml:space="preserve"> </w:t>
      </w:r>
      <w:r>
        <w:rPr>
          <w:i/>
        </w:rPr>
        <w:t xml:space="preserve">Id. </w:t>
      </w:r>
      <w:r>
        <w:t>at 796.</w:t>
      </w:r>
    </w:p>
  </w:footnote>
  <w:footnote w:id="585">
    <w:p w14:paraId="0762C5CD" w14:textId="47F156DC" w:rsidR="00D90D35" w:rsidRPr="00297D8D" w:rsidRDefault="00D90D35">
      <w:pPr>
        <w:pStyle w:val="FootnoteText"/>
      </w:pPr>
      <w:r w:rsidRPr="005A669A">
        <w:rPr>
          <w:rStyle w:val="FootnoteReference"/>
        </w:rPr>
        <w:footnoteRef/>
      </w:r>
      <w:r>
        <w:t xml:space="preserve"> </w:t>
      </w:r>
      <w:r>
        <w:rPr>
          <w:i/>
        </w:rPr>
        <w:t xml:space="preserve">Id. </w:t>
      </w:r>
      <w:r>
        <w:t xml:space="preserve">(quoting </w:t>
      </w:r>
      <w:r w:rsidRPr="00297D8D">
        <w:t>Phillips v. AWH Corp., 415 F.3d 1303, 131</w:t>
      </w:r>
      <w:r>
        <w:t>7</w:t>
      </w:r>
      <w:r w:rsidRPr="00297D8D">
        <w:t xml:space="preserve"> (Fed. Cir. 2005) (en banc)</w:t>
      </w:r>
      <w:r>
        <w:t>).</w:t>
      </w:r>
    </w:p>
  </w:footnote>
  <w:footnote w:id="586">
    <w:p w14:paraId="0C6B1768" w14:textId="07DDDD11" w:rsidR="00D90D35" w:rsidRPr="00297D8D" w:rsidRDefault="00D90D35" w:rsidP="00EC3708">
      <w:pPr>
        <w:pStyle w:val="FootnoteText"/>
      </w:pPr>
      <w:r w:rsidRPr="005A669A">
        <w:rPr>
          <w:rStyle w:val="FootnoteReference"/>
        </w:rPr>
        <w:footnoteRef/>
      </w:r>
      <w:r>
        <w:t xml:space="preserve"> </w:t>
      </w:r>
      <w:r>
        <w:rPr>
          <w:i/>
        </w:rPr>
        <w:t xml:space="preserve">Id. </w:t>
      </w:r>
    </w:p>
  </w:footnote>
  <w:footnote w:id="587">
    <w:p w14:paraId="7FFAD79D" w14:textId="3B075A5D" w:rsidR="00D90D35" w:rsidRPr="00297D8D" w:rsidRDefault="00D90D35" w:rsidP="00EC3708">
      <w:pPr>
        <w:pStyle w:val="FootnoteText"/>
      </w:pPr>
      <w:r w:rsidRPr="005A669A">
        <w:rPr>
          <w:rStyle w:val="FootnoteReference"/>
        </w:rPr>
        <w:footnoteRef/>
      </w:r>
      <w:r>
        <w:t xml:space="preserve"> </w:t>
      </w:r>
      <w:r>
        <w:rPr>
          <w:i/>
        </w:rPr>
        <w:t xml:space="preserve">Id. </w:t>
      </w:r>
      <w:r>
        <w:t xml:space="preserve">at 797 (quoting ’582 patent </w:t>
      </w:r>
      <w:r w:rsidRPr="0075108B">
        <w:t>col. 5 ll. 40–44 (emphasis added)</w:t>
      </w:r>
      <w:r>
        <w:t>).</w:t>
      </w:r>
    </w:p>
  </w:footnote>
  <w:footnote w:id="588">
    <w:p w14:paraId="77B073CC" w14:textId="1C56808D" w:rsidR="00D90D35" w:rsidRPr="002F025D" w:rsidRDefault="00D90D35">
      <w:pPr>
        <w:pStyle w:val="FootnoteText"/>
      </w:pPr>
      <w:r w:rsidRPr="005A669A">
        <w:rPr>
          <w:rStyle w:val="FootnoteReference"/>
        </w:rPr>
        <w:footnoteRef/>
      </w:r>
      <w:r>
        <w:t xml:space="preserve"> </w:t>
      </w:r>
      <w:r>
        <w:rPr>
          <w:i/>
        </w:rPr>
        <w:t xml:space="preserve">Id. </w:t>
      </w:r>
      <w:r>
        <w:t>at 798.</w:t>
      </w:r>
    </w:p>
  </w:footnote>
  <w:footnote w:id="589">
    <w:p w14:paraId="4E5DB961" w14:textId="6FDA9E49" w:rsidR="00D90D35" w:rsidRPr="002B5DF1" w:rsidRDefault="00D90D35">
      <w:pPr>
        <w:pStyle w:val="FootnoteText"/>
        <w:rPr>
          <w:i/>
        </w:rPr>
      </w:pPr>
      <w:r w:rsidRPr="005A669A">
        <w:rPr>
          <w:rStyle w:val="FootnoteReference"/>
        </w:rPr>
        <w:footnoteRef/>
      </w:r>
      <w:r>
        <w:t xml:space="preserve"> </w:t>
      </w:r>
      <w:r>
        <w:rPr>
          <w:i/>
        </w:rPr>
        <w:t xml:space="preserve">Id. </w:t>
      </w:r>
    </w:p>
  </w:footnote>
  <w:footnote w:id="590">
    <w:p w14:paraId="0D8347E8" w14:textId="715F3D46" w:rsidR="00D90D35" w:rsidRPr="00603C30" w:rsidRDefault="00D90D35">
      <w:pPr>
        <w:pStyle w:val="FootnoteText"/>
      </w:pPr>
      <w:r w:rsidRPr="005A669A">
        <w:rPr>
          <w:rStyle w:val="FootnoteReference"/>
        </w:rPr>
        <w:footnoteRef/>
      </w:r>
      <w:r>
        <w:t xml:space="preserve"> </w:t>
      </w:r>
      <w:r>
        <w:rPr>
          <w:i/>
        </w:rPr>
        <w:t xml:space="preserve">Id. </w:t>
      </w:r>
      <w:r>
        <w:t xml:space="preserve">(emphasis in opinion) (quoting </w:t>
      </w:r>
      <w:r w:rsidRPr="00603C30">
        <w:t>J.A. 2074 ¶ 7</w:t>
      </w:r>
      <w:r>
        <w:t>).</w:t>
      </w:r>
    </w:p>
  </w:footnote>
  <w:footnote w:id="591">
    <w:p w14:paraId="15CF1BC3" w14:textId="74E5AAF5" w:rsidR="00D90D35" w:rsidRPr="00603C30" w:rsidRDefault="00D90D35">
      <w:pPr>
        <w:pStyle w:val="FootnoteText"/>
      </w:pPr>
      <w:r w:rsidRPr="005A669A">
        <w:rPr>
          <w:rStyle w:val="FootnoteReference"/>
        </w:rPr>
        <w:footnoteRef/>
      </w:r>
      <w:r>
        <w:t xml:space="preserve"> </w:t>
      </w:r>
      <w:r>
        <w:rPr>
          <w:i/>
        </w:rPr>
        <w:t xml:space="preserve">Id. </w:t>
      </w:r>
      <w:r>
        <w:t>at 800.</w:t>
      </w:r>
    </w:p>
  </w:footnote>
  <w:footnote w:id="592">
    <w:p w14:paraId="364175C6" w14:textId="6809CD85" w:rsidR="00D90D35" w:rsidRPr="003D4DB7" w:rsidRDefault="00D90D35">
      <w:pPr>
        <w:pStyle w:val="FootnoteText"/>
      </w:pPr>
      <w:r w:rsidRPr="005A669A">
        <w:rPr>
          <w:rStyle w:val="FootnoteReference"/>
        </w:rPr>
        <w:footnoteRef/>
      </w:r>
      <w:r>
        <w:t xml:space="preserve"> </w:t>
      </w:r>
      <w:r w:rsidRPr="003D4DB7">
        <w:t>Omega Patents, LLC v. Calamp Corp., No. 2018-1309, 2019 WL 1510676</w:t>
      </w:r>
      <w:r>
        <w:t>, at *12</w:t>
      </w:r>
      <w:r w:rsidRPr="003D4DB7">
        <w:t xml:space="preserve"> (Fed. Cir. Apr</w:t>
      </w:r>
      <w:r>
        <w:t>. </w:t>
      </w:r>
      <w:r w:rsidRPr="003D4DB7">
        <w:t>8, 2019)</w:t>
      </w:r>
      <w:r>
        <w:t xml:space="preserve"> (summarizing result).</w:t>
      </w:r>
    </w:p>
  </w:footnote>
  <w:footnote w:id="593">
    <w:p w14:paraId="70057732" w14:textId="743BE3CA" w:rsidR="00D90D35" w:rsidRPr="00E555E9" w:rsidRDefault="00D90D35">
      <w:pPr>
        <w:pStyle w:val="FootnoteText"/>
      </w:pPr>
      <w:r w:rsidRPr="005A669A">
        <w:rPr>
          <w:rStyle w:val="FootnoteReference"/>
        </w:rPr>
        <w:footnoteRef/>
      </w:r>
      <w:r>
        <w:t xml:space="preserve"> </w:t>
      </w:r>
      <w:r>
        <w:rPr>
          <w:i/>
        </w:rPr>
        <w:t xml:space="preserve">Id. </w:t>
      </w:r>
      <w:r>
        <w:t>at *1.</w:t>
      </w:r>
    </w:p>
  </w:footnote>
  <w:footnote w:id="594">
    <w:p w14:paraId="79729A1B" w14:textId="4A6C663E" w:rsidR="00D90D35" w:rsidRPr="001D371F" w:rsidRDefault="00D90D35">
      <w:pPr>
        <w:pStyle w:val="FootnoteText"/>
      </w:pPr>
      <w:r w:rsidRPr="005A669A">
        <w:rPr>
          <w:rStyle w:val="FootnoteReference"/>
        </w:rPr>
        <w:footnoteRef/>
      </w:r>
      <w:r>
        <w:t xml:space="preserve"> </w:t>
      </w:r>
      <w:r>
        <w:rPr>
          <w:i/>
        </w:rPr>
        <w:t>Id.</w:t>
      </w:r>
    </w:p>
  </w:footnote>
  <w:footnote w:id="595">
    <w:p w14:paraId="773B0C2A" w14:textId="62DC5E58" w:rsidR="00D90D35" w:rsidRPr="001D371F" w:rsidRDefault="00D90D35" w:rsidP="008026AF">
      <w:pPr>
        <w:pStyle w:val="FootnoteText"/>
      </w:pPr>
      <w:r w:rsidRPr="005A669A">
        <w:rPr>
          <w:rStyle w:val="FootnoteReference"/>
        </w:rPr>
        <w:footnoteRef/>
      </w:r>
      <w:r>
        <w:t xml:space="preserve"> </w:t>
      </w:r>
      <w:r>
        <w:rPr>
          <w:i/>
        </w:rPr>
        <w:t xml:space="preserve">Id. </w:t>
      </w:r>
      <w:r>
        <w:t>at *2, *3.</w:t>
      </w:r>
    </w:p>
  </w:footnote>
  <w:footnote w:id="596">
    <w:p w14:paraId="63306F30" w14:textId="798E4823" w:rsidR="00D90D35" w:rsidRPr="00945631" w:rsidRDefault="00D90D35" w:rsidP="00E86F77">
      <w:pPr>
        <w:pStyle w:val="FootnoteText"/>
        <w:rPr>
          <w:i/>
        </w:rPr>
      </w:pPr>
      <w:r w:rsidRPr="005A669A">
        <w:rPr>
          <w:rStyle w:val="FootnoteReference"/>
        </w:rPr>
        <w:footnoteRef/>
      </w:r>
      <w:r>
        <w:t xml:space="preserve"> </w:t>
      </w:r>
      <w:r>
        <w:rPr>
          <w:i/>
        </w:rPr>
        <w:t>Id.</w:t>
      </w:r>
    </w:p>
  </w:footnote>
  <w:footnote w:id="597">
    <w:p w14:paraId="64F7E955" w14:textId="50E61AFF" w:rsidR="00D90D35" w:rsidRPr="00AE5C75" w:rsidRDefault="00D90D35" w:rsidP="009F6958">
      <w:pPr>
        <w:pStyle w:val="FootnoteText"/>
      </w:pPr>
      <w:r w:rsidRPr="005A669A">
        <w:rPr>
          <w:rStyle w:val="FootnoteReference"/>
        </w:rPr>
        <w:footnoteRef/>
      </w:r>
      <w:r>
        <w:t xml:space="preserve"> </w:t>
      </w:r>
      <w:r>
        <w:rPr>
          <w:i/>
        </w:rPr>
        <w:t>Id.</w:t>
      </w:r>
      <w:r>
        <w:t xml:space="preserve"> (quoting </w:t>
      </w:r>
      <w:r w:rsidRPr="00AE5C75">
        <w:t>'876 patent, col. 11, ll. 36–37 (emphasis added)</w:t>
      </w:r>
      <w:r>
        <w:t>, and citing</w:t>
      </w:r>
      <w:r w:rsidRPr="00AE5C75">
        <w:t xml:space="preserve"> '885 patent, col. 11, ll. 16–17</w:t>
      </w:r>
      <w:r>
        <w:t>).</w:t>
      </w:r>
    </w:p>
  </w:footnote>
  <w:footnote w:id="598">
    <w:p w14:paraId="09670E31" w14:textId="0DB0571E" w:rsidR="00D90D35" w:rsidRPr="00F54EAD" w:rsidRDefault="00D90D35" w:rsidP="00F54EAD">
      <w:pPr>
        <w:pStyle w:val="FootnoteText"/>
      </w:pPr>
      <w:r w:rsidRPr="005A669A">
        <w:rPr>
          <w:rStyle w:val="FootnoteReference"/>
        </w:rPr>
        <w:footnoteRef/>
      </w:r>
      <w:r>
        <w:t xml:space="preserve"> </w:t>
      </w:r>
      <w:r w:rsidRPr="00F93D54">
        <w:rPr>
          <w:i/>
        </w:rPr>
        <w:t>See id.</w:t>
      </w:r>
      <w:r>
        <w:t xml:space="preserve"> at *4 (failing to consider joint (divided) infringement theories); </w:t>
      </w:r>
      <w:r>
        <w:rPr>
          <w:i/>
        </w:rPr>
        <w:t xml:space="preserve">see also </w:t>
      </w:r>
      <w:r w:rsidRPr="00F54EAD">
        <w:t>Akamai Techs., Inc. v. Limelight Networks, Inc., 797 F.3d 1020, 1022 (Fed. Cir. 2015)</w:t>
      </w:r>
      <w:r>
        <w:t xml:space="preserve"> (en banc) (“</w:t>
      </w:r>
      <w:r w:rsidRPr="00F54EAD">
        <w:t>We will hold an entity responsible for others' performance of method steps in two sets of circumstances: (1) where that entity directs or controls others' performance, and (2) where the actors form a joint enterprise.</w:t>
      </w:r>
      <w:r>
        <w:t>”).</w:t>
      </w:r>
    </w:p>
  </w:footnote>
  <w:footnote w:id="599">
    <w:p w14:paraId="01A0D955" w14:textId="77777777" w:rsidR="00D90D35" w:rsidRPr="00C54EBF" w:rsidRDefault="00D90D35" w:rsidP="00532AAD">
      <w:pPr>
        <w:pStyle w:val="FootnoteText"/>
      </w:pPr>
      <w:r w:rsidRPr="005A669A">
        <w:rPr>
          <w:rStyle w:val="FootnoteReference"/>
        </w:rPr>
        <w:footnoteRef/>
      </w:r>
      <w:r>
        <w:t xml:space="preserve"> </w:t>
      </w:r>
      <w:r>
        <w:rPr>
          <w:i/>
        </w:rPr>
        <w:t xml:space="preserve">Id. </w:t>
      </w:r>
      <w:r>
        <w:t>at *5-*6 (holding that CalAmp’s customers “controlled and used the system and received the required benefits,” but that failure to guide the jury on the agreed construction of “vehicle device” required setting aside findings of infringement on claim 12 of the ’876 patent and all claims of the ’885 patent).</w:t>
      </w:r>
    </w:p>
  </w:footnote>
  <w:footnote w:id="600">
    <w:p w14:paraId="080D816D" w14:textId="7796429F" w:rsidR="00D90D35" w:rsidRPr="00876B9C" w:rsidRDefault="00D90D35" w:rsidP="000E7AAA">
      <w:pPr>
        <w:pStyle w:val="FootnoteText"/>
      </w:pPr>
      <w:r w:rsidRPr="005A669A">
        <w:rPr>
          <w:rStyle w:val="FootnoteReference"/>
        </w:rPr>
        <w:footnoteRef/>
      </w:r>
      <w:r>
        <w:t xml:space="preserve"> The Supreme Court of course requires a showing that the defendant knew the acts were infringing at the time of infringement (though a mental state with respect to patent validity is irrelevant).</w:t>
      </w:r>
      <w:r>
        <w:rPr>
          <w:i/>
        </w:rPr>
        <w:t xml:space="preserve"> Id. </w:t>
      </w:r>
      <w:r>
        <w:t xml:space="preserve">at *8 (citing </w:t>
      </w:r>
      <w:r w:rsidRPr="00876B9C">
        <w:t>Commil</w:t>
      </w:r>
      <w:r>
        <w:t xml:space="preserve"> </w:t>
      </w:r>
      <w:r w:rsidRPr="00876B9C">
        <w:t>USA,</w:t>
      </w:r>
      <w:r>
        <w:t xml:space="preserve"> </w:t>
      </w:r>
      <w:r w:rsidRPr="00876B9C">
        <w:t>LLC</w:t>
      </w:r>
      <w:r>
        <w:t xml:space="preserve"> </w:t>
      </w:r>
      <w:r w:rsidRPr="00876B9C">
        <w:t>v.</w:t>
      </w:r>
      <w:r>
        <w:t xml:space="preserve"> </w:t>
      </w:r>
      <w:r w:rsidRPr="00876B9C">
        <w:t>Cisco</w:t>
      </w:r>
      <w:r>
        <w:t xml:space="preserve"> </w:t>
      </w:r>
      <w:r w:rsidRPr="00876B9C">
        <w:t>Sys.,</w:t>
      </w:r>
      <w:r>
        <w:t xml:space="preserve"> </w:t>
      </w:r>
      <w:r w:rsidRPr="00876B9C">
        <w:t xml:space="preserve">Inc., 135 </w:t>
      </w:r>
      <w:r>
        <w:t>S. Ct.</w:t>
      </w:r>
      <w:r w:rsidRPr="00876B9C">
        <w:t xml:space="preserve"> 1920, </w:t>
      </w:r>
      <w:r>
        <w:t>1929</w:t>
      </w:r>
      <w:r w:rsidRPr="00876B9C">
        <w:t xml:space="preserve"> (2015)</w:t>
      </w:r>
      <w:r>
        <w:t xml:space="preserve">; </w:t>
      </w:r>
      <w:r w:rsidRPr="00D86D07">
        <w:t>Global-Tech Appliances, Inc. v. SEB S.A., 563 U.S. 754, 76</w:t>
      </w:r>
      <w:r>
        <w:t>9-70</w:t>
      </w:r>
      <w:r w:rsidRPr="00D86D07">
        <w:t xml:space="preserve"> (2011)</w:t>
      </w:r>
      <w:r>
        <w:t>).</w:t>
      </w:r>
    </w:p>
  </w:footnote>
  <w:footnote w:id="601">
    <w:p w14:paraId="647D4049" w14:textId="4542E030" w:rsidR="00D90D35" w:rsidRPr="004668F6" w:rsidRDefault="00D90D35">
      <w:pPr>
        <w:pStyle w:val="FootnoteText"/>
      </w:pPr>
      <w:r w:rsidRPr="005A669A">
        <w:rPr>
          <w:rStyle w:val="FootnoteReference"/>
        </w:rPr>
        <w:footnoteRef/>
      </w:r>
      <w:r>
        <w:t xml:space="preserve"> </w:t>
      </w:r>
      <w:r>
        <w:rPr>
          <w:i/>
        </w:rPr>
        <w:t xml:space="preserve">Id. </w:t>
      </w:r>
      <w:r>
        <w:t>at *8.</w:t>
      </w:r>
    </w:p>
  </w:footnote>
  <w:footnote w:id="602">
    <w:p w14:paraId="3FEB3C03" w14:textId="77777777" w:rsidR="00D90D35" w:rsidRDefault="00D90D35" w:rsidP="00727BED">
      <w:pPr>
        <w:pStyle w:val="FootnoteText"/>
      </w:pPr>
      <w:r>
        <w:rPr>
          <w:rStyle w:val="FootnoteReference"/>
        </w:rPr>
        <w:footnoteRef/>
      </w:r>
      <w:r>
        <w:t xml:space="preserve"> </w:t>
      </w:r>
      <w:r w:rsidRPr="00A94BD1">
        <w:t>Eli Lilly &amp; Co. v. Hospira, Inc., 2019 WL 3756065</w:t>
      </w:r>
      <w:r>
        <w:t>, at *1</w:t>
      </w:r>
      <w:r w:rsidRPr="00A94BD1">
        <w:t xml:space="preserve"> (Fed. Cir. Aug. 9, 2019)</w:t>
      </w:r>
      <w:r>
        <w:t>.</w:t>
      </w:r>
    </w:p>
  </w:footnote>
  <w:footnote w:id="603">
    <w:p w14:paraId="3E6A0838" w14:textId="77777777" w:rsidR="00D90D35" w:rsidRPr="00074030" w:rsidRDefault="00D90D35" w:rsidP="00727BED">
      <w:pPr>
        <w:pStyle w:val="FootnoteText"/>
      </w:pPr>
      <w:r>
        <w:rPr>
          <w:rStyle w:val="FootnoteReference"/>
        </w:rPr>
        <w:footnoteRef/>
      </w:r>
      <w:r>
        <w:t xml:space="preserve"> </w:t>
      </w:r>
      <w:r>
        <w:rPr>
          <w:i/>
          <w:iCs/>
        </w:rPr>
        <w:t xml:space="preserve">Id. </w:t>
      </w:r>
      <w:r>
        <w:t>at *1-2.</w:t>
      </w:r>
    </w:p>
  </w:footnote>
  <w:footnote w:id="604">
    <w:p w14:paraId="04CA30FA" w14:textId="77777777" w:rsidR="00D90D35" w:rsidRPr="006925E6" w:rsidRDefault="00D90D35" w:rsidP="00727BED">
      <w:pPr>
        <w:pStyle w:val="FootnoteText"/>
      </w:pPr>
      <w:r>
        <w:rPr>
          <w:rStyle w:val="FootnoteReference"/>
        </w:rPr>
        <w:footnoteRef/>
      </w:r>
      <w:r>
        <w:t xml:space="preserve"> </w:t>
      </w:r>
      <w:r>
        <w:rPr>
          <w:i/>
          <w:iCs/>
        </w:rPr>
        <w:t xml:space="preserve">Id. </w:t>
      </w:r>
      <w:r>
        <w:t>at *2.</w:t>
      </w:r>
    </w:p>
  </w:footnote>
  <w:footnote w:id="605">
    <w:p w14:paraId="5BC5981F" w14:textId="77777777" w:rsidR="00D90D35" w:rsidRPr="00285FB5" w:rsidRDefault="00D90D35" w:rsidP="00727BED">
      <w:pPr>
        <w:pStyle w:val="FootnoteText"/>
      </w:pPr>
      <w:r>
        <w:rPr>
          <w:rStyle w:val="FootnoteReference"/>
        </w:rPr>
        <w:footnoteRef/>
      </w:r>
      <w:r>
        <w:t xml:space="preserve"> </w:t>
      </w:r>
      <w:r>
        <w:rPr>
          <w:i/>
          <w:iCs/>
        </w:rPr>
        <w:t xml:space="preserve">Id. </w:t>
      </w:r>
      <w:r>
        <w:t>at *3-4.</w:t>
      </w:r>
    </w:p>
  </w:footnote>
  <w:footnote w:id="606">
    <w:p w14:paraId="4669CB08" w14:textId="77777777" w:rsidR="00D90D35" w:rsidRPr="00285FB5" w:rsidRDefault="00D90D35" w:rsidP="00727BED">
      <w:pPr>
        <w:pStyle w:val="FootnoteText"/>
      </w:pPr>
      <w:r>
        <w:rPr>
          <w:rStyle w:val="FootnoteReference"/>
        </w:rPr>
        <w:footnoteRef/>
      </w:r>
      <w:r>
        <w:t xml:space="preserve"> </w:t>
      </w:r>
      <w:r>
        <w:rPr>
          <w:i/>
          <w:iCs/>
        </w:rPr>
        <w:t xml:space="preserve">Id. </w:t>
      </w:r>
      <w:r>
        <w:t>at *4.</w:t>
      </w:r>
    </w:p>
  </w:footnote>
  <w:footnote w:id="607">
    <w:p w14:paraId="639ECFB7" w14:textId="77777777" w:rsidR="00D90D35" w:rsidRPr="009768E3" w:rsidRDefault="00D90D35" w:rsidP="00727BED">
      <w:pPr>
        <w:pStyle w:val="FootnoteText"/>
      </w:pPr>
      <w:r>
        <w:rPr>
          <w:rStyle w:val="FootnoteReference"/>
        </w:rPr>
        <w:footnoteRef/>
      </w:r>
      <w:r>
        <w:t xml:space="preserve"> </w:t>
      </w:r>
      <w:r>
        <w:rPr>
          <w:i/>
          <w:iCs/>
        </w:rPr>
        <w:t xml:space="preserve">Id. </w:t>
      </w:r>
      <w:r>
        <w:t>at *3.</w:t>
      </w:r>
    </w:p>
  </w:footnote>
  <w:footnote w:id="608">
    <w:p w14:paraId="5E938934" w14:textId="77777777" w:rsidR="00D90D35" w:rsidRPr="00285FB5" w:rsidRDefault="00D90D35" w:rsidP="00727BED">
      <w:pPr>
        <w:pStyle w:val="FootnoteText"/>
      </w:pPr>
      <w:r>
        <w:rPr>
          <w:rStyle w:val="FootnoteReference"/>
        </w:rPr>
        <w:footnoteRef/>
      </w:r>
      <w:r>
        <w:t xml:space="preserve"> </w:t>
      </w:r>
      <w:r>
        <w:rPr>
          <w:i/>
          <w:iCs/>
        </w:rPr>
        <w:t xml:space="preserve">Id. </w:t>
      </w:r>
      <w:r>
        <w:t>at *5.</w:t>
      </w:r>
    </w:p>
  </w:footnote>
  <w:footnote w:id="609">
    <w:p w14:paraId="5D03750B" w14:textId="77777777" w:rsidR="00D90D35" w:rsidRPr="0018716D" w:rsidRDefault="00D90D35" w:rsidP="00727BED">
      <w:pPr>
        <w:pStyle w:val="FootnoteText"/>
      </w:pPr>
      <w:r>
        <w:rPr>
          <w:rStyle w:val="FootnoteReference"/>
        </w:rPr>
        <w:footnoteRef/>
      </w:r>
      <w:r>
        <w:t xml:space="preserve"> </w:t>
      </w:r>
      <w:r>
        <w:rPr>
          <w:i/>
          <w:iCs/>
        </w:rPr>
        <w:t xml:space="preserve">Id. </w:t>
      </w:r>
      <w:r>
        <w:t xml:space="preserve">at *1.  </w:t>
      </w:r>
      <w:r>
        <w:rPr>
          <w:rFonts w:cs="Times New Roman"/>
          <w:bCs/>
        </w:rPr>
        <w:t xml:space="preserve">The court underscored that the doctrine has been “consistently sustained by the Supreme Court,” and yet remains “the exception . . . not the rule” </w:t>
      </w:r>
      <w:r>
        <w:t xml:space="preserve">because </w:t>
      </w:r>
      <w:r>
        <w:rPr>
          <w:rFonts w:cs="Times New Roman"/>
          <w:bCs/>
        </w:rPr>
        <w:t xml:space="preserve">it “conflicts with the definitional and public-notice functions of the statutory claiming requirement.”  </w:t>
      </w:r>
      <w:r>
        <w:rPr>
          <w:rFonts w:cs="Times New Roman"/>
          <w:bCs/>
          <w:i/>
          <w:iCs/>
        </w:rPr>
        <w:t>Id.</w:t>
      </w:r>
      <w:r>
        <w:rPr>
          <w:i/>
          <w:iCs/>
        </w:rPr>
        <w:t xml:space="preserve"> </w:t>
      </w:r>
      <w:r>
        <w:t xml:space="preserve">at *6 (quotations omitted).  </w:t>
      </w:r>
    </w:p>
  </w:footnote>
  <w:footnote w:id="610">
    <w:p w14:paraId="68AE0913" w14:textId="77777777" w:rsidR="00D90D35" w:rsidRPr="007E0F90" w:rsidRDefault="00D90D35" w:rsidP="00727BED">
      <w:pPr>
        <w:pStyle w:val="FootnoteText"/>
      </w:pPr>
      <w:r>
        <w:rPr>
          <w:rStyle w:val="FootnoteReference"/>
        </w:rPr>
        <w:footnoteRef/>
      </w:r>
      <w:r>
        <w:t xml:space="preserve"> </w:t>
      </w:r>
      <w:r>
        <w:rPr>
          <w:i/>
          <w:iCs/>
        </w:rPr>
        <w:t xml:space="preserve">Id. </w:t>
      </w:r>
      <w:r>
        <w:t xml:space="preserve">at *6 (quoting </w:t>
      </w:r>
      <w:r w:rsidRPr="007E0F90">
        <w:t xml:space="preserve">Festo Corp. v. Shoketsu Kinzoku Kogyo Kabushiki Co., 535 U.S. 722, </w:t>
      </w:r>
      <w:r>
        <w:t>740-41</w:t>
      </w:r>
      <w:r w:rsidRPr="007E0F90">
        <w:t xml:space="preserve"> (2002)</w:t>
      </w:r>
      <w:r>
        <w:t>).</w:t>
      </w:r>
    </w:p>
  </w:footnote>
  <w:footnote w:id="611">
    <w:p w14:paraId="779F152F" w14:textId="77777777" w:rsidR="00D90D35" w:rsidRPr="00EB42D7" w:rsidRDefault="00D90D35" w:rsidP="00727BED">
      <w:pPr>
        <w:pStyle w:val="FootnoteText"/>
      </w:pPr>
      <w:r>
        <w:rPr>
          <w:rStyle w:val="FootnoteReference"/>
        </w:rPr>
        <w:footnoteRef/>
      </w:r>
      <w:r>
        <w:t xml:space="preserve"> </w:t>
      </w:r>
      <w:r>
        <w:rPr>
          <w:i/>
          <w:iCs/>
        </w:rPr>
        <w:t xml:space="preserve">Id. </w:t>
      </w:r>
      <w:r>
        <w:t xml:space="preserve">at *7 (quoting Festo, </w:t>
      </w:r>
      <w:r w:rsidRPr="007E0F90">
        <w:t xml:space="preserve">535 U.S. </w:t>
      </w:r>
      <w:r>
        <w:t>at 740).</w:t>
      </w:r>
    </w:p>
  </w:footnote>
  <w:footnote w:id="612">
    <w:p w14:paraId="2CFCB2DF" w14:textId="77777777" w:rsidR="00D90D35" w:rsidRPr="00BB640C" w:rsidRDefault="00D90D35" w:rsidP="00727BED">
      <w:pPr>
        <w:pStyle w:val="FootnoteText"/>
      </w:pPr>
      <w:r>
        <w:rPr>
          <w:rStyle w:val="FootnoteReference"/>
        </w:rPr>
        <w:footnoteRef/>
      </w:r>
      <w:r>
        <w:t xml:space="preserve"> </w:t>
      </w:r>
      <w:r>
        <w:rPr>
          <w:i/>
          <w:iCs/>
        </w:rPr>
        <w:t xml:space="preserve">Id. </w:t>
      </w:r>
    </w:p>
  </w:footnote>
  <w:footnote w:id="613">
    <w:p w14:paraId="7566E628" w14:textId="77777777" w:rsidR="00D90D35" w:rsidRPr="006E0F6D" w:rsidRDefault="00D90D35" w:rsidP="00727BED">
      <w:pPr>
        <w:pStyle w:val="FootnoteText"/>
      </w:pPr>
      <w:r>
        <w:rPr>
          <w:rStyle w:val="FootnoteReference"/>
        </w:rPr>
        <w:footnoteRef/>
      </w:r>
      <w:r>
        <w:t xml:space="preserve"> </w:t>
      </w:r>
      <w:r>
        <w:rPr>
          <w:i/>
          <w:iCs/>
        </w:rPr>
        <w:t>Id.</w:t>
      </w:r>
      <w:r>
        <w:t xml:space="preserve">; </w:t>
      </w:r>
      <w:r>
        <w:rPr>
          <w:i/>
          <w:iCs/>
        </w:rPr>
        <w:t xml:space="preserve">see also id. </w:t>
      </w:r>
      <w:r>
        <w:t>at *9 (emphasizing doctrines of prosecution history estoppel and equivalents as equitable doctrines).</w:t>
      </w:r>
    </w:p>
  </w:footnote>
  <w:footnote w:id="614">
    <w:p w14:paraId="079881DF" w14:textId="77777777" w:rsidR="00D90D35" w:rsidRPr="00C65DE8" w:rsidRDefault="00D90D35" w:rsidP="00727BED">
      <w:pPr>
        <w:pStyle w:val="FootnoteText"/>
      </w:pPr>
      <w:r>
        <w:rPr>
          <w:rStyle w:val="FootnoteReference"/>
        </w:rPr>
        <w:footnoteRef/>
      </w:r>
      <w:r>
        <w:t xml:space="preserve"> </w:t>
      </w:r>
      <w:r>
        <w:rPr>
          <w:i/>
          <w:iCs/>
        </w:rPr>
        <w:t xml:space="preserve">Id. </w:t>
      </w:r>
      <w:r>
        <w:t>at *7.</w:t>
      </w:r>
    </w:p>
  </w:footnote>
  <w:footnote w:id="615">
    <w:p w14:paraId="00BB0CE0" w14:textId="77777777" w:rsidR="00D90D35" w:rsidRPr="00072668" w:rsidRDefault="00D90D35" w:rsidP="00727BED">
      <w:pPr>
        <w:pStyle w:val="FootnoteText"/>
      </w:pPr>
      <w:r>
        <w:rPr>
          <w:rStyle w:val="FootnoteReference"/>
        </w:rPr>
        <w:footnoteRef/>
      </w:r>
      <w:r>
        <w:t xml:space="preserve"> </w:t>
      </w:r>
      <w:r>
        <w:rPr>
          <w:i/>
          <w:iCs/>
        </w:rPr>
        <w:t xml:space="preserve">Id. </w:t>
      </w:r>
      <w:r>
        <w:t>at *8.</w:t>
      </w:r>
    </w:p>
  </w:footnote>
  <w:footnote w:id="616">
    <w:p w14:paraId="22E99E15" w14:textId="77777777" w:rsidR="00D90D35" w:rsidRPr="00072668" w:rsidRDefault="00D90D35" w:rsidP="00727BED">
      <w:pPr>
        <w:pStyle w:val="FootnoteText"/>
      </w:pPr>
      <w:r>
        <w:rPr>
          <w:rStyle w:val="FootnoteReference"/>
        </w:rPr>
        <w:footnoteRef/>
      </w:r>
      <w:r>
        <w:t xml:space="preserve"> </w:t>
      </w:r>
      <w:r>
        <w:rPr>
          <w:i/>
          <w:iCs/>
        </w:rPr>
        <w:t xml:space="preserve">Id. </w:t>
      </w:r>
      <w:r>
        <w:t>at *9.</w:t>
      </w:r>
    </w:p>
  </w:footnote>
  <w:footnote w:id="617">
    <w:p w14:paraId="776241A6" w14:textId="77777777" w:rsidR="00D90D35" w:rsidRPr="00936988" w:rsidRDefault="00D90D35" w:rsidP="00727BED">
      <w:pPr>
        <w:pStyle w:val="FootnoteText"/>
      </w:pPr>
      <w:r>
        <w:rPr>
          <w:rStyle w:val="FootnoteReference"/>
        </w:rPr>
        <w:footnoteRef/>
      </w:r>
      <w:r>
        <w:t xml:space="preserve"> </w:t>
      </w:r>
      <w:r>
        <w:rPr>
          <w:i/>
          <w:iCs/>
        </w:rPr>
        <w:t>Id.</w:t>
      </w:r>
      <w:r>
        <w:t xml:space="preserve"> at *9-*11.</w:t>
      </w:r>
    </w:p>
  </w:footnote>
  <w:footnote w:id="618">
    <w:p w14:paraId="0F7D8797" w14:textId="77777777" w:rsidR="00D90D35" w:rsidRPr="00213C03" w:rsidRDefault="00D90D35" w:rsidP="00727BED">
      <w:pPr>
        <w:pStyle w:val="FootnoteText"/>
      </w:pPr>
      <w:r>
        <w:rPr>
          <w:rStyle w:val="FootnoteReference"/>
        </w:rPr>
        <w:footnoteRef/>
      </w:r>
      <w:r>
        <w:t xml:space="preserve"> </w:t>
      </w:r>
      <w:r>
        <w:rPr>
          <w:i/>
          <w:iCs/>
        </w:rPr>
        <w:t xml:space="preserve">Id. </w:t>
      </w:r>
      <w:r>
        <w:t xml:space="preserve">at *10 (quoting </w:t>
      </w:r>
      <w:r w:rsidRPr="00213C03">
        <w:t>PSC Comput. Prod., Inc. v. Foxconn Int’l, Inc., 355 F.3d 1353, 1360 (Fed. Cir. 2004)</w:t>
      </w:r>
      <w:r>
        <w:t>).</w:t>
      </w:r>
    </w:p>
  </w:footnote>
  <w:footnote w:id="619">
    <w:p w14:paraId="5DC7548A" w14:textId="77777777" w:rsidR="00D90D35" w:rsidRDefault="00D90D35" w:rsidP="00727BED">
      <w:pPr>
        <w:pStyle w:val="FootnoteText"/>
      </w:pPr>
      <w:r>
        <w:rPr>
          <w:rStyle w:val="FootnoteReference"/>
        </w:rPr>
        <w:footnoteRef/>
      </w:r>
      <w:r>
        <w:t xml:space="preserve"> </w:t>
      </w:r>
      <w:r w:rsidRPr="00F943B6">
        <w:t>Amgen Inc. v. Coherus Biosciences Inc., 931 F.3d 1154</w:t>
      </w:r>
      <w:r>
        <w:t>, 1156</w:t>
      </w:r>
      <w:r w:rsidRPr="00F943B6">
        <w:t xml:space="preserve"> (Fed. Cir. 2019)</w:t>
      </w:r>
      <w:r>
        <w:t>.</w:t>
      </w:r>
    </w:p>
  </w:footnote>
  <w:footnote w:id="620">
    <w:p w14:paraId="4303242C" w14:textId="77777777" w:rsidR="00D90D35" w:rsidRPr="00D612A7" w:rsidRDefault="00D90D35" w:rsidP="00727BED">
      <w:pPr>
        <w:pStyle w:val="FootnoteText"/>
      </w:pPr>
      <w:r>
        <w:rPr>
          <w:rStyle w:val="FootnoteReference"/>
        </w:rPr>
        <w:footnoteRef/>
      </w:r>
      <w:r>
        <w:t xml:space="preserve"> </w:t>
      </w:r>
      <w:r>
        <w:rPr>
          <w:i/>
          <w:iCs/>
        </w:rPr>
        <w:t xml:space="preserve">Id. </w:t>
      </w:r>
      <w:r>
        <w:t>at 1156-57.</w:t>
      </w:r>
    </w:p>
  </w:footnote>
  <w:footnote w:id="621">
    <w:p w14:paraId="6A8F975B" w14:textId="77777777" w:rsidR="00D90D35" w:rsidRPr="009E468A" w:rsidRDefault="00D90D35" w:rsidP="00727BED">
      <w:pPr>
        <w:pStyle w:val="FootnoteText"/>
      </w:pPr>
      <w:r>
        <w:rPr>
          <w:rStyle w:val="FootnoteReference"/>
        </w:rPr>
        <w:footnoteRef/>
      </w:r>
      <w:r>
        <w:t xml:space="preserve"> </w:t>
      </w:r>
      <w:r>
        <w:rPr>
          <w:i/>
          <w:iCs/>
        </w:rPr>
        <w:t xml:space="preserve">Id. </w:t>
      </w:r>
      <w:r>
        <w:t>at *1157.</w:t>
      </w:r>
    </w:p>
  </w:footnote>
  <w:footnote w:id="622">
    <w:p w14:paraId="21AE6310" w14:textId="77777777" w:rsidR="00D90D35" w:rsidRPr="00396C8F" w:rsidRDefault="00D90D35" w:rsidP="00727BED">
      <w:pPr>
        <w:pStyle w:val="FootnoteText"/>
      </w:pPr>
      <w:r>
        <w:rPr>
          <w:rStyle w:val="FootnoteReference"/>
        </w:rPr>
        <w:footnoteRef/>
      </w:r>
      <w:r>
        <w:t xml:space="preserve"> </w:t>
      </w:r>
      <w:r>
        <w:rPr>
          <w:i/>
          <w:iCs/>
        </w:rPr>
        <w:t xml:space="preserve">Id. </w:t>
      </w:r>
      <w:r>
        <w:t>at *1157-58.</w:t>
      </w:r>
    </w:p>
  </w:footnote>
  <w:footnote w:id="623">
    <w:p w14:paraId="3A1B30F5" w14:textId="77777777" w:rsidR="00D90D35" w:rsidRPr="000A5EB1" w:rsidRDefault="00D90D35" w:rsidP="00727BED">
      <w:pPr>
        <w:pStyle w:val="FootnoteText"/>
      </w:pPr>
      <w:r>
        <w:rPr>
          <w:rStyle w:val="FootnoteReference"/>
        </w:rPr>
        <w:footnoteRef/>
      </w:r>
      <w:r>
        <w:t xml:space="preserve"> </w:t>
      </w:r>
      <w:r>
        <w:rPr>
          <w:i/>
          <w:iCs/>
        </w:rPr>
        <w:t xml:space="preserve">Id. </w:t>
      </w:r>
      <w:r>
        <w:t>at *1158.</w:t>
      </w:r>
    </w:p>
  </w:footnote>
  <w:footnote w:id="624">
    <w:p w14:paraId="4032002B" w14:textId="77777777" w:rsidR="00D90D35" w:rsidRPr="006E4E63" w:rsidRDefault="00D90D35" w:rsidP="00727BED">
      <w:pPr>
        <w:pStyle w:val="FootnoteText"/>
      </w:pPr>
      <w:r>
        <w:rPr>
          <w:rStyle w:val="FootnoteReference"/>
        </w:rPr>
        <w:footnoteRef/>
      </w:r>
      <w:r>
        <w:t xml:space="preserve"> </w:t>
      </w:r>
      <w:r>
        <w:rPr>
          <w:i/>
          <w:iCs/>
        </w:rPr>
        <w:t xml:space="preserve">Id. </w:t>
      </w:r>
      <w:r>
        <w:t>at *1159.</w:t>
      </w:r>
    </w:p>
  </w:footnote>
  <w:footnote w:id="625">
    <w:p w14:paraId="593D514E" w14:textId="77777777" w:rsidR="00D90D35" w:rsidRPr="00A7678E" w:rsidRDefault="00D90D35" w:rsidP="00727BED">
      <w:pPr>
        <w:pStyle w:val="FootnoteText"/>
      </w:pPr>
      <w:r>
        <w:rPr>
          <w:rStyle w:val="FootnoteReference"/>
        </w:rPr>
        <w:footnoteRef/>
      </w:r>
      <w:r>
        <w:t xml:space="preserve"> </w:t>
      </w:r>
      <w:r>
        <w:rPr>
          <w:i/>
          <w:iCs/>
        </w:rPr>
        <w:t xml:space="preserve">Id. </w:t>
      </w:r>
    </w:p>
  </w:footnote>
  <w:footnote w:id="626">
    <w:p w14:paraId="2064F574" w14:textId="77777777" w:rsidR="00D90D35" w:rsidRPr="00A7678E" w:rsidRDefault="00D90D35" w:rsidP="00727BED">
      <w:pPr>
        <w:pStyle w:val="FootnoteText"/>
      </w:pPr>
      <w:r>
        <w:rPr>
          <w:rStyle w:val="FootnoteReference"/>
        </w:rPr>
        <w:footnoteRef/>
      </w:r>
      <w:r>
        <w:t xml:space="preserve"> </w:t>
      </w:r>
      <w:r>
        <w:rPr>
          <w:i/>
          <w:iCs/>
        </w:rPr>
        <w:t xml:space="preserve">Id. </w:t>
      </w:r>
      <w:r>
        <w:t>at *1160.</w:t>
      </w:r>
    </w:p>
  </w:footnote>
  <w:footnote w:id="627">
    <w:p w14:paraId="5C292DFE" w14:textId="77777777" w:rsidR="00D90D35" w:rsidRPr="008F0A46" w:rsidRDefault="00D90D35" w:rsidP="00727BED">
      <w:pPr>
        <w:pStyle w:val="FootnoteText"/>
      </w:pPr>
      <w:r>
        <w:rPr>
          <w:rStyle w:val="FootnoteReference"/>
        </w:rPr>
        <w:footnoteRef/>
      </w:r>
      <w:r>
        <w:t xml:space="preserve"> </w:t>
      </w:r>
      <w:r>
        <w:rPr>
          <w:i/>
          <w:iCs/>
        </w:rPr>
        <w:t xml:space="preserve">Id. </w:t>
      </w:r>
      <w:r>
        <w:t>at *1160-61.</w:t>
      </w:r>
    </w:p>
  </w:footnote>
  <w:footnote w:id="628">
    <w:p w14:paraId="32D654B9" w14:textId="77777777" w:rsidR="00D90D35" w:rsidRPr="005179EC" w:rsidRDefault="00D90D35" w:rsidP="00727BED">
      <w:pPr>
        <w:pStyle w:val="FootnoteText"/>
      </w:pPr>
      <w:r>
        <w:rPr>
          <w:rStyle w:val="FootnoteReference"/>
        </w:rPr>
        <w:footnoteRef/>
      </w:r>
      <w:r>
        <w:t xml:space="preserve"> </w:t>
      </w:r>
      <w:r>
        <w:rPr>
          <w:i/>
          <w:iCs/>
        </w:rPr>
        <w:t xml:space="preserve">Id. </w:t>
      </w:r>
      <w:r>
        <w:t>at *1161.</w:t>
      </w:r>
    </w:p>
  </w:footnote>
  <w:footnote w:id="629">
    <w:p w14:paraId="3CC934B1" w14:textId="77777777" w:rsidR="00D90D35" w:rsidRDefault="00D90D35" w:rsidP="00876125">
      <w:pPr>
        <w:pStyle w:val="FootnoteText"/>
      </w:pPr>
      <w:r>
        <w:rPr>
          <w:rStyle w:val="FootnoteReference"/>
        </w:rPr>
        <w:footnoteRef/>
      </w:r>
      <w:r>
        <w:t xml:space="preserve"> </w:t>
      </w:r>
      <w:r w:rsidRPr="00CB6E8F">
        <w:rPr>
          <w:iCs/>
        </w:rPr>
        <w:t>CFL Techs. LLC v. Osram Sylvania, Inc.</w:t>
      </w:r>
      <w:r w:rsidRPr="00CB6E8F">
        <w:t>,</w:t>
      </w:r>
      <w:r w:rsidRPr="00677ABE">
        <w:t xml:space="preserve"> </w:t>
      </w:r>
      <w:r>
        <w:t>No. 1:18-cv-01445-RGA</w:t>
      </w:r>
      <w:r w:rsidRPr="00677ABE">
        <w:t xml:space="preserve">, </w:t>
      </w:r>
      <w:r>
        <w:t>2019 WL 2995815, at *8</w:t>
      </w:r>
      <w:r w:rsidRPr="00677ABE">
        <w:t xml:space="preserve"> (</w:t>
      </w:r>
      <w:r>
        <w:t>D. Del.</w:t>
      </w:r>
      <w:r w:rsidRPr="00677ABE">
        <w:t xml:space="preserve"> </w:t>
      </w:r>
      <w:r>
        <w:t>July</w:t>
      </w:r>
      <w:r w:rsidRPr="00677ABE">
        <w:t> </w:t>
      </w:r>
      <w:r>
        <w:t>9,</w:t>
      </w:r>
      <w:r w:rsidRPr="00677ABE">
        <w:t xml:space="preserve"> 201</w:t>
      </w:r>
      <w:r>
        <w:t>9</w:t>
      </w:r>
      <w:r w:rsidRPr="00677ABE">
        <w:t>)</w:t>
      </w:r>
      <w:r>
        <w:t>.</w:t>
      </w:r>
    </w:p>
  </w:footnote>
  <w:footnote w:id="630">
    <w:p w14:paraId="0DF75168" w14:textId="77777777" w:rsidR="00D90D35" w:rsidRPr="0047369B" w:rsidRDefault="00D90D35" w:rsidP="00876125">
      <w:pPr>
        <w:pStyle w:val="FootnoteText"/>
      </w:pPr>
      <w:r>
        <w:rPr>
          <w:rStyle w:val="FootnoteReference"/>
        </w:rPr>
        <w:footnoteRef/>
      </w:r>
      <w:r>
        <w:t xml:space="preserve"> </w:t>
      </w:r>
      <w:r>
        <w:rPr>
          <w:i/>
          <w:iCs/>
        </w:rPr>
        <w:t xml:space="preserve">Id. </w:t>
      </w:r>
      <w:r>
        <w:t>at *1 (citing U.S. Patent Nos. 6,459,213 (“’213 Patent”); 6,172,464 (“’464 Patent”); 5,757,140 (“’140 Patent”); 5,510,681 (“’681 Patent”); and 5,510,680 (“’680 Patent”)).</w:t>
      </w:r>
    </w:p>
  </w:footnote>
  <w:footnote w:id="631">
    <w:p w14:paraId="63FAB3DB" w14:textId="06C7716C" w:rsidR="00D90D35" w:rsidRPr="00734D8E" w:rsidRDefault="00D90D35" w:rsidP="00876125">
      <w:pPr>
        <w:pStyle w:val="FootnoteText"/>
      </w:pPr>
      <w:r>
        <w:rPr>
          <w:rStyle w:val="FootnoteReference"/>
        </w:rPr>
        <w:footnoteRef/>
      </w:r>
      <w:r>
        <w:t xml:space="preserve"> </w:t>
      </w:r>
      <w:r>
        <w:rPr>
          <w:i/>
          <w:iCs/>
        </w:rPr>
        <w:t xml:space="preserve">Id. </w:t>
      </w:r>
      <w:r>
        <w:t xml:space="preserve">(citing Nilssen v. Osram Sylvania, Inc., 440 F. Supp. 2d 884, 911 (N.D. Ill. 2006) (“OSRAM I”), </w:t>
      </w:r>
      <w:r w:rsidRPr="00734D8E">
        <w:rPr>
          <w:i/>
          <w:iCs/>
        </w:rPr>
        <w:t>aff’d</w:t>
      </w:r>
      <w:r>
        <w:t xml:space="preserve">, 504 F.3d 1223 (Fed. Cir. 2007)).  </w:t>
      </w:r>
      <w:r>
        <w:rPr>
          <w:rFonts w:cs="Times New Roman"/>
          <w:color w:val="000000" w:themeColor="text1"/>
        </w:rPr>
        <w:t xml:space="preserve">The predecessor asserted another group of patents shortly thereafter; after volunteering to dismiss its assertions as filed yet with leave to amend, it never filed any amendment; the court dismissed with prejudice.  </w:t>
      </w:r>
      <w:r>
        <w:rPr>
          <w:i/>
          <w:iCs/>
        </w:rPr>
        <w:t xml:space="preserve">Id. </w:t>
      </w:r>
      <w:r>
        <w:t>at *2 (discussing “OSRAM II”).</w:t>
      </w:r>
    </w:p>
  </w:footnote>
  <w:footnote w:id="632">
    <w:p w14:paraId="23D2D7CA" w14:textId="77777777" w:rsidR="00D90D35" w:rsidRPr="00CA1564" w:rsidRDefault="00D90D35" w:rsidP="00876125">
      <w:pPr>
        <w:pStyle w:val="FootnoteText"/>
      </w:pPr>
      <w:r>
        <w:rPr>
          <w:rStyle w:val="FootnoteReference"/>
        </w:rPr>
        <w:footnoteRef/>
      </w:r>
      <w:r>
        <w:t xml:space="preserve"> </w:t>
      </w:r>
      <w:r>
        <w:rPr>
          <w:i/>
          <w:iCs/>
        </w:rPr>
        <w:t xml:space="preserve">Id. </w:t>
      </w:r>
      <w:r>
        <w:t xml:space="preserve">(citing </w:t>
      </w:r>
      <w:r w:rsidRPr="00CA1564">
        <w:rPr>
          <w:i/>
          <w:iCs/>
        </w:rPr>
        <w:t>Nilssen v. Wal-Mart Stores, Inc.</w:t>
      </w:r>
      <w:r>
        <w:t xml:space="preserve">, </w:t>
      </w:r>
      <w:r w:rsidRPr="00CA1564">
        <w:t>2008 WL 11350028 (N.D. Ill. Mar. 17, 2008).</w:t>
      </w:r>
    </w:p>
  </w:footnote>
  <w:footnote w:id="633">
    <w:p w14:paraId="6AAD2431" w14:textId="77777777" w:rsidR="00D90D35" w:rsidRPr="000D4324" w:rsidRDefault="00D90D35" w:rsidP="00876125">
      <w:pPr>
        <w:pStyle w:val="FootnoteText"/>
        <w:rPr>
          <w:iCs/>
        </w:rPr>
      </w:pPr>
      <w:r>
        <w:rPr>
          <w:rStyle w:val="FootnoteReference"/>
        </w:rPr>
        <w:footnoteRef/>
      </w:r>
      <w:r>
        <w:t xml:space="preserve"> </w:t>
      </w:r>
      <w:r>
        <w:rPr>
          <w:i/>
        </w:rPr>
        <w:t xml:space="preserve">Id. </w:t>
      </w:r>
      <w:r>
        <w:rPr>
          <w:iCs/>
        </w:rPr>
        <w:t xml:space="preserve">(citing </w:t>
      </w:r>
      <w:r w:rsidRPr="000D4324">
        <w:rPr>
          <w:iCs/>
        </w:rPr>
        <w:t>649 F.3d 1276 (Fed. Cir. 2011)</w:t>
      </w:r>
      <w:r>
        <w:rPr>
          <w:iCs/>
        </w:rPr>
        <w:t>).</w:t>
      </w:r>
    </w:p>
  </w:footnote>
  <w:footnote w:id="634">
    <w:p w14:paraId="0F525467" w14:textId="77777777" w:rsidR="00D90D35" w:rsidRPr="003875F3" w:rsidRDefault="00D90D35" w:rsidP="00876125">
      <w:pPr>
        <w:pStyle w:val="FootnoteText"/>
      </w:pPr>
      <w:r>
        <w:rPr>
          <w:rStyle w:val="FootnoteReference"/>
        </w:rPr>
        <w:footnoteRef/>
      </w:r>
      <w:r>
        <w:t xml:space="preserve"> </w:t>
      </w:r>
      <w:r>
        <w:rPr>
          <w:i/>
          <w:iCs/>
        </w:rPr>
        <w:t xml:space="preserve">Id. </w:t>
      </w:r>
      <w:r>
        <w:t xml:space="preserve">(citing </w:t>
      </w:r>
      <w:r w:rsidRPr="00E806AF">
        <w:rPr>
          <w:i/>
          <w:iCs/>
        </w:rPr>
        <w:t>Nilssen v. Wal-Mart Stores, Inc.</w:t>
      </w:r>
      <w:r w:rsidRPr="003875F3">
        <w:t>, 438 F. App’x 898 (Fed. Cir. 2011)</w:t>
      </w:r>
      <w:r>
        <w:t>).</w:t>
      </w:r>
    </w:p>
  </w:footnote>
  <w:footnote w:id="635">
    <w:p w14:paraId="647CBCC5" w14:textId="77777777" w:rsidR="00D90D35" w:rsidRPr="00E2640E" w:rsidRDefault="00D90D35" w:rsidP="00876125">
      <w:pPr>
        <w:pStyle w:val="FootnoteText"/>
      </w:pPr>
      <w:r>
        <w:rPr>
          <w:rStyle w:val="FootnoteReference"/>
        </w:rPr>
        <w:footnoteRef/>
      </w:r>
      <w:r>
        <w:t xml:space="preserve"> </w:t>
      </w:r>
      <w:r>
        <w:rPr>
          <w:i/>
          <w:iCs/>
        </w:rPr>
        <w:t xml:space="preserve">Id. </w:t>
      </w:r>
      <w:r>
        <w:t>at *3.</w:t>
      </w:r>
    </w:p>
  </w:footnote>
  <w:footnote w:id="636">
    <w:p w14:paraId="45584958" w14:textId="53F4A108" w:rsidR="00D90D35" w:rsidRPr="001B21DA" w:rsidRDefault="00D90D35" w:rsidP="00955E4C">
      <w:pPr>
        <w:pStyle w:val="FootnoteText"/>
      </w:pPr>
      <w:r>
        <w:rPr>
          <w:rStyle w:val="FootnoteReference"/>
        </w:rPr>
        <w:footnoteRef/>
      </w:r>
      <w:r>
        <w:t xml:space="preserve"> </w:t>
      </w:r>
      <w:r>
        <w:rPr>
          <w:i/>
          <w:iCs/>
        </w:rPr>
        <w:t xml:space="preserve">Id. </w:t>
      </w:r>
      <w:r>
        <w:t xml:space="preserve">(collecting authorities).  </w:t>
      </w:r>
      <w:r>
        <w:rPr>
          <w:rFonts w:cs="Times New Roman"/>
          <w:color w:val="000000" w:themeColor="text1"/>
        </w:rPr>
        <w:t xml:space="preserve">In the Third Circuit, the overall test is whether (1) a final judgment on the merits has been made (2) involving the same parties (3) and the same action.  </w:t>
      </w:r>
      <w:r>
        <w:rPr>
          <w:rFonts w:cs="Times New Roman"/>
          <w:i/>
          <w:color w:val="000000" w:themeColor="text1"/>
        </w:rPr>
        <w:t xml:space="preserve">See id. </w:t>
      </w:r>
      <w:r>
        <w:rPr>
          <w:rFonts w:cs="Times New Roman"/>
          <w:color w:val="000000" w:themeColor="text1"/>
        </w:rPr>
        <w:t xml:space="preserve">at *3 (citing </w:t>
      </w:r>
      <w:r w:rsidRPr="00EA5B52">
        <w:rPr>
          <w:rFonts w:cs="Times New Roman"/>
          <w:color w:val="000000" w:themeColor="text1"/>
        </w:rPr>
        <w:t>Lubrizol Corp. v. Exxon Corp., 929 F.2d 960, 963 (3d Cir. 1991)</w:t>
      </w:r>
      <w:r>
        <w:rPr>
          <w:rFonts w:cs="Times New Roman"/>
          <w:color w:val="000000" w:themeColor="text1"/>
        </w:rPr>
        <w:t>).  This third prong is what the Federal Circuit law determines.</w:t>
      </w:r>
    </w:p>
  </w:footnote>
  <w:footnote w:id="637">
    <w:p w14:paraId="3CC9E148" w14:textId="6AD29BF3" w:rsidR="00D90D35" w:rsidRDefault="00D90D35" w:rsidP="00876125">
      <w:pPr>
        <w:pStyle w:val="FootnoteText"/>
      </w:pPr>
      <w:r>
        <w:rPr>
          <w:rStyle w:val="FootnoteReference"/>
        </w:rPr>
        <w:footnoteRef/>
      </w:r>
      <w:r>
        <w:t xml:space="preserve"> </w:t>
      </w:r>
      <w:r>
        <w:rPr>
          <w:i/>
        </w:rPr>
        <w:t xml:space="preserve">Id. </w:t>
      </w:r>
      <w:r>
        <w:t xml:space="preserve">(citing </w:t>
      </w:r>
      <w:r w:rsidRPr="004D66E3">
        <w:rPr>
          <w:rFonts w:cs="Times New Roman"/>
          <w:color w:val="000000" w:themeColor="text1"/>
        </w:rPr>
        <w:t>Aspex Eyewear, Inc. v. Marchon Eyewear, Inc., 672 F.3d 1335, 1342 (Fed. Cir. 2012)</w:t>
      </w:r>
      <w:r>
        <w:rPr>
          <w:rFonts w:cs="Times New Roman"/>
          <w:color w:val="000000" w:themeColor="text1"/>
        </w:rPr>
        <w:t>)</w:t>
      </w:r>
      <w:r w:rsidRPr="004D66E3">
        <w:rPr>
          <w:rFonts w:cs="Times New Roman"/>
          <w:color w:val="000000" w:themeColor="text1"/>
        </w:rPr>
        <w:t>.</w:t>
      </w:r>
    </w:p>
  </w:footnote>
  <w:footnote w:id="638">
    <w:p w14:paraId="27D45A67" w14:textId="77777777" w:rsidR="00D90D35" w:rsidRPr="00020415" w:rsidRDefault="00D90D35" w:rsidP="00876125">
      <w:pPr>
        <w:pStyle w:val="FootnoteText"/>
      </w:pPr>
      <w:r>
        <w:rPr>
          <w:rStyle w:val="FootnoteReference"/>
        </w:rPr>
        <w:footnoteRef/>
      </w:r>
      <w:r>
        <w:t xml:space="preserve"> </w:t>
      </w:r>
      <w:r>
        <w:rPr>
          <w:i/>
        </w:rPr>
        <w:t xml:space="preserve">See id. </w:t>
      </w:r>
      <w:r>
        <w:t xml:space="preserve">(citing </w:t>
      </w:r>
      <w:r w:rsidRPr="005B6C26">
        <w:t xml:space="preserve">Mentor Graphics Corp. v. EVE-USA, Inc., 851 F.3d 1275, </w:t>
      </w:r>
      <w:r>
        <w:t>1299</w:t>
      </w:r>
      <w:r w:rsidRPr="005B6C26">
        <w:t xml:space="preserve"> (Fed. Cir. 2017), </w:t>
      </w:r>
      <w:r w:rsidRPr="005B6C26">
        <w:rPr>
          <w:i/>
        </w:rPr>
        <w:t>cert. dismissed</w:t>
      </w:r>
      <w:r>
        <w:t>, 139 S. Ct. 44 (2018); Brain Life, LLC v. Elekta Inc., 746 F.3d 1045, 1056 (Fed. Cir. 2014)).</w:t>
      </w:r>
    </w:p>
  </w:footnote>
  <w:footnote w:id="639">
    <w:p w14:paraId="189CF3B1" w14:textId="77777777" w:rsidR="00D90D35" w:rsidRPr="00147ED4" w:rsidRDefault="00D90D35" w:rsidP="00876125">
      <w:pPr>
        <w:pStyle w:val="FootnoteText"/>
        <w:rPr>
          <w:i/>
        </w:rPr>
      </w:pPr>
      <w:r>
        <w:rPr>
          <w:rStyle w:val="FootnoteReference"/>
        </w:rPr>
        <w:footnoteRef/>
      </w:r>
      <w:r>
        <w:t xml:space="preserve"> </w:t>
      </w:r>
      <w:r>
        <w:rPr>
          <w:i/>
        </w:rPr>
        <w:t>Id.</w:t>
      </w:r>
    </w:p>
  </w:footnote>
  <w:footnote w:id="640">
    <w:p w14:paraId="583D91B6" w14:textId="77777777" w:rsidR="00D90D35" w:rsidRPr="008F6FCA" w:rsidRDefault="00D90D35" w:rsidP="00876125">
      <w:pPr>
        <w:pStyle w:val="FootnoteText"/>
      </w:pPr>
      <w:r>
        <w:rPr>
          <w:rStyle w:val="FootnoteReference"/>
        </w:rPr>
        <w:footnoteRef/>
      </w:r>
      <w:r>
        <w:t xml:space="preserve"> </w:t>
      </w:r>
      <w:r>
        <w:rPr>
          <w:i/>
        </w:rPr>
        <w:t xml:space="preserve">Id. </w:t>
      </w:r>
      <w:r>
        <w:t xml:space="preserve">at *3-4 (citing </w:t>
      </w:r>
      <w:r w:rsidRPr="008F6FCA">
        <w:t>Kessler v</w:t>
      </w:r>
      <w:r>
        <w:t>. Eldred, 206 U.S. 285 (1907)).</w:t>
      </w:r>
    </w:p>
  </w:footnote>
  <w:footnote w:id="641">
    <w:p w14:paraId="4D0BC6BD" w14:textId="77777777" w:rsidR="00D90D35" w:rsidRPr="00887E0B" w:rsidRDefault="00D90D35" w:rsidP="00876125">
      <w:pPr>
        <w:pStyle w:val="FootnoteText"/>
      </w:pPr>
      <w:r>
        <w:rPr>
          <w:rStyle w:val="FootnoteReference"/>
        </w:rPr>
        <w:footnoteRef/>
      </w:r>
      <w:r>
        <w:t xml:space="preserve"> </w:t>
      </w:r>
      <w:r>
        <w:rPr>
          <w:i/>
        </w:rPr>
        <w:t xml:space="preserve">Id. </w:t>
      </w:r>
      <w:r>
        <w:t>at *4.</w:t>
      </w:r>
    </w:p>
  </w:footnote>
  <w:footnote w:id="642">
    <w:p w14:paraId="57D40F69" w14:textId="77777777" w:rsidR="00D90D35" w:rsidRPr="00C804F7" w:rsidRDefault="00D90D35" w:rsidP="00876125">
      <w:pPr>
        <w:pStyle w:val="FootnoteText"/>
      </w:pPr>
      <w:r>
        <w:rPr>
          <w:rStyle w:val="FootnoteReference"/>
        </w:rPr>
        <w:footnoteRef/>
      </w:r>
      <w:r>
        <w:t xml:space="preserve"> </w:t>
      </w:r>
      <w:r>
        <w:rPr>
          <w:i/>
        </w:rPr>
        <w:t xml:space="preserve">Id. </w:t>
      </w:r>
      <w:r>
        <w:t>(stating elements).</w:t>
      </w:r>
    </w:p>
  </w:footnote>
  <w:footnote w:id="643">
    <w:p w14:paraId="7D60054F" w14:textId="77777777" w:rsidR="00D90D35" w:rsidRDefault="00D90D35" w:rsidP="00876125">
      <w:pPr>
        <w:pStyle w:val="FootnoteText"/>
      </w:pPr>
      <w:r>
        <w:rPr>
          <w:rStyle w:val="FootnoteReference"/>
        </w:rPr>
        <w:footnoteRef/>
      </w:r>
      <w:r>
        <w:t xml:space="preserve"> The court did not discuss whether the exception must be embraced by the regional circuit for it to be used.</w:t>
      </w:r>
    </w:p>
  </w:footnote>
  <w:footnote w:id="644">
    <w:p w14:paraId="67B8A38E" w14:textId="77777777" w:rsidR="00D90D35" w:rsidRPr="00275A16" w:rsidRDefault="00D90D35" w:rsidP="00876125">
      <w:pPr>
        <w:pStyle w:val="FootnoteText"/>
      </w:pPr>
      <w:r>
        <w:rPr>
          <w:rStyle w:val="FootnoteReference"/>
        </w:rPr>
        <w:footnoteRef/>
      </w:r>
      <w:r>
        <w:t xml:space="preserve"> </w:t>
      </w:r>
      <w:r>
        <w:rPr>
          <w:i/>
        </w:rPr>
        <w:t xml:space="preserve">Id. </w:t>
      </w:r>
      <w:r>
        <w:t xml:space="preserve">at *4 (citing </w:t>
      </w:r>
      <w:r w:rsidRPr="00275A16">
        <w:t>Dow Chem. Co. v. Nova Chemicals Corp. (Canada), 803 F.3d 620, 629 (Fed. Cir. 2015)</w:t>
      </w:r>
      <w:r>
        <w:t>).</w:t>
      </w:r>
    </w:p>
  </w:footnote>
  <w:footnote w:id="645">
    <w:p w14:paraId="3167622B" w14:textId="77777777" w:rsidR="00D90D35" w:rsidRPr="00652207" w:rsidRDefault="00D90D35" w:rsidP="00876125">
      <w:pPr>
        <w:pStyle w:val="FootnoteText"/>
      </w:pPr>
      <w:r>
        <w:rPr>
          <w:rStyle w:val="FootnoteReference"/>
        </w:rPr>
        <w:footnoteRef/>
      </w:r>
      <w:r>
        <w:t xml:space="preserve"> </w:t>
      </w:r>
      <w:r>
        <w:rPr>
          <w:i/>
        </w:rPr>
        <w:t xml:space="preserve">Id. </w:t>
      </w:r>
      <w:r>
        <w:t>at *6 (</w:t>
      </w:r>
      <w:r w:rsidRPr="00A36F3C">
        <w:rPr>
          <w:rFonts w:cs="Times New Roman"/>
          <w:color w:val="000000" w:themeColor="text1"/>
        </w:rPr>
        <w:t>citing</w:t>
      </w:r>
      <w:r w:rsidRPr="00652207">
        <w:rPr>
          <w:rFonts w:cs="Times New Roman"/>
          <w:color w:val="000000" w:themeColor="text1"/>
        </w:rPr>
        <w:t xml:space="preserve"> 649 F.3d 1276</w:t>
      </w:r>
      <w:r>
        <w:rPr>
          <w:rFonts w:cs="Times New Roman"/>
          <w:color w:val="000000" w:themeColor="text1"/>
        </w:rPr>
        <w:t>, 1290</w:t>
      </w:r>
      <w:r w:rsidRPr="00652207">
        <w:rPr>
          <w:rFonts w:cs="Times New Roman"/>
          <w:color w:val="000000" w:themeColor="text1"/>
        </w:rPr>
        <w:t xml:space="preserve"> (Fed. Cir. 2011)</w:t>
      </w:r>
      <w:r>
        <w:rPr>
          <w:rFonts w:cs="Times New Roman"/>
          <w:color w:val="000000" w:themeColor="text1"/>
        </w:rPr>
        <w:t>).</w:t>
      </w:r>
    </w:p>
  </w:footnote>
  <w:footnote w:id="646">
    <w:p w14:paraId="662DCE75" w14:textId="77777777" w:rsidR="00D90D35" w:rsidRPr="00C631EE" w:rsidRDefault="00D90D35" w:rsidP="00876125">
      <w:pPr>
        <w:pStyle w:val="FootnoteText"/>
      </w:pPr>
      <w:r>
        <w:rPr>
          <w:rStyle w:val="FootnoteReference"/>
        </w:rPr>
        <w:footnoteRef/>
      </w:r>
      <w:r>
        <w:t xml:space="preserve"> </w:t>
      </w:r>
      <w:r>
        <w:rPr>
          <w:i/>
        </w:rPr>
        <w:t xml:space="preserve">Id. </w:t>
      </w:r>
      <w:r>
        <w:t>at *6, 6-8.</w:t>
      </w:r>
    </w:p>
  </w:footnote>
  <w:footnote w:id="647">
    <w:p w14:paraId="0656393F" w14:textId="77777777" w:rsidR="00D90D35" w:rsidRPr="003F352B" w:rsidRDefault="00D90D35" w:rsidP="00876125">
      <w:pPr>
        <w:pStyle w:val="FootnoteText"/>
      </w:pPr>
      <w:r>
        <w:rPr>
          <w:rStyle w:val="FootnoteReference"/>
        </w:rPr>
        <w:footnoteRef/>
      </w:r>
      <w:r>
        <w:t xml:space="preserve"> </w:t>
      </w:r>
      <w:r>
        <w:rPr>
          <w:i/>
        </w:rPr>
        <w:t xml:space="preserve">Id. </w:t>
      </w:r>
      <w:r>
        <w:t>at *8.</w:t>
      </w:r>
    </w:p>
  </w:footnote>
  <w:footnote w:id="648">
    <w:p w14:paraId="34DED817" w14:textId="77777777" w:rsidR="00D90D35" w:rsidRPr="00FA2ACB" w:rsidRDefault="00D90D35" w:rsidP="00876125">
      <w:pPr>
        <w:pStyle w:val="FootnoteText"/>
        <w:rPr>
          <w:i/>
        </w:rPr>
      </w:pPr>
      <w:r>
        <w:rPr>
          <w:rStyle w:val="FootnoteReference"/>
        </w:rPr>
        <w:footnoteRef/>
      </w:r>
      <w:r>
        <w:t xml:space="preserve"> </w:t>
      </w:r>
      <w:r>
        <w:rPr>
          <w:i/>
        </w:rPr>
        <w:t>Id.</w:t>
      </w:r>
    </w:p>
  </w:footnote>
  <w:footnote w:id="649">
    <w:p w14:paraId="1F2E2BAC" w14:textId="77777777" w:rsidR="00D90D35" w:rsidRPr="003D4DB7" w:rsidRDefault="00D90D35" w:rsidP="00655274">
      <w:pPr>
        <w:pStyle w:val="FootnoteText"/>
      </w:pPr>
      <w:r w:rsidRPr="005A669A">
        <w:rPr>
          <w:rStyle w:val="FootnoteReference"/>
        </w:rPr>
        <w:footnoteRef/>
      </w:r>
      <w:r>
        <w:t xml:space="preserve"> </w:t>
      </w:r>
      <w:r w:rsidRPr="003D4DB7">
        <w:t>Omega Patents, LLC v. Calamp Corp., No. 2018-1309, 2019 WL 1510676</w:t>
      </w:r>
      <w:r>
        <w:t>, at *12</w:t>
      </w:r>
      <w:r w:rsidRPr="003D4DB7">
        <w:t xml:space="preserve"> (Fed. Cir. Apr</w:t>
      </w:r>
      <w:r>
        <w:t>. </w:t>
      </w:r>
      <w:r w:rsidRPr="003D4DB7">
        <w:t>8, 2019)</w:t>
      </w:r>
      <w:r>
        <w:t xml:space="preserve"> (summarizing result).</w:t>
      </w:r>
    </w:p>
  </w:footnote>
  <w:footnote w:id="650">
    <w:p w14:paraId="6295573E" w14:textId="77777777" w:rsidR="00D90D35" w:rsidRPr="006E7BFA" w:rsidRDefault="00D90D35" w:rsidP="00CE40BF">
      <w:pPr>
        <w:pStyle w:val="FootnoteText"/>
      </w:pPr>
      <w:r w:rsidRPr="005A669A">
        <w:rPr>
          <w:rStyle w:val="FootnoteReference"/>
        </w:rPr>
        <w:footnoteRef/>
      </w:r>
      <w:r>
        <w:t xml:space="preserve"> </w:t>
      </w:r>
      <w:r>
        <w:rPr>
          <w:i/>
        </w:rPr>
        <w:t xml:space="preserve">Id. </w:t>
      </w:r>
      <w:r>
        <w:t xml:space="preserve">at *7 (citing </w:t>
      </w:r>
      <w:r w:rsidRPr="006E7BFA">
        <w:t>Julien J. Studley, Inc. v. Gulf Oil Corp., 407 F.2d 521, 526–27 (2d Cir. 1969)</w:t>
      </w:r>
      <w:r>
        <w:t>).</w:t>
      </w:r>
    </w:p>
  </w:footnote>
  <w:footnote w:id="651">
    <w:p w14:paraId="66B82EA9" w14:textId="485ADE8A" w:rsidR="00D90D35" w:rsidRPr="00764966" w:rsidRDefault="00D90D35" w:rsidP="00655274">
      <w:pPr>
        <w:pStyle w:val="FootnoteText"/>
      </w:pPr>
      <w:r w:rsidRPr="005A669A">
        <w:rPr>
          <w:rStyle w:val="FootnoteReference"/>
        </w:rPr>
        <w:footnoteRef/>
      </w:r>
      <w:r>
        <w:t xml:space="preserve"> </w:t>
      </w:r>
      <w:r>
        <w:rPr>
          <w:i/>
        </w:rPr>
        <w:t xml:space="preserve">Id. </w:t>
      </w:r>
    </w:p>
  </w:footnote>
  <w:footnote w:id="652">
    <w:p w14:paraId="42E2F9DD" w14:textId="77777777" w:rsidR="00D90D35" w:rsidRPr="00764966" w:rsidRDefault="00D90D35" w:rsidP="00655274">
      <w:pPr>
        <w:pStyle w:val="FootnoteText"/>
      </w:pPr>
      <w:r w:rsidRPr="005A669A">
        <w:rPr>
          <w:rStyle w:val="FootnoteReference"/>
        </w:rPr>
        <w:footnoteRef/>
      </w:r>
      <w:r>
        <w:t xml:space="preserve"> </w:t>
      </w:r>
      <w:r>
        <w:rPr>
          <w:i/>
        </w:rPr>
        <w:t xml:space="preserve">Id. </w:t>
      </w:r>
      <w:r>
        <w:t>at *8.</w:t>
      </w:r>
    </w:p>
  </w:footnote>
  <w:footnote w:id="653">
    <w:p w14:paraId="4295F3FB" w14:textId="77777777" w:rsidR="00D90D35" w:rsidRPr="000C201C" w:rsidRDefault="00D90D35" w:rsidP="00CE40BF">
      <w:pPr>
        <w:pStyle w:val="FootnoteText"/>
      </w:pPr>
      <w:r w:rsidRPr="005A669A">
        <w:rPr>
          <w:rStyle w:val="FootnoteReference"/>
        </w:rPr>
        <w:footnoteRef/>
      </w:r>
      <w:r>
        <w:t xml:space="preserve"> </w:t>
      </w:r>
      <w:r>
        <w:rPr>
          <w:i/>
        </w:rPr>
        <w:t xml:space="preserve">Id. </w:t>
      </w:r>
      <w:r>
        <w:t>at *7-*8.</w:t>
      </w:r>
    </w:p>
  </w:footnote>
  <w:footnote w:id="654">
    <w:p w14:paraId="28912DF7" w14:textId="77777777" w:rsidR="00D90D35" w:rsidRPr="001740DC" w:rsidRDefault="00D90D35" w:rsidP="00655274">
      <w:pPr>
        <w:pStyle w:val="FootnoteText"/>
      </w:pPr>
      <w:r w:rsidRPr="005A669A">
        <w:rPr>
          <w:rStyle w:val="FootnoteReference"/>
        </w:rPr>
        <w:footnoteRef/>
      </w:r>
      <w:r>
        <w:t xml:space="preserve"> </w:t>
      </w:r>
      <w:r>
        <w:rPr>
          <w:i/>
        </w:rPr>
        <w:t xml:space="preserve">Id. </w:t>
      </w:r>
      <w:r>
        <w:t>at *9-*10.</w:t>
      </w:r>
    </w:p>
  </w:footnote>
  <w:footnote w:id="655">
    <w:p w14:paraId="3BDDB396" w14:textId="62DEBCAF" w:rsidR="00D90D35" w:rsidRPr="00564C03" w:rsidRDefault="00D90D35">
      <w:pPr>
        <w:pStyle w:val="FootnoteText"/>
      </w:pPr>
      <w:r w:rsidRPr="005A669A">
        <w:rPr>
          <w:rStyle w:val="FootnoteReference"/>
        </w:rPr>
        <w:footnoteRef/>
      </w:r>
      <w:r>
        <w:t xml:space="preserve"> </w:t>
      </w:r>
      <w:r>
        <w:rPr>
          <w:i/>
        </w:rPr>
        <w:t xml:space="preserve">See </w:t>
      </w:r>
      <w:r w:rsidRPr="007F1307">
        <w:rPr>
          <w:rFonts w:cs="Times New Roman"/>
          <w:szCs w:val="22"/>
        </w:rPr>
        <w:t>Western</w:t>
      </w:r>
      <w:r>
        <w:rPr>
          <w:rFonts w:cs="Times New Roman"/>
          <w:szCs w:val="22"/>
        </w:rPr>
        <w:t>G</w:t>
      </w:r>
      <w:r w:rsidRPr="007F1307">
        <w:rPr>
          <w:rFonts w:cs="Times New Roman"/>
          <w:szCs w:val="22"/>
        </w:rPr>
        <w:t xml:space="preserve">eco LLC v. Ion Geophysical Corp., 138 </w:t>
      </w:r>
      <w:r>
        <w:rPr>
          <w:rFonts w:cs="Times New Roman"/>
          <w:szCs w:val="22"/>
        </w:rPr>
        <w:t>S. Ct.</w:t>
      </w:r>
      <w:r w:rsidRPr="007F1307">
        <w:rPr>
          <w:rFonts w:cs="Times New Roman"/>
          <w:szCs w:val="22"/>
        </w:rPr>
        <w:t xml:space="preserve"> 2129</w:t>
      </w:r>
      <w:r>
        <w:rPr>
          <w:rFonts w:cs="Times New Roman"/>
          <w:szCs w:val="22"/>
        </w:rPr>
        <w:t xml:space="preserve"> </w:t>
      </w:r>
      <w:r w:rsidRPr="007F1307">
        <w:rPr>
          <w:rFonts w:cs="Times New Roman"/>
          <w:szCs w:val="22"/>
        </w:rPr>
        <w:t>(2018)</w:t>
      </w:r>
      <w:r>
        <w:rPr>
          <w:rFonts w:cs="Times New Roman"/>
          <w:szCs w:val="22"/>
        </w:rPr>
        <w:t xml:space="preserve">, discussed </w:t>
      </w:r>
      <w:r>
        <w:rPr>
          <w:rFonts w:cs="Times New Roman"/>
          <w:i/>
          <w:szCs w:val="22"/>
        </w:rPr>
        <w:t>supra</w:t>
      </w:r>
      <w:r>
        <w:rPr>
          <w:rFonts w:cs="Times New Roman"/>
          <w:szCs w:val="22"/>
        </w:rPr>
        <w:t>.</w:t>
      </w:r>
    </w:p>
  </w:footnote>
  <w:footnote w:id="656">
    <w:p w14:paraId="37B7C5CD" w14:textId="6344571B" w:rsidR="00D90D35" w:rsidRDefault="00D90D35" w:rsidP="00866601">
      <w:pPr>
        <w:pStyle w:val="FootnoteText"/>
      </w:pPr>
      <w:r w:rsidRPr="005A669A">
        <w:rPr>
          <w:rStyle w:val="FootnoteReference"/>
        </w:rPr>
        <w:footnoteRef/>
      </w:r>
      <w:r>
        <w:t xml:space="preserve"> WesternGeco LLC v. ION Geophysical Corp., 913 F.3d 1067 (2019).</w:t>
      </w:r>
    </w:p>
  </w:footnote>
  <w:footnote w:id="657">
    <w:p w14:paraId="57F5CA23" w14:textId="2046DD41" w:rsidR="00D90D35" w:rsidRPr="00CF0E3E" w:rsidRDefault="00D90D35" w:rsidP="007840E8">
      <w:pPr>
        <w:pStyle w:val="FootnoteText"/>
      </w:pPr>
      <w:r w:rsidRPr="005A669A">
        <w:rPr>
          <w:rStyle w:val="FootnoteReference"/>
        </w:rPr>
        <w:footnoteRef/>
      </w:r>
      <w:r>
        <w:t xml:space="preserve"> </w:t>
      </w:r>
      <w:r>
        <w:rPr>
          <w:i/>
        </w:rPr>
        <w:t xml:space="preserve">Id </w:t>
      </w:r>
      <w:r>
        <w:t>at 1075.</w:t>
      </w:r>
    </w:p>
  </w:footnote>
  <w:footnote w:id="658">
    <w:p w14:paraId="006EC13C" w14:textId="77777777" w:rsidR="00D90D35" w:rsidRPr="00CF0E3E" w:rsidRDefault="00D90D35" w:rsidP="009E4B09">
      <w:pPr>
        <w:pStyle w:val="FootnoteText"/>
      </w:pPr>
      <w:r w:rsidRPr="005A669A">
        <w:rPr>
          <w:rStyle w:val="FootnoteReference"/>
        </w:rPr>
        <w:footnoteRef/>
      </w:r>
      <w:r>
        <w:t xml:space="preserve"> </w:t>
      </w:r>
      <w:r>
        <w:rPr>
          <w:i/>
        </w:rPr>
        <w:t xml:space="preserve">Id </w:t>
      </w:r>
      <w:r>
        <w:t>at 1069, 1071.</w:t>
      </w:r>
    </w:p>
  </w:footnote>
  <w:footnote w:id="659">
    <w:p w14:paraId="1C29F7F8" w14:textId="0E155819" w:rsidR="00D90D35" w:rsidRPr="00013357" w:rsidRDefault="00D90D35" w:rsidP="00593A13">
      <w:pPr>
        <w:pStyle w:val="FootnoteText"/>
      </w:pPr>
      <w:r w:rsidRPr="005A669A">
        <w:rPr>
          <w:rStyle w:val="FootnoteReference"/>
        </w:rPr>
        <w:footnoteRef/>
      </w:r>
      <w:r>
        <w:t xml:space="preserve"> </w:t>
      </w:r>
      <w:r>
        <w:rPr>
          <w:rFonts w:cs="Times New Roman"/>
          <w:color w:val="000000" w:themeColor="text1"/>
        </w:rPr>
        <w:t xml:space="preserve">It cited </w:t>
      </w:r>
      <w:r>
        <w:rPr>
          <w:rFonts w:cs="Times New Roman"/>
          <w:i/>
          <w:color w:val="000000" w:themeColor="text1"/>
        </w:rPr>
        <w:t>Fresenius USA, Inc. v.</w:t>
      </w:r>
      <w:r w:rsidRPr="00936E3D">
        <w:t xml:space="preserve"> </w:t>
      </w:r>
      <w:r w:rsidRPr="00936E3D">
        <w:rPr>
          <w:i/>
        </w:rPr>
        <w:t xml:space="preserve">Baxter </w:t>
      </w:r>
      <w:r>
        <w:rPr>
          <w:i/>
        </w:rPr>
        <w:t>International</w:t>
      </w:r>
      <w:r w:rsidRPr="00936E3D">
        <w:rPr>
          <w:i/>
        </w:rPr>
        <w:t>, Inc</w:t>
      </w:r>
      <w:r w:rsidRPr="00013357">
        <w:t>.</w:t>
      </w:r>
      <w:r>
        <w:rPr>
          <w:rFonts w:cs="Times New Roman"/>
          <w:i/>
          <w:color w:val="000000" w:themeColor="text1"/>
        </w:rPr>
        <w:t xml:space="preserve"> </w:t>
      </w:r>
      <w:r>
        <w:rPr>
          <w:rFonts w:cs="Times New Roman"/>
          <w:color w:val="000000" w:themeColor="text1"/>
        </w:rPr>
        <w:t xml:space="preserve">as holding a “judgment cannot be final for purposes of intervening patent invalidations if any part of the litigation continues . . . . </w:t>
      </w:r>
      <w:r>
        <w:rPr>
          <w:i/>
        </w:rPr>
        <w:t xml:space="preserve">Id. </w:t>
      </w:r>
      <w:r>
        <w:t>at 1071 (citing</w:t>
      </w:r>
      <w:r w:rsidRPr="00013357">
        <w:t xml:space="preserve"> 721 F.3d 1330 (Fed. Cir. 2013)</w:t>
      </w:r>
      <w:r>
        <w:t>).</w:t>
      </w:r>
    </w:p>
  </w:footnote>
  <w:footnote w:id="660">
    <w:p w14:paraId="47386B76" w14:textId="2ED5FD08" w:rsidR="00D90D35" w:rsidRPr="00ED51F0" w:rsidRDefault="00D90D35">
      <w:pPr>
        <w:pStyle w:val="FootnoteText"/>
      </w:pPr>
      <w:r w:rsidRPr="005A669A">
        <w:rPr>
          <w:rStyle w:val="FootnoteReference"/>
        </w:rPr>
        <w:footnoteRef/>
      </w:r>
      <w:r>
        <w:t xml:space="preserve"> </w:t>
      </w:r>
      <w:r>
        <w:rPr>
          <w:i/>
        </w:rPr>
        <w:t xml:space="preserve">Id. </w:t>
      </w:r>
      <w:r>
        <w:t>at 1072.</w:t>
      </w:r>
    </w:p>
  </w:footnote>
  <w:footnote w:id="661">
    <w:p w14:paraId="55332218" w14:textId="2FC8C01D" w:rsidR="00D90D35" w:rsidRPr="00ED51F0" w:rsidRDefault="00D90D35" w:rsidP="003F5014">
      <w:pPr>
        <w:pStyle w:val="FootnoteText"/>
      </w:pPr>
      <w:r w:rsidRPr="005A669A">
        <w:rPr>
          <w:rStyle w:val="FootnoteReference"/>
        </w:rPr>
        <w:footnoteRef/>
      </w:r>
      <w:r>
        <w:t xml:space="preserve"> </w:t>
      </w:r>
      <w:r>
        <w:rPr>
          <w:i/>
        </w:rPr>
        <w:t xml:space="preserve">Id. </w:t>
      </w:r>
    </w:p>
  </w:footnote>
  <w:footnote w:id="662">
    <w:p w14:paraId="65CD99FE" w14:textId="195DDB8B" w:rsidR="00D90D35" w:rsidRPr="006A2C1D" w:rsidRDefault="00D90D35">
      <w:pPr>
        <w:pStyle w:val="FootnoteText"/>
      </w:pPr>
      <w:r w:rsidRPr="005A669A">
        <w:rPr>
          <w:rStyle w:val="FootnoteReference"/>
        </w:rPr>
        <w:footnoteRef/>
      </w:r>
      <w:r>
        <w:t xml:space="preserve"> </w:t>
      </w:r>
      <w:r>
        <w:rPr>
          <w:i/>
        </w:rPr>
        <w:t>Id.</w:t>
      </w:r>
    </w:p>
  </w:footnote>
  <w:footnote w:id="663">
    <w:p w14:paraId="755D342B" w14:textId="42BF17F9" w:rsidR="00D90D35" w:rsidRPr="00DE71DB" w:rsidRDefault="00D90D35">
      <w:pPr>
        <w:pStyle w:val="FootnoteText"/>
      </w:pPr>
      <w:r w:rsidRPr="005A669A">
        <w:rPr>
          <w:rStyle w:val="FootnoteReference"/>
        </w:rPr>
        <w:footnoteRef/>
      </w:r>
      <w:r>
        <w:t xml:space="preserve"> </w:t>
      </w:r>
      <w:r>
        <w:rPr>
          <w:i/>
        </w:rPr>
        <w:t xml:space="preserve">Id. </w:t>
      </w:r>
      <w:r>
        <w:t>at 1070, 1072.</w:t>
      </w:r>
    </w:p>
  </w:footnote>
  <w:footnote w:id="664">
    <w:p w14:paraId="38576D9B" w14:textId="2C277B7D" w:rsidR="00D90D35" w:rsidRPr="00721952" w:rsidRDefault="00D90D35">
      <w:pPr>
        <w:pStyle w:val="FootnoteText"/>
      </w:pPr>
      <w:r w:rsidRPr="005A669A">
        <w:rPr>
          <w:rStyle w:val="FootnoteReference"/>
        </w:rPr>
        <w:footnoteRef/>
      </w:r>
      <w:r>
        <w:t xml:space="preserve"> </w:t>
      </w:r>
      <w:r>
        <w:rPr>
          <w:i/>
        </w:rPr>
        <w:t xml:space="preserve">Id. </w:t>
      </w:r>
      <w:r>
        <w:t xml:space="preserve">at 1072-73 (citing </w:t>
      </w:r>
      <w:r w:rsidRPr="00721952">
        <w:t xml:space="preserve">BIC Leisure </w:t>
      </w:r>
      <w:r>
        <w:t>Prods.</w:t>
      </w:r>
      <w:r w:rsidRPr="00721952">
        <w:t xml:space="preserve">, Inc. v. Windsurfing </w:t>
      </w:r>
      <w:r>
        <w:t>Int’l</w:t>
      </w:r>
      <w:r w:rsidRPr="00721952">
        <w:t xml:space="preserve"> Inc., 1 F.3d 1214 (Fed. Cir. 1993)</w:t>
      </w:r>
      <w:r>
        <w:t>).</w:t>
      </w:r>
    </w:p>
  </w:footnote>
  <w:footnote w:id="665">
    <w:p w14:paraId="59D62540" w14:textId="77777777" w:rsidR="00D90D35" w:rsidRPr="00E77948" w:rsidRDefault="00D90D35" w:rsidP="000020F6">
      <w:pPr>
        <w:pStyle w:val="FootnoteText"/>
      </w:pPr>
      <w:r w:rsidRPr="005A669A">
        <w:rPr>
          <w:rStyle w:val="FootnoteReference"/>
        </w:rPr>
        <w:footnoteRef/>
      </w:r>
      <w:r>
        <w:t xml:space="preserve"> </w:t>
      </w:r>
      <w:r>
        <w:rPr>
          <w:i/>
        </w:rPr>
        <w:t xml:space="preserve">Id. </w:t>
      </w:r>
      <w:r>
        <w:t>at 1073.</w:t>
      </w:r>
    </w:p>
  </w:footnote>
  <w:footnote w:id="666">
    <w:p w14:paraId="67A991A9" w14:textId="5F5AF75B" w:rsidR="00D90D35" w:rsidRPr="00E77948" w:rsidRDefault="00D90D35">
      <w:pPr>
        <w:pStyle w:val="FootnoteText"/>
      </w:pPr>
      <w:r w:rsidRPr="005A669A">
        <w:rPr>
          <w:rStyle w:val="FootnoteReference"/>
        </w:rPr>
        <w:footnoteRef/>
      </w:r>
      <w:r>
        <w:t xml:space="preserve"> </w:t>
      </w:r>
      <w:r>
        <w:rPr>
          <w:i/>
        </w:rPr>
        <w:t xml:space="preserve">Id. </w:t>
      </w:r>
    </w:p>
  </w:footnote>
  <w:footnote w:id="667">
    <w:p w14:paraId="6E9BDBD3" w14:textId="3FD05319" w:rsidR="00D90D35" w:rsidRPr="00EB10BB" w:rsidRDefault="00D90D35" w:rsidP="00EB10BB">
      <w:pPr>
        <w:pStyle w:val="FootnoteText"/>
      </w:pPr>
      <w:r w:rsidRPr="005A669A">
        <w:rPr>
          <w:rStyle w:val="FootnoteReference"/>
        </w:rPr>
        <w:footnoteRef/>
      </w:r>
      <w:r>
        <w:t xml:space="preserve"> </w:t>
      </w:r>
      <w:r>
        <w:rPr>
          <w:i/>
        </w:rPr>
        <w:t xml:space="preserve">Id. </w:t>
      </w:r>
      <w:r>
        <w:t xml:space="preserve">(citing </w:t>
      </w:r>
      <w:r w:rsidRPr="005E2600">
        <w:t>i4i Ltd. P’ship</w:t>
      </w:r>
      <w:r>
        <w:t> </w:t>
      </w:r>
      <w:r w:rsidRPr="005E2600">
        <w:t>v. Microsoft Corp., 598 F.3d 831, 849– 50 (Fed. Cir. 2010)</w:t>
      </w:r>
      <w:r>
        <w:t xml:space="preserve">, </w:t>
      </w:r>
      <w:r w:rsidRPr="00EB10BB">
        <w:rPr>
          <w:i/>
        </w:rPr>
        <w:t>aff’d</w:t>
      </w:r>
      <w:r w:rsidRPr="00EB10BB">
        <w:t>,</w:t>
      </w:r>
      <w:r>
        <w:t xml:space="preserve"> 564 U.S. 91 (2011)).</w:t>
      </w:r>
    </w:p>
  </w:footnote>
  <w:footnote w:id="668">
    <w:p w14:paraId="6A5AF826" w14:textId="77777777" w:rsidR="00D90D35" w:rsidRPr="00C206FD" w:rsidRDefault="00D90D35" w:rsidP="00A16527">
      <w:pPr>
        <w:pStyle w:val="FootnoteText"/>
      </w:pPr>
      <w:r w:rsidRPr="005A669A">
        <w:rPr>
          <w:rStyle w:val="FootnoteReference"/>
        </w:rPr>
        <w:footnoteRef/>
      </w:r>
      <w:r>
        <w:t xml:space="preserve"> </w:t>
      </w:r>
      <w:r>
        <w:rPr>
          <w:i/>
        </w:rPr>
        <w:t xml:space="preserve">Id. </w:t>
      </w:r>
      <w:r>
        <w:t xml:space="preserve">at 1074 (citing </w:t>
      </w:r>
      <w:r w:rsidRPr="00C206FD">
        <w:t>Avid Tech., Inc.</w:t>
      </w:r>
      <w:r>
        <w:t> </w:t>
      </w:r>
      <w:r w:rsidRPr="00C206FD">
        <w:t>v. Harmonic, Inc., 812 F.3d 1040, 1047 (Fed. Cir. 2016)</w:t>
      </w:r>
      <w:r>
        <w:t>).</w:t>
      </w:r>
    </w:p>
  </w:footnote>
  <w:footnote w:id="669">
    <w:p w14:paraId="5FFE3691" w14:textId="7B5D391B" w:rsidR="00D90D35" w:rsidRPr="00255A56" w:rsidRDefault="00D90D35">
      <w:pPr>
        <w:pStyle w:val="FootnoteText"/>
      </w:pPr>
      <w:r w:rsidRPr="005A669A">
        <w:rPr>
          <w:rStyle w:val="FootnoteReference"/>
        </w:rPr>
        <w:footnoteRef/>
      </w:r>
      <w:r>
        <w:t xml:space="preserve"> </w:t>
      </w:r>
      <w:r>
        <w:rPr>
          <w:i/>
        </w:rPr>
        <w:t xml:space="preserve">Id. </w:t>
      </w:r>
      <w:r>
        <w:t>at 1074.</w:t>
      </w:r>
    </w:p>
  </w:footnote>
  <w:footnote w:id="670">
    <w:p w14:paraId="327C677A" w14:textId="5BD4AE72" w:rsidR="00D90D35" w:rsidRPr="00A17E0A" w:rsidRDefault="00D90D35" w:rsidP="00E35721">
      <w:pPr>
        <w:pStyle w:val="FootnoteText"/>
      </w:pPr>
      <w:r w:rsidRPr="005A669A">
        <w:rPr>
          <w:rStyle w:val="FootnoteReference"/>
        </w:rPr>
        <w:footnoteRef/>
      </w:r>
      <w:r>
        <w:t xml:space="preserve"> </w:t>
      </w:r>
      <w:r>
        <w:rPr>
          <w:i/>
        </w:rPr>
        <w:t xml:space="preserve">Id. </w:t>
      </w:r>
      <w:r>
        <w:t>at 1075.</w:t>
      </w:r>
    </w:p>
  </w:footnote>
  <w:footnote w:id="671">
    <w:p w14:paraId="5A6B8023" w14:textId="1E55FAA2" w:rsidR="00D90D35" w:rsidRPr="006A1141" w:rsidRDefault="00D90D35" w:rsidP="00255A56">
      <w:pPr>
        <w:pStyle w:val="FootnoteText"/>
      </w:pPr>
      <w:r w:rsidRPr="005A669A">
        <w:rPr>
          <w:rStyle w:val="FootnoteReference"/>
        </w:rPr>
        <w:footnoteRef/>
      </w:r>
      <w:r>
        <w:t xml:space="preserve"> </w:t>
      </w:r>
      <w:r>
        <w:rPr>
          <w:i/>
        </w:rPr>
        <w:t xml:space="preserve">Id. </w:t>
      </w:r>
    </w:p>
  </w:footnote>
  <w:footnote w:id="672">
    <w:p w14:paraId="5F8E3FF9" w14:textId="4E3EF866" w:rsidR="00D90D35" w:rsidRPr="007F1307" w:rsidRDefault="00D90D35" w:rsidP="00AE50AD">
      <w:pPr>
        <w:pStyle w:val="FootnoteText"/>
        <w:rPr>
          <w:rFonts w:cs="Times New Roman"/>
          <w:szCs w:val="22"/>
        </w:rPr>
      </w:pPr>
      <w:r w:rsidRPr="005A669A">
        <w:rPr>
          <w:rStyle w:val="FootnoteReference"/>
        </w:rPr>
        <w:footnoteRef/>
      </w:r>
      <w:r w:rsidRPr="007F1307">
        <w:rPr>
          <w:rFonts w:cs="Times New Roman"/>
          <w:szCs w:val="22"/>
        </w:rPr>
        <w:t xml:space="preserve"> NantKwest, Inc. v. Iancu, 898 F.3d 1177, 1180 (Fed. Cir. 2018) (en banc).</w:t>
      </w:r>
    </w:p>
  </w:footnote>
  <w:footnote w:id="673">
    <w:p w14:paraId="6F3914B6" w14:textId="77777777" w:rsidR="00D90D35" w:rsidRPr="007F1307" w:rsidRDefault="00D90D35" w:rsidP="00AE50AD">
      <w:pPr>
        <w:pStyle w:val="FootnoteText"/>
        <w:rPr>
          <w:rFonts w:cs="Times New Roman"/>
          <w:szCs w:val="22"/>
        </w:rPr>
      </w:pPr>
      <w:r w:rsidRPr="005A669A">
        <w:rPr>
          <w:rStyle w:val="FootnoteReference"/>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1183.</w:t>
      </w:r>
    </w:p>
  </w:footnote>
  <w:footnote w:id="674">
    <w:p w14:paraId="7BDC817A" w14:textId="77777777" w:rsidR="00D90D35" w:rsidRPr="007F1307" w:rsidRDefault="00D90D35" w:rsidP="00AE50AD">
      <w:pPr>
        <w:pStyle w:val="FootnoteText"/>
        <w:rPr>
          <w:rFonts w:cs="Times New Roman"/>
          <w:szCs w:val="22"/>
        </w:rPr>
      </w:pPr>
      <w:r w:rsidRPr="005A669A">
        <w:rPr>
          <w:rStyle w:val="FootnoteReference"/>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1180.</w:t>
      </w:r>
    </w:p>
  </w:footnote>
  <w:footnote w:id="675">
    <w:p w14:paraId="55600CCC" w14:textId="11225C39" w:rsidR="00D90D35" w:rsidRPr="007F1307" w:rsidRDefault="00D90D35" w:rsidP="00AE50AD">
      <w:pPr>
        <w:pStyle w:val="FootnoteText"/>
        <w:rPr>
          <w:rFonts w:cs="Times New Roman"/>
          <w:szCs w:val="22"/>
        </w:rPr>
      </w:pPr>
      <w:r w:rsidRPr="005A669A">
        <w:rPr>
          <w:rStyle w:val="FootnoteReference"/>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(quoting 35 U.S.C. § 145 (1180)).</w:t>
      </w:r>
    </w:p>
  </w:footnote>
  <w:footnote w:id="676">
    <w:p w14:paraId="60D7C21A" w14:textId="77777777" w:rsidR="00D90D35" w:rsidRPr="007F1307" w:rsidRDefault="00D90D35" w:rsidP="00AE50AD">
      <w:pPr>
        <w:pStyle w:val="FootnoteText"/>
        <w:rPr>
          <w:rFonts w:cs="Times New Roman"/>
          <w:szCs w:val="22"/>
        </w:rPr>
      </w:pPr>
      <w:r w:rsidRPr="005A669A">
        <w:rPr>
          <w:rStyle w:val="FootnoteReference"/>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1183.</w:t>
      </w:r>
    </w:p>
  </w:footnote>
  <w:footnote w:id="677">
    <w:p w14:paraId="503E5109" w14:textId="22B56810" w:rsidR="00D90D35" w:rsidRPr="007F1307" w:rsidRDefault="00D90D35" w:rsidP="00AE50AD">
      <w:pPr>
        <w:pStyle w:val="FootnoteText"/>
        <w:rPr>
          <w:rFonts w:cs="Times New Roman"/>
          <w:szCs w:val="22"/>
        </w:rPr>
      </w:pPr>
      <w:r w:rsidRPr="005A669A">
        <w:rPr>
          <w:rStyle w:val="FootnoteReference"/>
        </w:rPr>
        <w:footnoteRef/>
      </w:r>
      <w:r w:rsidRPr="007F1307">
        <w:rPr>
          <w:rFonts w:cs="Times New Roman"/>
          <w:szCs w:val="22"/>
        </w:rPr>
        <w:t xml:space="preserve"> </w:t>
      </w:r>
      <w:r w:rsidRPr="007F1307">
        <w:rPr>
          <w:rFonts w:cs="Times New Roman"/>
          <w:i/>
          <w:szCs w:val="22"/>
        </w:rPr>
        <w:t xml:space="preserve">Id. </w:t>
      </w:r>
    </w:p>
  </w:footnote>
  <w:footnote w:id="678">
    <w:p w14:paraId="01B7AE33" w14:textId="2465ED6E" w:rsidR="00D90D35" w:rsidRPr="007F1307" w:rsidRDefault="00D90D35" w:rsidP="00AE50AD">
      <w:pPr>
        <w:pStyle w:val="FootnoteText"/>
        <w:rPr>
          <w:rFonts w:cs="Times New Roman"/>
          <w:szCs w:val="22"/>
        </w:rPr>
      </w:pPr>
      <w:r w:rsidRPr="005A669A">
        <w:rPr>
          <w:rStyle w:val="FootnoteReference"/>
        </w:rPr>
        <w:footnoteRef/>
      </w:r>
      <w:r w:rsidRPr="007F1307">
        <w:rPr>
          <w:rFonts w:cs="Times New Roman"/>
          <w:szCs w:val="22"/>
        </w:rPr>
        <w:t xml:space="preserve"> </w:t>
      </w:r>
      <w:r w:rsidRPr="007F1307">
        <w:rPr>
          <w:rFonts w:cs="Times New Roman"/>
          <w:i/>
          <w:szCs w:val="22"/>
        </w:rPr>
        <w:t xml:space="preserve">Id. </w:t>
      </w:r>
    </w:p>
  </w:footnote>
  <w:footnote w:id="679">
    <w:p w14:paraId="3CCFB24E" w14:textId="15249E91" w:rsidR="00D90D35" w:rsidRPr="007F1307" w:rsidRDefault="00D90D35" w:rsidP="00AE50AD">
      <w:pPr>
        <w:pStyle w:val="FootnoteText"/>
        <w:rPr>
          <w:rFonts w:cs="Times New Roman"/>
          <w:szCs w:val="22"/>
        </w:rPr>
      </w:pPr>
      <w:r w:rsidRPr="005A669A">
        <w:rPr>
          <w:rStyle w:val="FootnoteReference"/>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1181 (citing Alyeska Pipeline [Serv. Co. v. Wilderness Soc’y], 421 U.S. [240,] 260–62, 269 [(1975)]).</w:t>
      </w:r>
    </w:p>
  </w:footnote>
  <w:footnote w:id="680">
    <w:p w14:paraId="06F83946" w14:textId="3C2D0034" w:rsidR="00D90D35" w:rsidRPr="007F1307" w:rsidRDefault="00D90D35" w:rsidP="00AE50AD">
      <w:pPr>
        <w:pStyle w:val="FootnoteText"/>
        <w:rPr>
          <w:rFonts w:cs="Times New Roman"/>
          <w:szCs w:val="22"/>
        </w:rPr>
      </w:pPr>
      <w:r w:rsidRPr="005A669A">
        <w:rPr>
          <w:rStyle w:val="FootnoteReference"/>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1196 (Prost, C.J., dissenting) (citing 784 F.3d 219, 223–24 (4th Cir. 2015), cert. denied </w:t>
      </w:r>
      <w:r w:rsidRPr="007F1307">
        <w:rPr>
          <w:rFonts w:cs="Times New Roman"/>
          <w:i/>
          <w:szCs w:val="22"/>
        </w:rPr>
        <w:t>sub nom.</w:t>
      </w:r>
      <w:r w:rsidRPr="007F1307">
        <w:rPr>
          <w:rFonts w:cs="Times New Roman"/>
          <w:szCs w:val="22"/>
        </w:rPr>
        <w:t xml:space="preserve"> Shammas v. Hirshfeld, 136 </w:t>
      </w:r>
      <w:r>
        <w:rPr>
          <w:rFonts w:cs="Times New Roman"/>
          <w:szCs w:val="22"/>
        </w:rPr>
        <w:t>S. Ct.</w:t>
      </w:r>
      <w:r w:rsidRPr="007F1307">
        <w:rPr>
          <w:rFonts w:cs="Times New Roman"/>
          <w:szCs w:val="22"/>
        </w:rPr>
        <w:t xml:space="preserve"> 1376 (2016)); </w:t>
      </w:r>
      <w:r w:rsidRPr="007F1307">
        <w:rPr>
          <w:rFonts w:cs="Times New Roman"/>
          <w:i/>
          <w:szCs w:val="22"/>
        </w:rPr>
        <w:t xml:space="preserve">see also id. </w:t>
      </w:r>
      <w:r w:rsidRPr="007F1307">
        <w:rPr>
          <w:rFonts w:cs="Times New Roman"/>
          <w:szCs w:val="22"/>
        </w:rPr>
        <w:t>at 1183, 1185.</w:t>
      </w:r>
    </w:p>
  </w:footnote>
  <w:footnote w:id="681">
    <w:p w14:paraId="7BB9EB39" w14:textId="6C5F0D06" w:rsidR="00D90D35" w:rsidRPr="007F1307" w:rsidRDefault="00D90D35" w:rsidP="00AE50AD">
      <w:pPr>
        <w:pStyle w:val="FootnoteText"/>
        <w:rPr>
          <w:rFonts w:cs="Times New Roman"/>
          <w:szCs w:val="22"/>
        </w:rPr>
      </w:pPr>
      <w:r w:rsidRPr="005A669A">
        <w:rPr>
          <w:rStyle w:val="FootnoteReference"/>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1182 (citing Summit Valley Indus., Inc. v. Local 112, United Bhd. of Carpenters, 456 U.S. 717, 721–22 (1982)).</w:t>
      </w:r>
    </w:p>
  </w:footnote>
  <w:footnote w:id="682">
    <w:p w14:paraId="2681DDC6" w14:textId="77777777" w:rsidR="00D90D35" w:rsidRPr="007F1307" w:rsidRDefault="00D90D35" w:rsidP="00AE50AD">
      <w:pPr>
        <w:pStyle w:val="FootnoteText"/>
        <w:rPr>
          <w:rFonts w:cs="Times New Roman"/>
          <w:szCs w:val="22"/>
        </w:rPr>
      </w:pPr>
      <w:r w:rsidRPr="005A669A">
        <w:rPr>
          <w:rStyle w:val="FootnoteReference"/>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1192 (citing cases interpreting various statutes).</w:t>
      </w:r>
    </w:p>
  </w:footnote>
  <w:footnote w:id="683">
    <w:p w14:paraId="5F25B657" w14:textId="7A49EC1F" w:rsidR="00D90D35" w:rsidRPr="007F1307" w:rsidRDefault="00D90D35" w:rsidP="00AE50AD">
      <w:pPr>
        <w:pStyle w:val="FootnoteText"/>
        <w:rPr>
          <w:rFonts w:cs="Times New Roman"/>
          <w:szCs w:val="22"/>
        </w:rPr>
      </w:pPr>
      <w:r w:rsidRPr="005A669A">
        <w:rPr>
          <w:rStyle w:val="FootnoteReference"/>
        </w:rPr>
        <w:footnoteRef/>
      </w:r>
      <w:r w:rsidRPr="007F1307">
        <w:rPr>
          <w:rFonts w:cs="Times New Roman"/>
          <w:i/>
          <w:szCs w:val="22"/>
        </w:rPr>
        <w:t xml:space="preserve">Id. </w:t>
      </w:r>
      <w:r w:rsidRPr="007F1307">
        <w:rPr>
          <w:rFonts w:cs="Times New Roman"/>
          <w:szCs w:val="22"/>
        </w:rPr>
        <w:t xml:space="preserve">at 1182 (citing Baker Botts L.L.P. v. ASARCO LLC, 135 </w:t>
      </w:r>
      <w:r>
        <w:rPr>
          <w:rFonts w:cs="Times New Roman"/>
          <w:szCs w:val="22"/>
        </w:rPr>
        <w:t>S. Ct.</w:t>
      </w:r>
      <w:r w:rsidRPr="007F1307">
        <w:rPr>
          <w:rFonts w:cs="Times New Roman"/>
          <w:szCs w:val="22"/>
        </w:rPr>
        <w:t xml:space="preserve"> 2158, 2164 (2015) (quoting 28 U.S.C. § 2412(d)(1)(A)).</w:t>
      </w:r>
    </w:p>
  </w:footnote>
  <w:footnote w:id="684">
    <w:p w14:paraId="44D11766" w14:textId="77777777" w:rsidR="00D90D35" w:rsidRPr="007F1307" w:rsidRDefault="00D90D35" w:rsidP="00AE50AD">
      <w:pPr>
        <w:pStyle w:val="FootnoteText"/>
        <w:rPr>
          <w:rFonts w:cs="Times New Roman"/>
          <w:szCs w:val="22"/>
        </w:rPr>
      </w:pPr>
      <w:r w:rsidRPr="005A669A">
        <w:rPr>
          <w:rStyle w:val="FootnoteReference"/>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1180, 1181.</w:t>
      </w:r>
    </w:p>
  </w:footnote>
  <w:footnote w:id="685">
    <w:p w14:paraId="247B7E32" w14:textId="77777777" w:rsidR="00D90D35" w:rsidRPr="007F1307" w:rsidRDefault="00D90D35" w:rsidP="00AE50AD">
      <w:pPr>
        <w:pStyle w:val="FootnoteText"/>
        <w:rPr>
          <w:rFonts w:cs="Times New Roman"/>
          <w:szCs w:val="22"/>
        </w:rPr>
      </w:pPr>
      <w:r w:rsidRPr="005A669A">
        <w:rPr>
          <w:rStyle w:val="FootnoteReference"/>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1187.</w:t>
      </w:r>
    </w:p>
  </w:footnote>
  <w:footnote w:id="686">
    <w:p w14:paraId="30A50B59" w14:textId="77777777" w:rsidR="00D90D35" w:rsidRPr="007F1307" w:rsidRDefault="00D90D35" w:rsidP="00AE50AD">
      <w:pPr>
        <w:pStyle w:val="FootnoteText"/>
        <w:rPr>
          <w:rFonts w:cs="Times New Roman"/>
          <w:szCs w:val="22"/>
        </w:rPr>
      </w:pPr>
      <w:r w:rsidRPr="005A669A">
        <w:rPr>
          <w:rStyle w:val="FootnoteReference"/>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1190.</w:t>
      </w:r>
    </w:p>
  </w:footnote>
  <w:footnote w:id="687">
    <w:p w14:paraId="46B11E3D" w14:textId="77777777" w:rsidR="00D90D35" w:rsidRPr="007F1307" w:rsidRDefault="00D90D35" w:rsidP="00AE50AD">
      <w:pPr>
        <w:pStyle w:val="FootnoteText"/>
        <w:rPr>
          <w:rFonts w:cs="Times New Roman"/>
          <w:szCs w:val="22"/>
        </w:rPr>
      </w:pPr>
      <w:r w:rsidRPr="005A669A">
        <w:rPr>
          <w:rStyle w:val="FootnoteReference"/>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1188-89.</w:t>
      </w:r>
    </w:p>
  </w:footnote>
  <w:footnote w:id="688">
    <w:p w14:paraId="13E1D9E3" w14:textId="77777777" w:rsidR="00D90D35" w:rsidRPr="007F1307" w:rsidRDefault="00D90D35" w:rsidP="00AE50AD">
      <w:pPr>
        <w:pStyle w:val="FootnoteText"/>
        <w:rPr>
          <w:rFonts w:cs="Times New Roman"/>
          <w:szCs w:val="22"/>
        </w:rPr>
      </w:pPr>
      <w:r w:rsidRPr="005A669A">
        <w:rPr>
          <w:rStyle w:val="FootnoteReference"/>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1191-92.</w:t>
      </w:r>
    </w:p>
  </w:footnote>
  <w:footnote w:id="689">
    <w:p w14:paraId="5A709721" w14:textId="77777777" w:rsidR="00D90D35" w:rsidRPr="007F1307" w:rsidRDefault="00D90D35" w:rsidP="00AE50AD">
      <w:pPr>
        <w:pStyle w:val="FootnoteText"/>
        <w:rPr>
          <w:rFonts w:cs="Times New Roman"/>
          <w:szCs w:val="22"/>
        </w:rPr>
      </w:pPr>
      <w:r w:rsidRPr="005A669A">
        <w:rPr>
          <w:rStyle w:val="FootnoteReference"/>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1192-93.</w:t>
      </w:r>
    </w:p>
  </w:footnote>
  <w:footnote w:id="690">
    <w:p w14:paraId="2C62B9A3" w14:textId="7D76DD8A" w:rsidR="00D90D35" w:rsidRPr="007F1307" w:rsidRDefault="00D90D35" w:rsidP="00AE50AD">
      <w:pPr>
        <w:pStyle w:val="FootnoteText"/>
        <w:rPr>
          <w:rFonts w:cs="Times New Roman"/>
          <w:szCs w:val="22"/>
        </w:rPr>
      </w:pPr>
      <w:r w:rsidRPr="005A669A">
        <w:rPr>
          <w:rStyle w:val="FootnoteReference"/>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1194; </w:t>
      </w:r>
      <w:r w:rsidRPr="007F1307">
        <w:rPr>
          <w:rFonts w:cs="Times New Roman"/>
          <w:i/>
          <w:szCs w:val="22"/>
        </w:rPr>
        <w:t>see also</w:t>
      </w:r>
      <w:r w:rsidRPr="007F1307">
        <w:rPr>
          <w:rFonts w:cs="Times New Roman"/>
          <w:szCs w:val="22"/>
        </w:rPr>
        <w:t xml:space="preserve"> </w:t>
      </w:r>
      <w:r w:rsidRPr="007F1307">
        <w:rPr>
          <w:rFonts w:cs="Times New Roman"/>
          <w:i/>
          <w:szCs w:val="22"/>
        </w:rPr>
        <w:t xml:space="preserve">id. </w:t>
      </w:r>
      <w:r w:rsidRPr="007F1307">
        <w:rPr>
          <w:rFonts w:cs="Times New Roman"/>
          <w:szCs w:val="22"/>
        </w:rPr>
        <w:t>at 1195 (rejecting the dissent’s arguments comparing text with another part of the Patent Act that specifies that “expenses” covers the salaries of some PTO employees).</w:t>
      </w:r>
    </w:p>
  </w:footnote>
  <w:footnote w:id="691">
    <w:p w14:paraId="6278643A" w14:textId="77777777" w:rsidR="00D90D35" w:rsidRPr="007F1307" w:rsidRDefault="00D90D35" w:rsidP="00AE50AD">
      <w:pPr>
        <w:pStyle w:val="FootnoteText"/>
        <w:rPr>
          <w:rFonts w:cs="Times New Roman"/>
          <w:szCs w:val="22"/>
        </w:rPr>
      </w:pPr>
      <w:r w:rsidRPr="005A669A">
        <w:rPr>
          <w:rStyle w:val="FootnoteReference"/>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1195.</w:t>
      </w:r>
    </w:p>
  </w:footnote>
  <w:footnote w:id="692">
    <w:p w14:paraId="26D34982" w14:textId="77777777" w:rsidR="00D90D35" w:rsidRDefault="00D90D35" w:rsidP="00CD0984">
      <w:pPr>
        <w:pStyle w:val="FootnoteText"/>
      </w:pPr>
      <w:r w:rsidRPr="005A669A">
        <w:rPr>
          <w:rStyle w:val="FootnoteReference"/>
        </w:rPr>
        <w:footnoteRef/>
      </w:r>
      <w:r>
        <w:t xml:space="preserve"> </w:t>
      </w:r>
      <w:r w:rsidRPr="0058475C">
        <w:t>Dodocase VR, Inc. v. MerchSource, LLC, No. 2018-1724, 2019 WL 1758481</w:t>
      </w:r>
      <w:r>
        <w:t>, at *1</w:t>
      </w:r>
      <w:r w:rsidRPr="0058475C">
        <w:t xml:space="preserve"> (Fed. Cir. Apr. 18, 2019)</w:t>
      </w:r>
    </w:p>
  </w:footnote>
  <w:footnote w:id="693">
    <w:p w14:paraId="12B7D114" w14:textId="77777777" w:rsidR="00D90D35" w:rsidRPr="00F80D5E" w:rsidRDefault="00D90D35" w:rsidP="00CD0984">
      <w:pPr>
        <w:pStyle w:val="FootnoteText"/>
      </w:pPr>
      <w:r w:rsidRPr="005A669A">
        <w:rPr>
          <w:rStyle w:val="FootnoteReference"/>
        </w:rPr>
        <w:footnoteRef/>
      </w:r>
      <w:r>
        <w:t xml:space="preserve"> </w:t>
      </w:r>
      <w:r>
        <w:rPr>
          <w:i/>
        </w:rPr>
        <w:t xml:space="preserve">Id. </w:t>
      </w:r>
    </w:p>
  </w:footnote>
  <w:footnote w:id="694">
    <w:p w14:paraId="30DC9F5E" w14:textId="77777777" w:rsidR="00D90D35" w:rsidRPr="002B792F" w:rsidRDefault="00D90D35" w:rsidP="00CD0984">
      <w:pPr>
        <w:pStyle w:val="FootnoteText"/>
        <w:rPr>
          <w:i/>
        </w:rPr>
      </w:pPr>
      <w:r w:rsidRPr="005A669A">
        <w:rPr>
          <w:rStyle w:val="FootnoteReference"/>
        </w:rPr>
        <w:footnoteRef/>
      </w:r>
      <w:r>
        <w:t xml:space="preserve"> </w:t>
      </w:r>
      <w:r>
        <w:rPr>
          <w:i/>
        </w:rPr>
        <w:t>Id.</w:t>
      </w:r>
    </w:p>
  </w:footnote>
  <w:footnote w:id="695">
    <w:p w14:paraId="1ADAAE58" w14:textId="77777777" w:rsidR="00D90D35" w:rsidRPr="002B792F" w:rsidRDefault="00D90D35" w:rsidP="00CD0984">
      <w:pPr>
        <w:pStyle w:val="FootnoteText"/>
        <w:rPr>
          <w:i/>
        </w:rPr>
      </w:pPr>
      <w:r w:rsidRPr="005A669A">
        <w:rPr>
          <w:rStyle w:val="FootnoteReference"/>
        </w:rPr>
        <w:footnoteRef/>
      </w:r>
      <w:r>
        <w:t xml:space="preserve"> </w:t>
      </w:r>
      <w:r>
        <w:rPr>
          <w:i/>
        </w:rPr>
        <w:t>Id.</w:t>
      </w:r>
    </w:p>
  </w:footnote>
  <w:footnote w:id="696">
    <w:p w14:paraId="525F2D99" w14:textId="77777777" w:rsidR="00D90D35" w:rsidRPr="002B792F" w:rsidRDefault="00D90D35" w:rsidP="00CD0984">
      <w:pPr>
        <w:pStyle w:val="FootnoteText"/>
        <w:rPr>
          <w:i/>
        </w:rPr>
      </w:pPr>
      <w:r w:rsidRPr="005A669A">
        <w:rPr>
          <w:rStyle w:val="FootnoteReference"/>
        </w:rPr>
        <w:footnoteRef/>
      </w:r>
      <w:r>
        <w:t xml:space="preserve"> </w:t>
      </w:r>
      <w:r>
        <w:rPr>
          <w:i/>
        </w:rPr>
        <w:t>Id.</w:t>
      </w:r>
    </w:p>
  </w:footnote>
  <w:footnote w:id="697">
    <w:p w14:paraId="2865394D" w14:textId="77777777" w:rsidR="00D90D35" w:rsidRPr="002B792F" w:rsidRDefault="00D90D35" w:rsidP="00CD0984">
      <w:pPr>
        <w:pStyle w:val="FootnoteText"/>
        <w:rPr>
          <w:i/>
        </w:rPr>
      </w:pPr>
      <w:r w:rsidRPr="005A669A">
        <w:rPr>
          <w:rStyle w:val="FootnoteReference"/>
        </w:rPr>
        <w:footnoteRef/>
      </w:r>
      <w:r>
        <w:t xml:space="preserve"> </w:t>
      </w:r>
      <w:r>
        <w:rPr>
          <w:i/>
        </w:rPr>
        <w:t>Id.</w:t>
      </w:r>
    </w:p>
  </w:footnote>
  <w:footnote w:id="698">
    <w:p w14:paraId="4E53F5F8" w14:textId="77777777" w:rsidR="00D90D35" w:rsidRPr="00376C93" w:rsidRDefault="00D90D35" w:rsidP="00CD0984">
      <w:pPr>
        <w:pStyle w:val="FootnoteText"/>
      </w:pPr>
      <w:r w:rsidRPr="005A669A">
        <w:rPr>
          <w:rStyle w:val="FootnoteReference"/>
        </w:rPr>
        <w:footnoteRef/>
      </w:r>
      <w:r>
        <w:t xml:space="preserve"> </w:t>
      </w:r>
      <w:r>
        <w:rPr>
          <w:i/>
        </w:rPr>
        <w:t xml:space="preserve">Id. </w:t>
      </w:r>
      <w:r>
        <w:t xml:space="preserve">at *2 (citing for the proposition that state law governs </w:t>
      </w:r>
      <w:r w:rsidRPr="00E61CD2">
        <w:t>Volt Info. Scis., Inc. v. Bd. of Trs. of Leland Stanford Junior Univ., 489 U.S. 468, 474 (1989)</w:t>
      </w:r>
      <w:r>
        <w:t>).</w:t>
      </w:r>
    </w:p>
  </w:footnote>
  <w:footnote w:id="699">
    <w:p w14:paraId="06101160" w14:textId="77777777" w:rsidR="00D90D35" w:rsidRPr="00347125" w:rsidRDefault="00D90D35" w:rsidP="00CD0984">
      <w:pPr>
        <w:pStyle w:val="FootnoteText"/>
      </w:pPr>
      <w:r w:rsidRPr="005A669A">
        <w:rPr>
          <w:rStyle w:val="FootnoteReference"/>
        </w:rPr>
        <w:footnoteRef/>
      </w:r>
      <w:r>
        <w:t xml:space="preserve"> </w:t>
      </w:r>
      <w:r>
        <w:rPr>
          <w:i/>
        </w:rPr>
        <w:t xml:space="preserve">Id. </w:t>
      </w:r>
      <w:r>
        <w:t xml:space="preserve">at *3 (citing </w:t>
      </w:r>
      <w:r w:rsidRPr="00347125">
        <w:t>Dodocase VR, Inc. v. MerchSource, LLC, No. 17-CV-07088-EDL, 2018 WL 1456718, at *</w:t>
      </w:r>
      <w:r>
        <w:t>7</w:t>
      </w:r>
      <w:r w:rsidRPr="00347125">
        <w:t xml:space="preserve"> (N.D. Cal. Mar. 23, 2018)</w:t>
      </w:r>
      <w:r>
        <w:t>).</w:t>
      </w:r>
    </w:p>
  </w:footnote>
  <w:footnote w:id="700">
    <w:p w14:paraId="31774107" w14:textId="77777777" w:rsidR="00D90D35" w:rsidRPr="008401A3" w:rsidRDefault="00D90D35" w:rsidP="00CD0984">
      <w:pPr>
        <w:pStyle w:val="FootnoteText"/>
      </w:pPr>
      <w:r w:rsidRPr="005A669A">
        <w:rPr>
          <w:rStyle w:val="FootnoteReference"/>
        </w:rPr>
        <w:footnoteRef/>
      </w:r>
      <w:r>
        <w:t xml:space="preserve"> </w:t>
      </w:r>
      <w:r>
        <w:rPr>
          <w:i/>
        </w:rPr>
        <w:t xml:space="preserve">Id. </w:t>
      </w:r>
      <w:r>
        <w:t>at *3 (quoting Texas Instruments Inc. v. Tessera, Inc., 231 F.3d 1325, 1331 (Fed. Cir. 2000)).</w:t>
      </w:r>
    </w:p>
  </w:footnote>
  <w:footnote w:id="701">
    <w:p w14:paraId="47068960" w14:textId="77777777" w:rsidR="00D90D35" w:rsidRPr="003F7D2A" w:rsidRDefault="00D90D35" w:rsidP="00CD0984">
      <w:pPr>
        <w:pStyle w:val="FootnoteText"/>
      </w:pPr>
      <w:r w:rsidRPr="005A669A">
        <w:rPr>
          <w:rStyle w:val="FootnoteReference"/>
        </w:rPr>
        <w:footnoteRef/>
      </w:r>
      <w:r>
        <w:t xml:space="preserve"> </w:t>
      </w:r>
      <w:r>
        <w:rPr>
          <w:i/>
        </w:rPr>
        <w:t xml:space="preserve">Id. </w:t>
      </w:r>
      <w:r>
        <w:t>at *3.</w:t>
      </w:r>
    </w:p>
  </w:footnote>
  <w:footnote w:id="702">
    <w:p w14:paraId="0831D680" w14:textId="78F62AED" w:rsidR="00D90D35" w:rsidRDefault="00D90D35">
      <w:pPr>
        <w:pStyle w:val="FootnoteText"/>
      </w:pPr>
      <w:r>
        <w:rPr>
          <w:rStyle w:val="FootnoteReference"/>
        </w:rPr>
        <w:footnoteRef/>
      </w:r>
      <w:r>
        <w:t xml:space="preserve"> </w:t>
      </w:r>
      <w:r w:rsidRPr="0006132B">
        <w:t>Westech Aerosol Corp. v. 3M Co., 927 F.3d 1378</w:t>
      </w:r>
      <w:r>
        <w:t>, 1380</w:t>
      </w:r>
      <w:r w:rsidRPr="0006132B">
        <w:t xml:space="preserve"> (Fed. Cir. </w:t>
      </w:r>
      <w:r>
        <w:t>2019</w:t>
      </w:r>
      <w:r w:rsidRPr="0006132B">
        <w:t>)</w:t>
      </w:r>
      <w:r>
        <w:t>.</w:t>
      </w:r>
    </w:p>
  </w:footnote>
  <w:footnote w:id="703">
    <w:p w14:paraId="35C231B2" w14:textId="77777777" w:rsidR="00D90D35" w:rsidRPr="004B489A" w:rsidRDefault="00D90D35" w:rsidP="00ED7855">
      <w:pPr>
        <w:pStyle w:val="FootnoteText"/>
      </w:pPr>
      <w:r>
        <w:rPr>
          <w:rStyle w:val="FootnoteReference"/>
        </w:rPr>
        <w:footnoteRef/>
      </w:r>
      <w:r>
        <w:t xml:space="preserve"> </w:t>
      </w:r>
      <w:r>
        <w:rPr>
          <w:i/>
          <w:iCs/>
        </w:rPr>
        <w:t xml:space="preserve">Id. </w:t>
      </w:r>
      <w:r>
        <w:t xml:space="preserve">at </w:t>
      </w:r>
      <w:r>
        <w:rPr>
          <w:rFonts w:eastAsia="Times New Roman" w:cs="Times New Roman"/>
          <w:color w:val="000000" w:themeColor="text1"/>
        </w:rPr>
        <w:t>1380.</w:t>
      </w:r>
    </w:p>
  </w:footnote>
  <w:footnote w:id="704">
    <w:p w14:paraId="1F88ADD7" w14:textId="0F074334" w:rsidR="00D90D35" w:rsidRPr="004B489A" w:rsidRDefault="00D90D35">
      <w:pPr>
        <w:pStyle w:val="FootnoteText"/>
      </w:pPr>
      <w:r>
        <w:rPr>
          <w:rStyle w:val="FootnoteReference"/>
        </w:rPr>
        <w:footnoteRef/>
      </w:r>
      <w:r>
        <w:t xml:space="preserve"> </w:t>
      </w:r>
      <w:r>
        <w:rPr>
          <w:i/>
          <w:iCs/>
        </w:rPr>
        <w:t xml:space="preserve">Id. </w:t>
      </w:r>
      <w:r>
        <w:t xml:space="preserve">at </w:t>
      </w:r>
      <w:r>
        <w:rPr>
          <w:rFonts w:eastAsia="Times New Roman" w:cs="Times New Roman"/>
          <w:color w:val="000000" w:themeColor="text1"/>
        </w:rPr>
        <w:t>1381.</w:t>
      </w:r>
    </w:p>
  </w:footnote>
  <w:footnote w:id="705">
    <w:p w14:paraId="44011A75" w14:textId="419EB7CA" w:rsidR="00D90D35" w:rsidRPr="008473F4" w:rsidRDefault="00D90D35" w:rsidP="007451F9">
      <w:pPr>
        <w:pStyle w:val="FootnoteText"/>
      </w:pPr>
      <w:r>
        <w:rPr>
          <w:rStyle w:val="FootnoteReference"/>
        </w:rPr>
        <w:footnoteRef/>
      </w:r>
      <w:r>
        <w:t xml:space="preserve"> </w:t>
      </w:r>
      <w:r>
        <w:rPr>
          <w:i/>
          <w:iCs/>
        </w:rPr>
        <w:t xml:space="preserve">Id. </w:t>
      </w:r>
      <w:r>
        <w:t xml:space="preserve">at 1380-81 (citing TC Heartland LLC v. Kraft Foods Grp. Brands, LLC, 137 S. Ct. 1514 (2017); </w:t>
      </w:r>
      <w:r w:rsidRPr="004A1070">
        <w:t>In re Cray</w:t>
      </w:r>
      <w:r>
        <w:t xml:space="preserve">, </w:t>
      </w:r>
      <w:r w:rsidRPr="00F80971">
        <w:t>871</w:t>
      </w:r>
      <w:r>
        <w:t xml:space="preserve"> F.3d 1355, 1360 (Fed. Cir. 2017)).</w:t>
      </w:r>
    </w:p>
  </w:footnote>
  <w:footnote w:id="706">
    <w:p w14:paraId="63104679" w14:textId="1E435656" w:rsidR="00D90D35" w:rsidRPr="004B489A" w:rsidRDefault="00D90D35" w:rsidP="00E40B94">
      <w:pPr>
        <w:pStyle w:val="FootnoteText"/>
      </w:pPr>
      <w:r>
        <w:rPr>
          <w:rStyle w:val="FootnoteReference"/>
        </w:rPr>
        <w:footnoteRef/>
      </w:r>
      <w:r>
        <w:t xml:space="preserve"> </w:t>
      </w:r>
      <w:r>
        <w:rPr>
          <w:i/>
          <w:iCs/>
        </w:rPr>
        <w:t xml:space="preserve">Id. </w:t>
      </w:r>
      <w:r>
        <w:t xml:space="preserve">at </w:t>
      </w:r>
      <w:r>
        <w:rPr>
          <w:rFonts w:eastAsia="Times New Roman" w:cs="Times New Roman"/>
          <w:color w:val="000000" w:themeColor="text1"/>
        </w:rPr>
        <w:t>1380.</w:t>
      </w:r>
    </w:p>
  </w:footnote>
  <w:footnote w:id="707">
    <w:p w14:paraId="627676A4" w14:textId="6D33341F" w:rsidR="00D90D35" w:rsidRPr="004A1070" w:rsidRDefault="00D90D35">
      <w:pPr>
        <w:pStyle w:val="FootnoteText"/>
      </w:pPr>
      <w:r>
        <w:rPr>
          <w:rStyle w:val="FootnoteReference"/>
        </w:rPr>
        <w:footnoteRef/>
      </w:r>
      <w:r>
        <w:t xml:space="preserve"> </w:t>
      </w:r>
      <w:r>
        <w:rPr>
          <w:i/>
          <w:iCs/>
        </w:rPr>
        <w:t xml:space="preserve">Id. </w:t>
      </w:r>
      <w:r>
        <w:t xml:space="preserve">at 1382 (citing </w:t>
      </w:r>
      <w:r w:rsidRPr="00D6167E">
        <w:t>In re ZTE (USA) Inc., 890 F.3d 1008, 1013 (Fed. Cir. 2018)</w:t>
      </w:r>
      <w:r>
        <w:t>).</w:t>
      </w:r>
    </w:p>
  </w:footnote>
  <w:footnote w:id="708">
    <w:p w14:paraId="1FF260BC" w14:textId="73A439F6" w:rsidR="00D90D35" w:rsidRPr="004A1070" w:rsidRDefault="00D90D35" w:rsidP="00FF52CE">
      <w:pPr>
        <w:pStyle w:val="FootnoteText"/>
      </w:pPr>
      <w:r>
        <w:rPr>
          <w:rStyle w:val="FootnoteReference"/>
        </w:rPr>
        <w:footnoteRef/>
      </w:r>
      <w:r>
        <w:t xml:space="preserve"> </w:t>
      </w:r>
      <w:r>
        <w:rPr>
          <w:i/>
          <w:iCs/>
        </w:rPr>
        <w:t xml:space="preserve">Id. </w:t>
      </w:r>
      <w:r>
        <w:t>at 1382 (citing In re Cray Inc., 871 F.3d 1355, 1360 (Fed. Cir. 2017)).</w:t>
      </w:r>
    </w:p>
  </w:footnote>
  <w:footnote w:id="709">
    <w:p w14:paraId="68BDE425" w14:textId="253A2589" w:rsidR="00D90D35" w:rsidRPr="00C13C8D" w:rsidRDefault="00D90D35">
      <w:pPr>
        <w:pStyle w:val="FootnoteText"/>
      </w:pPr>
      <w:r>
        <w:rPr>
          <w:rStyle w:val="FootnoteReference"/>
        </w:rPr>
        <w:footnoteRef/>
      </w:r>
      <w:r>
        <w:t xml:space="preserve"> </w:t>
      </w:r>
      <w:r>
        <w:rPr>
          <w:i/>
          <w:iCs/>
        </w:rPr>
        <w:t xml:space="preserve">Id. </w:t>
      </w:r>
      <w:r>
        <w:t>at 1382.</w:t>
      </w:r>
    </w:p>
  </w:footnote>
  <w:footnote w:id="710">
    <w:p w14:paraId="63482666" w14:textId="79F78752" w:rsidR="00D90D35" w:rsidRPr="007F1307" w:rsidRDefault="00D90D35" w:rsidP="00692758">
      <w:pPr>
        <w:pStyle w:val="FootnoteText"/>
        <w:rPr>
          <w:rFonts w:cs="Times New Roman"/>
          <w:szCs w:val="22"/>
        </w:rPr>
      </w:pPr>
      <w:r w:rsidRPr="005A669A">
        <w:rPr>
          <w:rStyle w:val="FootnoteReference"/>
        </w:rPr>
        <w:footnoteRef/>
      </w:r>
      <w:r w:rsidRPr="007F1307">
        <w:rPr>
          <w:rFonts w:cs="Times New Roman"/>
          <w:szCs w:val="22"/>
        </w:rPr>
        <w:t xml:space="preserve"> </w:t>
      </w:r>
      <w:r w:rsidRPr="007F1307">
        <w:rPr>
          <w:rFonts w:eastAsia="Times New Roman" w:cs="Times New Roman"/>
          <w:color w:val="000000"/>
          <w:szCs w:val="22"/>
        </w:rPr>
        <w:t>In re Google Inc., No. 2018-152, 2018 WL 5536478, at *1 (Fed. Cir. Oct. 29, 2018).</w:t>
      </w:r>
    </w:p>
  </w:footnote>
  <w:footnote w:id="711">
    <w:p w14:paraId="61F5FA1C" w14:textId="77777777" w:rsidR="00D90D35" w:rsidRPr="007F1307" w:rsidRDefault="00D90D35" w:rsidP="00692758">
      <w:pPr>
        <w:pStyle w:val="FootnoteText"/>
        <w:rPr>
          <w:rFonts w:cs="Times New Roman"/>
          <w:szCs w:val="22"/>
        </w:rPr>
      </w:pPr>
      <w:r w:rsidRPr="005A669A">
        <w:rPr>
          <w:rStyle w:val="FootnoteReference"/>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(quoting </w:t>
      </w:r>
      <w:r w:rsidRPr="007F1307">
        <w:rPr>
          <w:rFonts w:eastAsia="Times New Roman" w:cs="Times New Roman"/>
          <w:color w:val="000000"/>
          <w:szCs w:val="22"/>
        </w:rPr>
        <w:t>Amended Complaint at 2–3, SEVEN Networks, LLC v. Google LLC, 2:17- CV-00442 (E.D. Tex. Aug. 22, 2017), ECF No. 34).</w:t>
      </w:r>
    </w:p>
  </w:footnote>
  <w:footnote w:id="712">
    <w:p w14:paraId="3488E2F5" w14:textId="77777777" w:rsidR="00D90D35" w:rsidRPr="007F1307" w:rsidRDefault="00D90D35" w:rsidP="00692758">
      <w:pPr>
        <w:pStyle w:val="FootnoteText"/>
        <w:rPr>
          <w:rFonts w:cs="Times New Roman"/>
          <w:szCs w:val="22"/>
        </w:rPr>
      </w:pPr>
      <w:r w:rsidRPr="005A669A">
        <w:rPr>
          <w:rStyle w:val="FootnoteReference"/>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w:t>
      </w:r>
    </w:p>
  </w:footnote>
  <w:footnote w:id="713">
    <w:p w14:paraId="0277A23B" w14:textId="77777777" w:rsidR="00D90D35" w:rsidRPr="007F1307" w:rsidRDefault="00D90D35" w:rsidP="00692758">
      <w:pPr>
        <w:pStyle w:val="FootnoteText"/>
        <w:rPr>
          <w:rFonts w:cs="Times New Roman"/>
          <w:i/>
          <w:szCs w:val="22"/>
        </w:rPr>
      </w:pPr>
      <w:r w:rsidRPr="005A669A">
        <w:rPr>
          <w:rStyle w:val="FootnoteReference"/>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 (citing In re Cray Inc., 871 F.3d 1355 (Fed. Cir. 2017)).</w:t>
      </w:r>
    </w:p>
  </w:footnote>
  <w:footnote w:id="714">
    <w:p w14:paraId="42976103" w14:textId="77777777" w:rsidR="00D90D35" w:rsidRPr="007F1307" w:rsidRDefault="00D90D35" w:rsidP="00692758">
      <w:pPr>
        <w:pStyle w:val="FootnoteText"/>
        <w:rPr>
          <w:rFonts w:cs="Times New Roman"/>
          <w:szCs w:val="22"/>
        </w:rPr>
      </w:pPr>
      <w:r w:rsidRPr="005A669A">
        <w:rPr>
          <w:rStyle w:val="FootnoteReference"/>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*1.</w:t>
      </w:r>
    </w:p>
  </w:footnote>
  <w:footnote w:id="715">
    <w:p w14:paraId="4471970B" w14:textId="77777777" w:rsidR="00D90D35" w:rsidRPr="007F1307" w:rsidRDefault="00D90D35" w:rsidP="00692758">
      <w:pPr>
        <w:pStyle w:val="FootnoteText"/>
        <w:rPr>
          <w:rFonts w:cs="Times New Roman"/>
          <w:i/>
          <w:szCs w:val="22"/>
        </w:rPr>
      </w:pPr>
      <w:r w:rsidRPr="005A669A">
        <w:rPr>
          <w:rStyle w:val="FootnoteReference"/>
        </w:rPr>
        <w:footnoteRef/>
      </w:r>
      <w:r w:rsidRPr="007F1307">
        <w:rPr>
          <w:rFonts w:cs="Times New Roman"/>
          <w:szCs w:val="22"/>
        </w:rPr>
        <w:t xml:space="preserve"> </w:t>
      </w:r>
      <w:r w:rsidRPr="007F1307">
        <w:rPr>
          <w:rFonts w:cs="Times New Roman"/>
          <w:i/>
          <w:szCs w:val="22"/>
        </w:rPr>
        <w:t xml:space="preserve">Id. </w:t>
      </w:r>
    </w:p>
  </w:footnote>
  <w:footnote w:id="716">
    <w:p w14:paraId="54BC6181" w14:textId="77777777" w:rsidR="00D90D35" w:rsidRPr="007F1307" w:rsidRDefault="00D90D35" w:rsidP="00692758">
      <w:pPr>
        <w:pStyle w:val="FootnoteText"/>
        <w:rPr>
          <w:rFonts w:cs="Times New Roman"/>
          <w:i/>
          <w:szCs w:val="22"/>
        </w:rPr>
      </w:pPr>
      <w:r w:rsidRPr="005A669A">
        <w:rPr>
          <w:rStyle w:val="FootnoteReference"/>
        </w:rPr>
        <w:footnoteRef/>
      </w:r>
      <w:r w:rsidRPr="007F1307">
        <w:rPr>
          <w:rFonts w:cs="Times New Roman"/>
          <w:szCs w:val="22"/>
        </w:rPr>
        <w:t xml:space="preserve"> </w:t>
      </w:r>
      <w:r w:rsidRPr="007F1307">
        <w:rPr>
          <w:rFonts w:cs="Times New Roman"/>
          <w:i/>
          <w:szCs w:val="22"/>
        </w:rPr>
        <w:t>Id.</w:t>
      </w:r>
    </w:p>
  </w:footnote>
  <w:footnote w:id="717">
    <w:p w14:paraId="59F569E7" w14:textId="77777777" w:rsidR="00D90D35" w:rsidRPr="007F1307" w:rsidRDefault="00D90D35" w:rsidP="00692758">
      <w:pPr>
        <w:pStyle w:val="FootnoteText"/>
        <w:rPr>
          <w:rFonts w:cs="Times New Roman"/>
          <w:szCs w:val="22"/>
        </w:rPr>
      </w:pPr>
      <w:r w:rsidRPr="005A669A">
        <w:rPr>
          <w:rStyle w:val="FootnoteReference"/>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*2.</w:t>
      </w:r>
    </w:p>
  </w:footnote>
  <w:footnote w:id="718">
    <w:p w14:paraId="36ECAD2B" w14:textId="7137CF79" w:rsidR="00D90D35" w:rsidRPr="00D03546" w:rsidRDefault="00D90D35" w:rsidP="00692758">
      <w:pPr>
        <w:pStyle w:val="FootnoteText"/>
        <w:rPr>
          <w:rFonts w:cs="Times New Roman"/>
          <w:i/>
          <w:szCs w:val="22"/>
        </w:rPr>
      </w:pPr>
      <w:r w:rsidRPr="005A669A">
        <w:rPr>
          <w:rStyle w:val="FootnoteReference"/>
        </w:rPr>
        <w:footnoteRef/>
      </w:r>
      <w:r w:rsidRPr="007F1307">
        <w:rPr>
          <w:rFonts w:cs="Times New Roman"/>
          <w:szCs w:val="22"/>
        </w:rPr>
        <w:t xml:space="preserve"> </w:t>
      </w:r>
      <w:r w:rsidRPr="007F1307">
        <w:rPr>
          <w:rFonts w:cs="Times New Roman"/>
          <w:i/>
          <w:szCs w:val="22"/>
        </w:rPr>
        <w:t xml:space="preserve">See Id. </w:t>
      </w:r>
      <w:r w:rsidRPr="007F1307">
        <w:rPr>
          <w:rFonts w:cs="Times New Roman"/>
          <w:szCs w:val="22"/>
        </w:rPr>
        <w:t>at *2 (quoting In re Micron Tech., Inc., 875 F.3d 1091, 1095 (Fed. Cir. 2017)).</w:t>
      </w:r>
      <w:r>
        <w:rPr>
          <w:rFonts w:cs="Times New Roman"/>
          <w:szCs w:val="22"/>
        </w:rPr>
        <w:t xml:space="preserve"> Indeed, the court said that any lack of clarity in the district decision counseled waiting until clear contrasting decisions in multiple circuits forced reassessment. </w:t>
      </w:r>
      <w:r>
        <w:rPr>
          <w:rFonts w:cs="Times New Roman"/>
          <w:i/>
          <w:szCs w:val="22"/>
        </w:rPr>
        <w:t>Id.</w:t>
      </w:r>
    </w:p>
  </w:footnote>
  <w:footnote w:id="719">
    <w:p w14:paraId="3A517140" w14:textId="77777777" w:rsidR="00D90D35" w:rsidRPr="007F1307" w:rsidRDefault="00D90D35" w:rsidP="00692758">
      <w:pPr>
        <w:pStyle w:val="FootnoteText"/>
        <w:rPr>
          <w:rFonts w:cs="Times New Roman"/>
          <w:szCs w:val="22"/>
        </w:rPr>
      </w:pPr>
      <w:r w:rsidRPr="005A669A">
        <w:rPr>
          <w:rStyle w:val="FootnoteReference"/>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*3.</w:t>
      </w:r>
    </w:p>
  </w:footnote>
  <w:footnote w:id="720">
    <w:p w14:paraId="617277CB" w14:textId="77777777" w:rsidR="00D90D35" w:rsidRPr="007F1307" w:rsidRDefault="00D90D35" w:rsidP="00692758">
      <w:pPr>
        <w:pStyle w:val="FootnoteText"/>
        <w:rPr>
          <w:rFonts w:cs="Times New Roman"/>
          <w:szCs w:val="22"/>
        </w:rPr>
      </w:pPr>
      <w:r w:rsidRPr="005A669A">
        <w:rPr>
          <w:rStyle w:val="FootnoteReference"/>
        </w:rPr>
        <w:footnoteRef/>
      </w:r>
      <w:r w:rsidRPr="007F1307">
        <w:rPr>
          <w:rFonts w:cs="Times New Roman"/>
          <w:szCs w:val="22"/>
        </w:rPr>
        <w:t xml:space="preserve"> </w:t>
      </w:r>
      <w:r w:rsidRPr="007F1307">
        <w:rPr>
          <w:rFonts w:cs="Times New Roman"/>
          <w:i/>
          <w:szCs w:val="22"/>
        </w:rPr>
        <w:t xml:space="preserve">Id. </w:t>
      </w:r>
    </w:p>
  </w:footnote>
  <w:footnote w:id="721">
    <w:p w14:paraId="7F6A94E3" w14:textId="77777777" w:rsidR="00D90D35" w:rsidRPr="007F1307" w:rsidRDefault="00D90D35" w:rsidP="00692758">
      <w:pPr>
        <w:pStyle w:val="FootnoteText"/>
        <w:rPr>
          <w:rFonts w:cs="Times New Roman"/>
          <w:szCs w:val="22"/>
        </w:rPr>
      </w:pPr>
      <w:r w:rsidRPr="005A669A">
        <w:rPr>
          <w:rStyle w:val="FootnoteReference"/>
        </w:rPr>
        <w:footnoteRef/>
      </w:r>
      <w:r w:rsidRPr="007F1307">
        <w:rPr>
          <w:rFonts w:cs="Times New Roman"/>
          <w:szCs w:val="22"/>
        </w:rPr>
        <w:t xml:space="preserve"> </w:t>
      </w:r>
      <w:r w:rsidRPr="007F1307">
        <w:rPr>
          <w:rFonts w:cs="Times New Roman"/>
          <w:i/>
          <w:szCs w:val="22"/>
        </w:rPr>
        <w:t xml:space="preserve">Id. </w:t>
      </w:r>
    </w:p>
  </w:footnote>
  <w:footnote w:id="722">
    <w:p w14:paraId="36DEC91E" w14:textId="77777777" w:rsidR="00D90D35" w:rsidRPr="007F1307" w:rsidRDefault="00D90D35" w:rsidP="00692758">
      <w:pPr>
        <w:pStyle w:val="FootnoteText"/>
        <w:rPr>
          <w:rFonts w:cs="Times New Roman"/>
          <w:szCs w:val="22"/>
        </w:rPr>
      </w:pPr>
      <w:r w:rsidRPr="005A669A">
        <w:rPr>
          <w:rStyle w:val="FootnoteReference"/>
        </w:rPr>
        <w:footnoteRef/>
      </w:r>
      <w:r w:rsidRPr="007F1307">
        <w:rPr>
          <w:rFonts w:cs="Times New Roman"/>
          <w:szCs w:val="22"/>
        </w:rPr>
        <w:t xml:space="preserve"> </w:t>
      </w:r>
      <w:r w:rsidRPr="007F1307">
        <w:rPr>
          <w:rFonts w:cs="Times New Roman"/>
          <w:i/>
          <w:szCs w:val="22"/>
        </w:rPr>
        <w:t xml:space="preserve">Id. </w:t>
      </w:r>
    </w:p>
  </w:footnote>
  <w:footnote w:id="723">
    <w:p w14:paraId="23BB7150" w14:textId="0243D73B" w:rsidR="00D90D35" w:rsidRPr="007F1307" w:rsidRDefault="00D90D35" w:rsidP="003437F7">
      <w:pPr>
        <w:pStyle w:val="FootnoteText"/>
        <w:rPr>
          <w:rFonts w:cs="Times New Roman"/>
          <w:i/>
          <w:szCs w:val="22"/>
        </w:rPr>
      </w:pPr>
      <w:r w:rsidRPr="005A669A">
        <w:rPr>
          <w:rStyle w:val="FootnoteReference"/>
        </w:rPr>
        <w:footnoteRef/>
      </w:r>
      <w:r w:rsidRPr="007F1307">
        <w:rPr>
          <w:rFonts w:cs="Times New Roman"/>
          <w:szCs w:val="22"/>
        </w:rPr>
        <w:t xml:space="preserve"> </w:t>
      </w:r>
      <w:r w:rsidRPr="007F1307">
        <w:rPr>
          <w:rFonts w:cs="Times New Roman"/>
          <w:i/>
          <w:szCs w:val="22"/>
        </w:rPr>
        <w:t xml:space="preserve">See </w:t>
      </w:r>
      <w:r>
        <w:rPr>
          <w:rFonts w:cs="Times New Roman"/>
          <w:i/>
          <w:szCs w:val="22"/>
        </w:rPr>
        <w:t>i</w:t>
      </w:r>
      <w:r w:rsidRPr="007F1307">
        <w:rPr>
          <w:rFonts w:cs="Times New Roman"/>
          <w:i/>
          <w:szCs w:val="22"/>
        </w:rPr>
        <w:t xml:space="preserve">d. </w:t>
      </w:r>
      <w:r w:rsidRPr="007F1307">
        <w:rPr>
          <w:rFonts w:cs="Times New Roman"/>
          <w:szCs w:val="22"/>
        </w:rPr>
        <w:t>at *4 (Reyna, J., dissenting)</w:t>
      </w:r>
    </w:p>
  </w:footnote>
  <w:footnote w:id="724">
    <w:p w14:paraId="1BD65918" w14:textId="2DBA0B17" w:rsidR="00D90D35" w:rsidRPr="003437F7" w:rsidRDefault="00D90D35" w:rsidP="00692758">
      <w:pPr>
        <w:pStyle w:val="FootnoteText"/>
        <w:rPr>
          <w:rFonts w:cs="Times New Roman"/>
          <w:i/>
          <w:szCs w:val="22"/>
        </w:rPr>
      </w:pPr>
      <w:r w:rsidRPr="005A669A">
        <w:rPr>
          <w:rStyle w:val="FootnoteReference"/>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 xml:space="preserve">at *4 (Reyna, J., dissenting) (citing TC Heartland </w:t>
      </w:r>
      <w:r w:rsidRPr="007F1307">
        <w:rPr>
          <w:rFonts w:eastAsia="Times New Roman" w:cs="Times New Roman"/>
          <w:color w:val="000000"/>
          <w:szCs w:val="22"/>
        </w:rPr>
        <w:t>LLC v. Kraft Foods Group Brands LLC, 137 S. Ct. 1514 (2017)).</w:t>
      </w:r>
    </w:p>
  </w:footnote>
  <w:footnote w:id="725">
    <w:p w14:paraId="604E0A0C" w14:textId="77777777" w:rsidR="00D90D35" w:rsidRPr="007F1307" w:rsidRDefault="00D90D35" w:rsidP="00692758">
      <w:pPr>
        <w:pStyle w:val="FootnoteText"/>
        <w:rPr>
          <w:rFonts w:cs="Times New Roman"/>
          <w:szCs w:val="22"/>
        </w:rPr>
      </w:pPr>
      <w:r w:rsidRPr="005A669A">
        <w:rPr>
          <w:rStyle w:val="FootnoteReference"/>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*5 (Reyna, J., dissenting) (quoting In re Cray Inc., 871 F.3d 1355, 1362 (Fed. Cir. 2017)).</w:t>
      </w:r>
    </w:p>
  </w:footnote>
  <w:footnote w:id="726">
    <w:p w14:paraId="2CE44BB9" w14:textId="77777777" w:rsidR="00D90D35" w:rsidRPr="007F1307" w:rsidRDefault="00D90D35" w:rsidP="00692758">
      <w:pPr>
        <w:pStyle w:val="FootnoteText"/>
        <w:rPr>
          <w:rFonts w:cs="Times New Roman"/>
          <w:szCs w:val="22"/>
        </w:rPr>
      </w:pPr>
      <w:r w:rsidRPr="005A669A">
        <w:rPr>
          <w:rStyle w:val="FootnoteReference"/>
        </w:rPr>
        <w:footnoteRef/>
      </w:r>
      <w:r w:rsidRPr="007F1307">
        <w:rPr>
          <w:rFonts w:cs="Times New Roman"/>
          <w:szCs w:val="22"/>
        </w:rPr>
        <w:t xml:space="preserve"> </w:t>
      </w:r>
      <w:r w:rsidRPr="007F1307">
        <w:rPr>
          <w:rFonts w:cs="Times New Roman"/>
          <w:i/>
          <w:szCs w:val="22"/>
        </w:rPr>
        <w:t>Id.</w:t>
      </w:r>
      <w:r w:rsidRPr="007F1307">
        <w:rPr>
          <w:rFonts w:cs="Times New Roman"/>
          <w:szCs w:val="22"/>
        </w:rPr>
        <w:t xml:space="preserve"> at *5 (Reyna, J., dissenting) (citing In re Cray Inc., 871 F.3d at 1361).</w:t>
      </w:r>
    </w:p>
  </w:footnote>
  <w:footnote w:id="727">
    <w:p w14:paraId="4D39B81F" w14:textId="77777777" w:rsidR="00D90D35" w:rsidRPr="007F1307" w:rsidRDefault="00D90D35" w:rsidP="00692758">
      <w:pPr>
        <w:pStyle w:val="FootnoteText"/>
        <w:rPr>
          <w:rFonts w:cs="Times New Roman"/>
          <w:szCs w:val="22"/>
        </w:rPr>
      </w:pPr>
      <w:r w:rsidRPr="005A669A">
        <w:rPr>
          <w:rStyle w:val="FootnoteReference"/>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*5 (Reyna, J. dissenting).</w:t>
      </w:r>
    </w:p>
  </w:footnote>
  <w:footnote w:id="728">
    <w:p w14:paraId="3A5954C7" w14:textId="77777777" w:rsidR="00D90D35" w:rsidRPr="007F1307" w:rsidRDefault="00D90D35" w:rsidP="00692758">
      <w:pPr>
        <w:pStyle w:val="FootnoteText"/>
        <w:rPr>
          <w:rFonts w:cs="Times New Roman"/>
          <w:szCs w:val="22"/>
        </w:rPr>
      </w:pPr>
      <w:r w:rsidRPr="005A669A">
        <w:rPr>
          <w:rStyle w:val="FootnoteReference"/>
        </w:rPr>
        <w:footnoteRef/>
      </w:r>
      <w:r w:rsidRPr="007F1307">
        <w:rPr>
          <w:rFonts w:cs="Times New Roman"/>
          <w:szCs w:val="22"/>
        </w:rPr>
        <w:t xml:space="preserve"> </w:t>
      </w:r>
      <w:r w:rsidRPr="007F1307">
        <w:rPr>
          <w:rFonts w:cs="Times New Roman"/>
          <w:i/>
          <w:szCs w:val="22"/>
        </w:rPr>
        <w:t xml:space="preserve">Id. </w:t>
      </w:r>
    </w:p>
  </w:footnote>
  <w:footnote w:id="729">
    <w:p w14:paraId="10163621" w14:textId="77777777" w:rsidR="00D90D35" w:rsidRPr="007F1307" w:rsidRDefault="00D90D35" w:rsidP="00692758">
      <w:pPr>
        <w:pStyle w:val="FootnoteText"/>
        <w:rPr>
          <w:rFonts w:cs="Times New Roman"/>
          <w:szCs w:val="22"/>
        </w:rPr>
      </w:pPr>
      <w:r w:rsidRPr="005A669A">
        <w:rPr>
          <w:rStyle w:val="FootnoteReference"/>
        </w:rPr>
        <w:footnoteRef/>
      </w:r>
      <w:r w:rsidRPr="007F1307">
        <w:rPr>
          <w:rFonts w:cs="Times New Roman"/>
          <w:szCs w:val="22"/>
        </w:rPr>
        <w:t xml:space="preserve"> </w:t>
      </w:r>
      <w:r w:rsidRPr="007F1307">
        <w:rPr>
          <w:rFonts w:cs="Times New Roman"/>
          <w:i/>
          <w:szCs w:val="22"/>
        </w:rPr>
        <w:t xml:space="preserve">Id. </w:t>
      </w:r>
    </w:p>
  </w:footnote>
  <w:footnote w:id="730">
    <w:p w14:paraId="3F274FAD" w14:textId="76262AD7" w:rsidR="00D90D35" w:rsidRPr="007F1307" w:rsidRDefault="00D90D35" w:rsidP="00692758">
      <w:pPr>
        <w:pStyle w:val="FootnoteText"/>
        <w:rPr>
          <w:rFonts w:cs="Times New Roman"/>
          <w:szCs w:val="22"/>
        </w:rPr>
      </w:pPr>
      <w:r w:rsidRPr="005A669A">
        <w:rPr>
          <w:rStyle w:val="FootnoteReference"/>
        </w:rPr>
        <w:footnoteRef/>
      </w:r>
      <w:r w:rsidRPr="007F1307">
        <w:rPr>
          <w:rFonts w:cs="Times New Roman"/>
          <w:szCs w:val="22"/>
        </w:rPr>
        <w:t xml:space="preserve"> </w:t>
      </w:r>
      <w:r w:rsidRPr="007F1307">
        <w:rPr>
          <w:rFonts w:cs="Times New Roman"/>
          <w:i/>
          <w:szCs w:val="22"/>
        </w:rPr>
        <w:t xml:space="preserve">Id. </w:t>
      </w:r>
      <w:r w:rsidRPr="007F1307">
        <w:rPr>
          <w:rFonts w:cs="Times New Roman"/>
          <w:szCs w:val="22"/>
        </w:rPr>
        <w:t>at *6 (Rey</w:t>
      </w:r>
      <w:r>
        <w:rPr>
          <w:rFonts w:cs="Times New Roman"/>
          <w:szCs w:val="22"/>
        </w:rPr>
        <w:t>n</w:t>
      </w:r>
      <w:r w:rsidRPr="007F1307">
        <w:rPr>
          <w:rFonts w:cs="Times New Roman"/>
          <w:szCs w:val="22"/>
        </w:rPr>
        <w:t>a, J., dissenting).</w:t>
      </w:r>
    </w:p>
  </w:footnote>
  <w:footnote w:id="731">
    <w:p w14:paraId="3AE16238" w14:textId="1AF19005" w:rsidR="00D90D35" w:rsidRPr="00870F99" w:rsidRDefault="00D90D35">
      <w:pPr>
        <w:pStyle w:val="FootnoteText"/>
      </w:pPr>
      <w:r w:rsidRPr="005A669A">
        <w:rPr>
          <w:rStyle w:val="FootnoteReference"/>
        </w:rPr>
        <w:footnoteRef/>
      </w:r>
      <w:r>
        <w:t xml:space="preserve"> </w:t>
      </w:r>
      <w:r w:rsidRPr="00870F99">
        <w:rPr>
          <w:i/>
        </w:rPr>
        <w:t>In re Google Inc.</w:t>
      </w:r>
      <w:r w:rsidRPr="00870F99">
        <w:t>, 914 F.3d 1377</w:t>
      </w:r>
      <w:r>
        <w:t>, 1378</w:t>
      </w:r>
      <w:r w:rsidRPr="00870F99">
        <w:t xml:space="preserve"> (Fed. Cir. 2019)</w:t>
      </w:r>
      <w:r>
        <w:t>.</w:t>
      </w:r>
    </w:p>
  </w:footnote>
  <w:footnote w:id="732">
    <w:p w14:paraId="672D5BE6" w14:textId="572E0137" w:rsidR="00D90D35" w:rsidRPr="008618D2" w:rsidRDefault="00D90D35">
      <w:pPr>
        <w:pStyle w:val="FootnoteText"/>
      </w:pPr>
      <w:r w:rsidRPr="005A669A">
        <w:rPr>
          <w:rStyle w:val="FootnoteReference"/>
        </w:rPr>
        <w:footnoteRef/>
      </w:r>
      <w:r>
        <w:t xml:space="preserve"> </w:t>
      </w:r>
      <w:r>
        <w:rPr>
          <w:i/>
        </w:rPr>
        <w:t xml:space="preserve">Id. </w:t>
      </w:r>
      <w:r>
        <w:t>at 1378 (Reyna, J., dissenting).</w:t>
      </w:r>
    </w:p>
  </w:footnote>
  <w:footnote w:id="733">
    <w:p w14:paraId="689AC8AE" w14:textId="34F14170" w:rsidR="00D90D35" w:rsidRPr="00822F6D" w:rsidRDefault="00D90D35">
      <w:pPr>
        <w:pStyle w:val="FootnoteText"/>
      </w:pPr>
      <w:r w:rsidRPr="005A669A">
        <w:rPr>
          <w:rStyle w:val="FootnoteReference"/>
        </w:rPr>
        <w:footnoteRef/>
      </w:r>
      <w:r>
        <w:t xml:space="preserve"> </w:t>
      </w:r>
      <w:r>
        <w:rPr>
          <w:i/>
        </w:rPr>
        <w:t xml:space="preserve">Id. </w:t>
      </w:r>
      <w:r>
        <w:t xml:space="preserve">at 1378-79 (Reyna, J., dissenting) (citing </w:t>
      </w:r>
      <w:r w:rsidRPr="00822F6D">
        <w:t>Jack Henry &amp; Assoc. v. Plano Encryption Techs. LLC, 910 F.3d 1199, 1203 (Fed. Cir. 2018)</w:t>
      </w:r>
      <w:r>
        <w:t>).</w:t>
      </w:r>
    </w:p>
  </w:footnote>
  <w:footnote w:id="734">
    <w:p w14:paraId="0AB1B27A" w14:textId="6CF20FDE" w:rsidR="00D90D35" w:rsidRDefault="00D90D35">
      <w:pPr>
        <w:pStyle w:val="FootnoteText"/>
      </w:pPr>
      <w:r w:rsidRPr="005A669A">
        <w:rPr>
          <w:rStyle w:val="FootnoteReference"/>
        </w:rPr>
        <w:footnoteRef/>
      </w:r>
      <w:r>
        <w:t xml:space="preserve"> </w:t>
      </w:r>
      <w:r>
        <w:rPr>
          <w:i/>
        </w:rPr>
        <w:t xml:space="preserve">Id. </w:t>
      </w:r>
      <w:r>
        <w:t xml:space="preserve">at 1378 (Reyna, J., dissenting) (citing </w:t>
      </w:r>
      <w:r w:rsidRPr="00D66761">
        <w:t xml:space="preserve">Timothy B. Dyk, </w:t>
      </w:r>
      <w:r w:rsidRPr="00D66761">
        <w:rPr>
          <w:i/>
        </w:rPr>
        <w:t>Federal Circuit Jurisdiction: Looking Back and Thinking Forward</w:t>
      </w:r>
      <w:r w:rsidRPr="00D66761">
        <w:t xml:space="preserve">, 67 </w:t>
      </w:r>
      <w:r w:rsidRPr="00D66761">
        <w:rPr>
          <w:smallCaps/>
        </w:rPr>
        <w:t>Am. U. L. Rev</w:t>
      </w:r>
      <w:r w:rsidRPr="00D66761">
        <w:t>. 971, 977 (2018)</w:t>
      </w:r>
      <w:r>
        <w:t>).</w:t>
      </w:r>
    </w:p>
  </w:footnote>
  <w:footnote w:id="735">
    <w:p w14:paraId="67330CE8" w14:textId="3B446FF4" w:rsidR="00D90D35" w:rsidRPr="005D7386" w:rsidRDefault="00D90D35">
      <w:pPr>
        <w:pStyle w:val="FootnoteText"/>
      </w:pPr>
      <w:r w:rsidRPr="005A669A">
        <w:rPr>
          <w:rStyle w:val="FootnoteReference"/>
        </w:rPr>
        <w:footnoteRef/>
      </w:r>
      <w:r>
        <w:t xml:space="preserve"> </w:t>
      </w:r>
      <w:r>
        <w:rPr>
          <w:i/>
        </w:rPr>
        <w:t xml:space="preserve">Id. </w:t>
      </w:r>
      <w:r>
        <w:t xml:space="preserve">at 1380 (Reyna, J., dissenting) (quoting </w:t>
      </w:r>
      <w:r w:rsidRPr="005D7386">
        <w:rPr>
          <w:rFonts w:eastAsia="Times New Roman" w:cs="Times New Roman"/>
          <w:color w:val="000000" w:themeColor="text1"/>
        </w:rPr>
        <w:t>CUPP Cybersecurity, LLC v. Symantec Corp.,</w:t>
      </w:r>
      <w:r>
        <w:rPr>
          <w:rFonts w:eastAsia="Times New Roman" w:cs="Times New Roman"/>
          <w:color w:val="000000" w:themeColor="text1"/>
        </w:rPr>
        <w:t xml:space="preserve"> </w:t>
      </w:r>
      <w:r w:rsidRPr="005D7386">
        <w:rPr>
          <w:rFonts w:eastAsia="Times New Roman" w:cs="Times New Roman"/>
          <w:color w:val="000000" w:themeColor="text1"/>
        </w:rPr>
        <w:t>No. 3:18-CV-1554, Dkt. No. 44, at *4-6 (N.D. Tex. Dec. 21, 2018)</w:t>
      </w:r>
      <w:r>
        <w:rPr>
          <w:rFonts w:eastAsia="Times New Roman" w:cs="Times New Roman"/>
          <w:color w:val="000000" w:themeColor="text1"/>
        </w:rPr>
        <w:t>).</w:t>
      </w:r>
    </w:p>
  </w:footnote>
  <w:footnote w:id="736">
    <w:p w14:paraId="25449A9E" w14:textId="2D37838E" w:rsidR="00D90D35" w:rsidRPr="005D7386" w:rsidRDefault="00D90D35" w:rsidP="00402D98">
      <w:pPr>
        <w:pStyle w:val="FootnoteText"/>
      </w:pPr>
      <w:r w:rsidRPr="005A669A">
        <w:rPr>
          <w:rStyle w:val="FootnoteReference"/>
        </w:rPr>
        <w:footnoteRef/>
      </w:r>
      <w:r>
        <w:t xml:space="preserve"> </w:t>
      </w:r>
      <w:r>
        <w:rPr>
          <w:i/>
        </w:rPr>
        <w:t xml:space="preserve">Id. </w:t>
      </w:r>
    </w:p>
  </w:footnote>
  <w:footnote w:id="737">
    <w:p w14:paraId="65DDA87C" w14:textId="2A916589" w:rsidR="00D90D35" w:rsidRPr="000B3FB1" w:rsidRDefault="00D90D35" w:rsidP="00F86052">
      <w:pPr>
        <w:pStyle w:val="FootnoteText"/>
      </w:pPr>
      <w:r w:rsidRPr="005A669A">
        <w:rPr>
          <w:rStyle w:val="FootnoteReference"/>
        </w:rPr>
        <w:footnoteRef/>
      </w:r>
      <w:r>
        <w:t xml:space="preserve"> </w:t>
      </w:r>
      <w:r>
        <w:rPr>
          <w:i/>
        </w:rPr>
        <w:t xml:space="preserve">Id. </w:t>
      </w:r>
      <w:r>
        <w:t>at 1380 (Reyna, J., dissenting).</w:t>
      </w:r>
    </w:p>
  </w:footnote>
  <w:footnote w:id="738">
    <w:p w14:paraId="184DBE87" w14:textId="378DE687" w:rsidR="00D90D35" w:rsidRPr="004376AE" w:rsidRDefault="00D90D35">
      <w:pPr>
        <w:pStyle w:val="FootnoteText"/>
      </w:pPr>
      <w:r w:rsidRPr="005A669A">
        <w:rPr>
          <w:rStyle w:val="FootnoteReference"/>
        </w:rPr>
        <w:footnoteRef/>
      </w:r>
      <w:r>
        <w:t xml:space="preserve"> </w:t>
      </w:r>
      <w:r>
        <w:rPr>
          <w:i/>
        </w:rPr>
        <w:t xml:space="preserve">Id. </w:t>
      </w:r>
      <w:r>
        <w:t>at 1381 (Reyna, J., dissenting).</w:t>
      </w:r>
    </w:p>
  </w:footnote>
  <w:footnote w:id="739">
    <w:p w14:paraId="5E3B0A9B" w14:textId="4FEE0BD2" w:rsidR="00D90D35" w:rsidRPr="004376AE" w:rsidRDefault="00D90D35">
      <w:pPr>
        <w:pStyle w:val="FootnoteText"/>
      </w:pPr>
      <w:r w:rsidRPr="005A669A">
        <w:rPr>
          <w:rStyle w:val="FootnoteReference"/>
        </w:rPr>
        <w:footnoteRef/>
      </w:r>
      <w:r>
        <w:t xml:space="preserve"> </w:t>
      </w:r>
      <w:r>
        <w:rPr>
          <w:i/>
        </w:rPr>
        <w:t xml:space="preserve">Id. </w:t>
      </w:r>
      <w:r>
        <w:t>at 1382 (Reyna, J., dissenting).</w:t>
      </w:r>
    </w:p>
  </w:footnote>
  <w:footnote w:id="740">
    <w:p w14:paraId="463D3CE2" w14:textId="390B886F" w:rsidR="00D90D35" w:rsidRDefault="00D90D35" w:rsidP="001956EB">
      <w:pPr>
        <w:pStyle w:val="FootnoteText"/>
      </w:pPr>
      <w:r w:rsidRPr="005A669A">
        <w:rPr>
          <w:rStyle w:val="FootnoteReference"/>
        </w:rPr>
        <w:footnoteRef/>
      </w:r>
      <w:r>
        <w:t xml:space="preserve"> </w:t>
      </w:r>
      <w:r w:rsidRPr="00B3704B">
        <w:t>Supernus Pharms., Inc. v. Iancu, 913 F.3d 1351</w:t>
      </w:r>
      <w:r>
        <w:t>, 1361</w:t>
      </w:r>
      <w:r w:rsidRPr="00B3704B">
        <w:t xml:space="preserve"> (Fed. Cir. 2019)</w:t>
      </w:r>
      <w:r>
        <w:t xml:space="preserve"> (citing </w:t>
      </w:r>
      <w:r w:rsidRPr="00F35EF7">
        <w:rPr>
          <w:rFonts w:cs="Times New Roman"/>
        </w:rPr>
        <w:t>35 U.S.C. § 154(b)(2)(C)(i)</w:t>
      </w:r>
      <w:r>
        <w:rPr>
          <w:rFonts w:cs="Times New Roman"/>
        </w:rPr>
        <w:t>).</w:t>
      </w:r>
    </w:p>
  </w:footnote>
  <w:footnote w:id="741">
    <w:p w14:paraId="36558956" w14:textId="6A51DEE4" w:rsidR="00D90D35" w:rsidRPr="000158AF" w:rsidRDefault="00D90D35" w:rsidP="001956EB">
      <w:pPr>
        <w:pStyle w:val="FootnoteText"/>
      </w:pPr>
      <w:r w:rsidRPr="005A669A">
        <w:rPr>
          <w:rStyle w:val="FootnoteReference"/>
        </w:rPr>
        <w:footnoteRef/>
      </w:r>
      <w:r>
        <w:t xml:space="preserve"> </w:t>
      </w:r>
      <w:r>
        <w:rPr>
          <w:i/>
        </w:rPr>
        <w:t xml:space="preserve">Id. </w:t>
      </w:r>
      <w:r>
        <w:t>at 1353.</w:t>
      </w:r>
    </w:p>
  </w:footnote>
  <w:footnote w:id="742">
    <w:p w14:paraId="0A827CEA" w14:textId="77777777" w:rsidR="00D90D35" w:rsidRPr="0040798D" w:rsidRDefault="00D90D35" w:rsidP="001956EB">
      <w:pPr>
        <w:pStyle w:val="FootnoteText"/>
      </w:pPr>
      <w:r w:rsidRPr="005A669A">
        <w:rPr>
          <w:rStyle w:val="FootnoteReference"/>
        </w:rPr>
        <w:footnoteRef/>
      </w:r>
      <w:r>
        <w:t xml:space="preserve"> </w:t>
      </w:r>
      <w:r>
        <w:rPr>
          <w:i/>
        </w:rPr>
        <w:t xml:space="preserve">Id. </w:t>
      </w:r>
      <w:r>
        <w:t>(citing 35 U.S.C. § 154(b)).</w:t>
      </w:r>
    </w:p>
  </w:footnote>
  <w:footnote w:id="743">
    <w:p w14:paraId="4AFEDA39" w14:textId="77777777" w:rsidR="00D90D35" w:rsidRPr="008113AD" w:rsidRDefault="00D90D35" w:rsidP="001956EB">
      <w:pPr>
        <w:pStyle w:val="FootnoteText"/>
      </w:pPr>
      <w:r w:rsidRPr="005A669A">
        <w:rPr>
          <w:rStyle w:val="FootnoteReference"/>
        </w:rPr>
        <w:footnoteRef/>
      </w:r>
      <w:r>
        <w:t xml:space="preserve"> </w:t>
      </w:r>
      <w:r>
        <w:rPr>
          <w:i/>
        </w:rPr>
        <w:t xml:space="preserve">Id. </w:t>
      </w:r>
      <w:r>
        <w:t>at 1354-55 (outlining timeline of applications in United States and Europe).</w:t>
      </w:r>
    </w:p>
  </w:footnote>
  <w:footnote w:id="744">
    <w:p w14:paraId="2E06A5E8" w14:textId="77777777" w:rsidR="00D90D35" w:rsidRPr="00F302B9" w:rsidRDefault="00D90D35" w:rsidP="001956EB">
      <w:pPr>
        <w:pStyle w:val="FootnoteText"/>
      </w:pPr>
      <w:r w:rsidRPr="005A669A">
        <w:rPr>
          <w:rStyle w:val="FootnoteReference"/>
        </w:rPr>
        <w:footnoteRef/>
      </w:r>
      <w:r>
        <w:t xml:space="preserve"> </w:t>
      </w:r>
      <w:r>
        <w:rPr>
          <w:i/>
        </w:rPr>
        <w:t xml:space="preserve">Id. </w:t>
      </w:r>
      <w:r>
        <w:t>at 1355-56.</w:t>
      </w:r>
    </w:p>
  </w:footnote>
  <w:footnote w:id="745">
    <w:p w14:paraId="50179005" w14:textId="77777777" w:rsidR="00D90D35" w:rsidRPr="008113AD" w:rsidRDefault="00D90D35" w:rsidP="001956EB">
      <w:pPr>
        <w:pStyle w:val="FootnoteText"/>
      </w:pPr>
      <w:r w:rsidRPr="005A669A">
        <w:rPr>
          <w:rStyle w:val="FootnoteReference"/>
        </w:rPr>
        <w:footnoteRef/>
      </w:r>
      <w:r>
        <w:t xml:space="preserve"> </w:t>
      </w:r>
      <w:r>
        <w:rPr>
          <w:i/>
        </w:rPr>
        <w:t xml:space="preserve">Id. </w:t>
      </w:r>
      <w:r>
        <w:t>at 1355.</w:t>
      </w:r>
    </w:p>
  </w:footnote>
  <w:footnote w:id="746">
    <w:p w14:paraId="32FCE862" w14:textId="77777777" w:rsidR="00D90D35" w:rsidRPr="00F302B9" w:rsidRDefault="00D90D35" w:rsidP="001956EB">
      <w:pPr>
        <w:pStyle w:val="FootnoteText"/>
      </w:pPr>
      <w:r w:rsidRPr="005A669A">
        <w:rPr>
          <w:rStyle w:val="FootnoteReference"/>
        </w:rPr>
        <w:footnoteRef/>
      </w:r>
      <w:r>
        <w:t xml:space="preserve"> </w:t>
      </w:r>
      <w:r>
        <w:rPr>
          <w:i/>
        </w:rPr>
        <w:t xml:space="preserve">Id. </w:t>
      </w:r>
      <w:r>
        <w:t>at 1355-56.</w:t>
      </w:r>
    </w:p>
  </w:footnote>
  <w:footnote w:id="747">
    <w:p w14:paraId="2B6BC5E7" w14:textId="77777777" w:rsidR="00D90D35" w:rsidRPr="00F302B9" w:rsidRDefault="00D90D35" w:rsidP="001956EB">
      <w:pPr>
        <w:pStyle w:val="FootnoteText"/>
      </w:pPr>
      <w:r w:rsidRPr="005A669A">
        <w:rPr>
          <w:rStyle w:val="FootnoteReference"/>
        </w:rPr>
        <w:footnoteRef/>
      </w:r>
      <w:r>
        <w:t xml:space="preserve"> </w:t>
      </w:r>
      <w:r>
        <w:rPr>
          <w:i/>
        </w:rPr>
        <w:t xml:space="preserve">Id. </w:t>
      </w:r>
      <w:r>
        <w:t>at 1356.</w:t>
      </w:r>
    </w:p>
  </w:footnote>
  <w:footnote w:id="748">
    <w:p w14:paraId="609401A3" w14:textId="77777777" w:rsidR="00D90D35" w:rsidRPr="008225DF" w:rsidRDefault="00D90D35" w:rsidP="001956EB">
      <w:pPr>
        <w:pStyle w:val="FootnoteText"/>
      </w:pPr>
      <w:r w:rsidRPr="005A669A">
        <w:rPr>
          <w:rStyle w:val="FootnoteReference"/>
        </w:rPr>
        <w:footnoteRef/>
      </w:r>
      <w:r>
        <w:t xml:space="preserve"> </w:t>
      </w:r>
      <w:r>
        <w:rPr>
          <w:i/>
        </w:rPr>
        <w:t xml:space="preserve">Id. </w:t>
      </w:r>
      <w:r>
        <w:t xml:space="preserve">at 1357-58 (citing </w:t>
      </w:r>
      <w:r w:rsidRPr="006D4346">
        <w:t>Gilead Scis., Inc. v. Lee, 778 F.3d 1341 (Fed. Cir. 2015)</w:t>
      </w:r>
      <w:r>
        <w:t>).</w:t>
      </w:r>
    </w:p>
  </w:footnote>
  <w:footnote w:id="749">
    <w:p w14:paraId="290FB870" w14:textId="77777777" w:rsidR="00D90D35" w:rsidRPr="00A634B9" w:rsidRDefault="00D90D35" w:rsidP="001956EB">
      <w:pPr>
        <w:pStyle w:val="FootnoteText"/>
      </w:pPr>
      <w:r w:rsidRPr="005A669A">
        <w:rPr>
          <w:rStyle w:val="FootnoteReference"/>
        </w:rPr>
        <w:footnoteRef/>
      </w:r>
      <w:r>
        <w:t xml:space="preserve"> </w:t>
      </w:r>
      <w:r>
        <w:rPr>
          <w:i/>
        </w:rPr>
        <w:t xml:space="preserve">Id. </w:t>
      </w:r>
      <w:r>
        <w:t>at 1357.</w:t>
      </w:r>
    </w:p>
  </w:footnote>
  <w:footnote w:id="750">
    <w:p w14:paraId="5B235B94" w14:textId="4BFBD474" w:rsidR="00D90D35" w:rsidRPr="008225DF" w:rsidRDefault="00D90D35" w:rsidP="001956EB">
      <w:pPr>
        <w:pStyle w:val="FootnoteText"/>
      </w:pPr>
      <w:r w:rsidRPr="005A669A">
        <w:rPr>
          <w:rStyle w:val="FootnoteReference"/>
        </w:rPr>
        <w:footnoteRef/>
      </w:r>
      <w:r>
        <w:t xml:space="preserve"> </w:t>
      </w:r>
      <w:r>
        <w:rPr>
          <w:i/>
        </w:rPr>
        <w:t xml:space="preserve">Id. </w:t>
      </w:r>
    </w:p>
  </w:footnote>
  <w:footnote w:id="751">
    <w:p w14:paraId="767D3420" w14:textId="46CA1544" w:rsidR="00D90D35" w:rsidRPr="004F6DD6" w:rsidRDefault="00D90D35" w:rsidP="001956EB">
      <w:pPr>
        <w:pStyle w:val="FootnoteText"/>
      </w:pPr>
      <w:r w:rsidRPr="005A669A">
        <w:rPr>
          <w:rStyle w:val="FootnoteReference"/>
        </w:rPr>
        <w:footnoteRef/>
      </w:r>
      <w:r>
        <w:t xml:space="preserve"> </w:t>
      </w:r>
      <w:r>
        <w:rPr>
          <w:i/>
        </w:rPr>
        <w:t xml:space="preserve">Id. </w:t>
      </w:r>
      <w:r>
        <w:t>at 1358 (citing Chevron U.S.A. Inc. v. NRDC, 467 U.S. 837, 843 (1984)).</w:t>
      </w:r>
    </w:p>
  </w:footnote>
  <w:footnote w:id="752">
    <w:p w14:paraId="3C459707" w14:textId="77777777" w:rsidR="00D90D35" w:rsidRPr="001F364B" w:rsidRDefault="00D90D35" w:rsidP="001956EB">
      <w:pPr>
        <w:pStyle w:val="FootnoteText"/>
      </w:pPr>
      <w:r w:rsidRPr="005A669A">
        <w:rPr>
          <w:rStyle w:val="FootnoteReference"/>
        </w:rPr>
        <w:footnoteRef/>
      </w:r>
      <w:r>
        <w:t xml:space="preserve"> </w:t>
      </w:r>
      <w:r>
        <w:rPr>
          <w:i/>
        </w:rPr>
        <w:t xml:space="preserve">Id. </w:t>
      </w:r>
      <w:r>
        <w:t xml:space="preserve">(quoting </w:t>
      </w:r>
      <w:r w:rsidRPr="0041616D">
        <w:t>35 U.S.C. § 154(b)(2)(C)(i)</w:t>
      </w:r>
      <w:r>
        <w:t>).</w:t>
      </w:r>
    </w:p>
  </w:footnote>
  <w:footnote w:id="753">
    <w:p w14:paraId="54BFB47E" w14:textId="77777777" w:rsidR="00D90D35" w:rsidRPr="008F5122" w:rsidRDefault="00D90D35" w:rsidP="001956EB">
      <w:pPr>
        <w:pStyle w:val="FootnoteText"/>
      </w:pPr>
      <w:r w:rsidRPr="005A669A">
        <w:rPr>
          <w:rStyle w:val="FootnoteReference"/>
        </w:rPr>
        <w:footnoteRef/>
      </w:r>
      <w:r>
        <w:t xml:space="preserve"> </w:t>
      </w:r>
      <w:r>
        <w:rPr>
          <w:i/>
        </w:rPr>
        <w:t xml:space="preserve">Id. </w:t>
      </w:r>
      <w:r>
        <w:t>at 1358, 1359 (emphasis in bold and italics original).</w:t>
      </w:r>
    </w:p>
  </w:footnote>
  <w:footnote w:id="754">
    <w:p w14:paraId="597C3484" w14:textId="77777777" w:rsidR="00D90D35" w:rsidRPr="00BA1DE5" w:rsidRDefault="00D90D35" w:rsidP="001956EB">
      <w:pPr>
        <w:pStyle w:val="FootnoteText"/>
      </w:pPr>
      <w:r w:rsidRPr="005A669A">
        <w:rPr>
          <w:rStyle w:val="FootnoteReference"/>
        </w:rPr>
        <w:footnoteRef/>
      </w:r>
      <w:r>
        <w:t xml:space="preserve"> </w:t>
      </w:r>
      <w:r>
        <w:rPr>
          <w:i/>
        </w:rPr>
        <w:t xml:space="preserve">Id. </w:t>
      </w:r>
      <w:r>
        <w:t>at 1359.</w:t>
      </w:r>
    </w:p>
  </w:footnote>
  <w:footnote w:id="755">
    <w:p w14:paraId="0CF797A1" w14:textId="77777777" w:rsidR="00D90D35" w:rsidRPr="00812D31" w:rsidRDefault="00D90D35" w:rsidP="001956EB">
      <w:pPr>
        <w:pStyle w:val="FootnoteText"/>
      </w:pPr>
      <w:r w:rsidRPr="005A669A">
        <w:rPr>
          <w:rStyle w:val="FootnoteReference"/>
        </w:rPr>
        <w:footnoteRef/>
      </w:r>
      <w:r>
        <w:t xml:space="preserve"> </w:t>
      </w:r>
      <w:r>
        <w:rPr>
          <w:i/>
        </w:rPr>
        <w:t xml:space="preserve">Id. </w:t>
      </w:r>
      <w:r>
        <w:t>at 1360.</w:t>
      </w:r>
    </w:p>
  </w:footnote>
  <w:footnote w:id="756">
    <w:p w14:paraId="1180AFA4" w14:textId="77777777" w:rsidR="00D90D35" w:rsidRPr="00DE058B" w:rsidRDefault="00D90D35" w:rsidP="001956EB">
      <w:pPr>
        <w:pStyle w:val="FootnoteText"/>
      </w:pPr>
      <w:r w:rsidRPr="005A669A">
        <w:rPr>
          <w:rStyle w:val="FootnoteReference"/>
        </w:rPr>
        <w:footnoteRef/>
      </w:r>
      <w:r>
        <w:t xml:space="preserve"> </w:t>
      </w:r>
      <w:r>
        <w:rPr>
          <w:i/>
        </w:rPr>
        <w:t xml:space="preserve">Id. </w:t>
      </w:r>
      <w:r>
        <w:t>at 1361.</w:t>
      </w:r>
    </w:p>
  </w:footnote>
  <w:footnote w:id="757">
    <w:p w14:paraId="1D8917CD" w14:textId="77777777" w:rsidR="00D90D35" w:rsidRDefault="00D90D35" w:rsidP="00A26449">
      <w:pPr>
        <w:pStyle w:val="FootnoteText"/>
      </w:pPr>
      <w:r>
        <w:rPr>
          <w:rStyle w:val="FootnoteReference"/>
        </w:rPr>
        <w:footnoteRef/>
      </w:r>
      <w:r>
        <w:t xml:space="preserve"> </w:t>
      </w:r>
      <w:r w:rsidRPr="002506D4">
        <w:t>Arthrex, Inc. v. Smith &amp; Nephew, Inc., 941 F.3d 1320 (Fed. Cir. 2019)</w:t>
      </w:r>
      <w:r>
        <w:t>.</w:t>
      </w:r>
    </w:p>
  </w:footnote>
  <w:footnote w:id="758">
    <w:p w14:paraId="2F62E3F2" w14:textId="77777777" w:rsidR="00D90D35" w:rsidRPr="002506D4" w:rsidRDefault="00D90D35" w:rsidP="00A26449">
      <w:pPr>
        <w:pStyle w:val="FootnoteText"/>
      </w:pPr>
      <w:r>
        <w:rPr>
          <w:rStyle w:val="FootnoteReference"/>
        </w:rPr>
        <w:footnoteRef/>
      </w:r>
      <w:r>
        <w:t xml:space="preserve"> </w:t>
      </w:r>
      <w:r>
        <w:rPr>
          <w:i/>
          <w:iCs/>
        </w:rPr>
        <w:t>Id.</w:t>
      </w:r>
      <w:r>
        <w:t xml:space="preserve"> at 1324 (citing U.S. Patent No. 9,179,907B2).</w:t>
      </w:r>
    </w:p>
  </w:footnote>
  <w:footnote w:id="759">
    <w:p w14:paraId="7FCF97E6" w14:textId="77777777" w:rsidR="00D90D35" w:rsidRPr="000205C4" w:rsidRDefault="00D90D35" w:rsidP="00A26449">
      <w:pPr>
        <w:pStyle w:val="FootnoteText"/>
      </w:pPr>
      <w:r>
        <w:rPr>
          <w:rStyle w:val="FootnoteReference"/>
        </w:rPr>
        <w:footnoteRef/>
      </w:r>
      <w:r>
        <w:t xml:space="preserve"> </w:t>
      </w:r>
      <w:r>
        <w:rPr>
          <w:i/>
          <w:iCs/>
        </w:rPr>
        <w:t>Id.</w:t>
      </w:r>
      <w:r>
        <w:t xml:space="preserve"> at 1327.</w:t>
      </w:r>
    </w:p>
  </w:footnote>
  <w:footnote w:id="760">
    <w:p w14:paraId="5A033C5A" w14:textId="77777777" w:rsidR="00D90D35" w:rsidRDefault="00D90D35" w:rsidP="00A26449">
      <w:pPr>
        <w:pStyle w:val="FootnoteText"/>
      </w:pPr>
      <w:r>
        <w:rPr>
          <w:rStyle w:val="FootnoteReference"/>
        </w:rPr>
        <w:footnoteRef/>
      </w:r>
      <w:r>
        <w:t xml:space="preserve"> </w:t>
      </w:r>
      <w:r w:rsidRPr="00BC5EAF">
        <w:t>U.S. Const. art. II, § 2, cl. 2.</w:t>
      </w:r>
    </w:p>
  </w:footnote>
  <w:footnote w:id="761">
    <w:p w14:paraId="492F34D1" w14:textId="77777777" w:rsidR="00D90D35" w:rsidRPr="00B176E4" w:rsidRDefault="00D90D35" w:rsidP="00A26449">
      <w:pPr>
        <w:pStyle w:val="FootnoteText"/>
      </w:pPr>
      <w:r>
        <w:rPr>
          <w:rStyle w:val="FootnoteReference"/>
        </w:rPr>
        <w:footnoteRef/>
      </w:r>
      <w:r>
        <w:t xml:space="preserve"> Arthrex </w:t>
      </w:r>
      <w:r w:rsidRPr="002506D4">
        <w:t>941 F.3d</w:t>
      </w:r>
      <w:r>
        <w:t xml:space="preserve"> at 1327-28. (quoting </w:t>
      </w:r>
      <w:r w:rsidRPr="00B176E4">
        <w:t>Buckley v. Valeo, 424 U.S. 1</w:t>
      </w:r>
      <w:r>
        <w:t>, 125-26</w:t>
      </w:r>
      <w:r w:rsidRPr="00B176E4">
        <w:t xml:space="preserve"> (1976)</w:t>
      </w:r>
      <w:r>
        <w:t>) (quotations and alterations omitted).</w:t>
      </w:r>
    </w:p>
  </w:footnote>
  <w:footnote w:id="762">
    <w:p w14:paraId="330A13E3" w14:textId="77777777" w:rsidR="00D90D35" w:rsidRPr="00B176E4" w:rsidRDefault="00D90D35" w:rsidP="00A26449">
      <w:pPr>
        <w:pStyle w:val="FootnoteText"/>
      </w:pPr>
      <w:r>
        <w:rPr>
          <w:rStyle w:val="FootnoteReference"/>
        </w:rPr>
        <w:footnoteRef/>
      </w:r>
      <w:r>
        <w:t xml:space="preserve"> </w:t>
      </w:r>
      <w:r>
        <w:rPr>
          <w:i/>
          <w:iCs/>
        </w:rPr>
        <w:t>Id.</w:t>
      </w:r>
      <w:r>
        <w:t xml:space="preserve"> at 1329 (citing</w:t>
      </w:r>
      <w:r w:rsidRPr="00B176E4">
        <w:t xml:space="preserve"> Edmond v. United States, 520 U.S. 651, 662–63 (1997)</w:t>
      </w:r>
      <w:r>
        <w:t>).</w:t>
      </w:r>
    </w:p>
  </w:footnote>
  <w:footnote w:id="763">
    <w:p w14:paraId="24A9BCC4" w14:textId="77777777" w:rsidR="00D90D35" w:rsidRPr="002C0212" w:rsidRDefault="00D90D35" w:rsidP="00A26449">
      <w:pPr>
        <w:pStyle w:val="FootnoteText"/>
      </w:pPr>
      <w:r>
        <w:rPr>
          <w:rStyle w:val="FootnoteReference"/>
        </w:rPr>
        <w:footnoteRef/>
      </w:r>
      <w:r>
        <w:t xml:space="preserve"> </w:t>
      </w:r>
      <w:r>
        <w:rPr>
          <w:i/>
          <w:iCs/>
        </w:rPr>
        <w:t>Id.</w:t>
      </w:r>
      <w:r>
        <w:t xml:space="preserve"> at 1332.</w:t>
      </w:r>
    </w:p>
  </w:footnote>
  <w:footnote w:id="764">
    <w:p w14:paraId="1EBB61C1" w14:textId="77777777" w:rsidR="00D90D35" w:rsidRPr="002C0212" w:rsidRDefault="00D90D35" w:rsidP="00A26449">
      <w:pPr>
        <w:pStyle w:val="FootnoteText"/>
      </w:pPr>
      <w:r>
        <w:rPr>
          <w:rStyle w:val="FootnoteReference"/>
        </w:rPr>
        <w:footnoteRef/>
      </w:r>
      <w:r>
        <w:t xml:space="preserve"> </w:t>
      </w:r>
      <w:r>
        <w:rPr>
          <w:i/>
          <w:iCs/>
        </w:rPr>
        <w:t>Id</w:t>
      </w:r>
      <w:r>
        <w:t xml:space="preserve"> at 1331-34.</w:t>
      </w:r>
    </w:p>
  </w:footnote>
  <w:footnote w:id="765">
    <w:p w14:paraId="15A1E595" w14:textId="77777777" w:rsidR="00D90D35" w:rsidRPr="00B066F4" w:rsidRDefault="00D90D35" w:rsidP="00A26449">
      <w:pPr>
        <w:pStyle w:val="FootnoteText"/>
      </w:pPr>
      <w:r>
        <w:rPr>
          <w:rStyle w:val="FootnoteReference"/>
        </w:rPr>
        <w:footnoteRef/>
      </w:r>
      <w:r>
        <w:t xml:space="preserve"> </w:t>
      </w:r>
      <w:r w:rsidRPr="00B066F4">
        <w:rPr>
          <w:i/>
          <w:iCs/>
        </w:rPr>
        <w:t>Id.</w:t>
      </w:r>
      <w:r w:rsidRPr="00B066F4">
        <w:t xml:space="preserve"> at</w:t>
      </w:r>
      <w:r>
        <w:t xml:space="preserve"> </w:t>
      </w:r>
      <w:r w:rsidRPr="00B066F4">
        <w:t>1335</w:t>
      </w:r>
      <w:r>
        <w:t>.</w:t>
      </w:r>
    </w:p>
  </w:footnote>
  <w:footnote w:id="766">
    <w:p w14:paraId="7EF14F01" w14:textId="77777777" w:rsidR="00D90D35" w:rsidRPr="00B066F4" w:rsidRDefault="00D90D35" w:rsidP="00A26449">
      <w:pPr>
        <w:pStyle w:val="FootnoteText"/>
      </w:pPr>
      <w:r>
        <w:rPr>
          <w:rStyle w:val="FootnoteReference"/>
        </w:rPr>
        <w:footnoteRef/>
      </w:r>
      <w:r>
        <w:t xml:space="preserve"> </w:t>
      </w:r>
      <w:r>
        <w:rPr>
          <w:i/>
          <w:iCs/>
        </w:rPr>
        <w:t>Id</w:t>
      </w:r>
      <w:r>
        <w:t>.</w:t>
      </w:r>
    </w:p>
  </w:footnote>
  <w:footnote w:id="767">
    <w:p w14:paraId="0A70DD51" w14:textId="77777777" w:rsidR="00D90D35" w:rsidRPr="00B066F4" w:rsidRDefault="00D90D35" w:rsidP="00A26449">
      <w:pPr>
        <w:pStyle w:val="FootnoteText"/>
      </w:pPr>
      <w:r>
        <w:rPr>
          <w:rStyle w:val="FootnoteReference"/>
        </w:rPr>
        <w:footnoteRef/>
      </w:r>
      <w:r>
        <w:t xml:space="preserve"> </w:t>
      </w:r>
      <w:r>
        <w:rPr>
          <w:i/>
          <w:iCs/>
        </w:rPr>
        <w:t>Id.</w:t>
      </w:r>
    </w:p>
  </w:footnote>
  <w:footnote w:id="768">
    <w:p w14:paraId="26E71AF5" w14:textId="77777777" w:rsidR="00D90D35" w:rsidRPr="00FD04FF" w:rsidRDefault="00D90D35" w:rsidP="00A26449">
      <w:pPr>
        <w:pStyle w:val="FootnoteText"/>
      </w:pPr>
      <w:r>
        <w:rPr>
          <w:rStyle w:val="FootnoteReference"/>
        </w:rPr>
        <w:footnoteRef/>
      </w:r>
      <w:r>
        <w:rPr>
          <w:i/>
          <w:iCs/>
        </w:rPr>
        <w:t xml:space="preserve"> Id.</w:t>
      </w:r>
      <w:r>
        <w:t>at 1337-39.</w:t>
      </w:r>
    </w:p>
  </w:footnote>
  <w:footnote w:id="769">
    <w:p w14:paraId="0B01FB21" w14:textId="77777777" w:rsidR="00D90D35" w:rsidRPr="00FD04FF" w:rsidRDefault="00D90D35" w:rsidP="00A26449">
      <w:pPr>
        <w:pStyle w:val="FootnoteText"/>
      </w:pPr>
      <w:r>
        <w:rPr>
          <w:rStyle w:val="FootnoteReference"/>
        </w:rPr>
        <w:footnoteRef/>
      </w:r>
      <w:r>
        <w:t xml:space="preserve"> </w:t>
      </w:r>
      <w:r>
        <w:rPr>
          <w:i/>
          <w:iCs/>
        </w:rPr>
        <w:t>Id.</w:t>
      </w:r>
      <w:r>
        <w:t xml:space="preserve"> at 1339.</w:t>
      </w:r>
    </w:p>
  </w:footnote>
  <w:footnote w:id="770">
    <w:p w14:paraId="660BD776" w14:textId="77777777" w:rsidR="00D90D35" w:rsidRPr="002538DF" w:rsidRDefault="00D90D35" w:rsidP="00A26449">
      <w:pPr>
        <w:pStyle w:val="FootnoteText"/>
      </w:pPr>
      <w:r>
        <w:rPr>
          <w:rStyle w:val="FootnoteReference"/>
        </w:rPr>
        <w:footnoteRef/>
      </w:r>
      <w:r>
        <w:t xml:space="preserve"> </w:t>
      </w:r>
      <w:r>
        <w:rPr>
          <w:i/>
          <w:iCs/>
        </w:rPr>
        <w:t>Id.</w:t>
      </w:r>
      <w:r>
        <w:t xml:space="preserve"> (citing </w:t>
      </w:r>
      <w:r w:rsidRPr="002538DF">
        <w:t>Lucia v. S.E.C., 138 S. Ct. 2044 (2018)</w:t>
      </w:r>
      <w:r>
        <w:t>).</w:t>
      </w:r>
    </w:p>
  </w:footnote>
  <w:footnote w:id="771">
    <w:p w14:paraId="0D21B72A" w14:textId="77777777" w:rsidR="00401A27" w:rsidRDefault="00401A27" w:rsidP="00401A27">
      <w:pPr>
        <w:pStyle w:val="FootnoteText"/>
      </w:pPr>
      <w:r>
        <w:rPr>
          <w:rStyle w:val="FootnoteReference"/>
        </w:rPr>
        <w:footnoteRef/>
      </w:r>
      <w:r>
        <w:t xml:space="preserve"> </w:t>
      </w:r>
      <w:r w:rsidRPr="002538DF">
        <w:t>Bedgear, LLC v. Fredman Bros. Furniture Co., 783 Fed.Appx. 1029 (Mem) (Fed. Cir. Nov. 7, 2019)</w:t>
      </w:r>
    </w:p>
  </w:footnote>
  <w:footnote w:id="772">
    <w:p w14:paraId="617C6DAB" w14:textId="77777777" w:rsidR="00401A27" w:rsidRPr="00706277" w:rsidRDefault="00401A27" w:rsidP="00401A27">
      <w:pPr>
        <w:pStyle w:val="FootnoteText"/>
      </w:pPr>
      <w:r>
        <w:rPr>
          <w:rStyle w:val="FootnoteReference"/>
        </w:rPr>
        <w:footnoteRef/>
      </w:r>
      <w:r>
        <w:t xml:space="preserve"> </w:t>
      </w:r>
      <w:r>
        <w:rPr>
          <w:i/>
          <w:iCs/>
        </w:rPr>
        <w:t>Id.</w:t>
      </w:r>
      <w:r>
        <w:t xml:space="preserve"> at 1030 (citing </w:t>
      </w:r>
      <w:r w:rsidRPr="00706277">
        <w:t>Arthrex, Inc. v. Smith &amp; Nephew, Inc., 941 F.3d 1320 (Fed. Cir. 2019)</w:t>
      </w:r>
      <w:r>
        <w:t>).</w:t>
      </w:r>
    </w:p>
  </w:footnote>
  <w:footnote w:id="773">
    <w:p w14:paraId="7D8827C9" w14:textId="77777777" w:rsidR="00401A27" w:rsidRPr="002538DF" w:rsidRDefault="00401A27" w:rsidP="00401A27">
      <w:pPr>
        <w:pStyle w:val="FootnoteText"/>
      </w:pPr>
      <w:r>
        <w:rPr>
          <w:rStyle w:val="FootnoteReference"/>
        </w:rPr>
        <w:footnoteRef/>
      </w:r>
      <w:r>
        <w:t xml:space="preserve"> </w:t>
      </w:r>
      <w:r>
        <w:rPr>
          <w:i/>
          <w:iCs/>
        </w:rPr>
        <w:t>Id.</w:t>
      </w:r>
    </w:p>
  </w:footnote>
  <w:footnote w:id="774">
    <w:p w14:paraId="6B6B5516" w14:textId="77777777" w:rsidR="00401A27" w:rsidRPr="004D1233" w:rsidRDefault="00401A27" w:rsidP="00401A27">
      <w:pPr>
        <w:pStyle w:val="FootnoteText"/>
      </w:pPr>
      <w:r>
        <w:rPr>
          <w:rStyle w:val="FootnoteReference"/>
        </w:rPr>
        <w:footnoteRef/>
      </w:r>
      <w:r>
        <w:t xml:space="preserve"> </w:t>
      </w:r>
      <w:r>
        <w:rPr>
          <w:i/>
          <w:iCs/>
        </w:rPr>
        <w:t>Id.</w:t>
      </w:r>
    </w:p>
  </w:footnote>
  <w:footnote w:id="775">
    <w:p w14:paraId="0FAC0BA1" w14:textId="77777777" w:rsidR="00401A27" w:rsidRPr="004D1233" w:rsidRDefault="00401A27" w:rsidP="00401A27">
      <w:pPr>
        <w:pStyle w:val="FootnoteText"/>
      </w:pPr>
      <w:r>
        <w:rPr>
          <w:rStyle w:val="FootnoteReference"/>
        </w:rPr>
        <w:footnoteRef/>
      </w:r>
      <w:r>
        <w:t xml:space="preserve"> </w:t>
      </w:r>
      <w:r>
        <w:rPr>
          <w:i/>
          <w:iCs/>
        </w:rPr>
        <w:t>Id.</w:t>
      </w:r>
    </w:p>
  </w:footnote>
  <w:footnote w:id="776">
    <w:p w14:paraId="5646E2D9" w14:textId="77777777" w:rsidR="00401A27" w:rsidRPr="004D1233" w:rsidRDefault="00401A27" w:rsidP="00401A27">
      <w:pPr>
        <w:pStyle w:val="FootnoteText"/>
      </w:pPr>
      <w:r>
        <w:rPr>
          <w:rStyle w:val="FootnoteReference"/>
        </w:rPr>
        <w:footnoteRef/>
      </w:r>
      <w:r>
        <w:t xml:space="preserve"> </w:t>
      </w:r>
      <w:r>
        <w:rPr>
          <w:i/>
          <w:iCs/>
        </w:rPr>
        <w:t>Id.</w:t>
      </w:r>
      <w:r>
        <w:t xml:space="preserve"> at 1031.</w:t>
      </w:r>
    </w:p>
  </w:footnote>
  <w:footnote w:id="777">
    <w:p w14:paraId="787983FB" w14:textId="77777777" w:rsidR="00401A27" w:rsidRPr="004D1233" w:rsidRDefault="00401A27" w:rsidP="00401A27">
      <w:pPr>
        <w:pStyle w:val="FootnoteText"/>
      </w:pPr>
      <w:r>
        <w:rPr>
          <w:rStyle w:val="FootnoteReference"/>
        </w:rPr>
        <w:footnoteRef/>
      </w:r>
      <w:r>
        <w:t xml:space="preserve"> </w:t>
      </w:r>
      <w:r>
        <w:rPr>
          <w:i/>
          <w:iCs/>
        </w:rPr>
        <w:t>Id.</w:t>
      </w:r>
    </w:p>
  </w:footnote>
  <w:footnote w:id="778">
    <w:p w14:paraId="68C93CA0" w14:textId="77777777" w:rsidR="00401A27" w:rsidRPr="005754D1" w:rsidRDefault="00401A27" w:rsidP="00401A27">
      <w:pPr>
        <w:pStyle w:val="FootnoteText"/>
      </w:pPr>
      <w:r>
        <w:rPr>
          <w:rStyle w:val="FootnoteReference"/>
        </w:rPr>
        <w:footnoteRef/>
      </w:r>
      <w:r>
        <w:t xml:space="preserve"> </w:t>
      </w:r>
      <w:r>
        <w:rPr>
          <w:i/>
          <w:iCs/>
        </w:rPr>
        <w:t>Id.</w:t>
      </w:r>
    </w:p>
  </w:footnote>
  <w:footnote w:id="779">
    <w:p w14:paraId="0B27BD7D" w14:textId="77777777" w:rsidR="00401A27" w:rsidRPr="005754D1" w:rsidRDefault="00401A27" w:rsidP="00401A27">
      <w:pPr>
        <w:pStyle w:val="FootnoteText"/>
      </w:pPr>
      <w:r>
        <w:rPr>
          <w:rStyle w:val="FootnoteReference"/>
        </w:rPr>
        <w:footnoteRef/>
      </w:r>
      <w:r>
        <w:t xml:space="preserve"> </w:t>
      </w:r>
      <w:r>
        <w:rPr>
          <w:i/>
          <w:iCs/>
        </w:rPr>
        <w:t>Id</w:t>
      </w:r>
      <w:r>
        <w:t xml:space="preserve">. at 1032-34. (citing </w:t>
      </w:r>
      <w:r w:rsidRPr="00FF6EBF">
        <w:t>Free Enterprise Fund v. Public Co. Accounting Oversight Bd., 561 U.S. 477 (2010)</w:t>
      </w:r>
      <w:r>
        <w:t xml:space="preserve">; </w:t>
      </w:r>
      <w:r w:rsidRPr="00FF6EBF">
        <w:t>Edmond v. United States, 520 U.S. 651, 655 (1997)</w:t>
      </w:r>
      <w:r>
        <w:t>).</w:t>
      </w:r>
    </w:p>
  </w:footnote>
  <w:footnote w:id="780">
    <w:p w14:paraId="0E9D2574" w14:textId="77777777" w:rsidR="00401A27" w:rsidRPr="00FF6EBF" w:rsidRDefault="00401A27" w:rsidP="00401A27">
      <w:pPr>
        <w:pStyle w:val="FootnoteText"/>
      </w:pPr>
      <w:r>
        <w:rPr>
          <w:rStyle w:val="FootnoteReference"/>
        </w:rPr>
        <w:footnoteRef/>
      </w:r>
      <w:r>
        <w:t xml:space="preserve"> </w:t>
      </w:r>
      <w:r>
        <w:rPr>
          <w:i/>
          <w:iCs/>
        </w:rPr>
        <w:t>Id.</w:t>
      </w:r>
      <w:r>
        <w:t xml:space="preserve"> at 1034.</w:t>
      </w:r>
    </w:p>
  </w:footnote>
  <w:footnote w:id="781">
    <w:p w14:paraId="38F7C3A6" w14:textId="1DA4D849" w:rsidR="00D90D35" w:rsidRDefault="00D90D35">
      <w:pPr>
        <w:pStyle w:val="FootnoteText"/>
      </w:pPr>
      <w:r>
        <w:rPr>
          <w:rStyle w:val="FootnoteReference"/>
        </w:rPr>
        <w:footnoteRef/>
      </w:r>
      <w:r>
        <w:t xml:space="preserve"> </w:t>
      </w:r>
      <w:r w:rsidRPr="00C92422">
        <w:t>Biodelivery Sciences International, Inc. v. Aquestive Therapeutics, Inc., 935 F.3d 1362</w:t>
      </w:r>
      <w:r>
        <w:t>, 1367</w:t>
      </w:r>
      <w:r w:rsidRPr="00C92422">
        <w:t xml:space="preserve"> (Fed. Cir. 2019)</w:t>
      </w:r>
      <w:r>
        <w:t>.</w:t>
      </w:r>
    </w:p>
  </w:footnote>
  <w:footnote w:id="782">
    <w:p w14:paraId="3C59F015" w14:textId="3E969672" w:rsidR="00D90D35" w:rsidRPr="00080809" w:rsidRDefault="00D90D35">
      <w:pPr>
        <w:pStyle w:val="FootnoteText"/>
      </w:pPr>
      <w:r>
        <w:rPr>
          <w:rStyle w:val="FootnoteReference"/>
        </w:rPr>
        <w:footnoteRef/>
      </w:r>
      <w:r>
        <w:t xml:space="preserve"> </w:t>
      </w:r>
      <w:r>
        <w:rPr>
          <w:i/>
          <w:iCs/>
        </w:rPr>
        <w:t>Id.</w:t>
      </w:r>
      <w:r>
        <w:t xml:space="preserve"> at 1367.</w:t>
      </w:r>
    </w:p>
  </w:footnote>
  <w:footnote w:id="783">
    <w:p w14:paraId="36050A67" w14:textId="5B671BDD" w:rsidR="00D90D35" w:rsidRPr="00080809" w:rsidRDefault="00D90D35">
      <w:pPr>
        <w:pStyle w:val="FootnoteText"/>
      </w:pPr>
      <w:r>
        <w:rPr>
          <w:rStyle w:val="FootnoteReference"/>
        </w:rPr>
        <w:footnoteRef/>
      </w:r>
      <w:r>
        <w:t xml:space="preserve"> </w:t>
      </w:r>
      <w:r>
        <w:rPr>
          <w:i/>
          <w:iCs/>
        </w:rPr>
        <w:t>Id.</w:t>
      </w:r>
      <w:r>
        <w:t xml:space="preserve"> at 1363 (citing U.S. Patent No. 8,765,167).</w:t>
      </w:r>
    </w:p>
  </w:footnote>
  <w:footnote w:id="784">
    <w:p w14:paraId="304CA48A" w14:textId="19143DF7" w:rsidR="00D90D35" w:rsidRPr="00080809" w:rsidRDefault="00D90D35">
      <w:pPr>
        <w:pStyle w:val="FootnoteText"/>
      </w:pPr>
      <w:r>
        <w:rPr>
          <w:rStyle w:val="FootnoteReference"/>
        </w:rPr>
        <w:footnoteRef/>
      </w:r>
      <w:r>
        <w:t xml:space="preserve"> </w:t>
      </w:r>
      <w:r>
        <w:rPr>
          <w:i/>
          <w:iCs/>
        </w:rPr>
        <w:t xml:space="preserve">Id. </w:t>
      </w:r>
      <w:r>
        <w:t xml:space="preserve"> at 1363-64.</w:t>
      </w:r>
    </w:p>
  </w:footnote>
  <w:footnote w:id="785">
    <w:p w14:paraId="586555A5" w14:textId="580A2AAE" w:rsidR="00D90D35" w:rsidRPr="00080809" w:rsidRDefault="00D90D35">
      <w:pPr>
        <w:pStyle w:val="FootnoteText"/>
      </w:pPr>
      <w:r>
        <w:rPr>
          <w:rStyle w:val="FootnoteReference"/>
        </w:rPr>
        <w:footnoteRef/>
      </w:r>
      <w:r>
        <w:t xml:space="preserve"> </w:t>
      </w:r>
      <w:r>
        <w:rPr>
          <w:i/>
          <w:iCs/>
        </w:rPr>
        <w:t>Id.</w:t>
      </w:r>
      <w:r>
        <w:t xml:space="preserve"> at 1364 (citing </w:t>
      </w:r>
      <w:r w:rsidRPr="0033193D">
        <w:rPr>
          <w:i/>
          <w:iCs/>
        </w:rPr>
        <w:t>SAS Institute, Inc. v. Iancu,</w:t>
      </w:r>
      <w:r w:rsidRPr="00983567">
        <w:t xml:space="preserve"> 138 S. Ct. 1348, 200 L. Ed. 2d 695 (2018)</w:t>
      </w:r>
      <w:r>
        <w:t>) (internal quotations and citations omitted).</w:t>
      </w:r>
    </w:p>
  </w:footnote>
  <w:footnote w:id="786">
    <w:p w14:paraId="11625B4F" w14:textId="041D02F1" w:rsidR="00D90D35" w:rsidRPr="00080809" w:rsidRDefault="00D90D35">
      <w:pPr>
        <w:pStyle w:val="FootnoteText"/>
      </w:pPr>
      <w:r>
        <w:rPr>
          <w:rStyle w:val="FootnoteReference"/>
        </w:rPr>
        <w:footnoteRef/>
      </w:r>
      <w:r>
        <w:t xml:space="preserve"> </w:t>
      </w:r>
      <w:r>
        <w:rPr>
          <w:i/>
          <w:iCs/>
        </w:rPr>
        <w:t>Id.</w:t>
      </w:r>
    </w:p>
  </w:footnote>
  <w:footnote w:id="787">
    <w:p w14:paraId="38F851A3" w14:textId="00292504" w:rsidR="00D90D35" w:rsidRPr="00080809" w:rsidRDefault="00D90D35">
      <w:pPr>
        <w:pStyle w:val="FootnoteText"/>
      </w:pPr>
      <w:r>
        <w:rPr>
          <w:rStyle w:val="FootnoteReference"/>
        </w:rPr>
        <w:footnoteRef/>
      </w:r>
      <w:r>
        <w:t xml:space="preserve"> </w:t>
      </w:r>
      <w:r>
        <w:rPr>
          <w:i/>
          <w:iCs/>
        </w:rPr>
        <w:t>Id</w:t>
      </w:r>
      <w:r>
        <w:t>. at 1366.</w:t>
      </w:r>
    </w:p>
  </w:footnote>
  <w:footnote w:id="788">
    <w:p w14:paraId="63A17580" w14:textId="45A4E45C" w:rsidR="00D90D35" w:rsidRPr="00080809" w:rsidRDefault="00D90D35">
      <w:pPr>
        <w:pStyle w:val="FootnoteText"/>
      </w:pPr>
      <w:r>
        <w:rPr>
          <w:rStyle w:val="FootnoteReference"/>
        </w:rPr>
        <w:footnoteRef/>
      </w:r>
      <w:r>
        <w:t xml:space="preserve"> </w:t>
      </w:r>
      <w:r>
        <w:rPr>
          <w:i/>
          <w:iCs/>
        </w:rPr>
        <w:t>Id.</w:t>
      </w:r>
    </w:p>
  </w:footnote>
  <w:footnote w:id="789">
    <w:p w14:paraId="1D1214D5" w14:textId="5B5C9597" w:rsidR="00D90D35" w:rsidRPr="00080809" w:rsidRDefault="00D90D35">
      <w:pPr>
        <w:pStyle w:val="FootnoteText"/>
      </w:pPr>
      <w:r>
        <w:rPr>
          <w:rStyle w:val="FootnoteReference"/>
        </w:rPr>
        <w:footnoteRef/>
      </w:r>
      <w:r>
        <w:t xml:space="preserve"> </w:t>
      </w:r>
      <w:r>
        <w:rPr>
          <w:i/>
          <w:iCs/>
        </w:rPr>
        <w:t>Id.</w:t>
      </w:r>
    </w:p>
  </w:footnote>
  <w:footnote w:id="790">
    <w:p w14:paraId="6F569670" w14:textId="276FACDB" w:rsidR="00D90D35" w:rsidRPr="00080809" w:rsidRDefault="00D90D35">
      <w:pPr>
        <w:pStyle w:val="FootnoteText"/>
      </w:pPr>
      <w:r>
        <w:rPr>
          <w:rStyle w:val="FootnoteReference"/>
        </w:rPr>
        <w:footnoteRef/>
      </w:r>
      <w:r>
        <w:t xml:space="preserve"> </w:t>
      </w:r>
      <w:r>
        <w:rPr>
          <w:i/>
          <w:iCs/>
        </w:rPr>
        <w:t>Id.</w:t>
      </w:r>
      <w:r>
        <w:t xml:space="preserve"> at 1367.</w:t>
      </w:r>
    </w:p>
  </w:footnote>
  <w:footnote w:id="791">
    <w:p w14:paraId="660BB883" w14:textId="7C172B1E" w:rsidR="00D90D35" w:rsidRPr="00080809" w:rsidRDefault="00D90D35">
      <w:pPr>
        <w:pStyle w:val="FootnoteText"/>
      </w:pPr>
      <w:r>
        <w:rPr>
          <w:rStyle w:val="FootnoteReference"/>
        </w:rPr>
        <w:footnoteRef/>
      </w:r>
      <w:r>
        <w:t xml:space="preserve"> </w:t>
      </w:r>
      <w:r>
        <w:rPr>
          <w:i/>
          <w:iCs/>
        </w:rPr>
        <w:t xml:space="preserve">Id. </w:t>
      </w:r>
    </w:p>
  </w:footnote>
  <w:footnote w:id="792">
    <w:p w14:paraId="2D58EC53" w14:textId="1A2E9D69" w:rsidR="00D90D35" w:rsidRPr="00080809" w:rsidRDefault="00D90D35">
      <w:pPr>
        <w:pStyle w:val="FootnoteText"/>
      </w:pPr>
      <w:r>
        <w:rPr>
          <w:rStyle w:val="FootnoteReference"/>
        </w:rPr>
        <w:footnoteRef/>
      </w:r>
      <w:r>
        <w:t xml:space="preserve"> </w:t>
      </w:r>
      <w:r>
        <w:rPr>
          <w:i/>
          <w:iCs/>
        </w:rPr>
        <w:t>Id.</w:t>
      </w:r>
      <w:r>
        <w:t xml:space="preserve"> at 1369.</w:t>
      </w:r>
    </w:p>
  </w:footnote>
  <w:footnote w:id="793">
    <w:p w14:paraId="16E0124A" w14:textId="6C39062C" w:rsidR="00D90D35" w:rsidRPr="00080809" w:rsidRDefault="00D90D35">
      <w:pPr>
        <w:pStyle w:val="FootnoteText"/>
      </w:pPr>
      <w:r>
        <w:rPr>
          <w:rStyle w:val="FootnoteReference"/>
        </w:rPr>
        <w:footnoteRef/>
      </w:r>
      <w:r>
        <w:t xml:space="preserve"> </w:t>
      </w:r>
      <w:r>
        <w:rPr>
          <w:i/>
          <w:iCs/>
        </w:rPr>
        <w:t>Id.</w:t>
      </w:r>
    </w:p>
  </w:footnote>
  <w:footnote w:id="794">
    <w:p w14:paraId="7FD3C8A8" w14:textId="29E21C50" w:rsidR="00D90D35" w:rsidRDefault="00D90D35">
      <w:pPr>
        <w:pStyle w:val="FootnoteText"/>
      </w:pPr>
      <w:r>
        <w:rPr>
          <w:rStyle w:val="FootnoteReference"/>
        </w:rPr>
        <w:footnoteRef/>
      </w:r>
      <w:r>
        <w:t xml:space="preserve"> </w:t>
      </w:r>
      <w:r w:rsidRPr="005E70B2">
        <w:t>Celgene Corp. v. Peter, 931 F.3d 1342</w:t>
      </w:r>
      <w:r>
        <w:t>, 1346</w:t>
      </w:r>
      <w:r w:rsidRPr="005E70B2">
        <w:t xml:space="preserve"> (Fed. Cir. 2019)</w:t>
      </w:r>
      <w:r>
        <w:t>.</w:t>
      </w:r>
    </w:p>
  </w:footnote>
  <w:footnote w:id="795">
    <w:p w14:paraId="23513AC9" w14:textId="6D4BEAB0" w:rsidR="00D90D35" w:rsidRPr="00911047" w:rsidRDefault="00D90D35" w:rsidP="009A6FC6">
      <w:pPr>
        <w:pStyle w:val="FootnoteText"/>
      </w:pPr>
      <w:r>
        <w:rPr>
          <w:rStyle w:val="FootnoteReference"/>
        </w:rPr>
        <w:footnoteRef/>
      </w:r>
      <w:r>
        <w:t xml:space="preserve"> </w:t>
      </w:r>
      <w:r>
        <w:rPr>
          <w:i/>
          <w:iCs/>
        </w:rPr>
        <w:t xml:space="preserve">Id. </w:t>
      </w:r>
      <w:r>
        <w:t>at 1357.</w:t>
      </w:r>
    </w:p>
  </w:footnote>
  <w:footnote w:id="796">
    <w:p w14:paraId="081A2159" w14:textId="3D80ABF1" w:rsidR="00D90D35" w:rsidRPr="00911047" w:rsidRDefault="00D90D35">
      <w:pPr>
        <w:pStyle w:val="FootnoteText"/>
      </w:pPr>
      <w:r>
        <w:rPr>
          <w:rStyle w:val="FootnoteReference"/>
        </w:rPr>
        <w:footnoteRef/>
      </w:r>
      <w:r>
        <w:t xml:space="preserve"> </w:t>
      </w:r>
      <w:r>
        <w:rPr>
          <w:i/>
          <w:iCs/>
        </w:rPr>
        <w:t xml:space="preserve">Id. </w:t>
      </w:r>
      <w:r>
        <w:t xml:space="preserve">at 1356-57 (citing </w:t>
      </w:r>
      <w:r w:rsidRPr="00911047">
        <w:t>138 S. Ct. 1365 (2018)</w:t>
      </w:r>
      <w:r>
        <w:t>).</w:t>
      </w:r>
    </w:p>
  </w:footnote>
  <w:footnote w:id="797">
    <w:p w14:paraId="2CEE70EF" w14:textId="2CD9CDB4" w:rsidR="00D90D35" w:rsidRPr="004F5EB3" w:rsidRDefault="00D90D35">
      <w:pPr>
        <w:pStyle w:val="FootnoteText"/>
      </w:pPr>
      <w:r>
        <w:rPr>
          <w:rStyle w:val="FootnoteReference"/>
        </w:rPr>
        <w:footnoteRef/>
      </w:r>
      <w:r>
        <w:t xml:space="preserve"> </w:t>
      </w:r>
      <w:r>
        <w:rPr>
          <w:i/>
          <w:iCs/>
        </w:rPr>
        <w:t xml:space="preserve">Id. </w:t>
      </w:r>
      <w:r>
        <w:t>at 1358.</w:t>
      </w:r>
    </w:p>
  </w:footnote>
  <w:footnote w:id="798">
    <w:p w14:paraId="2B4FA301" w14:textId="679E6F6F" w:rsidR="00D90D35" w:rsidRPr="00F11FF4" w:rsidRDefault="00D90D35">
      <w:pPr>
        <w:pStyle w:val="FootnoteText"/>
      </w:pPr>
      <w:r>
        <w:rPr>
          <w:rStyle w:val="FootnoteReference"/>
        </w:rPr>
        <w:footnoteRef/>
      </w:r>
      <w:r>
        <w:t xml:space="preserve"> </w:t>
      </w:r>
      <w:r>
        <w:rPr>
          <w:i/>
          <w:iCs/>
        </w:rPr>
        <w:t xml:space="preserve">Id. </w:t>
      </w:r>
      <w:r>
        <w:t>at 1358.</w:t>
      </w:r>
    </w:p>
  </w:footnote>
  <w:footnote w:id="799">
    <w:p w14:paraId="76A46DAC" w14:textId="2084E72D" w:rsidR="00D90D35" w:rsidRPr="00047BA4" w:rsidRDefault="00D90D35">
      <w:pPr>
        <w:pStyle w:val="FootnoteText"/>
      </w:pPr>
      <w:r>
        <w:rPr>
          <w:rStyle w:val="FootnoteReference"/>
        </w:rPr>
        <w:footnoteRef/>
      </w:r>
      <w:r>
        <w:t xml:space="preserve"> </w:t>
      </w:r>
      <w:r>
        <w:rPr>
          <w:i/>
          <w:iCs/>
        </w:rPr>
        <w:t xml:space="preserve">Id. </w:t>
      </w:r>
      <w:r>
        <w:t>at 1359.</w:t>
      </w:r>
    </w:p>
  </w:footnote>
  <w:footnote w:id="800">
    <w:p w14:paraId="44C6AC2D" w14:textId="7D467B89" w:rsidR="00D90D35" w:rsidRPr="008B2E8A" w:rsidRDefault="00D90D35">
      <w:pPr>
        <w:pStyle w:val="FootnoteText"/>
      </w:pPr>
      <w:r>
        <w:rPr>
          <w:rStyle w:val="FootnoteReference"/>
        </w:rPr>
        <w:footnoteRef/>
      </w:r>
      <w:r>
        <w:t xml:space="preserve"> </w:t>
      </w:r>
      <w:r>
        <w:rPr>
          <w:i/>
          <w:iCs/>
        </w:rPr>
        <w:t xml:space="preserve">Id. </w:t>
      </w:r>
      <w:r>
        <w:t>at 1360.</w:t>
      </w:r>
    </w:p>
  </w:footnote>
  <w:footnote w:id="801">
    <w:p w14:paraId="1A6A0169" w14:textId="7A6E88F4" w:rsidR="00D90D35" w:rsidRPr="00C54967" w:rsidRDefault="00D90D35">
      <w:pPr>
        <w:pStyle w:val="FootnoteText"/>
      </w:pPr>
      <w:r>
        <w:rPr>
          <w:rStyle w:val="FootnoteReference"/>
        </w:rPr>
        <w:footnoteRef/>
      </w:r>
      <w:r>
        <w:t xml:space="preserve"> </w:t>
      </w:r>
      <w:r>
        <w:rPr>
          <w:i/>
          <w:iCs/>
        </w:rPr>
        <w:t xml:space="preserve">Id. </w:t>
      </w:r>
      <w:r>
        <w:t xml:space="preserve">at 1361 (citing </w:t>
      </w:r>
      <w:r w:rsidRPr="00C54967">
        <w:t>Return Mail, Inc. v. United States Postal Serv., 139 S. Ct. 1853, 1860 (2019)</w:t>
      </w:r>
      <w:r>
        <w:t>).</w:t>
      </w:r>
    </w:p>
  </w:footnote>
  <w:footnote w:id="802">
    <w:p w14:paraId="6393408A" w14:textId="68C6E112" w:rsidR="00D90D35" w:rsidRPr="00345AE6" w:rsidRDefault="00D90D35">
      <w:pPr>
        <w:pStyle w:val="FootnoteText"/>
      </w:pPr>
      <w:r>
        <w:rPr>
          <w:rStyle w:val="FootnoteReference"/>
        </w:rPr>
        <w:footnoteRef/>
      </w:r>
      <w:r>
        <w:t xml:space="preserve"> </w:t>
      </w:r>
      <w:r>
        <w:rPr>
          <w:i/>
          <w:iCs/>
        </w:rPr>
        <w:t xml:space="preserve">Id. </w:t>
      </w:r>
      <w:r>
        <w:t xml:space="preserve">at 1361 (citing </w:t>
      </w:r>
      <w:r w:rsidRPr="00345AE6">
        <w:t>Denver &amp; Rio Grande W. R.R. Co. v. Bhd. of R.R. Trainmen, 387 U.S. 556, 563 (1967)</w:t>
      </w:r>
      <w:r>
        <w:t>).</w:t>
      </w:r>
    </w:p>
  </w:footnote>
  <w:footnote w:id="803">
    <w:p w14:paraId="4C9D5DDF" w14:textId="3C30F05D" w:rsidR="00D90D35" w:rsidRPr="007502CD" w:rsidRDefault="00D90D35">
      <w:pPr>
        <w:pStyle w:val="FootnoteText"/>
      </w:pPr>
      <w:r>
        <w:rPr>
          <w:rStyle w:val="FootnoteReference"/>
        </w:rPr>
        <w:footnoteRef/>
      </w:r>
      <w:r>
        <w:t xml:space="preserve"> </w:t>
      </w:r>
      <w:r>
        <w:rPr>
          <w:i/>
          <w:iCs/>
        </w:rPr>
        <w:t xml:space="preserve">Cf. id. </w:t>
      </w:r>
      <w:r>
        <w:t>at 1362 (implying same).</w:t>
      </w:r>
    </w:p>
  </w:footnote>
  <w:footnote w:id="804">
    <w:p w14:paraId="6BB1C4F0" w14:textId="77777777" w:rsidR="00D90D35" w:rsidRPr="00146092" w:rsidRDefault="00D90D35" w:rsidP="00C50906">
      <w:pPr>
        <w:pStyle w:val="FootnoteText"/>
      </w:pPr>
      <w:r>
        <w:rPr>
          <w:rStyle w:val="FootnoteReference"/>
        </w:rPr>
        <w:footnoteRef/>
      </w:r>
      <w:r>
        <w:t xml:space="preserve"> </w:t>
      </w:r>
      <w:r>
        <w:rPr>
          <w:i/>
          <w:iCs/>
        </w:rPr>
        <w:t xml:space="preserve">Id. </w:t>
      </w:r>
      <w:r>
        <w:t>at 1357.</w:t>
      </w:r>
    </w:p>
  </w:footnote>
  <w:footnote w:id="805">
    <w:p w14:paraId="556B5EFC" w14:textId="78DEC012" w:rsidR="00D90D35" w:rsidRPr="00EE7BCC" w:rsidRDefault="00D90D35">
      <w:pPr>
        <w:pStyle w:val="FootnoteText"/>
      </w:pPr>
      <w:r>
        <w:rPr>
          <w:rStyle w:val="FootnoteReference"/>
        </w:rPr>
        <w:footnoteRef/>
      </w:r>
      <w:r>
        <w:t xml:space="preserve"> </w:t>
      </w:r>
      <w:r>
        <w:rPr>
          <w:i/>
          <w:iCs/>
        </w:rPr>
        <w:t xml:space="preserve">Id. </w:t>
      </w:r>
      <w:r>
        <w:t>at 1360.</w:t>
      </w:r>
    </w:p>
  </w:footnote>
  <w:footnote w:id="806">
    <w:p w14:paraId="3F3864AB" w14:textId="1F06956F" w:rsidR="00D90D35" w:rsidRDefault="00D90D35" w:rsidP="006B581C">
      <w:pPr>
        <w:pStyle w:val="FootnoteText"/>
      </w:pPr>
      <w:r>
        <w:rPr>
          <w:rStyle w:val="FootnoteReference"/>
        </w:rPr>
        <w:footnoteRef/>
      </w:r>
      <w:r>
        <w:t xml:space="preserve"> Click-to-Call Techs., LP v. Ingenio Inc., </w:t>
      </w:r>
      <w:r w:rsidRPr="00E14FC8">
        <w:t>899 F.3d 1321</w:t>
      </w:r>
      <w:r>
        <w:t>, 1325 (Fed. Cir. 2018).</w:t>
      </w:r>
    </w:p>
  </w:footnote>
  <w:footnote w:id="807">
    <w:p w14:paraId="354B55D0" w14:textId="1F44D733" w:rsidR="00D90D35" w:rsidRDefault="00D90D35" w:rsidP="007D488C">
      <w:pPr>
        <w:pStyle w:val="FootnoteText"/>
      </w:pPr>
      <w:r>
        <w:rPr>
          <w:rStyle w:val="FootnoteReference"/>
        </w:rPr>
        <w:footnoteRef/>
      </w:r>
      <w:r>
        <w:t xml:space="preserve"> </w:t>
      </w:r>
      <w:r w:rsidRPr="007F1307">
        <w:rPr>
          <w:rFonts w:cs="Times New Roman"/>
          <w:szCs w:val="22"/>
        </w:rPr>
        <w:t>Petition for a Writ of Certiorari</w:t>
      </w:r>
      <w:r>
        <w:rPr>
          <w:rFonts w:cs="Times New Roman"/>
          <w:szCs w:val="22"/>
        </w:rPr>
        <w:t xml:space="preserve">, No. 18-916, </w:t>
      </w:r>
      <w:r w:rsidRPr="007D488C">
        <w:rPr>
          <w:rFonts w:cs="Times New Roman"/>
          <w:szCs w:val="22"/>
        </w:rPr>
        <w:t xml:space="preserve">Dex Media, Inc. v. Click-to-Call </w:t>
      </w:r>
      <w:r>
        <w:rPr>
          <w:rFonts w:cs="Times New Roman"/>
          <w:szCs w:val="22"/>
        </w:rPr>
        <w:t>Techs.</w:t>
      </w:r>
      <w:r w:rsidRPr="007D488C">
        <w:rPr>
          <w:rFonts w:cs="Times New Roman"/>
          <w:szCs w:val="22"/>
        </w:rPr>
        <w:t>, LP, 2019 WL 211480</w:t>
      </w:r>
      <w:r>
        <w:rPr>
          <w:rFonts w:cs="Times New Roman"/>
          <w:szCs w:val="22"/>
        </w:rPr>
        <w:t xml:space="preserve">, at *i (U.S. Jan. 11, 2019) (stating questions); </w:t>
      </w:r>
      <w:r w:rsidRPr="00445881">
        <w:t>DexMedia Inc. v. Click-to-Call Techs., LP</w:t>
      </w:r>
      <w:r w:rsidRPr="00BA585D">
        <w:t xml:space="preserve">, 139 </w:t>
      </w:r>
      <w:r>
        <w:t>S. Ct.</w:t>
      </w:r>
      <w:r w:rsidRPr="00BA585D">
        <w:t xml:space="preserve"> 2742 (June 24, 2019)</w:t>
      </w:r>
      <w:r>
        <w:t xml:space="preserve"> (granting certiorari for question one).</w:t>
      </w:r>
      <w:r w:rsidRPr="00852B27">
        <w:t xml:space="preserve"> </w:t>
      </w:r>
    </w:p>
  </w:footnote>
  <w:footnote w:id="808">
    <w:p w14:paraId="652464DD" w14:textId="77777777" w:rsidR="00D90D35" w:rsidRPr="007F1307" w:rsidRDefault="00D90D35" w:rsidP="000A50F5">
      <w:pPr>
        <w:pStyle w:val="FootnoteText"/>
        <w:rPr>
          <w:rFonts w:cs="Times New Roman"/>
          <w:szCs w:val="22"/>
        </w:rPr>
      </w:pPr>
      <w:r w:rsidRPr="005A669A">
        <w:rPr>
          <w:rStyle w:val="FootnoteReference"/>
        </w:rPr>
        <w:footnoteRef/>
      </w:r>
      <w:r w:rsidRPr="007F1307">
        <w:rPr>
          <w:rFonts w:cs="Times New Roman"/>
          <w:szCs w:val="22"/>
        </w:rPr>
        <w:t xml:space="preserve"> Return Mail, Inc. v. U.S. Postal Service, No. 1-1594, 2018 WL 2364663 (U.S. Oct. 26, 2018).</w:t>
      </w:r>
    </w:p>
  </w:footnote>
  <w:footnote w:id="809">
    <w:p w14:paraId="403E4BFA" w14:textId="77777777" w:rsidR="00D90D35" w:rsidRPr="007F1307" w:rsidRDefault="00D90D35" w:rsidP="000A50F5">
      <w:pPr>
        <w:pStyle w:val="FootnoteText"/>
        <w:rPr>
          <w:rFonts w:cs="Times New Roman"/>
          <w:szCs w:val="22"/>
        </w:rPr>
      </w:pPr>
      <w:r w:rsidRPr="005A669A">
        <w:rPr>
          <w:rStyle w:val="FootnoteReference"/>
        </w:rPr>
        <w:footnoteRef/>
      </w:r>
      <w:r w:rsidRPr="007F1307">
        <w:rPr>
          <w:rFonts w:cs="Times New Roman"/>
          <w:szCs w:val="22"/>
        </w:rPr>
        <w:t xml:space="preserve"> Petition for a Writ of Certiorari for Appellant, Return Mail, Inc. v. U.S. Postal Service, 2018 WL 2412130, at *I (U.S. May 14, 2018) (No. 17-1594).</w:t>
      </w:r>
    </w:p>
  </w:footnote>
  <w:footnote w:id="810">
    <w:p w14:paraId="30F5798F" w14:textId="77777777" w:rsidR="00D90D35" w:rsidRPr="007F1307" w:rsidRDefault="00D90D35" w:rsidP="000A50F5">
      <w:pPr>
        <w:pStyle w:val="FootnoteText"/>
        <w:rPr>
          <w:rFonts w:cs="Times New Roman"/>
          <w:i/>
          <w:szCs w:val="22"/>
        </w:rPr>
      </w:pPr>
      <w:r w:rsidRPr="005A669A">
        <w:rPr>
          <w:rStyle w:val="FootnoteReference"/>
        </w:rPr>
        <w:footnoteRef/>
      </w:r>
      <w:r w:rsidRPr="007F1307">
        <w:rPr>
          <w:rFonts w:cs="Times New Roman"/>
          <w:szCs w:val="22"/>
        </w:rPr>
        <w:t xml:space="preserve"> </w:t>
      </w:r>
      <w:r w:rsidRPr="007F1307">
        <w:rPr>
          <w:rFonts w:cs="Times New Roman"/>
          <w:i/>
          <w:szCs w:val="22"/>
        </w:rPr>
        <w:t>Id.</w:t>
      </w:r>
    </w:p>
  </w:footnote>
  <w:footnote w:id="811">
    <w:p w14:paraId="54451E37" w14:textId="77777777" w:rsidR="00D90D35" w:rsidRPr="007F1307" w:rsidRDefault="00D90D35" w:rsidP="000A50F5">
      <w:pPr>
        <w:pStyle w:val="FootnoteText"/>
        <w:rPr>
          <w:rFonts w:cs="Times New Roman"/>
          <w:i/>
          <w:szCs w:val="22"/>
        </w:rPr>
      </w:pPr>
      <w:r w:rsidRPr="005A669A">
        <w:rPr>
          <w:rStyle w:val="FootnoteReference"/>
        </w:rPr>
        <w:footnoteRef/>
      </w:r>
      <w:r w:rsidRPr="007F1307">
        <w:rPr>
          <w:rFonts w:cs="Times New Roman"/>
          <w:szCs w:val="22"/>
        </w:rPr>
        <w:t xml:space="preserve"> </w:t>
      </w:r>
      <w:r w:rsidRPr="007F1307">
        <w:rPr>
          <w:rFonts w:cs="Times New Roman"/>
          <w:i/>
          <w:szCs w:val="22"/>
        </w:rPr>
        <w:t>Id.</w:t>
      </w:r>
    </w:p>
  </w:footnote>
  <w:footnote w:id="812">
    <w:p w14:paraId="7AA517D1" w14:textId="77777777" w:rsidR="00D90D35" w:rsidRPr="007F1307" w:rsidRDefault="00D90D35" w:rsidP="000A50F5">
      <w:pPr>
        <w:pStyle w:val="FootnoteText"/>
        <w:rPr>
          <w:rFonts w:cs="Times New Roman"/>
          <w:i/>
          <w:szCs w:val="22"/>
        </w:rPr>
      </w:pPr>
      <w:r w:rsidRPr="005A669A">
        <w:rPr>
          <w:rStyle w:val="FootnoteReference"/>
        </w:rPr>
        <w:footnoteRef/>
      </w:r>
      <w:r w:rsidRPr="007F1307">
        <w:rPr>
          <w:rFonts w:cs="Times New Roman"/>
          <w:szCs w:val="22"/>
        </w:rPr>
        <w:t xml:space="preserve"> </w:t>
      </w:r>
      <w:r w:rsidRPr="007F1307">
        <w:rPr>
          <w:rFonts w:cs="Times New Roman"/>
          <w:i/>
          <w:szCs w:val="22"/>
        </w:rPr>
        <w:t>Id.</w:t>
      </w:r>
    </w:p>
  </w:footnote>
  <w:footnote w:id="813">
    <w:p w14:paraId="2A8FA616" w14:textId="77777777" w:rsidR="00D90D35" w:rsidRPr="007F1307" w:rsidRDefault="00D90D35" w:rsidP="000A50F5">
      <w:pPr>
        <w:pStyle w:val="FootnoteText"/>
        <w:rPr>
          <w:rFonts w:cs="Times New Roman"/>
          <w:i/>
          <w:szCs w:val="22"/>
        </w:rPr>
      </w:pPr>
      <w:r w:rsidRPr="005A669A">
        <w:rPr>
          <w:rStyle w:val="FootnoteReference"/>
        </w:rPr>
        <w:footnoteRef/>
      </w:r>
      <w:r w:rsidRPr="007F1307">
        <w:rPr>
          <w:rFonts w:cs="Times New Roman"/>
          <w:szCs w:val="22"/>
        </w:rPr>
        <w:t xml:space="preserve"> </w:t>
      </w:r>
      <w:r w:rsidRPr="007F1307">
        <w:rPr>
          <w:rFonts w:cs="Times New Roman"/>
          <w:i/>
          <w:szCs w:val="22"/>
        </w:rPr>
        <w:t>Id.</w:t>
      </w:r>
    </w:p>
  </w:footnote>
  <w:footnote w:id="814">
    <w:p w14:paraId="63E368E4" w14:textId="77777777" w:rsidR="00D90D35" w:rsidRPr="007F1307" w:rsidRDefault="00D90D35" w:rsidP="000A50F5">
      <w:pPr>
        <w:pStyle w:val="FootnoteText"/>
        <w:rPr>
          <w:rFonts w:cs="Times New Roman"/>
          <w:i/>
          <w:szCs w:val="22"/>
        </w:rPr>
      </w:pPr>
      <w:r w:rsidRPr="005A669A">
        <w:rPr>
          <w:rStyle w:val="FootnoteReference"/>
        </w:rPr>
        <w:footnoteRef/>
      </w:r>
      <w:r w:rsidRPr="007F1307">
        <w:rPr>
          <w:rFonts w:cs="Times New Roman"/>
          <w:szCs w:val="22"/>
        </w:rPr>
        <w:t xml:space="preserve"> </w:t>
      </w:r>
      <w:r w:rsidRPr="007F1307">
        <w:rPr>
          <w:rFonts w:cs="Times New Roman"/>
          <w:i/>
          <w:szCs w:val="22"/>
        </w:rPr>
        <w:t>Id.</w:t>
      </w:r>
    </w:p>
  </w:footnote>
  <w:footnote w:id="815">
    <w:p w14:paraId="30FBF2ED" w14:textId="77777777" w:rsidR="00D90D35" w:rsidRDefault="00D90D35" w:rsidP="00DE157D">
      <w:pPr>
        <w:pStyle w:val="FootnoteText"/>
      </w:pPr>
      <w:r>
        <w:rPr>
          <w:rStyle w:val="FootnoteReference"/>
        </w:rPr>
        <w:footnoteRef/>
      </w:r>
      <w:r>
        <w:t xml:space="preserve"> 139 S. Ct. 1853, 1867-68 (June 10, 2019).</w:t>
      </w:r>
    </w:p>
  </w:footnote>
  <w:footnote w:id="816">
    <w:p w14:paraId="4CA329F7" w14:textId="77777777" w:rsidR="00D90D35" w:rsidRPr="0056480B" w:rsidRDefault="00D90D35" w:rsidP="00DE157D">
      <w:pPr>
        <w:pStyle w:val="FootnoteText"/>
      </w:pPr>
      <w:r>
        <w:rPr>
          <w:rStyle w:val="FootnoteReference"/>
        </w:rPr>
        <w:footnoteRef/>
      </w:r>
      <w:r>
        <w:t xml:space="preserve"> </w:t>
      </w:r>
      <w:r>
        <w:rPr>
          <w:i/>
          <w:iCs/>
        </w:rPr>
        <w:t xml:space="preserve">Id. </w:t>
      </w:r>
      <w:r>
        <w:t>at 1868-72</w:t>
      </w:r>
      <w:r>
        <w:rPr>
          <w:i/>
          <w:iCs/>
        </w:rPr>
        <w:t xml:space="preserve"> </w:t>
      </w:r>
      <w:r>
        <w:t>(Breyer, J., with Ginsburg &amp; Kagan, JJ., dissenting).</w:t>
      </w:r>
    </w:p>
  </w:footnote>
  <w:footnote w:id="817">
    <w:p w14:paraId="038A2149" w14:textId="02895AE9" w:rsidR="00D90D35" w:rsidRDefault="00D90D35">
      <w:pPr>
        <w:pStyle w:val="FootnoteText"/>
      </w:pPr>
      <w:r>
        <w:rPr>
          <w:rStyle w:val="FootnoteReference"/>
        </w:rPr>
        <w:footnoteRef/>
      </w:r>
      <w:r>
        <w:t xml:space="preserve"> </w:t>
      </w:r>
      <w:r>
        <w:rPr>
          <w:i/>
        </w:rPr>
        <w:t xml:space="preserve"> See </w:t>
      </w:r>
      <w:r w:rsidRPr="002D5F8B">
        <w:t>Automotive Body Parts Ass’n v. Ford Global Techs., LLC, 930 F.3d 1314</w:t>
      </w:r>
      <w:r>
        <w:t>, 1325</w:t>
      </w:r>
      <w:r w:rsidRPr="002D5F8B">
        <w:t xml:space="preserve"> (Fed. Cir. July 23, 2019).</w:t>
      </w:r>
    </w:p>
  </w:footnote>
  <w:footnote w:id="818">
    <w:p w14:paraId="785C2DA1" w14:textId="1ED4ED17" w:rsidR="00D90D35" w:rsidRPr="00E67741" w:rsidRDefault="00D90D35">
      <w:pPr>
        <w:pStyle w:val="FootnoteText"/>
      </w:pPr>
      <w:r>
        <w:rPr>
          <w:rStyle w:val="FootnoteReference"/>
        </w:rPr>
        <w:footnoteRef/>
      </w:r>
      <w:r>
        <w:t xml:space="preserve"> </w:t>
      </w:r>
      <w:r>
        <w:rPr>
          <w:i/>
        </w:rPr>
        <w:t xml:space="preserve">Id. </w:t>
      </w:r>
      <w:r>
        <w:t>at 1322 (citing 35 U.S.C. § 171(b)).</w:t>
      </w:r>
    </w:p>
  </w:footnote>
  <w:footnote w:id="819">
    <w:p w14:paraId="46953213" w14:textId="246E7593" w:rsidR="00D90D35" w:rsidRPr="00924602" w:rsidRDefault="00D90D35">
      <w:pPr>
        <w:pStyle w:val="FootnoteText"/>
      </w:pPr>
      <w:r>
        <w:rPr>
          <w:rStyle w:val="FootnoteReference"/>
        </w:rPr>
        <w:footnoteRef/>
      </w:r>
      <w:r>
        <w:t xml:space="preserve"> </w:t>
      </w:r>
      <w:r>
        <w:rPr>
          <w:i/>
        </w:rPr>
        <w:t xml:space="preserve">Id. </w:t>
      </w:r>
      <w:r>
        <w:t>at 1317-18.</w:t>
      </w:r>
    </w:p>
  </w:footnote>
  <w:footnote w:id="820">
    <w:p w14:paraId="4141B19B" w14:textId="3EF1181E" w:rsidR="00D90D35" w:rsidRPr="003F5CC8" w:rsidRDefault="00D90D35">
      <w:pPr>
        <w:pStyle w:val="FootnoteText"/>
      </w:pPr>
      <w:r>
        <w:rPr>
          <w:rStyle w:val="FootnoteReference"/>
        </w:rPr>
        <w:footnoteRef/>
      </w:r>
      <w:r>
        <w:t xml:space="preserve">  The court first </w:t>
      </w:r>
      <w:r>
        <w:rPr>
          <w:rFonts w:cs="Times New Roman"/>
          <w:color w:val="000000" w:themeColor="text1"/>
        </w:rPr>
        <w:t xml:space="preserve">addressed why the patents were indeed ornamental, not functional—an issue not reviewed here. </w:t>
      </w:r>
      <w:r>
        <w:rPr>
          <w:i/>
        </w:rPr>
        <w:t xml:space="preserve">Id. </w:t>
      </w:r>
      <w:r>
        <w:t>at 1319 (discussing).</w:t>
      </w:r>
    </w:p>
  </w:footnote>
  <w:footnote w:id="821">
    <w:p w14:paraId="0DBA3565" w14:textId="2CA0B885" w:rsidR="00D90D35" w:rsidRPr="003125FE" w:rsidRDefault="00D90D35">
      <w:pPr>
        <w:pStyle w:val="FootnoteText"/>
      </w:pPr>
      <w:r>
        <w:rPr>
          <w:rStyle w:val="FootnoteReference"/>
        </w:rPr>
        <w:footnoteRef/>
      </w:r>
      <w:r>
        <w:t xml:space="preserve"> </w:t>
      </w:r>
      <w:r>
        <w:rPr>
          <w:i/>
        </w:rPr>
        <w:t xml:space="preserve">Id. </w:t>
      </w:r>
      <w:r>
        <w:t xml:space="preserve">at 1322 (citing, </w:t>
      </w:r>
      <w:r>
        <w:rPr>
          <w:i/>
        </w:rPr>
        <w:t xml:space="preserve">inter </w:t>
      </w:r>
      <w:r w:rsidRPr="003125FE">
        <w:rPr>
          <w:i/>
        </w:rPr>
        <w:t>alia</w:t>
      </w:r>
      <w:r>
        <w:t xml:space="preserve">, </w:t>
      </w:r>
      <w:r w:rsidRPr="003125FE">
        <w:t>Bowman v. M</w:t>
      </w:r>
      <w:r>
        <w:t xml:space="preserve">onsanto Co., 569 U.S. 278, 286 </w:t>
      </w:r>
      <w:r w:rsidRPr="003125FE">
        <w:t>(2013)</w:t>
      </w:r>
      <w:r>
        <w:t>).</w:t>
      </w:r>
    </w:p>
  </w:footnote>
  <w:footnote w:id="822">
    <w:p w14:paraId="0BB417DA" w14:textId="5FBDC137" w:rsidR="00D90D35" w:rsidRPr="00312B98" w:rsidRDefault="00D90D35">
      <w:pPr>
        <w:pStyle w:val="FootnoteText"/>
      </w:pPr>
      <w:r>
        <w:rPr>
          <w:rStyle w:val="FootnoteReference"/>
        </w:rPr>
        <w:footnoteRef/>
      </w:r>
      <w:r>
        <w:t xml:space="preserve"> </w:t>
      </w:r>
      <w:r>
        <w:rPr>
          <w:i/>
        </w:rPr>
        <w:t xml:space="preserve">Id. </w:t>
      </w:r>
      <w:r>
        <w:t>at 1322-23.</w:t>
      </w:r>
    </w:p>
  </w:footnote>
  <w:footnote w:id="823">
    <w:p w14:paraId="1B95C44D" w14:textId="21855E19" w:rsidR="00D90D35" w:rsidRPr="00312B98" w:rsidRDefault="00D90D35">
      <w:pPr>
        <w:pStyle w:val="FootnoteText"/>
      </w:pPr>
      <w:r>
        <w:rPr>
          <w:rStyle w:val="FootnoteReference"/>
        </w:rPr>
        <w:footnoteRef/>
      </w:r>
      <w:r>
        <w:t xml:space="preserve"> </w:t>
      </w:r>
      <w:r>
        <w:rPr>
          <w:i/>
        </w:rPr>
        <w:t xml:space="preserve">Id. </w:t>
      </w:r>
      <w:r>
        <w:t xml:space="preserve">at 1323 (citing </w:t>
      </w:r>
      <w:r w:rsidRPr="00312B98">
        <w:t>Quanta Computer, Inc. v. LG E</w:t>
      </w:r>
      <w:r>
        <w:t>lectronics, Inc., 553 U.S. 617 (2008)).</w:t>
      </w:r>
    </w:p>
  </w:footnote>
  <w:footnote w:id="824">
    <w:p w14:paraId="14F4D69D" w14:textId="34D30F25" w:rsidR="00D90D35" w:rsidRPr="00B55CB0" w:rsidRDefault="00D90D35">
      <w:pPr>
        <w:pStyle w:val="FootnoteText"/>
      </w:pPr>
      <w:r>
        <w:rPr>
          <w:rStyle w:val="FootnoteReference"/>
        </w:rPr>
        <w:footnoteRef/>
      </w:r>
      <w:r>
        <w:t xml:space="preserve"> </w:t>
      </w:r>
      <w:r>
        <w:rPr>
          <w:i/>
        </w:rPr>
        <w:t xml:space="preserve">Id. </w:t>
      </w:r>
    </w:p>
  </w:footnote>
  <w:footnote w:id="825">
    <w:p w14:paraId="27B47B44" w14:textId="6386066B" w:rsidR="00D90D35" w:rsidRPr="00EC3CFA" w:rsidRDefault="00D90D35" w:rsidP="00F30A25">
      <w:pPr>
        <w:pStyle w:val="FootnoteText"/>
      </w:pPr>
      <w:r>
        <w:rPr>
          <w:rStyle w:val="FootnoteReference"/>
        </w:rPr>
        <w:footnoteRef/>
      </w:r>
      <w:r>
        <w:t xml:space="preserve"> </w:t>
      </w:r>
      <w:r>
        <w:rPr>
          <w:i/>
        </w:rPr>
        <w:t xml:space="preserve">Id. </w:t>
      </w:r>
      <w:r>
        <w:t xml:space="preserve">at 1323-24 (citing case barring manufacture of replacement patented sewing needles, </w:t>
      </w:r>
      <w:r w:rsidRPr="000F17B2">
        <w:t xml:space="preserve">Aiken v. Manchester Print Works, </w:t>
      </w:r>
      <w:r>
        <w:t xml:space="preserve">1 F. Cas. 245 (C.C.D.N.H. 1865)).  </w:t>
      </w:r>
      <w:r>
        <w:rPr>
          <w:rFonts w:cs="Times New Roman"/>
          <w:color w:val="000000" w:themeColor="text1"/>
        </w:rPr>
        <w:t>“[T]</w:t>
      </w:r>
      <w:r w:rsidRPr="00104B8B">
        <w:rPr>
          <w:rFonts w:cs="Times New Roman"/>
          <w:color w:val="000000" w:themeColor="text1"/>
        </w:rPr>
        <w:t>hough a sale of the F-150 truck permits the purchaser to repair the designs as applied to the specific hood and headlamps sold on the truck, the purchaser may not create new</w:t>
      </w:r>
      <w:r>
        <w:rPr>
          <w:rFonts w:cs="Times New Roman"/>
          <w:color w:val="000000" w:themeColor="text1"/>
        </w:rPr>
        <w:t xml:space="preserve"> [nor purchase replacement]</w:t>
      </w:r>
      <w:r w:rsidRPr="00104B8B">
        <w:rPr>
          <w:rFonts w:cs="Times New Roman"/>
          <w:color w:val="000000" w:themeColor="text1"/>
        </w:rPr>
        <w:t xml:space="preserve"> hoods and headlamps</w:t>
      </w:r>
      <w:r>
        <w:rPr>
          <w:rFonts w:cs="Times New Roman"/>
          <w:color w:val="000000" w:themeColor="text1"/>
        </w:rPr>
        <w:t xml:space="preserve"> </w:t>
      </w:r>
      <w:r w:rsidRPr="00104B8B">
        <w:rPr>
          <w:rFonts w:cs="Times New Roman"/>
          <w:color w:val="000000" w:themeColor="text1"/>
        </w:rPr>
        <w:t>using Ford’s designs.</w:t>
      </w:r>
      <w:r>
        <w:rPr>
          <w:rFonts w:cs="Times New Roman"/>
          <w:color w:val="000000" w:themeColor="text1"/>
        </w:rPr>
        <w:t xml:space="preserve">” </w:t>
      </w:r>
      <w:r>
        <w:rPr>
          <w:rFonts w:cs="Times New Roman"/>
          <w:i/>
          <w:color w:val="000000" w:themeColor="text1"/>
        </w:rPr>
        <w:t xml:space="preserve">Id. </w:t>
      </w:r>
    </w:p>
  </w:footnote>
  <w:footnote w:id="826">
    <w:p w14:paraId="28855C05" w14:textId="15A827B0" w:rsidR="00D90D35" w:rsidRPr="005F032F" w:rsidRDefault="00D90D35">
      <w:pPr>
        <w:pStyle w:val="FootnoteText"/>
      </w:pPr>
      <w:r>
        <w:rPr>
          <w:rStyle w:val="FootnoteReference"/>
        </w:rPr>
        <w:footnoteRef/>
      </w:r>
      <w:r>
        <w:t xml:space="preserve"> </w:t>
      </w:r>
      <w:r>
        <w:rPr>
          <w:i/>
        </w:rPr>
        <w:t xml:space="preserve">Id. </w:t>
      </w:r>
      <w:r>
        <w:t xml:space="preserve">at 1324-25 (quoting </w:t>
      </w:r>
      <w:r w:rsidRPr="005F032F">
        <w:t>Arlington Indus., Inc. v. Bridgeport Fittings, Inc.,</w:t>
      </w:r>
      <w:r>
        <w:t xml:space="preserve"> </w:t>
      </w:r>
      <w:r w:rsidRPr="005F032F">
        <w:t>632</w:t>
      </w:r>
      <w:r>
        <w:t xml:space="preserve"> </w:t>
      </w:r>
      <w:r w:rsidRPr="005F032F">
        <w:t>F.3d</w:t>
      </w:r>
      <w:r>
        <w:t xml:space="preserve"> </w:t>
      </w:r>
      <w:r w:rsidRPr="005F032F">
        <w:t>1246,</w:t>
      </w:r>
      <w:r>
        <w:t xml:space="preserve"> </w:t>
      </w:r>
      <w:r w:rsidRPr="005F032F">
        <w:t>1255</w:t>
      </w:r>
      <w:r>
        <w:t xml:space="preserve"> </w:t>
      </w:r>
      <w:r w:rsidRPr="005F032F">
        <w:t>n.2</w:t>
      </w:r>
      <w:r>
        <w:t xml:space="preserve"> </w:t>
      </w:r>
      <w:r w:rsidRPr="005F032F">
        <w:t>(Fed.</w:t>
      </w:r>
      <w:r>
        <w:t xml:space="preserve"> </w:t>
      </w:r>
      <w:r w:rsidRPr="005F032F">
        <w:t>Cir.</w:t>
      </w:r>
      <w:r>
        <w:t xml:space="preserve"> </w:t>
      </w:r>
      <w:r w:rsidRPr="005F032F">
        <w:t>2011)</w:t>
      </w:r>
      <w:r>
        <w:t>)</w:t>
      </w:r>
      <w:r w:rsidRPr="005F032F">
        <w:t>.</w:t>
      </w:r>
    </w:p>
  </w:footnote>
  <w:footnote w:id="827">
    <w:p w14:paraId="7ECE0E36" w14:textId="3B88767B" w:rsidR="00D90D35" w:rsidRPr="00D40372" w:rsidRDefault="00D90D35">
      <w:pPr>
        <w:pStyle w:val="FootnoteText"/>
      </w:pPr>
      <w:r>
        <w:rPr>
          <w:rStyle w:val="FootnoteReference"/>
        </w:rPr>
        <w:footnoteRef/>
      </w:r>
      <w:r>
        <w:t xml:space="preserve"> </w:t>
      </w:r>
      <w:r>
        <w:rPr>
          <w:i/>
        </w:rPr>
        <w:t xml:space="preserve">Id. </w:t>
      </w:r>
      <w:r>
        <w:t>at 1325 (internal citations omitted).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CD0D3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A64CF"/>
    <w:multiLevelType w:val="hybridMultilevel"/>
    <w:tmpl w:val="571093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6415D4"/>
    <w:multiLevelType w:val="hybridMultilevel"/>
    <w:tmpl w:val="16AADC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636D2B"/>
    <w:multiLevelType w:val="hybridMultilevel"/>
    <w:tmpl w:val="A986E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B35B3"/>
    <w:multiLevelType w:val="hybridMultilevel"/>
    <w:tmpl w:val="B52E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95364"/>
    <w:multiLevelType w:val="hybridMultilevel"/>
    <w:tmpl w:val="F394F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C5112B"/>
    <w:multiLevelType w:val="hybridMultilevel"/>
    <w:tmpl w:val="372CE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7045B"/>
    <w:multiLevelType w:val="hybridMultilevel"/>
    <w:tmpl w:val="8E421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F1770"/>
    <w:multiLevelType w:val="hybridMultilevel"/>
    <w:tmpl w:val="8E421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A3021"/>
    <w:multiLevelType w:val="hybridMultilevel"/>
    <w:tmpl w:val="17B8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70D6F"/>
    <w:multiLevelType w:val="hybridMultilevel"/>
    <w:tmpl w:val="107E1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656E4"/>
    <w:multiLevelType w:val="hybridMultilevel"/>
    <w:tmpl w:val="6C22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F7433"/>
    <w:multiLevelType w:val="hybridMultilevel"/>
    <w:tmpl w:val="8E421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F4855"/>
    <w:multiLevelType w:val="hybridMultilevel"/>
    <w:tmpl w:val="8E421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851387"/>
    <w:multiLevelType w:val="hybridMultilevel"/>
    <w:tmpl w:val="8C66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8032C3"/>
    <w:multiLevelType w:val="hybridMultilevel"/>
    <w:tmpl w:val="3FB67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990CA3"/>
    <w:multiLevelType w:val="hybridMultilevel"/>
    <w:tmpl w:val="F8B0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1A2B39"/>
    <w:multiLevelType w:val="hybridMultilevel"/>
    <w:tmpl w:val="8E421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0F4043"/>
    <w:multiLevelType w:val="hybridMultilevel"/>
    <w:tmpl w:val="3168D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067970"/>
    <w:multiLevelType w:val="hybridMultilevel"/>
    <w:tmpl w:val="38768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350844"/>
    <w:multiLevelType w:val="hybridMultilevel"/>
    <w:tmpl w:val="8E421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DE4FB3"/>
    <w:multiLevelType w:val="hybridMultilevel"/>
    <w:tmpl w:val="8A3EE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EE1989"/>
    <w:multiLevelType w:val="hybridMultilevel"/>
    <w:tmpl w:val="89E48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6"/>
  </w:num>
  <w:num w:numId="4">
    <w:abstractNumId w:val="19"/>
  </w:num>
  <w:num w:numId="5">
    <w:abstractNumId w:val="10"/>
  </w:num>
  <w:num w:numId="6">
    <w:abstractNumId w:val="9"/>
  </w:num>
  <w:num w:numId="7">
    <w:abstractNumId w:val="14"/>
  </w:num>
  <w:num w:numId="8">
    <w:abstractNumId w:val="15"/>
  </w:num>
  <w:num w:numId="9">
    <w:abstractNumId w:val="18"/>
  </w:num>
  <w:num w:numId="10">
    <w:abstractNumId w:val="20"/>
  </w:num>
  <w:num w:numId="11">
    <w:abstractNumId w:val="3"/>
  </w:num>
  <w:num w:numId="12">
    <w:abstractNumId w:val="17"/>
  </w:num>
  <w:num w:numId="13">
    <w:abstractNumId w:val="21"/>
  </w:num>
  <w:num w:numId="14">
    <w:abstractNumId w:val="8"/>
  </w:num>
  <w:num w:numId="15">
    <w:abstractNumId w:val="12"/>
  </w:num>
  <w:num w:numId="16">
    <w:abstractNumId w:val="13"/>
  </w:num>
  <w:num w:numId="17">
    <w:abstractNumId w:val="7"/>
  </w:num>
  <w:num w:numId="18">
    <w:abstractNumId w:val="1"/>
  </w:num>
  <w:num w:numId="19">
    <w:abstractNumId w:val="0"/>
  </w:num>
  <w:num w:numId="20">
    <w:abstractNumId w:val="4"/>
  </w:num>
  <w:num w:numId="21">
    <w:abstractNumId w:val="22"/>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099"/>
    <w:rsid w:val="000004BF"/>
    <w:rsid w:val="00000F67"/>
    <w:rsid w:val="0000110C"/>
    <w:rsid w:val="000011D4"/>
    <w:rsid w:val="00001791"/>
    <w:rsid w:val="00001842"/>
    <w:rsid w:val="000018EF"/>
    <w:rsid w:val="00001BF0"/>
    <w:rsid w:val="000020F6"/>
    <w:rsid w:val="00002C26"/>
    <w:rsid w:val="000040EC"/>
    <w:rsid w:val="00004BA1"/>
    <w:rsid w:val="00004CB6"/>
    <w:rsid w:val="000060D2"/>
    <w:rsid w:val="000061BF"/>
    <w:rsid w:val="00006227"/>
    <w:rsid w:val="0000673F"/>
    <w:rsid w:val="00006A87"/>
    <w:rsid w:val="0000789A"/>
    <w:rsid w:val="00007B89"/>
    <w:rsid w:val="00007D1A"/>
    <w:rsid w:val="000109B7"/>
    <w:rsid w:val="00010CF0"/>
    <w:rsid w:val="00010EEA"/>
    <w:rsid w:val="00010FC7"/>
    <w:rsid w:val="0001126D"/>
    <w:rsid w:val="000112D0"/>
    <w:rsid w:val="0001149F"/>
    <w:rsid w:val="000114B6"/>
    <w:rsid w:val="000127B7"/>
    <w:rsid w:val="00012868"/>
    <w:rsid w:val="00012E38"/>
    <w:rsid w:val="00013070"/>
    <w:rsid w:val="000132B7"/>
    <w:rsid w:val="000132CA"/>
    <w:rsid w:val="00013357"/>
    <w:rsid w:val="00013C1F"/>
    <w:rsid w:val="00013D8F"/>
    <w:rsid w:val="00014002"/>
    <w:rsid w:val="00014623"/>
    <w:rsid w:val="00014880"/>
    <w:rsid w:val="000158AF"/>
    <w:rsid w:val="00015C60"/>
    <w:rsid w:val="0001664B"/>
    <w:rsid w:val="000168F7"/>
    <w:rsid w:val="00016C02"/>
    <w:rsid w:val="000172F4"/>
    <w:rsid w:val="0002002F"/>
    <w:rsid w:val="00020347"/>
    <w:rsid w:val="00020415"/>
    <w:rsid w:val="000205C4"/>
    <w:rsid w:val="00020753"/>
    <w:rsid w:val="00021996"/>
    <w:rsid w:val="00021F04"/>
    <w:rsid w:val="00022157"/>
    <w:rsid w:val="0002220C"/>
    <w:rsid w:val="000226AD"/>
    <w:rsid w:val="0002282A"/>
    <w:rsid w:val="00022B37"/>
    <w:rsid w:val="00023117"/>
    <w:rsid w:val="00023196"/>
    <w:rsid w:val="000234C7"/>
    <w:rsid w:val="000235D3"/>
    <w:rsid w:val="00024576"/>
    <w:rsid w:val="00024FF3"/>
    <w:rsid w:val="00025205"/>
    <w:rsid w:val="00025E4E"/>
    <w:rsid w:val="00025F3E"/>
    <w:rsid w:val="000263D2"/>
    <w:rsid w:val="0002665B"/>
    <w:rsid w:val="00026BB1"/>
    <w:rsid w:val="000302E3"/>
    <w:rsid w:val="000304B6"/>
    <w:rsid w:val="000308D3"/>
    <w:rsid w:val="00030C50"/>
    <w:rsid w:val="00031490"/>
    <w:rsid w:val="000314BB"/>
    <w:rsid w:val="000319B3"/>
    <w:rsid w:val="00031A2C"/>
    <w:rsid w:val="000329A9"/>
    <w:rsid w:val="00032E49"/>
    <w:rsid w:val="0003377E"/>
    <w:rsid w:val="0003379E"/>
    <w:rsid w:val="000339C3"/>
    <w:rsid w:val="000339E8"/>
    <w:rsid w:val="00033F71"/>
    <w:rsid w:val="00035103"/>
    <w:rsid w:val="000355B3"/>
    <w:rsid w:val="0003587C"/>
    <w:rsid w:val="000358AD"/>
    <w:rsid w:val="00035ACA"/>
    <w:rsid w:val="000362B9"/>
    <w:rsid w:val="000364AC"/>
    <w:rsid w:val="00036553"/>
    <w:rsid w:val="00037882"/>
    <w:rsid w:val="00037AFE"/>
    <w:rsid w:val="0004104E"/>
    <w:rsid w:val="00041114"/>
    <w:rsid w:val="00041256"/>
    <w:rsid w:val="0004126B"/>
    <w:rsid w:val="0004135E"/>
    <w:rsid w:val="00041C8F"/>
    <w:rsid w:val="00042266"/>
    <w:rsid w:val="0004230F"/>
    <w:rsid w:val="00042553"/>
    <w:rsid w:val="00042891"/>
    <w:rsid w:val="00042B14"/>
    <w:rsid w:val="0004339E"/>
    <w:rsid w:val="000449CA"/>
    <w:rsid w:val="00044D4E"/>
    <w:rsid w:val="0004506B"/>
    <w:rsid w:val="000450EA"/>
    <w:rsid w:val="000455CE"/>
    <w:rsid w:val="00045B97"/>
    <w:rsid w:val="000461C5"/>
    <w:rsid w:val="000465C1"/>
    <w:rsid w:val="00047771"/>
    <w:rsid w:val="00047BA4"/>
    <w:rsid w:val="00047C6D"/>
    <w:rsid w:val="00051A3E"/>
    <w:rsid w:val="00051DE0"/>
    <w:rsid w:val="00051EE8"/>
    <w:rsid w:val="00051F21"/>
    <w:rsid w:val="00052679"/>
    <w:rsid w:val="00052847"/>
    <w:rsid w:val="00053022"/>
    <w:rsid w:val="000534B5"/>
    <w:rsid w:val="00053A50"/>
    <w:rsid w:val="00054804"/>
    <w:rsid w:val="00054C30"/>
    <w:rsid w:val="00054C68"/>
    <w:rsid w:val="00054CA7"/>
    <w:rsid w:val="00055AEC"/>
    <w:rsid w:val="000561FD"/>
    <w:rsid w:val="00056BA9"/>
    <w:rsid w:val="00056C8D"/>
    <w:rsid w:val="00056D14"/>
    <w:rsid w:val="00057657"/>
    <w:rsid w:val="000576CD"/>
    <w:rsid w:val="00057DB3"/>
    <w:rsid w:val="00060261"/>
    <w:rsid w:val="000606EB"/>
    <w:rsid w:val="0006074A"/>
    <w:rsid w:val="00060D09"/>
    <w:rsid w:val="00060FB6"/>
    <w:rsid w:val="0006132B"/>
    <w:rsid w:val="000616AC"/>
    <w:rsid w:val="00061C6E"/>
    <w:rsid w:val="00061C9A"/>
    <w:rsid w:val="000638DD"/>
    <w:rsid w:val="00064024"/>
    <w:rsid w:val="00064253"/>
    <w:rsid w:val="0006431E"/>
    <w:rsid w:val="000646D7"/>
    <w:rsid w:val="00064C8E"/>
    <w:rsid w:val="00065001"/>
    <w:rsid w:val="00065102"/>
    <w:rsid w:val="00065110"/>
    <w:rsid w:val="00065706"/>
    <w:rsid w:val="00065947"/>
    <w:rsid w:val="00065FFF"/>
    <w:rsid w:val="0006631E"/>
    <w:rsid w:val="0006685C"/>
    <w:rsid w:val="0006690A"/>
    <w:rsid w:val="000669A7"/>
    <w:rsid w:val="00066F4D"/>
    <w:rsid w:val="00066FDA"/>
    <w:rsid w:val="00066FE8"/>
    <w:rsid w:val="00067EC2"/>
    <w:rsid w:val="0007045F"/>
    <w:rsid w:val="000705A8"/>
    <w:rsid w:val="00070ED2"/>
    <w:rsid w:val="00071633"/>
    <w:rsid w:val="000717D5"/>
    <w:rsid w:val="00071950"/>
    <w:rsid w:val="00071B92"/>
    <w:rsid w:val="00072245"/>
    <w:rsid w:val="000722C5"/>
    <w:rsid w:val="00072668"/>
    <w:rsid w:val="000737EF"/>
    <w:rsid w:val="00073BF5"/>
    <w:rsid w:val="00074030"/>
    <w:rsid w:val="000744DF"/>
    <w:rsid w:val="00075C20"/>
    <w:rsid w:val="0007631B"/>
    <w:rsid w:val="00076EB4"/>
    <w:rsid w:val="00076EBA"/>
    <w:rsid w:val="00077022"/>
    <w:rsid w:val="00077142"/>
    <w:rsid w:val="00077320"/>
    <w:rsid w:val="00077509"/>
    <w:rsid w:val="00077C0B"/>
    <w:rsid w:val="00080224"/>
    <w:rsid w:val="00080809"/>
    <w:rsid w:val="00080AF0"/>
    <w:rsid w:val="00080C2C"/>
    <w:rsid w:val="000816F7"/>
    <w:rsid w:val="00081CD5"/>
    <w:rsid w:val="00082514"/>
    <w:rsid w:val="0008253F"/>
    <w:rsid w:val="000833ED"/>
    <w:rsid w:val="00083ABD"/>
    <w:rsid w:val="00083C0A"/>
    <w:rsid w:val="00084412"/>
    <w:rsid w:val="000847A1"/>
    <w:rsid w:val="00084C14"/>
    <w:rsid w:val="000851FF"/>
    <w:rsid w:val="00085224"/>
    <w:rsid w:val="000854E0"/>
    <w:rsid w:val="0008584A"/>
    <w:rsid w:val="00086ECD"/>
    <w:rsid w:val="000871D5"/>
    <w:rsid w:val="00087284"/>
    <w:rsid w:val="00087435"/>
    <w:rsid w:val="0008751C"/>
    <w:rsid w:val="00087545"/>
    <w:rsid w:val="00090FC2"/>
    <w:rsid w:val="00091136"/>
    <w:rsid w:val="0009136B"/>
    <w:rsid w:val="00091FB2"/>
    <w:rsid w:val="00092ADB"/>
    <w:rsid w:val="00092D00"/>
    <w:rsid w:val="00092D4E"/>
    <w:rsid w:val="0009394F"/>
    <w:rsid w:val="0009395B"/>
    <w:rsid w:val="00093B6F"/>
    <w:rsid w:val="00093E1B"/>
    <w:rsid w:val="00094BA6"/>
    <w:rsid w:val="00094CAB"/>
    <w:rsid w:val="000952C0"/>
    <w:rsid w:val="000961E8"/>
    <w:rsid w:val="00097537"/>
    <w:rsid w:val="000A0089"/>
    <w:rsid w:val="000A0214"/>
    <w:rsid w:val="000A04A5"/>
    <w:rsid w:val="000A0BF7"/>
    <w:rsid w:val="000A133F"/>
    <w:rsid w:val="000A143C"/>
    <w:rsid w:val="000A1C5E"/>
    <w:rsid w:val="000A2C79"/>
    <w:rsid w:val="000A2C9D"/>
    <w:rsid w:val="000A2D38"/>
    <w:rsid w:val="000A308A"/>
    <w:rsid w:val="000A31AE"/>
    <w:rsid w:val="000A3A70"/>
    <w:rsid w:val="000A3D2B"/>
    <w:rsid w:val="000A3D97"/>
    <w:rsid w:val="000A3FFD"/>
    <w:rsid w:val="000A472E"/>
    <w:rsid w:val="000A4D68"/>
    <w:rsid w:val="000A4FC6"/>
    <w:rsid w:val="000A50F5"/>
    <w:rsid w:val="000A5EB1"/>
    <w:rsid w:val="000A6ECA"/>
    <w:rsid w:val="000A7626"/>
    <w:rsid w:val="000A7FB8"/>
    <w:rsid w:val="000B00AA"/>
    <w:rsid w:val="000B043E"/>
    <w:rsid w:val="000B0BA1"/>
    <w:rsid w:val="000B0D0A"/>
    <w:rsid w:val="000B11BC"/>
    <w:rsid w:val="000B1205"/>
    <w:rsid w:val="000B12F4"/>
    <w:rsid w:val="000B13BB"/>
    <w:rsid w:val="000B16B0"/>
    <w:rsid w:val="000B17C1"/>
    <w:rsid w:val="000B1AC3"/>
    <w:rsid w:val="000B1DB7"/>
    <w:rsid w:val="000B232C"/>
    <w:rsid w:val="000B24CA"/>
    <w:rsid w:val="000B2562"/>
    <w:rsid w:val="000B2BD6"/>
    <w:rsid w:val="000B30E1"/>
    <w:rsid w:val="000B3D59"/>
    <w:rsid w:val="000B3FB1"/>
    <w:rsid w:val="000B4061"/>
    <w:rsid w:val="000B4405"/>
    <w:rsid w:val="000B46DD"/>
    <w:rsid w:val="000B48CF"/>
    <w:rsid w:val="000B4AAB"/>
    <w:rsid w:val="000B4F1E"/>
    <w:rsid w:val="000B5007"/>
    <w:rsid w:val="000B5040"/>
    <w:rsid w:val="000B5260"/>
    <w:rsid w:val="000B533C"/>
    <w:rsid w:val="000B5CD3"/>
    <w:rsid w:val="000B612E"/>
    <w:rsid w:val="000B6328"/>
    <w:rsid w:val="000B6F0B"/>
    <w:rsid w:val="000B765A"/>
    <w:rsid w:val="000B782B"/>
    <w:rsid w:val="000B790B"/>
    <w:rsid w:val="000B7B8D"/>
    <w:rsid w:val="000B7FCD"/>
    <w:rsid w:val="000C010D"/>
    <w:rsid w:val="000C0911"/>
    <w:rsid w:val="000C0995"/>
    <w:rsid w:val="000C1368"/>
    <w:rsid w:val="000C1A00"/>
    <w:rsid w:val="000C1D0D"/>
    <w:rsid w:val="000C201C"/>
    <w:rsid w:val="000C254C"/>
    <w:rsid w:val="000C2EF5"/>
    <w:rsid w:val="000C355F"/>
    <w:rsid w:val="000C3597"/>
    <w:rsid w:val="000C3852"/>
    <w:rsid w:val="000C3EDB"/>
    <w:rsid w:val="000C3EEC"/>
    <w:rsid w:val="000C4F6A"/>
    <w:rsid w:val="000C61AA"/>
    <w:rsid w:val="000C67F9"/>
    <w:rsid w:val="000C6A1E"/>
    <w:rsid w:val="000C6C18"/>
    <w:rsid w:val="000C7700"/>
    <w:rsid w:val="000D0708"/>
    <w:rsid w:val="000D0B11"/>
    <w:rsid w:val="000D10E4"/>
    <w:rsid w:val="000D125D"/>
    <w:rsid w:val="000D149C"/>
    <w:rsid w:val="000D16B1"/>
    <w:rsid w:val="000D1958"/>
    <w:rsid w:val="000D1AD9"/>
    <w:rsid w:val="000D1E01"/>
    <w:rsid w:val="000D26DE"/>
    <w:rsid w:val="000D2AA1"/>
    <w:rsid w:val="000D2D20"/>
    <w:rsid w:val="000D2FF5"/>
    <w:rsid w:val="000D3606"/>
    <w:rsid w:val="000D39AE"/>
    <w:rsid w:val="000D3A97"/>
    <w:rsid w:val="000D3CB7"/>
    <w:rsid w:val="000D3EDC"/>
    <w:rsid w:val="000D4324"/>
    <w:rsid w:val="000D44EA"/>
    <w:rsid w:val="000D463D"/>
    <w:rsid w:val="000D5AD1"/>
    <w:rsid w:val="000D5C34"/>
    <w:rsid w:val="000D61A0"/>
    <w:rsid w:val="000D6585"/>
    <w:rsid w:val="000D723D"/>
    <w:rsid w:val="000D75E0"/>
    <w:rsid w:val="000D7B30"/>
    <w:rsid w:val="000D7FE4"/>
    <w:rsid w:val="000E0638"/>
    <w:rsid w:val="000E0666"/>
    <w:rsid w:val="000E0C2A"/>
    <w:rsid w:val="000E1398"/>
    <w:rsid w:val="000E1B9D"/>
    <w:rsid w:val="000E1BA5"/>
    <w:rsid w:val="000E1F5D"/>
    <w:rsid w:val="000E2033"/>
    <w:rsid w:val="000E2C9D"/>
    <w:rsid w:val="000E3288"/>
    <w:rsid w:val="000E36F2"/>
    <w:rsid w:val="000E38DB"/>
    <w:rsid w:val="000E3C3A"/>
    <w:rsid w:val="000E4050"/>
    <w:rsid w:val="000E40D2"/>
    <w:rsid w:val="000E443F"/>
    <w:rsid w:val="000E5092"/>
    <w:rsid w:val="000E6399"/>
    <w:rsid w:val="000E6836"/>
    <w:rsid w:val="000E6D19"/>
    <w:rsid w:val="000E6F5A"/>
    <w:rsid w:val="000E7AAA"/>
    <w:rsid w:val="000E7B3C"/>
    <w:rsid w:val="000E7F9D"/>
    <w:rsid w:val="000E7FF0"/>
    <w:rsid w:val="000F02F1"/>
    <w:rsid w:val="000F04C9"/>
    <w:rsid w:val="000F0932"/>
    <w:rsid w:val="000F0A59"/>
    <w:rsid w:val="000F0AF4"/>
    <w:rsid w:val="000F0FD7"/>
    <w:rsid w:val="000F1022"/>
    <w:rsid w:val="000F160E"/>
    <w:rsid w:val="000F17B2"/>
    <w:rsid w:val="000F21FA"/>
    <w:rsid w:val="000F23DA"/>
    <w:rsid w:val="000F309A"/>
    <w:rsid w:val="000F4043"/>
    <w:rsid w:val="000F4087"/>
    <w:rsid w:val="000F4253"/>
    <w:rsid w:val="000F42CD"/>
    <w:rsid w:val="000F49CF"/>
    <w:rsid w:val="000F5040"/>
    <w:rsid w:val="000F53FE"/>
    <w:rsid w:val="000F5576"/>
    <w:rsid w:val="000F5AA7"/>
    <w:rsid w:val="000F5B8F"/>
    <w:rsid w:val="000F7411"/>
    <w:rsid w:val="000F7B86"/>
    <w:rsid w:val="000F7DE0"/>
    <w:rsid w:val="0010013E"/>
    <w:rsid w:val="001005E9"/>
    <w:rsid w:val="00100DB8"/>
    <w:rsid w:val="00100DDA"/>
    <w:rsid w:val="001010C9"/>
    <w:rsid w:val="001012A0"/>
    <w:rsid w:val="001015A4"/>
    <w:rsid w:val="00102321"/>
    <w:rsid w:val="00102561"/>
    <w:rsid w:val="001033FD"/>
    <w:rsid w:val="0010352F"/>
    <w:rsid w:val="0010371B"/>
    <w:rsid w:val="00103BFA"/>
    <w:rsid w:val="00103D3E"/>
    <w:rsid w:val="001041D8"/>
    <w:rsid w:val="0010435D"/>
    <w:rsid w:val="00104B8B"/>
    <w:rsid w:val="00104CD0"/>
    <w:rsid w:val="00105586"/>
    <w:rsid w:val="001058C3"/>
    <w:rsid w:val="00106CBC"/>
    <w:rsid w:val="00106D32"/>
    <w:rsid w:val="00106E0D"/>
    <w:rsid w:val="001071F8"/>
    <w:rsid w:val="00107A47"/>
    <w:rsid w:val="00107D56"/>
    <w:rsid w:val="00107DF5"/>
    <w:rsid w:val="00107FAD"/>
    <w:rsid w:val="00110781"/>
    <w:rsid w:val="00110A89"/>
    <w:rsid w:val="00110AB6"/>
    <w:rsid w:val="00110AC0"/>
    <w:rsid w:val="0011105B"/>
    <w:rsid w:val="00111A96"/>
    <w:rsid w:val="00111ECD"/>
    <w:rsid w:val="0011303D"/>
    <w:rsid w:val="00113261"/>
    <w:rsid w:val="00113DFC"/>
    <w:rsid w:val="001143F2"/>
    <w:rsid w:val="00114404"/>
    <w:rsid w:val="00114601"/>
    <w:rsid w:val="00114794"/>
    <w:rsid w:val="00114E4B"/>
    <w:rsid w:val="001153EC"/>
    <w:rsid w:val="001157AE"/>
    <w:rsid w:val="00115D6A"/>
    <w:rsid w:val="00116601"/>
    <w:rsid w:val="00116CE8"/>
    <w:rsid w:val="0011701D"/>
    <w:rsid w:val="001176A1"/>
    <w:rsid w:val="0011773C"/>
    <w:rsid w:val="00117775"/>
    <w:rsid w:val="00117A16"/>
    <w:rsid w:val="00117BF9"/>
    <w:rsid w:val="00117CA1"/>
    <w:rsid w:val="00117DEF"/>
    <w:rsid w:val="001200DA"/>
    <w:rsid w:val="001206A0"/>
    <w:rsid w:val="00120B81"/>
    <w:rsid w:val="00120C9E"/>
    <w:rsid w:val="00120F66"/>
    <w:rsid w:val="00120FBB"/>
    <w:rsid w:val="0012104F"/>
    <w:rsid w:val="00121160"/>
    <w:rsid w:val="001213F8"/>
    <w:rsid w:val="0012183A"/>
    <w:rsid w:val="001219E4"/>
    <w:rsid w:val="00121A4A"/>
    <w:rsid w:val="00121EC3"/>
    <w:rsid w:val="00121F3D"/>
    <w:rsid w:val="00122224"/>
    <w:rsid w:val="00122A39"/>
    <w:rsid w:val="00122C63"/>
    <w:rsid w:val="00123037"/>
    <w:rsid w:val="001235E2"/>
    <w:rsid w:val="00125067"/>
    <w:rsid w:val="00125359"/>
    <w:rsid w:val="0012560B"/>
    <w:rsid w:val="001258AB"/>
    <w:rsid w:val="00125C4E"/>
    <w:rsid w:val="00125D49"/>
    <w:rsid w:val="00126874"/>
    <w:rsid w:val="00126E31"/>
    <w:rsid w:val="0012769A"/>
    <w:rsid w:val="001278FA"/>
    <w:rsid w:val="001279D7"/>
    <w:rsid w:val="00130510"/>
    <w:rsid w:val="00130548"/>
    <w:rsid w:val="0013080D"/>
    <w:rsid w:val="00130A01"/>
    <w:rsid w:val="00130A2A"/>
    <w:rsid w:val="00130B50"/>
    <w:rsid w:val="0013118E"/>
    <w:rsid w:val="001312A6"/>
    <w:rsid w:val="001318C2"/>
    <w:rsid w:val="00132128"/>
    <w:rsid w:val="001321B6"/>
    <w:rsid w:val="001327BE"/>
    <w:rsid w:val="00132F6C"/>
    <w:rsid w:val="00133154"/>
    <w:rsid w:val="001337D7"/>
    <w:rsid w:val="00134752"/>
    <w:rsid w:val="001349FA"/>
    <w:rsid w:val="001350CE"/>
    <w:rsid w:val="00135A9F"/>
    <w:rsid w:val="00135D55"/>
    <w:rsid w:val="00136165"/>
    <w:rsid w:val="001361DC"/>
    <w:rsid w:val="0013659B"/>
    <w:rsid w:val="001366B1"/>
    <w:rsid w:val="001366EE"/>
    <w:rsid w:val="00136A25"/>
    <w:rsid w:val="00136E52"/>
    <w:rsid w:val="00137024"/>
    <w:rsid w:val="0013777D"/>
    <w:rsid w:val="0013777F"/>
    <w:rsid w:val="001379FA"/>
    <w:rsid w:val="00137C78"/>
    <w:rsid w:val="00137D62"/>
    <w:rsid w:val="00137ECD"/>
    <w:rsid w:val="00140081"/>
    <w:rsid w:val="0014055C"/>
    <w:rsid w:val="001406E2"/>
    <w:rsid w:val="00140C22"/>
    <w:rsid w:val="00140F3C"/>
    <w:rsid w:val="0014136E"/>
    <w:rsid w:val="00141373"/>
    <w:rsid w:val="00141765"/>
    <w:rsid w:val="00141B3D"/>
    <w:rsid w:val="00141C4C"/>
    <w:rsid w:val="00143206"/>
    <w:rsid w:val="00143A93"/>
    <w:rsid w:val="00143C3F"/>
    <w:rsid w:val="00143EB9"/>
    <w:rsid w:val="00143FF6"/>
    <w:rsid w:val="001446AA"/>
    <w:rsid w:val="00144DC2"/>
    <w:rsid w:val="00145067"/>
    <w:rsid w:val="00146092"/>
    <w:rsid w:val="0014671E"/>
    <w:rsid w:val="00146C70"/>
    <w:rsid w:val="001470EE"/>
    <w:rsid w:val="00147540"/>
    <w:rsid w:val="001477FB"/>
    <w:rsid w:val="00147ED4"/>
    <w:rsid w:val="00150780"/>
    <w:rsid w:val="00150E15"/>
    <w:rsid w:val="00150F93"/>
    <w:rsid w:val="001517D7"/>
    <w:rsid w:val="00151C19"/>
    <w:rsid w:val="00152248"/>
    <w:rsid w:val="00152E48"/>
    <w:rsid w:val="001538CA"/>
    <w:rsid w:val="001539B9"/>
    <w:rsid w:val="00153BF7"/>
    <w:rsid w:val="00153C13"/>
    <w:rsid w:val="00153EE1"/>
    <w:rsid w:val="001550C0"/>
    <w:rsid w:val="00155224"/>
    <w:rsid w:val="00155970"/>
    <w:rsid w:val="0015597C"/>
    <w:rsid w:val="00155D08"/>
    <w:rsid w:val="00155E23"/>
    <w:rsid w:val="0015651A"/>
    <w:rsid w:val="001565FA"/>
    <w:rsid w:val="00156A37"/>
    <w:rsid w:val="00157284"/>
    <w:rsid w:val="00157317"/>
    <w:rsid w:val="00157C12"/>
    <w:rsid w:val="0016018B"/>
    <w:rsid w:val="001615ED"/>
    <w:rsid w:val="00161CC8"/>
    <w:rsid w:val="00162217"/>
    <w:rsid w:val="001629E5"/>
    <w:rsid w:val="001632C4"/>
    <w:rsid w:val="00163ADA"/>
    <w:rsid w:val="00163B2A"/>
    <w:rsid w:val="00163ED6"/>
    <w:rsid w:val="00165268"/>
    <w:rsid w:val="00165DAA"/>
    <w:rsid w:val="00165EFA"/>
    <w:rsid w:val="00165F31"/>
    <w:rsid w:val="00166923"/>
    <w:rsid w:val="00166AFE"/>
    <w:rsid w:val="00166F20"/>
    <w:rsid w:val="001670E0"/>
    <w:rsid w:val="00167815"/>
    <w:rsid w:val="00167A9D"/>
    <w:rsid w:val="00167C28"/>
    <w:rsid w:val="00167EE8"/>
    <w:rsid w:val="00170694"/>
    <w:rsid w:val="00170911"/>
    <w:rsid w:val="001710D8"/>
    <w:rsid w:val="0017124F"/>
    <w:rsid w:val="00171A76"/>
    <w:rsid w:val="00171C56"/>
    <w:rsid w:val="00171DD4"/>
    <w:rsid w:val="0017254A"/>
    <w:rsid w:val="00172746"/>
    <w:rsid w:val="00173240"/>
    <w:rsid w:val="00173E08"/>
    <w:rsid w:val="001740DC"/>
    <w:rsid w:val="0017445A"/>
    <w:rsid w:val="00174609"/>
    <w:rsid w:val="001746EB"/>
    <w:rsid w:val="001748C5"/>
    <w:rsid w:val="001748DA"/>
    <w:rsid w:val="00174DB7"/>
    <w:rsid w:val="00174EA4"/>
    <w:rsid w:val="0017520B"/>
    <w:rsid w:val="00175905"/>
    <w:rsid w:val="00175D29"/>
    <w:rsid w:val="00176407"/>
    <w:rsid w:val="001765FE"/>
    <w:rsid w:val="0017697B"/>
    <w:rsid w:val="00176F2D"/>
    <w:rsid w:val="00177B98"/>
    <w:rsid w:val="00177F35"/>
    <w:rsid w:val="00180340"/>
    <w:rsid w:val="00180EDD"/>
    <w:rsid w:val="0018245F"/>
    <w:rsid w:val="001826C1"/>
    <w:rsid w:val="00182AA8"/>
    <w:rsid w:val="00184E1D"/>
    <w:rsid w:val="00184ED1"/>
    <w:rsid w:val="00185404"/>
    <w:rsid w:val="001854AB"/>
    <w:rsid w:val="00185F65"/>
    <w:rsid w:val="00186B91"/>
    <w:rsid w:val="0018716D"/>
    <w:rsid w:val="0018775C"/>
    <w:rsid w:val="00187DAE"/>
    <w:rsid w:val="001903EF"/>
    <w:rsid w:val="00190B28"/>
    <w:rsid w:val="00191332"/>
    <w:rsid w:val="00191A6E"/>
    <w:rsid w:val="00191B0F"/>
    <w:rsid w:val="00191BB6"/>
    <w:rsid w:val="00191BFA"/>
    <w:rsid w:val="00191D8F"/>
    <w:rsid w:val="00191FD5"/>
    <w:rsid w:val="00192AE8"/>
    <w:rsid w:val="00193017"/>
    <w:rsid w:val="0019543C"/>
    <w:rsid w:val="00195496"/>
    <w:rsid w:val="001956EB"/>
    <w:rsid w:val="001956FC"/>
    <w:rsid w:val="00195830"/>
    <w:rsid w:val="00195CC0"/>
    <w:rsid w:val="00195EA5"/>
    <w:rsid w:val="001963CB"/>
    <w:rsid w:val="0019682E"/>
    <w:rsid w:val="00196C15"/>
    <w:rsid w:val="00196D3A"/>
    <w:rsid w:val="00197A78"/>
    <w:rsid w:val="001A0563"/>
    <w:rsid w:val="001A0A27"/>
    <w:rsid w:val="001A0AAE"/>
    <w:rsid w:val="001A0AC9"/>
    <w:rsid w:val="001A14AE"/>
    <w:rsid w:val="001A1571"/>
    <w:rsid w:val="001A222C"/>
    <w:rsid w:val="001A271A"/>
    <w:rsid w:val="001A298C"/>
    <w:rsid w:val="001A2B3B"/>
    <w:rsid w:val="001A3D17"/>
    <w:rsid w:val="001A3E20"/>
    <w:rsid w:val="001A4794"/>
    <w:rsid w:val="001A48A9"/>
    <w:rsid w:val="001A49F3"/>
    <w:rsid w:val="001A5DF1"/>
    <w:rsid w:val="001A5E2A"/>
    <w:rsid w:val="001A5F46"/>
    <w:rsid w:val="001A629F"/>
    <w:rsid w:val="001A63EA"/>
    <w:rsid w:val="001A686F"/>
    <w:rsid w:val="001B0373"/>
    <w:rsid w:val="001B0412"/>
    <w:rsid w:val="001B04CF"/>
    <w:rsid w:val="001B0A52"/>
    <w:rsid w:val="001B0E5B"/>
    <w:rsid w:val="001B1A8E"/>
    <w:rsid w:val="001B1AD0"/>
    <w:rsid w:val="001B21DA"/>
    <w:rsid w:val="001B25BD"/>
    <w:rsid w:val="001B3407"/>
    <w:rsid w:val="001B3AD1"/>
    <w:rsid w:val="001B4556"/>
    <w:rsid w:val="001B4AFA"/>
    <w:rsid w:val="001B4F41"/>
    <w:rsid w:val="001B5028"/>
    <w:rsid w:val="001B5297"/>
    <w:rsid w:val="001B5911"/>
    <w:rsid w:val="001B5C03"/>
    <w:rsid w:val="001B5F0D"/>
    <w:rsid w:val="001B5FF0"/>
    <w:rsid w:val="001B6ADF"/>
    <w:rsid w:val="001B6CCA"/>
    <w:rsid w:val="001B741F"/>
    <w:rsid w:val="001B7D0D"/>
    <w:rsid w:val="001B7D6C"/>
    <w:rsid w:val="001C04E6"/>
    <w:rsid w:val="001C0614"/>
    <w:rsid w:val="001C0982"/>
    <w:rsid w:val="001C0FCD"/>
    <w:rsid w:val="001C1255"/>
    <w:rsid w:val="001C1311"/>
    <w:rsid w:val="001C1BE0"/>
    <w:rsid w:val="001C1CB6"/>
    <w:rsid w:val="001C28F4"/>
    <w:rsid w:val="001C2BEC"/>
    <w:rsid w:val="001C36C5"/>
    <w:rsid w:val="001C37DD"/>
    <w:rsid w:val="001C3C53"/>
    <w:rsid w:val="001C46BF"/>
    <w:rsid w:val="001C4856"/>
    <w:rsid w:val="001C4C07"/>
    <w:rsid w:val="001C4D1A"/>
    <w:rsid w:val="001C4E9C"/>
    <w:rsid w:val="001C594A"/>
    <w:rsid w:val="001C69D5"/>
    <w:rsid w:val="001C7322"/>
    <w:rsid w:val="001D0022"/>
    <w:rsid w:val="001D04FC"/>
    <w:rsid w:val="001D05D5"/>
    <w:rsid w:val="001D094C"/>
    <w:rsid w:val="001D19F8"/>
    <w:rsid w:val="001D1C2F"/>
    <w:rsid w:val="001D245D"/>
    <w:rsid w:val="001D29B2"/>
    <w:rsid w:val="001D2B19"/>
    <w:rsid w:val="001D2DAF"/>
    <w:rsid w:val="001D2EE9"/>
    <w:rsid w:val="001D371F"/>
    <w:rsid w:val="001D3962"/>
    <w:rsid w:val="001D3E5B"/>
    <w:rsid w:val="001D417D"/>
    <w:rsid w:val="001D420B"/>
    <w:rsid w:val="001D4514"/>
    <w:rsid w:val="001D4AD9"/>
    <w:rsid w:val="001D5058"/>
    <w:rsid w:val="001D5090"/>
    <w:rsid w:val="001D57AC"/>
    <w:rsid w:val="001D6016"/>
    <w:rsid w:val="001D71E6"/>
    <w:rsid w:val="001D7933"/>
    <w:rsid w:val="001D79F3"/>
    <w:rsid w:val="001E02ED"/>
    <w:rsid w:val="001E0413"/>
    <w:rsid w:val="001E0609"/>
    <w:rsid w:val="001E0BF4"/>
    <w:rsid w:val="001E0C35"/>
    <w:rsid w:val="001E0C93"/>
    <w:rsid w:val="001E132F"/>
    <w:rsid w:val="001E1A84"/>
    <w:rsid w:val="001E276A"/>
    <w:rsid w:val="001E2AF7"/>
    <w:rsid w:val="001E2D62"/>
    <w:rsid w:val="001E2F31"/>
    <w:rsid w:val="001E30DA"/>
    <w:rsid w:val="001E377E"/>
    <w:rsid w:val="001E3D34"/>
    <w:rsid w:val="001E4540"/>
    <w:rsid w:val="001E4B44"/>
    <w:rsid w:val="001E4F82"/>
    <w:rsid w:val="001E54CA"/>
    <w:rsid w:val="001E57D3"/>
    <w:rsid w:val="001E5A55"/>
    <w:rsid w:val="001E66C9"/>
    <w:rsid w:val="001E68ED"/>
    <w:rsid w:val="001E691F"/>
    <w:rsid w:val="001E71E2"/>
    <w:rsid w:val="001E7396"/>
    <w:rsid w:val="001E7CE6"/>
    <w:rsid w:val="001E7D02"/>
    <w:rsid w:val="001E7DB1"/>
    <w:rsid w:val="001F00C9"/>
    <w:rsid w:val="001F1B35"/>
    <w:rsid w:val="001F1C2A"/>
    <w:rsid w:val="001F1D92"/>
    <w:rsid w:val="001F1ED3"/>
    <w:rsid w:val="001F1F80"/>
    <w:rsid w:val="001F2160"/>
    <w:rsid w:val="001F31D5"/>
    <w:rsid w:val="001F364B"/>
    <w:rsid w:val="001F4488"/>
    <w:rsid w:val="001F4C0A"/>
    <w:rsid w:val="001F5885"/>
    <w:rsid w:val="001F59BB"/>
    <w:rsid w:val="001F63FC"/>
    <w:rsid w:val="001F705B"/>
    <w:rsid w:val="001F77A1"/>
    <w:rsid w:val="002005E1"/>
    <w:rsid w:val="00200A33"/>
    <w:rsid w:val="002013E0"/>
    <w:rsid w:val="00201AAA"/>
    <w:rsid w:val="00201BBA"/>
    <w:rsid w:val="002020E8"/>
    <w:rsid w:val="0020272E"/>
    <w:rsid w:val="00203194"/>
    <w:rsid w:val="0020345F"/>
    <w:rsid w:val="00203A71"/>
    <w:rsid w:val="00203C9A"/>
    <w:rsid w:val="002041CF"/>
    <w:rsid w:val="00205051"/>
    <w:rsid w:val="00205836"/>
    <w:rsid w:val="00205E97"/>
    <w:rsid w:val="00206CC2"/>
    <w:rsid w:val="00206E10"/>
    <w:rsid w:val="00206FD4"/>
    <w:rsid w:val="0020779C"/>
    <w:rsid w:val="00207F32"/>
    <w:rsid w:val="00210C35"/>
    <w:rsid w:val="0021267D"/>
    <w:rsid w:val="00212F03"/>
    <w:rsid w:val="002131FE"/>
    <w:rsid w:val="00213536"/>
    <w:rsid w:val="00213938"/>
    <w:rsid w:val="00213B25"/>
    <w:rsid w:val="00213C03"/>
    <w:rsid w:val="0021426E"/>
    <w:rsid w:val="002147F3"/>
    <w:rsid w:val="00214CAF"/>
    <w:rsid w:val="00215000"/>
    <w:rsid w:val="00215307"/>
    <w:rsid w:val="00215C08"/>
    <w:rsid w:val="002164B6"/>
    <w:rsid w:val="002165E1"/>
    <w:rsid w:val="00217567"/>
    <w:rsid w:val="00217DD3"/>
    <w:rsid w:val="002200F5"/>
    <w:rsid w:val="0022066A"/>
    <w:rsid w:val="00220BAF"/>
    <w:rsid w:val="002219D5"/>
    <w:rsid w:val="00221AB9"/>
    <w:rsid w:val="00221BE6"/>
    <w:rsid w:val="002224FE"/>
    <w:rsid w:val="00222672"/>
    <w:rsid w:val="00222BB2"/>
    <w:rsid w:val="00222DCA"/>
    <w:rsid w:val="00223C68"/>
    <w:rsid w:val="00223E08"/>
    <w:rsid w:val="002242E8"/>
    <w:rsid w:val="00224691"/>
    <w:rsid w:val="00224C6A"/>
    <w:rsid w:val="00224D77"/>
    <w:rsid w:val="0022606B"/>
    <w:rsid w:val="0022623B"/>
    <w:rsid w:val="0022635D"/>
    <w:rsid w:val="002265BA"/>
    <w:rsid w:val="00226643"/>
    <w:rsid w:val="00226CB3"/>
    <w:rsid w:val="00226D15"/>
    <w:rsid w:val="00226FCF"/>
    <w:rsid w:val="00227278"/>
    <w:rsid w:val="00227A83"/>
    <w:rsid w:val="00227B1F"/>
    <w:rsid w:val="00227BC3"/>
    <w:rsid w:val="002305C7"/>
    <w:rsid w:val="00231CA6"/>
    <w:rsid w:val="00232210"/>
    <w:rsid w:val="00232EE1"/>
    <w:rsid w:val="002332E8"/>
    <w:rsid w:val="0023371B"/>
    <w:rsid w:val="00233723"/>
    <w:rsid w:val="00233E7B"/>
    <w:rsid w:val="002342B6"/>
    <w:rsid w:val="0023451F"/>
    <w:rsid w:val="00235386"/>
    <w:rsid w:val="00235767"/>
    <w:rsid w:val="00235C91"/>
    <w:rsid w:val="00235CDC"/>
    <w:rsid w:val="00240708"/>
    <w:rsid w:val="00241060"/>
    <w:rsid w:val="00241203"/>
    <w:rsid w:val="002416A7"/>
    <w:rsid w:val="00241E97"/>
    <w:rsid w:val="0024221E"/>
    <w:rsid w:val="00242284"/>
    <w:rsid w:val="002427BC"/>
    <w:rsid w:val="00242927"/>
    <w:rsid w:val="00242DFE"/>
    <w:rsid w:val="00242F52"/>
    <w:rsid w:val="0024560A"/>
    <w:rsid w:val="00245996"/>
    <w:rsid w:val="002466CE"/>
    <w:rsid w:val="00246C26"/>
    <w:rsid w:val="00246EEE"/>
    <w:rsid w:val="00247406"/>
    <w:rsid w:val="0024779D"/>
    <w:rsid w:val="00247997"/>
    <w:rsid w:val="00247A4A"/>
    <w:rsid w:val="002506D4"/>
    <w:rsid w:val="00251231"/>
    <w:rsid w:val="002515C8"/>
    <w:rsid w:val="00251827"/>
    <w:rsid w:val="00251E04"/>
    <w:rsid w:val="002520EB"/>
    <w:rsid w:val="002527C3"/>
    <w:rsid w:val="00252809"/>
    <w:rsid w:val="00252A9E"/>
    <w:rsid w:val="00252EE8"/>
    <w:rsid w:val="00253067"/>
    <w:rsid w:val="002538DF"/>
    <w:rsid w:val="00253BAB"/>
    <w:rsid w:val="00253C96"/>
    <w:rsid w:val="00253D77"/>
    <w:rsid w:val="00254E3C"/>
    <w:rsid w:val="0025505C"/>
    <w:rsid w:val="002551F9"/>
    <w:rsid w:val="00255A56"/>
    <w:rsid w:val="00255B92"/>
    <w:rsid w:val="00255CDE"/>
    <w:rsid w:val="00255CE3"/>
    <w:rsid w:val="00256049"/>
    <w:rsid w:val="00256B7B"/>
    <w:rsid w:val="00256E39"/>
    <w:rsid w:val="0025742D"/>
    <w:rsid w:val="0025755D"/>
    <w:rsid w:val="00260324"/>
    <w:rsid w:val="00260811"/>
    <w:rsid w:val="00261311"/>
    <w:rsid w:val="002618CD"/>
    <w:rsid w:val="00261A8D"/>
    <w:rsid w:val="00261ED7"/>
    <w:rsid w:val="002623EA"/>
    <w:rsid w:val="00262696"/>
    <w:rsid w:val="00262854"/>
    <w:rsid w:val="00262A0B"/>
    <w:rsid w:val="0026370D"/>
    <w:rsid w:val="00264236"/>
    <w:rsid w:val="00264514"/>
    <w:rsid w:val="00264A5B"/>
    <w:rsid w:val="00264ECD"/>
    <w:rsid w:val="00265615"/>
    <w:rsid w:val="0026606A"/>
    <w:rsid w:val="002664D0"/>
    <w:rsid w:val="0026659F"/>
    <w:rsid w:val="00266B93"/>
    <w:rsid w:val="00267C7F"/>
    <w:rsid w:val="00270496"/>
    <w:rsid w:val="002704CC"/>
    <w:rsid w:val="00270556"/>
    <w:rsid w:val="002707F8"/>
    <w:rsid w:val="00270E8B"/>
    <w:rsid w:val="00270F03"/>
    <w:rsid w:val="002716F3"/>
    <w:rsid w:val="00271A7B"/>
    <w:rsid w:val="002731A8"/>
    <w:rsid w:val="00273DE2"/>
    <w:rsid w:val="0027408B"/>
    <w:rsid w:val="0027425C"/>
    <w:rsid w:val="002742FA"/>
    <w:rsid w:val="00274655"/>
    <w:rsid w:val="002751CF"/>
    <w:rsid w:val="0027536C"/>
    <w:rsid w:val="00275A16"/>
    <w:rsid w:val="00275CC2"/>
    <w:rsid w:val="00276086"/>
    <w:rsid w:val="002766C4"/>
    <w:rsid w:val="002766D9"/>
    <w:rsid w:val="002767C9"/>
    <w:rsid w:val="00276E5D"/>
    <w:rsid w:val="002770B6"/>
    <w:rsid w:val="00277A91"/>
    <w:rsid w:val="002808F7"/>
    <w:rsid w:val="00280C4C"/>
    <w:rsid w:val="00281054"/>
    <w:rsid w:val="00281345"/>
    <w:rsid w:val="002815F4"/>
    <w:rsid w:val="002818F8"/>
    <w:rsid w:val="002826BA"/>
    <w:rsid w:val="00282E57"/>
    <w:rsid w:val="00282EBE"/>
    <w:rsid w:val="00282FCA"/>
    <w:rsid w:val="00283076"/>
    <w:rsid w:val="002835C4"/>
    <w:rsid w:val="00284408"/>
    <w:rsid w:val="00284B74"/>
    <w:rsid w:val="00284BCC"/>
    <w:rsid w:val="00285BFF"/>
    <w:rsid w:val="00285EBB"/>
    <w:rsid w:val="00285FB5"/>
    <w:rsid w:val="002865CF"/>
    <w:rsid w:val="00286AB9"/>
    <w:rsid w:val="00286CA7"/>
    <w:rsid w:val="00287156"/>
    <w:rsid w:val="002871F1"/>
    <w:rsid w:val="002876A5"/>
    <w:rsid w:val="002876EF"/>
    <w:rsid w:val="00287C07"/>
    <w:rsid w:val="00287D4B"/>
    <w:rsid w:val="0029023A"/>
    <w:rsid w:val="002902F5"/>
    <w:rsid w:val="002903A9"/>
    <w:rsid w:val="002904E1"/>
    <w:rsid w:val="0029253F"/>
    <w:rsid w:val="00292636"/>
    <w:rsid w:val="00292BD9"/>
    <w:rsid w:val="00292DEF"/>
    <w:rsid w:val="00292F59"/>
    <w:rsid w:val="00293075"/>
    <w:rsid w:val="002934E7"/>
    <w:rsid w:val="002951EA"/>
    <w:rsid w:val="0029538D"/>
    <w:rsid w:val="00295B73"/>
    <w:rsid w:val="00296192"/>
    <w:rsid w:val="002968C9"/>
    <w:rsid w:val="00297173"/>
    <w:rsid w:val="00297B61"/>
    <w:rsid w:val="00297CB2"/>
    <w:rsid w:val="00297D8D"/>
    <w:rsid w:val="00297E45"/>
    <w:rsid w:val="00297F26"/>
    <w:rsid w:val="002A08D5"/>
    <w:rsid w:val="002A1311"/>
    <w:rsid w:val="002A13BF"/>
    <w:rsid w:val="002A244D"/>
    <w:rsid w:val="002A27A4"/>
    <w:rsid w:val="002A2B3F"/>
    <w:rsid w:val="002A31BB"/>
    <w:rsid w:val="002A3FFF"/>
    <w:rsid w:val="002A4DD9"/>
    <w:rsid w:val="002A5631"/>
    <w:rsid w:val="002A59B0"/>
    <w:rsid w:val="002A5A34"/>
    <w:rsid w:val="002A6148"/>
    <w:rsid w:val="002A6CFD"/>
    <w:rsid w:val="002A6D07"/>
    <w:rsid w:val="002A707B"/>
    <w:rsid w:val="002B00CD"/>
    <w:rsid w:val="002B016B"/>
    <w:rsid w:val="002B0AFB"/>
    <w:rsid w:val="002B0C47"/>
    <w:rsid w:val="002B1881"/>
    <w:rsid w:val="002B1F27"/>
    <w:rsid w:val="002B209B"/>
    <w:rsid w:val="002B232F"/>
    <w:rsid w:val="002B2B0A"/>
    <w:rsid w:val="002B2B59"/>
    <w:rsid w:val="002B2D11"/>
    <w:rsid w:val="002B2DE3"/>
    <w:rsid w:val="002B3089"/>
    <w:rsid w:val="002B3614"/>
    <w:rsid w:val="002B3CF9"/>
    <w:rsid w:val="002B3EA0"/>
    <w:rsid w:val="002B3EC8"/>
    <w:rsid w:val="002B4000"/>
    <w:rsid w:val="002B4D2E"/>
    <w:rsid w:val="002B54BD"/>
    <w:rsid w:val="002B5524"/>
    <w:rsid w:val="002B59FE"/>
    <w:rsid w:val="002B5D6C"/>
    <w:rsid w:val="002B5DF1"/>
    <w:rsid w:val="002B5E5B"/>
    <w:rsid w:val="002B6834"/>
    <w:rsid w:val="002B7101"/>
    <w:rsid w:val="002B71B1"/>
    <w:rsid w:val="002B725E"/>
    <w:rsid w:val="002B792F"/>
    <w:rsid w:val="002C0212"/>
    <w:rsid w:val="002C08D9"/>
    <w:rsid w:val="002C0B24"/>
    <w:rsid w:val="002C104B"/>
    <w:rsid w:val="002C1187"/>
    <w:rsid w:val="002C11A0"/>
    <w:rsid w:val="002C183D"/>
    <w:rsid w:val="002C1C66"/>
    <w:rsid w:val="002C1EB2"/>
    <w:rsid w:val="002C2670"/>
    <w:rsid w:val="002C2AEC"/>
    <w:rsid w:val="002C3348"/>
    <w:rsid w:val="002C45A2"/>
    <w:rsid w:val="002C49BA"/>
    <w:rsid w:val="002C4D03"/>
    <w:rsid w:val="002C4DFA"/>
    <w:rsid w:val="002C5323"/>
    <w:rsid w:val="002C5902"/>
    <w:rsid w:val="002C64E0"/>
    <w:rsid w:val="002C6DE4"/>
    <w:rsid w:val="002C75AA"/>
    <w:rsid w:val="002C76EB"/>
    <w:rsid w:val="002D015B"/>
    <w:rsid w:val="002D01A5"/>
    <w:rsid w:val="002D03B6"/>
    <w:rsid w:val="002D03F9"/>
    <w:rsid w:val="002D14A6"/>
    <w:rsid w:val="002D1501"/>
    <w:rsid w:val="002D1C91"/>
    <w:rsid w:val="002D3F03"/>
    <w:rsid w:val="002D41A6"/>
    <w:rsid w:val="002D48D2"/>
    <w:rsid w:val="002D5073"/>
    <w:rsid w:val="002D52C1"/>
    <w:rsid w:val="002D5F8B"/>
    <w:rsid w:val="002D68CE"/>
    <w:rsid w:val="002D6E45"/>
    <w:rsid w:val="002D7127"/>
    <w:rsid w:val="002D7A41"/>
    <w:rsid w:val="002D7B67"/>
    <w:rsid w:val="002D7D72"/>
    <w:rsid w:val="002E047F"/>
    <w:rsid w:val="002E0575"/>
    <w:rsid w:val="002E05BD"/>
    <w:rsid w:val="002E0994"/>
    <w:rsid w:val="002E0F0D"/>
    <w:rsid w:val="002E0F40"/>
    <w:rsid w:val="002E193A"/>
    <w:rsid w:val="002E1C6A"/>
    <w:rsid w:val="002E288E"/>
    <w:rsid w:val="002E2FCA"/>
    <w:rsid w:val="002E31D7"/>
    <w:rsid w:val="002E3532"/>
    <w:rsid w:val="002E373B"/>
    <w:rsid w:val="002E3A45"/>
    <w:rsid w:val="002E3FB4"/>
    <w:rsid w:val="002E4055"/>
    <w:rsid w:val="002E41EF"/>
    <w:rsid w:val="002E47F8"/>
    <w:rsid w:val="002E5AF3"/>
    <w:rsid w:val="002E60CB"/>
    <w:rsid w:val="002E60F6"/>
    <w:rsid w:val="002E644C"/>
    <w:rsid w:val="002E65DD"/>
    <w:rsid w:val="002E6830"/>
    <w:rsid w:val="002E7342"/>
    <w:rsid w:val="002E7370"/>
    <w:rsid w:val="002E73D4"/>
    <w:rsid w:val="002E7E35"/>
    <w:rsid w:val="002F0127"/>
    <w:rsid w:val="002F025D"/>
    <w:rsid w:val="002F02E8"/>
    <w:rsid w:val="002F0602"/>
    <w:rsid w:val="002F0F22"/>
    <w:rsid w:val="002F1017"/>
    <w:rsid w:val="002F132F"/>
    <w:rsid w:val="002F19C9"/>
    <w:rsid w:val="002F1A61"/>
    <w:rsid w:val="002F1F67"/>
    <w:rsid w:val="002F29B6"/>
    <w:rsid w:val="002F29EF"/>
    <w:rsid w:val="002F2B06"/>
    <w:rsid w:val="002F2F54"/>
    <w:rsid w:val="002F3D6E"/>
    <w:rsid w:val="002F411B"/>
    <w:rsid w:val="002F4C53"/>
    <w:rsid w:val="002F4C8A"/>
    <w:rsid w:val="002F4CC2"/>
    <w:rsid w:val="002F4DDF"/>
    <w:rsid w:val="002F57E0"/>
    <w:rsid w:val="002F58B5"/>
    <w:rsid w:val="002F5CE1"/>
    <w:rsid w:val="002F673E"/>
    <w:rsid w:val="002F6CEA"/>
    <w:rsid w:val="002F77D7"/>
    <w:rsid w:val="0030015F"/>
    <w:rsid w:val="003004F3"/>
    <w:rsid w:val="00300F17"/>
    <w:rsid w:val="003013C5"/>
    <w:rsid w:val="00301655"/>
    <w:rsid w:val="00301A7B"/>
    <w:rsid w:val="00301ACD"/>
    <w:rsid w:val="003021EE"/>
    <w:rsid w:val="00302624"/>
    <w:rsid w:val="00302B6A"/>
    <w:rsid w:val="003031DF"/>
    <w:rsid w:val="0030351A"/>
    <w:rsid w:val="0030381D"/>
    <w:rsid w:val="003042C7"/>
    <w:rsid w:val="00304A24"/>
    <w:rsid w:val="003051FA"/>
    <w:rsid w:val="0030572A"/>
    <w:rsid w:val="00305742"/>
    <w:rsid w:val="00305E7E"/>
    <w:rsid w:val="0030651F"/>
    <w:rsid w:val="0030680C"/>
    <w:rsid w:val="00306870"/>
    <w:rsid w:val="00306933"/>
    <w:rsid w:val="00306F0F"/>
    <w:rsid w:val="0030702C"/>
    <w:rsid w:val="00307063"/>
    <w:rsid w:val="00307309"/>
    <w:rsid w:val="0031043D"/>
    <w:rsid w:val="003104DA"/>
    <w:rsid w:val="00310623"/>
    <w:rsid w:val="00310677"/>
    <w:rsid w:val="00310CD0"/>
    <w:rsid w:val="0031135E"/>
    <w:rsid w:val="00311707"/>
    <w:rsid w:val="00311ADD"/>
    <w:rsid w:val="00312220"/>
    <w:rsid w:val="0031243B"/>
    <w:rsid w:val="003125FE"/>
    <w:rsid w:val="00312982"/>
    <w:rsid w:val="00312B98"/>
    <w:rsid w:val="00313544"/>
    <w:rsid w:val="00313563"/>
    <w:rsid w:val="00313DC8"/>
    <w:rsid w:val="00313EF2"/>
    <w:rsid w:val="00314119"/>
    <w:rsid w:val="00314234"/>
    <w:rsid w:val="0031427F"/>
    <w:rsid w:val="003143C5"/>
    <w:rsid w:val="0031444D"/>
    <w:rsid w:val="00315811"/>
    <w:rsid w:val="00315911"/>
    <w:rsid w:val="00317025"/>
    <w:rsid w:val="00317A8E"/>
    <w:rsid w:val="00317C72"/>
    <w:rsid w:val="0032016A"/>
    <w:rsid w:val="003218C9"/>
    <w:rsid w:val="00321A37"/>
    <w:rsid w:val="00321C58"/>
    <w:rsid w:val="00321D83"/>
    <w:rsid w:val="00321EE7"/>
    <w:rsid w:val="00322558"/>
    <w:rsid w:val="00322B9D"/>
    <w:rsid w:val="00322E8C"/>
    <w:rsid w:val="00322FE8"/>
    <w:rsid w:val="00323760"/>
    <w:rsid w:val="003239BD"/>
    <w:rsid w:val="00323B1C"/>
    <w:rsid w:val="00323DD9"/>
    <w:rsid w:val="003243EB"/>
    <w:rsid w:val="00325626"/>
    <w:rsid w:val="00325B09"/>
    <w:rsid w:val="00325E27"/>
    <w:rsid w:val="003262D6"/>
    <w:rsid w:val="00326407"/>
    <w:rsid w:val="003266C1"/>
    <w:rsid w:val="003267F8"/>
    <w:rsid w:val="003278FC"/>
    <w:rsid w:val="003310E1"/>
    <w:rsid w:val="00331266"/>
    <w:rsid w:val="00331783"/>
    <w:rsid w:val="0033193D"/>
    <w:rsid w:val="00331B90"/>
    <w:rsid w:val="003324ED"/>
    <w:rsid w:val="0033292F"/>
    <w:rsid w:val="00332AF4"/>
    <w:rsid w:val="00332BA1"/>
    <w:rsid w:val="00332DE4"/>
    <w:rsid w:val="00333680"/>
    <w:rsid w:val="00333EA1"/>
    <w:rsid w:val="00333FFA"/>
    <w:rsid w:val="0033420D"/>
    <w:rsid w:val="00334754"/>
    <w:rsid w:val="00334DA4"/>
    <w:rsid w:val="00334EC2"/>
    <w:rsid w:val="003350B9"/>
    <w:rsid w:val="003363B1"/>
    <w:rsid w:val="00336748"/>
    <w:rsid w:val="00336E4F"/>
    <w:rsid w:val="003377C3"/>
    <w:rsid w:val="0033785B"/>
    <w:rsid w:val="00340AF7"/>
    <w:rsid w:val="0034176D"/>
    <w:rsid w:val="00342010"/>
    <w:rsid w:val="003420BF"/>
    <w:rsid w:val="00342385"/>
    <w:rsid w:val="003428CC"/>
    <w:rsid w:val="00342B9C"/>
    <w:rsid w:val="003430C8"/>
    <w:rsid w:val="003434B3"/>
    <w:rsid w:val="003437F7"/>
    <w:rsid w:val="00343969"/>
    <w:rsid w:val="003439A6"/>
    <w:rsid w:val="00344057"/>
    <w:rsid w:val="00345024"/>
    <w:rsid w:val="0034531E"/>
    <w:rsid w:val="003453EB"/>
    <w:rsid w:val="003455A6"/>
    <w:rsid w:val="003456AC"/>
    <w:rsid w:val="00345AD5"/>
    <w:rsid w:val="00345AE6"/>
    <w:rsid w:val="00346926"/>
    <w:rsid w:val="00346A5E"/>
    <w:rsid w:val="00346C2B"/>
    <w:rsid w:val="00346D9F"/>
    <w:rsid w:val="00346DE3"/>
    <w:rsid w:val="00347125"/>
    <w:rsid w:val="003478CF"/>
    <w:rsid w:val="00347940"/>
    <w:rsid w:val="00347AC6"/>
    <w:rsid w:val="00350694"/>
    <w:rsid w:val="003507B6"/>
    <w:rsid w:val="00350D97"/>
    <w:rsid w:val="00350E19"/>
    <w:rsid w:val="00351734"/>
    <w:rsid w:val="0035179D"/>
    <w:rsid w:val="00351C8D"/>
    <w:rsid w:val="00351EE1"/>
    <w:rsid w:val="003520AE"/>
    <w:rsid w:val="003522EC"/>
    <w:rsid w:val="00352570"/>
    <w:rsid w:val="003525FA"/>
    <w:rsid w:val="00352B32"/>
    <w:rsid w:val="00352C11"/>
    <w:rsid w:val="00352E5B"/>
    <w:rsid w:val="00353981"/>
    <w:rsid w:val="00353A39"/>
    <w:rsid w:val="00353C1E"/>
    <w:rsid w:val="00353FF4"/>
    <w:rsid w:val="003542FD"/>
    <w:rsid w:val="003543C9"/>
    <w:rsid w:val="0035461A"/>
    <w:rsid w:val="00354AB4"/>
    <w:rsid w:val="0035505C"/>
    <w:rsid w:val="003551B6"/>
    <w:rsid w:val="0035525A"/>
    <w:rsid w:val="00355FCB"/>
    <w:rsid w:val="00357646"/>
    <w:rsid w:val="00357754"/>
    <w:rsid w:val="003577EA"/>
    <w:rsid w:val="0035783C"/>
    <w:rsid w:val="00360012"/>
    <w:rsid w:val="00360A11"/>
    <w:rsid w:val="003619F4"/>
    <w:rsid w:val="003621F4"/>
    <w:rsid w:val="003623F4"/>
    <w:rsid w:val="00363432"/>
    <w:rsid w:val="003639B4"/>
    <w:rsid w:val="003644AC"/>
    <w:rsid w:val="003648E7"/>
    <w:rsid w:val="00365251"/>
    <w:rsid w:val="003657FB"/>
    <w:rsid w:val="003660C8"/>
    <w:rsid w:val="00366198"/>
    <w:rsid w:val="0036696F"/>
    <w:rsid w:val="00367191"/>
    <w:rsid w:val="0036776C"/>
    <w:rsid w:val="00367A89"/>
    <w:rsid w:val="00367BF3"/>
    <w:rsid w:val="00370148"/>
    <w:rsid w:val="003701DE"/>
    <w:rsid w:val="0037061B"/>
    <w:rsid w:val="00370D6C"/>
    <w:rsid w:val="0037284B"/>
    <w:rsid w:val="00372998"/>
    <w:rsid w:val="00372BB2"/>
    <w:rsid w:val="00372C25"/>
    <w:rsid w:val="00372FD2"/>
    <w:rsid w:val="00373056"/>
    <w:rsid w:val="0037306C"/>
    <w:rsid w:val="00373571"/>
    <w:rsid w:val="00373F0A"/>
    <w:rsid w:val="00373F96"/>
    <w:rsid w:val="003740BF"/>
    <w:rsid w:val="00374501"/>
    <w:rsid w:val="003746F0"/>
    <w:rsid w:val="00374808"/>
    <w:rsid w:val="003754B7"/>
    <w:rsid w:val="003758E1"/>
    <w:rsid w:val="00375F32"/>
    <w:rsid w:val="00376B78"/>
    <w:rsid w:val="00376B8B"/>
    <w:rsid w:val="00376C93"/>
    <w:rsid w:val="00376CD5"/>
    <w:rsid w:val="00376D4D"/>
    <w:rsid w:val="00377367"/>
    <w:rsid w:val="0038054B"/>
    <w:rsid w:val="00380665"/>
    <w:rsid w:val="00381549"/>
    <w:rsid w:val="00381E44"/>
    <w:rsid w:val="003820C0"/>
    <w:rsid w:val="00382203"/>
    <w:rsid w:val="00382CB1"/>
    <w:rsid w:val="00382F47"/>
    <w:rsid w:val="00383098"/>
    <w:rsid w:val="003837F1"/>
    <w:rsid w:val="003845C9"/>
    <w:rsid w:val="003857D5"/>
    <w:rsid w:val="003869D2"/>
    <w:rsid w:val="00386B7A"/>
    <w:rsid w:val="00386B98"/>
    <w:rsid w:val="0038712A"/>
    <w:rsid w:val="003875F3"/>
    <w:rsid w:val="003911C4"/>
    <w:rsid w:val="0039129F"/>
    <w:rsid w:val="00392322"/>
    <w:rsid w:val="003923BF"/>
    <w:rsid w:val="00392B8D"/>
    <w:rsid w:val="003933F1"/>
    <w:rsid w:val="0039346F"/>
    <w:rsid w:val="00393802"/>
    <w:rsid w:val="00393BAD"/>
    <w:rsid w:val="00393CE8"/>
    <w:rsid w:val="0039463A"/>
    <w:rsid w:val="00394722"/>
    <w:rsid w:val="00394781"/>
    <w:rsid w:val="00394B70"/>
    <w:rsid w:val="0039506C"/>
    <w:rsid w:val="003955FB"/>
    <w:rsid w:val="00395B30"/>
    <w:rsid w:val="00395FAE"/>
    <w:rsid w:val="00396207"/>
    <w:rsid w:val="003963EA"/>
    <w:rsid w:val="0039678B"/>
    <w:rsid w:val="00396C6F"/>
    <w:rsid w:val="00396C8F"/>
    <w:rsid w:val="00397F3F"/>
    <w:rsid w:val="003A06CE"/>
    <w:rsid w:val="003A0920"/>
    <w:rsid w:val="003A0AF3"/>
    <w:rsid w:val="003A122D"/>
    <w:rsid w:val="003A1ACD"/>
    <w:rsid w:val="003A1CE3"/>
    <w:rsid w:val="003A252D"/>
    <w:rsid w:val="003A28F2"/>
    <w:rsid w:val="003A2BEA"/>
    <w:rsid w:val="003A3047"/>
    <w:rsid w:val="003A3083"/>
    <w:rsid w:val="003A31CC"/>
    <w:rsid w:val="003A3866"/>
    <w:rsid w:val="003A3967"/>
    <w:rsid w:val="003A39B4"/>
    <w:rsid w:val="003A4034"/>
    <w:rsid w:val="003A4DEB"/>
    <w:rsid w:val="003A4E05"/>
    <w:rsid w:val="003A4E17"/>
    <w:rsid w:val="003A50D3"/>
    <w:rsid w:val="003A57CB"/>
    <w:rsid w:val="003A659A"/>
    <w:rsid w:val="003A67F8"/>
    <w:rsid w:val="003A6F7A"/>
    <w:rsid w:val="003A75D0"/>
    <w:rsid w:val="003A7703"/>
    <w:rsid w:val="003B0105"/>
    <w:rsid w:val="003B01ED"/>
    <w:rsid w:val="003B0A16"/>
    <w:rsid w:val="003B0C7D"/>
    <w:rsid w:val="003B0CA3"/>
    <w:rsid w:val="003B0E27"/>
    <w:rsid w:val="003B10E3"/>
    <w:rsid w:val="003B1176"/>
    <w:rsid w:val="003B1B84"/>
    <w:rsid w:val="003B1F4C"/>
    <w:rsid w:val="003B2633"/>
    <w:rsid w:val="003B26C9"/>
    <w:rsid w:val="003B28DB"/>
    <w:rsid w:val="003B2B84"/>
    <w:rsid w:val="003B2F14"/>
    <w:rsid w:val="003B30D9"/>
    <w:rsid w:val="003B3161"/>
    <w:rsid w:val="003B36F5"/>
    <w:rsid w:val="003B3C03"/>
    <w:rsid w:val="003B491E"/>
    <w:rsid w:val="003B4CD0"/>
    <w:rsid w:val="003B59BC"/>
    <w:rsid w:val="003B5A3E"/>
    <w:rsid w:val="003B5BF2"/>
    <w:rsid w:val="003B6626"/>
    <w:rsid w:val="003B6978"/>
    <w:rsid w:val="003B72D1"/>
    <w:rsid w:val="003B7578"/>
    <w:rsid w:val="003B7A6E"/>
    <w:rsid w:val="003B7B27"/>
    <w:rsid w:val="003C094A"/>
    <w:rsid w:val="003C0A3D"/>
    <w:rsid w:val="003C246A"/>
    <w:rsid w:val="003C2B72"/>
    <w:rsid w:val="003C2DB0"/>
    <w:rsid w:val="003C2F5F"/>
    <w:rsid w:val="003C315F"/>
    <w:rsid w:val="003C32B3"/>
    <w:rsid w:val="003C444D"/>
    <w:rsid w:val="003C4B9B"/>
    <w:rsid w:val="003C54E0"/>
    <w:rsid w:val="003C5659"/>
    <w:rsid w:val="003C61DB"/>
    <w:rsid w:val="003C7CBA"/>
    <w:rsid w:val="003C7D87"/>
    <w:rsid w:val="003D03C7"/>
    <w:rsid w:val="003D0A5E"/>
    <w:rsid w:val="003D0D9B"/>
    <w:rsid w:val="003D1426"/>
    <w:rsid w:val="003D19A6"/>
    <w:rsid w:val="003D1E78"/>
    <w:rsid w:val="003D2161"/>
    <w:rsid w:val="003D241D"/>
    <w:rsid w:val="003D305E"/>
    <w:rsid w:val="003D3163"/>
    <w:rsid w:val="003D356D"/>
    <w:rsid w:val="003D38F2"/>
    <w:rsid w:val="003D3FC7"/>
    <w:rsid w:val="003D4182"/>
    <w:rsid w:val="003D4DB7"/>
    <w:rsid w:val="003D4E89"/>
    <w:rsid w:val="003D4EC7"/>
    <w:rsid w:val="003D536B"/>
    <w:rsid w:val="003D5590"/>
    <w:rsid w:val="003D582C"/>
    <w:rsid w:val="003D5EB8"/>
    <w:rsid w:val="003D6188"/>
    <w:rsid w:val="003D6D97"/>
    <w:rsid w:val="003D7E61"/>
    <w:rsid w:val="003E017F"/>
    <w:rsid w:val="003E080A"/>
    <w:rsid w:val="003E15D6"/>
    <w:rsid w:val="003E167A"/>
    <w:rsid w:val="003E1886"/>
    <w:rsid w:val="003E1E3B"/>
    <w:rsid w:val="003E2495"/>
    <w:rsid w:val="003E2ED3"/>
    <w:rsid w:val="003E3601"/>
    <w:rsid w:val="003E4E15"/>
    <w:rsid w:val="003E55C8"/>
    <w:rsid w:val="003E5F81"/>
    <w:rsid w:val="003E61ED"/>
    <w:rsid w:val="003E6827"/>
    <w:rsid w:val="003E6BE6"/>
    <w:rsid w:val="003E7012"/>
    <w:rsid w:val="003E70E6"/>
    <w:rsid w:val="003E7471"/>
    <w:rsid w:val="003E7B27"/>
    <w:rsid w:val="003F0246"/>
    <w:rsid w:val="003F0714"/>
    <w:rsid w:val="003F07AF"/>
    <w:rsid w:val="003F07FF"/>
    <w:rsid w:val="003F08F4"/>
    <w:rsid w:val="003F0BC5"/>
    <w:rsid w:val="003F273B"/>
    <w:rsid w:val="003F2E9F"/>
    <w:rsid w:val="003F2EF2"/>
    <w:rsid w:val="003F352B"/>
    <w:rsid w:val="003F3D23"/>
    <w:rsid w:val="003F3F30"/>
    <w:rsid w:val="003F423D"/>
    <w:rsid w:val="003F45AF"/>
    <w:rsid w:val="003F45BB"/>
    <w:rsid w:val="003F4D5B"/>
    <w:rsid w:val="003F4E00"/>
    <w:rsid w:val="003F5014"/>
    <w:rsid w:val="003F50A5"/>
    <w:rsid w:val="003F5295"/>
    <w:rsid w:val="003F5CC8"/>
    <w:rsid w:val="003F5F60"/>
    <w:rsid w:val="003F6278"/>
    <w:rsid w:val="003F651B"/>
    <w:rsid w:val="003F6D76"/>
    <w:rsid w:val="003F76CE"/>
    <w:rsid w:val="003F773E"/>
    <w:rsid w:val="003F7D2A"/>
    <w:rsid w:val="00401280"/>
    <w:rsid w:val="0040169E"/>
    <w:rsid w:val="00401870"/>
    <w:rsid w:val="00401A27"/>
    <w:rsid w:val="00401E42"/>
    <w:rsid w:val="00401F1F"/>
    <w:rsid w:val="00402069"/>
    <w:rsid w:val="00402228"/>
    <w:rsid w:val="00402815"/>
    <w:rsid w:val="00402ADA"/>
    <w:rsid w:val="00402B47"/>
    <w:rsid w:val="00402D98"/>
    <w:rsid w:val="00403371"/>
    <w:rsid w:val="00403C0E"/>
    <w:rsid w:val="00403CBE"/>
    <w:rsid w:val="00403D3C"/>
    <w:rsid w:val="004042EA"/>
    <w:rsid w:val="0040446E"/>
    <w:rsid w:val="004058B0"/>
    <w:rsid w:val="00405C01"/>
    <w:rsid w:val="004060F7"/>
    <w:rsid w:val="00406636"/>
    <w:rsid w:val="0040678F"/>
    <w:rsid w:val="00406A1A"/>
    <w:rsid w:val="00406E32"/>
    <w:rsid w:val="00406E85"/>
    <w:rsid w:val="00406FBA"/>
    <w:rsid w:val="0040729E"/>
    <w:rsid w:val="00407423"/>
    <w:rsid w:val="00407938"/>
    <w:rsid w:val="0040798D"/>
    <w:rsid w:val="00407F18"/>
    <w:rsid w:val="00410057"/>
    <w:rsid w:val="00410058"/>
    <w:rsid w:val="00410256"/>
    <w:rsid w:val="00410379"/>
    <w:rsid w:val="004112D5"/>
    <w:rsid w:val="00411FC4"/>
    <w:rsid w:val="00412DDC"/>
    <w:rsid w:val="00413E33"/>
    <w:rsid w:val="00414BBC"/>
    <w:rsid w:val="0041511E"/>
    <w:rsid w:val="004151E5"/>
    <w:rsid w:val="004155F5"/>
    <w:rsid w:val="0041616D"/>
    <w:rsid w:val="00416EB6"/>
    <w:rsid w:val="00416F27"/>
    <w:rsid w:val="004171A6"/>
    <w:rsid w:val="00417941"/>
    <w:rsid w:val="00417986"/>
    <w:rsid w:val="004203DF"/>
    <w:rsid w:val="0042069E"/>
    <w:rsid w:val="00420AA8"/>
    <w:rsid w:val="00421713"/>
    <w:rsid w:val="00421B08"/>
    <w:rsid w:val="00421CA6"/>
    <w:rsid w:val="0042250D"/>
    <w:rsid w:val="00422C14"/>
    <w:rsid w:val="004231A8"/>
    <w:rsid w:val="00423583"/>
    <w:rsid w:val="00423976"/>
    <w:rsid w:val="004239D3"/>
    <w:rsid w:val="00423B80"/>
    <w:rsid w:val="00423D20"/>
    <w:rsid w:val="00423F69"/>
    <w:rsid w:val="00424C3A"/>
    <w:rsid w:val="00424ED9"/>
    <w:rsid w:val="004251A2"/>
    <w:rsid w:val="004255E4"/>
    <w:rsid w:val="00426053"/>
    <w:rsid w:val="004269DA"/>
    <w:rsid w:val="00426F7E"/>
    <w:rsid w:val="00427A8F"/>
    <w:rsid w:val="00427E2B"/>
    <w:rsid w:val="00427F20"/>
    <w:rsid w:val="00430FA0"/>
    <w:rsid w:val="004315DE"/>
    <w:rsid w:val="004318D3"/>
    <w:rsid w:val="00432312"/>
    <w:rsid w:val="00432872"/>
    <w:rsid w:val="00433030"/>
    <w:rsid w:val="0043390A"/>
    <w:rsid w:val="004340DF"/>
    <w:rsid w:val="004341B9"/>
    <w:rsid w:val="00434355"/>
    <w:rsid w:val="0043498E"/>
    <w:rsid w:val="004349DF"/>
    <w:rsid w:val="0043535C"/>
    <w:rsid w:val="0043553A"/>
    <w:rsid w:val="0043593B"/>
    <w:rsid w:val="004363E1"/>
    <w:rsid w:val="00436810"/>
    <w:rsid w:val="00436FC4"/>
    <w:rsid w:val="004370E5"/>
    <w:rsid w:val="0043727A"/>
    <w:rsid w:val="004372C7"/>
    <w:rsid w:val="00437412"/>
    <w:rsid w:val="004375AD"/>
    <w:rsid w:val="004376AE"/>
    <w:rsid w:val="004376B2"/>
    <w:rsid w:val="00437B0C"/>
    <w:rsid w:val="00437C94"/>
    <w:rsid w:val="00437D8D"/>
    <w:rsid w:val="004401DE"/>
    <w:rsid w:val="00440EAE"/>
    <w:rsid w:val="004413D2"/>
    <w:rsid w:val="0044185A"/>
    <w:rsid w:val="004418E7"/>
    <w:rsid w:val="00443212"/>
    <w:rsid w:val="004438B5"/>
    <w:rsid w:val="004439AD"/>
    <w:rsid w:val="00443DAC"/>
    <w:rsid w:val="004450A8"/>
    <w:rsid w:val="00445881"/>
    <w:rsid w:val="00445DC8"/>
    <w:rsid w:val="00445E79"/>
    <w:rsid w:val="0044624A"/>
    <w:rsid w:val="00447386"/>
    <w:rsid w:val="00447625"/>
    <w:rsid w:val="004478DF"/>
    <w:rsid w:val="00447A1D"/>
    <w:rsid w:val="00447CAE"/>
    <w:rsid w:val="00450350"/>
    <w:rsid w:val="00450407"/>
    <w:rsid w:val="00450696"/>
    <w:rsid w:val="0045089E"/>
    <w:rsid w:val="00451247"/>
    <w:rsid w:val="00452C62"/>
    <w:rsid w:val="00452D93"/>
    <w:rsid w:val="004530E4"/>
    <w:rsid w:val="00453530"/>
    <w:rsid w:val="00453760"/>
    <w:rsid w:val="004537E2"/>
    <w:rsid w:val="00453B8A"/>
    <w:rsid w:val="0045445A"/>
    <w:rsid w:val="00454998"/>
    <w:rsid w:val="00455278"/>
    <w:rsid w:val="004559C7"/>
    <w:rsid w:val="00455DDA"/>
    <w:rsid w:val="00456232"/>
    <w:rsid w:val="0045640B"/>
    <w:rsid w:val="004565CE"/>
    <w:rsid w:val="00456841"/>
    <w:rsid w:val="00456A25"/>
    <w:rsid w:val="00456A2D"/>
    <w:rsid w:val="00456E89"/>
    <w:rsid w:val="004570F3"/>
    <w:rsid w:val="0045768C"/>
    <w:rsid w:val="0045771A"/>
    <w:rsid w:val="00457AA3"/>
    <w:rsid w:val="00457CD9"/>
    <w:rsid w:val="00457D3F"/>
    <w:rsid w:val="0046023B"/>
    <w:rsid w:val="0046060E"/>
    <w:rsid w:val="00461E07"/>
    <w:rsid w:val="00462294"/>
    <w:rsid w:val="0046236E"/>
    <w:rsid w:val="004627D7"/>
    <w:rsid w:val="00462919"/>
    <w:rsid w:val="00462986"/>
    <w:rsid w:val="00462F0F"/>
    <w:rsid w:val="00463141"/>
    <w:rsid w:val="00463798"/>
    <w:rsid w:val="00463C9B"/>
    <w:rsid w:val="00464128"/>
    <w:rsid w:val="00464A7C"/>
    <w:rsid w:val="0046504E"/>
    <w:rsid w:val="00465944"/>
    <w:rsid w:val="00465B65"/>
    <w:rsid w:val="004668F6"/>
    <w:rsid w:val="00466C9C"/>
    <w:rsid w:val="00467593"/>
    <w:rsid w:val="00467C89"/>
    <w:rsid w:val="0047042F"/>
    <w:rsid w:val="004705F6"/>
    <w:rsid w:val="00470AF4"/>
    <w:rsid w:val="00470FBC"/>
    <w:rsid w:val="004713DC"/>
    <w:rsid w:val="00471918"/>
    <w:rsid w:val="00471A9F"/>
    <w:rsid w:val="00471E92"/>
    <w:rsid w:val="00472200"/>
    <w:rsid w:val="0047224D"/>
    <w:rsid w:val="004722FB"/>
    <w:rsid w:val="00472629"/>
    <w:rsid w:val="00472693"/>
    <w:rsid w:val="00472728"/>
    <w:rsid w:val="00472B03"/>
    <w:rsid w:val="00473048"/>
    <w:rsid w:val="0047359E"/>
    <w:rsid w:val="00473684"/>
    <w:rsid w:val="0047369B"/>
    <w:rsid w:val="00473769"/>
    <w:rsid w:val="00473BE1"/>
    <w:rsid w:val="00475BDE"/>
    <w:rsid w:val="00475CCC"/>
    <w:rsid w:val="004767DA"/>
    <w:rsid w:val="004768C1"/>
    <w:rsid w:val="00477073"/>
    <w:rsid w:val="004774D6"/>
    <w:rsid w:val="00477EFD"/>
    <w:rsid w:val="004802FF"/>
    <w:rsid w:val="00480565"/>
    <w:rsid w:val="00480CEF"/>
    <w:rsid w:val="00481179"/>
    <w:rsid w:val="004817B6"/>
    <w:rsid w:val="00481BD8"/>
    <w:rsid w:val="004822C3"/>
    <w:rsid w:val="00482330"/>
    <w:rsid w:val="00483821"/>
    <w:rsid w:val="00483A89"/>
    <w:rsid w:val="00484761"/>
    <w:rsid w:val="004849AB"/>
    <w:rsid w:val="00484E62"/>
    <w:rsid w:val="0048555A"/>
    <w:rsid w:val="004856B2"/>
    <w:rsid w:val="0048597D"/>
    <w:rsid w:val="00485BF5"/>
    <w:rsid w:val="004862E6"/>
    <w:rsid w:val="00486450"/>
    <w:rsid w:val="00486965"/>
    <w:rsid w:val="00486E27"/>
    <w:rsid w:val="00487080"/>
    <w:rsid w:val="004874BF"/>
    <w:rsid w:val="004874F0"/>
    <w:rsid w:val="00490EFA"/>
    <w:rsid w:val="004912B4"/>
    <w:rsid w:val="004912F1"/>
    <w:rsid w:val="00491810"/>
    <w:rsid w:val="00491A8B"/>
    <w:rsid w:val="0049202A"/>
    <w:rsid w:val="004924B5"/>
    <w:rsid w:val="004925E4"/>
    <w:rsid w:val="00492DF7"/>
    <w:rsid w:val="004932D2"/>
    <w:rsid w:val="00493930"/>
    <w:rsid w:val="00493AC3"/>
    <w:rsid w:val="00495401"/>
    <w:rsid w:val="00495905"/>
    <w:rsid w:val="00495A10"/>
    <w:rsid w:val="0049682C"/>
    <w:rsid w:val="0049697E"/>
    <w:rsid w:val="00496A4F"/>
    <w:rsid w:val="00496E81"/>
    <w:rsid w:val="004974D5"/>
    <w:rsid w:val="00497811"/>
    <w:rsid w:val="00497891"/>
    <w:rsid w:val="00497C57"/>
    <w:rsid w:val="00497DC1"/>
    <w:rsid w:val="004A1070"/>
    <w:rsid w:val="004A10D3"/>
    <w:rsid w:val="004A155A"/>
    <w:rsid w:val="004A1658"/>
    <w:rsid w:val="004A1F7C"/>
    <w:rsid w:val="004A21BC"/>
    <w:rsid w:val="004A2777"/>
    <w:rsid w:val="004A28F6"/>
    <w:rsid w:val="004A2AEB"/>
    <w:rsid w:val="004A2F13"/>
    <w:rsid w:val="004A3405"/>
    <w:rsid w:val="004A36D8"/>
    <w:rsid w:val="004A37EB"/>
    <w:rsid w:val="004A3D01"/>
    <w:rsid w:val="004A4C4D"/>
    <w:rsid w:val="004A4D8D"/>
    <w:rsid w:val="004A5444"/>
    <w:rsid w:val="004A5522"/>
    <w:rsid w:val="004A6140"/>
    <w:rsid w:val="004A656E"/>
    <w:rsid w:val="004A65F2"/>
    <w:rsid w:val="004B01C5"/>
    <w:rsid w:val="004B07B6"/>
    <w:rsid w:val="004B0B8F"/>
    <w:rsid w:val="004B134B"/>
    <w:rsid w:val="004B1606"/>
    <w:rsid w:val="004B1696"/>
    <w:rsid w:val="004B1D41"/>
    <w:rsid w:val="004B3614"/>
    <w:rsid w:val="004B3D95"/>
    <w:rsid w:val="004B489A"/>
    <w:rsid w:val="004B4B0C"/>
    <w:rsid w:val="004B5367"/>
    <w:rsid w:val="004B567D"/>
    <w:rsid w:val="004B5786"/>
    <w:rsid w:val="004B5DC6"/>
    <w:rsid w:val="004B6012"/>
    <w:rsid w:val="004B6094"/>
    <w:rsid w:val="004B623C"/>
    <w:rsid w:val="004B6F60"/>
    <w:rsid w:val="004B7143"/>
    <w:rsid w:val="004B7B9D"/>
    <w:rsid w:val="004B7CAF"/>
    <w:rsid w:val="004B7FE7"/>
    <w:rsid w:val="004C0135"/>
    <w:rsid w:val="004C0347"/>
    <w:rsid w:val="004C077F"/>
    <w:rsid w:val="004C2508"/>
    <w:rsid w:val="004C2A3C"/>
    <w:rsid w:val="004C2E6E"/>
    <w:rsid w:val="004C4430"/>
    <w:rsid w:val="004C511A"/>
    <w:rsid w:val="004C5312"/>
    <w:rsid w:val="004C544B"/>
    <w:rsid w:val="004C54D2"/>
    <w:rsid w:val="004C6EAF"/>
    <w:rsid w:val="004C793C"/>
    <w:rsid w:val="004D048B"/>
    <w:rsid w:val="004D0754"/>
    <w:rsid w:val="004D077B"/>
    <w:rsid w:val="004D0C79"/>
    <w:rsid w:val="004D0D80"/>
    <w:rsid w:val="004D11C4"/>
    <w:rsid w:val="004D1233"/>
    <w:rsid w:val="004D1845"/>
    <w:rsid w:val="004D232B"/>
    <w:rsid w:val="004D23A3"/>
    <w:rsid w:val="004D2DB1"/>
    <w:rsid w:val="004D34CA"/>
    <w:rsid w:val="004D358F"/>
    <w:rsid w:val="004D36FE"/>
    <w:rsid w:val="004D375C"/>
    <w:rsid w:val="004D3882"/>
    <w:rsid w:val="004D39C0"/>
    <w:rsid w:val="004D4103"/>
    <w:rsid w:val="004D42B6"/>
    <w:rsid w:val="004D442C"/>
    <w:rsid w:val="004D59B2"/>
    <w:rsid w:val="004D646E"/>
    <w:rsid w:val="004D6474"/>
    <w:rsid w:val="004D657D"/>
    <w:rsid w:val="004D659A"/>
    <w:rsid w:val="004D66E3"/>
    <w:rsid w:val="004D6DA1"/>
    <w:rsid w:val="004D6F20"/>
    <w:rsid w:val="004D78B6"/>
    <w:rsid w:val="004D7C3D"/>
    <w:rsid w:val="004D7E98"/>
    <w:rsid w:val="004E012F"/>
    <w:rsid w:val="004E07B2"/>
    <w:rsid w:val="004E0B27"/>
    <w:rsid w:val="004E10CF"/>
    <w:rsid w:val="004E27D6"/>
    <w:rsid w:val="004E2B72"/>
    <w:rsid w:val="004E2B86"/>
    <w:rsid w:val="004E2CDE"/>
    <w:rsid w:val="004E3670"/>
    <w:rsid w:val="004E47F9"/>
    <w:rsid w:val="004E5C0C"/>
    <w:rsid w:val="004E6401"/>
    <w:rsid w:val="004E65D6"/>
    <w:rsid w:val="004E6DBC"/>
    <w:rsid w:val="004E71D9"/>
    <w:rsid w:val="004E7215"/>
    <w:rsid w:val="004E7B07"/>
    <w:rsid w:val="004F07AA"/>
    <w:rsid w:val="004F0C6A"/>
    <w:rsid w:val="004F12EA"/>
    <w:rsid w:val="004F1971"/>
    <w:rsid w:val="004F2200"/>
    <w:rsid w:val="004F2B05"/>
    <w:rsid w:val="004F3918"/>
    <w:rsid w:val="004F3FCB"/>
    <w:rsid w:val="004F458E"/>
    <w:rsid w:val="004F4950"/>
    <w:rsid w:val="004F4B37"/>
    <w:rsid w:val="004F4C07"/>
    <w:rsid w:val="004F52DD"/>
    <w:rsid w:val="004F52F3"/>
    <w:rsid w:val="004F5A48"/>
    <w:rsid w:val="004F5EB3"/>
    <w:rsid w:val="004F5F8A"/>
    <w:rsid w:val="004F5F99"/>
    <w:rsid w:val="004F63B1"/>
    <w:rsid w:val="004F6A12"/>
    <w:rsid w:val="004F6DD6"/>
    <w:rsid w:val="004F7326"/>
    <w:rsid w:val="004F7AA7"/>
    <w:rsid w:val="004F7E68"/>
    <w:rsid w:val="00500492"/>
    <w:rsid w:val="00500F37"/>
    <w:rsid w:val="00500FA2"/>
    <w:rsid w:val="00501577"/>
    <w:rsid w:val="00502174"/>
    <w:rsid w:val="005022C4"/>
    <w:rsid w:val="0050270E"/>
    <w:rsid w:val="00503141"/>
    <w:rsid w:val="005045C4"/>
    <w:rsid w:val="0050470C"/>
    <w:rsid w:val="00504A40"/>
    <w:rsid w:val="00504AB5"/>
    <w:rsid w:val="00504F53"/>
    <w:rsid w:val="005057D9"/>
    <w:rsid w:val="005059BE"/>
    <w:rsid w:val="00505D57"/>
    <w:rsid w:val="00505EA7"/>
    <w:rsid w:val="00507735"/>
    <w:rsid w:val="005108C3"/>
    <w:rsid w:val="00510EE7"/>
    <w:rsid w:val="00512454"/>
    <w:rsid w:val="00512CDF"/>
    <w:rsid w:val="00512E4D"/>
    <w:rsid w:val="0051361D"/>
    <w:rsid w:val="0051364E"/>
    <w:rsid w:val="005139D9"/>
    <w:rsid w:val="00513CEB"/>
    <w:rsid w:val="00513D0C"/>
    <w:rsid w:val="00514398"/>
    <w:rsid w:val="00514CE6"/>
    <w:rsid w:val="0051583B"/>
    <w:rsid w:val="0051583E"/>
    <w:rsid w:val="00515AE8"/>
    <w:rsid w:val="00515CDB"/>
    <w:rsid w:val="00516023"/>
    <w:rsid w:val="005166A1"/>
    <w:rsid w:val="005168FD"/>
    <w:rsid w:val="00516A95"/>
    <w:rsid w:val="00516E67"/>
    <w:rsid w:val="00517234"/>
    <w:rsid w:val="00517280"/>
    <w:rsid w:val="0051748D"/>
    <w:rsid w:val="005179EC"/>
    <w:rsid w:val="005200D4"/>
    <w:rsid w:val="00520228"/>
    <w:rsid w:val="00520343"/>
    <w:rsid w:val="00520439"/>
    <w:rsid w:val="0052048F"/>
    <w:rsid w:val="005204BF"/>
    <w:rsid w:val="00520A51"/>
    <w:rsid w:val="00520E89"/>
    <w:rsid w:val="00520F7F"/>
    <w:rsid w:val="00521053"/>
    <w:rsid w:val="00521151"/>
    <w:rsid w:val="00521FBA"/>
    <w:rsid w:val="00522778"/>
    <w:rsid w:val="00522A54"/>
    <w:rsid w:val="005232E2"/>
    <w:rsid w:val="0052459F"/>
    <w:rsid w:val="00524C95"/>
    <w:rsid w:val="00524D8D"/>
    <w:rsid w:val="00525758"/>
    <w:rsid w:val="00525B6B"/>
    <w:rsid w:val="00525C76"/>
    <w:rsid w:val="00525F31"/>
    <w:rsid w:val="0052620F"/>
    <w:rsid w:val="005264BE"/>
    <w:rsid w:val="005267B5"/>
    <w:rsid w:val="00526C60"/>
    <w:rsid w:val="00526F0B"/>
    <w:rsid w:val="00526F73"/>
    <w:rsid w:val="00527340"/>
    <w:rsid w:val="0052791C"/>
    <w:rsid w:val="00527D11"/>
    <w:rsid w:val="00527EDB"/>
    <w:rsid w:val="005301E2"/>
    <w:rsid w:val="005301F8"/>
    <w:rsid w:val="005303D3"/>
    <w:rsid w:val="00530686"/>
    <w:rsid w:val="00530AC3"/>
    <w:rsid w:val="005319C4"/>
    <w:rsid w:val="0053269B"/>
    <w:rsid w:val="00532AAD"/>
    <w:rsid w:val="005332CC"/>
    <w:rsid w:val="00533374"/>
    <w:rsid w:val="00534543"/>
    <w:rsid w:val="005347FC"/>
    <w:rsid w:val="00534FFD"/>
    <w:rsid w:val="0053565F"/>
    <w:rsid w:val="00535832"/>
    <w:rsid w:val="00535906"/>
    <w:rsid w:val="00535FC0"/>
    <w:rsid w:val="00535FD8"/>
    <w:rsid w:val="00536183"/>
    <w:rsid w:val="00536D21"/>
    <w:rsid w:val="00536DD4"/>
    <w:rsid w:val="00536F6D"/>
    <w:rsid w:val="00537164"/>
    <w:rsid w:val="00537DA3"/>
    <w:rsid w:val="00537DEC"/>
    <w:rsid w:val="00537E25"/>
    <w:rsid w:val="00540142"/>
    <w:rsid w:val="005407F7"/>
    <w:rsid w:val="00540A32"/>
    <w:rsid w:val="005417D2"/>
    <w:rsid w:val="00541FC1"/>
    <w:rsid w:val="00542A9B"/>
    <w:rsid w:val="0054322C"/>
    <w:rsid w:val="00543543"/>
    <w:rsid w:val="00544178"/>
    <w:rsid w:val="0054455F"/>
    <w:rsid w:val="00544A30"/>
    <w:rsid w:val="00545550"/>
    <w:rsid w:val="005457F2"/>
    <w:rsid w:val="0054586D"/>
    <w:rsid w:val="00545A16"/>
    <w:rsid w:val="00545A8C"/>
    <w:rsid w:val="00545E73"/>
    <w:rsid w:val="005466A8"/>
    <w:rsid w:val="00546759"/>
    <w:rsid w:val="00546A52"/>
    <w:rsid w:val="00547AF6"/>
    <w:rsid w:val="00550052"/>
    <w:rsid w:val="005501BD"/>
    <w:rsid w:val="005506EC"/>
    <w:rsid w:val="0055091D"/>
    <w:rsid w:val="00552008"/>
    <w:rsid w:val="005527CB"/>
    <w:rsid w:val="00552D65"/>
    <w:rsid w:val="005537EE"/>
    <w:rsid w:val="00553BDA"/>
    <w:rsid w:val="00553ED7"/>
    <w:rsid w:val="00554693"/>
    <w:rsid w:val="00554CEC"/>
    <w:rsid w:val="00555216"/>
    <w:rsid w:val="00555FC2"/>
    <w:rsid w:val="0055678B"/>
    <w:rsid w:val="00556C5B"/>
    <w:rsid w:val="00556EDB"/>
    <w:rsid w:val="00557C16"/>
    <w:rsid w:val="00557C91"/>
    <w:rsid w:val="00557F7F"/>
    <w:rsid w:val="00561826"/>
    <w:rsid w:val="00561D10"/>
    <w:rsid w:val="005625DA"/>
    <w:rsid w:val="0056281A"/>
    <w:rsid w:val="005630B5"/>
    <w:rsid w:val="00563A2C"/>
    <w:rsid w:val="00564132"/>
    <w:rsid w:val="0056463E"/>
    <w:rsid w:val="0056480B"/>
    <w:rsid w:val="00564C03"/>
    <w:rsid w:val="00565774"/>
    <w:rsid w:val="00565B27"/>
    <w:rsid w:val="00565F8F"/>
    <w:rsid w:val="00566532"/>
    <w:rsid w:val="00566728"/>
    <w:rsid w:val="00566857"/>
    <w:rsid w:val="00566B9D"/>
    <w:rsid w:val="00566CC4"/>
    <w:rsid w:val="005676A7"/>
    <w:rsid w:val="00567D52"/>
    <w:rsid w:val="00570DAA"/>
    <w:rsid w:val="00570F03"/>
    <w:rsid w:val="005715ED"/>
    <w:rsid w:val="0057183D"/>
    <w:rsid w:val="005721AA"/>
    <w:rsid w:val="005722CF"/>
    <w:rsid w:val="00572512"/>
    <w:rsid w:val="005727C4"/>
    <w:rsid w:val="00572825"/>
    <w:rsid w:val="00572D06"/>
    <w:rsid w:val="00572D45"/>
    <w:rsid w:val="005731D2"/>
    <w:rsid w:val="00573A25"/>
    <w:rsid w:val="005745DC"/>
    <w:rsid w:val="005749BC"/>
    <w:rsid w:val="00574D6E"/>
    <w:rsid w:val="005754D1"/>
    <w:rsid w:val="005755A9"/>
    <w:rsid w:val="00575A47"/>
    <w:rsid w:val="00575ADD"/>
    <w:rsid w:val="00576329"/>
    <w:rsid w:val="005768B3"/>
    <w:rsid w:val="00576A8A"/>
    <w:rsid w:val="00576C8B"/>
    <w:rsid w:val="00576F07"/>
    <w:rsid w:val="00577032"/>
    <w:rsid w:val="0057730D"/>
    <w:rsid w:val="005776AE"/>
    <w:rsid w:val="00577EF4"/>
    <w:rsid w:val="005800EE"/>
    <w:rsid w:val="005801AC"/>
    <w:rsid w:val="005807C6"/>
    <w:rsid w:val="0058085A"/>
    <w:rsid w:val="00580A49"/>
    <w:rsid w:val="005812B3"/>
    <w:rsid w:val="00582A02"/>
    <w:rsid w:val="00582FC9"/>
    <w:rsid w:val="00583043"/>
    <w:rsid w:val="005830C5"/>
    <w:rsid w:val="0058325A"/>
    <w:rsid w:val="00583E19"/>
    <w:rsid w:val="00583E80"/>
    <w:rsid w:val="005844FC"/>
    <w:rsid w:val="0058475C"/>
    <w:rsid w:val="00584AA3"/>
    <w:rsid w:val="005858E7"/>
    <w:rsid w:val="005862DF"/>
    <w:rsid w:val="005868D6"/>
    <w:rsid w:val="00586D06"/>
    <w:rsid w:val="00586E0F"/>
    <w:rsid w:val="005872B8"/>
    <w:rsid w:val="0059015D"/>
    <w:rsid w:val="0059017F"/>
    <w:rsid w:val="005901B9"/>
    <w:rsid w:val="0059057F"/>
    <w:rsid w:val="00591409"/>
    <w:rsid w:val="00591846"/>
    <w:rsid w:val="00591CC6"/>
    <w:rsid w:val="00592060"/>
    <w:rsid w:val="00592AC8"/>
    <w:rsid w:val="00592CF3"/>
    <w:rsid w:val="0059319C"/>
    <w:rsid w:val="005931DE"/>
    <w:rsid w:val="00593A13"/>
    <w:rsid w:val="00593DDB"/>
    <w:rsid w:val="00593F76"/>
    <w:rsid w:val="00593FD1"/>
    <w:rsid w:val="0059496F"/>
    <w:rsid w:val="0059535E"/>
    <w:rsid w:val="0059590A"/>
    <w:rsid w:val="005959F5"/>
    <w:rsid w:val="00595B53"/>
    <w:rsid w:val="00595E66"/>
    <w:rsid w:val="00595F29"/>
    <w:rsid w:val="0059642A"/>
    <w:rsid w:val="00597335"/>
    <w:rsid w:val="005978C1"/>
    <w:rsid w:val="00597AF6"/>
    <w:rsid w:val="00597E7A"/>
    <w:rsid w:val="005A1078"/>
    <w:rsid w:val="005A12E9"/>
    <w:rsid w:val="005A25A1"/>
    <w:rsid w:val="005A2933"/>
    <w:rsid w:val="005A2ACA"/>
    <w:rsid w:val="005A2C61"/>
    <w:rsid w:val="005A2F0B"/>
    <w:rsid w:val="005A35A3"/>
    <w:rsid w:val="005A3DD4"/>
    <w:rsid w:val="005A5058"/>
    <w:rsid w:val="005A52FC"/>
    <w:rsid w:val="005A581D"/>
    <w:rsid w:val="005A602C"/>
    <w:rsid w:val="005A6645"/>
    <w:rsid w:val="005A669A"/>
    <w:rsid w:val="005A6C16"/>
    <w:rsid w:val="005A70AA"/>
    <w:rsid w:val="005B00F4"/>
    <w:rsid w:val="005B01C3"/>
    <w:rsid w:val="005B0251"/>
    <w:rsid w:val="005B0DEA"/>
    <w:rsid w:val="005B10E5"/>
    <w:rsid w:val="005B1184"/>
    <w:rsid w:val="005B1641"/>
    <w:rsid w:val="005B183F"/>
    <w:rsid w:val="005B1D13"/>
    <w:rsid w:val="005B1EE8"/>
    <w:rsid w:val="005B1F62"/>
    <w:rsid w:val="005B3115"/>
    <w:rsid w:val="005B3B52"/>
    <w:rsid w:val="005B3C31"/>
    <w:rsid w:val="005B42F4"/>
    <w:rsid w:val="005B4309"/>
    <w:rsid w:val="005B5237"/>
    <w:rsid w:val="005B5261"/>
    <w:rsid w:val="005B5D9E"/>
    <w:rsid w:val="005B5DE5"/>
    <w:rsid w:val="005B5EEC"/>
    <w:rsid w:val="005B6C26"/>
    <w:rsid w:val="005B6E58"/>
    <w:rsid w:val="005B7009"/>
    <w:rsid w:val="005B7457"/>
    <w:rsid w:val="005B7E37"/>
    <w:rsid w:val="005C0088"/>
    <w:rsid w:val="005C016A"/>
    <w:rsid w:val="005C06FA"/>
    <w:rsid w:val="005C0EF7"/>
    <w:rsid w:val="005C196F"/>
    <w:rsid w:val="005C2140"/>
    <w:rsid w:val="005C2658"/>
    <w:rsid w:val="005C2A68"/>
    <w:rsid w:val="005C2CA3"/>
    <w:rsid w:val="005C32AD"/>
    <w:rsid w:val="005C35A7"/>
    <w:rsid w:val="005C35F3"/>
    <w:rsid w:val="005C43E8"/>
    <w:rsid w:val="005C466F"/>
    <w:rsid w:val="005C49E3"/>
    <w:rsid w:val="005C522A"/>
    <w:rsid w:val="005C55D7"/>
    <w:rsid w:val="005C561A"/>
    <w:rsid w:val="005C5818"/>
    <w:rsid w:val="005C5A63"/>
    <w:rsid w:val="005C6746"/>
    <w:rsid w:val="005C69D5"/>
    <w:rsid w:val="005C6ABB"/>
    <w:rsid w:val="005C6AEC"/>
    <w:rsid w:val="005C6D7B"/>
    <w:rsid w:val="005C73C8"/>
    <w:rsid w:val="005C779C"/>
    <w:rsid w:val="005C7998"/>
    <w:rsid w:val="005C7BF4"/>
    <w:rsid w:val="005C7D8C"/>
    <w:rsid w:val="005D00AB"/>
    <w:rsid w:val="005D052E"/>
    <w:rsid w:val="005D0AE6"/>
    <w:rsid w:val="005D0B67"/>
    <w:rsid w:val="005D0C7F"/>
    <w:rsid w:val="005D1E2E"/>
    <w:rsid w:val="005D39B0"/>
    <w:rsid w:val="005D45EF"/>
    <w:rsid w:val="005D47FD"/>
    <w:rsid w:val="005D61A9"/>
    <w:rsid w:val="005D643B"/>
    <w:rsid w:val="005D64E0"/>
    <w:rsid w:val="005D6630"/>
    <w:rsid w:val="005D697B"/>
    <w:rsid w:val="005D69BA"/>
    <w:rsid w:val="005D69C4"/>
    <w:rsid w:val="005D6B5E"/>
    <w:rsid w:val="005D70CC"/>
    <w:rsid w:val="005D7386"/>
    <w:rsid w:val="005D7A1A"/>
    <w:rsid w:val="005D7FE1"/>
    <w:rsid w:val="005E04CC"/>
    <w:rsid w:val="005E12EA"/>
    <w:rsid w:val="005E14F1"/>
    <w:rsid w:val="005E1592"/>
    <w:rsid w:val="005E174D"/>
    <w:rsid w:val="005E18D1"/>
    <w:rsid w:val="005E1E57"/>
    <w:rsid w:val="005E20CA"/>
    <w:rsid w:val="005E2600"/>
    <w:rsid w:val="005E274E"/>
    <w:rsid w:val="005E2F76"/>
    <w:rsid w:val="005E326C"/>
    <w:rsid w:val="005E3271"/>
    <w:rsid w:val="005E35E3"/>
    <w:rsid w:val="005E3D70"/>
    <w:rsid w:val="005E4483"/>
    <w:rsid w:val="005E4587"/>
    <w:rsid w:val="005E4EBD"/>
    <w:rsid w:val="005E5124"/>
    <w:rsid w:val="005E5A86"/>
    <w:rsid w:val="005E5BFA"/>
    <w:rsid w:val="005E5D54"/>
    <w:rsid w:val="005E5ED5"/>
    <w:rsid w:val="005E6450"/>
    <w:rsid w:val="005E668C"/>
    <w:rsid w:val="005E6879"/>
    <w:rsid w:val="005E6D61"/>
    <w:rsid w:val="005E6E7E"/>
    <w:rsid w:val="005E70B2"/>
    <w:rsid w:val="005E725F"/>
    <w:rsid w:val="005E74DE"/>
    <w:rsid w:val="005E79DB"/>
    <w:rsid w:val="005E7ADE"/>
    <w:rsid w:val="005F0053"/>
    <w:rsid w:val="005F032F"/>
    <w:rsid w:val="005F0440"/>
    <w:rsid w:val="005F10DA"/>
    <w:rsid w:val="005F133A"/>
    <w:rsid w:val="005F157C"/>
    <w:rsid w:val="005F2870"/>
    <w:rsid w:val="005F2AAA"/>
    <w:rsid w:val="005F3677"/>
    <w:rsid w:val="005F530E"/>
    <w:rsid w:val="005F5905"/>
    <w:rsid w:val="005F59EB"/>
    <w:rsid w:val="005F6958"/>
    <w:rsid w:val="005F6E4C"/>
    <w:rsid w:val="005F7520"/>
    <w:rsid w:val="005F75D1"/>
    <w:rsid w:val="005F7D2E"/>
    <w:rsid w:val="00600713"/>
    <w:rsid w:val="00600F3F"/>
    <w:rsid w:val="006028CF"/>
    <w:rsid w:val="00603C30"/>
    <w:rsid w:val="00604082"/>
    <w:rsid w:val="00604257"/>
    <w:rsid w:val="006044C4"/>
    <w:rsid w:val="00604BF6"/>
    <w:rsid w:val="00604E9C"/>
    <w:rsid w:val="0060542A"/>
    <w:rsid w:val="00605442"/>
    <w:rsid w:val="006059CD"/>
    <w:rsid w:val="00605B3B"/>
    <w:rsid w:val="00606441"/>
    <w:rsid w:val="006069A9"/>
    <w:rsid w:val="006070A0"/>
    <w:rsid w:val="00607895"/>
    <w:rsid w:val="00607D58"/>
    <w:rsid w:val="00610256"/>
    <w:rsid w:val="0061076E"/>
    <w:rsid w:val="0061091D"/>
    <w:rsid w:val="00610ACF"/>
    <w:rsid w:val="00611447"/>
    <w:rsid w:val="006119F0"/>
    <w:rsid w:val="006119FC"/>
    <w:rsid w:val="00611B98"/>
    <w:rsid w:val="006126AC"/>
    <w:rsid w:val="00612C21"/>
    <w:rsid w:val="00613126"/>
    <w:rsid w:val="00613182"/>
    <w:rsid w:val="006134DF"/>
    <w:rsid w:val="00613F14"/>
    <w:rsid w:val="006144E6"/>
    <w:rsid w:val="0061454A"/>
    <w:rsid w:val="00614B5B"/>
    <w:rsid w:val="0061522C"/>
    <w:rsid w:val="00615469"/>
    <w:rsid w:val="0061741C"/>
    <w:rsid w:val="00617518"/>
    <w:rsid w:val="00617818"/>
    <w:rsid w:val="00617B2E"/>
    <w:rsid w:val="00617DB6"/>
    <w:rsid w:val="00617E60"/>
    <w:rsid w:val="00620228"/>
    <w:rsid w:val="00620DE6"/>
    <w:rsid w:val="0062111B"/>
    <w:rsid w:val="00621526"/>
    <w:rsid w:val="0062189F"/>
    <w:rsid w:val="006219C9"/>
    <w:rsid w:val="00621ECF"/>
    <w:rsid w:val="00622227"/>
    <w:rsid w:val="0062307B"/>
    <w:rsid w:val="006233FB"/>
    <w:rsid w:val="00623F23"/>
    <w:rsid w:val="0062423A"/>
    <w:rsid w:val="0062483A"/>
    <w:rsid w:val="0062486E"/>
    <w:rsid w:val="00624E69"/>
    <w:rsid w:val="00625FD0"/>
    <w:rsid w:val="006269EE"/>
    <w:rsid w:val="00626A01"/>
    <w:rsid w:val="00626B75"/>
    <w:rsid w:val="00626ED3"/>
    <w:rsid w:val="00626F12"/>
    <w:rsid w:val="00627355"/>
    <w:rsid w:val="00627852"/>
    <w:rsid w:val="0063063C"/>
    <w:rsid w:val="00631169"/>
    <w:rsid w:val="0063151F"/>
    <w:rsid w:val="00632E6F"/>
    <w:rsid w:val="006332FA"/>
    <w:rsid w:val="0063345A"/>
    <w:rsid w:val="006335BC"/>
    <w:rsid w:val="00633720"/>
    <w:rsid w:val="00633E20"/>
    <w:rsid w:val="00634326"/>
    <w:rsid w:val="0063460A"/>
    <w:rsid w:val="00635356"/>
    <w:rsid w:val="00635F28"/>
    <w:rsid w:val="00635FEB"/>
    <w:rsid w:val="00636721"/>
    <w:rsid w:val="00636DF2"/>
    <w:rsid w:val="006374A1"/>
    <w:rsid w:val="00637683"/>
    <w:rsid w:val="00637A49"/>
    <w:rsid w:val="00637D66"/>
    <w:rsid w:val="00637FA0"/>
    <w:rsid w:val="00640014"/>
    <w:rsid w:val="006406B3"/>
    <w:rsid w:val="00641039"/>
    <w:rsid w:val="006417FA"/>
    <w:rsid w:val="006419E2"/>
    <w:rsid w:val="00641C05"/>
    <w:rsid w:val="006421EC"/>
    <w:rsid w:val="00642215"/>
    <w:rsid w:val="00642538"/>
    <w:rsid w:val="00642A92"/>
    <w:rsid w:val="006435D6"/>
    <w:rsid w:val="00643FF8"/>
    <w:rsid w:val="00644620"/>
    <w:rsid w:val="006447EE"/>
    <w:rsid w:val="00644B9A"/>
    <w:rsid w:val="00645BFB"/>
    <w:rsid w:val="00646577"/>
    <w:rsid w:val="00646BFD"/>
    <w:rsid w:val="00646DC0"/>
    <w:rsid w:val="00647A8A"/>
    <w:rsid w:val="006504D2"/>
    <w:rsid w:val="00650ADD"/>
    <w:rsid w:val="006516A3"/>
    <w:rsid w:val="00651CEC"/>
    <w:rsid w:val="00652207"/>
    <w:rsid w:val="0065234C"/>
    <w:rsid w:val="006523A3"/>
    <w:rsid w:val="0065257D"/>
    <w:rsid w:val="00652934"/>
    <w:rsid w:val="006529B1"/>
    <w:rsid w:val="00652DE3"/>
    <w:rsid w:val="006536FE"/>
    <w:rsid w:val="00653780"/>
    <w:rsid w:val="006542F8"/>
    <w:rsid w:val="006545DF"/>
    <w:rsid w:val="00654CA4"/>
    <w:rsid w:val="00655274"/>
    <w:rsid w:val="00655642"/>
    <w:rsid w:val="0065632A"/>
    <w:rsid w:val="006568CE"/>
    <w:rsid w:val="0065693F"/>
    <w:rsid w:val="00656A31"/>
    <w:rsid w:val="00656BC3"/>
    <w:rsid w:val="00657169"/>
    <w:rsid w:val="006579CB"/>
    <w:rsid w:val="00660BFC"/>
    <w:rsid w:val="006612AA"/>
    <w:rsid w:val="00661451"/>
    <w:rsid w:val="0066158A"/>
    <w:rsid w:val="0066213D"/>
    <w:rsid w:val="00662BED"/>
    <w:rsid w:val="00663184"/>
    <w:rsid w:val="00663286"/>
    <w:rsid w:val="00663751"/>
    <w:rsid w:val="0066457A"/>
    <w:rsid w:val="006645E0"/>
    <w:rsid w:val="00664679"/>
    <w:rsid w:val="006648FE"/>
    <w:rsid w:val="006649D6"/>
    <w:rsid w:val="00664C0F"/>
    <w:rsid w:val="00665627"/>
    <w:rsid w:val="00665F58"/>
    <w:rsid w:val="00666269"/>
    <w:rsid w:val="0066628F"/>
    <w:rsid w:val="00666585"/>
    <w:rsid w:val="00666A27"/>
    <w:rsid w:val="00666CF1"/>
    <w:rsid w:val="00666CFB"/>
    <w:rsid w:val="0066700D"/>
    <w:rsid w:val="00667230"/>
    <w:rsid w:val="00667904"/>
    <w:rsid w:val="0067073B"/>
    <w:rsid w:val="006709B0"/>
    <w:rsid w:val="00670AAC"/>
    <w:rsid w:val="00670B63"/>
    <w:rsid w:val="006715B1"/>
    <w:rsid w:val="006716A3"/>
    <w:rsid w:val="00671DD4"/>
    <w:rsid w:val="00672DEC"/>
    <w:rsid w:val="0067310A"/>
    <w:rsid w:val="0067324B"/>
    <w:rsid w:val="00673334"/>
    <w:rsid w:val="00673DAE"/>
    <w:rsid w:val="006743C1"/>
    <w:rsid w:val="006744C3"/>
    <w:rsid w:val="00674625"/>
    <w:rsid w:val="006746A2"/>
    <w:rsid w:val="006746ED"/>
    <w:rsid w:val="00674F66"/>
    <w:rsid w:val="006756A9"/>
    <w:rsid w:val="006757AE"/>
    <w:rsid w:val="0067607A"/>
    <w:rsid w:val="00677207"/>
    <w:rsid w:val="006772C9"/>
    <w:rsid w:val="006775A7"/>
    <w:rsid w:val="00677ABE"/>
    <w:rsid w:val="00677BA8"/>
    <w:rsid w:val="00677BD5"/>
    <w:rsid w:val="00680562"/>
    <w:rsid w:val="006808BD"/>
    <w:rsid w:val="00680E4F"/>
    <w:rsid w:val="00680E6F"/>
    <w:rsid w:val="00680EC9"/>
    <w:rsid w:val="0068102E"/>
    <w:rsid w:val="006811AB"/>
    <w:rsid w:val="00681207"/>
    <w:rsid w:val="006820D6"/>
    <w:rsid w:val="00682218"/>
    <w:rsid w:val="00682E4A"/>
    <w:rsid w:val="00682FD4"/>
    <w:rsid w:val="00683006"/>
    <w:rsid w:val="00683417"/>
    <w:rsid w:val="006837EB"/>
    <w:rsid w:val="00683A1D"/>
    <w:rsid w:val="00683AEF"/>
    <w:rsid w:val="00683B36"/>
    <w:rsid w:val="0068403A"/>
    <w:rsid w:val="00684475"/>
    <w:rsid w:val="00684778"/>
    <w:rsid w:val="00684994"/>
    <w:rsid w:val="00684C39"/>
    <w:rsid w:val="00685011"/>
    <w:rsid w:val="0068513D"/>
    <w:rsid w:val="0068551C"/>
    <w:rsid w:val="00685D13"/>
    <w:rsid w:val="00686B23"/>
    <w:rsid w:val="00687C0D"/>
    <w:rsid w:val="00690458"/>
    <w:rsid w:val="0069048F"/>
    <w:rsid w:val="00690573"/>
    <w:rsid w:val="00690902"/>
    <w:rsid w:val="00690A93"/>
    <w:rsid w:val="00690EF1"/>
    <w:rsid w:val="00691452"/>
    <w:rsid w:val="00691A48"/>
    <w:rsid w:val="00692012"/>
    <w:rsid w:val="006920B4"/>
    <w:rsid w:val="006925E6"/>
    <w:rsid w:val="0069268C"/>
    <w:rsid w:val="00692758"/>
    <w:rsid w:val="0069289A"/>
    <w:rsid w:val="0069389D"/>
    <w:rsid w:val="00693AD6"/>
    <w:rsid w:val="00693C1D"/>
    <w:rsid w:val="00694102"/>
    <w:rsid w:val="00694206"/>
    <w:rsid w:val="006944F6"/>
    <w:rsid w:val="006946F2"/>
    <w:rsid w:val="00694C24"/>
    <w:rsid w:val="00695673"/>
    <w:rsid w:val="00695AB7"/>
    <w:rsid w:val="006964DD"/>
    <w:rsid w:val="006965B9"/>
    <w:rsid w:val="00696B7C"/>
    <w:rsid w:val="00696BEE"/>
    <w:rsid w:val="00697697"/>
    <w:rsid w:val="00697A49"/>
    <w:rsid w:val="006A0847"/>
    <w:rsid w:val="006A0965"/>
    <w:rsid w:val="006A0B65"/>
    <w:rsid w:val="006A0CFA"/>
    <w:rsid w:val="006A0DD2"/>
    <w:rsid w:val="006A0E60"/>
    <w:rsid w:val="006A1141"/>
    <w:rsid w:val="006A1191"/>
    <w:rsid w:val="006A12B5"/>
    <w:rsid w:val="006A131D"/>
    <w:rsid w:val="006A1395"/>
    <w:rsid w:val="006A1962"/>
    <w:rsid w:val="006A2177"/>
    <w:rsid w:val="006A2C1D"/>
    <w:rsid w:val="006A38EC"/>
    <w:rsid w:val="006A3D7A"/>
    <w:rsid w:val="006A3F78"/>
    <w:rsid w:val="006A40E4"/>
    <w:rsid w:val="006A4C9E"/>
    <w:rsid w:val="006A560D"/>
    <w:rsid w:val="006A5726"/>
    <w:rsid w:val="006A59FF"/>
    <w:rsid w:val="006A5B11"/>
    <w:rsid w:val="006A5C7E"/>
    <w:rsid w:val="006A5E55"/>
    <w:rsid w:val="006A6026"/>
    <w:rsid w:val="006A690E"/>
    <w:rsid w:val="006A6E36"/>
    <w:rsid w:val="006A7432"/>
    <w:rsid w:val="006A76DC"/>
    <w:rsid w:val="006A79AF"/>
    <w:rsid w:val="006A7BAB"/>
    <w:rsid w:val="006A7C38"/>
    <w:rsid w:val="006A7D53"/>
    <w:rsid w:val="006B00BB"/>
    <w:rsid w:val="006B0893"/>
    <w:rsid w:val="006B0BF5"/>
    <w:rsid w:val="006B0DB7"/>
    <w:rsid w:val="006B0E43"/>
    <w:rsid w:val="006B11EF"/>
    <w:rsid w:val="006B11F3"/>
    <w:rsid w:val="006B1803"/>
    <w:rsid w:val="006B2086"/>
    <w:rsid w:val="006B243E"/>
    <w:rsid w:val="006B28EF"/>
    <w:rsid w:val="006B3461"/>
    <w:rsid w:val="006B3A0A"/>
    <w:rsid w:val="006B430D"/>
    <w:rsid w:val="006B504C"/>
    <w:rsid w:val="006B52F5"/>
    <w:rsid w:val="006B581C"/>
    <w:rsid w:val="006B67EC"/>
    <w:rsid w:val="006B682E"/>
    <w:rsid w:val="006B7089"/>
    <w:rsid w:val="006B771F"/>
    <w:rsid w:val="006B78DA"/>
    <w:rsid w:val="006C07F6"/>
    <w:rsid w:val="006C0B01"/>
    <w:rsid w:val="006C0BB5"/>
    <w:rsid w:val="006C161F"/>
    <w:rsid w:val="006C169E"/>
    <w:rsid w:val="006C1806"/>
    <w:rsid w:val="006C1838"/>
    <w:rsid w:val="006C1A5E"/>
    <w:rsid w:val="006C1C6B"/>
    <w:rsid w:val="006C1D5E"/>
    <w:rsid w:val="006C3555"/>
    <w:rsid w:val="006C3578"/>
    <w:rsid w:val="006C38D4"/>
    <w:rsid w:val="006C40C9"/>
    <w:rsid w:val="006C440A"/>
    <w:rsid w:val="006C4990"/>
    <w:rsid w:val="006C4ADE"/>
    <w:rsid w:val="006C4F7E"/>
    <w:rsid w:val="006C5432"/>
    <w:rsid w:val="006C577B"/>
    <w:rsid w:val="006C5992"/>
    <w:rsid w:val="006C5A06"/>
    <w:rsid w:val="006C5BB2"/>
    <w:rsid w:val="006C5FEB"/>
    <w:rsid w:val="006C6773"/>
    <w:rsid w:val="006C7469"/>
    <w:rsid w:val="006C75CE"/>
    <w:rsid w:val="006C7D4B"/>
    <w:rsid w:val="006C7F15"/>
    <w:rsid w:val="006D0D36"/>
    <w:rsid w:val="006D25D9"/>
    <w:rsid w:val="006D2D77"/>
    <w:rsid w:val="006D355B"/>
    <w:rsid w:val="006D40FB"/>
    <w:rsid w:val="006D4346"/>
    <w:rsid w:val="006D4366"/>
    <w:rsid w:val="006D438F"/>
    <w:rsid w:val="006D4832"/>
    <w:rsid w:val="006D4A44"/>
    <w:rsid w:val="006D4B8A"/>
    <w:rsid w:val="006D4EB8"/>
    <w:rsid w:val="006D50A9"/>
    <w:rsid w:val="006D521C"/>
    <w:rsid w:val="006D549C"/>
    <w:rsid w:val="006D5CF2"/>
    <w:rsid w:val="006D5D66"/>
    <w:rsid w:val="006D67C7"/>
    <w:rsid w:val="006D6A82"/>
    <w:rsid w:val="006D6B1C"/>
    <w:rsid w:val="006D72D0"/>
    <w:rsid w:val="006D75C8"/>
    <w:rsid w:val="006E017A"/>
    <w:rsid w:val="006E0428"/>
    <w:rsid w:val="006E0737"/>
    <w:rsid w:val="006E0B6E"/>
    <w:rsid w:val="006E0F6D"/>
    <w:rsid w:val="006E102B"/>
    <w:rsid w:val="006E176D"/>
    <w:rsid w:val="006E25EB"/>
    <w:rsid w:val="006E2685"/>
    <w:rsid w:val="006E2768"/>
    <w:rsid w:val="006E2B2A"/>
    <w:rsid w:val="006E2E4E"/>
    <w:rsid w:val="006E3445"/>
    <w:rsid w:val="006E367C"/>
    <w:rsid w:val="006E3726"/>
    <w:rsid w:val="006E38E9"/>
    <w:rsid w:val="006E49FD"/>
    <w:rsid w:val="006E4ACD"/>
    <w:rsid w:val="006E4E4B"/>
    <w:rsid w:val="006E4E63"/>
    <w:rsid w:val="006E54EC"/>
    <w:rsid w:val="006E5BBD"/>
    <w:rsid w:val="006E638D"/>
    <w:rsid w:val="006E63B0"/>
    <w:rsid w:val="006E6C01"/>
    <w:rsid w:val="006E7912"/>
    <w:rsid w:val="006E79B2"/>
    <w:rsid w:val="006E7BFA"/>
    <w:rsid w:val="006F0255"/>
    <w:rsid w:val="006F0987"/>
    <w:rsid w:val="006F0DE0"/>
    <w:rsid w:val="006F1172"/>
    <w:rsid w:val="006F14FF"/>
    <w:rsid w:val="006F1A96"/>
    <w:rsid w:val="006F1DFB"/>
    <w:rsid w:val="006F218A"/>
    <w:rsid w:val="006F30AD"/>
    <w:rsid w:val="006F400A"/>
    <w:rsid w:val="006F4103"/>
    <w:rsid w:val="006F4456"/>
    <w:rsid w:val="006F4C92"/>
    <w:rsid w:val="006F58D1"/>
    <w:rsid w:val="006F67F2"/>
    <w:rsid w:val="006F6DF9"/>
    <w:rsid w:val="006F6E45"/>
    <w:rsid w:val="006F7014"/>
    <w:rsid w:val="006F703E"/>
    <w:rsid w:val="006F7371"/>
    <w:rsid w:val="006F74A2"/>
    <w:rsid w:val="006F75BB"/>
    <w:rsid w:val="006F775A"/>
    <w:rsid w:val="00700048"/>
    <w:rsid w:val="007001D5"/>
    <w:rsid w:val="00700446"/>
    <w:rsid w:val="0070070C"/>
    <w:rsid w:val="007008BE"/>
    <w:rsid w:val="00700B9E"/>
    <w:rsid w:val="007011A5"/>
    <w:rsid w:val="00701628"/>
    <w:rsid w:val="0070177A"/>
    <w:rsid w:val="00701B56"/>
    <w:rsid w:val="00702BC9"/>
    <w:rsid w:val="007032DA"/>
    <w:rsid w:val="00704E9C"/>
    <w:rsid w:val="007058C5"/>
    <w:rsid w:val="00706277"/>
    <w:rsid w:val="007077BF"/>
    <w:rsid w:val="007078B8"/>
    <w:rsid w:val="00707B72"/>
    <w:rsid w:val="00707F48"/>
    <w:rsid w:val="00710373"/>
    <w:rsid w:val="007104B0"/>
    <w:rsid w:val="007111C0"/>
    <w:rsid w:val="007114AB"/>
    <w:rsid w:val="00711584"/>
    <w:rsid w:val="00712015"/>
    <w:rsid w:val="00712897"/>
    <w:rsid w:val="00712C22"/>
    <w:rsid w:val="00712E24"/>
    <w:rsid w:val="00713773"/>
    <w:rsid w:val="00713A17"/>
    <w:rsid w:val="007142A8"/>
    <w:rsid w:val="0071480C"/>
    <w:rsid w:val="007156BA"/>
    <w:rsid w:val="00716002"/>
    <w:rsid w:val="00716638"/>
    <w:rsid w:val="00717424"/>
    <w:rsid w:val="00717B2A"/>
    <w:rsid w:val="007206A2"/>
    <w:rsid w:val="0072078E"/>
    <w:rsid w:val="007208B6"/>
    <w:rsid w:val="00720A4A"/>
    <w:rsid w:val="00720AD5"/>
    <w:rsid w:val="00720D55"/>
    <w:rsid w:val="00720F85"/>
    <w:rsid w:val="0072133E"/>
    <w:rsid w:val="00721952"/>
    <w:rsid w:val="00721A62"/>
    <w:rsid w:val="00721F7B"/>
    <w:rsid w:val="007224A3"/>
    <w:rsid w:val="00722831"/>
    <w:rsid w:val="0072352F"/>
    <w:rsid w:val="00723C7B"/>
    <w:rsid w:val="00724677"/>
    <w:rsid w:val="007246CE"/>
    <w:rsid w:val="00724CAA"/>
    <w:rsid w:val="00725B0A"/>
    <w:rsid w:val="00725CB6"/>
    <w:rsid w:val="00725CC6"/>
    <w:rsid w:val="00726FBD"/>
    <w:rsid w:val="007270EF"/>
    <w:rsid w:val="00727BED"/>
    <w:rsid w:val="00727CFE"/>
    <w:rsid w:val="00727D09"/>
    <w:rsid w:val="00727D11"/>
    <w:rsid w:val="00727E69"/>
    <w:rsid w:val="007300A4"/>
    <w:rsid w:val="00730B6B"/>
    <w:rsid w:val="00730C09"/>
    <w:rsid w:val="00730E15"/>
    <w:rsid w:val="007311C2"/>
    <w:rsid w:val="0073165A"/>
    <w:rsid w:val="0073279E"/>
    <w:rsid w:val="00732E33"/>
    <w:rsid w:val="007334B9"/>
    <w:rsid w:val="007334C7"/>
    <w:rsid w:val="00733E38"/>
    <w:rsid w:val="00734D7E"/>
    <w:rsid w:val="00734D8E"/>
    <w:rsid w:val="007356F4"/>
    <w:rsid w:val="007359E4"/>
    <w:rsid w:val="00735ADC"/>
    <w:rsid w:val="00735B0A"/>
    <w:rsid w:val="00735CE3"/>
    <w:rsid w:val="00736521"/>
    <w:rsid w:val="00736647"/>
    <w:rsid w:val="00736CFC"/>
    <w:rsid w:val="00737927"/>
    <w:rsid w:val="00737D8E"/>
    <w:rsid w:val="007403B6"/>
    <w:rsid w:val="00740BAC"/>
    <w:rsid w:val="007411B9"/>
    <w:rsid w:val="007418AD"/>
    <w:rsid w:val="00742882"/>
    <w:rsid w:val="00743106"/>
    <w:rsid w:val="0074349D"/>
    <w:rsid w:val="007434C0"/>
    <w:rsid w:val="007439B1"/>
    <w:rsid w:val="00744A81"/>
    <w:rsid w:val="00744A99"/>
    <w:rsid w:val="00744E06"/>
    <w:rsid w:val="007451F9"/>
    <w:rsid w:val="0074570C"/>
    <w:rsid w:val="00745CE9"/>
    <w:rsid w:val="007461EB"/>
    <w:rsid w:val="007476E3"/>
    <w:rsid w:val="007477D9"/>
    <w:rsid w:val="00747A5F"/>
    <w:rsid w:val="00750179"/>
    <w:rsid w:val="007502CD"/>
    <w:rsid w:val="007507CC"/>
    <w:rsid w:val="00750ACC"/>
    <w:rsid w:val="00750D4C"/>
    <w:rsid w:val="00750E30"/>
    <w:rsid w:val="0075108B"/>
    <w:rsid w:val="007511A0"/>
    <w:rsid w:val="00751311"/>
    <w:rsid w:val="007514B7"/>
    <w:rsid w:val="007515D2"/>
    <w:rsid w:val="00752245"/>
    <w:rsid w:val="00752A63"/>
    <w:rsid w:val="00753F52"/>
    <w:rsid w:val="007550C9"/>
    <w:rsid w:val="0075518C"/>
    <w:rsid w:val="00755286"/>
    <w:rsid w:val="007554FA"/>
    <w:rsid w:val="007558C6"/>
    <w:rsid w:val="00755AB6"/>
    <w:rsid w:val="00756E3C"/>
    <w:rsid w:val="00756FA8"/>
    <w:rsid w:val="0076138C"/>
    <w:rsid w:val="007614BF"/>
    <w:rsid w:val="007615DD"/>
    <w:rsid w:val="00761929"/>
    <w:rsid w:val="00761C49"/>
    <w:rsid w:val="00761C55"/>
    <w:rsid w:val="00762338"/>
    <w:rsid w:val="0076258B"/>
    <w:rsid w:val="00762ED9"/>
    <w:rsid w:val="00763111"/>
    <w:rsid w:val="00763436"/>
    <w:rsid w:val="0076370A"/>
    <w:rsid w:val="00763976"/>
    <w:rsid w:val="00763988"/>
    <w:rsid w:val="007644F1"/>
    <w:rsid w:val="00764966"/>
    <w:rsid w:val="00764CFC"/>
    <w:rsid w:val="007659D0"/>
    <w:rsid w:val="007661F1"/>
    <w:rsid w:val="00766B14"/>
    <w:rsid w:val="00766ED4"/>
    <w:rsid w:val="00767501"/>
    <w:rsid w:val="00770AEB"/>
    <w:rsid w:val="00771590"/>
    <w:rsid w:val="00771F21"/>
    <w:rsid w:val="007723C6"/>
    <w:rsid w:val="00772952"/>
    <w:rsid w:val="00772C81"/>
    <w:rsid w:val="00772F8F"/>
    <w:rsid w:val="00773BE2"/>
    <w:rsid w:val="00774A63"/>
    <w:rsid w:val="00774A97"/>
    <w:rsid w:val="00774D6C"/>
    <w:rsid w:val="00774E6B"/>
    <w:rsid w:val="00775606"/>
    <w:rsid w:val="00776DC5"/>
    <w:rsid w:val="00776FC9"/>
    <w:rsid w:val="007771ED"/>
    <w:rsid w:val="007773CC"/>
    <w:rsid w:val="00777802"/>
    <w:rsid w:val="00777BE1"/>
    <w:rsid w:val="007805B0"/>
    <w:rsid w:val="00780966"/>
    <w:rsid w:val="00781A5F"/>
    <w:rsid w:val="00781E75"/>
    <w:rsid w:val="0078203F"/>
    <w:rsid w:val="0078227F"/>
    <w:rsid w:val="00782696"/>
    <w:rsid w:val="00782AB2"/>
    <w:rsid w:val="00782FA9"/>
    <w:rsid w:val="00783780"/>
    <w:rsid w:val="00783E46"/>
    <w:rsid w:val="00783ED3"/>
    <w:rsid w:val="00783FC2"/>
    <w:rsid w:val="007840E8"/>
    <w:rsid w:val="007845B3"/>
    <w:rsid w:val="007849CB"/>
    <w:rsid w:val="0078500B"/>
    <w:rsid w:val="00785250"/>
    <w:rsid w:val="00785812"/>
    <w:rsid w:val="00785C32"/>
    <w:rsid w:val="00786388"/>
    <w:rsid w:val="00786D2E"/>
    <w:rsid w:val="00786FB9"/>
    <w:rsid w:val="007874D5"/>
    <w:rsid w:val="0078796B"/>
    <w:rsid w:val="00787ABA"/>
    <w:rsid w:val="00787EFC"/>
    <w:rsid w:val="00787F03"/>
    <w:rsid w:val="00790584"/>
    <w:rsid w:val="0079078F"/>
    <w:rsid w:val="00790DA6"/>
    <w:rsid w:val="00790FA3"/>
    <w:rsid w:val="00790FF5"/>
    <w:rsid w:val="00791AF6"/>
    <w:rsid w:val="0079279E"/>
    <w:rsid w:val="007927EC"/>
    <w:rsid w:val="00792970"/>
    <w:rsid w:val="00792EFA"/>
    <w:rsid w:val="00792F2F"/>
    <w:rsid w:val="007931EB"/>
    <w:rsid w:val="00794342"/>
    <w:rsid w:val="007948FB"/>
    <w:rsid w:val="00794D52"/>
    <w:rsid w:val="00795629"/>
    <w:rsid w:val="00795C13"/>
    <w:rsid w:val="00795C83"/>
    <w:rsid w:val="00795E85"/>
    <w:rsid w:val="0079625D"/>
    <w:rsid w:val="00796BA7"/>
    <w:rsid w:val="0079726A"/>
    <w:rsid w:val="00797286"/>
    <w:rsid w:val="007976AA"/>
    <w:rsid w:val="00797873"/>
    <w:rsid w:val="00797B6A"/>
    <w:rsid w:val="007A0A9A"/>
    <w:rsid w:val="007A0BB6"/>
    <w:rsid w:val="007A0CAE"/>
    <w:rsid w:val="007A1741"/>
    <w:rsid w:val="007A1F42"/>
    <w:rsid w:val="007A253A"/>
    <w:rsid w:val="007A263E"/>
    <w:rsid w:val="007A280D"/>
    <w:rsid w:val="007A32A9"/>
    <w:rsid w:val="007A3852"/>
    <w:rsid w:val="007A49A2"/>
    <w:rsid w:val="007A4AE4"/>
    <w:rsid w:val="007A5058"/>
    <w:rsid w:val="007A51AD"/>
    <w:rsid w:val="007A52DA"/>
    <w:rsid w:val="007A5389"/>
    <w:rsid w:val="007A55C8"/>
    <w:rsid w:val="007A55D3"/>
    <w:rsid w:val="007A5609"/>
    <w:rsid w:val="007A5B79"/>
    <w:rsid w:val="007A5E28"/>
    <w:rsid w:val="007A652A"/>
    <w:rsid w:val="007A65AA"/>
    <w:rsid w:val="007A6C27"/>
    <w:rsid w:val="007A7535"/>
    <w:rsid w:val="007B0D85"/>
    <w:rsid w:val="007B104E"/>
    <w:rsid w:val="007B11F2"/>
    <w:rsid w:val="007B23ED"/>
    <w:rsid w:val="007B2455"/>
    <w:rsid w:val="007B2A8E"/>
    <w:rsid w:val="007B4702"/>
    <w:rsid w:val="007B472F"/>
    <w:rsid w:val="007B4C14"/>
    <w:rsid w:val="007B7715"/>
    <w:rsid w:val="007B7B60"/>
    <w:rsid w:val="007B7CE1"/>
    <w:rsid w:val="007B7E49"/>
    <w:rsid w:val="007B7EEA"/>
    <w:rsid w:val="007C04B8"/>
    <w:rsid w:val="007C111D"/>
    <w:rsid w:val="007C11EA"/>
    <w:rsid w:val="007C1589"/>
    <w:rsid w:val="007C23BB"/>
    <w:rsid w:val="007C2B35"/>
    <w:rsid w:val="007C2B50"/>
    <w:rsid w:val="007C2FA1"/>
    <w:rsid w:val="007C3292"/>
    <w:rsid w:val="007C3F64"/>
    <w:rsid w:val="007C4171"/>
    <w:rsid w:val="007C4DB9"/>
    <w:rsid w:val="007C53B5"/>
    <w:rsid w:val="007C53E1"/>
    <w:rsid w:val="007C78C7"/>
    <w:rsid w:val="007C7BD5"/>
    <w:rsid w:val="007C7FDE"/>
    <w:rsid w:val="007D0629"/>
    <w:rsid w:val="007D078D"/>
    <w:rsid w:val="007D0ADA"/>
    <w:rsid w:val="007D0EA7"/>
    <w:rsid w:val="007D14EA"/>
    <w:rsid w:val="007D15E1"/>
    <w:rsid w:val="007D18ED"/>
    <w:rsid w:val="007D195D"/>
    <w:rsid w:val="007D1BBD"/>
    <w:rsid w:val="007D22CA"/>
    <w:rsid w:val="007D2A3D"/>
    <w:rsid w:val="007D30F4"/>
    <w:rsid w:val="007D3249"/>
    <w:rsid w:val="007D42A1"/>
    <w:rsid w:val="007D43BD"/>
    <w:rsid w:val="007D488C"/>
    <w:rsid w:val="007D4949"/>
    <w:rsid w:val="007D4DE2"/>
    <w:rsid w:val="007D5250"/>
    <w:rsid w:val="007D5EDE"/>
    <w:rsid w:val="007D5EE5"/>
    <w:rsid w:val="007D6127"/>
    <w:rsid w:val="007D6526"/>
    <w:rsid w:val="007D6A63"/>
    <w:rsid w:val="007D727E"/>
    <w:rsid w:val="007D794F"/>
    <w:rsid w:val="007E012C"/>
    <w:rsid w:val="007E056B"/>
    <w:rsid w:val="007E0666"/>
    <w:rsid w:val="007E07D7"/>
    <w:rsid w:val="007E09AE"/>
    <w:rsid w:val="007E0A69"/>
    <w:rsid w:val="007E0F90"/>
    <w:rsid w:val="007E107A"/>
    <w:rsid w:val="007E1280"/>
    <w:rsid w:val="007E1541"/>
    <w:rsid w:val="007E2372"/>
    <w:rsid w:val="007E23E1"/>
    <w:rsid w:val="007E2491"/>
    <w:rsid w:val="007E28A5"/>
    <w:rsid w:val="007E28C1"/>
    <w:rsid w:val="007E299E"/>
    <w:rsid w:val="007E29E7"/>
    <w:rsid w:val="007E2A3B"/>
    <w:rsid w:val="007E3B4E"/>
    <w:rsid w:val="007E3E0E"/>
    <w:rsid w:val="007E483C"/>
    <w:rsid w:val="007E48A0"/>
    <w:rsid w:val="007E4B89"/>
    <w:rsid w:val="007E53EE"/>
    <w:rsid w:val="007E575C"/>
    <w:rsid w:val="007E5B49"/>
    <w:rsid w:val="007E63A3"/>
    <w:rsid w:val="007E64B8"/>
    <w:rsid w:val="007E652B"/>
    <w:rsid w:val="007E6EFC"/>
    <w:rsid w:val="007E7276"/>
    <w:rsid w:val="007E7FDA"/>
    <w:rsid w:val="007F014C"/>
    <w:rsid w:val="007F03F5"/>
    <w:rsid w:val="007F0AE6"/>
    <w:rsid w:val="007F10EC"/>
    <w:rsid w:val="007F1307"/>
    <w:rsid w:val="007F13B0"/>
    <w:rsid w:val="007F1757"/>
    <w:rsid w:val="007F19E2"/>
    <w:rsid w:val="007F38C2"/>
    <w:rsid w:val="007F3B59"/>
    <w:rsid w:val="007F3D4C"/>
    <w:rsid w:val="007F3E9D"/>
    <w:rsid w:val="007F452B"/>
    <w:rsid w:val="007F4722"/>
    <w:rsid w:val="007F4F6D"/>
    <w:rsid w:val="007F542C"/>
    <w:rsid w:val="007F6102"/>
    <w:rsid w:val="007F6513"/>
    <w:rsid w:val="007F6A8F"/>
    <w:rsid w:val="007F6E0D"/>
    <w:rsid w:val="007F744E"/>
    <w:rsid w:val="00800015"/>
    <w:rsid w:val="00800049"/>
    <w:rsid w:val="0080049B"/>
    <w:rsid w:val="008005DF"/>
    <w:rsid w:val="00800C4C"/>
    <w:rsid w:val="00800E18"/>
    <w:rsid w:val="00800EFC"/>
    <w:rsid w:val="0080157F"/>
    <w:rsid w:val="00801715"/>
    <w:rsid w:val="00801735"/>
    <w:rsid w:val="008018BE"/>
    <w:rsid w:val="008018E9"/>
    <w:rsid w:val="008018F1"/>
    <w:rsid w:val="00801909"/>
    <w:rsid w:val="00802184"/>
    <w:rsid w:val="008021BE"/>
    <w:rsid w:val="008022B7"/>
    <w:rsid w:val="008026AF"/>
    <w:rsid w:val="00802FD3"/>
    <w:rsid w:val="00803368"/>
    <w:rsid w:val="00803415"/>
    <w:rsid w:val="00803770"/>
    <w:rsid w:val="00803F41"/>
    <w:rsid w:val="00804269"/>
    <w:rsid w:val="00804959"/>
    <w:rsid w:val="008050E4"/>
    <w:rsid w:val="00805ABA"/>
    <w:rsid w:val="0080601A"/>
    <w:rsid w:val="00806192"/>
    <w:rsid w:val="00806D2A"/>
    <w:rsid w:val="00806F00"/>
    <w:rsid w:val="008072AF"/>
    <w:rsid w:val="008074C7"/>
    <w:rsid w:val="00807977"/>
    <w:rsid w:val="00807F64"/>
    <w:rsid w:val="008113AD"/>
    <w:rsid w:val="008117A8"/>
    <w:rsid w:val="00811CB5"/>
    <w:rsid w:val="00812D31"/>
    <w:rsid w:val="0081460B"/>
    <w:rsid w:val="00814978"/>
    <w:rsid w:val="00814D1B"/>
    <w:rsid w:val="00815849"/>
    <w:rsid w:val="00816CB1"/>
    <w:rsid w:val="00816CD5"/>
    <w:rsid w:val="00816D05"/>
    <w:rsid w:val="00817305"/>
    <w:rsid w:val="008176AF"/>
    <w:rsid w:val="008176D0"/>
    <w:rsid w:val="00817781"/>
    <w:rsid w:val="00817875"/>
    <w:rsid w:val="00817924"/>
    <w:rsid w:val="00817D81"/>
    <w:rsid w:val="00817F73"/>
    <w:rsid w:val="00820015"/>
    <w:rsid w:val="00820CF6"/>
    <w:rsid w:val="00821713"/>
    <w:rsid w:val="008218FF"/>
    <w:rsid w:val="00821B15"/>
    <w:rsid w:val="00822067"/>
    <w:rsid w:val="008224EF"/>
    <w:rsid w:val="008225DF"/>
    <w:rsid w:val="0082278B"/>
    <w:rsid w:val="00822E65"/>
    <w:rsid w:val="00822F6D"/>
    <w:rsid w:val="00823391"/>
    <w:rsid w:val="0082364E"/>
    <w:rsid w:val="0082411C"/>
    <w:rsid w:val="00824275"/>
    <w:rsid w:val="00824717"/>
    <w:rsid w:val="0082565B"/>
    <w:rsid w:val="00825FDA"/>
    <w:rsid w:val="00826106"/>
    <w:rsid w:val="008262CB"/>
    <w:rsid w:val="00826F88"/>
    <w:rsid w:val="00826FA0"/>
    <w:rsid w:val="00827379"/>
    <w:rsid w:val="0082768A"/>
    <w:rsid w:val="00827737"/>
    <w:rsid w:val="008279DC"/>
    <w:rsid w:val="00827A5C"/>
    <w:rsid w:val="00830738"/>
    <w:rsid w:val="00830E3E"/>
    <w:rsid w:val="00832029"/>
    <w:rsid w:val="00832A69"/>
    <w:rsid w:val="00833324"/>
    <w:rsid w:val="0083348F"/>
    <w:rsid w:val="008342A1"/>
    <w:rsid w:val="008344EC"/>
    <w:rsid w:val="008352D4"/>
    <w:rsid w:val="00835DBB"/>
    <w:rsid w:val="00837609"/>
    <w:rsid w:val="008401A3"/>
    <w:rsid w:val="008405B6"/>
    <w:rsid w:val="008415A1"/>
    <w:rsid w:val="008416C5"/>
    <w:rsid w:val="0084187B"/>
    <w:rsid w:val="0084219C"/>
    <w:rsid w:val="00843483"/>
    <w:rsid w:val="00843564"/>
    <w:rsid w:val="00843C7E"/>
    <w:rsid w:val="00845310"/>
    <w:rsid w:val="00846175"/>
    <w:rsid w:val="00846C5C"/>
    <w:rsid w:val="008473F4"/>
    <w:rsid w:val="00847498"/>
    <w:rsid w:val="00850379"/>
    <w:rsid w:val="008504CF"/>
    <w:rsid w:val="00850613"/>
    <w:rsid w:val="0085080D"/>
    <w:rsid w:val="00850B70"/>
    <w:rsid w:val="00850D45"/>
    <w:rsid w:val="00850E17"/>
    <w:rsid w:val="00850EF2"/>
    <w:rsid w:val="00851295"/>
    <w:rsid w:val="0085184E"/>
    <w:rsid w:val="00851938"/>
    <w:rsid w:val="00852195"/>
    <w:rsid w:val="008522CC"/>
    <w:rsid w:val="008526B2"/>
    <w:rsid w:val="0085299C"/>
    <w:rsid w:val="00852A89"/>
    <w:rsid w:val="00852B27"/>
    <w:rsid w:val="008533AA"/>
    <w:rsid w:val="00853A56"/>
    <w:rsid w:val="00853C6B"/>
    <w:rsid w:val="00853E79"/>
    <w:rsid w:val="00853EF2"/>
    <w:rsid w:val="0085466D"/>
    <w:rsid w:val="008553F8"/>
    <w:rsid w:val="00855BD6"/>
    <w:rsid w:val="008562E5"/>
    <w:rsid w:val="00856AEC"/>
    <w:rsid w:val="00857D4B"/>
    <w:rsid w:val="00857E4B"/>
    <w:rsid w:val="00857F23"/>
    <w:rsid w:val="0086030C"/>
    <w:rsid w:val="008607D2"/>
    <w:rsid w:val="008618D2"/>
    <w:rsid w:val="008619D0"/>
    <w:rsid w:val="00861A01"/>
    <w:rsid w:val="00861C09"/>
    <w:rsid w:val="00862132"/>
    <w:rsid w:val="0086223C"/>
    <w:rsid w:val="00862A90"/>
    <w:rsid w:val="00862CF6"/>
    <w:rsid w:val="008630C2"/>
    <w:rsid w:val="0086320A"/>
    <w:rsid w:val="0086335F"/>
    <w:rsid w:val="008637B0"/>
    <w:rsid w:val="00863A06"/>
    <w:rsid w:val="00863C9A"/>
    <w:rsid w:val="0086436F"/>
    <w:rsid w:val="00864700"/>
    <w:rsid w:val="008649CF"/>
    <w:rsid w:val="00865B1D"/>
    <w:rsid w:val="00866601"/>
    <w:rsid w:val="0086677C"/>
    <w:rsid w:val="00866DF1"/>
    <w:rsid w:val="0086701D"/>
    <w:rsid w:val="008672DF"/>
    <w:rsid w:val="0086760E"/>
    <w:rsid w:val="008676E0"/>
    <w:rsid w:val="008706C1"/>
    <w:rsid w:val="00870F99"/>
    <w:rsid w:val="008716DF"/>
    <w:rsid w:val="00872B37"/>
    <w:rsid w:val="00872EE8"/>
    <w:rsid w:val="00873281"/>
    <w:rsid w:val="00873291"/>
    <w:rsid w:val="008739BC"/>
    <w:rsid w:val="008741D0"/>
    <w:rsid w:val="00874289"/>
    <w:rsid w:val="00874360"/>
    <w:rsid w:val="008746AF"/>
    <w:rsid w:val="0087480D"/>
    <w:rsid w:val="00874DA5"/>
    <w:rsid w:val="008753C2"/>
    <w:rsid w:val="00876125"/>
    <w:rsid w:val="0087655A"/>
    <w:rsid w:val="00876B9C"/>
    <w:rsid w:val="00877528"/>
    <w:rsid w:val="00877B1D"/>
    <w:rsid w:val="0088011C"/>
    <w:rsid w:val="008811A6"/>
    <w:rsid w:val="0088190F"/>
    <w:rsid w:val="0088343A"/>
    <w:rsid w:val="008838EB"/>
    <w:rsid w:val="00883BA6"/>
    <w:rsid w:val="00884113"/>
    <w:rsid w:val="0088442C"/>
    <w:rsid w:val="00884683"/>
    <w:rsid w:val="00884C40"/>
    <w:rsid w:val="00884CBA"/>
    <w:rsid w:val="008850FD"/>
    <w:rsid w:val="008852ED"/>
    <w:rsid w:val="008856F9"/>
    <w:rsid w:val="008861C7"/>
    <w:rsid w:val="00886625"/>
    <w:rsid w:val="008866B4"/>
    <w:rsid w:val="00886746"/>
    <w:rsid w:val="008868F5"/>
    <w:rsid w:val="0088696A"/>
    <w:rsid w:val="00887BEF"/>
    <w:rsid w:val="00887E0B"/>
    <w:rsid w:val="008905B4"/>
    <w:rsid w:val="00890E39"/>
    <w:rsid w:val="0089122C"/>
    <w:rsid w:val="00891441"/>
    <w:rsid w:val="0089197F"/>
    <w:rsid w:val="00891E9E"/>
    <w:rsid w:val="00892049"/>
    <w:rsid w:val="008920EA"/>
    <w:rsid w:val="008926AE"/>
    <w:rsid w:val="0089303E"/>
    <w:rsid w:val="00893989"/>
    <w:rsid w:val="008948F1"/>
    <w:rsid w:val="008951AD"/>
    <w:rsid w:val="008955BB"/>
    <w:rsid w:val="008955F7"/>
    <w:rsid w:val="00895872"/>
    <w:rsid w:val="008959A4"/>
    <w:rsid w:val="00895C55"/>
    <w:rsid w:val="00896607"/>
    <w:rsid w:val="00896B97"/>
    <w:rsid w:val="00896D2D"/>
    <w:rsid w:val="00896F94"/>
    <w:rsid w:val="00897569"/>
    <w:rsid w:val="008A080C"/>
    <w:rsid w:val="008A0AA4"/>
    <w:rsid w:val="008A10EA"/>
    <w:rsid w:val="008A1F95"/>
    <w:rsid w:val="008A287D"/>
    <w:rsid w:val="008A294F"/>
    <w:rsid w:val="008A2CC3"/>
    <w:rsid w:val="008A2D42"/>
    <w:rsid w:val="008A33D6"/>
    <w:rsid w:val="008A3F11"/>
    <w:rsid w:val="008A4423"/>
    <w:rsid w:val="008A48FA"/>
    <w:rsid w:val="008A5415"/>
    <w:rsid w:val="008A59D6"/>
    <w:rsid w:val="008A5E3D"/>
    <w:rsid w:val="008A690F"/>
    <w:rsid w:val="008A7CFC"/>
    <w:rsid w:val="008A7F27"/>
    <w:rsid w:val="008B05ED"/>
    <w:rsid w:val="008B0CB5"/>
    <w:rsid w:val="008B0D6A"/>
    <w:rsid w:val="008B1218"/>
    <w:rsid w:val="008B12F5"/>
    <w:rsid w:val="008B1A2F"/>
    <w:rsid w:val="008B1B45"/>
    <w:rsid w:val="008B2AE2"/>
    <w:rsid w:val="008B2CE9"/>
    <w:rsid w:val="008B2E8A"/>
    <w:rsid w:val="008B3885"/>
    <w:rsid w:val="008B393E"/>
    <w:rsid w:val="008B3A78"/>
    <w:rsid w:val="008B54CB"/>
    <w:rsid w:val="008B554C"/>
    <w:rsid w:val="008B634A"/>
    <w:rsid w:val="008B639D"/>
    <w:rsid w:val="008B6409"/>
    <w:rsid w:val="008B644D"/>
    <w:rsid w:val="008B691E"/>
    <w:rsid w:val="008B7A72"/>
    <w:rsid w:val="008C002B"/>
    <w:rsid w:val="008C10D2"/>
    <w:rsid w:val="008C131D"/>
    <w:rsid w:val="008C169C"/>
    <w:rsid w:val="008C16B7"/>
    <w:rsid w:val="008C1979"/>
    <w:rsid w:val="008C23AE"/>
    <w:rsid w:val="008C24EB"/>
    <w:rsid w:val="008C3955"/>
    <w:rsid w:val="008C39AC"/>
    <w:rsid w:val="008C3E14"/>
    <w:rsid w:val="008C53A1"/>
    <w:rsid w:val="008C580C"/>
    <w:rsid w:val="008C5841"/>
    <w:rsid w:val="008C5A0B"/>
    <w:rsid w:val="008C5C94"/>
    <w:rsid w:val="008C5EF9"/>
    <w:rsid w:val="008C6103"/>
    <w:rsid w:val="008C64F5"/>
    <w:rsid w:val="008C7B17"/>
    <w:rsid w:val="008D02A8"/>
    <w:rsid w:val="008D040D"/>
    <w:rsid w:val="008D0858"/>
    <w:rsid w:val="008D0EFC"/>
    <w:rsid w:val="008D17A6"/>
    <w:rsid w:val="008D1861"/>
    <w:rsid w:val="008D1E1D"/>
    <w:rsid w:val="008D2089"/>
    <w:rsid w:val="008D313B"/>
    <w:rsid w:val="008D4583"/>
    <w:rsid w:val="008D4E5F"/>
    <w:rsid w:val="008D5587"/>
    <w:rsid w:val="008D5F86"/>
    <w:rsid w:val="008D617F"/>
    <w:rsid w:val="008D6207"/>
    <w:rsid w:val="008D6250"/>
    <w:rsid w:val="008D6342"/>
    <w:rsid w:val="008D768B"/>
    <w:rsid w:val="008D77FF"/>
    <w:rsid w:val="008D793E"/>
    <w:rsid w:val="008D79AD"/>
    <w:rsid w:val="008D7E69"/>
    <w:rsid w:val="008E03B5"/>
    <w:rsid w:val="008E03E5"/>
    <w:rsid w:val="008E0484"/>
    <w:rsid w:val="008E060D"/>
    <w:rsid w:val="008E15A6"/>
    <w:rsid w:val="008E1F96"/>
    <w:rsid w:val="008E22DD"/>
    <w:rsid w:val="008E240B"/>
    <w:rsid w:val="008E267F"/>
    <w:rsid w:val="008E2A9D"/>
    <w:rsid w:val="008E2CB3"/>
    <w:rsid w:val="008E38D8"/>
    <w:rsid w:val="008E398A"/>
    <w:rsid w:val="008E403C"/>
    <w:rsid w:val="008E416C"/>
    <w:rsid w:val="008E440B"/>
    <w:rsid w:val="008E4698"/>
    <w:rsid w:val="008E49C5"/>
    <w:rsid w:val="008E4EF7"/>
    <w:rsid w:val="008E506F"/>
    <w:rsid w:val="008E509C"/>
    <w:rsid w:val="008E528A"/>
    <w:rsid w:val="008E5820"/>
    <w:rsid w:val="008E5A8E"/>
    <w:rsid w:val="008E5BCC"/>
    <w:rsid w:val="008E5D74"/>
    <w:rsid w:val="008E611B"/>
    <w:rsid w:val="008E64FA"/>
    <w:rsid w:val="008E6CF1"/>
    <w:rsid w:val="008E6FDA"/>
    <w:rsid w:val="008F0A46"/>
    <w:rsid w:val="008F1B18"/>
    <w:rsid w:val="008F1C70"/>
    <w:rsid w:val="008F1D62"/>
    <w:rsid w:val="008F1F87"/>
    <w:rsid w:val="008F2018"/>
    <w:rsid w:val="008F2545"/>
    <w:rsid w:val="008F28F8"/>
    <w:rsid w:val="008F293A"/>
    <w:rsid w:val="008F4543"/>
    <w:rsid w:val="008F4720"/>
    <w:rsid w:val="008F486B"/>
    <w:rsid w:val="008F4BE3"/>
    <w:rsid w:val="008F5122"/>
    <w:rsid w:val="008F5BED"/>
    <w:rsid w:val="008F60B6"/>
    <w:rsid w:val="008F6A1B"/>
    <w:rsid w:val="008F6B4A"/>
    <w:rsid w:val="008F6FCA"/>
    <w:rsid w:val="008F7634"/>
    <w:rsid w:val="008F7C05"/>
    <w:rsid w:val="009003ED"/>
    <w:rsid w:val="00900AC9"/>
    <w:rsid w:val="009011E9"/>
    <w:rsid w:val="00901674"/>
    <w:rsid w:val="009018F6"/>
    <w:rsid w:val="0090253C"/>
    <w:rsid w:val="00902BBB"/>
    <w:rsid w:val="00902F4E"/>
    <w:rsid w:val="009032D5"/>
    <w:rsid w:val="00906464"/>
    <w:rsid w:val="0090678A"/>
    <w:rsid w:val="00906893"/>
    <w:rsid w:val="00906C1D"/>
    <w:rsid w:val="0090789D"/>
    <w:rsid w:val="00910600"/>
    <w:rsid w:val="00910682"/>
    <w:rsid w:val="0091068D"/>
    <w:rsid w:val="0091077C"/>
    <w:rsid w:val="00910CE5"/>
    <w:rsid w:val="00910FC7"/>
    <w:rsid w:val="00911047"/>
    <w:rsid w:val="0091111A"/>
    <w:rsid w:val="0091132D"/>
    <w:rsid w:val="00911E2E"/>
    <w:rsid w:val="00912052"/>
    <w:rsid w:val="009122A0"/>
    <w:rsid w:val="009123CE"/>
    <w:rsid w:val="009126CB"/>
    <w:rsid w:val="00912F86"/>
    <w:rsid w:val="009135B0"/>
    <w:rsid w:val="00913ABA"/>
    <w:rsid w:val="00913B72"/>
    <w:rsid w:val="00913BF0"/>
    <w:rsid w:val="00914684"/>
    <w:rsid w:val="00915808"/>
    <w:rsid w:val="009161E2"/>
    <w:rsid w:val="009166CB"/>
    <w:rsid w:val="00916F43"/>
    <w:rsid w:val="00916FA6"/>
    <w:rsid w:val="009175D4"/>
    <w:rsid w:val="00917B4E"/>
    <w:rsid w:val="00917E66"/>
    <w:rsid w:val="00920190"/>
    <w:rsid w:val="00920896"/>
    <w:rsid w:val="009208FC"/>
    <w:rsid w:val="00921874"/>
    <w:rsid w:val="00921CD3"/>
    <w:rsid w:val="00922263"/>
    <w:rsid w:val="00922E59"/>
    <w:rsid w:val="00923456"/>
    <w:rsid w:val="009235AB"/>
    <w:rsid w:val="009236F9"/>
    <w:rsid w:val="00923A8D"/>
    <w:rsid w:val="00924190"/>
    <w:rsid w:val="00924602"/>
    <w:rsid w:val="00924B02"/>
    <w:rsid w:val="00925016"/>
    <w:rsid w:val="00925B3C"/>
    <w:rsid w:val="00925EE1"/>
    <w:rsid w:val="00926AC3"/>
    <w:rsid w:val="00926D6C"/>
    <w:rsid w:val="00930F9A"/>
    <w:rsid w:val="0093162A"/>
    <w:rsid w:val="0093245F"/>
    <w:rsid w:val="009324EE"/>
    <w:rsid w:val="00932C31"/>
    <w:rsid w:val="00932F5A"/>
    <w:rsid w:val="00933F71"/>
    <w:rsid w:val="00935AA9"/>
    <w:rsid w:val="00935B82"/>
    <w:rsid w:val="00936694"/>
    <w:rsid w:val="00936988"/>
    <w:rsid w:val="00936E3D"/>
    <w:rsid w:val="00937808"/>
    <w:rsid w:val="00937AAC"/>
    <w:rsid w:val="00937D22"/>
    <w:rsid w:val="00937D88"/>
    <w:rsid w:val="00937F49"/>
    <w:rsid w:val="0094043E"/>
    <w:rsid w:val="00940762"/>
    <w:rsid w:val="009410EB"/>
    <w:rsid w:val="00941136"/>
    <w:rsid w:val="009415AE"/>
    <w:rsid w:val="00941EAD"/>
    <w:rsid w:val="00943D0D"/>
    <w:rsid w:val="009441DE"/>
    <w:rsid w:val="0094421B"/>
    <w:rsid w:val="0094499B"/>
    <w:rsid w:val="0094521C"/>
    <w:rsid w:val="00945631"/>
    <w:rsid w:val="00945A30"/>
    <w:rsid w:val="00945FC4"/>
    <w:rsid w:val="00946523"/>
    <w:rsid w:val="009465E5"/>
    <w:rsid w:val="00947284"/>
    <w:rsid w:val="0094755A"/>
    <w:rsid w:val="009501E3"/>
    <w:rsid w:val="009502B1"/>
    <w:rsid w:val="0095094C"/>
    <w:rsid w:val="00950EC8"/>
    <w:rsid w:val="00951873"/>
    <w:rsid w:val="00952A9F"/>
    <w:rsid w:val="00952AA8"/>
    <w:rsid w:val="00952F2B"/>
    <w:rsid w:val="00953492"/>
    <w:rsid w:val="00954B5D"/>
    <w:rsid w:val="0095587C"/>
    <w:rsid w:val="00955E4C"/>
    <w:rsid w:val="00956763"/>
    <w:rsid w:val="00956BDB"/>
    <w:rsid w:val="009571BD"/>
    <w:rsid w:val="009572A3"/>
    <w:rsid w:val="009573D9"/>
    <w:rsid w:val="009578B6"/>
    <w:rsid w:val="00957C9A"/>
    <w:rsid w:val="00957E8F"/>
    <w:rsid w:val="00957EA1"/>
    <w:rsid w:val="009605B1"/>
    <w:rsid w:val="00960C4B"/>
    <w:rsid w:val="00961162"/>
    <w:rsid w:val="00961A18"/>
    <w:rsid w:val="00962998"/>
    <w:rsid w:val="00963114"/>
    <w:rsid w:val="009633B8"/>
    <w:rsid w:val="009639AE"/>
    <w:rsid w:val="00963C97"/>
    <w:rsid w:val="00964086"/>
    <w:rsid w:val="00964688"/>
    <w:rsid w:val="00964E13"/>
    <w:rsid w:val="009656DB"/>
    <w:rsid w:val="009660BA"/>
    <w:rsid w:val="009660EC"/>
    <w:rsid w:val="009663C7"/>
    <w:rsid w:val="00966643"/>
    <w:rsid w:val="00967AAA"/>
    <w:rsid w:val="00967AFA"/>
    <w:rsid w:val="00970352"/>
    <w:rsid w:val="0097053D"/>
    <w:rsid w:val="00970D2E"/>
    <w:rsid w:val="00970D62"/>
    <w:rsid w:val="00971CD6"/>
    <w:rsid w:val="00972B60"/>
    <w:rsid w:val="009736A5"/>
    <w:rsid w:val="00973A32"/>
    <w:rsid w:val="0097409C"/>
    <w:rsid w:val="0097513F"/>
    <w:rsid w:val="00975826"/>
    <w:rsid w:val="0097584A"/>
    <w:rsid w:val="009764D0"/>
    <w:rsid w:val="009764E3"/>
    <w:rsid w:val="0097675D"/>
    <w:rsid w:val="009768E3"/>
    <w:rsid w:val="00977145"/>
    <w:rsid w:val="009772BB"/>
    <w:rsid w:val="00977460"/>
    <w:rsid w:val="009778D0"/>
    <w:rsid w:val="00977943"/>
    <w:rsid w:val="00977A5C"/>
    <w:rsid w:val="00980572"/>
    <w:rsid w:val="00980849"/>
    <w:rsid w:val="00980D81"/>
    <w:rsid w:val="009811A5"/>
    <w:rsid w:val="0098142B"/>
    <w:rsid w:val="0098148F"/>
    <w:rsid w:val="00981630"/>
    <w:rsid w:val="009816C8"/>
    <w:rsid w:val="00982948"/>
    <w:rsid w:val="009830CC"/>
    <w:rsid w:val="0098321B"/>
    <w:rsid w:val="0098340A"/>
    <w:rsid w:val="00983567"/>
    <w:rsid w:val="00983833"/>
    <w:rsid w:val="00983A37"/>
    <w:rsid w:val="00984433"/>
    <w:rsid w:val="00984613"/>
    <w:rsid w:val="00984AAD"/>
    <w:rsid w:val="00985180"/>
    <w:rsid w:val="0098541C"/>
    <w:rsid w:val="0098594B"/>
    <w:rsid w:val="00986081"/>
    <w:rsid w:val="0098613D"/>
    <w:rsid w:val="00986622"/>
    <w:rsid w:val="00986647"/>
    <w:rsid w:val="0098664B"/>
    <w:rsid w:val="009869F6"/>
    <w:rsid w:val="00986BAF"/>
    <w:rsid w:val="00987548"/>
    <w:rsid w:val="009878E7"/>
    <w:rsid w:val="009901E3"/>
    <w:rsid w:val="0099039A"/>
    <w:rsid w:val="00990780"/>
    <w:rsid w:val="009912B6"/>
    <w:rsid w:val="009913C0"/>
    <w:rsid w:val="009914D5"/>
    <w:rsid w:val="009919D7"/>
    <w:rsid w:val="009921D5"/>
    <w:rsid w:val="00992A32"/>
    <w:rsid w:val="009934B7"/>
    <w:rsid w:val="00993AC7"/>
    <w:rsid w:val="00993C37"/>
    <w:rsid w:val="00993CD1"/>
    <w:rsid w:val="00993F78"/>
    <w:rsid w:val="00993FDA"/>
    <w:rsid w:val="00994AFD"/>
    <w:rsid w:val="00995AB5"/>
    <w:rsid w:val="00995F91"/>
    <w:rsid w:val="009972DF"/>
    <w:rsid w:val="00997CCF"/>
    <w:rsid w:val="009A0498"/>
    <w:rsid w:val="009A0BF2"/>
    <w:rsid w:val="009A1023"/>
    <w:rsid w:val="009A113E"/>
    <w:rsid w:val="009A13AE"/>
    <w:rsid w:val="009A2632"/>
    <w:rsid w:val="009A2A3E"/>
    <w:rsid w:val="009A2FBF"/>
    <w:rsid w:val="009A3A4F"/>
    <w:rsid w:val="009A3F0A"/>
    <w:rsid w:val="009A4086"/>
    <w:rsid w:val="009A475D"/>
    <w:rsid w:val="009A5366"/>
    <w:rsid w:val="009A53FD"/>
    <w:rsid w:val="009A5A63"/>
    <w:rsid w:val="009A5E1D"/>
    <w:rsid w:val="009A5FC5"/>
    <w:rsid w:val="009A6070"/>
    <w:rsid w:val="009A61A6"/>
    <w:rsid w:val="009A69DC"/>
    <w:rsid w:val="009A6D16"/>
    <w:rsid w:val="009A6FC6"/>
    <w:rsid w:val="009A76CC"/>
    <w:rsid w:val="009B027D"/>
    <w:rsid w:val="009B0664"/>
    <w:rsid w:val="009B107E"/>
    <w:rsid w:val="009B159B"/>
    <w:rsid w:val="009B1FCA"/>
    <w:rsid w:val="009B23B7"/>
    <w:rsid w:val="009B285C"/>
    <w:rsid w:val="009B2917"/>
    <w:rsid w:val="009B2D69"/>
    <w:rsid w:val="009B3639"/>
    <w:rsid w:val="009B4297"/>
    <w:rsid w:val="009B4454"/>
    <w:rsid w:val="009B4A25"/>
    <w:rsid w:val="009B4A4D"/>
    <w:rsid w:val="009B4E1A"/>
    <w:rsid w:val="009B5536"/>
    <w:rsid w:val="009B5A2B"/>
    <w:rsid w:val="009B5E70"/>
    <w:rsid w:val="009B6AC5"/>
    <w:rsid w:val="009B6D4F"/>
    <w:rsid w:val="009B71D6"/>
    <w:rsid w:val="009B71FF"/>
    <w:rsid w:val="009B7859"/>
    <w:rsid w:val="009B78B1"/>
    <w:rsid w:val="009B7EF0"/>
    <w:rsid w:val="009C0530"/>
    <w:rsid w:val="009C0593"/>
    <w:rsid w:val="009C0E59"/>
    <w:rsid w:val="009C0FE0"/>
    <w:rsid w:val="009C111D"/>
    <w:rsid w:val="009C14A8"/>
    <w:rsid w:val="009C1BED"/>
    <w:rsid w:val="009C2A91"/>
    <w:rsid w:val="009C3624"/>
    <w:rsid w:val="009C3EE3"/>
    <w:rsid w:val="009C4334"/>
    <w:rsid w:val="009C47D3"/>
    <w:rsid w:val="009C47F1"/>
    <w:rsid w:val="009C4D59"/>
    <w:rsid w:val="009C5358"/>
    <w:rsid w:val="009C5648"/>
    <w:rsid w:val="009C5663"/>
    <w:rsid w:val="009C60D2"/>
    <w:rsid w:val="009C646C"/>
    <w:rsid w:val="009C6910"/>
    <w:rsid w:val="009C6BD0"/>
    <w:rsid w:val="009C70CA"/>
    <w:rsid w:val="009C75A8"/>
    <w:rsid w:val="009C77EA"/>
    <w:rsid w:val="009C7811"/>
    <w:rsid w:val="009C7AB2"/>
    <w:rsid w:val="009C7BBD"/>
    <w:rsid w:val="009D0231"/>
    <w:rsid w:val="009D0731"/>
    <w:rsid w:val="009D105E"/>
    <w:rsid w:val="009D1418"/>
    <w:rsid w:val="009D14AD"/>
    <w:rsid w:val="009D14D5"/>
    <w:rsid w:val="009D1EFA"/>
    <w:rsid w:val="009D2025"/>
    <w:rsid w:val="009D2314"/>
    <w:rsid w:val="009D2528"/>
    <w:rsid w:val="009D252E"/>
    <w:rsid w:val="009D2637"/>
    <w:rsid w:val="009D277C"/>
    <w:rsid w:val="009D2EA5"/>
    <w:rsid w:val="009D53BA"/>
    <w:rsid w:val="009D53CD"/>
    <w:rsid w:val="009D57B3"/>
    <w:rsid w:val="009D5D38"/>
    <w:rsid w:val="009D5DFA"/>
    <w:rsid w:val="009D61FE"/>
    <w:rsid w:val="009D6F47"/>
    <w:rsid w:val="009D7CBC"/>
    <w:rsid w:val="009E0079"/>
    <w:rsid w:val="009E0761"/>
    <w:rsid w:val="009E07D9"/>
    <w:rsid w:val="009E08FF"/>
    <w:rsid w:val="009E10BE"/>
    <w:rsid w:val="009E1C53"/>
    <w:rsid w:val="009E2744"/>
    <w:rsid w:val="009E28B6"/>
    <w:rsid w:val="009E32E0"/>
    <w:rsid w:val="009E336E"/>
    <w:rsid w:val="009E3831"/>
    <w:rsid w:val="009E4341"/>
    <w:rsid w:val="009E468A"/>
    <w:rsid w:val="009E484E"/>
    <w:rsid w:val="009E4857"/>
    <w:rsid w:val="009E4B09"/>
    <w:rsid w:val="009E4BD0"/>
    <w:rsid w:val="009E4F30"/>
    <w:rsid w:val="009E503E"/>
    <w:rsid w:val="009E5099"/>
    <w:rsid w:val="009E5194"/>
    <w:rsid w:val="009E5290"/>
    <w:rsid w:val="009E5594"/>
    <w:rsid w:val="009E561D"/>
    <w:rsid w:val="009E6184"/>
    <w:rsid w:val="009E61E6"/>
    <w:rsid w:val="009E637A"/>
    <w:rsid w:val="009E63F2"/>
    <w:rsid w:val="009E6428"/>
    <w:rsid w:val="009E6E39"/>
    <w:rsid w:val="009E7307"/>
    <w:rsid w:val="009E7442"/>
    <w:rsid w:val="009E7771"/>
    <w:rsid w:val="009E796A"/>
    <w:rsid w:val="009E79EA"/>
    <w:rsid w:val="009E7A76"/>
    <w:rsid w:val="009E7ADF"/>
    <w:rsid w:val="009E7DFB"/>
    <w:rsid w:val="009F02DC"/>
    <w:rsid w:val="009F0AB8"/>
    <w:rsid w:val="009F0D8F"/>
    <w:rsid w:val="009F0F97"/>
    <w:rsid w:val="009F1C31"/>
    <w:rsid w:val="009F1C97"/>
    <w:rsid w:val="009F2036"/>
    <w:rsid w:val="009F22AC"/>
    <w:rsid w:val="009F2F61"/>
    <w:rsid w:val="009F46E7"/>
    <w:rsid w:val="009F48BB"/>
    <w:rsid w:val="009F55BF"/>
    <w:rsid w:val="009F5D6F"/>
    <w:rsid w:val="009F5DAD"/>
    <w:rsid w:val="009F5EDE"/>
    <w:rsid w:val="009F60F5"/>
    <w:rsid w:val="009F65D0"/>
    <w:rsid w:val="009F6958"/>
    <w:rsid w:val="009F7310"/>
    <w:rsid w:val="009F75BC"/>
    <w:rsid w:val="009F7FB7"/>
    <w:rsid w:val="00A01972"/>
    <w:rsid w:val="00A020D9"/>
    <w:rsid w:val="00A022A5"/>
    <w:rsid w:val="00A022CF"/>
    <w:rsid w:val="00A02315"/>
    <w:rsid w:val="00A02A57"/>
    <w:rsid w:val="00A03211"/>
    <w:rsid w:val="00A0380E"/>
    <w:rsid w:val="00A04AEC"/>
    <w:rsid w:val="00A05455"/>
    <w:rsid w:val="00A054AC"/>
    <w:rsid w:val="00A0581C"/>
    <w:rsid w:val="00A05BD4"/>
    <w:rsid w:val="00A05EAD"/>
    <w:rsid w:val="00A06370"/>
    <w:rsid w:val="00A064C1"/>
    <w:rsid w:val="00A068CC"/>
    <w:rsid w:val="00A07260"/>
    <w:rsid w:val="00A073F0"/>
    <w:rsid w:val="00A0798A"/>
    <w:rsid w:val="00A07DE8"/>
    <w:rsid w:val="00A07E63"/>
    <w:rsid w:val="00A07FB0"/>
    <w:rsid w:val="00A10750"/>
    <w:rsid w:val="00A1087E"/>
    <w:rsid w:val="00A10A16"/>
    <w:rsid w:val="00A1117A"/>
    <w:rsid w:val="00A11730"/>
    <w:rsid w:val="00A11B32"/>
    <w:rsid w:val="00A11F46"/>
    <w:rsid w:val="00A12B18"/>
    <w:rsid w:val="00A132D2"/>
    <w:rsid w:val="00A13355"/>
    <w:rsid w:val="00A14243"/>
    <w:rsid w:val="00A150CD"/>
    <w:rsid w:val="00A1576F"/>
    <w:rsid w:val="00A161FF"/>
    <w:rsid w:val="00A16527"/>
    <w:rsid w:val="00A166D2"/>
    <w:rsid w:val="00A1700A"/>
    <w:rsid w:val="00A1777A"/>
    <w:rsid w:val="00A17E0A"/>
    <w:rsid w:val="00A203E1"/>
    <w:rsid w:val="00A20A67"/>
    <w:rsid w:val="00A21DE7"/>
    <w:rsid w:val="00A22535"/>
    <w:rsid w:val="00A22D4D"/>
    <w:rsid w:val="00A23140"/>
    <w:rsid w:val="00A237F6"/>
    <w:rsid w:val="00A2384E"/>
    <w:rsid w:val="00A239C6"/>
    <w:rsid w:val="00A23AF3"/>
    <w:rsid w:val="00A257AA"/>
    <w:rsid w:val="00A26449"/>
    <w:rsid w:val="00A26A9D"/>
    <w:rsid w:val="00A26E45"/>
    <w:rsid w:val="00A26F65"/>
    <w:rsid w:val="00A27508"/>
    <w:rsid w:val="00A2758C"/>
    <w:rsid w:val="00A27C1D"/>
    <w:rsid w:val="00A30621"/>
    <w:rsid w:val="00A318A0"/>
    <w:rsid w:val="00A31FD2"/>
    <w:rsid w:val="00A3267B"/>
    <w:rsid w:val="00A329DD"/>
    <w:rsid w:val="00A33C57"/>
    <w:rsid w:val="00A34068"/>
    <w:rsid w:val="00A346E3"/>
    <w:rsid w:val="00A34960"/>
    <w:rsid w:val="00A34BDC"/>
    <w:rsid w:val="00A34DCA"/>
    <w:rsid w:val="00A3547E"/>
    <w:rsid w:val="00A358CF"/>
    <w:rsid w:val="00A35D1C"/>
    <w:rsid w:val="00A35FD5"/>
    <w:rsid w:val="00A3625C"/>
    <w:rsid w:val="00A36F3C"/>
    <w:rsid w:val="00A40859"/>
    <w:rsid w:val="00A408C1"/>
    <w:rsid w:val="00A40E1A"/>
    <w:rsid w:val="00A40F3E"/>
    <w:rsid w:val="00A4165D"/>
    <w:rsid w:val="00A41813"/>
    <w:rsid w:val="00A42505"/>
    <w:rsid w:val="00A42C32"/>
    <w:rsid w:val="00A42C80"/>
    <w:rsid w:val="00A434B0"/>
    <w:rsid w:val="00A4352C"/>
    <w:rsid w:val="00A4417F"/>
    <w:rsid w:val="00A445EF"/>
    <w:rsid w:val="00A44FF1"/>
    <w:rsid w:val="00A45164"/>
    <w:rsid w:val="00A452E5"/>
    <w:rsid w:val="00A464C6"/>
    <w:rsid w:val="00A46AB3"/>
    <w:rsid w:val="00A47513"/>
    <w:rsid w:val="00A5004F"/>
    <w:rsid w:val="00A5088C"/>
    <w:rsid w:val="00A5090E"/>
    <w:rsid w:val="00A50C57"/>
    <w:rsid w:val="00A51072"/>
    <w:rsid w:val="00A5132A"/>
    <w:rsid w:val="00A51BFA"/>
    <w:rsid w:val="00A51CBE"/>
    <w:rsid w:val="00A52942"/>
    <w:rsid w:val="00A52956"/>
    <w:rsid w:val="00A52A92"/>
    <w:rsid w:val="00A52AFC"/>
    <w:rsid w:val="00A52F33"/>
    <w:rsid w:val="00A53122"/>
    <w:rsid w:val="00A53539"/>
    <w:rsid w:val="00A53602"/>
    <w:rsid w:val="00A53777"/>
    <w:rsid w:val="00A53819"/>
    <w:rsid w:val="00A538A9"/>
    <w:rsid w:val="00A53BF1"/>
    <w:rsid w:val="00A53DBD"/>
    <w:rsid w:val="00A53EFF"/>
    <w:rsid w:val="00A551B6"/>
    <w:rsid w:val="00A55416"/>
    <w:rsid w:val="00A55D84"/>
    <w:rsid w:val="00A5647D"/>
    <w:rsid w:val="00A5657B"/>
    <w:rsid w:val="00A56BDE"/>
    <w:rsid w:val="00A56CCB"/>
    <w:rsid w:val="00A56DF1"/>
    <w:rsid w:val="00A574AE"/>
    <w:rsid w:val="00A575D0"/>
    <w:rsid w:val="00A60981"/>
    <w:rsid w:val="00A6140D"/>
    <w:rsid w:val="00A61A00"/>
    <w:rsid w:val="00A61F54"/>
    <w:rsid w:val="00A627A0"/>
    <w:rsid w:val="00A628CE"/>
    <w:rsid w:val="00A62F5D"/>
    <w:rsid w:val="00A634B9"/>
    <w:rsid w:val="00A6356A"/>
    <w:rsid w:val="00A64DA6"/>
    <w:rsid w:val="00A65480"/>
    <w:rsid w:val="00A6637B"/>
    <w:rsid w:val="00A6656D"/>
    <w:rsid w:val="00A669ED"/>
    <w:rsid w:val="00A66A62"/>
    <w:rsid w:val="00A67495"/>
    <w:rsid w:val="00A67D70"/>
    <w:rsid w:val="00A67EDC"/>
    <w:rsid w:val="00A67F1D"/>
    <w:rsid w:val="00A67F1E"/>
    <w:rsid w:val="00A700AC"/>
    <w:rsid w:val="00A707C7"/>
    <w:rsid w:val="00A70AA4"/>
    <w:rsid w:val="00A7128F"/>
    <w:rsid w:val="00A71396"/>
    <w:rsid w:val="00A71FDC"/>
    <w:rsid w:val="00A724B5"/>
    <w:rsid w:val="00A72B72"/>
    <w:rsid w:val="00A72D0F"/>
    <w:rsid w:val="00A73525"/>
    <w:rsid w:val="00A7359A"/>
    <w:rsid w:val="00A736FE"/>
    <w:rsid w:val="00A738DD"/>
    <w:rsid w:val="00A73AE7"/>
    <w:rsid w:val="00A73C91"/>
    <w:rsid w:val="00A73D23"/>
    <w:rsid w:val="00A73D62"/>
    <w:rsid w:val="00A74CB6"/>
    <w:rsid w:val="00A7564D"/>
    <w:rsid w:val="00A757E5"/>
    <w:rsid w:val="00A76402"/>
    <w:rsid w:val="00A76442"/>
    <w:rsid w:val="00A76513"/>
    <w:rsid w:val="00A765D0"/>
    <w:rsid w:val="00A7678E"/>
    <w:rsid w:val="00A770C9"/>
    <w:rsid w:val="00A777B4"/>
    <w:rsid w:val="00A77BC1"/>
    <w:rsid w:val="00A80066"/>
    <w:rsid w:val="00A80351"/>
    <w:rsid w:val="00A81345"/>
    <w:rsid w:val="00A82AAB"/>
    <w:rsid w:val="00A82B44"/>
    <w:rsid w:val="00A84FD4"/>
    <w:rsid w:val="00A855A0"/>
    <w:rsid w:val="00A86259"/>
    <w:rsid w:val="00A868F6"/>
    <w:rsid w:val="00A86C4C"/>
    <w:rsid w:val="00A877A0"/>
    <w:rsid w:val="00A87882"/>
    <w:rsid w:val="00A87FA1"/>
    <w:rsid w:val="00A90201"/>
    <w:rsid w:val="00A906E3"/>
    <w:rsid w:val="00A9083C"/>
    <w:rsid w:val="00A91036"/>
    <w:rsid w:val="00A912D3"/>
    <w:rsid w:val="00A91642"/>
    <w:rsid w:val="00A918FC"/>
    <w:rsid w:val="00A919C6"/>
    <w:rsid w:val="00A91A49"/>
    <w:rsid w:val="00A91B2D"/>
    <w:rsid w:val="00A91DB5"/>
    <w:rsid w:val="00A920D5"/>
    <w:rsid w:val="00A92B73"/>
    <w:rsid w:val="00A92F6E"/>
    <w:rsid w:val="00A93164"/>
    <w:rsid w:val="00A935F8"/>
    <w:rsid w:val="00A942E6"/>
    <w:rsid w:val="00A94387"/>
    <w:rsid w:val="00A94762"/>
    <w:rsid w:val="00A947F9"/>
    <w:rsid w:val="00A94ADA"/>
    <w:rsid w:val="00A94B33"/>
    <w:rsid w:val="00A94BD1"/>
    <w:rsid w:val="00A94DB6"/>
    <w:rsid w:val="00A9551A"/>
    <w:rsid w:val="00A9597F"/>
    <w:rsid w:val="00A95C4A"/>
    <w:rsid w:val="00A95EF6"/>
    <w:rsid w:val="00A95F5A"/>
    <w:rsid w:val="00A95F7E"/>
    <w:rsid w:val="00A96223"/>
    <w:rsid w:val="00A9637E"/>
    <w:rsid w:val="00A965D5"/>
    <w:rsid w:val="00A967B5"/>
    <w:rsid w:val="00A96912"/>
    <w:rsid w:val="00A96D4F"/>
    <w:rsid w:val="00A96FE0"/>
    <w:rsid w:val="00A97555"/>
    <w:rsid w:val="00A97562"/>
    <w:rsid w:val="00A978ED"/>
    <w:rsid w:val="00AA0938"/>
    <w:rsid w:val="00AA11DF"/>
    <w:rsid w:val="00AA1C8E"/>
    <w:rsid w:val="00AA2735"/>
    <w:rsid w:val="00AA2800"/>
    <w:rsid w:val="00AA2820"/>
    <w:rsid w:val="00AA287C"/>
    <w:rsid w:val="00AA2D64"/>
    <w:rsid w:val="00AA3CEA"/>
    <w:rsid w:val="00AA5594"/>
    <w:rsid w:val="00AA71F5"/>
    <w:rsid w:val="00AA756D"/>
    <w:rsid w:val="00AA77EA"/>
    <w:rsid w:val="00AA795F"/>
    <w:rsid w:val="00AA79C5"/>
    <w:rsid w:val="00AA7B6D"/>
    <w:rsid w:val="00AA7DC5"/>
    <w:rsid w:val="00AB04D9"/>
    <w:rsid w:val="00AB04DE"/>
    <w:rsid w:val="00AB10E1"/>
    <w:rsid w:val="00AB14C1"/>
    <w:rsid w:val="00AB22F2"/>
    <w:rsid w:val="00AB2566"/>
    <w:rsid w:val="00AB29B6"/>
    <w:rsid w:val="00AB3F62"/>
    <w:rsid w:val="00AB40AE"/>
    <w:rsid w:val="00AB4966"/>
    <w:rsid w:val="00AB4CB9"/>
    <w:rsid w:val="00AB5528"/>
    <w:rsid w:val="00AB5E09"/>
    <w:rsid w:val="00AB5EAF"/>
    <w:rsid w:val="00AB647C"/>
    <w:rsid w:val="00AB6A64"/>
    <w:rsid w:val="00AB6E7E"/>
    <w:rsid w:val="00AB72FA"/>
    <w:rsid w:val="00AC009B"/>
    <w:rsid w:val="00AC00E6"/>
    <w:rsid w:val="00AC01E7"/>
    <w:rsid w:val="00AC02CA"/>
    <w:rsid w:val="00AC0479"/>
    <w:rsid w:val="00AC12AD"/>
    <w:rsid w:val="00AC20CB"/>
    <w:rsid w:val="00AC2692"/>
    <w:rsid w:val="00AC32D6"/>
    <w:rsid w:val="00AC38A3"/>
    <w:rsid w:val="00AC3C2F"/>
    <w:rsid w:val="00AC3DC3"/>
    <w:rsid w:val="00AC57CB"/>
    <w:rsid w:val="00AC59A5"/>
    <w:rsid w:val="00AC608F"/>
    <w:rsid w:val="00AC6721"/>
    <w:rsid w:val="00AC6EF3"/>
    <w:rsid w:val="00AC6FE4"/>
    <w:rsid w:val="00AC75D0"/>
    <w:rsid w:val="00AC77F7"/>
    <w:rsid w:val="00AD06F0"/>
    <w:rsid w:val="00AD0802"/>
    <w:rsid w:val="00AD0857"/>
    <w:rsid w:val="00AD0A65"/>
    <w:rsid w:val="00AD174D"/>
    <w:rsid w:val="00AD1B54"/>
    <w:rsid w:val="00AD1CF5"/>
    <w:rsid w:val="00AD2640"/>
    <w:rsid w:val="00AD2649"/>
    <w:rsid w:val="00AD2E71"/>
    <w:rsid w:val="00AD35A3"/>
    <w:rsid w:val="00AD3A92"/>
    <w:rsid w:val="00AD416F"/>
    <w:rsid w:val="00AD531E"/>
    <w:rsid w:val="00AD55D8"/>
    <w:rsid w:val="00AD599B"/>
    <w:rsid w:val="00AD5A61"/>
    <w:rsid w:val="00AD67D5"/>
    <w:rsid w:val="00AD75E8"/>
    <w:rsid w:val="00AD7764"/>
    <w:rsid w:val="00AD78E1"/>
    <w:rsid w:val="00AD79E0"/>
    <w:rsid w:val="00AD7D4A"/>
    <w:rsid w:val="00AE0187"/>
    <w:rsid w:val="00AE018A"/>
    <w:rsid w:val="00AE0802"/>
    <w:rsid w:val="00AE0BE5"/>
    <w:rsid w:val="00AE0E48"/>
    <w:rsid w:val="00AE14BC"/>
    <w:rsid w:val="00AE1554"/>
    <w:rsid w:val="00AE1D90"/>
    <w:rsid w:val="00AE1EF4"/>
    <w:rsid w:val="00AE23C3"/>
    <w:rsid w:val="00AE2846"/>
    <w:rsid w:val="00AE2BE6"/>
    <w:rsid w:val="00AE2FAB"/>
    <w:rsid w:val="00AE302D"/>
    <w:rsid w:val="00AE326A"/>
    <w:rsid w:val="00AE3AA2"/>
    <w:rsid w:val="00AE3C07"/>
    <w:rsid w:val="00AE4B98"/>
    <w:rsid w:val="00AE50AD"/>
    <w:rsid w:val="00AE5C75"/>
    <w:rsid w:val="00AE62AE"/>
    <w:rsid w:val="00AE62B1"/>
    <w:rsid w:val="00AE73C3"/>
    <w:rsid w:val="00AE7BEE"/>
    <w:rsid w:val="00AE7DF5"/>
    <w:rsid w:val="00AF056F"/>
    <w:rsid w:val="00AF1ADE"/>
    <w:rsid w:val="00AF1C5F"/>
    <w:rsid w:val="00AF29C4"/>
    <w:rsid w:val="00AF32F0"/>
    <w:rsid w:val="00AF3478"/>
    <w:rsid w:val="00AF3AAB"/>
    <w:rsid w:val="00AF40A7"/>
    <w:rsid w:val="00AF5508"/>
    <w:rsid w:val="00AF642B"/>
    <w:rsid w:val="00AF6C00"/>
    <w:rsid w:val="00AF6C5F"/>
    <w:rsid w:val="00AF6F68"/>
    <w:rsid w:val="00AF702C"/>
    <w:rsid w:val="00AF7334"/>
    <w:rsid w:val="00AF7A1B"/>
    <w:rsid w:val="00B00124"/>
    <w:rsid w:val="00B001D9"/>
    <w:rsid w:val="00B004A5"/>
    <w:rsid w:val="00B0070B"/>
    <w:rsid w:val="00B00773"/>
    <w:rsid w:val="00B008D5"/>
    <w:rsid w:val="00B00CCB"/>
    <w:rsid w:val="00B01449"/>
    <w:rsid w:val="00B020D3"/>
    <w:rsid w:val="00B03C0E"/>
    <w:rsid w:val="00B03EF6"/>
    <w:rsid w:val="00B03EF8"/>
    <w:rsid w:val="00B0435D"/>
    <w:rsid w:val="00B04382"/>
    <w:rsid w:val="00B0472F"/>
    <w:rsid w:val="00B05033"/>
    <w:rsid w:val="00B050E1"/>
    <w:rsid w:val="00B05164"/>
    <w:rsid w:val="00B05F1E"/>
    <w:rsid w:val="00B06127"/>
    <w:rsid w:val="00B066F4"/>
    <w:rsid w:val="00B067EB"/>
    <w:rsid w:val="00B0682F"/>
    <w:rsid w:val="00B06B52"/>
    <w:rsid w:val="00B07718"/>
    <w:rsid w:val="00B0775F"/>
    <w:rsid w:val="00B0778A"/>
    <w:rsid w:val="00B078F7"/>
    <w:rsid w:val="00B07F15"/>
    <w:rsid w:val="00B107AB"/>
    <w:rsid w:val="00B1087F"/>
    <w:rsid w:val="00B10B5F"/>
    <w:rsid w:val="00B11425"/>
    <w:rsid w:val="00B11877"/>
    <w:rsid w:val="00B11CB4"/>
    <w:rsid w:val="00B11D3B"/>
    <w:rsid w:val="00B11E20"/>
    <w:rsid w:val="00B11E40"/>
    <w:rsid w:val="00B12D16"/>
    <w:rsid w:val="00B12E8E"/>
    <w:rsid w:val="00B1351C"/>
    <w:rsid w:val="00B13A74"/>
    <w:rsid w:val="00B13E29"/>
    <w:rsid w:val="00B13E73"/>
    <w:rsid w:val="00B14683"/>
    <w:rsid w:val="00B14B94"/>
    <w:rsid w:val="00B1607A"/>
    <w:rsid w:val="00B16775"/>
    <w:rsid w:val="00B16D75"/>
    <w:rsid w:val="00B17377"/>
    <w:rsid w:val="00B17597"/>
    <w:rsid w:val="00B176E4"/>
    <w:rsid w:val="00B17A8F"/>
    <w:rsid w:val="00B17BA4"/>
    <w:rsid w:val="00B20220"/>
    <w:rsid w:val="00B20825"/>
    <w:rsid w:val="00B20B1E"/>
    <w:rsid w:val="00B20EF6"/>
    <w:rsid w:val="00B21006"/>
    <w:rsid w:val="00B211D0"/>
    <w:rsid w:val="00B216BC"/>
    <w:rsid w:val="00B21962"/>
    <w:rsid w:val="00B220DE"/>
    <w:rsid w:val="00B226DA"/>
    <w:rsid w:val="00B23194"/>
    <w:rsid w:val="00B237CF"/>
    <w:rsid w:val="00B23A12"/>
    <w:rsid w:val="00B23F93"/>
    <w:rsid w:val="00B2460B"/>
    <w:rsid w:val="00B2482E"/>
    <w:rsid w:val="00B24B7E"/>
    <w:rsid w:val="00B24BB4"/>
    <w:rsid w:val="00B25140"/>
    <w:rsid w:val="00B25F4E"/>
    <w:rsid w:val="00B26189"/>
    <w:rsid w:val="00B26733"/>
    <w:rsid w:val="00B27736"/>
    <w:rsid w:val="00B277FB"/>
    <w:rsid w:val="00B3076C"/>
    <w:rsid w:val="00B308AB"/>
    <w:rsid w:val="00B311CA"/>
    <w:rsid w:val="00B31451"/>
    <w:rsid w:val="00B32455"/>
    <w:rsid w:val="00B3269D"/>
    <w:rsid w:val="00B3301C"/>
    <w:rsid w:val="00B333BF"/>
    <w:rsid w:val="00B335E9"/>
    <w:rsid w:val="00B3369A"/>
    <w:rsid w:val="00B33EA8"/>
    <w:rsid w:val="00B3409E"/>
    <w:rsid w:val="00B344BE"/>
    <w:rsid w:val="00B34D85"/>
    <w:rsid w:val="00B34E1C"/>
    <w:rsid w:val="00B350B9"/>
    <w:rsid w:val="00B3513C"/>
    <w:rsid w:val="00B36CE8"/>
    <w:rsid w:val="00B3704B"/>
    <w:rsid w:val="00B37213"/>
    <w:rsid w:val="00B37856"/>
    <w:rsid w:val="00B37D9E"/>
    <w:rsid w:val="00B37EBF"/>
    <w:rsid w:val="00B37F17"/>
    <w:rsid w:val="00B4000C"/>
    <w:rsid w:val="00B40A28"/>
    <w:rsid w:val="00B40BC2"/>
    <w:rsid w:val="00B41A70"/>
    <w:rsid w:val="00B42BE4"/>
    <w:rsid w:val="00B432C4"/>
    <w:rsid w:val="00B43501"/>
    <w:rsid w:val="00B437A6"/>
    <w:rsid w:val="00B442BC"/>
    <w:rsid w:val="00B45315"/>
    <w:rsid w:val="00B455E5"/>
    <w:rsid w:val="00B45F80"/>
    <w:rsid w:val="00B46876"/>
    <w:rsid w:val="00B47024"/>
    <w:rsid w:val="00B4718D"/>
    <w:rsid w:val="00B477F2"/>
    <w:rsid w:val="00B479E8"/>
    <w:rsid w:val="00B47D79"/>
    <w:rsid w:val="00B47EF1"/>
    <w:rsid w:val="00B50061"/>
    <w:rsid w:val="00B505CD"/>
    <w:rsid w:val="00B50A6F"/>
    <w:rsid w:val="00B514A3"/>
    <w:rsid w:val="00B51F15"/>
    <w:rsid w:val="00B520CE"/>
    <w:rsid w:val="00B52327"/>
    <w:rsid w:val="00B524BC"/>
    <w:rsid w:val="00B5304E"/>
    <w:rsid w:val="00B530B6"/>
    <w:rsid w:val="00B53847"/>
    <w:rsid w:val="00B53C00"/>
    <w:rsid w:val="00B548D1"/>
    <w:rsid w:val="00B54B17"/>
    <w:rsid w:val="00B55894"/>
    <w:rsid w:val="00B55CB0"/>
    <w:rsid w:val="00B561B8"/>
    <w:rsid w:val="00B5648D"/>
    <w:rsid w:val="00B56630"/>
    <w:rsid w:val="00B56D9D"/>
    <w:rsid w:val="00B56EDF"/>
    <w:rsid w:val="00B56FF0"/>
    <w:rsid w:val="00B57550"/>
    <w:rsid w:val="00B576E8"/>
    <w:rsid w:val="00B57B43"/>
    <w:rsid w:val="00B57CDE"/>
    <w:rsid w:val="00B57E7F"/>
    <w:rsid w:val="00B60CDD"/>
    <w:rsid w:val="00B6226A"/>
    <w:rsid w:val="00B622DD"/>
    <w:rsid w:val="00B6258B"/>
    <w:rsid w:val="00B626CC"/>
    <w:rsid w:val="00B62D3F"/>
    <w:rsid w:val="00B62D7B"/>
    <w:rsid w:val="00B6300E"/>
    <w:rsid w:val="00B63438"/>
    <w:rsid w:val="00B6474C"/>
    <w:rsid w:val="00B649F1"/>
    <w:rsid w:val="00B6500C"/>
    <w:rsid w:val="00B651FF"/>
    <w:rsid w:val="00B654DB"/>
    <w:rsid w:val="00B663E2"/>
    <w:rsid w:val="00B66BC5"/>
    <w:rsid w:val="00B678FA"/>
    <w:rsid w:val="00B6796E"/>
    <w:rsid w:val="00B67B0A"/>
    <w:rsid w:val="00B7014F"/>
    <w:rsid w:val="00B707C4"/>
    <w:rsid w:val="00B7105B"/>
    <w:rsid w:val="00B713C5"/>
    <w:rsid w:val="00B715FF"/>
    <w:rsid w:val="00B71E76"/>
    <w:rsid w:val="00B7244B"/>
    <w:rsid w:val="00B72833"/>
    <w:rsid w:val="00B7402C"/>
    <w:rsid w:val="00B74716"/>
    <w:rsid w:val="00B74EDA"/>
    <w:rsid w:val="00B7545A"/>
    <w:rsid w:val="00B75576"/>
    <w:rsid w:val="00B75582"/>
    <w:rsid w:val="00B757BB"/>
    <w:rsid w:val="00B759CA"/>
    <w:rsid w:val="00B75A75"/>
    <w:rsid w:val="00B75C0A"/>
    <w:rsid w:val="00B7627C"/>
    <w:rsid w:val="00B7742D"/>
    <w:rsid w:val="00B77D36"/>
    <w:rsid w:val="00B77ED8"/>
    <w:rsid w:val="00B80113"/>
    <w:rsid w:val="00B80C92"/>
    <w:rsid w:val="00B80E3C"/>
    <w:rsid w:val="00B8197F"/>
    <w:rsid w:val="00B8219F"/>
    <w:rsid w:val="00B82760"/>
    <w:rsid w:val="00B828DA"/>
    <w:rsid w:val="00B829C6"/>
    <w:rsid w:val="00B82D8C"/>
    <w:rsid w:val="00B82DA3"/>
    <w:rsid w:val="00B8320F"/>
    <w:rsid w:val="00B835E2"/>
    <w:rsid w:val="00B83699"/>
    <w:rsid w:val="00B83839"/>
    <w:rsid w:val="00B83975"/>
    <w:rsid w:val="00B84561"/>
    <w:rsid w:val="00B84678"/>
    <w:rsid w:val="00B846BC"/>
    <w:rsid w:val="00B84919"/>
    <w:rsid w:val="00B8521D"/>
    <w:rsid w:val="00B8637D"/>
    <w:rsid w:val="00B8654E"/>
    <w:rsid w:val="00B86770"/>
    <w:rsid w:val="00B86C94"/>
    <w:rsid w:val="00B86D8F"/>
    <w:rsid w:val="00B878E6"/>
    <w:rsid w:val="00B87DAB"/>
    <w:rsid w:val="00B90442"/>
    <w:rsid w:val="00B90CD7"/>
    <w:rsid w:val="00B91501"/>
    <w:rsid w:val="00B92805"/>
    <w:rsid w:val="00B92DB2"/>
    <w:rsid w:val="00B92EFB"/>
    <w:rsid w:val="00B9376C"/>
    <w:rsid w:val="00B941D7"/>
    <w:rsid w:val="00B9439B"/>
    <w:rsid w:val="00B946C8"/>
    <w:rsid w:val="00B948CF"/>
    <w:rsid w:val="00B94B75"/>
    <w:rsid w:val="00B960E5"/>
    <w:rsid w:val="00B96257"/>
    <w:rsid w:val="00B966FD"/>
    <w:rsid w:val="00B968C8"/>
    <w:rsid w:val="00B96EF4"/>
    <w:rsid w:val="00B97733"/>
    <w:rsid w:val="00BA0312"/>
    <w:rsid w:val="00BA0849"/>
    <w:rsid w:val="00BA16D4"/>
    <w:rsid w:val="00BA1892"/>
    <w:rsid w:val="00BA1977"/>
    <w:rsid w:val="00BA1DE5"/>
    <w:rsid w:val="00BA1FB6"/>
    <w:rsid w:val="00BA2108"/>
    <w:rsid w:val="00BA22A2"/>
    <w:rsid w:val="00BA22E2"/>
    <w:rsid w:val="00BA2AAC"/>
    <w:rsid w:val="00BA302A"/>
    <w:rsid w:val="00BA3972"/>
    <w:rsid w:val="00BA3F10"/>
    <w:rsid w:val="00BA40CA"/>
    <w:rsid w:val="00BA41DD"/>
    <w:rsid w:val="00BA4399"/>
    <w:rsid w:val="00BA47B5"/>
    <w:rsid w:val="00BA4A7B"/>
    <w:rsid w:val="00BA4FB7"/>
    <w:rsid w:val="00BA585D"/>
    <w:rsid w:val="00BA5D8B"/>
    <w:rsid w:val="00BA6779"/>
    <w:rsid w:val="00BA6A3C"/>
    <w:rsid w:val="00BA6E23"/>
    <w:rsid w:val="00BA6F5D"/>
    <w:rsid w:val="00BA6F9B"/>
    <w:rsid w:val="00BA785A"/>
    <w:rsid w:val="00BB0043"/>
    <w:rsid w:val="00BB02C7"/>
    <w:rsid w:val="00BB099A"/>
    <w:rsid w:val="00BB0A06"/>
    <w:rsid w:val="00BB12B9"/>
    <w:rsid w:val="00BB15E1"/>
    <w:rsid w:val="00BB16B0"/>
    <w:rsid w:val="00BB1B60"/>
    <w:rsid w:val="00BB1C3B"/>
    <w:rsid w:val="00BB2B6F"/>
    <w:rsid w:val="00BB2EA8"/>
    <w:rsid w:val="00BB2FF4"/>
    <w:rsid w:val="00BB359F"/>
    <w:rsid w:val="00BB3945"/>
    <w:rsid w:val="00BB4024"/>
    <w:rsid w:val="00BB407B"/>
    <w:rsid w:val="00BB452B"/>
    <w:rsid w:val="00BB4AF6"/>
    <w:rsid w:val="00BB4D0D"/>
    <w:rsid w:val="00BB4D41"/>
    <w:rsid w:val="00BB4E7A"/>
    <w:rsid w:val="00BB5017"/>
    <w:rsid w:val="00BB571B"/>
    <w:rsid w:val="00BB6142"/>
    <w:rsid w:val="00BB640C"/>
    <w:rsid w:val="00BB6E65"/>
    <w:rsid w:val="00BB7026"/>
    <w:rsid w:val="00BB71E3"/>
    <w:rsid w:val="00BB7463"/>
    <w:rsid w:val="00BB7C59"/>
    <w:rsid w:val="00BB7C97"/>
    <w:rsid w:val="00BC0183"/>
    <w:rsid w:val="00BC09ED"/>
    <w:rsid w:val="00BC0FB1"/>
    <w:rsid w:val="00BC1152"/>
    <w:rsid w:val="00BC1480"/>
    <w:rsid w:val="00BC167F"/>
    <w:rsid w:val="00BC1BAA"/>
    <w:rsid w:val="00BC1BF8"/>
    <w:rsid w:val="00BC25DF"/>
    <w:rsid w:val="00BC29E1"/>
    <w:rsid w:val="00BC2AF7"/>
    <w:rsid w:val="00BC3045"/>
    <w:rsid w:val="00BC380D"/>
    <w:rsid w:val="00BC3D81"/>
    <w:rsid w:val="00BC43BB"/>
    <w:rsid w:val="00BC4A24"/>
    <w:rsid w:val="00BC4E36"/>
    <w:rsid w:val="00BC5EAF"/>
    <w:rsid w:val="00BC6C62"/>
    <w:rsid w:val="00BC7086"/>
    <w:rsid w:val="00BC73EF"/>
    <w:rsid w:val="00BC7ADD"/>
    <w:rsid w:val="00BD05DA"/>
    <w:rsid w:val="00BD0B7A"/>
    <w:rsid w:val="00BD15D2"/>
    <w:rsid w:val="00BD1712"/>
    <w:rsid w:val="00BD19BF"/>
    <w:rsid w:val="00BD23A2"/>
    <w:rsid w:val="00BD2BCD"/>
    <w:rsid w:val="00BD2E42"/>
    <w:rsid w:val="00BD380D"/>
    <w:rsid w:val="00BD3C53"/>
    <w:rsid w:val="00BD3E8B"/>
    <w:rsid w:val="00BD4009"/>
    <w:rsid w:val="00BD5725"/>
    <w:rsid w:val="00BD61FF"/>
    <w:rsid w:val="00BD6A9A"/>
    <w:rsid w:val="00BD71A6"/>
    <w:rsid w:val="00BD75CD"/>
    <w:rsid w:val="00BD7D34"/>
    <w:rsid w:val="00BE00DB"/>
    <w:rsid w:val="00BE06FD"/>
    <w:rsid w:val="00BE0759"/>
    <w:rsid w:val="00BE0917"/>
    <w:rsid w:val="00BE0936"/>
    <w:rsid w:val="00BE1400"/>
    <w:rsid w:val="00BE23C7"/>
    <w:rsid w:val="00BE24D5"/>
    <w:rsid w:val="00BE250A"/>
    <w:rsid w:val="00BE26FF"/>
    <w:rsid w:val="00BE3410"/>
    <w:rsid w:val="00BE44A0"/>
    <w:rsid w:val="00BE48E6"/>
    <w:rsid w:val="00BE4D50"/>
    <w:rsid w:val="00BE4D58"/>
    <w:rsid w:val="00BE50E6"/>
    <w:rsid w:val="00BE54E8"/>
    <w:rsid w:val="00BE6499"/>
    <w:rsid w:val="00BE6F12"/>
    <w:rsid w:val="00BE77DE"/>
    <w:rsid w:val="00BE7B27"/>
    <w:rsid w:val="00BE7C20"/>
    <w:rsid w:val="00BE7D41"/>
    <w:rsid w:val="00BE7E84"/>
    <w:rsid w:val="00BF0594"/>
    <w:rsid w:val="00BF0751"/>
    <w:rsid w:val="00BF11E8"/>
    <w:rsid w:val="00BF1A23"/>
    <w:rsid w:val="00BF1A89"/>
    <w:rsid w:val="00BF1EA0"/>
    <w:rsid w:val="00BF21CE"/>
    <w:rsid w:val="00BF2228"/>
    <w:rsid w:val="00BF2F80"/>
    <w:rsid w:val="00BF328B"/>
    <w:rsid w:val="00BF346E"/>
    <w:rsid w:val="00BF3790"/>
    <w:rsid w:val="00BF41DA"/>
    <w:rsid w:val="00BF4A05"/>
    <w:rsid w:val="00BF4FA3"/>
    <w:rsid w:val="00BF5198"/>
    <w:rsid w:val="00BF522A"/>
    <w:rsid w:val="00BF5745"/>
    <w:rsid w:val="00BF5CD0"/>
    <w:rsid w:val="00BF5CF4"/>
    <w:rsid w:val="00BF5D4C"/>
    <w:rsid w:val="00BF5DC9"/>
    <w:rsid w:val="00BF6ABA"/>
    <w:rsid w:val="00BF6D81"/>
    <w:rsid w:val="00BF6F0E"/>
    <w:rsid w:val="00BF7237"/>
    <w:rsid w:val="00BF778B"/>
    <w:rsid w:val="00BF79F5"/>
    <w:rsid w:val="00C00D30"/>
    <w:rsid w:val="00C011DD"/>
    <w:rsid w:val="00C01357"/>
    <w:rsid w:val="00C013B5"/>
    <w:rsid w:val="00C01466"/>
    <w:rsid w:val="00C01483"/>
    <w:rsid w:val="00C0170B"/>
    <w:rsid w:val="00C02347"/>
    <w:rsid w:val="00C02FDD"/>
    <w:rsid w:val="00C034A0"/>
    <w:rsid w:val="00C03869"/>
    <w:rsid w:val="00C04CC1"/>
    <w:rsid w:val="00C05071"/>
    <w:rsid w:val="00C052C7"/>
    <w:rsid w:val="00C05315"/>
    <w:rsid w:val="00C06609"/>
    <w:rsid w:val="00C073FC"/>
    <w:rsid w:val="00C0765A"/>
    <w:rsid w:val="00C07726"/>
    <w:rsid w:val="00C0780F"/>
    <w:rsid w:val="00C0792F"/>
    <w:rsid w:val="00C07964"/>
    <w:rsid w:val="00C101D6"/>
    <w:rsid w:val="00C107A2"/>
    <w:rsid w:val="00C10D08"/>
    <w:rsid w:val="00C1111E"/>
    <w:rsid w:val="00C11FAD"/>
    <w:rsid w:val="00C12504"/>
    <w:rsid w:val="00C126A8"/>
    <w:rsid w:val="00C12D20"/>
    <w:rsid w:val="00C13A34"/>
    <w:rsid w:val="00C13C8D"/>
    <w:rsid w:val="00C14071"/>
    <w:rsid w:val="00C1446D"/>
    <w:rsid w:val="00C14C66"/>
    <w:rsid w:val="00C15666"/>
    <w:rsid w:val="00C15A5F"/>
    <w:rsid w:val="00C15FDD"/>
    <w:rsid w:val="00C160AD"/>
    <w:rsid w:val="00C16592"/>
    <w:rsid w:val="00C16695"/>
    <w:rsid w:val="00C16F78"/>
    <w:rsid w:val="00C17153"/>
    <w:rsid w:val="00C17212"/>
    <w:rsid w:val="00C176E4"/>
    <w:rsid w:val="00C17B14"/>
    <w:rsid w:val="00C17E83"/>
    <w:rsid w:val="00C17EDA"/>
    <w:rsid w:val="00C200C2"/>
    <w:rsid w:val="00C2012C"/>
    <w:rsid w:val="00C20307"/>
    <w:rsid w:val="00C20437"/>
    <w:rsid w:val="00C206B2"/>
    <w:rsid w:val="00C206FD"/>
    <w:rsid w:val="00C208B3"/>
    <w:rsid w:val="00C2259A"/>
    <w:rsid w:val="00C225F6"/>
    <w:rsid w:val="00C22883"/>
    <w:rsid w:val="00C22E3E"/>
    <w:rsid w:val="00C236BD"/>
    <w:rsid w:val="00C2382B"/>
    <w:rsid w:val="00C23CE2"/>
    <w:rsid w:val="00C245FB"/>
    <w:rsid w:val="00C24679"/>
    <w:rsid w:val="00C246A5"/>
    <w:rsid w:val="00C246D8"/>
    <w:rsid w:val="00C247E0"/>
    <w:rsid w:val="00C24FF2"/>
    <w:rsid w:val="00C25428"/>
    <w:rsid w:val="00C25850"/>
    <w:rsid w:val="00C258AE"/>
    <w:rsid w:val="00C25F12"/>
    <w:rsid w:val="00C27276"/>
    <w:rsid w:val="00C276BA"/>
    <w:rsid w:val="00C27A61"/>
    <w:rsid w:val="00C3001E"/>
    <w:rsid w:val="00C30208"/>
    <w:rsid w:val="00C31BA5"/>
    <w:rsid w:val="00C31E25"/>
    <w:rsid w:val="00C3220C"/>
    <w:rsid w:val="00C327B3"/>
    <w:rsid w:val="00C3297C"/>
    <w:rsid w:val="00C32CEC"/>
    <w:rsid w:val="00C3314D"/>
    <w:rsid w:val="00C339F9"/>
    <w:rsid w:val="00C35FA9"/>
    <w:rsid w:val="00C36055"/>
    <w:rsid w:val="00C36071"/>
    <w:rsid w:val="00C3659D"/>
    <w:rsid w:val="00C365A3"/>
    <w:rsid w:val="00C36753"/>
    <w:rsid w:val="00C372C4"/>
    <w:rsid w:val="00C37636"/>
    <w:rsid w:val="00C377AF"/>
    <w:rsid w:val="00C37F29"/>
    <w:rsid w:val="00C40A57"/>
    <w:rsid w:val="00C40D28"/>
    <w:rsid w:val="00C41BED"/>
    <w:rsid w:val="00C420A0"/>
    <w:rsid w:val="00C421F5"/>
    <w:rsid w:val="00C42D22"/>
    <w:rsid w:val="00C42EFF"/>
    <w:rsid w:val="00C43B49"/>
    <w:rsid w:val="00C43D29"/>
    <w:rsid w:val="00C43E77"/>
    <w:rsid w:val="00C47321"/>
    <w:rsid w:val="00C47364"/>
    <w:rsid w:val="00C47D90"/>
    <w:rsid w:val="00C50320"/>
    <w:rsid w:val="00C505EC"/>
    <w:rsid w:val="00C50906"/>
    <w:rsid w:val="00C50AD1"/>
    <w:rsid w:val="00C5132F"/>
    <w:rsid w:val="00C5191D"/>
    <w:rsid w:val="00C519DB"/>
    <w:rsid w:val="00C51A40"/>
    <w:rsid w:val="00C51CA5"/>
    <w:rsid w:val="00C51F5F"/>
    <w:rsid w:val="00C52DA4"/>
    <w:rsid w:val="00C52F4E"/>
    <w:rsid w:val="00C52FD5"/>
    <w:rsid w:val="00C531CA"/>
    <w:rsid w:val="00C53200"/>
    <w:rsid w:val="00C5329C"/>
    <w:rsid w:val="00C53736"/>
    <w:rsid w:val="00C5443E"/>
    <w:rsid w:val="00C54967"/>
    <w:rsid w:val="00C54EBF"/>
    <w:rsid w:val="00C5509A"/>
    <w:rsid w:val="00C56670"/>
    <w:rsid w:val="00C56E3E"/>
    <w:rsid w:val="00C56F0E"/>
    <w:rsid w:val="00C5724A"/>
    <w:rsid w:val="00C57548"/>
    <w:rsid w:val="00C57747"/>
    <w:rsid w:val="00C6009D"/>
    <w:rsid w:val="00C6052B"/>
    <w:rsid w:val="00C615E3"/>
    <w:rsid w:val="00C630C2"/>
    <w:rsid w:val="00C631EE"/>
    <w:rsid w:val="00C632D7"/>
    <w:rsid w:val="00C63728"/>
    <w:rsid w:val="00C63886"/>
    <w:rsid w:val="00C63AC1"/>
    <w:rsid w:val="00C63EC5"/>
    <w:rsid w:val="00C63F7A"/>
    <w:rsid w:val="00C643B7"/>
    <w:rsid w:val="00C65088"/>
    <w:rsid w:val="00C65188"/>
    <w:rsid w:val="00C65762"/>
    <w:rsid w:val="00C65C91"/>
    <w:rsid w:val="00C65DE8"/>
    <w:rsid w:val="00C661E9"/>
    <w:rsid w:val="00C668BB"/>
    <w:rsid w:val="00C66BA6"/>
    <w:rsid w:val="00C66E9C"/>
    <w:rsid w:val="00C67042"/>
    <w:rsid w:val="00C67443"/>
    <w:rsid w:val="00C67545"/>
    <w:rsid w:val="00C67894"/>
    <w:rsid w:val="00C703F2"/>
    <w:rsid w:val="00C711BE"/>
    <w:rsid w:val="00C7161C"/>
    <w:rsid w:val="00C716A1"/>
    <w:rsid w:val="00C722DB"/>
    <w:rsid w:val="00C72D8B"/>
    <w:rsid w:val="00C72F6D"/>
    <w:rsid w:val="00C7354D"/>
    <w:rsid w:val="00C73989"/>
    <w:rsid w:val="00C73A18"/>
    <w:rsid w:val="00C73BFF"/>
    <w:rsid w:val="00C73F02"/>
    <w:rsid w:val="00C743F4"/>
    <w:rsid w:val="00C74BF0"/>
    <w:rsid w:val="00C75247"/>
    <w:rsid w:val="00C757F9"/>
    <w:rsid w:val="00C76087"/>
    <w:rsid w:val="00C76166"/>
    <w:rsid w:val="00C765F0"/>
    <w:rsid w:val="00C766B4"/>
    <w:rsid w:val="00C77375"/>
    <w:rsid w:val="00C77A2A"/>
    <w:rsid w:val="00C800FF"/>
    <w:rsid w:val="00C804F7"/>
    <w:rsid w:val="00C80A35"/>
    <w:rsid w:val="00C819F9"/>
    <w:rsid w:val="00C8204C"/>
    <w:rsid w:val="00C82CD7"/>
    <w:rsid w:val="00C82DE8"/>
    <w:rsid w:val="00C833E1"/>
    <w:rsid w:val="00C83B9F"/>
    <w:rsid w:val="00C8561B"/>
    <w:rsid w:val="00C8569D"/>
    <w:rsid w:val="00C859E3"/>
    <w:rsid w:val="00C85DCE"/>
    <w:rsid w:val="00C8602C"/>
    <w:rsid w:val="00C861C6"/>
    <w:rsid w:val="00C864AE"/>
    <w:rsid w:val="00C86533"/>
    <w:rsid w:val="00C87B26"/>
    <w:rsid w:val="00C87D29"/>
    <w:rsid w:val="00C909B0"/>
    <w:rsid w:val="00C90D5C"/>
    <w:rsid w:val="00C9172B"/>
    <w:rsid w:val="00C91A0B"/>
    <w:rsid w:val="00C91C73"/>
    <w:rsid w:val="00C91E1F"/>
    <w:rsid w:val="00C91E75"/>
    <w:rsid w:val="00C92422"/>
    <w:rsid w:val="00C92EB4"/>
    <w:rsid w:val="00C92EBB"/>
    <w:rsid w:val="00C932FD"/>
    <w:rsid w:val="00C93C67"/>
    <w:rsid w:val="00C9462F"/>
    <w:rsid w:val="00C946F6"/>
    <w:rsid w:val="00C94A2F"/>
    <w:rsid w:val="00C9578F"/>
    <w:rsid w:val="00C965BF"/>
    <w:rsid w:val="00C96D21"/>
    <w:rsid w:val="00C96E1C"/>
    <w:rsid w:val="00C979F6"/>
    <w:rsid w:val="00C97AD5"/>
    <w:rsid w:val="00CA00F6"/>
    <w:rsid w:val="00CA1462"/>
    <w:rsid w:val="00CA1564"/>
    <w:rsid w:val="00CA178C"/>
    <w:rsid w:val="00CA285A"/>
    <w:rsid w:val="00CA2890"/>
    <w:rsid w:val="00CA2983"/>
    <w:rsid w:val="00CA2C0A"/>
    <w:rsid w:val="00CA2E24"/>
    <w:rsid w:val="00CA2F0E"/>
    <w:rsid w:val="00CA38E4"/>
    <w:rsid w:val="00CA48AD"/>
    <w:rsid w:val="00CA5462"/>
    <w:rsid w:val="00CA57C2"/>
    <w:rsid w:val="00CA5DDF"/>
    <w:rsid w:val="00CA6254"/>
    <w:rsid w:val="00CA6657"/>
    <w:rsid w:val="00CA6773"/>
    <w:rsid w:val="00CA6E0D"/>
    <w:rsid w:val="00CA74A0"/>
    <w:rsid w:val="00CA773E"/>
    <w:rsid w:val="00CB0398"/>
    <w:rsid w:val="00CB0567"/>
    <w:rsid w:val="00CB09B6"/>
    <w:rsid w:val="00CB0BE8"/>
    <w:rsid w:val="00CB239B"/>
    <w:rsid w:val="00CB3115"/>
    <w:rsid w:val="00CB3186"/>
    <w:rsid w:val="00CB39FF"/>
    <w:rsid w:val="00CB3F16"/>
    <w:rsid w:val="00CB40F2"/>
    <w:rsid w:val="00CB486D"/>
    <w:rsid w:val="00CB4C87"/>
    <w:rsid w:val="00CB5605"/>
    <w:rsid w:val="00CB5D19"/>
    <w:rsid w:val="00CB5D44"/>
    <w:rsid w:val="00CB5D95"/>
    <w:rsid w:val="00CB6009"/>
    <w:rsid w:val="00CB6BB0"/>
    <w:rsid w:val="00CB6C4F"/>
    <w:rsid w:val="00CB6E8F"/>
    <w:rsid w:val="00CB70A6"/>
    <w:rsid w:val="00CB76E7"/>
    <w:rsid w:val="00CB7936"/>
    <w:rsid w:val="00CB7AAB"/>
    <w:rsid w:val="00CC02EB"/>
    <w:rsid w:val="00CC05D2"/>
    <w:rsid w:val="00CC1BFF"/>
    <w:rsid w:val="00CC1D49"/>
    <w:rsid w:val="00CC2275"/>
    <w:rsid w:val="00CC25E6"/>
    <w:rsid w:val="00CC28C9"/>
    <w:rsid w:val="00CC2A21"/>
    <w:rsid w:val="00CC2E5E"/>
    <w:rsid w:val="00CC45F1"/>
    <w:rsid w:val="00CC4B5F"/>
    <w:rsid w:val="00CC5810"/>
    <w:rsid w:val="00CC6072"/>
    <w:rsid w:val="00CC71C4"/>
    <w:rsid w:val="00CC7E5D"/>
    <w:rsid w:val="00CD0984"/>
    <w:rsid w:val="00CD09FE"/>
    <w:rsid w:val="00CD0CFF"/>
    <w:rsid w:val="00CD14F3"/>
    <w:rsid w:val="00CD15A6"/>
    <w:rsid w:val="00CD165F"/>
    <w:rsid w:val="00CD232B"/>
    <w:rsid w:val="00CD3634"/>
    <w:rsid w:val="00CD3F45"/>
    <w:rsid w:val="00CD44E1"/>
    <w:rsid w:val="00CD4995"/>
    <w:rsid w:val="00CD4A54"/>
    <w:rsid w:val="00CD4D16"/>
    <w:rsid w:val="00CD4D93"/>
    <w:rsid w:val="00CD504C"/>
    <w:rsid w:val="00CD5506"/>
    <w:rsid w:val="00CD627F"/>
    <w:rsid w:val="00CD7A0A"/>
    <w:rsid w:val="00CE0049"/>
    <w:rsid w:val="00CE0AE9"/>
    <w:rsid w:val="00CE0CA6"/>
    <w:rsid w:val="00CE0D6E"/>
    <w:rsid w:val="00CE0EF5"/>
    <w:rsid w:val="00CE0F29"/>
    <w:rsid w:val="00CE1308"/>
    <w:rsid w:val="00CE1C3F"/>
    <w:rsid w:val="00CE2561"/>
    <w:rsid w:val="00CE3C8D"/>
    <w:rsid w:val="00CE40BF"/>
    <w:rsid w:val="00CE40F1"/>
    <w:rsid w:val="00CE58FB"/>
    <w:rsid w:val="00CE5BE5"/>
    <w:rsid w:val="00CE63B6"/>
    <w:rsid w:val="00CE6982"/>
    <w:rsid w:val="00CE6E73"/>
    <w:rsid w:val="00CE6FBD"/>
    <w:rsid w:val="00CE72A5"/>
    <w:rsid w:val="00CE76F5"/>
    <w:rsid w:val="00CE7717"/>
    <w:rsid w:val="00CF0E3E"/>
    <w:rsid w:val="00CF10BA"/>
    <w:rsid w:val="00CF11C1"/>
    <w:rsid w:val="00CF21BC"/>
    <w:rsid w:val="00CF233D"/>
    <w:rsid w:val="00CF2521"/>
    <w:rsid w:val="00CF2E74"/>
    <w:rsid w:val="00CF34A5"/>
    <w:rsid w:val="00CF390A"/>
    <w:rsid w:val="00CF392E"/>
    <w:rsid w:val="00CF3E1E"/>
    <w:rsid w:val="00CF4643"/>
    <w:rsid w:val="00CF5084"/>
    <w:rsid w:val="00CF565A"/>
    <w:rsid w:val="00CF5E77"/>
    <w:rsid w:val="00CF5E99"/>
    <w:rsid w:val="00CF5F3A"/>
    <w:rsid w:val="00CF60F4"/>
    <w:rsid w:val="00CF6261"/>
    <w:rsid w:val="00CF6F09"/>
    <w:rsid w:val="00CF7141"/>
    <w:rsid w:val="00CF7338"/>
    <w:rsid w:val="00CF7992"/>
    <w:rsid w:val="00CF79AE"/>
    <w:rsid w:val="00CF79E6"/>
    <w:rsid w:val="00CF7CD5"/>
    <w:rsid w:val="00D01B2C"/>
    <w:rsid w:val="00D01C63"/>
    <w:rsid w:val="00D02AE6"/>
    <w:rsid w:val="00D03323"/>
    <w:rsid w:val="00D03546"/>
    <w:rsid w:val="00D035A1"/>
    <w:rsid w:val="00D036C0"/>
    <w:rsid w:val="00D03D82"/>
    <w:rsid w:val="00D04106"/>
    <w:rsid w:val="00D0416C"/>
    <w:rsid w:val="00D048A7"/>
    <w:rsid w:val="00D049BC"/>
    <w:rsid w:val="00D05052"/>
    <w:rsid w:val="00D0538C"/>
    <w:rsid w:val="00D0605F"/>
    <w:rsid w:val="00D06822"/>
    <w:rsid w:val="00D07244"/>
    <w:rsid w:val="00D07627"/>
    <w:rsid w:val="00D07751"/>
    <w:rsid w:val="00D07A53"/>
    <w:rsid w:val="00D07D77"/>
    <w:rsid w:val="00D10320"/>
    <w:rsid w:val="00D1057D"/>
    <w:rsid w:val="00D1067E"/>
    <w:rsid w:val="00D112B1"/>
    <w:rsid w:val="00D117C4"/>
    <w:rsid w:val="00D12736"/>
    <w:rsid w:val="00D127A2"/>
    <w:rsid w:val="00D127A8"/>
    <w:rsid w:val="00D12BBD"/>
    <w:rsid w:val="00D12BCD"/>
    <w:rsid w:val="00D12C1F"/>
    <w:rsid w:val="00D135F9"/>
    <w:rsid w:val="00D13E1D"/>
    <w:rsid w:val="00D13F62"/>
    <w:rsid w:val="00D143E6"/>
    <w:rsid w:val="00D147BE"/>
    <w:rsid w:val="00D14BE5"/>
    <w:rsid w:val="00D150A7"/>
    <w:rsid w:val="00D15319"/>
    <w:rsid w:val="00D156A2"/>
    <w:rsid w:val="00D15A64"/>
    <w:rsid w:val="00D16012"/>
    <w:rsid w:val="00D16676"/>
    <w:rsid w:val="00D169F7"/>
    <w:rsid w:val="00D1755D"/>
    <w:rsid w:val="00D175AD"/>
    <w:rsid w:val="00D20214"/>
    <w:rsid w:val="00D2056E"/>
    <w:rsid w:val="00D20620"/>
    <w:rsid w:val="00D20AF0"/>
    <w:rsid w:val="00D21FBC"/>
    <w:rsid w:val="00D2270D"/>
    <w:rsid w:val="00D22E12"/>
    <w:rsid w:val="00D231C7"/>
    <w:rsid w:val="00D244DD"/>
    <w:rsid w:val="00D257E7"/>
    <w:rsid w:val="00D26177"/>
    <w:rsid w:val="00D26283"/>
    <w:rsid w:val="00D2629B"/>
    <w:rsid w:val="00D265E6"/>
    <w:rsid w:val="00D269E8"/>
    <w:rsid w:val="00D26A61"/>
    <w:rsid w:val="00D26B86"/>
    <w:rsid w:val="00D2764A"/>
    <w:rsid w:val="00D2783D"/>
    <w:rsid w:val="00D27F8C"/>
    <w:rsid w:val="00D30290"/>
    <w:rsid w:val="00D30A44"/>
    <w:rsid w:val="00D30ADC"/>
    <w:rsid w:val="00D312F1"/>
    <w:rsid w:val="00D3188E"/>
    <w:rsid w:val="00D319CB"/>
    <w:rsid w:val="00D31D28"/>
    <w:rsid w:val="00D32077"/>
    <w:rsid w:val="00D3208A"/>
    <w:rsid w:val="00D326AB"/>
    <w:rsid w:val="00D32F3D"/>
    <w:rsid w:val="00D33022"/>
    <w:rsid w:val="00D337A0"/>
    <w:rsid w:val="00D337B6"/>
    <w:rsid w:val="00D33AC6"/>
    <w:rsid w:val="00D33CFE"/>
    <w:rsid w:val="00D33F1D"/>
    <w:rsid w:val="00D341BD"/>
    <w:rsid w:val="00D343BF"/>
    <w:rsid w:val="00D34D6A"/>
    <w:rsid w:val="00D35AEE"/>
    <w:rsid w:val="00D35D05"/>
    <w:rsid w:val="00D35DC9"/>
    <w:rsid w:val="00D36F0E"/>
    <w:rsid w:val="00D36FD3"/>
    <w:rsid w:val="00D3768F"/>
    <w:rsid w:val="00D37DD7"/>
    <w:rsid w:val="00D40372"/>
    <w:rsid w:val="00D40A7D"/>
    <w:rsid w:val="00D40F20"/>
    <w:rsid w:val="00D41068"/>
    <w:rsid w:val="00D4128F"/>
    <w:rsid w:val="00D42A1D"/>
    <w:rsid w:val="00D42E88"/>
    <w:rsid w:val="00D430D0"/>
    <w:rsid w:val="00D43145"/>
    <w:rsid w:val="00D43338"/>
    <w:rsid w:val="00D43970"/>
    <w:rsid w:val="00D43F87"/>
    <w:rsid w:val="00D444A9"/>
    <w:rsid w:val="00D449DE"/>
    <w:rsid w:val="00D44B1B"/>
    <w:rsid w:val="00D4508A"/>
    <w:rsid w:val="00D45EF5"/>
    <w:rsid w:val="00D471AD"/>
    <w:rsid w:val="00D477A3"/>
    <w:rsid w:val="00D477A7"/>
    <w:rsid w:val="00D502BE"/>
    <w:rsid w:val="00D50BD6"/>
    <w:rsid w:val="00D5105B"/>
    <w:rsid w:val="00D51B1C"/>
    <w:rsid w:val="00D51CA6"/>
    <w:rsid w:val="00D521BE"/>
    <w:rsid w:val="00D527DE"/>
    <w:rsid w:val="00D53010"/>
    <w:rsid w:val="00D530FB"/>
    <w:rsid w:val="00D536F2"/>
    <w:rsid w:val="00D53777"/>
    <w:rsid w:val="00D538B5"/>
    <w:rsid w:val="00D53B36"/>
    <w:rsid w:val="00D53E41"/>
    <w:rsid w:val="00D53FF2"/>
    <w:rsid w:val="00D552D7"/>
    <w:rsid w:val="00D553D5"/>
    <w:rsid w:val="00D55605"/>
    <w:rsid w:val="00D55DC1"/>
    <w:rsid w:val="00D5619F"/>
    <w:rsid w:val="00D564D8"/>
    <w:rsid w:val="00D56783"/>
    <w:rsid w:val="00D57344"/>
    <w:rsid w:val="00D57BF5"/>
    <w:rsid w:val="00D57F53"/>
    <w:rsid w:val="00D604A8"/>
    <w:rsid w:val="00D60950"/>
    <w:rsid w:val="00D60C9F"/>
    <w:rsid w:val="00D60CA3"/>
    <w:rsid w:val="00D612A7"/>
    <w:rsid w:val="00D6167E"/>
    <w:rsid w:val="00D619A9"/>
    <w:rsid w:val="00D620B9"/>
    <w:rsid w:val="00D62427"/>
    <w:rsid w:val="00D62561"/>
    <w:rsid w:val="00D625DB"/>
    <w:rsid w:val="00D6387E"/>
    <w:rsid w:val="00D6395F"/>
    <w:rsid w:val="00D639B1"/>
    <w:rsid w:val="00D64818"/>
    <w:rsid w:val="00D64940"/>
    <w:rsid w:val="00D64D93"/>
    <w:rsid w:val="00D6537A"/>
    <w:rsid w:val="00D653D3"/>
    <w:rsid w:val="00D655BD"/>
    <w:rsid w:val="00D65968"/>
    <w:rsid w:val="00D65A3D"/>
    <w:rsid w:val="00D66130"/>
    <w:rsid w:val="00D6640A"/>
    <w:rsid w:val="00D66583"/>
    <w:rsid w:val="00D66761"/>
    <w:rsid w:val="00D66791"/>
    <w:rsid w:val="00D67589"/>
    <w:rsid w:val="00D67FA3"/>
    <w:rsid w:val="00D7063F"/>
    <w:rsid w:val="00D709DD"/>
    <w:rsid w:val="00D71438"/>
    <w:rsid w:val="00D71630"/>
    <w:rsid w:val="00D7181B"/>
    <w:rsid w:val="00D71848"/>
    <w:rsid w:val="00D71857"/>
    <w:rsid w:val="00D720E0"/>
    <w:rsid w:val="00D7210B"/>
    <w:rsid w:val="00D728B5"/>
    <w:rsid w:val="00D728D3"/>
    <w:rsid w:val="00D731FE"/>
    <w:rsid w:val="00D735F7"/>
    <w:rsid w:val="00D73A9D"/>
    <w:rsid w:val="00D746DC"/>
    <w:rsid w:val="00D74C47"/>
    <w:rsid w:val="00D75220"/>
    <w:rsid w:val="00D75273"/>
    <w:rsid w:val="00D754AE"/>
    <w:rsid w:val="00D755EC"/>
    <w:rsid w:val="00D763AC"/>
    <w:rsid w:val="00D769AF"/>
    <w:rsid w:val="00D7799E"/>
    <w:rsid w:val="00D7799F"/>
    <w:rsid w:val="00D802E2"/>
    <w:rsid w:val="00D810E1"/>
    <w:rsid w:val="00D813FA"/>
    <w:rsid w:val="00D81D59"/>
    <w:rsid w:val="00D8279E"/>
    <w:rsid w:val="00D82A08"/>
    <w:rsid w:val="00D82A44"/>
    <w:rsid w:val="00D82B82"/>
    <w:rsid w:val="00D82BAE"/>
    <w:rsid w:val="00D830DE"/>
    <w:rsid w:val="00D837C9"/>
    <w:rsid w:val="00D8386B"/>
    <w:rsid w:val="00D84A38"/>
    <w:rsid w:val="00D8562B"/>
    <w:rsid w:val="00D85EDB"/>
    <w:rsid w:val="00D8697E"/>
    <w:rsid w:val="00D86D07"/>
    <w:rsid w:val="00D87149"/>
    <w:rsid w:val="00D879F5"/>
    <w:rsid w:val="00D9012C"/>
    <w:rsid w:val="00D905B9"/>
    <w:rsid w:val="00D90826"/>
    <w:rsid w:val="00D90A44"/>
    <w:rsid w:val="00D90C8D"/>
    <w:rsid w:val="00D90D35"/>
    <w:rsid w:val="00D9220B"/>
    <w:rsid w:val="00D9236B"/>
    <w:rsid w:val="00D929DE"/>
    <w:rsid w:val="00D939B9"/>
    <w:rsid w:val="00D93C44"/>
    <w:rsid w:val="00D94160"/>
    <w:rsid w:val="00D949C0"/>
    <w:rsid w:val="00D9522B"/>
    <w:rsid w:val="00D9638B"/>
    <w:rsid w:val="00D96AEB"/>
    <w:rsid w:val="00D96DDF"/>
    <w:rsid w:val="00D970A5"/>
    <w:rsid w:val="00D976C3"/>
    <w:rsid w:val="00D97BC1"/>
    <w:rsid w:val="00D97FF9"/>
    <w:rsid w:val="00DA0587"/>
    <w:rsid w:val="00DA0599"/>
    <w:rsid w:val="00DA082F"/>
    <w:rsid w:val="00DA08A1"/>
    <w:rsid w:val="00DA165A"/>
    <w:rsid w:val="00DA1EBC"/>
    <w:rsid w:val="00DA27D8"/>
    <w:rsid w:val="00DA2C1E"/>
    <w:rsid w:val="00DA2D1A"/>
    <w:rsid w:val="00DA2F9E"/>
    <w:rsid w:val="00DA305E"/>
    <w:rsid w:val="00DA3A07"/>
    <w:rsid w:val="00DA3BFD"/>
    <w:rsid w:val="00DA4621"/>
    <w:rsid w:val="00DA4D56"/>
    <w:rsid w:val="00DA52EA"/>
    <w:rsid w:val="00DA5416"/>
    <w:rsid w:val="00DA5554"/>
    <w:rsid w:val="00DA58AD"/>
    <w:rsid w:val="00DA5AD0"/>
    <w:rsid w:val="00DA5F6B"/>
    <w:rsid w:val="00DA61EF"/>
    <w:rsid w:val="00DA6722"/>
    <w:rsid w:val="00DA6FDE"/>
    <w:rsid w:val="00DA74A4"/>
    <w:rsid w:val="00DA78A5"/>
    <w:rsid w:val="00DB027F"/>
    <w:rsid w:val="00DB0621"/>
    <w:rsid w:val="00DB11F9"/>
    <w:rsid w:val="00DB1A8F"/>
    <w:rsid w:val="00DB1E92"/>
    <w:rsid w:val="00DB2727"/>
    <w:rsid w:val="00DB29C5"/>
    <w:rsid w:val="00DB3406"/>
    <w:rsid w:val="00DB3C55"/>
    <w:rsid w:val="00DB47BF"/>
    <w:rsid w:val="00DB483C"/>
    <w:rsid w:val="00DB4A16"/>
    <w:rsid w:val="00DB4BAD"/>
    <w:rsid w:val="00DB4D38"/>
    <w:rsid w:val="00DB4E78"/>
    <w:rsid w:val="00DB51E7"/>
    <w:rsid w:val="00DB58B5"/>
    <w:rsid w:val="00DB5B88"/>
    <w:rsid w:val="00DB6143"/>
    <w:rsid w:val="00DB6212"/>
    <w:rsid w:val="00DB6C59"/>
    <w:rsid w:val="00DB76FE"/>
    <w:rsid w:val="00DC0023"/>
    <w:rsid w:val="00DC047B"/>
    <w:rsid w:val="00DC1234"/>
    <w:rsid w:val="00DC1417"/>
    <w:rsid w:val="00DC1585"/>
    <w:rsid w:val="00DC1BB0"/>
    <w:rsid w:val="00DC1E9F"/>
    <w:rsid w:val="00DC1FB0"/>
    <w:rsid w:val="00DC2469"/>
    <w:rsid w:val="00DC296D"/>
    <w:rsid w:val="00DC30F9"/>
    <w:rsid w:val="00DC3405"/>
    <w:rsid w:val="00DC4063"/>
    <w:rsid w:val="00DC4625"/>
    <w:rsid w:val="00DC48EA"/>
    <w:rsid w:val="00DC4F82"/>
    <w:rsid w:val="00DC5104"/>
    <w:rsid w:val="00DC5AF1"/>
    <w:rsid w:val="00DC5D2B"/>
    <w:rsid w:val="00DC5F7A"/>
    <w:rsid w:val="00DC616D"/>
    <w:rsid w:val="00DC6176"/>
    <w:rsid w:val="00DC6DDF"/>
    <w:rsid w:val="00DC6E2C"/>
    <w:rsid w:val="00DC6EE8"/>
    <w:rsid w:val="00DC6F6E"/>
    <w:rsid w:val="00DC7146"/>
    <w:rsid w:val="00DD048D"/>
    <w:rsid w:val="00DD0842"/>
    <w:rsid w:val="00DD0A69"/>
    <w:rsid w:val="00DD0A7D"/>
    <w:rsid w:val="00DD16BF"/>
    <w:rsid w:val="00DD1F03"/>
    <w:rsid w:val="00DD2EC7"/>
    <w:rsid w:val="00DD3C27"/>
    <w:rsid w:val="00DD3CBF"/>
    <w:rsid w:val="00DD41F3"/>
    <w:rsid w:val="00DD4379"/>
    <w:rsid w:val="00DD448A"/>
    <w:rsid w:val="00DD4AC3"/>
    <w:rsid w:val="00DD4D45"/>
    <w:rsid w:val="00DD50BA"/>
    <w:rsid w:val="00DD52A4"/>
    <w:rsid w:val="00DD5EB1"/>
    <w:rsid w:val="00DD63CC"/>
    <w:rsid w:val="00DD65F3"/>
    <w:rsid w:val="00DD68DD"/>
    <w:rsid w:val="00DD6BDB"/>
    <w:rsid w:val="00DD74C5"/>
    <w:rsid w:val="00DE058B"/>
    <w:rsid w:val="00DE157D"/>
    <w:rsid w:val="00DE2951"/>
    <w:rsid w:val="00DE3591"/>
    <w:rsid w:val="00DE3697"/>
    <w:rsid w:val="00DE3999"/>
    <w:rsid w:val="00DE39B8"/>
    <w:rsid w:val="00DE45FC"/>
    <w:rsid w:val="00DE4D27"/>
    <w:rsid w:val="00DE5605"/>
    <w:rsid w:val="00DE5960"/>
    <w:rsid w:val="00DE59D4"/>
    <w:rsid w:val="00DE5A3D"/>
    <w:rsid w:val="00DE5A5D"/>
    <w:rsid w:val="00DE621C"/>
    <w:rsid w:val="00DE71D9"/>
    <w:rsid w:val="00DE71DB"/>
    <w:rsid w:val="00DE7378"/>
    <w:rsid w:val="00DE74D6"/>
    <w:rsid w:val="00DE7F8E"/>
    <w:rsid w:val="00DE7FA7"/>
    <w:rsid w:val="00DF0852"/>
    <w:rsid w:val="00DF0A3B"/>
    <w:rsid w:val="00DF0EC5"/>
    <w:rsid w:val="00DF132B"/>
    <w:rsid w:val="00DF1394"/>
    <w:rsid w:val="00DF160E"/>
    <w:rsid w:val="00DF1897"/>
    <w:rsid w:val="00DF1D5E"/>
    <w:rsid w:val="00DF1F22"/>
    <w:rsid w:val="00DF1F31"/>
    <w:rsid w:val="00DF2711"/>
    <w:rsid w:val="00DF3F76"/>
    <w:rsid w:val="00DF4D8A"/>
    <w:rsid w:val="00DF51D5"/>
    <w:rsid w:val="00DF5FDB"/>
    <w:rsid w:val="00DF600B"/>
    <w:rsid w:val="00DF6ABE"/>
    <w:rsid w:val="00DF6FBF"/>
    <w:rsid w:val="00DF77FF"/>
    <w:rsid w:val="00DF7CBF"/>
    <w:rsid w:val="00DF7D99"/>
    <w:rsid w:val="00E00710"/>
    <w:rsid w:val="00E00925"/>
    <w:rsid w:val="00E00CB1"/>
    <w:rsid w:val="00E0124F"/>
    <w:rsid w:val="00E01278"/>
    <w:rsid w:val="00E01554"/>
    <w:rsid w:val="00E017EF"/>
    <w:rsid w:val="00E01956"/>
    <w:rsid w:val="00E01FB2"/>
    <w:rsid w:val="00E02215"/>
    <w:rsid w:val="00E0225A"/>
    <w:rsid w:val="00E02544"/>
    <w:rsid w:val="00E0300F"/>
    <w:rsid w:val="00E0383A"/>
    <w:rsid w:val="00E038D1"/>
    <w:rsid w:val="00E03B00"/>
    <w:rsid w:val="00E03E6C"/>
    <w:rsid w:val="00E04874"/>
    <w:rsid w:val="00E04F90"/>
    <w:rsid w:val="00E05666"/>
    <w:rsid w:val="00E05A23"/>
    <w:rsid w:val="00E0636E"/>
    <w:rsid w:val="00E07469"/>
    <w:rsid w:val="00E103B5"/>
    <w:rsid w:val="00E11C0F"/>
    <w:rsid w:val="00E11D93"/>
    <w:rsid w:val="00E11EE7"/>
    <w:rsid w:val="00E126D9"/>
    <w:rsid w:val="00E130F5"/>
    <w:rsid w:val="00E135CD"/>
    <w:rsid w:val="00E137CB"/>
    <w:rsid w:val="00E138B9"/>
    <w:rsid w:val="00E13B27"/>
    <w:rsid w:val="00E141BA"/>
    <w:rsid w:val="00E1434C"/>
    <w:rsid w:val="00E146C9"/>
    <w:rsid w:val="00E14FC8"/>
    <w:rsid w:val="00E15213"/>
    <w:rsid w:val="00E15DBC"/>
    <w:rsid w:val="00E160A1"/>
    <w:rsid w:val="00E1674E"/>
    <w:rsid w:val="00E16A6B"/>
    <w:rsid w:val="00E16D42"/>
    <w:rsid w:val="00E175B3"/>
    <w:rsid w:val="00E177EE"/>
    <w:rsid w:val="00E17AE3"/>
    <w:rsid w:val="00E17FA0"/>
    <w:rsid w:val="00E204AE"/>
    <w:rsid w:val="00E2056E"/>
    <w:rsid w:val="00E20F8A"/>
    <w:rsid w:val="00E22230"/>
    <w:rsid w:val="00E2278D"/>
    <w:rsid w:val="00E2280A"/>
    <w:rsid w:val="00E22C13"/>
    <w:rsid w:val="00E23068"/>
    <w:rsid w:val="00E245F7"/>
    <w:rsid w:val="00E24FE3"/>
    <w:rsid w:val="00E25379"/>
    <w:rsid w:val="00E25405"/>
    <w:rsid w:val="00E2565E"/>
    <w:rsid w:val="00E25B53"/>
    <w:rsid w:val="00E2640E"/>
    <w:rsid w:val="00E2663D"/>
    <w:rsid w:val="00E271FC"/>
    <w:rsid w:val="00E2739C"/>
    <w:rsid w:val="00E275A6"/>
    <w:rsid w:val="00E27830"/>
    <w:rsid w:val="00E30B09"/>
    <w:rsid w:val="00E30EED"/>
    <w:rsid w:val="00E31041"/>
    <w:rsid w:val="00E31BC1"/>
    <w:rsid w:val="00E31E25"/>
    <w:rsid w:val="00E31F48"/>
    <w:rsid w:val="00E324D8"/>
    <w:rsid w:val="00E32537"/>
    <w:rsid w:val="00E32E24"/>
    <w:rsid w:val="00E33215"/>
    <w:rsid w:val="00E3359C"/>
    <w:rsid w:val="00E33947"/>
    <w:rsid w:val="00E33C64"/>
    <w:rsid w:val="00E342B2"/>
    <w:rsid w:val="00E343D2"/>
    <w:rsid w:val="00E34583"/>
    <w:rsid w:val="00E3517D"/>
    <w:rsid w:val="00E35721"/>
    <w:rsid w:val="00E35831"/>
    <w:rsid w:val="00E364EC"/>
    <w:rsid w:val="00E378BC"/>
    <w:rsid w:val="00E378E2"/>
    <w:rsid w:val="00E403DD"/>
    <w:rsid w:val="00E40747"/>
    <w:rsid w:val="00E40985"/>
    <w:rsid w:val="00E40B94"/>
    <w:rsid w:val="00E40ECB"/>
    <w:rsid w:val="00E40F84"/>
    <w:rsid w:val="00E41582"/>
    <w:rsid w:val="00E4212A"/>
    <w:rsid w:val="00E42642"/>
    <w:rsid w:val="00E4298E"/>
    <w:rsid w:val="00E429FD"/>
    <w:rsid w:val="00E431AB"/>
    <w:rsid w:val="00E4332A"/>
    <w:rsid w:val="00E4338A"/>
    <w:rsid w:val="00E437C8"/>
    <w:rsid w:val="00E448BC"/>
    <w:rsid w:val="00E457A9"/>
    <w:rsid w:val="00E45B18"/>
    <w:rsid w:val="00E463FC"/>
    <w:rsid w:val="00E464A3"/>
    <w:rsid w:val="00E46B20"/>
    <w:rsid w:val="00E4700E"/>
    <w:rsid w:val="00E47780"/>
    <w:rsid w:val="00E47F12"/>
    <w:rsid w:val="00E47FB6"/>
    <w:rsid w:val="00E502C5"/>
    <w:rsid w:val="00E51500"/>
    <w:rsid w:val="00E51C6B"/>
    <w:rsid w:val="00E51E71"/>
    <w:rsid w:val="00E52618"/>
    <w:rsid w:val="00E52936"/>
    <w:rsid w:val="00E52F8A"/>
    <w:rsid w:val="00E53D46"/>
    <w:rsid w:val="00E53E7F"/>
    <w:rsid w:val="00E53EF9"/>
    <w:rsid w:val="00E54E33"/>
    <w:rsid w:val="00E55553"/>
    <w:rsid w:val="00E555E9"/>
    <w:rsid w:val="00E5577C"/>
    <w:rsid w:val="00E5589E"/>
    <w:rsid w:val="00E55E3E"/>
    <w:rsid w:val="00E55ECA"/>
    <w:rsid w:val="00E56069"/>
    <w:rsid w:val="00E560C7"/>
    <w:rsid w:val="00E600E8"/>
    <w:rsid w:val="00E60873"/>
    <w:rsid w:val="00E61650"/>
    <w:rsid w:val="00E61CD2"/>
    <w:rsid w:val="00E62153"/>
    <w:rsid w:val="00E62E8B"/>
    <w:rsid w:val="00E62F05"/>
    <w:rsid w:val="00E633B6"/>
    <w:rsid w:val="00E6382E"/>
    <w:rsid w:val="00E63920"/>
    <w:rsid w:val="00E64D20"/>
    <w:rsid w:val="00E64D23"/>
    <w:rsid w:val="00E64E07"/>
    <w:rsid w:val="00E65206"/>
    <w:rsid w:val="00E656C6"/>
    <w:rsid w:val="00E65A89"/>
    <w:rsid w:val="00E66152"/>
    <w:rsid w:val="00E6673E"/>
    <w:rsid w:val="00E66A27"/>
    <w:rsid w:val="00E673F7"/>
    <w:rsid w:val="00E6743E"/>
    <w:rsid w:val="00E676AA"/>
    <w:rsid w:val="00E67741"/>
    <w:rsid w:val="00E67EA3"/>
    <w:rsid w:val="00E70099"/>
    <w:rsid w:val="00E70AA6"/>
    <w:rsid w:val="00E70DAA"/>
    <w:rsid w:val="00E70DAE"/>
    <w:rsid w:val="00E7147A"/>
    <w:rsid w:val="00E71899"/>
    <w:rsid w:val="00E71A01"/>
    <w:rsid w:val="00E71DA7"/>
    <w:rsid w:val="00E73812"/>
    <w:rsid w:val="00E73DF0"/>
    <w:rsid w:val="00E73E4F"/>
    <w:rsid w:val="00E743DC"/>
    <w:rsid w:val="00E74712"/>
    <w:rsid w:val="00E7492F"/>
    <w:rsid w:val="00E74ACF"/>
    <w:rsid w:val="00E75273"/>
    <w:rsid w:val="00E7544E"/>
    <w:rsid w:val="00E758C0"/>
    <w:rsid w:val="00E7593A"/>
    <w:rsid w:val="00E7599B"/>
    <w:rsid w:val="00E76016"/>
    <w:rsid w:val="00E76324"/>
    <w:rsid w:val="00E77304"/>
    <w:rsid w:val="00E77948"/>
    <w:rsid w:val="00E804DC"/>
    <w:rsid w:val="00E806AF"/>
    <w:rsid w:val="00E80FD0"/>
    <w:rsid w:val="00E81537"/>
    <w:rsid w:val="00E81B1F"/>
    <w:rsid w:val="00E81BC6"/>
    <w:rsid w:val="00E81F62"/>
    <w:rsid w:val="00E82085"/>
    <w:rsid w:val="00E822F0"/>
    <w:rsid w:val="00E82D48"/>
    <w:rsid w:val="00E82F4A"/>
    <w:rsid w:val="00E8382A"/>
    <w:rsid w:val="00E83B9A"/>
    <w:rsid w:val="00E83CC2"/>
    <w:rsid w:val="00E83D23"/>
    <w:rsid w:val="00E83EBC"/>
    <w:rsid w:val="00E840B6"/>
    <w:rsid w:val="00E84427"/>
    <w:rsid w:val="00E845AC"/>
    <w:rsid w:val="00E84611"/>
    <w:rsid w:val="00E8484E"/>
    <w:rsid w:val="00E8692D"/>
    <w:rsid w:val="00E86F77"/>
    <w:rsid w:val="00E877EF"/>
    <w:rsid w:val="00E87A59"/>
    <w:rsid w:val="00E87C08"/>
    <w:rsid w:val="00E902E0"/>
    <w:rsid w:val="00E90B4E"/>
    <w:rsid w:val="00E91943"/>
    <w:rsid w:val="00E92B67"/>
    <w:rsid w:val="00E93182"/>
    <w:rsid w:val="00E93817"/>
    <w:rsid w:val="00E94953"/>
    <w:rsid w:val="00E94E32"/>
    <w:rsid w:val="00E954D0"/>
    <w:rsid w:val="00E95AB7"/>
    <w:rsid w:val="00E95CA2"/>
    <w:rsid w:val="00E963C5"/>
    <w:rsid w:val="00E9682D"/>
    <w:rsid w:val="00E96A7A"/>
    <w:rsid w:val="00E97220"/>
    <w:rsid w:val="00E977F4"/>
    <w:rsid w:val="00E97AF2"/>
    <w:rsid w:val="00EA0BDB"/>
    <w:rsid w:val="00EA1D81"/>
    <w:rsid w:val="00EA1DE3"/>
    <w:rsid w:val="00EA1DE9"/>
    <w:rsid w:val="00EA2132"/>
    <w:rsid w:val="00EA2AF1"/>
    <w:rsid w:val="00EA2BA2"/>
    <w:rsid w:val="00EA3167"/>
    <w:rsid w:val="00EA337B"/>
    <w:rsid w:val="00EA370F"/>
    <w:rsid w:val="00EA4589"/>
    <w:rsid w:val="00EA4696"/>
    <w:rsid w:val="00EA581B"/>
    <w:rsid w:val="00EA5B1C"/>
    <w:rsid w:val="00EA5B52"/>
    <w:rsid w:val="00EA5E3C"/>
    <w:rsid w:val="00EA656F"/>
    <w:rsid w:val="00EA76D3"/>
    <w:rsid w:val="00EA78FE"/>
    <w:rsid w:val="00EB0200"/>
    <w:rsid w:val="00EB10BB"/>
    <w:rsid w:val="00EB1105"/>
    <w:rsid w:val="00EB157F"/>
    <w:rsid w:val="00EB1DE0"/>
    <w:rsid w:val="00EB1E6E"/>
    <w:rsid w:val="00EB2099"/>
    <w:rsid w:val="00EB29EB"/>
    <w:rsid w:val="00EB34C3"/>
    <w:rsid w:val="00EB395A"/>
    <w:rsid w:val="00EB3B1B"/>
    <w:rsid w:val="00EB42D7"/>
    <w:rsid w:val="00EB4427"/>
    <w:rsid w:val="00EB4471"/>
    <w:rsid w:val="00EB478D"/>
    <w:rsid w:val="00EB47B2"/>
    <w:rsid w:val="00EB4EC6"/>
    <w:rsid w:val="00EB520D"/>
    <w:rsid w:val="00EB5CED"/>
    <w:rsid w:val="00EB68A8"/>
    <w:rsid w:val="00EB71F4"/>
    <w:rsid w:val="00EB74AB"/>
    <w:rsid w:val="00EB76C8"/>
    <w:rsid w:val="00EB7BD9"/>
    <w:rsid w:val="00EB7DEF"/>
    <w:rsid w:val="00EC0583"/>
    <w:rsid w:val="00EC0737"/>
    <w:rsid w:val="00EC12B7"/>
    <w:rsid w:val="00EC1622"/>
    <w:rsid w:val="00EC2802"/>
    <w:rsid w:val="00EC28A3"/>
    <w:rsid w:val="00EC3708"/>
    <w:rsid w:val="00EC3CFA"/>
    <w:rsid w:val="00EC3F8D"/>
    <w:rsid w:val="00EC523C"/>
    <w:rsid w:val="00EC583F"/>
    <w:rsid w:val="00EC5974"/>
    <w:rsid w:val="00EC5B2F"/>
    <w:rsid w:val="00EC5B51"/>
    <w:rsid w:val="00EC6421"/>
    <w:rsid w:val="00EC6778"/>
    <w:rsid w:val="00EC6AFB"/>
    <w:rsid w:val="00EC6C63"/>
    <w:rsid w:val="00EC7878"/>
    <w:rsid w:val="00EC7C55"/>
    <w:rsid w:val="00ED1591"/>
    <w:rsid w:val="00ED1933"/>
    <w:rsid w:val="00ED1F9D"/>
    <w:rsid w:val="00ED2020"/>
    <w:rsid w:val="00ED2596"/>
    <w:rsid w:val="00ED29C4"/>
    <w:rsid w:val="00ED2C02"/>
    <w:rsid w:val="00ED3446"/>
    <w:rsid w:val="00ED3E0E"/>
    <w:rsid w:val="00ED48C8"/>
    <w:rsid w:val="00ED493D"/>
    <w:rsid w:val="00ED51F0"/>
    <w:rsid w:val="00ED5ECC"/>
    <w:rsid w:val="00ED5EE1"/>
    <w:rsid w:val="00ED60F7"/>
    <w:rsid w:val="00ED61CC"/>
    <w:rsid w:val="00ED6218"/>
    <w:rsid w:val="00ED7855"/>
    <w:rsid w:val="00ED7891"/>
    <w:rsid w:val="00ED7AA6"/>
    <w:rsid w:val="00ED7F12"/>
    <w:rsid w:val="00EE0389"/>
    <w:rsid w:val="00EE0472"/>
    <w:rsid w:val="00EE0591"/>
    <w:rsid w:val="00EE08A9"/>
    <w:rsid w:val="00EE09A7"/>
    <w:rsid w:val="00EE10D9"/>
    <w:rsid w:val="00EE29D6"/>
    <w:rsid w:val="00EE3D0A"/>
    <w:rsid w:val="00EE3DC1"/>
    <w:rsid w:val="00EE3FBE"/>
    <w:rsid w:val="00EE48F2"/>
    <w:rsid w:val="00EE49E8"/>
    <w:rsid w:val="00EE5269"/>
    <w:rsid w:val="00EE527C"/>
    <w:rsid w:val="00EE53CC"/>
    <w:rsid w:val="00EE5E3E"/>
    <w:rsid w:val="00EE6137"/>
    <w:rsid w:val="00EE657B"/>
    <w:rsid w:val="00EE68E7"/>
    <w:rsid w:val="00EE69A8"/>
    <w:rsid w:val="00EE6AEB"/>
    <w:rsid w:val="00EE77C9"/>
    <w:rsid w:val="00EE7B97"/>
    <w:rsid w:val="00EE7BCC"/>
    <w:rsid w:val="00EF0EEC"/>
    <w:rsid w:val="00EF100D"/>
    <w:rsid w:val="00EF1206"/>
    <w:rsid w:val="00EF2680"/>
    <w:rsid w:val="00EF290C"/>
    <w:rsid w:val="00EF2973"/>
    <w:rsid w:val="00EF2F4D"/>
    <w:rsid w:val="00EF3651"/>
    <w:rsid w:val="00EF3F17"/>
    <w:rsid w:val="00EF42A4"/>
    <w:rsid w:val="00EF473F"/>
    <w:rsid w:val="00EF47BF"/>
    <w:rsid w:val="00EF4A4E"/>
    <w:rsid w:val="00EF4C33"/>
    <w:rsid w:val="00EF51C7"/>
    <w:rsid w:val="00EF5533"/>
    <w:rsid w:val="00EF60EC"/>
    <w:rsid w:val="00EF6307"/>
    <w:rsid w:val="00EF63D3"/>
    <w:rsid w:val="00EF65D1"/>
    <w:rsid w:val="00EF65D4"/>
    <w:rsid w:val="00EF6D7F"/>
    <w:rsid w:val="00EF76F3"/>
    <w:rsid w:val="00EF79DA"/>
    <w:rsid w:val="00EF79FB"/>
    <w:rsid w:val="00F004A3"/>
    <w:rsid w:val="00F00857"/>
    <w:rsid w:val="00F008C5"/>
    <w:rsid w:val="00F01416"/>
    <w:rsid w:val="00F01532"/>
    <w:rsid w:val="00F02390"/>
    <w:rsid w:val="00F02C9C"/>
    <w:rsid w:val="00F02F86"/>
    <w:rsid w:val="00F0336A"/>
    <w:rsid w:val="00F036AC"/>
    <w:rsid w:val="00F038FC"/>
    <w:rsid w:val="00F03F6E"/>
    <w:rsid w:val="00F04A5D"/>
    <w:rsid w:val="00F050B1"/>
    <w:rsid w:val="00F06027"/>
    <w:rsid w:val="00F06214"/>
    <w:rsid w:val="00F062C9"/>
    <w:rsid w:val="00F06A73"/>
    <w:rsid w:val="00F071F8"/>
    <w:rsid w:val="00F075E1"/>
    <w:rsid w:val="00F07C3F"/>
    <w:rsid w:val="00F10024"/>
    <w:rsid w:val="00F10105"/>
    <w:rsid w:val="00F1044A"/>
    <w:rsid w:val="00F11E0A"/>
    <w:rsid w:val="00F11FF4"/>
    <w:rsid w:val="00F127A5"/>
    <w:rsid w:val="00F127D2"/>
    <w:rsid w:val="00F12AF4"/>
    <w:rsid w:val="00F1320E"/>
    <w:rsid w:val="00F1383C"/>
    <w:rsid w:val="00F14B12"/>
    <w:rsid w:val="00F14C15"/>
    <w:rsid w:val="00F14D94"/>
    <w:rsid w:val="00F15905"/>
    <w:rsid w:val="00F167F7"/>
    <w:rsid w:val="00F168B9"/>
    <w:rsid w:val="00F168BA"/>
    <w:rsid w:val="00F16C8D"/>
    <w:rsid w:val="00F17BB4"/>
    <w:rsid w:val="00F20697"/>
    <w:rsid w:val="00F20876"/>
    <w:rsid w:val="00F20B84"/>
    <w:rsid w:val="00F213B6"/>
    <w:rsid w:val="00F21911"/>
    <w:rsid w:val="00F21938"/>
    <w:rsid w:val="00F219CA"/>
    <w:rsid w:val="00F21F2B"/>
    <w:rsid w:val="00F22151"/>
    <w:rsid w:val="00F229CF"/>
    <w:rsid w:val="00F22FFB"/>
    <w:rsid w:val="00F23279"/>
    <w:rsid w:val="00F2327A"/>
    <w:rsid w:val="00F23BC6"/>
    <w:rsid w:val="00F24DF1"/>
    <w:rsid w:val="00F25224"/>
    <w:rsid w:val="00F252BB"/>
    <w:rsid w:val="00F25513"/>
    <w:rsid w:val="00F27000"/>
    <w:rsid w:val="00F27707"/>
    <w:rsid w:val="00F277DE"/>
    <w:rsid w:val="00F27BFC"/>
    <w:rsid w:val="00F27C84"/>
    <w:rsid w:val="00F302B9"/>
    <w:rsid w:val="00F30399"/>
    <w:rsid w:val="00F30A25"/>
    <w:rsid w:val="00F30BAE"/>
    <w:rsid w:val="00F31086"/>
    <w:rsid w:val="00F31398"/>
    <w:rsid w:val="00F3142B"/>
    <w:rsid w:val="00F31966"/>
    <w:rsid w:val="00F3220C"/>
    <w:rsid w:val="00F32267"/>
    <w:rsid w:val="00F32312"/>
    <w:rsid w:val="00F32954"/>
    <w:rsid w:val="00F332EE"/>
    <w:rsid w:val="00F3347C"/>
    <w:rsid w:val="00F33561"/>
    <w:rsid w:val="00F33FD7"/>
    <w:rsid w:val="00F34166"/>
    <w:rsid w:val="00F3427F"/>
    <w:rsid w:val="00F343DF"/>
    <w:rsid w:val="00F347A2"/>
    <w:rsid w:val="00F349CE"/>
    <w:rsid w:val="00F34C0C"/>
    <w:rsid w:val="00F34DC2"/>
    <w:rsid w:val="00F34FCE"/>
    <w:rsid w:val="00F35118"/>
    <w:rsid w:val="00F3516E"/>
    <w:rsid w:val="00F351C8"/>
    <w:rsid w:val="00F3547B"/>
    <w:rsid w:val="00F35569"/>
    <w:rsid w:val="00F35B6F"/>
    <w:rsid w:val="00F35EDD"/>
    <w:rsid w:val="00F35EF7"/>
    <w:rsid w:val="00F3666A"/>
    <w:rsid w:val="00F36815"/>
    <w:rsid w:val="00F37109"/>
    <w:rsid w:val="00F373EF"/>
    <w:rsid w:val="00F37B8A"/>
    <w:rsid w:val="00F37D54"/>
    <w:rsid w:val="00F4050F"/>
    <w:rsid w:val="00F40C67"/>
    <w:rsid w:val="00F40D54"/>
    <w:rsid w:val="00F414F2"/>
    <w:rsid w:val="00F415EE"/>
    <w:rsid w:val="00F41D78"/>
    <w:rsid w:val="00F41E27"/>
    <w:rsid w:val="00F41E6C"/>
    <w:rsid w:val="00F4202B"/>
    <w:rsid w:val="00F42CCD"/>
    <w:rsid w:val="00F43FAB"/>
    <w:rsid w:val="00F44FAB"/>
    <w:rsid w:val="00F4523B"/>
    <w:rsid w:val="00F45C87"/>
    <w:rsid w:val="00F46010"/>
    <w:rsid w:val="00F46102"/>
    <w:rsid w:val="00F464D5"/>
    <w:rsid w:val="00F46943"/>
    <w:rsid w:val="00F469BD"/>
    <w:rsid w:val="00F46E7A"/>
    <w:rsid w:val="00F473B0"/>
    <w:rsid w:val="00F47BC7"/>
    <w:rsid w:val="00F514CA"/>
    <w:rsid w:val="00F51934"/>
    <w:rsid w:val="00F522FA"/>
    <w:rsid w:val="00F52403"/>
    <w:rsid w:val="00F52415"/>
    <w:rsid w:val="00F5276D"/>
    <w:rsid w:val="00F5295A"/>
    <w:rsid w:val="00F52B2F"/>
    <w:rsid w:val="00F52E96"/>
    <w:rsid w:val="00F53087"/>
    <w:rsid w:val="00F539E8"/>
    <w:rsid w:val="00F54596"/>
    <w:rsid w:val="00F54C9D"/>
    <w:rsid w:val="00F54EAD"/>
    <w:rsid w:val="00F54F08"/>
    <w:rsid w:val="00F55E98"/>
    <w:rsid w:val="00F562A7"/>
    <w:rsid w:val="00F565C0"/>
    <w:rsid w:val="00F56A41"/>
    <w:rsid w:val="00F56A59"/>
    <w:rsid w:val="00F56F6D"/>
    <w:rsid w:val="00F57F73"/>
    <w:rsid w:val="00F6127C"/>
    <w:rsid w:val="00F6174D"/>
    <w:rsid w:val="00F61AAB"/>
    <w:rsid w:val="00F61BFD"/>
    <w:rsid w:val="00F624D6"/>
    <w:rsid w:val="00F6363A"/>
    <w:rsid w:val="00F63957"/>
    <w:rsid w:val="00F644AD"/>
    <w:rsid w:val="00F6488E"/>
    <w:rsid w:val="00F649F9"/>
    <w:rsid w:val="00F65C3C"/>
    <w:rsid w:val="00F65E8B"/>
    <w:rsid w:val="00F6604D"/>
    <w:rsid w:val="00F6625B"/>
    <w:rsid w:val="00F66282"/>
    <w:rsid w:val="00F66EAD"/>
    <w:rsid w:val="00F66FD1"/>
    <w:rsid w:val="00F66FEA"/>
    <w:rsid w:val="00F671AE"/>
    <w:rsid w:val="00F673DF"/>
    <w:rsid w:val="00F67DB9"/>
    <w:rsid w:val="00F70075"/>
    <w:rsid w:val="00F72D32"/>
    <w:rsid w:val="00F73604"/>
    <w:rsid w:val="00F74360"/>
    <w:rsid w:val="00F747BF"/>
    <w:rsid w:val="00F74928"/>
    <w:rsid w:val="00F74DCD"/>
    <w:rsid w:val="00F75901"/>
    <w:rsid w:val="00F75928"/>
    <w:rsid w:val="00F75A14"/>
    <w:rsid w:val="00F75B26"/>
    <w:rsid w:val="00F75ED4"/>
    <w:rsid w:val="00F7607E"/>
    <w:rsid w:val="00F76087"/>
    <w:rsid w:val="00F763EC"/>
    <w:rsid w:val="00F76879"/>
    <w:rsid w:val="00F7696B"/>
    <w:rsid w:val="00F76EB5"/>
    <w:rsid w:val="00F77455"/>
    <w:rsid w:val="00F7755A"/>
    <w:rsid w:val="00F80748"/>
    <w:rsid w:val="00F80971"/>
    <w:rsid w:val="00F80D5E"/>
    <w:rsid w:val="00F80D6F"/>
    <w:rsid w:val="00F8184E"/>
    <w:rsid w:val="00F81E67"/>
    <w:rsid w:val="00F82A43"/>
    <w:rsid w:val="00F82E8E"/>
    <w:rsid w:val="00F83019"/>
    <w:rsid w:val="00F83058"/>
    <w:rsid w:val="00F83BBF"/>
    <w:rsid w:val="00F84157"/>
    <w:rsid w:val="00F841E6"/>
    <w:rsid w:val="00F84762"/>
    <w:rsid w:val="00F853AA"/>
    <w:rsid w:val="00F85862"/>
    <w:rsid w:val="00F86038"/>
    <w:rsid w:val="00F86052"/>
    <w:rsid w:val="00F86DC8"/>
    <w:rsid w:val="00F874E5"/>
    <w:rsid w:val="00F87CF3"/>
    <w:rsid w:val="00F87E46"/>
    <w:rsid w:val="00F900F9"/>
    <w:rsid w:val="00F903E9"/>
    <w:rsid w:val="00F903F1"/>
    <w:rsid w:val="00F90554"/>
    <w:rsid w:val="00F90E87"/>
    <w:rsid w:val="00F90E91"/>
    <w:rsid w:val="00F91599"/>
    <w:rsid w:val="00F91CCC"/>
    <w:rsid w:val="00F923A2"/>
    <w:rsid w:val="00F9244B"/>
    <w:rsid w:val="00F9260D"/>
    <w:rsid w:val="00F9297A"/>
    <w:rsid w:val="00F929F2"/>
    <w:rsid w:val="00F92A2E"/>
    <w:rsid w:val="00F935EA"/>
    <w:rsid w:val="00F93848"/>
    <w:rsid w:val="00F93A67"/>
    <w:rsid w:val="00F93CFA"/>
    <w:rsid w:val="00F93D54"/>
    <w:rsid w:val="00F942E5"/>
    <w:rsid w:val="00F943B6"/>
    <w:rsid w:val="00F95408"/>
    <w:rsid w:val="00F959B8"/>
    <w:rsid w:val="00F95CAB"/>
    <w:rsid w:val="00F95EB3"/>
    <w:rsid w:val="00F96221"/>
    <w:rsid w:val="00F96420"/>
    <w:rsid w:val="00F967B5"/>
    <w:rsid w:val="00F96C95"/>
    <w:rsid w:val="00F97263"/>
    <w:rsid w:val="00F97E4F"/>
    <w:rsid w:val="00FA048D"/>
    <w:rsid w:val="00FA06D2"/>
    <w:rsid w:val="00FA0B43"/>
    <w:rsid w:val="00FA0F91"/>
    <w:rsid w:val="00FA15F8"/>
    <w:rsid w:val="00FA2147"/>
    <w:rsid w:val="00FA21C6"/>
    <w:rsid w:val="00FA23F4"/>
    <w:rsid w:val="00FA2ACB"/>
    <w:rsid w:val="00FA2C94"/>
    <w:rsid w:val="00FA2E32"/>
    <w:rsid w:val="00FA2E7F"/>
    <w:rsid w:val="00FA3030"/>
    <w:rsid w:val="00FA3F85"/>
    <w:rsid w:val="00FA52EE"/>
    <w:rsid w:val="00FA56D1"/>
    <w:rsid w:val="00FA58FB"/>
    <w:rsid w:val="00FA5B6B"/>
    <w:rsid w:val="00FA5D71"/>
    <w:rsid w:val="00FA5EF1"/>
    <w:rsid w:val="00FA6803"/>
    <w:rsid w:val="00FA7EA6"/>
    <w:rsid w:val="00FB0587"/>
    <w:rsid w:val="00FB0BE7"/>
    <w:rsid w:val="00FB0DDE"/>
    <w:rsid w:val="00FB13CD"/>
    <w:rsid w:val="00FB1B17"/>
    <w:rsid w:val="00FB26B6"/>
    <w:rsid w:val="00FB28DA"/>
    <w:rsid w:val="00FB3DF2"/>
    <w:rsid w:val="00FB45EB"/>
    <w:rsid w:val="00FB4B82"/>
    <w:rsid w:val="00FB4D20"/>
    <w:rsid w:val="00FB5861"/>
    <w:rsid w:val="00FB6B07"/>
    <w:rsid w:val="00FB7709"/>
    <w:rsid w:val="00FB7773"/>
    <w:rsid w:val="00FB79F0"/>
    <w:rsid w:val="00FB7B55"/>
    <w:rsid w:val="00FC0303"/>
    <w:rsid w:val="00FC04EE"/>
    <w:rsid w:val="00FC0527"/>
    <w:rsid w:val="00FC1321"/>
    <w:rsid w:val="00FC1496"/>
    <w:rsid w:val="00FC28D9"/>
    <w:rsid w:val="00FC2BC5"/>
    <w:rsid w:val="00FC3688"/>
    <w:rsid w:val="00FC3932"/>
    <w:rsid w:val="00FC40D0"/>
    <w:rsid w:val="00FC4CEC"/>
    <w:rsid w:val="00FC5DBA"/>
    <w:rsid w:val="00FC64A4"/>
    <w:rsid w:val="00FC7663"/>
    <w:rsid w:val="00FC76C6"/>
    <w:rsid w:val="00FC7A79"/>
    <w:rsid w:val="00FD04FF"/>
    <w:rsid w:val="00FD0E6A"/>
    <w:rsid w:val="00FD1183"/>
    <w:rsid w:val="00FD12D9"/>
    <w:rsid w:val="00FD1C65"/>
    <w:rsid w:val="00FD1D88"/>
    <w:rsid w:val="00FD2012"/>
    <w:rsid w:val="00FD2053"/>
    <w:rsid w:val="00FD3385"/>
    <w:rsid w:val="00FD33D6"/>
    <w:rsid w:val="00FD37B5"/>
    <w:rsid w:val="00FD4B0F"/>
    <w:rsid w:val="00FD4E04"/>
    <w:rsid w:val="00FD52A2"/>
    <w:rsid w:val="00FD5353"/>
    <w:rsid w:val="00FD5EF7"/>
    <w:rsid w:val="00FD658A"/>
    <w:rsid w:val="00FD67CD"/>
    <w:rsid w:val="00FD6E66"/>
    <w:rsid w:val="00FD7B46"/>
    <w:rsid w:val="00FE0794"/>
    <w:rsid w:val="00FE1107"/>
    <w:rsid w:val="00FE1BEE"/>
    <w:rsid w:val="00FE27AC"/>
    <w:rsid w:val="00FE2B95"/>
    <w:rsid w:val="00FE2D9B"/>
    <w:rsid w:val="00FE34A7"/>
    <w:rsid w:val="00FE35A5"/>
    <w:rsid w:val="00FE41F2"/>
    <w:rsid w:val="00FE4542"/>
    <w:rsid w:val="00FE522F"/>
    <w:rsid w:val="00FE5460"/>
    <w:rsid w:val="00FE7459"/>
    <w:rsid w:val="00FE779D"/>
    <w:rsid w:val="00FE7FF5"/>
    <w:rsid w:val="00FF054A"/>
    <w:rsid w:val="00FF09D7"/>
    <w:rsid w:val="00FF0AC0"/>
    <w:rsid w:val="00FF0BD8"/>
    <w:rsid w:val="00FF0E24"/>
    <w:rsid w:val="00FF1222"/>
    <w:rsid w:val="00FF1D14"/>
    <w:rsid w:val="00FF1DED"/>
    <w:rsid w:val="00FF24B9"/>
    <w:rsid w:val="00FF366A"/>
    <w:rsid w:val="00FF3BC8"/>
    <w:rsid w:val="00FF3C86"/>
    <w:rsid w:val="00FF455E"/>
    <w:rsid w:val="00FF51BC"/>
    <w:rsid w:val="00FF52CE"/>
    <w:rsid w:val="00FF5C41"/>
    <w:rsid w:val="00FF6223"/>
    <w:rsid w:val="00FF6E5C"/>
    <w:rsid w:val="00FF6EBF"/>
    <w:rsid w:val="00FF6EF4"/>
    <w:rsid w:val="00FF6EF8"/>
    <w:rsid w:val="00FF720E"/>
    <w:rsid w:val="00FF7272"/>
    <w:rsid w:val="00FF7AF1"/>
    <w:rsid w:val="00FF7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B99B4"/>
  <w14:defaultImageDpi w14:val="300"/>
  <w15:docId w15:val="{0271EA07-71DB-424A-940E-48F7E9F0D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w:eastAsiaTheme="minorEastAsia" w:hAnsi="Source Sans Pro"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D6C"/>
    <w:pPr>
      <w:contextualSpacing/>
    </w:pPr>
    <w:rPr>
      <w:rFonts w:ascii="Times New Roman" w:hAnsi="Times New Roman"/>
    </w:rPr>
  </w:style>
  <w:style w:type="paragraph" w:styleId="Heading1">
    <w:name w:val="heading 1"/>
    <w:basedOn w:val="Normal"/>
    <w:next w:val="Normal"/>
    <w:link w:val="Heading1Char"/>
    <w:uiPriority w:val="9"/>
    <w:qFormat/>
    <w:rsid w:val="00F050B1"/>
    <w:pPr>
      <w:keepNext/>
      <w:keepLines/>
      <w:spacing w:after="480"/>
      <w:outlineLvl w:val="0"/>
    </w:pPr>
    <w:rPr>
      <w:rFonts w:eastAsiaTheme="majorEastAsia" w:cstheme="majorBidi"/>
      <w:b/>
      <w:bCs/>
      <w:szCs w:val="32"/>
    </w:rPr>
  </w:style>
  <w:style w:type="paragraph" w:styleId="Heading2">
    <w:name w:val="heading 2"/>
    <w:basedOn w:val="TOC2"/>
    <w:next w:val="Normal"/>
    <w:link w:val="Heading2Char"/>
    <w:uiPriority w:val="9"/>
    <w:unhideWhenUsed/>
    <w:qFormat/>
    <w:rsid w:val="00F050B1"/>
    <w:pPr>
      <w:keepNext/>
      <w:spacing w:before="480" w:after="360"/>
      <w:outlineLvl w:val="1"/>
    </w:pPr>
  </w:style>
  <w:style w:type="paragraph" w:styleId="Heading3">
    <w:name w:val="heading 3"/>
    <w:basedOn w:val="TOC3"/>
    <w:next w:val="Normal"/>
    <w:link w:val="Heading3Char"/>
    <w:uiPriority w:val="9"/>
    <w:unhideWhenUsed/>
    <w:qFormat/>
    <w:rsid w:val="00136E52"/>
    <w:pPr>
      <w:keepNext/>
      <w:spacing w:before="480" w:after="160"/>
      <w:ind w:left="360" w:firstLine="0"/>
      <w:outlineLvl w:val="2"/>
    </w:pPr>
  </w:style>
  <w:style w:type="paragraph" w:styleId="Heading4">
    <w:name w:val="heading 4"/>
    <w:basedOn w:val="Heading3"/>
    <w:next w:val="Normal"/>
    <w:link w:val="Heading4Char"/>
    <w:uiPriority w:val="9"/>
    <w:unhideWhenUsed/>
    <w:qFormat/>
    <w:rsid w:val="00FE7459"/>
    <w:pPr>
      <w:ind w:left="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Authorities">
    <w:name w:val="table of authorities"/>
    <w:basedOn w:val="Normal"/>
    <w:next w:val="Normal"/>
    <w:uiPriority w:val="99"/>
    <w:rsid w:val="00DE5960"/>
    <w:pPr>
      <w:spacing w:before="120" w:after="120"/>
      <w:ind w:left="240" w:hanging="240"/>
    </w:pPr>
    <w:rPr>
      <w:rFonts w:eastAsia="Times New Roman" w:cs="Times New Roman"/>
      <w:szCs w:val="20"/>
    </w:rPr>
  </w:style>
  <w:style w:type="paragraph" w:styleId="TOAHeading">
    <w:name w:val="toa heading"/>
    <w:basedOn w:val="Normal"/>
    <w:next w:val="Normal"/>
    <w:uiPriority w:val="99"/>
    <w:qFormat/>
    <w:rsid w:val="00DE5960"/>
    <w:pPr>
      <w:spacing w:before="240" w:after="120"/>
      <w:jc w:val="center"/>
    </w:pPr>
    <w:rPr>
      <w:rFonts w:eastAsia="Times New Roman" w:cs="Times New Roman"/>
      <w:smallCaps/>
      <w:szCs w:val="22"/>
      <w:u w:val="single"/>
    </w:rPr>
  </w:style>
  <w:style w:type="character" w:customStyle="1" w:styleId="Heading1Char">
    <w:name w:val="Heading 1 Char"/>
    <w:basedOn w:val="DefaultParagraphFont"/>
    <w:link w:val="Heading1"/>
    <w:uiPriority w:val="9"/>
    <w:rsid w:val="00F050B1"/>
    <w:rPr>
      <w:rFonts w:ascii="Times New Roman" w:eastAsiaTheme="majorEastAsia" w:hAnsi="Times New Roman" w:cstheme="majorBidi"/>
      <w:b/>
      <w:bCs/>
      <w:szCs w:val="32"/>
    </w:rPr>
  </w:style>
  <w:style w:type="paragraph" w:styleId="FootnoteText">
    <w:name w:val="footnote text"/>
    <w:basedOn w:val="Normal"/>
    <w:link w:val="FootnoteTextChar"/>
    <w:uiPriority w:val="99"/>
    <w:unhideWhenUsed/>
    <w:rsid w:val="00AE50AD"/>
    <w:rPr>
      <w:sz w:val="22"/>
    </w:rPr>
  </w:style>
  <w:style w:type="character" w:customStyle="1" w:styleId="FootnoteTextChar">
    <w:name w:val="Footnote Text Char"/>
    <w:basedOn w:val="DefaultParagraphFont"/>
    <w:link w:val="FootnoteText"/>
    <w:uiPriority w:val="99"/>
    <w:rsid w:val="00AE50AD"/>
    <w:rPr>
      <w:rFonts w:ascii="Times New Roman" w:hAnsi="Times New Roman"/>
      <w:sz w:val="22"/>
    </w:rPr>
  </w:style>
  <w:style w:type="character" w:styleId="FootnoteReference">
    <w:name w:val="footnote reference"/>
    <w:basedOn w:val="DefaultParagraphFont"/>
    <w:uiPriority w:val="99"/>
    <w:unhideWhenUsed/>
    <w:rsid w:val="009E5099"/>
    <w:rPr>
      <w:vertAlign w:val="superscript"/>
    </w:rPr>
  </w:style>
  <w:style w:type="character" w:styleId="CommentReference">
    <w:name w:val="annotation reference"/>
    <w:basedOn w:val="DefaultParagraphFont"/>
    <w:uiPriority w:val="99"/>
    <w:semiHidden/>
    <w:unhideWhenUsed/>
    <w:rsid w:val="009E5099"/>
    <w:rPr>
      <w:sz w:val="18"/>
      <w:szCs w:val="18"/>
    </w:rPr>
  </w:style>
  <w:style w:type="paragraph" w:styleId="CommentText">
    <w:name w:val="annotation text"/>
    <w:basedOn w:val="Normal"/>
    <w:link w:val="CommentTextChar"/>
    <w:uiPriority w:val="99"/>
    <w:unhideWhenUsed/>
    <w:rsid w:val="009E5099"/>
  </w:style>
  <w:style w:type="character" w:customStyle="1" w:styleId="CommentTextChar">
    <w:name w:val="Comment Text Char"/>
    <w:basedOn w:val="DefaultParagraphFont"/>
    <w:link w:val="CommentText"/>
    <w:uiPriority w:val="99"/>
    <w:rsid w:val="009E5099"/>
  </w:style>
  <w:style w:type="paragraph" w:styleId="BalloonText">
    <w:name w:val="Balloon Text"/>
    <w:basedOn w:val="Normal"/>
    <w:link w:val="BalloonTextChar"/>
    <w:uiPriority w:val="99"/>
    <w:semiHidden/>
    <w:unhideWhenUsed/>
    <w:rsid w:val="002D7127"/>
    <w:rPr>
      <w:rFonts w:cs="Times New Roman"/>
      <w:sz w:val="18"/>
      <w:szCs w:val="18"/>
    </w:rPr>
  </w:style>
  <w:style w:type="character" w:customStyle="1" w:styleId="BalloonTextChar">
    <w:name w:val="Balloon Text Char"/>
    <w:basedOn w:val="DefaultParagraphFont"/>
    <w:link w:val="BalloonText"/>
    <w:uiPriority w:val="99"/>
    <w:semiHidden/>
    <w:rsid w:val="002D7127"/>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F600B"/>
    <w:rPr>
      <w:b/>
      <w:bCs/>
      <w:sz w:val="20"/>
      <w:szCs w:val="20"/>
    </w:rPr>
  </w:style>
  <w:style w:type="character" w:customStyle="1" w:styleId="CommentSubjectChar">
    <w:name w:val="Comment Subject Char"/>
    <w:basedOn w:val="CommentTextChar"/>
    <w:link w:val="CommentSubject"/>
    <w:uiPriority w:val="99"/>
    <w:semiHidden/>
    <w:rsid w:val="00DF600B"/>
    <w:rPr>
      <w:b/>
      <w:bCs/>
      <w:sz w:val="20"/>
      <w:szCs w:val="20"/>
    </w:rPr>
  </w:style>
  <w:style w:type="paragraph" w:customStyle="1" w:styleId="Footnotes">
    <w:name w:val="Footnotes"/>
    <w:basedOn w:val="FootnoteText"/>
    <w:qFormat/>
    <w:rsid w:val="00A9083C"/>
    <w:rPr>
      <w:rFonts w:cs="Times New Roman"/>
      <w:szCs w:val="22"/>
    </w:rPr>
  </w:style>
  <w:style w:type="paragraph" w:styleId="ListParagraph">
    <w:name w:val="List Paragraph"/>
    <w:basedOn w:val="Normal"/>
    <w:uiPriority w:val="34"/>
    <w:qFormat/>
    <w:rsid w:val="002E73D4"/>
    <w:pPr>
      <w:ind w:left="720"/>
    </w:pPr>
  </w:style>
  <w:style w:type="character" w:styleId="Emphasis">
    <w:name w:val="Emphasis"/>
    <w:basedOn w:val="DefaultParagraphFont"/>
    <w:uiPriority w:val="20"/>
    <w:qFormat/>
    <w:rsid w:val="00EA2132"/>
    <w:rPr>
      <w:i/>
      <w:iCs/>
    </w:rPr>
  </w:style>
  <w:style w:type="character" w:customStyle="1" w:styleId="apple-converted-space">
    <w:name w:val="apple-converted-space"/>
    <w:basedOn w:val="DefaultParagraphFont"/>
    <w:rsid w:val="00EA2132"/>
  </w:style>
  <w:style w:type="character" w:customStyle="1" w:styleId="costarpage">
    <w:name w:val="co_starpage"/>
    <w:basedOn w:val="DefaultParagraphFont"/>
    <w:rsid w:val="00354AB4"/>
  </w:style>
  <w:style w:type="paragraph" w:styleId="NormalWeb">
    <w:name w:val="Normal (Web)"/>
    <w:basedOn w:val="Normal"/>
    <w:uiPriority w:val="99"/>
    <w:unhideWhenUsed/>
    <w:rsid w:val="003C7D87"/>
    <w:pPr>
      <w:spacing w:before="100" w:beforeAutospacing="1" w:after="100" w:afterAutospacing="1"/>
    </w:pPr>
    <w:rPr>
      <w:rFonts w:eastAsia="Times New Roman" w:cs="Times New Roman"/>
    </w:rPr>
  </w:style>
  <w:style w:type="character" w:styleId="Hyperlink">
    <w:name w:val="Hyperlink"/>
    <w:basedOn w:val="DefaultParagraphFont"/>
    <w:uiPriority w:val="99"/>
    <w:semiHidden/>
    <w:unhideWhenUsed/>
    <w:rsid w:val="00A237F6"/>
    <w:rPr>
      <w:color w:val="0000FF"/>
      <w:u w:val="single"/>
    </w:rPr>
  </w:style>
  <w:style w:type="paragraph" w:styleId="TOC2">
    <w:name w:val="toc 2"/>
    <w:basedOn w:val="Normal"/>
    <w:next w:val="Normal"/>
    <w:autoRedefine/>
    <w:uiPriority w:val="39"/>
    <w:unhideWhenUsed/>
    <w:rsid w:val="0091068D"/>
    <w:pPr>
      <w:spacing w:before="240"/>
    </w:pPr>
    <w:rPr>
      <w:b/>
      <w:bCs/>
      <w:szCs w:val="20"/>
    </w:rPr>
  </w:style>
  <w:style w:type="paragraph" w:styleId="TOC1">
    <w:name w:val="toc 1"/>
    <w:basedOn w:val="Normal"/>
    <w:next w:val="Normal"/>
    <w:autoRedefine/>
    <w:uiPriority w:val="39"/>
    <w:unhideWhenUsed/>
    <w:rsid w:val="00A445EF"/>
    <w:pPr>
      <w:tabs>
        <w:tab w:val="right" w:leader="dot" w:pos="8630"/>
      </w:tabs>
      <w:spacing w:before="480" w:after="240"/>
    </w:pPr>
    <w:rPr>
      <w:rFonts w:cs="Times New Roman"/>
      <w:b/>
      <w:bCs/>
      <w:caps/>
      <w:noProof/>
      <w:spacing w:val="-4"/>
    </w:rPr>
  </w:style>
  <w:style w:type="paragraph" w:styleId="TOC3">
    <w:name w:val="toc 3"/>
    <w:basedOn w:val="Normal"/>
    <w:next w:val="Normal"/>
    <w:autoRedefine/>
    <w:uiPriority w:val="39"/>
    <w:unhideWhenUsed/>
    <w:rsid w:val="00F33FD7"/>
    <w:pPr>
      <w:tabs>
        <w:tab w:val="right" w:leader="dot" w:pos="8630"/>
      </w:tabs>
      <w:spacing w:before="120"/>
      <w:ind w:left="547" w:hanging="360"/>
    </w:pPr>
    <w:rPr>
      <w:b/>
      <w:noProof/>
    </w:rPr>
  </w:style>
  <w:style w:type="paragraph" w:styleId="TOC4">
    <w:name w:val="toc 4"/>
    <w:basedOn w:val="Normal"/>
    <w:next w:val="Normal"/>
    <w:autoRedefine/>
    <w:uiPriority w:val="39"/>
    <w:unhideWhenUsed/>
    <w:rsid w:val="00F33FD7"/>
    <w:pPr>
      <w:tabs>
        <w:tab w:val="right" w:leader="dot" w:pos="8630"/>
      </w:tabs>
      <w:ind w:left="360"/>
    </w:pPr>
    <w:rPr>
      <w:rFonts w:cs="Times New Roman"/>
      <w:noProof/>
    </w:rPr>
  </w:style>
  <w:style w:type="paragraph" w:styleId="TOC5">
    <w:name w:val="toc 5"/>
    <w:basedOn w:val="Normal"/>
    <w:next w:val="Normal"/>
    <w:autoRedefine/>
    <w:uiPriority w:val="39"/>
    <w:unhideWhenUsed/>
    <w:rsid w:val="009B2917"/>
    <w:pPr>
      <w:ind w:left="720"/>
    </w:pPr>
    <w:rPr>
      <w:rFonts w:asciiTheme="minorHAnsi" w:hAnsiTheme="minorHAnsi"/>
      <w:sz w:val="20"/>
      <w:szCs w:val="20"/>
    </w:rPr>
  </w:style>
  <w:style w:type="paragraph" w:styleId="TOC6">
    <w:name w:val="toc 6"/>
    <w:basedOn w:val="Normal"/>
    <w:next w:val="Normal"/>
    <w:autoRedefine/>
    <w:uiPriority w:val="39"/>
    <w:unhideWhenUsed/>
    <w:rsid w:val="009B2917"/>
    <w:pPr>
      <w:ind w:left="960"/>
    </w:pPr>
    <w:rPr>
      <w:rFonts w:asciiTheme="minorHAnsi" w:hAnsiTheme="minorHAnsi"/>
      <w:sz w:val="20"/>
      <w:szCs w:val="20"/>
    </w:rPr>
  </w:style>
  <w:style w:type="paragraph" w:styleId="TOC7">
    <w:name w:val="toc 7"/>
    <w:basedOn w:val="Normal"/>
    <w:next w:val="Normal"/>
    <w:autoRedefine/>
    <w:uiPriority w:val="39"/>
    <w:unhideWhenUsed/>
    <w:rsid w:val="009B2917"/>
    <w:pPr>
      <w:ind w:left="1200"/>
    </w:pPr>
    <w:rPr>
      <w:rFonts w:asciiTheme="minorHAnsi" w:hAnsiTheme="minorHAnsi"/>
      <w:sz w:val="20"/>
      <w:szCs w:val="20"/>
    </w:rPr>
  </w:style>
  <w:style w:type="paragraph" w:styleId="TOC8">
    <w:name w:val="toc 8"/>
    <w:basedOn w:val="Normal"/>
    <w:next w:val="Normal"/>
    <w:autoRedefine/>
    <w:uiPriority w:val="39"/>
    <w:unhideWhenUsed/>
    <w:rsid w:val="009B2917"/>
    <w:pPr>
      <w:ind w:left="1440"/>
    </w:pPr>
    <w:rPr>
      <w:rFonts w:asciiTheme="minorHAnsi" w:hAnsiTheme="minorHAnsi"/>
      <w:sz w:val="20"/>
      <w:szCs w:val="20"/>
    </w:rPr>
  </w:style>
  <w:style w:type="paragraph" w:styleId="TOC9">
    <w:name w:val="toc 9"/>
    <w:basedOn w:val="Normal"/>
    <w:next w:val="Normal"/>
    <w:autoRedefine/>
    <w:uiPriority w:val="39"/>
    <w:unhideWhenUsed/>
    <w:rsid w:val="009B2917"/>
    <w:pPr>
      <w:ind w:left="1680"/>
    </w:pPr>
    <w:rPr>
      <w:rFonts w:asciiTheme="minorHAnsi" w:hAnsiTheme="minorHAnsi"/>
      <w:sz w:val="20"/>
      <w:szCs w:val="20"/>
    </w:rPr>
  </w:style>
  <w:style w:type="character" w:customStyle="1" w:styleId="Heading3Char">
    <w:name w:val="Heading 3 Char"/>
    <w:basedOn w:val="DefaultParagraphFont"/>
    <w:link w:val="Heading3"/>
    <w:uiPriority w:val="9"/>
    <w:rsid w:val="00136E52"/>
    <w:rPr>
      <w:rFonts w:ascii="Times New Roman" w:hAnsi="Times New Roman"/>
      <w:b/>
      <w:noProof/>
    </w:rPr>
  </w:style>
  <w:style w:type="character" w:customStyle="1" w:styleId="Heading2Char">
    <w:name w:val="Heading 2 Char"/>
    <w:basedOn w:val="DefaultParagraphFont"/>
    <w:link w:val="Heading2"/>
    <w:uiPriority w:val="9"/>
    <w:rsid w:val="00F050B1"/>
    <w:rPr>
      <w:rFonts w:ascii="Times New Roman" w:hAnsi="Times New Roman"/>
      <w:b/>
      <w:bCs/>
      <w:szCs w:val="20"/>
    </w:rPr>
  </w:style>
  <w:style w:type="character" w:customStyle="1" w:styleId="Heading4Char">
    <w:name w:val="Heading 4 Char"/>
    <w:basedOn w:val="DefaultParagraphFont"/>
    <w:link w:val="Heading4"/>
    <w:uiPriority w:val="9"/>
    <w:rsid w:val="00FE7459"/>
    <w:rPr>
      <w:rFonts w:ascii="Times New Roman" w:hAnsi="Times New Roman"/>
      <w:b/>
      <w:noProof/>
    </w:rPr>
  </w:style>
  <w:style w:type="paragraph" w:styleId="Revision">
    <w:name w:val="Revision"/>
    <w:hidden/>
    <w:uiPriority w:val="99"/>
    <w:semiHidden/>
    <w:rsid w:val="005347FC"/>
  </w:style>
  <w:style w:type="paragraph" w:styleId="Footer">
    <w:name w:val="footer"/>
    <w:basedOn w:val="Normal"/>
    <w:link w:val="FooterChar"/>
    <w:uiPriority w:val="99"/>
    <w:unhideWhenUsed/>
    <w:rsid w:val="00FD2012"/>
    <w:pPr>
      <w:tabs>
        <w:tab w:val="center" w:pos="4320"/>
        <w:tab w:val="right" w:pos="8640"/>
      </w:tabs>
    </w:pPr>
  </w:style>
  <w:style w:type="character" w:customStyle="1" w:styleId="FooterChar">
    <w:name w:val="Footer Char"/>
    <w:basedOn w:val="DefaultParagraphFont"/>
    <w:link w:val="Footer"/>
    <w:uiPriority w:val="99"/>
    <w:rsid w:val="00FD2012"/>
  </w:style>
  <w:style w:type="character" w:styleId="PageNumber">
    <w:name w:val="page number"/>
    <w:basedOn w:val="DefaultParagraphFont"/>
    <w:uiPriority w:val="99"/>
    <w:semiHidden/>
    <w:unhideWhenUsed/>
    <w:rsid w:val="00FD2012"/>
  </w:style>
  <w:style w:type="paragraph" w:styleId="Header">
    <w:name w:val="header"/>
    <w:basedOn w:val="Normal"/>
    <w:link w:val="HeaderChar"/>
    <w:uiPriority w:val="99"/>
    <w:unhideWhenUsed/>
    <w:rsid w:val="00FD2012"/>
    <w:pPr>
      <w:tabs>
        <w:tab w:val="center" w:pos="4320"/>
        <w:tab w:val="right" w:pos="8640"/>
      </w:tabs>
    </w:pPr>
  </w:style>
  <w:style w:type="character" w:customStyle="1" w:styleId="HeaderChar">
    <w:name w:val="Header Char"/>
    <w:basedOn w:val="DefaultParagraphFont"/>
    <w:link w:val="Header"/>
    <w:uiPriority w:val="99"/>
    <w:rsid w:val="00FD2012"/>
  </w:style>
  <w:style w:type="character" w:styleId="EndnoteReference">
    <w:name w:val="endnote reference"/>
    <w:basedOn w:val="DefaultParagraphFont"/>
    <w:uiPriority w:val="99"/>
    <w:semiHidden/>
    <w:unhideWhenUsed/>
    <w:rsid w:val="005A669A"/>
    <w:rPr>
      <w:vertAlign w:val="superscript"/>
    </w:rPr>
  </w:style>
  <w:style w:type="paragraph" w:styleId="EndnoteText">
    <w:name w:val="endnote text"/>
    <w:basedOn w:val="Normal"/>
    <w:link w:val="EndnoteTextChar"/>
    <w:uiPriority w:val="99"/>
    <w:semiHidden/>
    <w:unhideWhenUsed/>
    <w:rsid w:val="008637B0"/>
    <w:rPr>
      <w:sz w:val="20"/>
      <w:szCs w:val="20"/>
    </w:rPr>
  </w:style>
  <w:style w:type="character" w:customStyle="1" w:styleId="EndnoteTextChar">
    <w:name w:val="Endnote Text Char"/>
    <w:basedOn w:val="DefaultParagraphFont"/>
    <w:link w:val="EndnoteText"/>
    <w:uiPriority w:val="99"/>
    <w:semiHidden/>
    <w:rsid w:val="008637B0"/>
    <w:rPr>
      <w:rFonts w:ascii="Times New Roman" w:hAnsi="Times New Roman"/>
      <w:sz w:val="20"/>
      <w:szCs w:val="20"/>
    </w:rPr>
  </w:style>
  <w:style w:type="character" w:customStyle="1" w:styleId="ssrfcpassagedeactivated">
    <w:name w:val="ss_rfcpassage_deactivated"/>
    <w:basedOn w:val="DefaultParagraphFont"/>
    <w:rsid w:val="004E6DBC"/>
  </w:style>
  <w:style w:type="character" w:customStyle="1" w:styleId="ssit">
    <w:name w:val="ss_it"/>
    <w:basedOn w:val="DefaultParagraphFont"/>
    <w:rsid w:val="004E6DBC"/>
  </w:style>
  <w:style w:type="character" w:customStyle="1" w:styleId="ssleftalign">
    <w:name w:val="ss_leftalign"/>
    <w:basedOn w:val="DefaultParagraphFont"/>
    <w:rsid w:val="00AD2640"/>
  </w:style>
  <w:style w:type="character" w:customStyle="1" w:styleId="cosearchterm">
    <w:name w:val="co_searchterm"/>
    <w:basedOn w:val="DefaultParagraphFont"/>
    <w:rsid w:val="00863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8689">
      <w:bodyDiv w:val="1"/>
      <w:marLeft w:val="0"/>
      <w:marRight w:val="0"/>
      <w:marTop w:val="0"/>
      <w:marBottom w:val="0"/>
      <w:divBdr>
        <w:top w:val="none" w:sz="0" w:space="0" w:color="auto"/>
        <w:left w:val="none" w:sz="0" w:space="0" w:color="auto"/>
        <w:bottom w:val="none" w:sz="0" w:space="0" w:color="auto"/>
        <w:right w:val="none" w:sz="0" w:space="0" w:color="auto"/>
      </w:divBdr>
      <w:divsChild>
        <w:div w:id="38090002">
          <w:marLeft w:val="0"/>
          <w:marRight w:val="0"/>
          <w:marTop w:val="0"/>
          <w:marBottom w:val="0"/>
          <w:divBdr>
            <w:top w:val="none" w:sz="0" w:space="0" w:color="auto"/>
            <w:left w:val="none" w:sz="0" w:space="0" w:color="auto"/>
            <w:bottom w:val="none" w:sz="0" w:space="0" w:color="auto"/>
            <w:right w:val="none" w:sz="0" w:space="0" w:color="auto"/>
          </w:divBdr>
          <w:divsChild>
            <w:div w:id="277034024">
              <w:marLeft w:val="0"/>
              <w:marRight w:val="0"/>
              <w:marTop w:val="0"/>
              <w:marBottom w:val="0"/>
              <w:divBdr>
                <w:top w:val="none" w:sz="0" w:space="0" w:color="auto"/>
                <w:left w:val="none" w:sz="0" w:space="0" w:color="auto"/>
                <w:bottom w:val="none" w:sz="0" w:space="0" w:color="auto"/>
                <w:right w:val="none" w:sz="0" w:space="0" w:color="auto"/>
              </w:divBdr>
              <w:divsChild>
                <w:div w:id="892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744">
      <w:bodyDiv w:val="1"/>
      <w:marLeft w:val="0"/>
      <w:marRight w:val="0"/>
      <w:marTop w:val="0"/>
      <w:marBottom w:val="0"/>
      <w:divBdr>
        <w:top w:val="none" w:sz="0" w:space="0" w:color="auto"/>
        <w:left w:val="none" w:sz="0" w:space="0" w:color="auto"/>
        <w:bottom w:val="none" w:sz="0" w:space="0" w:color="auto"/>
        <w:right w:val="none" w:sz="0" w:space="0" w:color="auto"/>
      </w:divBdr>
    </w:div>
    <w:div w:id="20282510">
      <w:bodyDiv w:val="1"/>
      <w:marLeft w:val="0"/>
      <w:marRight w:val="0"/>
      <w:marTop w:val="0"/>
      <w:marBottom w:val="0"/>
      <w:divBdr>
        <w:top w:val="none" w:sz="0" w:space="0" w:color="auto"/>
        <w:left w:val="none" w:sz="0" w:space="0" w:color="auto"/>
        <w:bottom w:val="none" w:sz="0" w:space="0" w:color="auto"/>
        <w:right w:val="none" w:sz="0" w:space="0" w:color="auto"/>
      </w:divBdr>
      <w:divsChild>
        <w:div w:id="1931232808">
          <w:marLeft w:val="0"/>
          <w:marRight w:val="0"/>
          <w:marTop w:val="0"/>
          <w:marBottom w:val="0"/>
          <w:divBdr>
            <w:top w:val="none" w:sz="0" w:space="0" w:color="auto"/>
            <w:left w:val="none" w:sz="0" w:space="0" w:color="auto"/>
            <w:bottom w:val="none" w:sz="0" w:space="0" w:color="auto"/>
            <w:right w:val="none" w:sz="0" w:space="0" w:color="auto"/>
          </w:divBdr>
          <w:divsChild>
            <w:div w:id="839543678">
              <w:marLeft w:val="0"/>
              <w:marRight w:val="0"/>
              <w:marTop w:val="0"/>
              <w:marBottom w:val="0"/>
              <w:divBdr>
                <w:top w:val="none" w:sz="0" w:space="0" w:color="auto"/>
                <w:left w:val="none" w:sz="0" w:space="0" w:color="auto"/>
                <w:bottom w:val="none" w:sz="0" w:space="0" w:color="auto"/>
                <w:right w:val="none" w:sz="0" w:space="0" w:color="auto"/>
              </w:divBdr>
              <w:divsChild>
                <w:div w:id="13898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1630">
      <w:bodyDiv w:val="1"/>
      <w:marLeft w:val="0"/>
      <w:marRight w:val="0"/>
      <w:marTop w:val="0"/>
      <w:marBottom w:val="0"/>
      <w:divBdr>
        <w:top w:val="none" w:sz="0" w:space="0" w:color="auto"/>
        <w:left w:val="none" w:sz="0" w:space="0" w:color="auto"/>
        <w:bottom w:val="none" w:sz="0" w:space="0" w:color="auto"/>
        <w:right w:val="none" w:sz="0" w:space="0" w:color="auto"/>
      </w:divBdr>
    </w:div>
    <w:div w:id="38406628">
      <w:bodyDiv w:val="1"/>
      <w:marLeft w:val="0"/>
      <w:marRight w:val="0"/>
      <w:marTop w:val="0"/>
      <w:marBottom w:val="0"/>
      <w:divBdr>
        <w:top w:val="none" w:sz="0" w:space="0" w:color="auto"/>
        <w:left w:val="none" w:sz="0" w:space="0" w:color="auto"/>
        <w:bottom w:val="none" w:sz="0" w:space="0" w:color="auto"/>
        <w:right w:val="none" w:sz="0" w:space="0" w:color="auto"/>
      </w:divBdr>
      <w:divsChild>
        <w:div w:id="1711681432">
          <w:marLeft w:val="0"/>
          <w:marRight w:val="0"/>
          <w:marTop w:val="0"/>
          <w:marBottom w:val="0"/>
          <w:divBdr>
            <w:top w:val="none" w:sz="0" w:space="0" w:color="auto"/>
            <w:left w:val="none" w:sz="0" w:space="0" w:color="auto"/>
            <w:bottom w:val="none" w:sz="0" w:space="0" w:color="auto"/>
            <w:right w:val="none" w:sz="0" w:space="0" w:color="auto"/>
          </w:divBdr>
          <w:divsChild>
            <w:div w:id="1977562081">
              <w:marLeft w:val="0"/>
              <w:marRight w:val="0"/>
              <w:marTop w:val="0"/>
              <w:marBottom w:val="0"/>
              <w:divBdr>
                <w:top w:val="none" w:sz="0" w:space="0" w:color="auto"/>
                <w:left w:val="none" w:sz="0" w:space="0" w:color="auto"/>
                <w:bottom w:val="none" w:sz="0" w:space="0" w:color="auto"/>
                <w:right w:val="none" w:sz="0" w:space="0" w:color="auto"/>
              </w:divBdr>
              <w:divsChild>
                <w:div w:id="103003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2920">
      <w:bodyDiv w:val="1"/>
      <w:marLeft w:val="0"/>
      <w:marRight w:val="0"/>
      <w:marTop w:val="0"/>
      <w:marBottom w:val="0"/>
      <w:divBdr>
        <w:top w:val="none" w:sz="0" w:space="0" w:color="auto"/>
        <w:left w:val="none" w:sz="0" w:space="0" w:color="auto"/>
        <w:bottom w:val="none" w:sz="0" w:space="0" w:color="auto"/>
        <w:right w:val="none" w:sz="0" w:space="0" w:color="auto"/>
      </w:divBdr>
      <w:divsChild>
        <w:div w:id="1652979120">
          <w:marLeft w:val="0"/>
          <w:marRight w:val="0"/>
          <w:marTop w:val="0"/>
          <w:marBottom w:val="0"/>
          <w:divBdr>
            <w:top w:val="none" w:sz="0" w:space="0" w:color="auto"/>
            <w:left w:val="none" w:sz="0" w:space="0" w:color="auto"/>
            <w:bottom w:val="none" w:sz="0" w:space="0" w:color="auto"/>
            <w:right w:val="none" w:sz="0" w:space="0" w:color="auto"/>
          </w:divBdr>
          <w:divsChild>
            <w:div w:id="930233451">
              <w:marLeft w:val="0"/>
              <w:marRight w:val="0"/>
              <w:marTop w:val="0"/>
              <w:marBottom w:val="0"/>
              <w:divBdr>
                <w:top w:val="none" w:sz="0" w:space="0" w:color="auto"/>
                <w:left w:val="none" w:sz="0" w:space="0" w:color="auto"/>
                <w:bottom w:val="none" w:sz="0" w:space="0" w:color="auto"/>
                <w:right w:val="none" w:sz="0" w:space="0" w:color="auto"/>
              </w:divBdr>
              <w:divsChild>
                <w:div w:id="146592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6160">
      <w:bodyDiv w:val="1"/>
      <w:marLeft w:val="0"/>
      <w:marRight w:val="0"/>
      <w:marTop w:val="0"/>
      <w:marBottom w:val="0"/>
      <w:divBdr>
        <w:top w:val="none" w:sz="0" w:space="0" w:color="auto"/>
        <w:left w:val="none" w:sz="0" w:space="0" w:color="auto"/>
        <w:bottom w:val="none" w:sz="0" w:space="0" w:color="auto"/>
        <w:right w:val="none" w:sz="0" w:space="0" w:color="auto"/>
      </w:divBdr>
      <w:divsChild>
        <w:div w:id="711656602">
          <w:marLeft w:val="0"/>
          <w:marRight w:val="0"/>
          <w:marTop w:val="0"/>
          <w:marBottom w:val="0"/>
          <w:divBdr>
            <w:top w:val="none" w:sz="0" w:space="0" w:color="auto"/>
            <w:left w:val="none" w:sz="0" w:space="0" w:color="auto"/>
            <w:bottom w:val="none" w:sz="0" w:space="0" w:color="auto"/>
            <w:right w:val="none" w:sz="0" w:space="0" w:color="auto"/>
          </w:divBdr>
          <w:divsChild>
            <w:div w:id="242642039">
              <w:marLeft w:val="0"/>
              <w:marRight w:val="0"/>
              <w:marTop w:val="0"/>
              <w:marBottom w:val="0"/>
              <w:divBdr>
                <w:top w:val="none" w:sz="0" w:space="0" w:color="auto"/>
                <w:left w:val="none" w:sz="0" w:space="0" w:color="auto"/>
                <w:bottom w:val="none" w:sz="0" w:space="0" w:color="auto"/>
                <w:right w:val="none" w:sz="0" w:space="0" w:color="auto"/>
              </w:divBdr>
              <w:divsChild>
                <w:div w:id="93528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5584">
      <w:bodyDiv w:val="1"/>
      <w:marLeft w:val="0"/>
      <w:marRight w:val="0"/>
      <w:marTop w:val="0"/>
      <w:marBottom w:val="0"/>
      <w:divBdr>
        <w:top w:val="none" w:sz="0" w:space="0" w:color="auto"/>
        <w:left w:val="none" w:sz="0" w:space="0" w:color="auto"/>
        <w:bottom w:val="none" w:sz="0" w:space="0" w:color="auto"/>
        <w:right w:val="none" w:sz="0" w:space="0" w:color="auto"/>
      </w:divBdr>
      <w:divsChild>
        <w:div w:id="490678685">
          <w:marLeft w:val="0"/>
          <w:marRight w:val="0"/>
          <w:marTop w:val="0"/>
          <w:marBottom w:val="0"/>
          <w:divBdr>
            <w:top w:val="none" w:sz="0" w:space="0" w:color="auto"/>
            <w:left w:val="none" w:sz="0" w:space="0" w:color="auto"/>
            <w:bottom w:val="none" w:sz="0" w:space="0" w:color="auto"/>
            <w:right w:val="none" w:sz="0" w:space="0" w:color="auto"/>
          </w:divBdr>
          <w:divsChild>
            <w:div w:id="313876918">
              <w:marLeft w:val="0"/>
              <w:marRight w:val="0"/>
              <w:marTop w:val="0"/>
              <w:marBottom w:val="0"/>
              <w:divBdr>
                <w:top w:val="none" w:sz="0" w:space="0" w:color="auto"/>
                <w:left w:val="none" w:sz="0" w:space="0" w:color="auto"/>
                <w:bottom w:val="none" w:sz="0" w:space="0" w:color="auto"/>
                <w:right w:val="none" w:sz="0" w:space="0" w:color="auto"/>
              </w:divBdr>
              <w:divsChild>
                <w:div w:id="19398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0835">
      <w:bodyDiv w:val="1"/>
      <w:marLeft w:val="0"/>
      <w:marRight w:val="0"/>
      <w:marTop w:val="0"/>
      <w:marBottom w:val="0"/>
      <w:divBdr>
        <w:top w:val="none" w:sz="0" w:space="0" w:color="auto"/>
        <w:left w:val="none" w:sz="0" w:space="0" w:color="auto"/>
        <w:bottom w:val="none" w:sz="0" w:space="0" w:color="auto"/>
        <w:right w:val="none" w:sz="0" w:space="0" w:color="auto"/>
      </w:divBdr>
      <w:divsChild>
        <w:div w:id="1190215868">
          <w:marLeft w:val="0"/>
          <w:marRight w:val="0"/>
          <w:marTop w:val="0"/>
          <w:marBottom w:val="0"/>
          <w:divBdr>
            <w:top w:val="none" w:sz="0" w:space="0" w:color="auto"/>
            <w:left w:val="none" w:sz="0" w:space="0" w:color="auto"/>
            <w:bottom w:val="none" w:sz="0" w:space="0" w:color="auto"/>
            <w:right w:val="none" w:sz="0" w:space="0" w:color="auto"/>
          </w:divBdr>
          <w:divsChild>
            <w:div w:id="660234445">
              <w:marLeft w:val="0"/>
              <w:marRight w:val="0"/>
              <w:marTop w:val="0"/>
              <w:marBottom w:val="0"/>
              <w:divBdr>
                <w:top w:val="none" w:sz="0" w:space="0" w:color="auto"/>
                <w:left w:val="none" w:sz="0" w:space="0" w:color="auto"/>
                <w:bottom w:val="none" w:sz="0" w:space="0" w:color="auto"/>
                <w:right w:val="none" w:sz="0" w:space="0" w:color="auto"/>
              </w:divBdr>
              <w:divsChild>
                <w:div w:id="155536143">
                  <w:marLeft w:val="0"/>
                  <w:marRight w:val="0"/>
                  <w:marTop w:val="0"/>
                  <w:marBottom w:val="0"/>
                  <w:divBdr>
                    <w:top w:val="none" w:sz="0" w:space="0" w:color="auto"/>
                    <w:left w:val="none" w:sz="0" w:space="0" w:color="auto"/>
                    <w:bottom w:val="none" w:sz="0" w:space="0" w:color="auto"/>
                    <w:right w:val="none" w:sz="0" w:space="0" w:color="auto"/>
                  </w:divBdr>
                  <w:divsChild>
                    <w:div w:id="16120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24876">
      <w:bodyDiv w:val="1"/>
      <w:marLeft w:val="0"/>
      <w:marRight w:val="0"/>
      <w:marTop w:val="0"/>
      <w:marBottom w:val="0"/>
      <w:divBdr>
        <w:top w:val="none" w:sz="0" w:space="0" w:color="auto"/>
        <w:left w:val="none" w:sz="0" w:space="0" w:color="auto"/>
        <w:bottom w:val="none" w:sz="0" w:space="0" w:color="auto"/>
        <w:right w:val="none" w:sz="0" w:space="0" w:color="auto"/>
      </w:divBdr>
      <w:divsChild>
        <w:div w:id="2001806275">
          <w:marLeft w:val="0"/>
          <w:marRight w:val="0"/>
          <w:marTop w:val="0"/>
          <w:marBottom w:val="0"/>
          <w:divBdr>
            <w:top w:val="none" w:sz="0" w:space="0" w:color="auto"/>
            <w:left w:val="none" w:sz="0" w:space="0" w:color="auto"/>
            <w:bottom w:val="none" w:sz="0" w:space="0" w:color="auto"/>
            <w:right w:val="none" w:sz="0" w:space="0" w:color="auto"/>
          </w:divBdr>
          <w:divsChild>
            <w:div w:id="293339362">
              <w:marLeft w:val="0"/>
              <w:marRight w:val="0"/>
              <w:marTop w:val="0"/>
              <w:marBottom w:val="0"/>
              <w:divBdr>
                <w:top w:val="none" w:sz="0" w:space="0" w:color="auto"/>
                <w:left w:val="none" w:sz="0" w:space="0" w:color="auto"/>
                <w:bottom w:val="none" w:sz="0" w:space="0" w:color="auto"/>
                <w:right w:val="none" w:sz="0" w:space="0" w:color="auto"/>
              </w:divBdr>
              <w:divsChild>
                <w:div w:id="113502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6368">
      <w:bodyDiv w:val="1"/>
      <w:marLeft w:val="0"/>
      <w:marRight w:val="0"/>
      <w:marTop w:val="0"/>
      <w:marBottom w:val="0"/>
      <w:divBdr>
        <w:top w:val="none" w:sz="0" w:space="0" w:color="auto"/>
        <w:left w:val="none" w:sz="0" w:space="0" w:color="auto"/>
        <w:bottom w:val="none" w:sz="0" w:space="0" w:color="auto"/>
        <w:right w:val="none" w:sz="0" w:space="0" w:color="auto"/>
      </w:divBdr>
      <w:divsChild>
        <w:div w:id="1515152601">
          <w:marLeft w:val="0"/>
          <w:marRight w:val="0"/>
          <w:marTop w:val="0"/>
          <w:marBottom w:val="0"/>
          <w:divBdr>
            <w:top w:val="none" w:sz="0" w:space="0" w:color="auto"/>
            <w:left w:val="none" w:sz="0" w:space="0" w:color="auto"/>
            <w:bottom w:val="none" w:sz="0" w:space="0" w:color="auto"/>
            <w:right w:val="none" w:sz="0" w:space="0" w:color="auto"/>
          </w:divBdr>
          <w:divsChild>
            <w:div w:id="376861066">
              <w:marLeft w:val="0"/>
              <w:marRight w:val="0"/>
              <w:marTop w:val="0"/>
              <w:marBottom w:val="0"/>
              <w:divBdr>
                <w:top w:val="none" w:sz="0" w:space="0" w:color="auto"/>
                <w:left w:val="none" w:sz="0" w:space="0" w:color="auto"/>
                <w:bottom w:val="none" w:sz="0" w:space="0" w:color="auto"/>
                <w:right w:val="none" w:sz="0" w:space="0" w:color="auto"/>
              </w:divBdr>
              <w:divsChild>
                <w:div w:id="928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9844">
      <w:bodyDiv w:val="1"/>
      <w:marLeft w:val="0"/>
      <w:marRight w:val="0"/>
      <w:marTop w:val="0"/>
      <w:marBottom w:val="0"/>
      <w:divBdr>
        <w:top w:val="none" w:sz="0" w:space="0" w:color="auto"/>
        <w:left w:val="none" w:sz="0" w:space="0" w:color="auto"/>
        <w:bottom w:val="none" w:sz="0" w:space="0" w:color="auto"/>
        <w:right w:val="none" w:sz="0" w:space="0" w:color="auto"/>
      </w:divBdr>
      <w:divsChild>
        <w:div w:id="711921465">
          <w:marLeft w:val="0"/>
          <w:marRight w:val="0"/>
          <w:marTop w:val="0"/>
          <w:marBottom w:val="0"/>
          <w:divBdr>
            <w:top w:val="none" w:sz="0" w:space="0" w:color="auto"/>
            <w:left w:val="none" w:sz="0" w:space="0" w:color="auto"/>
            <w:bottom w:val="none" w:sz="0" w:space="0" w:color="auto"/>
            <w:right w:val="none" w:sz="0" w:space="0" w:color="auto"/>
          </w:divBdr>
          <w:divsChild>
            <w:div w:id="1005983393">
              <w:marLeft w:val="0"/>
              <w:marRight w:val="0"/>
              <w:marTop w:val="0"/>
              <w:marBottom w:val="0"/>
              <w:divBdr>
                <w:top w:val="none" w:sz="0" w:space="0" w:color="auto"/>
                <w:left w:val="none" w:sz="0" w:space="0" w:color="auto"/>
                <w:bottom w:val="none" w:sz="0" w:space="0" w:color="auto"/>
                <w:right w:val="none" w:sz="0" w:space="0" w:color="auto"/>
              </w:divBdr>
              <w:divsChild>
                <w:div w:id="13188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4367">
      <w:bodyDiv w:val="1"/>
      <w:marLeft w:val="0"/>
      <w:marRight w:val="0"/>
      <w:marTop w:val="0"/>
      <w:marBottom w:val="0"/>
      <w:divBdr>
        <w:top w:val="none" w:sz="0" w:space="0" w:color="auto"/>
        <w:left w:val="none" w:sz="0" w:space="0" w:color="auto"/>
        <w:bottom w:val="none" w:sz="0" w:space="0" w:color="auto"/>
        <w:right w:val="none" w:sz="0" w:space="0" w:color="auto"/>
      </w:divBdr>
      <w:divsChild>
        <w:div w:id="1014266668">
          <w:marLeft w:val="0"/>
          <w:marRight w:val="0"/>
          <w:marTop w:val="0"/>
          <w:marBottom w:val="0"/>
          <w:divBdr>
            <w:top w:val="none" w:sz="0" w:space="0" w:color="auto"/>
            <w:left w:val="none" w:sz="0" w:space="0" w:color="auto"/>
            <w:bottom w:val="none" w:sz="0" w:space="0" w:color="auto"/>
            <w:right w:val="none" w:sz="0" w:space="0" w:color="auto"/>
          </w:divBdr>
          <w:divsChild>
            <w:div w:id="142738834">
              <w:marLeft w:val="0"/>
              <w:marRight w:val="0"/>
              <w:marTop w:val="0"/>
              <w:marBottom w:val="0"/>
              <w:divBdr>
                <w:top w:val="none" w:sz="0" w:space="0" w:color="auto"/>
                <w:left w:val="none" w:sz="0" w:space="0" w:color="auto"/>
                <w:bottom w:val="none" w:sz="0" w:space="0" w:color="auto"/>
                <w:right w:val="none" w:sz="0" w:space="0" w:color="auto"/>
              </w:divBdr>
              <w:divsChild>
                <w:div w:id="2047870713">
                  <w:marLeft w:val="0"/>
                  <w:marRight w:val="0"/>
                  <w:marTop w:val="0"/>
                  <w:marBottom w:val="0"/>
                  <w:divBdr>
                    <w:top w:val="none" w:sz="0" w:space="0" w:color="auto"/>
                    <w:left w:val="none" w:sz="0" w:space="0" w:color="auto"/>
                    <w:bottom w:val="none" w:sz="0" w:space="0" w:color="auto"/>
                    <w:right w:val="none" w:sz="0" w:space="0" w:color="auto"/>
                  </w:divBdr>
                  <w:divsChild>
                    <w:div w:id="16044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6723">
      <w:bodyDiv w:val="1"/>
      <w:marLeft w:val="0"/>
      <w:marRight w:val="0"/>
      <w:marTop w:val="0"/>
      <w:marBottom w:val="0"/>
      <w:divBdr>
        <w:top w:val="none" w:sz="0" w:space="0" w:color="auto"/>
        <w:left w:val="none" w:sz="0" w:space="0" w:color="auto"/>
        <w:bottom w:val="none" w:sz="0" w:space="0" w:color="auto"/>
        <w:right w:val="none" w:sz="0" w:space="0" w:color="auto"/>
      </w:divBdr>
      <w:divsChild>
        <w:div w:id="549158">
          <w:marLeft w:val="0"/>
          <w:marRight w:val="0"/>
          <w:marTop w:val="0"/>
          <w:marBottom w:val="0"/>
          <w:divBdr>
            <w:top w:val="none" w:sz="0" w:space="0" w:color="auto"/>
            <w:left w:val="none" w:sz="0" w:space="0" w:color="auto"/>
            <w:bottom w:val="none" w:sz="0" w:space="0" w:color="auto"/>
            <w:right w:val="none" w:sz="0" w:space="0" w:color="auto"/>
          </w:divBdr>
          <w:divsChild>
            <w:div w:id="543372261">
              <w:marLeft w:val="0"/>
              <w:marRight w:val="0"/>
              <w:marTop w:val="0"/>
              <w:marBottom w:val="0"/>
              <w:divBdr>
                <w:top w:val="none" w:sz="0" w:space="0" w:color="auto"/>
                <w:left w:val="none" w:sz="0" w:space="0" w:color="auto"/>
                <w:bottom w:val="none" w:sz="0" w:space="0" w:color="auto"/>
                <w:right w:val="none" w:sz="0" w:space="0" w:color="auto"/>
              </w:divBdr>
              <w:divsChild>
                <w:div w:id="82517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2098">
      <w:bodyDiv w:val="1"/>
      <w:marLeft w:val="0"/>
      <w:marRight w:val="0"/>
      <w:marTop w:val="0"/>
      <w:marBottom w:val="0"/>
      <w:divBdr>
        <w:top w:val="none" w:sz="0" w:space="0" w:color="auto"/>
        <w:left w:val="none" w:sz="0" w:space="0" w:color="auto"/>
        <w:bottom w:val="none" w:sz="0" w:space="0" w:color="auto"/>
        <w:right w:val="none" w:sz="0" w:space="0" w:color="auto"/>
      </w:divBdr>
      <w:divsChild>
        <w:div w:id="1100954902">
          <w:marLeft w:val="0"/>
          <w:marRight w:val="0"/>
          <w:marTop w:val="0"/>
          <w:marBottom w:val="0"/>
          <w:divBdr>
            <w:top w:val="none" w:sz="0" w:space="0" w:color="auto"/>
            <w:left w:val="none" w:sz="0" w:space="0" w:color="auto"/>
            <w:bottom w:val="none" w:sz="0" w:space="0" w:color="auto"/>
            <w:right w:val="none" w:sz="0" w:space="0" w:color="auto"/>
          </w:divBdr>
          <w:divsChild>
            <w:div w:id="1590039054">
              <w:marLeft w:val="0"/>
              <w:marRight w:val="0"/>
              <w:marTop w:val="0"/>
              <w:marBottom w:val="0"/>
              <w:divBdr>
                <w:top w:val="none" w:sz="0" w:space="0" w:color="auto"/>
                <w:left w:val="none" w:sz="0" w:space="0" w:color="auto"/>
                <w:bottom w:val="none" w:sz="0" w:space="0" w:color="auto"/>
                <w:right w:val="none" w:sz="0" w:space="0" w:color="auto"/>
              </w:divBdr>
              <w:divsChild>
                <w:div w:id="213086999">
                  <w:marLeft w:val="0"/>
                  <w:marRight w:val="0"/>
                  <w:marTop w:val="0"/>
                  <w:marBottom w:val="0"/>
                  <w:divBdr>
                    <w:top w:val="none" w:sz="0" w:space="0" w:color="auto"/>
                    <w:left w:val="none" w:sz="0" w:space="0" w:color="auto"/>
                    <w:bottom w:val="none" w:sz="0" w:space="0" w:color="auto"/>
                    <w:right w:val="none" w:sz="0" w:space="0" w:color="auto"/>
                  </w:divBdr>
                  <w:divsChild>
                    <w:div w:id="109497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5540">
      <w:bodyDiv w:val="1"/>
      <w:marLeft w:val="0"/>
      <w:marRight w:val="0"/>
      <w:marTop w:val="0"/>
      <w:marBottom w:val="0"/>
      <w:divBdr>
        <w:top w:val="none" w:sz="0" w:space="0" w:color="auto"/>
        <w:left w:val="none" w:sz="0" w:space="0" w:color="auto"/>
        <w:bottom w:val="none" w:sz="0" w:space="0" w:color="auto"/>
        <w:right w:val="none" w:sz="0" w:space="0" w:color="auto"/>
      </w:divBdr>
      <w:divsChild>
        <w:div w:id="1648893217">
          <w:marLeft w:val="0"/>
          <w:marRight w:val="0"/>
          <w:marTop w:val="0"/>
          <w:marBottom w:val="0"/>
          <w:divBdr>
            <w:top w:val="none" w:sz="0" w:space="0" w:color="auto"/>
            <w:left w:val="none" w:sz="0" w:space="0" w:color="auto"/>
            <w:bottom w:val="none" w:sz="0" w:space="0" w:color="auto"/>
            <w:right w:val="none" w:sz="0" w:space="0" w:color="auto"/>
          </w:divBdr>
          <w:divsChild>
            <w:div w:id="822700339">
              <w:marLeft w:val="0"/>
              <w:marRight w:val="0"/>
              <w:marTop w:val="0"/>
              <w:marBottom w:val="0"/>
              <w:divBdr>
                <w:top w:val="none" w:sz="0" w:space="0" w:color="auto"/>
                <w:left w:val="none" w:sz="0" w:space="0" w:color="auto"/>
                <w:bottom w:val="none" w:sz="0" w:space="0" w:color="auto"/>
                <w:right w:val="none" w:sz="0" w:space="0" w:color="auto"/>
              </w:divBdr>
              <w:divsChild>
                <w:div w:id="14461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46883">
      <w:bodyDiv w:val="1"/>
      <w:marLeft w:val="0"/>
      <w:marRight w:val="0"/>
      <w:marTop w:val="0"/>
      <w:marBottom w:val="0"/>
      <w:divBdr>
        <w:top w:val="none" w:sz="0" w:space="0" w:color="auto"/>
        <w:left w:val="none" w:sz="0" w:space="0" w:color="auto"/>
        <w:bottom w:val="none" w:sz="0" w:space="0" w:color="auto"/>
        <w:right w:val="none" w:sz="0" w:space="0" w:color="auto"/>
      </w:divBdr>
      <w:divsChild>
        <w:div w:id="1573347755">
          <w:marLeft w:val="0"/>
          <w:marRight w:val="0"/>
          <w:marTop w:val="0"/>
          <w:marBottom w:val="0"/>
          <w:divBdr>
            <w:top w:val="none" w:sz="0" w:space="0" w:color="auto"/>
            <w:left w:val="none" w:sz="0" w:space="0" w:color="auto"/>
            <w:bottom w:val="none" w:sz="0" w:space="0" w:color="auto"/>
            <w:right w:val="none" w:sz="0" w:space="0" w:color="auto"/>
          </w:divBdr>
          <w:divsChild>
            <w:div w:id="772242763">
              <w:marLeft w:val="0"/>
              <w:marRight w:val="0"/>
              <w:marTop w:val="0"/>
              <w:marBottom w:val="0"/>
              <w:divBdr>
                <w:top w:val="none" w:sz="0" w:space="0" w:color="auto"/>
                <w:left w:val="none" w:sz="0" w:space="0" w:color="auto"/>
                <w:bottom w:val="none" w:sz="0" w:space="0" w:color="auto"/>
                <w:right w:val="none" w:sz="0" w:space="0" w:color="auto"/>
              </w:divBdr>
              <w:divsChild>
                <w:div w:id="616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0682">
      <w:bodyDiv w:val="1"/>
      <w:marLeft w:val="0"/>
      <w:marRight w:val="0"/>
      <w:marTop w:val="0"/>
      <w:marBottom w:val="0"/>
      <w:divBdr>
        <w:top w:val="none" w:sz="0" w:space="0" w:color="auto"/>
        <w:left w:val="none" w:sz="0" w:space="0" w:color="auto"/>
        <w:bottom w:val="none" w:sz="0" w:space="0" w:color="auto"/>
        <w:right w:val="none" w:sz="0" w:space="0" w:color="auto"/>
      </w:divBdr>
      <w:divsChild>
        <w:div w:id="670983739">
          <w:marLeft w:val="0"/>
          <w:marRight w:val="0"/>
          <w:marTop w:val="0"/>
          <w:marBottom w:val="0"/>
          <w:divBdr>
            <w:top w:val="none" w:sz="0" w:space="0" w:color="auto"/>
            <w:left w:val="none" w:sz="0" w:space="0" w:color="auto"/>
            <w:bottom w:val="none" w:sz="0" w:space="0" w:color="auto"/>
            <w:right w:val="none" w:sz="0" w:space="0" w:color="auto"/>
          </w:divBdr>
          <w:divsChild>
            <w:div w:id="1096827946">
              <w:marLeft w:val="0"/>
              <w:marRight w:val="0"/>
              <w:marTop w:val="0"/>
              <w:marBottom w:val="0"/>
              <w:divBdr>
                <w:top w:val="none" w:sz="0" w:space="0" w:color="auto"/>
                <w:left w:val="none" w:sz="0" w:space="0" w:color="auto"/>
                <w:bottom w:val="none" w:sz="0" w:space="0" w:color="auto"/>
                <w:right w:val="none" w:sz="0" w:space="0" w:color="auto"/>
              </w:divBdr>
              <w:divsChild>
                <w:div w:id="1819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3223">
      <w:bodyDiv w:val="1"/>
      <w:marLeft w:val="0"/>
      <w:marRight w:val="0"/>
      <w:marTop w:val="0"/>
      <w:marBottom w:val="0"/>
      <w:divBdr>
        <w:top w:val="none" w:sz="0" w:space="0" w:color="auto"/>
        <w:left w:val="none" w:sz="0" w:space="0" w:color="auto"/>
        <w:bottom w:val="none" w:sz="0" w:space="0" w:color="auto"/>
        <w:right w:val="none" w:sz="0" w:space="0" w:color="auto"/>
      </w:divBdr>
      <w:divsChild>
        <w:div w:id="560989665">
          <w:marLeft w:val="0"/>
          <w:marRight w:val="0"/>
          <w:marTop w:val="0"/>
          <w:marBottom w:val="0"/>
          <w:divBdr>
            <w:top w:val="none" w:sz="0" w:space="0" w:color="auto"/>
            <w:left w:val="none" w:sz="0" w:space="0" w:color="auto"/>
            <w:bottom w:val="none" w:sz="0" w:space="0" w:color="auto"/>
            <w:right w:val="none" w:sz="0" w:space="0" w:color="auto"/>
          </w:divBdr>
          <w:divsChild>
            <w:div w:id="12732212">
              <w:marLeft w:val="0"/>
              <w:marRight w:val="0"/>
              <w:marTop w:val="0"/>
              <w:marBottom w:val="0"/>
              <w:divBdr>
                <w:top w:val="none" w:sz="0" w:space="0" w:color="auto"/>
                <w:left w:val="none" w:sz="0" w:space="0" w:color="auto"/>
                <w:bottom w:val="none" w:sz="0" w:space="0" w:color="auto"/>
                <w:right w:val="none" w:sz="0" w:space="0" w:color="auto"/>
              </w:divBdr>
              <w:divsChild>
                <w:div w:id="24342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7014">
      <w:bodyDiv w:val="1"/>
      <w:marLeft w:val="0"/>
      <w:marRight w:val="0"/>
      <w:marTop w:val="0"/>
      <w:marBottom w:val="0"/>
      <w:divBdr>
        <w:top w:val="none" w:sz="0" w:space="0" w:color="auto"/>
        <w:left w:val="none" w:sz="0" w:space="0" w:color="auto"/>
        <w:bottom w:val="none" w:sz="0" w:space="0" w:color="auto"/>
        <w:right w:val="none" w:sz="0" w:space="0" w:color="auto"/>
      </w:divBdr>
      <w:divsChild>
        <w:div w:id="1234193273">
          <w:marLeft w:val="0"/>
          <w:marRight w:val="0"/>
          <w:marTop w:val="0"/>
          <w:marBottom w:val="0"/>
          <w:divBdr>
            <w:top w:val="none" w:sz="0" w:space="0" w:color="auto"/>
            <w:left w:val="none" w:sz="0" w:space="0" w:color="auto"/>
            <w:bottom w:val="none" w:sz="0" w:space="0" w:color="auto"/>
            <w:right w:val="none" w:sz="0" w:space="0" w:color="auto"/>
          </w:divBdr>
          <w:divsChild>
            <w:div w:id="936792809">
              <w:marLeft w:val="0"/>
              <w:marRight w:val="0"/>
              <w:marTop w:val="0"/>
              <w:marBottom w:val="0"/>
              <w:divBdr>
                <w:top w:val="none" w:sz="0" w:space="0" w:color="auto"/>
                <w:left w:val="none" w:sz="0" w:space="0" w:color="auto"/>
                <w:bottom w:val="none" w:sz="0" w:space="0" w:color="auto"/>
                <w:right w:val="none" w:sz="0" w:space="0" w:color="auto"/>
              </w:divBdr>
              <w:divsChild>
                <w:div w:id="17003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57134">
      <w:bodyDiv w:val="1"/>
      <w:marLeft w:val="0"/>
      <w:marRight w:val="0"/>
      <w:marTop w:val="0"/>
      <w:marBottom w:val="0"/>
      <w:divBdr>
        <w:top w:val="none" w:sz="0" w:space="0" w:color="auto"/>
        <w:left w:val="none" w:sz="0" w:space="0" w:color="auto"/>
        <w:bottom w:val="none" w:sz="0" w:space="0" w:color="auto"/>
        <w:right w:val="none" w:sz="0" w:space="0" w:color="auto"/>
      </w:divBdr>
      <w:divsChild>
        <w:div w:id="534730681">
          <w:marLeft w:val="0"/>
          <w:marRight w:val="0"/>
          <w:marTop w:val="0"/>
          <w:marBottom w:val="0"/>
          <w:divBdr>
            <w:top w:val="none" w:sz="0" w:space="0" w:color="auto"/>
            <w:left w:val="none" w:sz="0" w:space="0" w:color="auto"/>
            <w:bottom w:val="none" w:sz="0" w:space="0" w:color="auto"/>
            <w:right w:val="none" w:sz="0" w:space="0" w:color="auto"/>
          </w:divBdr>
          <w:divsChild>
            <w:div w:id="11534360">
              <w:marLeft w:val="0"/>
              <w:marRight w:val="0"/>
              <w:marTop w:val="0"/>
              <w:marBottom w:val="0"/>
              <w:divBdr>
                <w:top w:val="none" w:sz="0" w:space="0" w:color="auto"/>
                <w:left w:val="none" w:sz="0" w:space="0" w:color="auto"/>
                <w:bottom w:val="none" w:sz="0" w:space="0" w:color="auto"/>
                <w:right w:val="none" w:sz="0" w:space="0" w:color="auto"/>
              </w:divBdr>
              <w:divsChild>
                <w:div w:id="1600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3958">
      <w:bodyDiv w:val="1"/>
      <w:marLeft w:val="0"/>
      <w:marRight w:val="0"/>
      <w:marTop w:val="0"/>
      <w:marBottom w:val="0"/>
      <w:divBdr>
        <w:top w:val="none" w:sz="0" w:space="0" w:color="auto"/>
        <w:left w:val="none" w:sz="0" w:space="0" w:color="auto"/>
        <w:bottom w:val="none" w:sz="0" w:space="0" w:color="auto"/>
        <w:right w:val="none" w:sz="0" w:space="0" w:color="auto"/>
      </w:divBdr>
      <w:divsChild>
        <w:div w:id="2012558950">
          <w:marLeft w:val="0"/>
          <w:marRight w:val="0"/>
          <w:marTop w:val="0"/>
          <w:marBottom w:val="0"/>
          <w:divBdr>
            <w:top w:val="none" w:sz="0" w:space="0" w:color="auto"/>
            <w:left w:val="none" w:sz="0" w:space="0" w:color="auto"/>
            <w:bottom w:val="none" w:sz="0" w:space="0" w:color="auto"/>
            <w:right w:val="none" w:sz="0" w:space="0" w:color="auto"/>
          </w:divBdr>
          <w:divsChild>
            <w:div w:id="332533831">
              <w:marLeft w:val="0"/>
              <w:marRight w:val="0"/>
              <w:marTop w:val="0"/>
              <w:marBottom w:val="0"/>
              <w:divBdr>
                <w:top w:val="none" w:sz="0" w:space="0" w:color="auto"/>
                <w:left w:val="none" w:sz="0" w:space="0" w:color="auto"/>
                <w:bottom w:val="none" w:sz="0" w:space="0" w:color="auto"/>
                <w:right w:val="none" w:sz="0" w:space="0" w:color="auto"/>
              </w:divBdr>
              <w:divsChild>
                <w:div w:id="104976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35813">
      <w:bodyDiv w:val="1"/>
      <w:marLeft w:val="0"/>
      <w:marRight w:val="0"/>
      <w:marTop w:val="0"/>
      <w:marBottom w:val="0"/>
      <w:divBdr>
        <w:top w:val="none" w:sz="0" w:space="0" w:color="auto"/>
        <w:left w:val="none" w:sz="0" w:space="0" w:color="auto"/>
        <w:bottom w:val="none" w:sz="0" w:space="0" w:color="auto"/>
        <w:right w:val="none" w:sz="0" w:space="0" w:color="auto"/>
      </w:divBdr>
      <w:divsChild>
        <w:div w:id="446392064">
          <w:marLeft w:val="0"/>
          <w:marRight w:val="0"/>
          <w:marTop w:val="0"/>
          <w:marBottom w:val="0"/>
          <w:divBdr>
            <w:top w:val="none" w:sz="0" w:space="0" w:color="auto"/>
            <w:left w:val="none" w:sz="0" w:space="0" w:color="auto"/>
            <w:bottom w:val="none" w:sz="0" w:space="0" w:color="auto"/>
            <w:right w:val="none" w:sz="0" w:space="0" w:color="auto"/>
          </w:divBdr>
          <w:divsChild>
            <w:div w:id="1182352753">
              <w:marLeft w:val="0"/>
              <w:marRight w:val="0"/>
              <w:marTop w:val="0"/>
              <w:marBottom w:val="0"/>
              <w:divBdr>
                <w:top w:val="none" w:sz="0" w:space="0" w:color="auto"/>
                <w:left w:val="none" w:sz="0" w:space="0" w:color="auto"/>
                <w:bottom w:val="none" w:sz="0" w:space="0" w:color="auto"/>
                <w:right w:val="none" w:sz="0" w:space="0" w:color="auto"/>
              </w:divBdr>
              <w:divsChild>
                <w:div w:id="550338330">
                  <w:marLeft w:val="0"/>
                  <w:marRight w:val="0"/>
                  <w:marTop w:val="0"/>
                  <w:marBottom w:val="0"/>
                  <w:divBdr>
                    <w:top w:val="none" w:sz="0" w:space="0" w:color="auto"/>
                    <w:left w:val="none" w:sz="0" w:space="0" w:color="auto"/>
                    <w:bottom w:val="none" w:sz="0" w:space="0" w:color="auto"/>
                    <w:right w:val="none" w:sz="0" w:space="0" w:color="auto"/>
                  </w:divBdr>
                  <w:divsChild>
                    <w:div w:id="1581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6209">
      <w:bodyDiv w:val="1"/>
      <w:marLeft w:val="0"/>
      <w:marRight w:val="0"/>
      <w:marTop w:val="0"/>
      <w:marBottom w:val="0"/>
      <w:divBdr>
        <w:top w:val="none" w:sz="0" w:space="0" w:color="auto"/>
        <w:left w:val="none" w:sz="0" w:space="0" w:color="auto"/>
        <w:bottom w:val="none" w:sz="0" w:space="0" w:color="auto"/>
        <w:right w:val="none" w:sz="0" w:space="0" w:color="auto"/>
      </w:divBdr>
    </w:div>
    <w:div w:id="118914037">
      <w:bodyDiv w:val="1"/>
      <w:marLeft w:val="0"/>
      <w:marRight w:val="0"/>
      <w:marTop w:val="0"/>
      <w:marBottom w:val="0"/>
      <w:divBdr>
        <w:top w:val="none" w:sz="0" w:space="0" w:color="auto"/>
        <w:left w:val="none" w:sz="0" w:space="0" w:color="auto"/>
        <w:bottom w:val="none" w:sz="0" w:space="0" w:color="auto"/>
        <w:right w:val="none" w:sz="0" w:space="0" w:color="auto"/>
      </w:divBdr>
      <w:divsChild>
        <w:div w:id="1673097951">
          <w:marLeft w:val="0"/>
          <w:marRight w:val="0"/>
          <w:marTop w:val="0"/>
          <w:marBottom w:val="0"/>
          <w:divBdr>
            <w:top w:val="none" w:sz="0" w:space="0" w:color="auto"/>
            <w:left w:val="none" w:sz="0" w:space="0" w:color="auto"/>
            <w:bottom w:val="none" w:sz="0" w:space="0" w:color="auto"/>
            <w:right w:val="none" w:sz="0" w:space="0" w:color="auto"/>
          </w:divBdr>
          <w:divsChild>
            <w:div w:id="483813659">
              <w:marLeft w:val="0"/>
              <w:marRight w:val="0"/>
              <w:marTop w:val="0"/>
              <w:marBottom w:val="0"/>
              <w:divBdr>
                <w:top w:val="none" w:sz="0" w:space="0" w:color="auto"/>
                <w:left w:val="none" w:sz="0" w:space="0" w:color="auto"/>
                <w:bottom w:val="none" w:sz="0" w:space="0" w:color="auto"/>
                <w:right w:val="none" w:sz="0" w:space="0" w:color="auto"/>
              </w:divBdr>
              <w:divsChild>
                <w:div w:id="89655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41298">
      <w:bodyDiv w:val="1"/>
      <w:marLeft w:val="0"/>
      <w:marRight w:val="0"/>
      <w:marTop w:val="0"/>
      <w:marBottom w:val="0"/>
      <w:divBdr>
        <w:top w:val="none" w:sz="0" w:space="0" w:color="auto"/>
        <w:left w:val="none" w:sz="0" w:space="0" w:color="auto"/>
        <w:bottom w:val="none" w:sz="0" w:space="0" w:color="auto"/>
        <w:right w:val="none" w:sz="0" w:space="0" w:color="auto"/>
      </w:divBdr>
      <w:divsChild>
        <w:div w:id="181171869">
          <w:marLeft w:val="0"/>
          <w:marRight w:val="0"/>
          <w:marTop w:val="0"/>
          <w:marBottom w:val="0"/>
          <w:divBdr>
            <w:top w:val="none" w:sz="0" w:space="0" w:color="auto"/>
            <w:left w:val="none" w:sz="0" w:space="0" w:color="auto"/>
            <w:bottom w:val="none" w:sz="0" w:space="0" w:color="auto"/>
            <w:right w:val="none" w:sz="0" w:space="0" w:color="auto"/>
          </w:divBdr>
          <w:divsChild>
            <w:div w:id="622880338">
              <w:marLeft w:val="0"/>
              <w:marRight w:val="0"/>
              <w:marTop w:val="0"/>
              <w:marBottom w:val="0"/>
              <w:divBdr>
                <w:top w:val="none" w:sz="0" w:space="0" w:color="auto"/>
                <w:left w:val="none" w:sz="0" w:space="0" w:color="auto"/>
                <w:bottom w:val="none" w:sz="0" w:space="0" w:color="auto"/>
                <w:right w:val="none" w:sz="0" w:space="0" w:color="auto"/>
              </w:divBdr>
              <w:divsChild>
                <w:div w:id="9918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3850">
      <w:bodyDiv w:val="1"/>
      <w:marLeft w:val="0"/>
      <w:marRight w:val="0"/>
      <w:marTop w:val="0"/>
      <w:marBottom w:val="0"/>
      <w:divBdr>
        <w:top w:val="none" w:sz="0" w:space="0" w:color="auto"/>
        <w:left w:val="none" w:sz="0" w:space="0" w:color="auto"/>
        <w:bottom w:val="none" w:sz="0" w:space="0" w:color="auto"/>
        <w:right w:val="none" w:sz="0" w:space="0" w:color="auto"/>
      </w:divBdr>
      <w:divsChild>
        <w:div w:id="401559774">
          <w:marLeft w:val="0"/>
          <w:marRight w:val="0"/>
          <w:marTop w:val="0"/>
          <w:marBottom w:val="0"/>
          <w:divBdr>
            <w:top w:val="none" w:sz="0" w:space="0" w:color="auto"/>
            <w:left w:val="none" w:sz="0" w:space="0" w:color="auto"/>
            <w:bottom w:val="none" w:sz="0" w:space="0" w:color="auto"/>
            <w:right w:val="none" w:sz="0" w:space="0" w:color="auto"/>
          </w:divBdr>
          <w:divsChild>
            <w:div w:id="505217849">
              <w:marLeft w:val="0"/>
              <w:marRight w:val="0"/>
              <w:marTop w:val="0"/>
              <w:marBottom w:val="0"/>
              <w:divBdr>
                <w:top w:val="none" w:sz="0" w:space="0" w:color="auto"/>
                <w:left w:val="none" w:sz="0" w:space="0" w:color="auto"/>
                <w:bottom w:val="none" w:sz="0" w:space="0" w:color="auto"/>
                <w:right w:val="none" w:sz="0" w:space="0" w:color="auto"/>
              </w:divBdr>
              <w:divsChild>
                <w:div w:id="20681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8312">
      <w:bodyDiv w:val="1"/>
      <w:marLeft w:val="0"/>
      <w:marRight w:val="0"/>
      <w:marTop w:val="0"/>
      <w:marBottom w:val="0"/>
      <w:divBdr>
        <w:top w:val="none" w:sz="0" w:space="0" w:color="auto"/>
        <w:left w:val="none" w:sz="0" w:space="0" w:color="auto"/>
        <w:bottom w:val="none" w:sz="0" w:space="0" w:color="auto"/>
        <w:right w:val="none" w:sz="0" w:space="0" w:color="auto"/>
      </w:divBdr>
      <w:divsChild>
        <w:div w:id="1982422787">
          <w:marLeft w:val="0"/>
          <w:marRight w:val="0"/>
          <w:marTop w:val="0"/>
          <w:marBottom w:val="0"/>
          <w:divBdr>
            <w:top w:val="none" w:sz="0" w:space="0" w:color="auto"/>
            <w:left w:val="none" w:sz="0" w:space="0" w:color="auto"/>
            <w:bottom w:val="none" w:sz="0" w:space="0" w:color="auto"/>
            <w:right w:val="none" w:sz="0" w:space="0" w:color="auto"/>
          </w:divBdr>
          <w:divsChild>
            <w:div w:id="1004014589">
              <w:marLeft w:val="0"/>
              <w:marRight w:val="0"/>
              <w:marTop w:val="0"/>
              <w:marBottom w:val="0"/>
              <w:divBdr>
                <w:top w:val="none" w:sz="0" w:space="0" w:color="auto"/>
                <w:left w:val="none" w:sz="0" w:space="0" w:color="auto"/>
                <w:bottom w:val="none" w:sz="0" w:space="0" w:color="auto"/>
                <w:right w:val="none" w:sz="0" w:space="0" w:color="auto"/>
              </w:divBdr>
              <w:divsChild>
                <w:div w:id="17303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6137">
      <w:bodyDiv w:val="1"/>
      <w:marLeft w:val="0"/>
      <w:marRight w:val="0"/>
      <w:marTop w:val="0"/>
      <w:marBottom w:val="0"/>
      <w:divBdr>
        <w:top w:val="none" w:sz="0" w:space="0" w:color="auto"/>
        <w:left w:val="none" w:sz="0" w:space="0" w:color="auto"/>
        <w:bottom w:val="none" w:sz="0" w:space="0" w:color="auto"/>
        <w:right w:val="none" w:sz="0" w:space="0" w:color="auto"/>
      </w:divBdr>
      <w:divsChild>
        <w:div w:id="550456946">
          <w:marLeft w:val="0"/>
          <w:marRight w:val="0"/>
          <w:marTop w:val="0"/>
          <w:marBottom w:val="0"/>
          <w:divBdr>
            <w:top w:val="none" w:sz="0" w:space="0" w:color="auto"/>
            <w:left w:val="none" w:sz="0" w:space="0" w:color="auto"/>
            <w:bottom w:val="none" w:sz="0" w:space="0" w:color="auto"/>
            <w:right w:val="none" w:sz="0" w:space="0" w:color="auto"/>
          </w:divBdr>
          <w:divsChild>
            <w:div w:id="853303030">
              <w:marLeft w:val="0"/>
              <w:marRight w:val="0"/>
              <w:marTop w:val="0"/>
              <w:marBottom w:val="0"/>
              <w:divBdr>
                <w:top w:val="none" w:sz="0" w:space="0" w:color="auto"/>
                <w:left w:val="none" w:sz="0" w:space="0" w:color="auto"/>
                <w:bottom w:val="none" w:sz="0" w:space="0" w:color="auto"/>
                <w:right w:val="none" w:sz="0" w:space="0" w:color="auto"/>
              </w:divBdr>
              <w:divsChild>
                <w:div w:id="3809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807">
      <w:bodyDiv w:val="1"/>
      <w:marLeft w:val="0"/>
      <w:marRight w:val="0"/>
      <w:marTop w:val="0"/>
      <w:marBottom w:val="0"/>
      <w:divBdr>
        <w:top w:val="none" w:sz="0" w:space="0" w:color="auto"/>
        <w:left w:val="none" w:sz="0" w:space="0" w:color="auto"/>
        <w:bottom w:val="none" w:sz="0" w:space="0" w:color="auto"/>
        <w:right w:val="none" w:sz="0" w:space="0" w:color="auto"/>
      </w:divBdr>
      <w:divsChild>
        <w:div w:id="1189370403">
          <w:marLeft w:val="0"/>
          <w:marRight w:val="0"/>
          <w:marTop w:val="0"/>
          <w:marBottom w:val="0"/>
          <w:divBdr>
            <w:top w:val="none" w:sz="0" w:space="0" w:color="auto"/>
            <w:left w:val="none" w:sz="0" w:space="0" w:color="auto"/>
            <w:bottom w:val="none" w:sz="0" w:space="0" w:color="auto"/>
            <w:right w:val="none" w:sz="0" w:space="0" w:color="auto"/>
          </w:divBdr>
          <w:divsChild>
            <w:div w:id="1962956067">
              <w:marLeft w:val="0"/>
              <w:marRight w:val="0"/>
              <w:marTop w:val="0"/>
              <w:marBottom w:val="0"/>
              <w:divBdr>
                <w:top w:val="none" w:sz="0" w:space="0" w:color="auto"/>
                <w:left w:val="none" w:sz="0" w:space="0" w:color="auto"/>
                <w:bottom w:val="none" w:sz="0" w:space="0" w:color="auto"/>
                <w:right w:val="none" w:sz="0" w:space="0" w:color="auto"/>
              </w:divBdr>
              <w:divsChild>
                <w:div w:id="554316596">
                  <w:marLeft w:val="0"/>
                  <w:marRight w:val="0"/>
                  <w:marTop w:val="0"/>
                  <w:marBottom w:val="0"/>
                  <w:divBdr>
                    <w:top w:val="none" w:sz="0" w:space="0" w:color="auto"/>
                    <w:left w:val="none" w:sz="0" w:space="0" w:color="auto"/>
                    <w:bottom w:val="none" w:sz="0" w:space="0" w:color="auto"/>
                    <w:right w:val="none" w:sz="0" w:space="0" w:color="auto"/>
                  </w:divBdr>
                  <w:divsChild>
                    <w:div w:id="15756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87495">
      <w:bodyDiv w:val="1"/>
      <w:marLeft w:val="0"/>
      <w:marRight w:val="0"/>
      <w:marTop w:val="0"/>
      <w:marBottom w:val="0"/>
      <w:divBdr>
        <w:top w:val="none" w:sz="0" w:space="0" w:color="auto"/>
        <w:left w:val="none" w:sz="0" w:space="0" w:color="auto"/>
        <w:bottom w:val="none" w:sz="0" w:space="0" w:color="auto"/>
        <w:right w:val="none" w:sz="0" w:space="0" w:color="auto"/>
      </w:divBdr>
      <w:divsChild>
        <w:div w:id="402801102">
          <w:marLeft w:val="0"/>
          <w:marRight w:val="0"/>
          <w:marTop w:val="0"/>
          <w:marBottom w:val="0"/>
          <w:divBdr>
            <w:top w:val="none" w:sz="0" w:space="0" w:color="auto"/>
            <w:left w:val="none" w:sz="0" w:space="0" w:color="auto"/>
            <w:bottom w:val="none" w:sz="0" w:space="0" w:color="auto"/>
            <w:right w:val="none" w:sz="0" w:space="0" w:color="auto"/>
          </w:divBdr>
          <w:divsChild>
            <w:div w:id="1782188160">
              <w:marLeft w:val="0"/>
              <w:marRight w:val="0"/>
              <w:marTop w:val="0"/>
              <w:marBottom w:val="0"/>
              <w:divBdr>
                <w:top w:val="none" w:sz="0" w:space="0" w:color="auto"/>
                <w:left w:val="none" w:sz="0" w:space="0" w:color="auto"/>
                <w:bottom w:val="none" w:sz="0" w:space="0" w:color="auto"/>
                <w:right w:val="none" w:sz="0" w:space="0" w:color="auto"/>
              </w:divBdr>
              <w:divsChild>
                <w:div w:id="74071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843">
      <w:bodyDiv w:val="1"/>
      <w:marLeft w:val="0"/>
      <w:marRight w:val="0"/>
      <w:marTop w:val="0"/>
      <w:marBottom w:val="0"/>
      <w:divBdr>
        <w:top w:val="none" w:sz="0" w:space="0" w:color="auto"/>
        <w:left w:val="none" w:sz="0" w:space="0" w:color="auto"/>
        <w:bottom w:val="none" w:sz="0" w:space="0" w:color="auto"/>
        <w:right w:val="none" w:sz="0" w:space="0" w:color="auto"/>
      </w:divBdr>
    </w:div>
    <w:div w:id="138500884">
      <w:bodyDiv w:val="1"/>
      <w:marLeft w:val="0"/>
      <w:marRight w:val="0"/>
      <w:marTop w:val="0"/>
      <w:marBottom w:val="0"/>
      <w:divBdr>
        <w:top w:val="none" w:sz="0" w:space="0" w:color="auto"/>
        <w:left w:val="none" w:sz="0" w:space="0" w:color="auto"/>
        <w:bottom w:val="none" w:sz="0" w:space="0" w:color="auto"/>
        <w:right w:val="none" w:sz="0" w:space="0" w:color="auto"/>
      </w:divBdr>
      <w:divsChild>
        <w:div w:id="1793478979">
          <w:marLeft w:val="0"/>
          <w:marRight w:val="0"/>
          <w:marTop w:val="0"/>
          <w:marBottom w:val="0"/>
          <w:divBdr>
            <w:top w:val="none" w:sz="0" w:space="0" w:color="auto"/>
            <w:left w:val="none" w:sz="0" w:space="0" w:color="auto"/>
            <w:bottom w:val="none" w:sz="0" w:space="0" w:color="auto"/>
            <w:right w:val="none" w:sz="0" w:space="0" w:color="auto"/>
          </w:divBdr>
          <w:divsChild>
            <w:div w:id="1944997753">
              <w:marLeft w:val="0"/>
              <w:marRight w:val="0"/>
              <w:marTop w:val="0"/>
              <w:marBottom w:val="0"/>
              <w:divBdr>
                <w:top w:val="none" w:sz="0" w:space="0" w:color="auto"/>
                <w:left w:val="none" w:sz="0" w:space="0" w:color="auto"/>
                <w:bottom w:val="none" w:sz="0" w:space="0" w:color="auto"/>
                <w:right w:val="none" w:sz="0" w:space="0" w:color="auto"/>
              </w:divBdr>
              <w:divsChild>
                <w:div w:id="17495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0767">
      <w:bodyDiv w:val="1"/>
      <w:marLeft w:val="0"/>
      <w:marRight w:val="0"/>
      <w:marTop w:val="0"/>
      <w:marBottom w:val="0"/>
      <w:divBdr>
        <w:top w:val="none" w:sz="0" w:space="0" w:color="auto"/>
        <w:left w:val="none" w:sz="0" w:space="0" w:color="auto"/>
        <w:bottom w:val="none" w:sz="0" w:space="0" w:color="auto"/>
        <w:right w:val="none" w:sz="0" w:space="0" w:color="auto"/>
      </w:divBdr>
      <w:divsChild>
        <w:div w:id="531698549">
          <w:marLeft w:val="0"/>
          <w:marRight w:val="0"/>
          <w:marTop w:val="0"/>
          <w:marBottom w:val="0"/>
          <w:divBdr>
            <w:top w:val="none" w:sz="0" w:space="0" w:color="auto"/>
            <w:left w:val="none" w:sz="0" w:space="0" w:color="auto"/>
            <w:bottom w:val="none" w:sz="0" w:space="0" w:color="auto"/>
            <w:right w:val="none" w:sz="0" w:space="0" w:color="auto"/>
          </w:divBdr>
          <w:divsChild>
            <w:div w:id="683096846">
              <w:marLeft w:val="0"/>
              <w:marRight w:val="0"/>
              <w:marTop w:val="0"/>
              <w:marBottom w:val="0"/>
              <w:divBdr>
                <w:top w:val="none" w:sz="0" w:space="0" w:color="auto"/>
                <w:left w:val="none" w:sz="0" w:space="0" w:color="auto"/>
                <w:bottom w:val="none" w:sz="0" w:space="0" w:color="auto"/>
                <w:right w:val="none" w:sz="0" w:space="0" w:color="auto"/>
              </w:divBdr>
              <w:divsChild>
                <w:div w:id="456990293">
                  <w:marLeft w:val="0"/>
                  <w:marRight w:val="0"/>
                  <w:marTop w:val="0"/>
                  <w:marBottom w:val="0"/>
                  <w:divBdr>
                    <w:top w:val="none" w:sz="0" w:space="0" w:color="auto"/>
                    <w:left w:val="none" w:sz="0" w:space="0" w:color="auto"/>
                    <w:bottom w:val="none" w:sz="0" w:space="0" w:color="auto"/>
                    <w:right w:val="none" w:sz="0" w:space="0" w:color="auto"/>
                  </w:divBdr>
                  <w:divsChild>
                    <w:div w:id="5313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39669">
      <w:bodyDiv w:val="1"/>
      <w:marLeft w:val="0"/>
      <w:marRight w:val="0"/>
      <w:marTop w:val="0"/>
      <w:marBottom w:val="0"/>
      <w:divBdr>
        <w:top w:val="none" w:sz="0" w:space="0" w:color="auto"/>
        <w:left w:val="none" w:sz="0" w:space="0" w:color="auto"/>
        <w:bottom w:val="none" w:sz="0" w:space="0" w:color="auto"/>
        <w:right w:val="none" w:sz="0" w:space="0" w:color="auto"/>
      </w:divBdr>
    </w:div>
    <w:div w:id="156843056">
      <w:bodyDiv w:val="1"/>
      <w:marLeft w:val="0"/>
      <w:marRight w:val="0"/>
      <w:marTop w:val="0"/>
      <w:marBottom w:val="0"/>
      <w:divBdr>
        <w:top w:val="none" w:sz="0" w:space="0" w:color="auto"/>
        <w:left w:val="none" w:sz="0" w:space="0" w:color="auto"/>
        <w:bottom w:val="none" w:sz="0" w:space="0" w:color="auto"/>
        <w:right w:val="none" w:sz="0" w:space="0" w:color="auto"/>
      </w:divBdr>
      <w:divsChild>
        <w:div w:id="1720936008">
          <w:marLeft w:val="0"/>
          <w:marRight w:val="0"/>
          <w:marTop w:val="0"/>
          <w:marBottom w:val="0"/>
          <w:divBdr>
            <w:top w:val="none" w:sz="0" w:space="0" w:color="auto"/>
            <w:left w:val="none" w:sz="0" w:space="0" w:color="auto"/>
            <w:bottom w:val="none" w:sz="0" w:space="0" w:color="auto"/>
            <w:right w:val="none" w:sz="0" w:space="0" w:color="auto"/>
          </w:divBdr>
          <w:divsChild>
            <w:div w:id="1643459337">
              <w:marLeft w:val="0"/>
              <w:marRight w:val="0"/>
              <w:marTop w:val="0"/>
              <w:marBottom w:val="0"/>
              <w:divBdr>
                <w:top w:val="none" w:sz="0" w:space="0" w:color="auto"/>
                <w:left w:val="none" w:sz="0" w:space="0" w:color="auto"/>
                <w:bottom w:val="none" w:sz="0" w:space="0" w:color="auto"/>
                <w:right w:val="none" w:sz="0" w:space="0" w:color="auto"/>
              </w:divBdr>
              <w:divsChild>
                <w:div w:id="15279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3599">
      <w:bodyDiv w:val="1"/>
      <w:marLeft w:val="0"/>
      <w:marRight w:val="0"/>
      <w:marTop w:val="0"/>
      <w:marBottom w:val="0"/>
      <w:divBdr>
        <w:top w:val="none" w:sz="0" w:space="0" w:color="auto"/>
        <w:left w:val="none" w:sz="0" w:space="0" w:color="auto"/>
        <w:bottom w:val="none" w:sz="0" w:space="0" w:color="auto"/>
        <w:right w:val="none" w:sz="0" w:space="0" w:color="auto"/>
      </w:divBdr>
      <w:divsChild>
        <w:div w:id="1431127021">
          <w:marLeft w:val="0"/>
          <w:marRight w:val="0"/>
          <w:marTop w:val="0"/>
          <w:marBottom w:val="0"/>
          <w:divBdr>
            <w:top w:val="none" w:sz="0" w:space="0" w:color="auto"/>
            <w:left w:val="none" w:sz="0" w:space="0" w:color="auto"/>
            <w:bottom w:val="none" w:sz="0" w:space="0" w:color="auto"/>
            <w:right w:val="none" w:sz="0" w:space="0" w:color="auto"/>
          </w:divBdr>
          <w:divsChild>
            <w:div w:id="159347178">
              <w:marLeft w:val="0"/>
              <w:marRight w:val="0"/>
              <w:marTop w:val="0"/>
              <w:marBottom w:val="0"/>
              <w:divBdr>
                <w:top w:val="none" w:sz="0" w:space="0" w:color="auto"/>
                <w:left w:val="none" w:sz="0" w:space="0" w:color="auto"/>
                <w:bottom w:val="none" w:sz="0" w:space="0" w:color="auto"/>
                <w:right w:val="none" w:sz="0" w:space="0" w:color="auto"/>
              </w:divBdr>
              <w:divsChild>
                <w:div w:id="135765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3505">
      <w:bodyDiv w:val="1"/>
      <w:marLeft w:val="0"/>
      <w:marRight w:val="0"/>
      <w:marTop w:val="0"/>
      <w:marBottom w:val="0"/>
      <w:divBdr>
        <w:top w:val="none" w:sz="0" w:space="0" w:color="auto"/>
        <w:left w:val="none" w:sz="0" w:space="0" w:color="auto"/>
        <w:bottom w:val="none" w:sz="0" w:space="0" w:color="auto"/>
        <w:right w:val="none" w:sz="0" w:space="0" w:color="auto"/>
      </w:divBdr>
      <w:divsChild>
        <w:div w:id="374740013">
          <w:marLeft w:val="0"/>
          <w:marRight w:val="0"/>
          <w:marTop w:val="0"/>
          <w:marBottom w:val="0"/>
          <w:divBdr>
            <w:top w:val="none" w:sz="0" w:space="0" w:color="auto"/>
            <w:left w:val="none" w:sz="0" w:space="0" w:color="auto"/>
            <w:bottom w:val="none" w:sz="0" w:space="0" w:color="auto"/>
            <w:right w:val="none" w:sz="0" w:space="0" w:color="auto"/>
          </w:divBdr>
          <w:divsChild>
            <w:div w:id="1806266586">
              <w:marLeft w:val="0"/>
              <w:marRight w:val="0"/>
              <w:marTop w:val="0"/>
              <w:marBottom w:val="0"/>
              <w:divBdr>
                <w:top w:val="none" w:sz="0" w:space="0" w:color="auto"/>
                <w:left w:val="none" w:sz="0" w:space="0" w:color="auto"/>
                <w:bottom w:val="none" w:sz="0" w:space="0" w:color="auto"/>
                <w:right w:val="none" w:sz="0" w:space="0" w:color="auto"/>
              </w:divBdr>
              <w:divsChild>
                <w:div w:id="2667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5203">
      <w:bodyDiv w:val="1"/>
      <w:marLeft w:val="0"/>
      <w:marRight w:val="0"/>
      <w:marTop w:val="0"/>
      <w:marBottom w:val="0"/>
      <w:divBdr>
        <w:top w:val="none" w:sz="0" w:space="0" w:color="auto"/>
        <w:left w:val="none" w:sz="0" w:space="0" w:color="auto"/>
        <w:bottom w:val="none" w:sz="0" w:space="0" w:color="auto"/>
        <w:right w:val="none" w:sz="0" w:space="0" w:color="auto"/>
      </w:divBdr>
      <w:divsChild>
        <w:div w:id="1572080948">
          <w:marLeft w:val="0"/>
          <w:marRight w:val="0"/>
          <w:marTop w:val="0"/>
          <w:marBottom w:val="0"/>
          <w:divBdr>
            <w:top w:val="none" w:sz="0" w:space="0" w:color="auto"/>
            <w:left w:val="none" w:sz="0" w:space="0" w:color="auto"/>
            <w:bottom w:val="none" w:sz="0" w:space="0" w:color="auto"/>
            <w:right w:val="none" w:sz="0" w:space="0" w:color="auto"/>
          </w:divBdr>
          <w:divsChild>
            <w:div w:id="811752884">
              <w:marLeft w:val="0"/>
              <w:marRight w:val="0"/>
              <w:marTop w:val="0"/>
              <w:marBottom w:val="0"/>
              <w:divBdr>
                <w:top w:val="none" w:sz="0" w:space="0" w:color="auto"/>
                <w:left w:val="none" w:sz="0" w:space="0" w:color="auto"/>
                <w:bottom w:val="none" w:sz="0" w:space="0" w:color="auto"/>
                <w:right w:val="none" w:sz="0" w:space="0" w:color="auto"/>
              </w:divBdr>
              <w:divsChild>
                <w:div w:id="172864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984">
      <w:bodyDiv w:val="1"/>
      <w:marLeft w:val="0"/>
      <w:marRight w:val="0"/>
      <w:marTop w:val="0"/>
      <w:marBottom w:val="0"/>
      <w:divBdr>
        <w:top w:val="none" w:sz="0" w:space="0" w:color="auto"/>
        <w:left w:val="none" w:sz="0" w:space="0" w:color="auto"/>
        <w:bottom w:val="none" w:sz="0" w:space="0" w:color="auto"/>
        <w:right w:val="none" w:sz="0" w:space="0" w:color="auto"/>
      </w:divBdr>
      <w:divsChild>
        <w:div w:id="766461570">
          <w:marLeft w:val="0"/>
          <w:marRight w:val="0"/>
          <w:marTop w:val="0"/>
          <w:marBottom w:val="0"/>
          <w:divBdr>
            <w:top w:val="none" w:sz="0" w:space="0" w:color="auto"/>
            <w:left w:val="none" w:sz="0" w:space="0" w:color="auto"/>
            <w:bottom w:val="none" w:sz="0" w:space="0" w:color="auto"/>
            <w:right w:val="none" w:sz="0" w:space="0" w:color="auto"/>
          </w:divBdr>
          <w:divsChild>
            <w:div w:id="1811944487">
              <w:marLeft w:val="0"/>
              <w:marRight w:val="0"/>
              <w:marTop w:val="0"/>
              <w:marBottom w:val="0"/>
              <w:divBdr>
                <w:top w:val="none" w:sz="0" w:space="0" w:color="auto"/>
                <w:left w:val="none" w:sz="0" w:space="0" w:color="auto"/>
                <w:bottom w:val="none" w:sz="0" w:space="0" w:color="auto"/>
                <w:right w:val="none" w:sz="0" w:space="0" w:color="auto"/>
              </w:divBdr>
              <w:divsChild>
                <w:div w:id="110692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7414">
      <w:bodyDiv w:val="1"/>
      <w:marLeft w:val="0"/>
      <w:marRight w:val="0"/>
      <w:marTop w:val="0"/>
      <w:marBottom w:val="0"/>
      <w:divBdr>
        <w:top w:val="none" w:sz="0" w:space="0" w:color="auto"/>
        <w:left w:val="none" w:sz="0" w:space="0" w:color="auto"/>
        <w:bottom w:val="none" w:sz="0" w:space="0" w:color="auto"/>
        <w:right w:val="none" w:sz="0" w:space="0" w:color="auto"/>
      </w:divBdr>
      <w:divsChild>
        <w:div w:id="374239217">
          <w:marLeft w:val="0"/>
          <w:marRight w:val="0"/>
          <w:marTop w:val="0"/>
          <w:marBottom w:val="0"/>
          <w:divBdr>
            <w:top w:val="none" w:sz="0" w:space="0" w:color="auto"/>
            <w:left w:val="none" w:sz="0" w:space="0" w:color="auto"/>
            <w:bottom w:val="none" w:sz="0" w:space="0" w:color="auto"/>
            <w:right w:val="none" w:sz="0" w:space="0" w:color="auto"/>
          </w:divBdr>
          <w:divsChild>
            <w:div w:id="948393080">
              <w:marLeft w:val="0"/>
              <w:marRight w:val="0"/>
              <w:marTop w:val="0"/>
              <w:marBottom w:val="0"/>
              <w:divBdr>
                <w:top w:val="none" w:sz="0" w:space="0" w:color="auto"/>
                <w:left w:val="none" w:sz="0" w:space="0" w:color="auto"/>
                <w:bottom w:val="none" w:sz="0" w:space="0" w:color="auto"/>
                <w:right w:val="none" w:sz="0" w:space="0" w:color="auto"/>
              </w:divBdr>
              <w:divsChild>
                <w:div w:id="6089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11737">
      <w:bodyDiv w:val="1"/>
      <w:marLeft w:val="0"/>
      <w:marRight w:val="0"/>
      <w:marTop w:val="0"/>
      <w:marBottom w:val="0"/>
      <w:divBdr>
        <w:top w:val="none" w:sz="0" w:space="0" w:color="auto"/>
        <w:left w:val="none" w:sz="0" w:space="0" w:color="auto"/>
        <w:bottom w:val="none" w:sz="0" w:space="0" w:color="auto"/>
        <w:right w:val="none" w:sz="0" w:space="0" w:color="auto"/>
      </w:divBdr>
      <w:divsChild>
        <w:div w:id="704525943">
          <w:marLeft w:val="0"/>
          <w:marRight w:val="0"/>
          <w:marTop w:val="0"/>
          <w:marBottom w:val="0"/>
          <w:divBdr>
            <w:top w:val="none" w:sz="0" w:space="0" w:color="auto"/>
            <w:left w:val="none" w:sz="0" w:space="0" w:color="auto"/>
            <w:bottom w:val="none" w:sz="0" w:space="0" w:color="auto"/>
            <w:right w:val="none" w:sz="0" w:space="0" w:color="auto"/>
          </w:divBdr>
          <w:divsChild>
            <w:div w:id="1065909962">
              <w:marLeft w:val="0"/>
              <w:marRight w:val="0"/>
              <w:marTop w:val="0"/>
              <w:marBottom w:val="0"/>
              <w:divBdr>
                <w:top w:val="none" w:sz="0" w:space="0" w:color="auto"/>
                <w:left w:val="none" w:sz="0" w:space="0" w:color="auto"/>
                <w:bottom w:val="none" w:sz="0" w:space="0" w:color="auto"/>
                <w:right w:val="none" w:sz="0" w:space="0" w:color="auto"/>
              </w:divBdr>
              <w:divsChild>
                <w:div w:id="4447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9215">
      <w:bodyDiv w:val="1"/>
      <w:marLeft w:val="0"/>
      <w:marRight w:val="0"/>
      <w:marTop w:val="0"/>
      <w:marBottom w:val="0"/>
      <w:divBdr>
        <w:top w:val="none" w:sz="0" w:space="0" w:color="auto"/>
        <w:left w:val="none" w:sz="0" w:space="0" w:color="auto"/>
        <w:bottom w:val="none" w:sz="0" w:space="0" w:color="auto"/>
        <w:right w:val="none" w:sz="0" w:space="0" w:color="auto"/>
      </w:divBdr>
      <w:divsChild>
        <w:div w:id="502742087">
          <w:marLeft w:val="0"/>
          <w:marRight w:val="0"/>
          <w:marTop w:val="0"/>
          <w:marBottom w:val="0"/>
          <w:divBdr>
            <w:top w:val="none" w:sz="0" w:space="0" w:color="auto"/>
            <w:left w:val="none" w:sz="0" w:space="0" w:color="auto"/>
            <w:bottom w:val="none" w:sz="0" w:space="0" w:color="auto"/>
            <w:right w:val="none" w:sz="0" w:space="0" w:color="auto"/>
          </w:divBdr>
          <w:divsChild>
            <w:div w:id="475267800">
              <w:marLeft w:val="0"/>
              <w:marRight w:val="0"/>
              <w:marTop w:val="0"/>
              <w:marBottom w:val="0"/>
              <w:divBdr>
                <w:top w:val="none" w:sz="0" w:space="0" w:color="auto"/>
                <w:left w:val="none" w:sz="0" w:space="0" w:color="auto"/>
                <w:bottom w:val="none" w:sz="0" w:space="0" w:color="auto"/>
                <w:right w:val="none" w:sz="0" w:space="0" w:color="auto"/>
              </w:divBdr>
              <w:divsChild>
                <w:div w:id="21179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8484">
      <w:bodyDiv w:val="1"/>
      <w:marLeft w:val="0"/>
      <w:marRight w:val="0"/>
      <w:marTop w:val="0"/>
      <w:marBottom w:val="0"/>
      <w:divBdr>
        <w:top w:val="none" w:sz="0" w:space="0" w:color="auto"/>
        <w:left w:val="none" w:sz="0" w:space="0" w:color="auto"/>
        <w:bottom w:val="none" w:sz="0" w:space="0" w:color="auto"/>
        <w:right w:val="none" w:sz="0" w:space="0" w:color="auto"/>
      </w:divBdr>
      <w:divsChild>
        <w:div w:id="239366099">
          <w:marLeft w:val="0"/>
          <w:marRight w:val="0"/>
          <w:marTop w:val="0"/>
          <w:marBottom w:val="0"/>
          <w:divBdr>
            <w:top w:val="none" w:sz="0" w:space="0" w:color="auto"/>
            <w:left w:val="none" w:sz="0" w:space="0" w:color="auto"/>
            <w:bottom w:val="none" w:sz="0" w:space="0" w:color="auto"/>
            <w:right w:val="none" w:sz="0" w:space="0" w:color="auto"/>
          </w:divBdr>
          <w:divsChild>
            <w:div w:id="76286994">
              <w:marLeft w:val="0"/>
              <w:marRight w:val="0"/>
              <w:marTop w:val="0"/>
              <w:marBottom w:val="0"/>
              <w:divBdr>
                <w:top w:val="none" w:sz="0" w:space="0" w:color="auto"/>
                <w:left w:val="none" w:sz="0" w:space="0" w:color="auto"/>
                <w:bottom w:val="none" w:sz="0" w:space="0" w:color="auto"/>
                <w:right w:val="none" w:sz="0" w:space="0" w:color="auto"/>
              </w:divBdr>
              <w:divsChild>
                <w:div w:id="3480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5108">
      <w:bodyDiv w:val="1"/>
      <w:marLeft w:val="0"/>
      <w:marRight w:val="0"/>
      <w:marTop w:val="0"/>
      <w:marBottom w:val="0"/>
      <w:divBdr>
        <w:top w:val="none" w:sz="0" w:space="0" w:color="auto"/>
        <w:left w:val="none" w:sz="0" w:space="0" w:color="auto"/>
        <w:bottom w:val="none" w:sz="0" w:space="0" w:color="auto"/>
        <w:right w:val="none" w:sz="0" w:space="0" w:color="auto"/>
      </w:divBdr>
      <w:divsChild>
        <w:div w:id="2069567186">
          <w:marLeft w:val="0"/>
          <w:marRight w:val="0"/>
          <w:marTop w:val="0"/>
          <w:marBottom w:val="0"/>
          <w:divBdr>
            <w:top w:val="none" w:sz="0" w:space="0" w:color="auto"/>
            <w:left w:val="none" w:sz="0" w:space="0" w:color="auto"/>
            <w:bottom w:val="none" w:sz="0" w:space="0" w:color="auto"/>
            <w:right w:val="none" w:sz="0" w:space="0" w:color="auto"/>
          </w:divBdr>
          <w:divsChild>
            <w:div w:id="646588709">
              <w:marLeft w:val="0"/>
              <w:marRight w:val="0"/>
              <w:marTop w:val="0"/>
              <w:marBottom w:val="0"/>
              <w:divBdr>
                <w:top w:val="none" w:sz="0" w:space="0" w:color="auto"/>
                <w:left w:val="none" w:sz="0" w:space="0" w:color="auto"/>
                <w:bottom w:val="none" w:sz="0" w:space="0" w:color="auto"/>
                <w:right w:val="none" w:sz="0" w:space="0" w:color="auto"/>
              </w:divBdr>
              <w:divsChild>
                <w:div w:id="120043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5522">
      <w:bodyDiv w:val="1"/>
      <w:marLeft w:val="0"/>
      <w:marRight w:val="0"/>
      <w:marTop w:val="0"/>
      <w:marBottom w:val="0"/>
      <w:divBdr>
        <w:top w:val="none" w:sz="0" w:space="0" w:color="auto"/>
        <w:left w:val="none" w:sz="0" w:space="0" w:color="auto"/>
        <w:bottom w:val="none" w:sz="0" w:space="0" w:color="auto"/>
        <w:right w:val="none" w:sz="0" w:space="0" w:color="auto"/>
      </w:divBdr>
      <w:divsChild>
        <w:div w:id="254826786">
          <w:marLeft w:val="0"/>
          <w:marRight w:val="0"/>
          <w:marTop w:val="0"/>
          <w:marBottom w:val="0"/>
          <w:divBdr>
            <w:top w:val="none" w:sz="0" w:space="0" w:color="auto"/>
            <w:left w:val="none" w:sz="0" w:space="0" w:color="auto"/>
            <w:bottom w:val="none" w:sz="0" w:space="0" w:color="auto"/>
            <w:right w:val="none" w:sz="0" w:space="0" w:color="auto"/>
          </w:divBdr>
          <w:divsChild>
            <w:div w:id="869032907">
              <w:marLeft w:val="0"/>
              <w:marRight w:val="0"/>
              <w:marTop w:val="0"/>
              <w:marBottom w:val="0"/>
              <w:divBdr>
                <w:top w:val="none" w:sz="0" w:space="0" w:color="auto"/>
                <w:left w:val="none" w:sz="0" w:space="0" w:color="auto"/>
                <w:bottom w:val="none" w:sz="0" w:space="0" w:color="auto"/>
                <w:right w:val="none" w:sz="0" w:space="0" w:color="auto"/>
              </w:divBdr>
              <w:divsChild>
                <w:div w:id="220866808">
                  <w:marLeft w:val="0"/>
                  <w:marRight w:val="0"/>
                  <w:marTop w:val="0"/>
                  <w:marBottom w:val="0"/>
                  <w:divBdr>
                    <w:top w:val="none" w:sz="0" w:space="0" w:color="auto"/>
                    <w:left w:val="none" w:sz="0" w:space="0" w:color="auto"/>
                    <w:bottom w:val="none" w:sz="0" w:space="0" w:color="auto"/>
                    <w:right w:val="none" w:sz="0" w:space="0" w:color="auto"/>
                  </w:divBdr>
                  <w:divsChild>
                    <w:div w:id="23266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83523">
      <w:bodyDiv w:val="1"/>
      <w:marLeft w:val="0"/>
      <w:marRight w:val="0"/>
      <w:marTop w:val="0"/>
      <w:marBottom w:val="0"/>
      <w:divBdr>
        <w:top w:val="none" w:sz="0" w:space="0" w:color="auto"/>
        <w:left w:val="none" w:sz="0" w:space="0" w:color="auto"/>
        <w:bottom w:val="none" w:sz="0" w:space="0" w:color="auto"/>
        <w:right w:val="none" w:sz="0" w:space="0" w:color="auto"/>
      </w:divBdr>
      <w:divsChild>
        <w:div w:id="576481311">
          <w:marLeft w:val="0"/>
          <w:marRight w:val="0"/>
          <w:marTop w:val="0"/>
          <w:marBottom w:val="0"/>
          <w:divBdr>
            <w:top w:val="none" w:sz="0" w:space="0" w:color="auto"/>
            <w:left w:val="none" w:sz="0" w:space="0" w:color="auto"/>
            <w:bottom w:val="none" w:sz="0" w:space="0" w:color="auto"/>
            <w:right w:val="none" w:sz="0" w:space="0" w:color="auto"/>
          </w:divBdr>
          <w:divsChild>
            <w:div w:id="22828309">
              <w:marLeft w:val="0"/>
              <w:marRight w:val="0"/>
              <w:marTop w:val="0"/>
              <w:marBottom w:val="0"/>
              <w:divBdr>
                <w:top w:val="none" w:sz="0" w:space="0" w:color="auto"/>
                <w:left w:val="none" w:sz="0" w:space="0" w:color="auto"/>
                <w:bottom w:val="none" w:sz="0" w:space="0" w:color="auto"/>
                <w:right w:val="none" w:sz="0" w:space="0" w:color="auto"/>
              </w:divBdr>
              <w:divsChild>
                <w:div w:id="17542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2878">
      <w:bodyDiv w:val="1"/>
      <w:marLeft w:val="0"/>
      <w:marRight w:val="0"/>
      <w:marTop w:val="0"/>
      <w:marBottom w:val="0"/>
      <w:divBdr>
        <w:top w:val="none" w:sz="0" w:space="0" w:color="auto"/>
        <w:left w:val="none" w:sz="0" w:space="0" w:color="auto"/>
        <w:bottom w:val="none" w:sz="0" w:space="0" w:color="auto"/>
        <w:right w:val="none" w:sz="0" w:space="0" w:color="auto"/>
      </w:divBdr>
    </w:div>
    <w:div w:id="199973947">
      <w:bodyDiv w:val="1"/>
      <w:marLeft w:val="0"/>
      <w:marRight w:val="0"/>
      <w:marTop w:val="0"/>
      <w:marBottom w:val="0"/>
      <w:divBdr>
        <w:top w:val="none" w:sz="0" w:space="0" w:color="auto"/>
        <w:left w:val="none" w:sz="0" w:space="0" w:color="auto"/>
        <w:bottom w:val="none" w:sz="0" w:space="0" w:color="auto"/>
        <w:right w:val="none" w:sz="0" w:space="0" w:color="auto"/>
      </w:divBdr>
      <w:divsChild>
        <w:div w:id="939532164">
          <w:marLeft w:val="0"/>
          <w:marRight w:val="0"/>
          <w:marTop w:val="0"/>
          <w:marBottom w:val="0"/>
          <w:divBdr>
            <w:top w:val="none" w:sz="0" w:space="0" w:color="auto"/>
            <w:left w:val="none" w:sz="0" w:space="0" w:color="auto"/>
            <w:bottom w:val="none" w:sz="0" w:space="0" w:color="auto"/>
            <w:right w:val="none" w:sz="0" w:space="0" w:color="auto"/>
          </w:divBdr>
          <w:divsChild>
            <w:div w:id="441648557">
              <w:marLeft w:val="0"/>
              <w:marRight w:val="0"/>
              <w:marTop w:val="0"/>
              <w:marBottom w:val="0"/>
              <w:divBdr>
                <w:top w:val="none" w:sz="0" w:space="0" w:color="auto"/>
                <w:left w:val="none" w:sz="0" w:space="0" w:color="auto"/>
                <w:bottom w:val="none" w:sz="0" w:space="0" w:color="auto"/>
                <w:right w:val="none" w:sz="0" w:space="0" w:color="auto"/>
              </w:divBdr>
              <w:divsChild>
                <w:div w:id="172915765">
                  <w:marLeft w:val="0"/>
                  <w:marRight w:val="0"/>
                  <w:marTop w:val="0"/>
                  <w:marBottom w:val="0"/>
                  <w:divBdr>
                    <w:top w:val="none" w:sz="0" w:space="0" w:color="auto"/>
                    <w:left w:val="none" w:sz="0" w:space="0" w:color="auto"/>
                    <w:bottom w:val="none" w:sz="0" w:space="0" w:color="auto"/>
                    <w:right w:val="none" w:sz="0" w:space="0" w:color="auto"/>
                  </w:divBdr>
                  <w:divsChild>
                    <w:div w:id="5823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28717">
      <w:bodyDiv w:val="1"/>
      <w:marLeft w:val="0"/>
      <w:marRight w:val="0"/>
      <w:marTop w:val="0"/>
      <w:marBottom w:val="0"/>
      <w:divBdr>
        <w:top w:val="none" w:sz="0" w:space="0" w:color="auto"/>
        <w:left w:val="none" w:sz="0" w:space="0" w:color="auto"/>
        <w:bottom w:val="none" w:sz="0" w:space="0" w:color="auto"/>
        <w:right w:val="none" w:sz="0" w:space="0" w:color="auto"/>
      </w:divBdr>
      <w:divsChild>
        <w:div w:id="1415971817">
          <w:marLeft w:val="0"/>
          <w:marRight w:val="0"/>
          <w:marTop w:val="0"/>
          <w:marBottom w:val="0"/>
          <w:divBdr>
            <w:top w:val="none" w:sz="0" w:space="0" w:color="auto"/>
            <w:left w:val="none" w:sz="0" w:space="0" w:color="auto"/>
            <w:bottom w:val="none" w:sz="0" w:space="0" w:color="auto"/>
            <w:right w:val="none" w:sz="0" w:space="0" w:color="auto"/>
          </w:divBdr>
          <w:divsChild>
            <w:div w:id="255947606">
              <w:marLeft w:val="0"/>
              <w:marRight w:val="0"/>
              <w:marTop w:val="0"/>
              <w:marBottom w:val="0"/>
              <w:divBdr>
                <w:top w:val="none" w:sz="0" w:space="0" w:color="auto"/>
                <w:left w:val="none" w:sz="0" w:space="0" w:color="auto"/>
                <w:bottom w:val="none" w:sz="0" w:space="0" w:color="auto"/>
                <w:right w:val="none" w:sz="0" w:space="0" w:color="auto"/>
              </w:divBdr>
              <w:divsChild>
                <w:div w:id="146847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9014">
      <w:bodyDiv w:val="1"/>
      <w:marLeft w:val="0"/>
      <w:marRight w:val="0"/>
      <w:marTop w:val="0"/>
      <w:marBottom w:val="0"/>
      <w:divBdr>
        <w:top w:val="none" w:sz="0" w:space="0" w:color="auto"/>
        <w:left w:val="none" w:sz="0" w:space="0" w:color="auto"/>
        <w:bottom w:val="none" w:sz="0" w:space="0" w:color="auto"/>
        <w:right w:val="none" w:sz="0" w:space="0" w:color="auto"/>
      </w:divBdr>
    </w:div>
    <w:div w:id="213857571">
      <w:bodyDiv w:val="1"/>
      <w:marLeft w:val="0"/>
      <w:marRight w:val="0"/>
      <w:marTop w:val="0"/>
      <w:marBottom w:val="0"/>
      <w:divBdr>
        <w:top w:val="none" w:sz="0" w:space="0" w:color="auto"/>
        <w:left w:val="none" w:sz="0" w:space="0" w:color="auto"/>
        <w:bottom w:val="none" w:sz="0" w:space="0" w:color="auto"/>
        <w:right w:val="none" w:sz="0" w:space="0" w:color="auto"/>
      </w:divBdr>
      <w:divsChild>
        <w:div w:id="313871806">
          <w:marLeft w:val="0"/>
          <w:marRight w:val="0"/>
          <w:marTop w:val="0"/>
          <w:marBottom w:val="0"/>
          <w:divBdr>
            <w:top w:val="none" w:sz="0" w:space="0" w:color="auto"/>
            <w:left w:val="none" w:sz="0" w:space="0" w:color="auto"/>
            <w:bottom w:val="none" w:sz="0" w:space="0" w:color="auto"/>
            <w:right w:val="none" w:sz="0" w:space="0" w:color="auto"/>
          </w:divBdr>
          <w:divsChild>
            <w:div w:id="1156384942">
              <w:marLeft w:val="0"/>
              <w:marRight w:val="0"/>
              <w:marTop w:val="0"/>
              <w:marBottom w:val="0"/>
              <w:divBdr>
                <w:top w:val="none" w:sz="0" w:space="0" w:color="auto"/>
                <w:left w:val="none" w:sz="0" w:space="0" w:color="auto"/>
                <w:bottom w:val="none" w:sz="0" w:space="0" w:color="auto"/>
                <w:right w:val="none" w:sz="0" w:space="0" w:color="auto"/>
              </w:divBdr>
              <w:divsChild>
                <w:div w:id="2089381901">
                  <w:marLeft w:val="0"/>
                  <w:marRight w:val="0"/>
                  <w:marTop w:val="0"/>
                  <w:marBottom w:val="0"/>
                  <w:divBdr>
                    <w:top w:val="none" w:sz="0" w:space="0" w:color="auto"/>
                    <w:left w:val="none" w:sz="0" w:space="0" w:color="auto"/>
                    <w:bottom w:val="none" w:sz="0" w:space="0" w:color="auto"/>
                    <w:right w:val="none" w:sz="0" w:space="0" w:color="auto"/>
                  </w:divBdr>
                  <w:divsChild>
                    <w:div w:id="19299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475684">
      <w:bodyDiv w:val="1"/>
      <w:marLeft w:val="0"/>
      <w:marRight w:val="0"/>
      <w:marTop w:val="0"/>
      <w:marBottom w:val="0"/>
      <w:divBdr>
        <w:top w:val="none" w:sz="0" w:space="0" w:color="auto"/>
        <w:left w:val="none" w:sz="0" w:space="0" w:color="auto"/>
        <w:bottom w:val="none" w:sz="0" w:space="0" w:color="auto"/>
        <w:right w:val="none" w:sz="0" w:space="0" w:color="auto"/>
      </w:divBdr>
      <w:divsChild>
        <w:div w:id="954141810">
          <w:marLeft w:val="0"/>
          <w:marRight w:val="0"/>
          <w:marTop w:val="0"/>
          <w:marBottom w:val="0"/>
          <w:divBdr>
            <w:top w:val="none" w:sz="0" w:space="0" w:color="auto"/>
            <w:left w:val="none" w:sz="0" w:space="0" w:color="auto"/>
            <w:bottom w:val="none" w:sz="0" w:space="0" w:color="auto"/>
            <w:right w:val="none" w:sz="0" w:space="0" w:color="auto"/>
          </w:divBdr>
          <w:divsChild>
            <w:div w:id="1337659805">
              <w:marLeft w:val="0"/>
              <w:marRight w:val="0"/>
              <w:marTop w:val="0"/>
              <w:marBottom w:val="0"/>
              <w:divBdr>
                <w:top w:val="none" w:sz="0" w:space="0" w:color="auto"/>
                <w:left w:val="none" w:sz="0" w:space="0" w:color="auto"/>
                <w:bottom w:val="none" w:sz="0" w:space="0" w:color="auto"/>
                <w:right w:val="none" w:sz="0" w:space="0" w:color="auto"/>
              </w:divBdr>
              <w:divsChild>
                <w:div w:id="9473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023836">
      <w:bodyDiv w:val="1"/>
      <w:marLeft w:val="0"/>
      <w:marRight w:val="0"/>
      <w:marTop w:val="0"/>
      <w:marBottom w:val="0"/>
      <w:divBdr>
        <w:top w:val="none" w:sz="0" w:space="0" w:color="auto"/>
        <w:left w:val="none" w:sz="0" w:space="0" w:color="auto"/>
        <w:bottom w:val="none" w:sz="0" w:space="0" w:color="auto"/>
        <w:right w:val="none" w:sz="0" w:space="0" w:color="auto"/>
      </w:divBdr>
    </w:div>
    <w:div w:id="220092143">
      <w:bodyDiv w:val="1"/>
      <w:marLeft w:val="0"/>
      <w:marRight w:val="0"/>
      <w:marTop w:val="0"/>
      <w:marBottom w:val="0"/>
      <w:divBdr>
        <w:top w:val="none" w:sz="0" w:space="0" w:color="auto"/>
        <w:left w:val="none" w:sz="0" w:space="0" w:color="auto"/>
        <w:bottom w:val="none" w:sz="0" w:space="0" w:color="auto"/>
        <w:right w:val="none" w:sz="0" w:space="0" w:color="auto"/>
      </w:divBdr>
      <w:divsChild>
        <w:div w:id="1222521947">
          <w:marLeft w:val="0"/>
          <w:marRight w:val="0"/>
          <w:marTop w:val="0"/>
          <w:marBottom w:val="0"/>
          <w:divBdr>
            <w:top w:val="none" w:sz="0" w:space="0" w:color="auto"/>
            <w:left w:val="none" w:sz="0" w:space="0" w:color="auto"/>
            <w:bottom w:val="none" w:sz="0" w:space="0" w:color="auto"/>
            <w:right w:val="none" w:sz="0" w:space="0" w:color="auto"/>
          </w:divBdr>
          <w:divsChild>
            <w:div w:id="1122651960">
              <w:marLeft w:val="0"/>
              <w:marRight w:val="0"/>
              <w:marTop w:val="0"/>
              <w:marBottom w:val="0"/>
              <w:divBdr>
                <w:top w:val="none" w:sz="0" w:space="0" w:color="auto"/>
                <w:left w:val="none" w:sz="0" w:space="0" w:color="auto"/>
                <w:bottom w:val="none" w:sz="0" w:space="0" w:color="auto"/>
                <w:right w:val="none" w:sz="0" w:space="0" w:color="auto"/>
              </w:divBdr>
              <w:divsChild>
                <w:div w:id="68448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24394">
      <w:bodyDiv w:val="1"/>
      <w:marLeft w:val="0"/>
      <w:marRight w:val="0"/>
      <w:marTop w:val="0"/>
      <w:marBottom w:val="0"/>
      <w:divBdr>
        <w:top w:val="none" w:sz="0" w:space="0" w:color="auto"/>
        <w:left w:val="none" w:sz="0" w:space="0" w:color="auto"/>
        <w:bottom w:val="none" w:sz="0" w:space="0" w:color="auto"/>
        <w:right w:val="none" w:sz="0" w:space="0" w:color="auto"/>
      </w:divBdr>
      <w:divsChild>
        <w:div w:id="29496065">
          <w:marLeft w:val="0"/>
          <w:marRight w:val="0"/>
          <w:marTop w:val="0"/>
          <w:marBottom w:val="0"/>
          <w:divBdr>
            <w:top w:val="none" w:sz="0" w:space="0" w:color="auto"/>
            <w:left w:val="none" w:sz="0" w:space="0" w:color="auto"/>
            <w:bottom w:val="none" w:sz="0" w:space="0" w:color="auto"/>
            <w:right w:val="none" w:sz="0" w:space="0" w:color="auto"/>
          </w:divBdr>
          <w:divsChild>
            <w:div w:id="1422333043">
              <w:marLeft w:val="0"/>
              <w:marRight w:val="0"/>
              <w:marTop w:val="0"/>
              <w:marBottom w:val="0"/>
              <w:divBdr>
                <w:top w:val="none" w:sz="0" w:space="0" w:color="auto"/>
                <w:left w:val="none" w:sz="0" w:space="0" w:color="auto"/>
                <w:bottom w:val="none" w:sz="0" w:space="0" w:color="auto"/>
                <w:right w:val="none" w:sz="0" w:space="0" w:color="auto"/>
              </w:divBdr>
              <w:divsChild>
                <w:div w:id="84301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355977">
      <w:bodyDiv w:val="1"/>
      <w:marLeft w:val="0"/>
      <w:marRight w:val="0"/>
      <w:marTop w:val="0"/>
      <w:marBottom w:val="0"/>
      <w:divBdr>
        <w:top w:val="none" w:sz="0" w:space="0" w:color="auto"/>
        <w:left w:val="none" w:sz="0" w:space="0" w:color="auto"/>
        <w:bottom w:val="none" w:sz="0" w:space="0" w:color="auto"/>
        <w:right w:val="none" w:sz="0" w:space="0" w:color="auto"/>
      </w:divBdr>
      <w:divsChild>
        <w:div w:id="550964842">
          <w:marLeft w:val="0"/>
          <w:marRight w:val="0"/>
          <w:marTop w:val="0"/>
          <w:marBottom w:val="0"/>
          <w:divBdr>
            <w:top w:val="none" w:sz="0" w:space="0" w:color="auto"/>
            <w:left w:val="none" w:sz="0" w:space="0" w:color="auto"/>
            <w:bottom w:val="none" w:sz="0" w:space="0" w:color="auto"/>
            <w:right w:val="none" w:sz="0" w:space="0" w:color="auto"/>
          </w:divBdr>
          <w:divsChild>
            <w:div w:id="671688911">
              <w:marLeft w:val="0"/>
              <w:marRight w:val="0"/>
              <w:marTop w:val="0"/>
              <w:marBottom w:val="0"/>
              <w:divBdr>
                <w:top w:val="none" w:sz="0" w:space="0" w:color="auto"/>
                <w:left w:val="none" w:sz="0" w:space="0" w:color="auto"/>
                <w:bottom w:val="none" w:sz="0" w:space="0" w:color="auto"/>
                <w:right w:val="none" w:sz="0" w:space="0" w:color="auto"/>
              </w:divBdr>
              <w:divsChild>
                <w:div w:id="12962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539198">
      <w:bodyDiv w:val="1"/>
      <w:marLeft w:val="0"/>
      <w:marRight w:val="0"/>
      <w:marTop w:val="0"/>
      <w:marBottom w:val="0"/>
      <w:divBdr>
        <w:top w:val="none" w:sz="0" w:space="0" w:color="auto"/>
        <w:left w:val="none" w:sz="0" w:space="0" w:color="auto"/>
        <w:bottom w:val="none" w:sz="0" w:space="0" w:color="auto"/>
        <w:right w:val="none" w:sz="0" w:space="0" w:color="auto"/>
      </w:divBdr>
      <w:divsChild>
        <w:div w:id="337926584">
          <w:marLeft w:val="0"/>
          <w:marRight w:val="0"/>
          <w:marTop w:val="0"/>
          <w:marBottom w:val="0"/>
          <w:divBdr>
            <w:top w:val="none" w:sz="0" w:space="0" w:color="auto"/>
            <w:left w:val="none" w:sz="0" w:space="0" w:color="auto"/>
            <w:bottom w:val="none" w:sz="0" w:space="0" w:color="auto"/>
            <w:right w:val="none" w:sz="0" w:space="0" w:color="auto"/>
          </w:divBdr>
          <w:divsChild>
            <w:div w:id="430398487">
              <w:marLeft w:val="0"/>
              <w:marRight w:val="0"/>
              <w:marTop w:val="0"/>
              <w:marBottom w:val="0"/>
              <w:divBdr>
                <w:top w:val="none" w:sz="0" w:space="0" w:color="auto"/>
                <w:left w:val="none" w:sz="0" w:space="0" w:color="auto"/>
                <w:bottom w:val="none" w:sz="0" w:space="0" w:color="auto"/>
                <w:right w:val="none" w:sz="0" w:space="0" w:color="auto"/>
              </w:divBdr>
              <w:divsChild>
                <w:div w:id="61271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74471">
      <w:bodyDiv w:val="1"/>
      <w:marLeft w:val="0"/>
      <w:marRight w:val="0"/>
      <w:marTop w:val="0"/>
      <w:marBottom w:val="0"/>
      <w:divBdr>
        <w:top w:val="none" w:sz="0" w:space="0" w:color="auto"/>
        <w:left w:val="none" w:sz="0" w:space="0" w:color="auto"/>
        <w:bottom w:val="none" w:sz="0" w:space="0" w:color="auto"/>
        <w:right w:val="none" w:sz="0" w:space="0" w:color="auto"/>
      </w:divBdr>
      <w:divsChild>
        <w:div w:id="1567447497">
          <w:marLeft w:val="0"/>
          <w:marRight w:val="0"/>
          <w:marTop w:val="0"/>
          <w:marBottom w:val="0"/>
          <w:divBdr>
            <w:top w:val="none" w:sz="0" w:space="0" w:color="auto"/>
            <w:left w:val="none" w:sz="0" w:space="0" w:color="auto"/>
            <w:bottom w:val="none" w:sz="0" w:space="0" w:color="auto"/>
            <w:right w:val="none" w:sz="0" w:space="0" w:color="auto"/>
          </w:divBdr>
          <w:divsChild>
            <w:div w:id="1331519223">
              <w:marLeft w:val="0"/>
              <w:marRight w:val="0"/>
              <w:marTop w:val="0"/>
              <w:marBottom w:val="0"/>
              <w:divBdr>
                <w:top w:val="none" w:sz="0" w:space="0" w:color="auto"/>
                <w:left w:val="none" w:sz="0" w:space="0" w:color="auto"/>
                <w:bottom w:val="none" w:sz="0" w:space="0" w:color="auto"/>
                <w:right w:val="none" w:sz="0" w:space="0" w:color="auto"/>
              </w:divBdr>
              <w:divsChild>
                <w:div w:id="1619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9274">
      <w:bodyDiv w:val="1"/>
      <w:marLeft w:val="0"/>
      <w:marRight w:val="0"/>
      <w:marTop w:val="0"/>
      <w:marBottom w:val="0"/>
      <w:divBdr>
        <w:top w:val="none" w:sz="0" w:space="0" w:color="auto"/>
        <w:left w:val="none" w:sz="0" w:space="0" w:color="auto"/>
        <w:bottom w:val="none" w:sz="0" w:space="0" w:color="auto"/>
        <w:right w:val="none" w:sz="0" w:space="0" w:color="auto"/>
      </w:divBdr>
      <w:divsChild>
        <w:div w:id="205870230">
          <w:marLeft w:val="0"/>
          <w:marRight w:val="0"/>
          <w:marTop w:val="0"/>
          <w:marBottom w:val="0"/>
          <w:divBdr>
            <w:top w:val="none" w:sz="0" w:space="0" w:color="auto"/>
            <w:left w:val="none" w:sz="0" w:space="0" w:color="auto"/>
            <w:bottom w:val="none" w:sz="0" w:space="0" w:color="auto"/>
            <w:right w:val="none" w:sz="0" w:space="0" w:color="auto"/>
          </w:divBdr>
          <w:divsChild>
            <w:div w:id="135148731">
              <w:marLeft w:val="0"/>
              <w:marRight w:val="0"/>
              <w:marTop w:val="0"/>
              <w:marBottom w:val="0"/>
              <w:divBdr>
                <w:top w:val="none" w:sz="0" w:space="0" w:color="auto"/>
                <w:left w:val="none" w:sz="0" w:space="0" w:color="auto"/>
                <w:bottom w:val="none" w:sz="0" w:space="0" w:color="auto"/>
                <w:right w:val="none" w:sz="0" w:space="0" w:color="auto"/>
              </w:divBdr>
              <w:divsChild>
                <w:div w:id="143258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51274">
      <w:bodyDiv w:val="1"/>
      <w:marLeft w:val="0"/>
      <w:marRight w:val="0"/>
      <w:marTop w:val="0"/>
      <w:marBottom w:val="0"/>
      <w:divBdr>
        <w:top w:val="none" w:sz="0" w:space="0" w:color="auto"/>
        <w:left w:val="none" w:sz="0" w:space="0" w:color="auto"/>
        <w:bottom w:val="none" w:sz="0" w:space="0" w:color="auto"/>
        <w:right w:val="none" w:sz="0" w:space="0" w:color="auto"/>
      </w:divBdr>
      <w:divsChild>
        <w:div w:id="848251896">
          <w:marLeft w:val="0"/>
          <w:marRight w:val="0"/>
          <w:marTop w:val="0"/>
          <w:marBottom w:val="0"/>
          <w:divBdr>
            <w:top w:val="none" w:sz="0" w:space="0" w:color="auto"/>
            <w:left w:val="none" w:sz="0" w:space="0" w:color="auto"/>
            <w:bottom w:val="none" w:sz="0" w:space="0" w:color="auto"/>
            <w:right w:val="none" w:sz="0" w:space="0" w:color="auto"/>
          </w:divBdr>
          <w:divsChild>
            <w:div w:id="1671131922">
              <w:marLeft w:val="0"/>
              <w:marRight w:val="0"/>
              <w:marTop w:val="0"/>
              <w:marBottom w:val="0"/>
              <w:divBdr>
                <w:top w:val="none" w:sz="0" w:space="0" w:color="auto"/>
                <w:left w:val="none" w:sz="0" w:space="0" w:color="auto"/>
                <w:bottom w:val="none" w:sz="0" w:space="0" w:color="auto"/>
                <w:right w:val="none" w:sz="0" w:space="0" w:color="auto"/>
              </w:divBdr>
              <w:divsChild>
                <w:div w:id="459962936">
                  <w:marLeft w:val="0"/>
                  <w:marRight w:val="0"/>
                  <w:marTop w:val="0"/>
                  <w:marBottom w:val="0"/>
                  <w:divBdr>
                    <w:top w:val="none" w:sz="0" w:space="0" w:color="auto"/>
                    <w:left w:val="none" w:sz="0" w:space="0" w:color="auto"/>
                    <w:bottom w:val="none" w:sz="0" w:space="0" w:color="auto"/>
                    <w:right w:val="none" w:sz="0" w:space="0" w:color="auto"/>
                  </w:divBdr>
                  <w:divsChild>
                    <w:div w:id="1505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780626">
      <w:bodyDiv w:val="1"/>
      <w:marLeft w:val="0"/>
      <w:marRight w:val="0"/>
      <w:marTop w:val="0"/>
      <w:marBottom w:val="0"/>
      <w:divBdr>
        <w:top w:val="none" w:sz="0" w:space="0" w:color="auto"/>
        <w:left w:val="none" w:sz="0" w:space="0" w:color="auto"/>
        <w:bottom w:val="none" w:sz="0" w:space="0" w:color="auto"/>
        <w:right w:val="none" w:sz="0" w:space="0" w:color="auto"/>
      </w:divBdr>
      <w:divsChild>
        <w:div w:id="1536886097">
          <w:marLeft w:val="0"/>
          <w:marRight w:val="0"/>
          <w:marTop w:val="0"/>
          <w:marBottom w:val="0"/>
          <w:divBdr>
            <w:top w:val="none" w:sz="0" w:space="0" w:color="auto"/>
            <w:left w:val="none" w:sz="0" w:space="0" w:color="auto"/>
            <w:bottom w:val="none" w:sz="0" w:space="0" w:color="auto"/>
            <w:right w:val="none" w:sz="0" w:space="0" w:color="auto"/>
          </w:divBdr>
          <w:divsChild>
            <w:div w:id="185564264">
              <w:marLeft w:val="0"/>
              <w:marRight w:val="0"/>
              <w:marTop w:val="0"/>
              <w:marBottom w:val="0"/>
              <w:divBdr>
                <w:top w:val="none" w:sz="0" w:space="0" w:color="auto"/>
                <w:left w:val="none" w:sz="0" w:space="0" w:color="auto"/>
                <w:bottom w:val="none" w:sz="0" w:space="0" w:color="auto"/>
                <w:right w:val="none" w:sz="0" w:space="0" w:color="auto"/>
              </w:divBdr>
              <w:divsChild>
                <w:div w:id="10712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25658">
      <w:bodyDiv w:val="1"/>
      <w:marLeft w:val="0"/>
      <w:marRight w:val="0"/>
      <w:marTop w:val="0"/>
      <w:marBottom w:val="0"/>
      <w:divBdr>
        <w:top w:val="none" w:sz="0" w:space="0" w:color="auto"/>
        <w:left w:val="none" w:sz="0" w:space="0" w:color="auto"/>
        <w:bottom w:val="none" w:sz="0" w:space="0" w:color="auto"/>
        <w:right w:val="none" w:sz="0" w:space="0" w:color="auto"/>
      </w:divBdr>
    </w:div>
    <w:div w:id="253126936">
      <w:bodyDiv w:val="1"/>
      <w:marLeft w:val="0"/>
      <w:marRight w:val="0"/>
      <w:marTop w:val="0"/>
      <w:marBottom w:val="0"/>
      <w:divBdr>
        <w:top w:val="none" w:sz="0" w:space="0" w:color="auto"/>
        <w:left w:val="none" w:sz="0" w:space="0" w:color="auto"/>
        <w:bottom w:val="none" w:sz="0" w:space="0" w:color="auto"/>
        <w:right w:val="none" w:sz="0" w:space="0" w:color="auto"/>
      </w:divBdr>
      <w:divsChild>
        <w:div w:id="1831290378">
          <w:marLeft w:val="0"/>
          <w:marRight w:val="0"/>
          <w:marTop w:val="0"/>
          <w:marBottom w:val="0"/>
          <w:divBdr>
            <w:top w:val="none" w:sz="0" w:space="0" w:color="auto"/>
            <w:left w:val="none" w:sz="0" w:space="0" w:color="auto"/>
            <w:bottom w:val="none" w:sz="0" w:space="0" w:color="auto"/>
            <w:right w:val="none" w:sz="0" w:space="0" w:color="auto"/>
          </w:divBdr>
          <w:divsChild>
            <w:div w:id="422654489">
              <w:marLeft w:val="0"/>
              <w:marRight w:val="0"/>
              <w:marTop w:val="0"/>
              <w:marBottom w:val="0"/>
              <w:divBdr>
                <w:top w:val="none" w:sz="0" w:space="0" w:color="auto"/>
                <w:left w:val="none" w:sz="0" w:space="0" w:color="auto"/>
                <w:bottom w:val="none" w:sz="0" w:space="0" w:color="auto"/>
                <w:right w:val="none" w:sz="0" w:space="0" w:color="auto"/>
              </w:divBdr>
              <w:divsChild>
                <w:div w:id="93382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84499">
      <w:bodyDiv w:val="1"/>
      <w:marLeft w:val="0"/>
      <w:marRight w:val="0"/>
      <w:marTop w:val="0"/>
      <w:marBottom w:val="0"/>
      <w:divBdr>
        <w:top w:val="none" w:sz="0" w:space="0" w:color="auto"/>
        <w:left w:val="none" w:sz="0" w:space="0" w:color="auto"/>
        <w:bottom w:val="none" w:sz="0" w:space="0" w:color="auto"/>
        <w:right w:val="none" w:sz="0" w:space="0" w:color="auto"/>
      </w:divBdr>
      <w:divsChild>
        <w:div w:id="955405201">
          <w:marLeft w:val="0"/>
          <w:marRight w:val="0"/>
          <w:marTop w:val="0"/>
          <w:marBottom w:val="0"/>
          <w:divBdr>
            <w:top w:val="none" w:sz="0" w:space="0" w:color="auto"/>
            <w:left w:val="none" w:sz="0" w:space="0" w:color="auto"/>
            <w:bottom w:val="none" w:sz="0" w:space="0" w:color="auto"/>
            <w:right w:val="none" w:sz="0" w:space="0" w:color="auto"/>
          </w:divBdr>
          <w:divsChild>
            <w:div w:id="1908413940">
              <w:marLeft w:val="0"/>
              <w:marRight w:val="0"/>
              <w:marTop w:val="0"/>
              <w:marBottom w:val="0"/>
              <w:divBdr>
                <w:top w:val="none" w:sz="0" w:space="0" w:color="auto"/>
                <w:left w:val="none" w:sz="0" w:space="0" w:color="auto"/>
                <w:bottom w:val="none" w:sz="0" w:space="0" w:color="auto"/>
                <w:right w:val="none" w:sz="0" w:space="0" w:color="auto"/>
              </w:divBdr>
              <w:divsChild>
                <w:div w:id="95062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05833">
      <w:bodyDiv w:val="1"/>
      <w:marLeft w:val="0"/>
      <w:marRight w:val="0"/>
      <w:marTop w:val="0"/>
      <w:marBottom w:val="0"/>
      <w:divBdr>
        <w:top w:val="none" w:sz="0" w:space="0" w:color="auto"/>
        <w:left w:val="none" w:sz="0" w:space="0" w:color="auto"/>
        <w:bottom w:val="none" w:sz="0" w:space="0" w:color="auto"/>
        <w:right w:val="none" w:sz="0" w:space="0" w:color="auto"/>
      </w:divBdr>
      <w:divsChild>
        <w:div w:id="1514807372">
          <w:marLeft w:val="0"/>
          <w:marRight w:val="0"/>
          <w:marTop w:val="0"/>
          <w:marBottom w:val="0"/>
          <w:divBdr>
            <w:top w:val="none" w:sz="0" w:space="0" w:color="auto"/>
            <w:left w:val="none" w:sz="0" w:space="0" w:color="auto"/>
            <w:bottom w:val="none" w:sz="0" w:space="0" w:color="auto"/>
            <w:right w:val="none" w:sz="0" w:space="0" w:color="auto"/>
          </w:divBdr>
          <w:divsChild>
            <w:div w:id="1848060169">
              <w:marLeft w:val="0"/>
              <w:marRight w:val="0"/>
              <w:marTop w:val="0"/>
              <w:marBottom w:val="0"/>
              <w:divBdr>
                <w:top w:val="none" w:sz="0" w:space="0" w:color="auto"/>
                <w:left w:val="none" w:sz="0" w:space="0" w:color="auto"/>
                <w:bottom w:val="none" w:sz="0" w:space="0" w:color="auto"/>
                <w:right w:val="none" w:sz="0" w:space="0" w:color="auto"/>
              </w:divBdr>
              <w:divsChild>
                <w:div w:id="12399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10711">
      <w:bodyDiv w:val="1"/>
      <w:marLeft w:val="0"/>
      <w:marRight w:val="0"/>
      <w:marTop w:val="0"/>
      <w:marBottom w:val="0"/>
      <w:divBdr>
        <w:top w:val="none" w:sz="0" w:space="0" w:color="auto"/>
        <w:left w:val="none" w:sz="0" w:space="0" w:color="auto"/>
        <w:bottom w:val="none" w:sz="0" w:space="0" w:color="auto"/>
        <w:right w:val="none" w:sz="0" w:space="0" w:color="auto"/>
      </w:divBdr>
      <w:divsChild>
        <w:div w:id="991757990">
          <w:marLeft w:val="0"/>
          <w:marRight w:val="0"/>
          <w:marTop w:val="0"/>
          <w:marBottom w:val="0"/>
          <w:divBdr>
            <w:top w:val="none" w:sz="0" w:space="0" w:color="auto"/>
            <w:left w:val="none" w:sz="0" w:space="0" w:color="auto"/>
            <w:bottom w:val="none" w:sz="0" w:space="0" w:color="auto"/>
            <w:right w:val="none" w:sz="0" w:space="0" w:color="auto"/>
          </w:divBdr>
          <w:divsChild>
            <w:div w:id="805587524">
              <w:marLeft w:val="0"/>
              <w:marRight w:val="0"/>
              <w:marTop w:val="0"/>
              <w:marBottom w:val="0"/>
              <w:divBdr>
                <w:top w:val="none" w:sz="0" w:space="0" w:color="auto"/>
                <w:left w:val="none" w:sz="0" w:space="0" w:color="auto"/>
                <w:bottom w:val="none" w:sz="0" w:space="0" w:color="auto"/>
                <w:right w:val="none" w:sz="0" w:space="0" w:color="auto"/>
              </w:divBdr>
              <w:divsChild>
                <w:div w:id="20128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197974">
      <w:bodyDiv w:val="1"/>
      <w:marLeft w:val="0"/>
      <w:marRight w:val="0"/>
      <w:marTop w:val="0"/>
      <w:marBottom w:val="0"/>
      <w:divBdr>
        <w:top w:val="none" w:sz="0" w:space="0" w:color="auto"/>
        <w:left w:val="none" w:sz="0" w:space="0" w:color="auto"/>
        <w:bottom w:val="none" w:sz="0" w:space="0" w:color="auto"/>
        <w:right w:val="none" w:sz="0" w:space="0" w:color="auto"/>
      </w:divBdr>
      <w:divsChild>
        <w:div w:id="1836453249">
          <w:marLeft w:val="0"/>
          <w:marRight w:val="0"/>
          <w:marTop w:val="0"/>
          <w:marBottom w:val="0"/>
          <w:divBdr>
            <w:top w:val="none" w:sz="0" w:space="0" w:color="auto"/>
            <w:left w:val="none" w:sz="0" w:space="0" w:color="auto"/>
            <w:bottom w:val="none" w:sz="0" w:space="0" w:color="auto"/>
            <w:right w:val="none" w:sz="0" w:space="0" w:color="auto"/>
          </w:divBdr>
          <w:divsChild>
            <w:div w:id="1011100898">
              <w:marLeft w:val="0"/>
              <w:marRight w:val="0"/>
              <w:marTop w:val="0"/>
              <w:marBottom w:val="0"/>
              <w:divBdr>
                <w:top w:val="none" w:sz="0" w:space="0" w:color="auto"/>
                <w:left w:val="none" w:sz="0" w:space="0" w:color="auto"/>
                <w:bottom w:val="none" w:sz="0" w:space="0" w:color="auto"/>
                <w:right w:val="none" w:sz="0" w:space="0" w:color="auto"/>
              </w:divBdr>
              <w:divsChild>
                <w:div w:id="659162387">
                  <w:marLeft w:val="0"/>
                  <w:marRight w:val="0"/>
                  <w:marTop w:val="0"/>
                  <w:marBottom w:val="0"/>
                  <w:divBdr>
                    <w:top w:val="none" w:sz="0" w:space="0" w:color="auto"/>
                    <w:left w:val="none" w:sz="0" w:space="0" w:color="auto"/>
                    <w:bottom w:val="none" w:sz="0" w:space="0" w:color="auto"/>
                    <w:right w:val="none" w:sz="0" w:space="0" w:color="auto"/>
                  </w:divBdr>
                </w:div>
              </w:divsChild>
            </w:div>
            <w:div w:id="1109082269">
              <w:marLeft w:val="0"/>
              <w:marRight w:val="0"/>
              <w:marTop w:val="0"/>
              <w:marBottom w:val="0"/>
              <w:divBdr>
                <w:top w:val="none" w:sz="0" w:space="0" w:color="auto"/>
                <w:left w:val="none" w:sz="0" w:space="0" w:color="auto"/>
                <w:bottom w:val="none" w:sz="0" w:space="0" w:color="auto"/>
                <w:right w:val="none" w:sz="0" w:space="0" w:color="auto"/>
              </w:divBdr>
              <w:divsChild>
                <w:div w:id="1101337580">
                  <w:marLeft w:val="0"/>
                  <w:marRight w:val="0"/>
                  <w:marTop w:val="0"/>
                  <w:marBottom w:val="0"/>
                  <w:divBdr>
                    <w:top w:val="none" w:sz="0" w:space="0" w:color="auto"/>
                    <w:left w:val="none" w:sz="0" w:space="0" w:color="auto"/>
                    <w:bottom w:val="none" w:sz="0" w:space="0" w:color="auto"/>
                    <w:right w:val="none" w:sz="0" w:space="0" w:color="auto"/>
                  </w:divBdr>
                </w:div>
              </w:divsChild>
            </w:div>
            <w:div w:id="1468009728">
              <w:marLeft w:val="0"/>
              <w:marRight w:val="0"/>
              <w:marTop w:val="0"/>
              <w:marBottom w:val="0"/>
              <w:divBdr>
                <w:top w:val="none" w:sz="0" w:space="0" w:color="auto"/>
                <w:left w:val="none" w:sz="0" w:space="0" w:color="auto"/>
                <w:bottom w:val="none" w:sz="0" w:space="0" w:color="auto"/>
                <w:right w:val="none" w:sz="0" w:space="0" w:color="auto"/>
              </w:divBdr>
              <w:divsChild>
                <w:div w:id="21429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85605">
      <w:bodyDiv w:val="1"/>
      <w:marLeft w:val="0"/>
      <w:marRight w:val="0"/>
      <w:marTop w:val="0"/>
      <w:marBottom w:val="0"/>
      <w:divBdr>
        <w:top w:val="none" w:sz="0" w:space="0" w:color="auto"/>
        <w:left w:val="none" w:sz="0" w:space="0" w:color="auto"/>
        <w:bottom w:val="none" w:sz="0" w:space="0" w:color="auto"/>
        <w:right w:val="none" w:sz="0" w:space="0" w:color="auto"/>
      </w:divBdr>
      <w:divsChild>
        <w:div w:id="190649786">
          <w:marLeft w:val="0"/>
          <w:marRight w:val="0"/>
          <w:marTop w:val="0"/>
          <w:marBottom w:val="0"/>
          <w:divBdr>
            <w:top w:val="none" w:sz="0" w:space="0" w:color="auto"/>
            <w:left w:val="none" w:sz="0" w:space="0" w:color="auto"/>
            <w:bottom w:val="none" w:sz="0" w:space="0" w:color="auto"/>
            <w:right w:val="none" w:sz="0" w:space="0" w:color="auto"/>
          </w:divBdr>
          <w:divsChild>
            <w:div w:id="1461267503">
              <w:marLeft w:val="0"/>
              <w:marRight w:val="0"/>
              <w:marTop w:val="0"/>
              <w:marBottom w:val="0"/>
              <w:divBdr>
                <w:top w:val="none" w:sz="0" w:space="0" w:color="auto"/>
                <w:left w:val="none" w:sz="0" w:space="0" w:color="auto"/>
                <w:bottom w:val="none" w:sz="0" w:space="0" w:color="auto"/>
                <w:right w:val="none" w:sz="0" w:space="0" w:color="auto"/>
              </w:divBdr>
              <w:divsChild>
                <w:div w:id="19794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2920">
      <w:bodyDiv w:val="1"/>
      <w:marLeft w:val="0"/>
      <w:marRight w:val="0"/>
      <w:marTop w:val="0"/>
      <w:marBottom w:val="0"/>
      <w:divBdr>
        <w:top w:val="none" w:sz="0" w:space="0" w:color="auto"/>
        <w:left w:val="none" w:sz="0" w:space="0" w:color="auto"/>
        <w:bottom w:val="none" w:sz="0" w:space="0" w:color="auto"/>
        <w:right w:val="none" w:sz="0" w:space="0" w:color="auto"/>
      </w:divBdr>
      <w:divsChild>
        <w:div w:id="715084556">
          <w:marLeft w:val="0"/>
          <w:marRight w:val="0"/>
          <w:marTop w:val="0"/>
          <w:marBottom w:val="0"/>
          <w:divBdr>
            <w:top w:val="none" w:sz="0" w:space="0" w:color="auto"/>
            <w:left w:val="none" w:sz="0" w:space="0" w:color="auto"/>
            <w:bottom w:val="none" w:sz="0" w:space="0" w:color="auto"/>
            <w:right w:val="none" w:sz="0" w:space="0" w:color="auto"/>
          </w:divBdr>
          <w:divsChild>
            <w:div w:id="1039935819">
              <w:marLeft w:val="0"/>
              <w:marRight w:val="0"/>
              <w:marTop w:val="0"/>
              <w:marBottom w:val="0"/>
              <w:divBdr>
                <w:top w:val="none" w:sz="0" w:space="0" w:color="auto"/>
                <w:left w:val="none" w:sz="0" w:space="0" w:color="auto"/>
                <w:bottom w:val="none" w:sz="0" w:space="0" w:color="auto"/>
                <w:right w:val="none" w:sz="0" w:space="0" w:color="auto"/>
              </w:divBdr>
              <w:divsChild>
                <w:div w:id="1735280330">
                  <w:marLeft w:val="0"/>
                  <w:marRight w:val="0"/>
                  <w:marTop w:val="0"/>
                  <w:marBottom w:val="0"/>
                  <w:divBdr>
                    <w:top w:val="none" w:sz="0" w:space="0" w:color="auto"/>
                    <w:left w:val="none" w:sz="0" w:space="0" w:color="auto"/>
                    <w:bottom w:val="none" w:sz="0" w:space="0" w:color="auto"/>
                    <w:right w:val="none" w:sz="0" w:space="0" w:color="auto"/>
                  </w:divBdr>
                  <w:divsChild>
                    <w:div w:id="13009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414344">
      <w:bodyDiv w:val="1"/>
      <w:marLeft w:val="0"/>
      <w:marRight w:val="0"/>
      <w:marTop w:val="0"/>
      <w:marBottom w:val="0"/>
      <w:divBdr>
        <w:top w:val="none" w:sz="0" w:space="0" w:color="auto"/>
        <w:left w:val="none" w:sz="0" w:space="0" w:color="auto"/>
        <w:bottom w:val="none" w:sz="0" w:space="0" w:color="auto"/>
        <w:right w:val="none" w:sz="0" w:space="0" w:color="auto"/>
      </w:divBdr>
      <w:divsChild>
        <w:div w:id="639575056">
          <w:marLeft w:val="0"/>
          <w:marRight w:val="0"/>
          <w:marTop w:val="0"/>
          <w:marBottom w:val="0"/>
          <w:divBdr>
            <w:top w:val="none" w:sz="0" w:space="0" w:color="auto"/>
            <w:left w:val="none" w:sz="0" w:space="0" w:color="auto"/>
            <w:bottom w:val="none" w:sz="0" w:space="0" w:color="auto"/>
            <w:right w:val="none" w:sz="0" w:space="0" w:color="auto"/>
          </w:divBdr>
          <w:divsChild>
            <w:div w:id="1404528982">
              <w:marLeft w:val="0"/>
              <w:marRight w:val="0"/>
              <w:marTop w:val="0"/>
              <w:marBottom w:val="0"/>
              <w:divBdr>
                <w:top w:val="none" w:sz="0" w:space="0" w:color="auto"/>
                <w:left w:val="none" w:sz="0" w:space="0" w:color="auto"/>
                <w:bottom w:val="none" w:sz="0" w:space="0" w:color="auto"/>
                <w:right w:val="none" w:sz="0" w:space="0" w:color="auto"/>
              </w:divBdr>
              <w:divsChild>
                <w:div w:id="27387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187848">
      <w:bodyDiv w:val="1"/>
      <w:marLeft w:val="0"/>
      <w:marRight w:val="0"/>
      <w:marTop w:val="0"/>
      <w:marBottom w:val="0"/>
      <w:divBdr>
        <w:top w:val="none" w:sz="0" w:space="0" w:color="auto"/>
        <w:left w:val="none" w:sz="0" w:space="0" w:color="auto"/>
        <w:bottom w:val="none" w:sz="0" w:space="0" w:color="auto"/>
        <w:right w:val="none" w:sz="0" w:space="0" w:color="auto"/>
      </w:divBdr>
    </w:div>
    <w:div w:id="283928282">
      <w:bodyDiv w:val="1"/>
      <w:marLeft w:val="0"/>
      <w:marRight w:val="0"/>
      <w:marTop w:val="0"/>
      <w:marBottom w:val="0"/>
      <w:divBdr>
        <w:top w:val="none" w:sz="0" w:space="0" w:color="auto"/>
        <w:left w:val="none" w:sz="0" w:space="0" w:color="auto"/>
        <w:bottom w:val="none" w:sz="0" w:space="0" w:color="auto"/>
        <w:right w:val="none" w:sz="0" w:space="0" w:color="auto"/>
      </w:divBdr>
      <w:divsChild>
        <w:div w:id="781875916">
          <w:marLeft w:val="0"/>
          <w:marRight w:val="0"/>
          <w:marTop w:val="0"/>
          <w:marBottom w:val="0"/>
          <w:divBdr>
            <w:top w:val="none" w:sz="0" w:space="0" w:color="auto"/>
            <w:left w:val="none" w:sz="0" w:space="0" w:color="auto"/>
            <w:bottom w:val="none" w:sz="0" w:space="0" w:color="auto"/>
            <w:right w:val="none" w:sz="0" w:space="0" w:color="auto"/>
          </w:divBdr>
          <w:divsChild>
            <w:div w:id="1216356936">
              <w:marLeft w:val="0"/>
              <w:marRight w:val="0"/>
              <w:marTop w:val="0"/>
              <w:marBottom w:val="0"/>
              <w:divBdr>
                <w:top w:val="none" w:sz="0" w:space="0" w:color="auto"/>
                <w:left w:val="none" w:sz="0" w:space="0" w:color="auto"/>
                <w:bottom w:val="none" w:sz="0" w:space="0" w:color="auto"/>
                <w:right w:val="none" w:sz="0" w:space="0" w:color="auto"/>
              </w:divBdr>
              <w:divsChild>
                <w:div w:id="392853444">
                  <w:marLeft w:val="0"/>
                  <w:marRight w:val="0"/>
                  <w:marTop w:val="0"/>
                  <w:marBottom w:val="0"/>
                  <w:divBdr>
                    <w:top w:val="none" w:sz="0" w:space="0" w:color="auto"/>
                    <w:left w:val="none" w:sz="0" w:space="0" w:color="auto"/>
                    <w:bottom w:val="none" w:sz="0" w:space="0" w:color="auto"/>
                    <w:right w:val="none" w:sz="0" w:space="0" w:color="auto"/>
                  </w:divBdr>
                  <w:divsChild>
                    <w:div w:id="9268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042560">
      <w:bodyDiv w:val="1"/>
      <w:marLeft w:val="0"/>
      <w:marRight w:val="0"/>
      <w:marTop w:val="0"/>
      <w:marBottom w:val="0"/>
      <w:divBdr>
        <w:top w:val="none" w:sz="0" w:space="0" w:color="auto"/>
        <w:left w:val="none" w:sz="0" w:space="0" w:color="auto"/>
        <w:bottom w:val="none" w:sz="0" w:space="0" w:color="auto"/>
        <w:right w:val="none" w:sz="0" w:space="0" w:color="auto"/>
      </w:divBdr>
      <w:divsChild>
        <w:div w:id="2088110541">
          <w:marLeft w:val="0"/>
          <w:marRight w:val="0"/>
          <w:marTop w:val="0"/>
          <w:marBottom w:val="0"/>
          <w:divBdr>
            <w:top w:val="none" w:sz="0" w:space="0" w:color="auto"/>
            <w:left w:val="none" w:sz="0" w:space="0" w:color="auto"/>
            <w:bottom w:val="none" w:sz="0" w:space="0" w:color="auto"/>
            <w:right w:val="none" w:sz="0" w:space="0" w:color="auto"/>
          </w:divBdr>
          <w:divsChild>
            <w:div w:id="312610223">
              <w:marLeft w:val="0"/>
              <w:marRight w:val="0"/>
              <w:marTop w:val="0"/>
              <w:marBottom w:val="0"/>
              <w:divBdr>
                <w:top w:val="none" w:sz="0" w:space="0" w:color="auto"/>
                <w:left w:val="none" w:sz="0" w:space="0" w:color="auto"/>
                <w:bottom w:val="none" w:sz="0" w:space="0" w:color="auto"/>
                <w:right w:val="none" w:sz="0" w:space="0" w:color="auto"/>
              </w:divBdr>
              <w:divsChild>
                <w:div w:id="87839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3898">
      <w:bodyDiv w:val="1"/>
      <w:marLeft w:val="0"/>
      <w:marRight w:val="0"/>
      <w:marTop w:val="0"/>
      <w:marBottom w:val="0"/>
      <w:divBdr>
        <w:top w:val="none" w:sz="0" w:space="0" w:color="auto"/>
        <w:left w:val="none" w:sz="0" w:space="0" w:color="auto"/>
        <w:bottom w:val="none" w:sz="0" w:space="0" w:color="auto"/>
        <w:right w:val="none" w:sz="0" w:space="0" w:color="auto"/>
      </w:divBdr>
      <w:divsChild>
        <w:div w:id="340277970">
          <w:marLeft w:val="0"/>
          <w:marRight w:val="0"/>
          <w:marTop w:val="0"/>
          <w:marBottom w:val="0"/>
          <w:divBdr>
            <w:top w:val="none" w:sz="0" w:space="0" w:color="auto"/>
            <w:left w:val="none" w:sz="0" w:space="0" w:color="auto"/>
            <w:bottom w:val="none" w:sz="0" w:space="0" w:color="auto"/>
            <w:right w:val="none" w:sz="0" w:space="0" w:color="auto"/>
          </w:divBdr>
        </w:div>
      </w:divsChild>
    </w:div>
    <w:div w:id="287588517">
      <w:bodyDiv w:val="1"/>
      <w:marLeft w:val="0"/>
      <w:marRight w:val="0"/>
      <w:marTop w:val="0"/>
      <w:marBottom w:val="0"/>
      <w:divBdr>
        <w:top w:val="none" w:sz="0" w:space="0" w:color="auto"/>
        <w:left w:val="none" w:sz="0" w:space="0" w:color="auto"/>
        <w:bottom w:val="none" w:sz="0" w:space="0" w:color="auto"/>
        <w:right w:val="none" w:sz="0" w:space="0" w:color="auto"/>
      </w:divBdr>
      <w:divsChild>
        <w:div w:id="1276139273">
          <w:marLeft w:val="0"/>
          <w:marRight w:val="0"/>
          <w:marTop w:val="0"/>
          <w:marBottom w:val="0"/>
          <w:divBdr>
            <w:top w:val="none" w:sz="0" w:space="0" w:color="auto"/>
            <w:left w:val="none" w:sz="0" w:space="0" w:color="auto"/>
            <w:bottom w:val="none" w:sz="0" w:space="0" w:color="auto"/>
            <w:right w:val="none" w:sz="0" w:space="0" w:color="auto"/>
          </w:divBdr>
          <w:divsChild>
            <w:div w:id="202906825">
              <w:marLeft w:val="0"/>
              <w:marRight w:val="0"/>
              <w:marTop w:val="0"/>
              <w:marBottom w:val="0"/>
              <w:divBdr>
                <w:top w:val="none" w:sz="0" w:space="0" w:color="auto"/>
                <w:left w:val="none" w:sz="0" w:space="0" w:color="auto"/>
                <w:bottom w:val="none" w:sz="0" w:space="0" w:color="auto"/>
                <w:right w:val="none" w:sz="0" w:space="0" w:color="auto"/>
              </w:divBdr>
              <w:divsChild>
                <w:div w:id="1849784619">
                  <w:marLeft w:val="0"/>
                  <w:marRight w:val="0"/>
                  <w:marTop w:val="0"/>
                  <w:marBottom w:val="0"/>
                  <w:divBdr>
                    <w:top w:val="none" w:sz="0" w:space="0" w:color="auto"/>
                    <w:left w:val="none" w:sz="0" w:space="0" w:color="auto"/>
                    <w:bottom w:val="none" w:sz="0" w:space="0" w:color="auto"/>
                    <w:right w:val="none" w:sz="0" w:space="0" w:color="auto"/>
                  </w:divBdr>
                  <w:divsChild>
                    <w:div w:id="84944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098682">
      <w:bodyDiv w:val="1"/>
      <w:marLeft w:val="0"/>
      <w:marRight w:val="0"/>
      <w:marTop w:val="0"/>
      <w:marBottom w:val="0"/>
      <w:divBdr>
        <w:top w:val="none" w:sz="0" w:space="0" w:color="auto"/>
        <w:left w:val="none" w:sz="0" w:space="0" w:color="auto"/>
        <w:bottom w:val="none" w:sz="0" w:space="0" w:color="auto"/>
        <w:right w:val="none" w:sz="0" w:space="0" w:color="auto"/>
      </w:divBdr>
      <w:divsChild>
        <w:div w:id="1938980686">
          <w:marLeft w:val="0"/>
          <w:marRight w:val="0"/>
          <w:marTop w:val="0"/>
          <w:marBottom w:val="0"/>
          <w:divBdr>
            <w:top w:val="none" w:sz="0" w:space="0" w:color="auto"/>
            <w:left w:val="none" w:sz="0" w:space="0" w:color="auto"/>
            <w:bottom w:val="none" w:sz="0" w:space="0" w:color="auto"/>
            <w:right w:val="none" w:sz="0" w:space="0" w:color="auto"/>
          </w:divBdr>
          <w:divsChild>
            <w:div w:id="1411007165">
              <w:marLeft w:val="0"/>
              <w:marRight w:val="0"/>
              <w:marTop w:val="0"/>
              <w:marBottom w:val="0"/>
              <w:divBdr>
                <w:top w:val="none" w:sz="0" w:space="0" w:color="auto"/>
                <w:left w:val="none" w:sz="0" w:space="0" w:color="auto"/>
                <w:bottom w:val="none" w:sz="0" w:space="0" w:color="auto"/>
                <w:right w:val="none" w:sz="0" w:space="0" w:color="auto"/>
              </w:divBdr>
              <w:divsChild>
                <w:div w:id="8883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246080">
      <w:bodyDiv w:val="1"/>
      <w:marLeft w:val="0"/>
      <w:marRight w:val="0"/>
      <w:marTop w:val="0"/>
      <w:marBottom w:val="0"/>
      <w:divBdr>
        <w:top w:val="none" w:sz="0" w:space="0" w:color="auto"/>
        <w:left w:val="none" w:sz="0" w:space="0" w:color="auto"/>
        <w:bottom w:val="none" w:sz="0" w:space="0" w:color="auto"/>
        <w:right w:val="none" w:sz="0" w:space="0" w:color="auto"/>
      </w:divBdr>
      <w:divsChild>
        <w:div w:id="1004818932">
          <w:marLeft w:val="0"/>
          <w:marRight w:val="0"/>
          <w:marTop w:val="0"/>
          <w:marBottom w:val="0"/>
          <w:divBdr>
            <w:top w:val="none" w:sz="0" w:space="0" w:color="auto"/>
            <w:left w:val="none" w:sz="0" w:space="0" w:color="auto"/>
            <w:bottom w:val="none" w:sz="0" w:space="0" w:color="auto"/>
            <w:right w:val="none" w:sz="0" w:space="0" w:color="auto"/>
          </w:divBdr>
          <w:divsChild>
            <w:div w:id="1772315603">
              <w:marLeft w:val="0"/>
              <w:marRight w:val="0"/>
              <w:marTop w:val="0"/>
              <w:marBottom w:val="0"/>
              <w:divBdr>
                <w:top w:val="none" w:sz="0" w:space="0" w:color="auto"/>
                <w:left w:val="none" w:sz="0" w:space="0" w:color="auto"/>
                <w:bottom w:val="none" w:sz="0" w:space="0" w:color="auto"/>
                <w:right w:val="none" w:sz="0" w:space="0" w:color="auto"/>
              </w:divBdr>
              <w:divsChild>
                <w:div w:id="20236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45488">
      <w:bodyDiv w:val="1"/>
      <w:marLeft w:val="0"/>
      <w:marRight w:val="0"/>
      <w:marTop w:val="0"/>
      <w:marBottom w:val="0"/>
      <w:divBdr>
        <w:top w:val="none" w:sz="0" w:space="0" w:color="auto"/>
        <w:left w:val="none" w:sz="0" w:space="0" w:color="auto"/>
        <w:bottom w:val="none" w:sz="0" w:space="0" w:color="auto"/>
        <w:right w:val="none" w:sz="0" w:space="0" w:color="auto"/>
      </w:divBdr>
      <w:divsChild>
        <w:div w:id="1331636994">
          <w:marLeft w:val="0"/>
          <w:marRight w:val="0"/>
          <w:marTop w:val="0"/>
          <w:marBottom w:val="0"/>
          <w:divBdr>
            <w:top w:val="none" w:sz="0" w:space="0" w:color="auto"/>
            <w:left w:val="none" w:sz="0" w:space="0" w:color="auto"/>
            <w:bottom w:val="none" w:sz="0" w:space="0" w:color="auto"/>
            <w:right w:val="none" w:sz="0" w:space="0" w:color="auto"/>
          </w:divBdr>
          <w:divsChild>
            <w:div w:id="122961643">
              <w:marLeft w:val="0"/>
              <w:marRight w:val="0"/>
              <w:marTop w:val="0"/>
              <w:marBottom w:val="0"/>
              <w:divBdr>
                <w:top w:val="none" w:sz="0" w:space="0" w:color="auto"/>
                <w:left w:val="none" w:sz="0" w:space="0" w:color="auto"/>
                <w:bottom w:val="none" w:sz="0" w:space="0" w:color="auto"/>
                <w:right w:val="none" w:sz="0" w:space="0" w:color="auto"/>
              </w:divBdr>
              <w:divsChild>
                <w:div w:id="10379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15685">
      <w:bodyDiv w:val="1"/>
      <w:marLeft w:val="0"/>
      <w:marRight w:val="0"/>
      <w:marTop w:val="0"/>
      <w:marBottom w:val="0"/>
      <w:divBdr>
        <w:top w:val="none" w:sz="0" w:space="0" w:color="auto"/>
        <w:left w:val="none" w:sz="0" w:space="0" w:color="auto"/>
        <w:bottom w:val="none" w:sz="0" w:space="0" w:color="auto"/>
        <w:right w:val="none" w:sz="0" w:space="0" w:color="auto"/>
      </w:divBdr>
      <w:divsChild>
        <w:div w:id="910890663">
          <w:marLeft w:val="0"/>
          <w:marRight w:val="0"/>
          <w:marTop w:val="0"/>
          <w:marBottom w:val="0"/>
          <w:divBdr>
            <w:top w:val="none" w:sz="0" w:space="0" w:color="auto"/>
            <w:left w:val="none" w:sz="0" w:space="0" w:color="auto"/>
            <w:bottom w:val="none" w:sz="0" w:space="0" w:color="auto"/>
            <w:right w:val="none" w:sz="0" w:space="0" w:color="auto"/>
          </w:divBdr>
          <w:divsChild>
            <w:div w:id="402262085">
              <w:marLeft w:val="0"/>
              <w:marRight w:val="0"/>
              <w:marTop w:val="0"/>
              <w:marBottom w:val="0"/>
              <w:divBdr>
                <w:top w:val="none" w:sz="0" w:space="0" w:color="auto"/>
                <w:left w:val="none" w:sz="0" w:space="0" w:color="auto"/>
                <w:bottom w:val="none" w:sz="0" w:space="0" w:color="auto"/>
                <w:right w:val="none" w:sz="0" w:space="0" w:color="auto"/>
              </w:divBdr>
              <w:divsChild>
                <w:div w:id="43090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116948">
      <w:bodyDiv w:val="1"/>
      <w:marLeft w:val="0"/>
      <w:marRight w:val="0"/>
      <w:marTop w:val="0"/>
      <w:marBottom w:val="0"/>
      <w:divBdr>
        <w:top w:val="none" w:sz="0" w:space="0" w:color="auto"/>
        <w:left w:val="none" w:sz="0" w:space="0" w:color="auto"/>
        <w:bottom w:val="none" w:sz="0" w:space="0" w:color="auto"/>
        <w:right w:val="none" w:sz="0" w:space="0" w:color="auto"/>
      </w:divBdr>
      <w:divsChild>
        <w:div w:id="1470438966">
          <w:marLeft w:val="0"/>
          <w:marRight w:val="0"/>
          <w:marTop w:val="0"/>
          <w:marBottom w:val="0"/>
          <w:divBdr>
            <w:top w:val="none" w:sz="0" w:space="0" w:color="auto"/>
            <w:left w:val="none" w:sz="0" w:space="0" w:color="auto"/>
            <w:bottom w:val="none" w:sz="0" w:space="0" w:color="auto"/>
            <w:right w:val="none" w:sz="0" w:space="0" w:color="auto"/>
          </w:divBdr>
          <w:divsChild>
            <w:div w:id="1317802054">
              <w:marLeft w:val="0"/>
              <w:marRight w:val="0"/>
              <w:marTop w:val="0"/>
              <w:marBottom w:val="0"/>
              <w:divBdr>
                <w:top w:val="none" w:sz="0" w:space="0" w:color="auto"/>
                <w:left w:val="none" w:sz="0" w:space="0" w:color="auto"/>
                <w:bottom w:val="none" w:sz="0" w:space="0" w:color="auto"/>
                <w:right w:val="none" w:sz="0" w:space="0" w:color="auto"/>
              </w:divBdr>
              <w:divsChild>
                <w:div w:id="18124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0606">
      <w:bodyDiv w:val="1"/>
      <w:marLeft w:val="0"/>
      <w:marRight w:val="0"/>
      <w:marTop w:val="0"/>
      <w:marBottom w:val="0"/>
      <w:divBdr>
        <w:top w:val="none" w:sz="0" w:space="0" w:color="auto"/>
        <w:left w:val="none" w:sz="0" w:space="0" w:color="auto"/>
        <w:bottom w:val="none" w:sz="0" w:space="0" w:color="auto"/>
        <w:right w:val="none" w:sz="0" w:space="0" w:color="auto"/>
      </w:divBdr>
    </w:div>
    <w:div w:id="307520804">
      <w:bodyDiv w:val="1"/>
      <w:marLeft w:val="0"/>
      <w:marRight w:val="0"/>
      <w:marTop w:val="0"/>
      <w:marBottom w:val="0"/>
      <w:divBdr>
        <w:top w:val="none" w:sz="0" w:space="0" w:color="auto"/>
        <w:left w:val="none" w:sz="0" w:space="0" w:color="auto"/>
        <w:bottom w:val="none" w:sz="0" w:space="0" w:color="auto"/>
        <w:right w:val="none" w:sz="0" w:space="0" w:color="auto"/>
      </w:divBdr>
    </w:div>
    <w:div w:id="307907061">
      <w:bodyDiv w:val="1"/>
      <w:marLeft w:val="0"/>
      <w:marRight w:val="0"/>
      <w:marTop w:val="0"/>
      <w:marBottom w:val="0"/>
      <w:divBdr>
        <w:top w:val="none" w:sz="0" w:space="0" w:color="auto"/>
        <w:left w:val="none" w:sz="0" w:space="0" w:color="auto"/>
        <w:bottom w:val="none" w:sz="0" w:space="0" w:color="auto"/>
        <w:right w:val="none" w:sz="0" w:space="0" w:color="auto"/>
      </w:divBdr>
    </w:div>
    <w:div w:id="308170136">
      <w:bodyDiv w:val="1"/>
      <w:marLeft w:val="0"/>
      <w:marRight w:val="0"/>
      <w:marTop w:val="0"/>
      <w:marBottom w:val="0"/>
      <w:divBdr>
        <w:top w:val="none" w:sz="0" w:space="0" w:color="auto"/>
        <w:left w:val="none" w:sz="0" w:space="0" w:color="auto"/>
        <w:bottom w:val="none" w:sz="0" w:space="0" w:color="auto"/>
        <w:right w:val="none" w:sz="0" w:space="0" w:color="auto"/>
      </w:divBdr>
      <w:divsChild>
        <w:div w:id="168952042">
          <w:marLeft w:val="0"/>
          <w:marRight w:val="0"/>
          <w:marTop w:val="0"/>
          <w:marBottom w:val="0"/>
          <w:divBdr>
            <w:top w:val="none" w:sz="0" w:space="0" w:color="auto"/>
            <w:left w:val="none" w:sz="0" w:space="0" w:color="auto"/>
            <w:bottom w:val="none" w:sz="0" w:space="0" w:color="auto"/>
            <w:right w:val="none" w:sz="0" w:space="0" w:color="auto"/>
          </w:divBdr>
          <w:divsChild>
            <w:div w:id="527067857">
              <w:marLeft w:val="0"/>
              <w:marRight w:val="0"/>
              <w:marTop w:val="0"/>
              <w:marBottom w:val="0"/>
              <w:divBdr>
                <w:top w:val="none" w:sz="0" w:space="0" w:color="auto"/>
                <w:left w:val="none" w:sz="0" w:space="0" w:color="auto"/>
                <w:bottom w:val="none" w:sz="0" w:space="0" w:color="auto"/>
                <w:right w:val="none" w:sz="0" w:space="0" w:color="auto"/>
              </w:divBdr>
              <w:divsChild>
                <w:div w:id="771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89704">
      <w:bodyDiv w:val="1"/>
      <w:marLeft w:val="0"/>
      <w:marRight w:val="0"/>
      <w:marTop w:val="0"/>
      <w:marBottom w:val="0"/>
      <w:divBdr>
        <w:top w:val="none" w:sz="0" w:space="0" w:color="auto"/>
        <w:left w:val="none" w:sz="0" w:space="0" w:color="auto"/>
        <w:bottom w:val="none" w:sz="0" w:space="0" w:color="auto"/>
        <w:right w:val="none" w:sz="0" w:space="0" w:color="auto"/>
      </w:divBdr>
    </w:div>
    <w:div w:id="323775616">
      <w:bodyDiv w:val="1"/>
      <w:marLeft w:val="0"/>
      <w:marRight w:val="0"/>
      <w:marTop w:val="0"/>
      <w:marBottom w:val="0"/>
      <w:divBdr>
        <w:top w:val="none" w:sz="0" w:space="0" w:color="auto"/>
        <w:left w:val="none" w:sz="0" w:space="0" w:color="auto"/>
        <w:bottom w:val="none" w:sz="0" w:space="0" w:color="auto"/>
        <w:right w:val="none" w:sz="0" w:space="0" w:color="auto"/>
      </w:divBdr>
      <w:divsChild>
        <w:div w:id="407576045">
          <w:marLeft w:val="0"/>
          <w:marRight w:val="0"/>
          <w:marTop w:val="0"/>
          <w:marBottom w:val="0"/>
          <w:divBdr>
            <w:top w:val="none" w:sz="0" w:space="0" w:color="auto"/>
            <w:left w:val="none" w:sz="0" w:space="0" w:color="auto"/>
            <w:bottom w:val="none" w:sz="0" w:space="0" w:color="auto"/>
            <w:right w:val="none" w:sz="0" w:space="0" w:color="auto"/>
          </w:divBdr>
          <w:divsChild>
            <w:div w:id="1834641186">
              <w:marLeft w:val="0"/>
              <w:marRight w:val="0"/>
              <w:marTop w:val="0"/>
              <w:marBottom w:val="0"/>
              <w:divBdr>
                <w:top w:val="none" w:sz="0" w:space="0" w:color="auto"/>
                <w:left w:val="none" w:sz="0" w:space="0" w:color="auto"/>
                <w:bottom w:val="none" w:sz="0" w:space="0" w:color="auto"/>
                <w:right w:val="none" w:sz="0" w:space="0" w:color="auto"/>
              </w:divBdr>
              <w:divsChild>
                <w:div w:id="13913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32771">
      <w:bodyDiv w:val="1"/>
      <w:marLeft w:val="0"/>
      <w:marRight w:val="0"/>
      <w:marTop w:val="0"/>
      <w:marBottom w:val="0"/>
      <w:divBdr>
        <w:top w:val="none" w:sz="0" w:space="0" w:color="auto"/>
        <w:left w:val="none" w:sz="0" w:space="0" w:color="auto"/>
        <w:bottom w:val="none" w:sz="0" w:space="0" w:color="auto"/>
        <w:right w:val="none" w:sz="0" w:space="0" w:color="auto"/>
      </w:divBdr>
      <w:divsChild>
        <w:div w:id="1001079082">
          <w:marLeft w:val="0"/>
          <w:marRight w:val="0"/>
          <w:marTop w:val="0"/>
          <w:marBottom w:val="0"/>
          <w:divBdr>
            <w:top w:val="none" w:sz="0" w:space="0" w:color="auto"/>
            <w:left w:val="none" w:sz="0" w:space="0" w:color="auto"/>
            <w:bottom w:val="none" w:sz="0" w:space="0" w:color="auto"/>
            <w:right w:val="none" w:sz="0" w:space="0" w:color="auto"/>
          </w:divBdr>
          <w:divsChild>
            <w:div w:id="170075197">
              <w:marLeft w:val="0"/>
              <w:marRight w:val="0"/>
              <w:marTop w:val="0"/>
              <w:marBottom w:val="0"/>
              <w:divBdr>
                <w:top w:val="none" w:sz="0" w:space="0" w:color="auto"/>
                <w:left w:val="none" w:sz="0" w:space="0" w:color="auto"/>
                <w:bottom w:val="none" w:sz="0" w:space="0" w:color="auto"/>
                <w:right w:val="none" w:sz="0" w:space="0" w:color="auto"/>
              </w:divBdr>
              <w:divsChild>
                <w:div w:id="190395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856045">
      <w:bodyDiv w:val="1"/>
      <w:marLeft w:val="0"/>
      <w:marRight w:val="0"/>
      <w:marTop w:val="0"/>
      <w:marBottom w:val="0"/>
      <w:divBdr>
        <w:top w:val="none" w:sz="0" w:space="0" w:color="auto"/>
        <w:left w:val="none" w:sz="0" w:space="0" w:color="auto"/>
        <w:bottom w:val="none" w:sz="0" w:space="0" w:color="auto"/>
        <w:right w:val="none" w:sz="0" w:space="0" w:color="auto"/>
      </w:divBdr>
      <w:divsChild>
        <w:div w:id="533159836">
          <w:marLeft w:val="0"/>
          <w:marRight w:val="0"/>
          <w:marTop w:val="0"/>
          <w:marBottom w:val="0"/>
          <w:divBdr>
            <w:top w:val="none" w:sz="0" w:space="0" w:color="auto"/>
            <w:left w:val="none" w:sz="0" w:space="0" w:color="auto"/>
            <w:bottom w:val="none" w:sz="0" w:space="0" w:color="auto"/>
            <w:right w:val="none" w:sz="0" w:space="0" w:color="auto"/>
          </w:divBdr>
          <w:divsChild>
            <w:div w:id="1643608737">
              <w:marLeft w:val="0"/>
              <w:marRight w:val="0"/>
              <w:marTop w:val="0"/>
              <w:marBottom w:val="0"/>
              <w:divBdr>
                <w:top w:val="none" w:sz="0" w:space="0" w:color="auto"/>
                <w:left w:val="none" w:sz="0" w:space="0" w:color="auto"/>
                <w:bottom w:val="none" w:sz="0" w:space="0" w:color="auto"/>
                <w:right w:val="none" w:sz="0" w:space="0" w:color="auto"/>
              </w:divBdr>
              <w:divsChild>
                <w:div w:id="9774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76790">
      <w:bodyDiv w:val="1"/>
      <w:marLeft w:val="0"/>
      <w:marRight w:val="0"/>
      <w:marTop w:val="0"/>
      <w:marBottom w:val="0"/>
      <w:divBdr>
        <w:top w:val="none" w:sz="0" w:space="0" w:color="auto"/>
        <w:left w:val="none" w:sz="0" w:space="0" w:color="auto"/>
        <w:bottom w:val="none" w:sz="0" w:space="0" w:color="auto"/>
        <w:right w:val="none" w:sz="0" w:space="0" w:color="auto"/>
      </w:divBdr>
    </w:div>
    <w:div w:id="346368886">
      <w:bodyDiv w:val="1"/>
      <w:marLeft w:val="0"/>
      <w:marRight w:val="0"/>
      <w:marTop w:val="0"/>
      <w:marBottom w:val="0"/>
      <w:divBdr>
        <w:top w:val="none" w:sz="0" w:space="0" w:color="auto"/>
        <w:left w:val="none" w:sz="0" w:space="0" w:color="auto"/>
        <w:bottom w:val="none" w:sz="0" w:space="0" w:color="auto"/>
        <w:right w:val="none" w:sz="0" w:space="0" w:color="auto"/>
      </w:divBdr>
    </w:div>
    <w:div w:id="349187936">
      <w:bodyDiv w:val="1"/>
      <w:marLeft w:val="0"/>
      <w:marRight w:val="0"/>
      <w:marTop w:val="0"/>
      <w:marBottom w:val="0"/>
      <w:divBdr>
        <w:top w:val="none" w:sz="0" w:space="0" w:color="auto"/>
        <w:left w:val="none" w:sz="0" w:space="0" w:color="auto"/>
        <w:bottom w:val="none" w:sz="0" w:space="0" w:color="auto"/>
        <w:right w:val="none" w:sz="0" w:space="0" w:color="auto"/>
      </w:divBdr>
      <w:divsChild>
        <w:div w:id="1387952173">
          <w:marLeft w:val="0"/>
          <w:marRight w:val="0"/>
          <w:marTop w:val="0"/>
          <w:marBottom w:val="0"/>
          <w:divBdr>
            <w:top w:val="none" w:sz="0" w:space="0" w:color="auto"/>
            <w:left w:val="none" w:sz="0" w:space="0" w:color="auto"/>
            <w:bottom w:val="none" w:sz="0" w:space="0" w:color="auto"/>
            <w:right w:val="none" w:sz="0" w:space="0" w:color="auto"/>
          </w:divBdr>
          <w:divsChild>
            <w:div w:id="1153058116">
              <w:marLeft w:val="0"/>
              <w:marRight w:val="0"/>
              <w:marTop w:val="0"/>
              <w:marBottom w:val="0"/>
              <w:divBdr>
                <w:top w:val="none" w:sz="0" w:space="0" w:color="auto"/>
                <w:left w:val="none" w:sz="0" w:space="0" w:color="auto"/>
                <w:bottom w:val="none" w:sz="0" w:space="0" w:color="auto"/>
                <w:right w:val="none" w:sz="0" w:space="0" w:color="auto"/>
              </w:divBdr>
              <w:divsChild>
                <w:div w:id="7574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300773">
      <w:bodyDiv w:val="1"/>
      <w:marLeft w:val="0"/>
      <w:marRight w:val="0"/>
      <w:marTop w:val="0"/>
      <w:marBottom w:val="0"/>
      <w:divBdr>
        <w:top w:val="none" w:sz="0" w:space="0" w:color="auto"/>
        <w:left w:val="none" w:sz="0" w:space="0" w:color="auto"/>
        <w:bottom w:val="none" w:sz="0" w:space="0" w:color="auto"/>
        <w:right w:val="none" w:sz="0" w:space="0" w:color="auto"/>
      </w:divBdr>
      <w:divsChild>
        <w:div w:id="2004429777">
          <w:marLeft w:val="0"/>
          <w:marRight w:val="0"/>
          <w:marTop w:val="0"/>
          <w:marBottom w:val="0"/>
          <w:divBdr>
            <w:top w:val="none" w:sz="0" w:space="0" w:color="auto"/>
            <w:left w:val="none" w:sz="0" w:space="0" w:color="auto"/>
            <w:bottom w:val="none" w:sz="0" w:space="0" w:color="auto"/>
            <w:right w:val="none" w:sz="0" w:space="0" w:color="auto"/>
          </w:divBdr>
          <w:divsChild>
            <w:div w:id="71971289">
              <w:marLeft w:val="0"/>
              <w:marRight w:val="0"/>
              <w:marTop w:val="0"/>
              <w:marBottom w:val="0"/>
              <w:divBdr>
                <w:top w:val="none" w:sz="0" w:space="0" w:color="auto"/>
                <w:left w:val="none" w:sz="0" w:space="0" w:color="auto"/>
                <w:bottom w:val="none" w:sz="0" w:space="0" w:color="auto"/>
                <w:right w:val="none" w:sz="0" w:space="0" w:color="auto"/>
              </w:divBdr>
              <w:divsChild>
                <w:div w:id="552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607755">
      <w:bodyDiv w:val="1"/>
      <w:marLeft w:val="0"/>
      <w:marRight w:val="0"/>
      <w:marTop w:val="0"/>
      <w:marBottom w:val="0"/>
      <w:divBdr>
        <w:top w:val="none" w:sz="0" w:space="0" w:color="auto"/>
        <w:left w:val="none" w:sz="0" w:space="0" w:color="auto"/>
        <w:bottom w:val="none" w:sz="0" w:space="0" w:color="auto"/>
        <w:right w:val="none" w:sz="0" w:space="0" w:color="auto"/>
      </w:divBdr>
      <w:divsChild>
        <w:div w:id="107742913">
          <w:marLeft w:val="0"/>
          <w:marRight w:val="0"/>
          <w:marTop w:val="0"/>
          <w:marBottom w:val="0"/>
          <w:divBdr>
            <w:top w:val="none" w:sz="0" w:space="0" w:color="auto"/>
            <w:left w:val="none" w:sz="0" w:space="0" w:color="auto"/>
            <w:bottom w:val="none" w:sz="0" w:space="0" w:color="auto"/>
            <w:right w:val="none" w:sz="0" w:space="0" w:color="auto"/>
          </w:divBdr>
          <w:divsChild>
            <w:div w:id="1270312214">
              <w:marLeft w:val="0"/>
              <w:marRight w:val="0"/>
              <w:marTop w:val="0"/>
              <w:marBottom w:val="0"/>
              <w:divBdr>
                <w:top w:val="none" w:sz="0" w:space="0" w:color="auto"/>
                <w:left w:val="none" w:sz="0" w:space="0" w:color="auto"/>
                <w:bottom w:val="none" w:sz="0" w:space="0" w:color="auto"/>
                <w:right w:val="none" w:sz="0" w:space="0" w:color="auto"/>
              </w:divBdr>
              <w:divsChild>
                <w:div w:id="1881626355">
                  <w:marLeft w:val="0"/>
                  <w:marRight w:val="0"/>
                  <w:marTop w:val="0"/>
                  <w:marBottom w:val="0"/>
                  <w:divBdr>
                    <w:top w:val="none" w:sz="0" w:space="0" w:color="auto"/>
                    <w:left w:val="none" w:sz="0" w:space="0" w:color="auto"/>
                    <w:bottom w:val="none" w:sz="0" w:space="0" w:color="auto"/>
                    <w:right w:val="none" w:sz="0" w:space="0" w:color="auto"/>
                  </w:divBdr>
                  <w:divsChild>
                    <w:div w:id="7706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117619">
      <w:bodyDiv w:val="1"/>
      <w:marLeft w:val="0"/>
      <w:marRight w:val="0"/>
      <w:marTop w:val="0"/>
      <w:marBottom w:val="0"/>
      <w:divBdr>
        <w:top w:val="none" w:sz="0" w:space="0" w:color="auto"/>
        <w:left w:val="none" w:sz="0" w:space="0" w:color="auto"/>
        <w:bottom w:val="none" w:sz="0" w:space="0" w:color="auto"/>
        <w:right w:val="none" w:sz="0" w:space="0" w:color="auto"/>
      </w:divBdr>
    </w:div>
    <w:div w:id="355077603">
      <w:bodyDiv w:val="1"/>
      <w:marLeft w:val="0"/>
      <w:marRight w:val="0"/>
      <w:marTop w:val="0"/>
      <w:marBottom w:val="0"/>
      <w:divBdr>
        <w:top w:val="none" w:sz="0" w:space="0" w:color="auto"/>
        <w:left w:val="none" w:sz="0" w:space="0" w:color="auto"/>
        <w:bottom w:val="none" w:sz="0" w:space="0" w:color="auto"/>
        <w:right w:val="none" w:sz="0" w:space="0" w:color="auto"/>
      </w:divBdr>
      <w:divsChild>
        <w:div w:id="1155955708">
          <w:marLeft w:val="0"/>
          <w:marRight w:val="0"/>
          <w:marTop w:val="0"/>
          <w:marBottom w:val="0"/>
          <w:divBdr>
            <w:top w:val="none" w:sz="0" w:space="0" w:color="auto"/>
            <w:left w:val="none" w:sz="0" w:space="0" w:color="auto"/>
            <w:bottom w:val="none" w:sz="0" w:space="0" w:color="auto"/>
            <w:right w:val="none" w:sz="0" w:space="0" w:color="auto"/>
          </w:divBdr>
          <w:divsChild>
            <w:div w:id="2058771074">
              <w:marLeft w:val="0"/>
              <w:marRight w:val="0"/>
              <w:marTop w:val="0"/>
              <w:marBottom w:val="0"/>
              <w:divBdr>
                <w:top w:val="none" w:sz="0" w:space="0" w:color="auto"/>
                <w:left w:val="none" w:sz="0" w:space="0" w:color="auto"/>
                <w:bottom w:val="none" w:sz="0" w:space="0" w:color="auto"/>
                <w:right w:val="none" w:sz="0" w:space="0" w:color="auto"/>
              </w:divBdr>
              <w:divsChild>
                <w:div w:id="213899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49857">
      <w:bodyDiv w:val="1"/>
      <w:marLeft w:val="0"/>
      <w:marRight w:val="0"/>
      <w:marTop w:val="0"/>
      <w:marBottom w:val="0"/>
      <w:divBdr>
        <w:top w:val="none" w:sz="0" w:space="0" w:color="auto"/>
        <w:left w:val="none" w:sz="0" w:space="0" w:color="auto"/>
        <w:bottom w:val="none" w:sz="0" w:space="0" w:color="auto"/>
        <w:right w:val="none" w:sz="0" w:space="0" w:color="auto"/>
      </w:divBdr>
      <w:divsChild>
        <w:div w:id="1192918042">
          <w:marLeft w:val="0"/>
          <w:marRight w:val="0"/>
          <w:marTop w:val="0"/>
          <w:marBottom w:val="0"/>
          <w:divBdr>
            <w:top w:val="none" w:sz="0" w:space="0" w:color="auto"/>
            <w:left w:val="none" w:sz="0" w:space="0" w:color="auto"/>
            <w:bottom w:val="none" w:sz="0" w:space="0" w:color="auto"/>
            <w:right w:val="none" w:sz="0" w:space="0" w:color="auto"/>
          </w:divBdr>
          <w:divsChild>
            <w:div w:id="1180966259">
              <w:marLeft w:val="0"/>
              <w:marRight w:val="0"/>
              <w:marTop w:val="0"/>
              <w:marBottom w:val="0"/>
              <w:divBdr>
                <w:top w:val="none" w:sz="0" w:space="0" w:color="auto"/>
                <w:left w:val="none" w:sz="0" w:space="0" w:color="auto"/>
                <w:bottom w:val="none" w:sz="0" w:space="0" w:color="auto"/>
                <w:right w:val="none" w:sz="0" w:space="0" w:color="auto"/>
              </w:divBdr>
              <w:divsChild>
                <w:div w:id="20001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94353">
      <w:bodyDiv w:val="1"/>
      <w:marLeft w:val="0"/>
      <w:marRight w:val="0"/>
      <w:marTop w:val="0"/>
      <w:marBottom w:val="0"/>
      <w:divBdr>
        <w:top w:val="none" w:sz="0" w:space="0" w:color="auto"/>
        <w:left w:val="none" w:sz="0" w:space="0" w:color="auto"/>
        <w:bottom w:val="none" w:sz="0" w:space="0" w:color="auto"/>
        <w:right w:val="none" w:sz="0" w:space="0" w:color="auto"/>
      </w:divBdr>
      <w:divsChild>
        <w:div w:id="159395697">
          <w:marLeft w:val="0"/>
          <w:marRight w:val="0"/>
          <w:marTop w:val="0"/>
          <w:marBottom w:val="0"/>
          <w:divBdr>
            <w:top w:val="none" w:sz="0" w:space="0" w:color="auto"/>
            <w:left w:val="none" w:sz="0" w:space="0" w:color="auto"/>
            <w:bottom w:val="none" w:sz="0" w:space="0" w:color="auto"/>
            <w:right w:val="none" w:sz="0" w:space="0" w:color="auto"/>
          </w:divBdr>
          <w:divsChild>
            <w:div w:id="1344625527">
              <w:marLeft w:val="0"/>
              <w:marRight w:val="0"/>
              <w:marTop w:val="0"/>
              <w:marBottom w:val="0"/>
              <w:divBdr>
                <w:top w:val="none" w:sz="0" w:space="0" w:color="auto"/>
                <w:left w:val="none" w:sz="0" w:space="0" w:color="auto"/>
                <w:bottom w:val="none" w:sz="0" w:space="0" w:color="auto"/>
                <w:right w:val="none" w:sz="0" w:space="0" w:color="auto"/>
              </w:divBdr>
              <w:divsChild>
                <w:div w:id="1359353936">
                  <w:marLeft w:val="0"/>
                  <w:marRight w:val="0"/>
                  <w:marTop w:val="0"/>
                  <w:marBottom w:val="0"/>
                  <w:divBdr>
                    <w:top w:val="none" w:sz="0" w:space="0" w:color="auto"/>
                    <w:left w:val="none" w:sz="0" w:space="0" w:color="auto"/>
                    <w:bottom w:val="none" w:sz="0" w:space="0" w:color="auto"/>
                    <w:right w:val="none" w:sz="0" w:space="0" w:color="auto"/>
                  </w:divBdr>
                  <w:divsChild>
                    <w:div w:id="15002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37201">
      <w:bodyDiv w:val="1"/>
      <w:marLeft w:val="0"/>
      <w:marRight w:val="0"/>
      <w:marTop w:val="0"/>
      <w:marBottom w:val="0"/>
      <w:divBdr>
        <w:top w:val="none" w:sz="0" w:space="0" w:color="auto"/>
        <w:left w:val="none" w:sz="0" w:space="0" w:color="auto"/>
        <w:bottom w:val="none" w:sz="0" w:space="0" w:color="auto"/>
        <w:right w:val="none" w:sz="0" w:space="0" w:color="auto"/>
      </w:divBdr>
      <w:divsChild>
        <w:div w:id="599065210">
          <w:marLeft w:val="0"/>
          <w:marRight w:val="0"/>
          <w:marTop w:val="0"/>
          <w:marBottom w:val="0"/>
          <w:divBdr>
            <w:top w:val="none" w:sz="0" w:space="0" w:color="auto"/>
            <w:left w:val="none" w:sz="0" w:space="0" w:color="auto"/>
            <w:bottom w:val="none" w:sz="0" w:space="0" w:color="auto"/>
            <w:right w:val="none" w:sz="0" w:space="0" w:color="auto"/>
          </w:divBdr>
          <w:divsChild>
            <w:div w:id="1687093956">
              <w:marLeft w:val="0"/>
              <w:marRight w:val="0"/>
              <w:marTop w:val="0"/>
              <w:marBottom w:val="0"/>
              <w:divBdr>
                <w:top w:val="none" w:sz="0" w:space="0" w:color="auto"/>
                <w:left w:val="none" w:sz="0" w:space="0" w:color="auto"/>
                <w:bottom w:val="none" w:sz="0" w:space="0" w:color="auto"/>
                <w:right w:val="none" w:sz="0" w:space="0" w:color="auto"/>
              </w:divBdr>
              <w:divsChild>
                <w:div w:id="96091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796527">
      <w:bodyDiv w:val="1"/>
      <w:marLeft w:val="0"/>
      <w:marRight w:val="0"/>
      <w:marTop w:val="0"/>
      <w:marBottom w:val="0"/>
      <w:divBdr>
        <w:top w:val="none" w:sz="0" w:space="0" w:color="auto"/>
        <w:left w:val="none" w:sz="0" w:space="0" w:color="auto"/>
        <w:bottom w:val="none" w:sz="0" w:space="0" w:color="auto"/>
        <w:right w:val="none" w:sz="0" w:space="0" w:color="auto"/>
      </w:divBdr>
      <w:divsChild>
        <w:div w:id="1891107964">
          <w:marLeft w:val="0"/>
          <w:marRight w:val="0"/>
          <w:marTop w:val="0"/>
          <w:marBottom w:val="0"/>
          <w:divBdr>
            <w:top w:val="none" w:sz="0" w:space="0" w:color="auto"/>
            <w:left w:val="none" w:sz="0" w:space="0" w:color="auto"/>
            <w:bottom w:val="none" w:sz="0" w:space="0" w:color="auto"/>
            <w:right w:val="none" w:sz="0" w:space="0" w:color="auto"/>
          </w:divBdr>
          <w:divsChild>
            <w:div w:id="802624666">
              <w:marLeft w:val="0"/>
              <w:marRight w:val="0"/>
              <w:marTop w:val="0"/>
              <w:marBottom w:val="0"/>
              <w:divBdr>
                <w:top w:val="none" w:sz="0" w:space="0" w:color="auto"/>
                <w:left w:val="none" w:sz="0" w:space="0" w:color="auto"/>
                <w:bottom w:val="none" w:sz="0" w:space="0" w:color="auto"/>
                <w:right w:val="none" w:sz="0" w:space="0" w:color="auto"/>
              </w:divBdr>
              <w:divsChild>
                <w:div w:id="1946886498">
                  <w:marLeft w:val="0"/>
                  <w:marRight w:val="0"/>
                  <w:marTop w:val="0"/>
                  <w:marBottom w:val="0"/>
                  <w:divBdr>
                    <w:top w:val="none" w:sz="0" w:space="0" w:color="auto"/>
                    <w:left w:val="none" w:sz="0" w:space="0" w:color="auto"/>
                    <w:bottom w:val="none" w:sz="0" w:space="0" w:color="auto"/>
                    <w:right w:val="none" w:sz="0" w:space="0" w:color="auto"/>
                  </w:divBdr>
                  <w:divsChild>
                    <w:div w:id="13368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030489">
      <w:bodyDiv w:val="1"/>
      <w:marLeft w:val="0"/>
      <w:marRight w:val="0"/>
      <w:marTop w:val="0"/>
      <w:marBottom w:val="0"/>
      <w:divBdr>
        <w:top w:val="none" w:sz="0" w:space="0" w:color="auto"/>
        <w:left w:val="none" w:sz="0" w:space="0" w:color="auto"/>
        <w:bottom w:val="none" w:sz="0" w:space="0" w:color="auto"/>
        <w:right w:val="none" w:sz="0" w:space="0" w:color="auto"/>
      </w:divBdr>
      <w:divsChild>
        <w:div w:id="1201165805">
          <w:marLeft w:val="0"/>
          <w:marRight w:val="0"/>
          <w:marTop w:val="0"/>
          <w:marBottom w:val="0"/>
          <w:divBdr>
            <w:top w:val="none" w:sz="0" w:space="0" w:color="auto"/>
            <w:left w:val="none" w:sz="0" w:space="0" w:color="auto"/>
            <w:bottom w:val="none" w:sz="0" w:space="0" w:color="auto"/>
            <w:right w:val="none" w:sz="0" w:space="0" w:color="auto"/>
          </w:divBdr>
          <w:divsChild>
            <w:div w:id="1385789774">
              <w:marLeft w:val="0"/>
              <w:marRight w:val="0"/>
              <w:marTop w:val="0"/>
              <w:marBottom w:val="0"/>
              <w:divBdr>
                <w:top w:val="none" w:sz="0" w:space="0" w:color="auto"/>
                <w:left w:val="none" w:sz="0" w:space="0" w:color="auto"/>
                <w:bottom w:val="none" w:sz="0" w:space="0" w:color="auto"/>
                <w:right w:val="none" w:sz="0" w:space="0" w:color="auto"/>
              </w:divBdr>
              <w:divsChild>
                <w:div w:id="202828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76319">
      <w:bodyDiv w:val="1"/>
      <w:marLeft w:val="0"/>
      <w:marRight w:val="0"/>
      <w:marTop w:val="0"/>
      <w:marBottom w:val="0"/>
      <w:divBdr>
        <w:top w:val="none" w:sz="0" w:space="0" w:color="auto"/>
        <w:left w:val="none" w:sz="0" w:space="0" w:color="auto"/>
        <w:bottom w:val="none" w:sz="0" w:space="0" w:color="auto"/>
        <w:right w:val="none" w:sz="0" w:space="0" w:color="auto"/>
      </w:divBdr>
      <w:divsChild>
        <w:div w:id="765150817">
          <w:marLeft w:val="0"/>
          <w:marRight w:val="0"/>
          <w:marTop w:val="0"/>
          <w:marBottom w:val="0"/>
          <w:divBdr>
            <w:top w:val="none" w:sz="0" w:space="0" w:color="auto"/>
            <w:left w:val="none" w:sz="0" w:space="0" w:color="auto"/>
            <w:bottom w:val="none" w:sz="0" w:space="0" w:color="auto"/>
            <w:right w:val="none" w:sz="0" w:space="0" w:color="auto"/>
          </w:divBdr>
          <w:divsChild>
            <w:div w:id="1676305977">
              <w:marLeft w:val="0"/>
              <w:marRight w:val="0"/>
              <w:marTop w:val="0"/>
              <w:marBottom w:val="0"/>
              <w:divBdr>
                <w:top w:val="none" w:sz="0" w:space="0" w:color="auto"/>
                <w:left w:val="none" w:sz="0" w:space="0" w:color="auto"/>
                <w:bottom w:val="none" w:sz="0" w:space="0" w:color="auto"/>
                <w:right w:val="none" w:sz="0" w:space="0" w:color="auto"/>
              </w:divBdr>
              <w:divsChild>
                <w:div w:id="32436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332221">
      <w:bodyDiv w:val="1"/>
      <w:marLeft w:val="0"/>
      <w:marRight w:val="0"/>
      <w:marTop w:val="0"/>
      <w:marBottom w:val="0"/>
      <w:divBdr>
        <w:top w:val="none" w:sz="0" w:space="0" w:color="auto"/>
        <w:left w:val="none" w:sz="0" w:space="0" w:color="auto"/>
        <w:bottom w:val="none" w:sz="0" w:space="0" w:color="auto"/>
        <w:right w:val="none" w:sz="0" w:space="0" w:color="auto"/>
      </w:divBdr>
      <w:divsChild>
        <w:div w:id="1413895575">
          <w:marLeft w:val="0"/>
          <w:marRight w:val="0"/>
          <w:marTop w:val="0"/>
          <w:marBottom w:val="0"/>
          <w:divBdr>
            <w:top w:val="none" w:sz="0" w:space="0" w:color="auto"/>
            <w:left w:val="none" w:sz="0" w:space="0" w:color="auto"/>
            <w:bottom w:val="none" w:sz="0" w:space="0" w:color="auto"/>
            <w:right w:val="none" w:sz="0" w:space="0" w:color="auto"/>
          </w:divBdr>
          <w:divsChild>
            <w:div w:id="1595941979">
              <w:marLeft w:val="0"/>
              <w:marRight w:val="0"/>
              <w:marTop w:val="0"/>
              <w:marBottom w:val="0"/>
              <w:divBdr>
                <w:top w:val="none" w:sz="0" w:space="0" w:color="auto"/>
                <w:left w:val="none" w:sz="0" w:space="0" w:color="auto"/>
                <w:bottom w:val="none" w:sz="0" w:space="0" w:color="auto"/>
                <w:right w:val="none" w:sz="0" w:space="0" w:color="auto"/>
              </w:divBdr>
              <w:divsChild>
                <w:div w:id="20681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04339">
      <w:bodyDiv w:val="1"/>
      <w:marLeft w:val="0"/>
      <w:marRight w:val="0"/>
      <w:marTop w:val="0"/>
      <w:marBottom w:val="0"/>
      <w:divBdr>
        <w:top w:val="none" w:sz="0" w:space="0" w:color="auto"/>
        <w:left w:val="none" w:sz="0" w:space="0" w:color="auto"/>
        <w:bottom w:val="none" w:sz="0" w:space="0" w:color="auto"/>
        <w:right w:val="none" w:sz="0" w:space="0" w:color="auto"/>
      </w:divBdr>
      <w:divsChild>
        <w:div w:id="1769613452">
          <w:marLeft w:val="0"/>
          <w:marRight w:val="0"/>
          <w:marTop w:val="0"/>
          <w:marBottom w:val="0"/>
          <w:divBdr>
            <w:top w:val="none" w:sz="0" w:space="0" w:color="auto"/>
            <w:left w:val="none" w:sz="0" w:space="0" w:color="auto"/>
            <w:bottom w:val="none" w:sz="0" w:space="0" w:color="auto"/>
            <w:right w:val="none" w:sz="0" w:space="0" w:color="auto"/>
          </w:divBdr>
          <w:divsChild>
            <w:div w:id="1992905146">
              <w:marLeft w:val="0"/>
              <w:marRight w:val="0"/>
              <w:marTop w:val="0"/>
              <w:marBottom w:val="0"/>
              <w:divBdr>
                <w:top w:val="none" w:sz="0" w:space="0" w:color="auto"/>
                <w:left w:val="none" w:sz="0" w:space="0" w:color="auto"/>
                <w:bottom w:val="none" w:sz="0" w:space="0" w:color="auto"/>
                <w:right w:val="none" w:sz="0" w:space="0" w:color="auto"/>
              </w:divBdr>
              <w:divsChild>
                <w:div w:id="211651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8619">
      <w:bodyDiv w:val="1"/>
      <w:marLeft w:val="0"/>
      <w:marRight w:val="0"/>
      <w:marTop w:val="0"/>
      <w:marBottom w:val="0"/>
      <w:divBdr>
        <w:top w:val="none" w:sz="0" w:space="0" w:color="auto"/>
        <w:left w:val="none" w:sz="0" w:space="0" w:color="auto"/>
        <w:bottom w:val="none" w:sz="0" w:space="0" w:color="auto"/>
        <w:right w:val="none" w:sz="0" w:space="0" w:color="auto"/>
      </w:divBdr>
      <w:divsChild>
        <w:div w:id="1651640828">
          <w:marLeft w:val="0"/>
          <w:marRight w:val="0"/>
          <w:marTop w:val="0"/>
          <w:marBottom w:val="0"/>
          <w:divBdr>
            <w:top w:val="none" w:sz="0" w:space="0" w:color="auto"/>
            <w:left w:val="none" w:sz="0" w:space="0" w:color="auto"/>
            <w:bottom w:val="none" w:sz="0" w:space="0" w:color="auto"/>
            <w:right w:val="none" w:sz="0" w:space="0" w:color="auto"/>
          </w:divBdr>
          <w:divsChild>
            <w:div w:id="1909725412">
              <w:marLeft w:val="0"/>
              <w:marRight w:val="0"/>
              <w:marTop w:val="0"/>
              <w:marBottom w:val="0"/>
              <w:divBdr>
                <w:top w:val="none" w:sz="0" w:space="0" w:color="auto"/>
                <w:left w:val="none" w:sz="0" w:space="0" w:color="auto"/>
                <w:bottom w:val="none" w:sz="0" w:space="0" w:color="auto"/>
                <w:right w:val="none" w:sz="0" w:space="0" w:color="auto"/>
              </w:divBdr>
              <w:divsChild>
                <w:div w:id="408701156">
                  <w:marLeft w:val="0"/>
                  <w:marRight w:val="0"/>
                  <w:marTop w:val="0"/>
                  <w:marBottom w:val="0"/>
                  <w:divBdr>
                    <w:top w:val="none" w:sz="0" w:space="0" w:color="auto"/>
                    <w:left w:val="none" w:sz="0" w:space="0" w:color="auto"/>
                    <w:bottom w:val="none" w:sz="0" w:space="0" w:color="auto"/>
                    <w:right w:val="none" w:sz="0" w:space="0" w:color="auto"/>
                  </w:divBdr>
                  <w:divsChild>
                    <w:div w:id="15167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801291">
      <w:bodyDiv w:val="1"/>
      <w:marLeft w:val="0"/>
      <w:marRight w:val="0"/>
      <w:marTop w:val="0"/>
      <w:marBottom w:val="0"/>
      <w:divBdr>
        <w:top w:val="none" w:sz="0" w:space="0" w:color="auto"/>
        <w:left w:val="none" w:sz="0" w:space="0" w:color="auto"/>
        <w:bottom w:val="none" w:sz="0" w:space="0" w:color="auto"/>
        <w:right w:val="none" w:sz="0" w:space="0" w:color="auto"/>
      </w:divBdr>
    </w:div>
    <w:div w:id="394931077">
      <w:bodyDiv w:val="1"/>
      <w:marLeft w:val="0"/>
      <w:marRight w:val="0"/>
      <w:marTop w:val="0"/>
      <w:marBottom w:val="0"/>
      <w:divBdr>
        <w:top w:val="none" w:sz="0" w:space="0" w:color="auto"/>
        <w:left w:val="none" w:sz="0" w:space="0" w:color="auto"/>
        <w:bottom w:val="none" w:sz="0" w:space="0" w:color="auto"/>
        <w:right w:val="none" w:sz="0" w:space="0" w:color="auto"/>
      </w:divBdr>
      <w:divsChild>
        <w:div w:id="545021192">
          <w:marLeft w:val="0"/>
          <w:marRight w:val="0"/>
          <w:marTop w:val="0"/>
          <w:marBottom w:val="0"/>
          <w:divBdr>
            <w:top w:val="none" w:sz="0" w:space="0" w:color="auto"/>
            <w:left w:val="none" w:sz="0" w:space="0" w:color="auto"/>
            <w:bottom w:val="none" w:sz="0" w:space="0" w:color="auto"/>
            <w:right w:val="none" w:sz="0" w:space="0" w:color="auto"/>
          </w:divBdr>
          <w:divsChild>
            <w:div w:id="543252010">
              <w:marLeft w:val="0"/>
              <w:marRight w:val="0"/>
              <w:marTop w:val="0"/>
              <w:marBottom w:val="0"/>
              <w:divBdr>
                <w:top w:val="none" w:sz="0" w:space="0" w:color="auto"/>
                <w:left w:val="none" w:sz="0" w:space="0" w:color="auto"/>
                <w:bottom w:val="none" w:sz="0" w:space="0" w:color="auto"/>
                <w:right w:val="none" w:sz="0" w:space="0" w:color="auto"/>
              </w:divBdr>
              <w:divsChild>
                <w:div w:id="18375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50475">
      <w:bodyDiv w:val="1"/>
      <w:marLeft w:val="0"/>
      <w:marRight w:val="0"/>
      <w:marTop w:val="0"/>
      <w:marBottom w:val="0"/>
      <w:divBdr>
        <w:top w:val="none" w:sz="0" w:space="0" w:color="auto"/>
        <w:left w:val="none" w:sz="0" w:space="0" w:color="auto"/>
        <w:bottom w:val="none" w:sz="0" w:space="0" w:color="auto"/>
        <w:right w:val="none" w:sz="0" w:space="0" w:color="auto"/>
      </w:divBdr>
      <w:divsChild>
        <w:div w:id="483666540">
          <w:marLeft w:val="0"/>
          <w:marRight w:val="0"/>
          <w:marTop w:val="0"/>
          <w:marBottom w:val="0"/>
          <w:divBdr>
            <w:top w:val="none" w:sz="0" w:space="0" w:color="auto"/>
            <w:left w:val="none" w:sz="0" w:space="0" w:color="auto"/>
            <w:bottom w:val="none" w:sz="0" w:space="0" w:color="auto"/>
            <w:right w:val="none" w:sz="0" w:space="0" w:color="auto"/>
          </w:divBdr>
          <w:divsChild>
            <w:div w:id="655229899">
              <w:marLeft w:val="0"/>
              <w:marRight w:val="0"/>
              <w:marTop w:val="0"/>
              <w:marBottom w:val="0"/>
              <w:divBdr>
                <w:top w:val="none" w:sz="0" w:space="0" w:color="auto"/>
                <w:left w:val="none" w:sz="0" w:space="0" w:color="auto"/>
                <w:bottom w:val="none" w:sz="0" w:space="0" w:color="auto"/>
                <w:right w:val="none" w:sz="0" w:space="0" w:color="auto"/>
              </w:divBdr>
              <w:divsChild>
                <w:div w:id="18592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755099">
      <w:bodyDiv w:val="1"/>
      <w:marLeft w:val="0"/>
      <w:marRight w:val="0"/>
      <w:marTop w:val="0"/>
      <w:marBottom w:val="0"/>
      <w:divBdr>
        <w:top w:val="none" w:sz="0" w:space="0" w:color="auto"/>
        <w:left w:val="none" w:sz="0" w:space="0" w:color="auto"/>
        <w:bottom w:val="none" w:sz="0" w:space="0" w:color="auto"/>
        <w:right w:val="none" w:sz="0" w:space="0" w:color="auto"/>
      </w:divBdr>
      <w:divsChild>
        <w:div w:id="1301105817">
          <w:marLeft w:val="0"/>
          <w:marRight w:val="0"/>
          <w:marTop w:val="0"/>
          <w:marBottom w:val="0"/>
          <w:divBdr>
            <w:top w:val="none" w:sz="0" w:space="0" w:color="auto"/>
            <w:left w:val="none" w:sz="0" w:space="0" w:color="auto"/>
            <w:bottom w:val="none" w:sz="0" w:space="0" w:color="auto"/>
            <w:right w:val="none" w:sz="0" w:space="0" w:color="auto"/>
          </w:divBdr>
          <w:divsChild>
            <w:div w:id="2054963300">
              <w:marLeft w:val="0"/>
              <w:marRight w:val="0"/>
              <w:marTop w:val="0"/>
              <w:marBottom w:val="0"/>
              <w:divBdr>
                <w:top w:val="none" w:sz="0" w:space="0" w:color="auto"/>
                <w:left w:val="none" w:sz="0" w:space="0" w:color="auto"/>
                <w:bottom w:val="none" w:sz="0" w:space="0" w:color="auto"/>
                <w:right w:val="none" w:sz="0" w:space="0" w:color="auto"/>
              </w:divBdr>
              <w:divsChild>
                <w:div w:id="850951637">
                  <w:marLeft w:val="0"/>
                  <w:marRight w:val="0"/>
                  <w:marTop w:val="0"/>
                  <w:marBottom w:val="0"/>
                  <w:divBdr>
                    <w:top w:val="none" w:sz="0" w:space="0" w:color="auto"/>
                    <w:left w:val="none" w:sz="0" w:space="0" w:color="auto"/>
                    <w:bottom w:val="none" w:sz="0" w:space="0" w:color="auto"/>
                    <w:right w:val="none" w:sz="0" w:space="0" w:color="auto"/>
                  </w:divBdr>
                  <w:divsChild>
                    <w:div w:id="5237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760728">
      <w:bodyDiv w:val="1"/>
      <w:marLeft w:val="0"/>
      <w:marRight w:val="0"/>
      <w:marTop w:val="0"/>
      <w:marBottom w:val="0"/>
      <w:divBdr>
        <w:top w:val="none" w:sz="0" w:space="0" w:color="auto"/>
        <w:left w:val="none" w:sz="0" w:space="0" w:color="auto"/>
        <w:bottom w:val="none" w:sz="0" w:space="0" w:color="auto"/>
        <w:right w:val="none" w:sz="0" w:space="0" w:color="auto"/>
      </w:divBdr>
      <w:divsChild>
        <w:div w:id="889077745">
          <w:marLeft w:val="0"/>
          <w:marRight w:val="0"/>
          <w:marTop w:val="0"/>
          <w:marBottom w:val="0"/>
          <w:divBdr>
            <w:top w:val="none" w:sz="0" w:space="0" w:color="auto"/>
            <w:left w:val="none" w:sz="0" w:space="0" w:color="auto"/>
            <w:bottom w:val="none" w:sz="0" w:space="0" w:color="auto"/>
            <w:right w:val="none" w:sz="0" w:space="0" w:color="auto"/>
          </w:divBdr>
          <w:divsChild>
            <w:div w:id="902108386">
              <w:marLeft w:val="0"/>
              <w:marRight w:val="0"/>
              <w:marTop w:val="0"/>
              <w:marBottom w:val="0"/>
              <w:divBdr>
                <w:top w:val="none" w:sz="0" w:space="0" w:color="auto"/>
                <w:left w:val="none" w:sz="0" w:space="0" w:color="auto"/>
                <w:bottom w:val="none" w:sz="0" w:space="0" w:color="auto"/>
                <w:right w:val="none" w:sz="0" w:space="0" w:color="auto"/>
              </w:divBdr>
              <w:divsChild>
                <w:div w:id="12855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60554">
      <w:bodyDiv w:val="1"/>
      <w:marLeft w:val="0"/>
      <w:marRight w:val="0"/>
      <w:marTop w:val="0"/>
      <w:marBottom w:val="0"/>
      <w:divBdr>
        <w:top w:val="none" w:sz="0" w:space="0" w:color="auto"/>
        <w:left w:val="none" w:sz="0" w:space="0" w:color="auto"/>
        <w:bottom w:val="none" w:sz="0" w:space="0" w:color="auto"/>
        <w:right w:val="none" w:sz="0" w:space="0" w:color="auto"/>
      </w:divBdr>
      <w:divsChild>
        <w:div w:id="607851258">
          <w:marLeft w:val="0"/>
          <w:marRight w:val="0"/>
          <w:marTop w:val="0"/>
          <w:marBottom w:val="0"/>
          <w:divBdr>
            <w:top w:val="none" w:sz="0" w:space="0" w:color="auto"/>
            <w:left w:val="none" w:sz="0" w:space="0" w:color="auto"/>
            <w:bottom w:val="none" w:sz="0" w:space="0" w:color="auto"/>
            <w:right w:val="none" w:sz="0" w:space="0" w:color="auto"/>
          </w:divBdr>
          <w:divsChild>
            <w:div w:id="1277374518">
              <w:marLeft w:val="0"/>
              <w:marRight w:val="0"/>
              <w:marTop w:val="0"/>
              <w:marBottom w:val="0"/>
              <w:divBdr>
                <w:top w:val="none" w:sz="0" w:space="0" w:color="auto"/>
                <w:left w:val="none" w:sz="0" w:space="0" w:color="auto"/>
                <w:bottom w:val="none" w:sz="0" w:space="0" w:color="auto"/>
                <w:right w:val="none" w:sz="0" w:space="0" w:color="auto"/>
              </w:divBdr>
              <w:divsChild>
                <w:div w:id="6173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771537">
      <w:bodyDiv w:val="1"/>
      <w:marLeft w:val="0"/>
      <w:marRight w:val="0"/>
      <w:marTop w:val="0"/>
      <w:marBottom w:val="0"/>
      <w:divBdr>
        <w:top w:val="none" w:sz="0" w:space="0" w:color="auto"/>
        <w:left w:val="none" w:sz="0" w:space="0" w:color="auto"/>
        <w:bottom w:val="none" w:sz="0" w:space="0" w:color="auto"/>
        <w:right w:val="none" w:sz="0" w:space="0" w:color="auto"/>
      </w:divBdr>
      <w:divsChild>
        <w:div w:id="961838329">
          <w:marLeft w:val="0"/>
          <w:marRight w:val="0"/>
          <w:marTop w:val="0"/>
          <w:marBottom w:val="0"/>
          <w:divBdr>
            <w:top w:val="none" w:sz="0" w:space="0" w:color="auto"/>
            <w:left w:val="none" w:sz="0" w:space="0" w:color="auto"/>
            <w:bottom w:val="none" w:sz="0" w:space="0" w:color="auto"/>
            <w:right w:val="none" w:sz="0" w:space="0" w:color="auto"/>
          </w:divBdr>
          <w:divsChild>
            <w:div w:id="1309170939">
              <w:marLeft w:val="0"/>
              <w:marRight w:val="0"/>
              <w:marTop w:val="0"/>
              <w:marBottom w:val="0"/>
              <w:divBdr>
                <w:top w:val="none" w:sz="0" w:space="0" w:color="auto"/>
                <w:left w:val="none" w:sz="0" w:space="0" w:color="auto"/>
                <w:bottom w:val="none" w:sz="0" w:space="0" w:color="auto"/>
                <w:right w:val="none" w:sz="0" w:space="0" w:color="auto"/>
              </w:divBdr>
              <w:divsChild>
                <w:div w:id="157577052">
                  <w:marLeft w:val="0"/>
                  <w:marRight w:val="0"/>
                  <w:marTop w:val="0"/>
                  <w:marBottom w:val="0"/>
                  <w:divBdr>
                    <w:top w:val="none" w:sz="0" w:space="0" w:color="auto"/>
                    <w:left w:val="none" w:sz="0" w:space="0" w:color="auto"/>
                    <w:bottom w:val="none" w:sz="0" w:space="0" w:color="auto"/>
                    <w:right w:val="none" w:sz="0" w:space="0" w:color="auto"/>
                  </w:divBdr>
                  <w:divsChild>
                    <w:div w:id="9895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238653">
      <w:bodyDiv w:val="1"/>
      <w:marLeft w:val="0"/>
      <w:marRight w:val="0"/>
      <w:marTop w:val="0"/>
      <w:marBottom w:val="0"/>
      <w:divBdr>
        <w:top w:val="none" w:sz="0" w:space="0" w:color="auto"/>
        <w:left w:val="none" w:sz="0" w:space="0" w:color="auto"/>
        <w:bottom w:val="none" w:sz="0" w:space="0" w:color="auto"/>
        <w:right w:val="none" w:sz="0" w:space="0" w:color="auto"/>
      </w:divBdr>
      <w:divsChild>
        <w:div w:id="419326991">
          <w:marLeft w:val="0"/>
          <w:marRight w:val="0"/>
          <w:marTop w:val="0"/>
          <w:marBottom w:val="0"/>
          <w:divBdr>
            <w:top w:val="none" w:sz="0" w:space="0" w:color="auto"/>
            <w:left w:val="none" w:sz="0" w:space="0" w:color="auto"/>
            <w:bottom w:val="none" w:sz="0" w:space="0" w:color="auto"/>
            <w:right w:val="none" w:sz="0" w:space="0" w:color="auto"/>
          </w:divBdr>
          <w:divsChild>
            <w:div w:id="1709839265">
              <w:marLeft w:val="0"/>
              <w:marRight w:val="0"/>
              <w:marTop w:val="0"/>
              <w:marBottom w:val="0"/>
              <w:divBdr>
                <w:top w:val="none" w:sz="0" w:space="0" w:color="auto"/>
                <w:left w:val="none" w:sz="0" w:space="0" w:color="auto"/>
                <w:bottom w:val="none" w:sz="0" w:space="0" w:color="auto"/>
                <w:right w:val="none" w:sz="0" w:space="0" w:color="auto"/>
              </w:divBdr>
              <w:divsChild>
                <w:div w:id="9045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818508">
      <w:bodyDiv w:val="1"/>
      <w:marLeft w:val="0"/>
      <w:marRight w:val="0"/>
      <w:marTop w:val="0"/>
      <w:marBottom w:val="0"/>
      <w:divBdr>
        <w:top w:val="none" w:sz="0" w:space="0" w:color="auto"/>
        <w:left w:val="none" w:sz="0" w:space="0" w:color="auto"/>
        <w:bottom w:val="none" w:sz="0" w:space="0" w:color="auto"/>
        <w:right w:val="none" w:sz="0" w:space="0" w:color="auto"/>
      </w:divBdr>
      <w:divsChild>
        <w:div w:id="1661234334">
          <w:marLeft w:val="0"/>
          <w:marRight w:val="0"/>
          <w:marTop w:val="0"/>
          <w:marBottom w:val="0"/>
          <w:divBdr>
            <w:top w:val="none" w:sz="0" w:space="0" w:color="auto"/>
            <w:left w:val="none" w:sz="0" w:space="0" w:color="auto"/>
            <w:bottom w:val="none" w:sz="0" w:space="0" w:color="auto"/>
            <w:right w:val="none" w:sz="0" w:space="0" w:color="auto"/>
          </w:divBdr>
          <w:divsChild>
            <w:div w:id="1219433569">
              <w:marLeft w:val="0"/>
              <w:marRight w:val="0"/>
              <w:marTop w:val="0"/>
              <w:marBottom w:val="0"/>
              <w:divBdr>
                <w:top w:val="none" w:sz="0" w:space="0" w:color="auto"/>
                <w:left w:val="none" w:sz="0" w:space="0" w:color="auto"/>
                <w:bottom w:val="none" w:sz="0" w:space="0" w:color="auto"/>
                <w:right w:val="none" w:sz="0" w:space="0" w:color="auto"/>
              </w:divBdr>
              <w:divsChild>
                <w:div w:id="180488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26984">
      <w:bodyDiv w:val="1"/>
      <w:marLeft w:val="0"/>
      <w:marRight w:val="0"/>
      <w:marTop w:val="0"/>
      <w:marBottom w:val="0"/>
      <w:divBdr>
        <w:top w:val="none" w:sz="0" w:space="0" w:color="auto"/>
        <w:left w:val="none" w:sz="0" w:space="0" w:color="auto"/>
        <w:bottom w:val="none" w:sz="0" w:space="0" w:color="auto"/>
        <w:right w:val="none" w:sz="0" w:space="0" w:color="auto"/>
      </w:divBdr>
      <w:divsChild>
        <w:div w:id="1744329128">
          <w:marLeft w:val="0"/>
          <w:marRight w:val="0"/>
          <w:marTop w:val="0"/>
          <w:marBottom w:val="0"/>
          <w:divBdr>
            <w:top w:val="none" w:sz="0" w:space="0" w:color="auto"/>
            <w:left w:val="none" w:sz="0" w:space="0" w:color="auto"/>
            <w:bottom w:val="none" w:sz="0" w:space="0" w:color="auto"/>
            <w:right w:val="none" w:sz="0" w:space="0" w:color="auto"/>
          </w:divBdr>
          <w:divsChild>
            <w:div w:id="516189591">
              <w:marLeft w:val="0"/>
              <w:marRight w:val="0"/>
              <w:marTop w:val="0"/>
              <w:marBottom w:val="0"/>
              <w:divBdr>
                <w:top w:val="none" w:sz="0" w:space="0" w:color="auto"/>
                <w:left w:val="none" w:sz="0" w:space="0" w:color="auto"/>
                <w:bottom w:val="none" w:sz="0" w:space="0" w:color="auto"/>
                <w:right w:val="none" w:sz="0" w:space="0" w:color="auto"/>
              </w:divBdr>
              <w:divsChild>
                <w:div w:id="575627538">
                  <w:marLeft w:val="0"/>
                  <w:marRight w:val="0"/>
                  <w:marTop w:val="0"/>
                  <w:marBottom w:val="0"/>
                  <w:divBdr>
                    <w:top w:val="none" w:sz="0" w:space="0" w:color="auto"/>
                    <w:left w:val="none" w:sz="0" w:space="0" w:color="auto"/>
                    <w:bottom w:val="none" w:sz="0" w:space="0" w:color="auto"/>
                    <w:right w:val="none" w:sz="0" w:space="0" w:color="auto"/>
                  </w:divBdr>
                  <w:divsChild>
                    <w:div w:id="20763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059527">
      <w:bodyDiv w:val="1"/>
      <w:marLeft w:val="0"/>
      <w:marRight w:val="0"/>
      <w:marTop w:val="0"/>
      <w:marBottom w:val="0"/>
      <w:divBdr>
        <w:top w:val="none" w:sz="0" w:space="0" w:color="auto"/>
        <w:left w:val="none" w:sz="0" w:space="0" w:color="auto"/>
        <w:bottom w:val="none" w:sz="0" w:space="0" w:color="auto"/>
        <w:right w:val="none" w:sz="0" w:space="0" w:color="auto"/>
      </w:divBdr>
      <w:divsChild>
        <w:div w:id="769661057">
          <w:marLeft w:val="0"/>
          <w:marRight w:val="0"/>
          <w:marTop w:val="0"/>
          <w:marBottom w:val="0"/>
          <w:divBdr>
            <w:top w:val="none" w:sz="0" w:space="0" w:color="auto"/>
            <w:left w:val="none" w:sz="0" w:space="0" w:color="auto"/>
            <w:bottom w:val="none" w:sz="0" w:space="0" w:color="auto"/>
            <w:right w:val="none" w:sz="0" w:space="0" w:color="auto"/>
          </w:divBdr>
          <w:divsChild>
            <w:div w:id="488906281">
              <w:marLeft w:val="0"/>
              <w:marRight w:val="0"/>
              <w:marTop w:val="0"/>
              <w:marBottom w:val="0"/>
              <w:divBdr>
                <w:top w:val="none" w:sz="0" w:space="0" w:color="auto"/>
                <w:left w:val="none" w:sz="0" w:space="0" w:color="auto"/>
                <w:bottom w:val="none" w:sz="0" w:space="0" w:color="auto"/>
                <w:right w:val="none" w:sz="0" w:space="0" w:color="auto"/>
              </w:divBdr>
              <w:divsChild>
                <w:div w:id="155454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488634">
      <w:bodyDiv w:val="1"/>
      <w:marLeft w:val="0"/>
      <w:marRight w:val="0"/>
      <w:marTop w:val="0"/>
      <w:marBottom w:val="0"/>
      <w:divBdr>
        <w:top w:val="none" w:sz="0" w:space="0" w:color="auto"/>
        <w:left w:val="none" w:sz="0" w:space="0" w:color="auto"/>
        <w:bottom w:val="none" w:sz="0" w:space="0" w:color="auto"/>
        <w:right w:val="none" w:sz="0" w:space="0" w:color="auto"/>
      </w:divBdr>
      <w:divsChild>
        <w:div w:id="500202328">
          <w:marLeft w:val="0"/>
          <w:marRight w:val="0"/>
          <w:marTop w:val="0"/>
          <w:marBottom w:val="0"/>
          <w:divBdr>
            <w:top w:val="none" w:sz="0" w:space="0" w:color="auto"/>
            <w:left w:val="none" w:sz="0" w:space="0" w:color="auto"/>
            <w:bottom w:val="none" w:sz="0" w:space="0" w:color="auto"/>
            <w:right w:val="none" w:sz="0" w:space="0" w:color="auto"/>
          </w:divBdr>
          <w:divsChild>
            <w:div w:id="1680933682">
              <w:marLeft w:val="0"/>
              <w:marRight w:val="0"/>
              <w:marTop w:val="0"/>
              <w:marBottom w:val="0"/>
              <w:divBdr>
                <w:top w:val="none" w:sz="0" w:space="0" w:color="auto"/>
                <w:left w:val="none" w:sz="0" w:space="0" w:color="auto"/>
                <w:bottom w:val="none" w:sz="0" w:space="0" w:color="auto"/>
                <w:right w:val="none" w:sz="0" w:space="0" w:color="auto"/>
              </w:divBdr>
              <w:divsChild>
                <w:div w:id="10449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0491">
      <w:bodyDiv w:val="1"/>
      <w:marLeft w:val="0"/>
      <w:marRight w:val="0"/>
      <w:marTop w:val="0"/>
      <w:marBottom w:val="0"/>
      <w:divBdr>
        <w:top w:val="none" w:sz="0" w:space="0" w:color="auto"/>
        <w:left w:val="none" w:sz="0" w:space="0" w:color="auto"/>
        <w:bottom w:val="none" w:sz="0" w:space="0" w:color="auto"/>
        <w:right w:val="none" w:sz="0" w:space="0" w:color="auto"/>
      </w:divBdr>
      <w:divsChild>
        <w:div w:id="583756615">
          <w:marLeft w:val="0"/>
          <w:marRight w:val="0"/>
          <w:marTop w:val="0"/>
          <w:marBottom w:val="0"/>
          <w:divBdr>
            <w:top w:val="none" w:sz="0" w:space="0" w:color="auto"/>
            <w:left w:val="none" w:sz="0" w:space="0" w:color="auto"/>
            <w:bottom w:val="none" w:sz="0" w:space="0" w:color="auto"/>
            <w:right w:val="none" w:sz="0" w:space="0" w:color="auto"/>
          </w:divBdr>
          <w:divsChild>
            <w:div w:id="29108478">
              <w:marLeft w:val="0"/>
              <w:marRight w:val="0"/>
              <w:marTop w:val="0"/>
              <w:marBottom w:val="0"/>
              <w:divBdr>
                <w:top w:val="none" w:sz="0" w:space="0" w:color="auto"/>
                <w:left w:val="none" w:sz="0" w:space="0" w:color="auto"/>
                <w:bottom w:val="none" w:sz="0" w:space="0" w:color="auto"/>
                <w:right w:val="none" w:sz="0" w:space="0" w:color="auto"/>
              </w:divBdr>
              <w:divsChild>
                <w:div w:id="1284115994">
                  <w:marLeft w:val="0"/>
                  <w:marRight w:val="0"/>
                  <w:marTop w:val="0"/>
                  <w:marBottom w:val="0"/>
                  <w:divBdr>
                    <w:top w:val="none" w:sz="0" w:space="0" w:color="auto"/>
                    <w:left w:val="none" w:sz="0" w:space="0" w:color="auto"/>
                    <w:bottom w:val="none" w:sz="0" w:space="0" w:color="auto"/>
                    <w:right w:val="none" w:sz="0" w:space="0" w:color="auto"/>
                  </w:divBdr>
                  <w:divsChild>
                    <w:div w:id="3417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489342">
      <w:bodyDiv w:val="1"/>
      <w:marLeft w:val="0"/>
      <w:marRight w:val="0"/>
      <w:marTop w:val="0"/>
      <w:marBottom w:val="0"/>
      <w:divBdr>
        <w:top w:val="none" w:sz="0" w:space="0" w:color="auto"/>
        <w:left w:val="none" w:sz="0" w:space="0" w:color="auto"/>
        <w:bottom w:val="none" w:sz="0" w:space="0" w:color="auto"/>
        <w:right w:val="none" w:sz="0" w:space="0" w:color="auto"/>
      </w:divBdr>
      <w:divsChild>
        <w:div w:id="541478154">
          <w:marLeft w:val="0"/>
          <w:marRight w:val="0"/>
          <w:marTop w:val="0"/>
          <w:marBottom w:val="0"/>
          <w:divBdr>
            <w:top w:val="none" w:sz="0" w:space="0" w:color="auto"/>
            <w:left w:val="none" w:sz="0" w:space="0" w:color="auto"/>
            <w:bottom w:val="none" w:sz="0" w:space="0" w:color="auto"/>
            <w:right w:val="none" w:sz="0" w:space="0" w:color="auto"/>
          </w:divBdr>
          <w:divsChild>
            <w:div w:id="1240991131">
              <w:marLeft w:val="0"/>
              <w:marRight w:val="0"/>
              <w:marTop w:val="0"/>
              <w:marBottom w:val="0"/>
              <w:divBdr>
                <w:top w:val="none" w:sz="0" w:space="0" w:color="auto"/>
                <w:left w:val="none" w:sz="0" w:space="0" w:color="auto"/>
                <w:bottom w:val="none" w:sz="0" w:space="0" w:color="auto"/>
                <w:right w:val="none" w:sz="0" w:space="0" w:color="auto"/>
              </w:divBdr>
              <w:divsChild>
                <w:div w:id="626355043">
                  <w:marLeft w:val="0"/>
                  <w:marRight w:val="0"/>
                  <w:marTop w:val="0"/>
                  <w:marBottom w:val="0"/>
                  <w:divBdr>
                    <w:top w:val="none" w:sz="0" w:space="0" w:color="auto"/>
                    <w:left w:val="none" w:sz="0" w:space="0" w:color="auto"/>
                    <w:bottom w:val="none" w:sz="0" w:space="0" w:color="auto"/>
                    <w:right w:val="none" w:sz="0" w:space="0" w:color="auto"/>
                  </w:divBdr>
                  <w:divsChild>
                    <w:div w:id="1047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389240">
      <w:bodyDiv w:val="1"/>
      <w:marLeft w:val="0"/>
      <w:marRight w:val="0"/>
      <w:marTop w:val="0"/>
      <w:marBottom w:val="0"/>
      <w:divBdr>
        <w:top w:val="none" w:sz="0" w:space="0" w:color="auto"/>
        <w:left w:val="none" w:sz="0" w:space="0" w:color="auto"/>
        <w:bottom w:val="none" w:sz="0" w:space="0" w:color="auto"/>
        <w:right w:val="none" w:sz="0" w:space="0" w:color="auto"/>
      </w:divBdr>
    </w:div>
    <w:div w:id="443160095">
      <w:bodyDiv w:val="1"/>
      <w:marLeft w:val="0"/>
      <w:marRight w:val="0"/>
      <w:marTop w:val="0"/>
      <w:marBottom w:val="0"/>
      <w:divBdr>
        <w:top w:val="none" w:sz="0" w:space="0" w:color="auto"/>
        <w:left w:val="none" w:sz="0" w:space="0" w:color="auto"/>
        <w:bottom w:val="none" w:sz="0" w:space="0" w:color="auto"/>
        <w:right w:val="none" w:sz="0" w:space="0" w:color="auto"/>
      </w:divBdr>
      <w:divsChild>
        <w:div w:id="558172668">
          <w:marLeft w:val="0"/>
          <w:marRight w:val="0"/>
          <w:marTop w:val="0"/>
          <w:marBottom w:val="0"/>
          <w:divBdr>
            <w:top w:val="none" w:sz="0" w:space="0" w:color="auto"/>
            <w:left w:val="none" w:sz="0" w:space="0" w:color="auto"/>
            <w:bottom w:val="none" w:sz="0" w:space="0" w:color="auto"/>
            <w:right w:val="none" w:sz="0" w:space="0" w:color="auto"/>
          </w:divBdr>
          <w:divsChild>
            <w:div w:id="771705658">
              <w:marLeft w:val="0"/>
              <w:marRight w:val="0"/>
              <w:marTop w:val="0"/>
              <w:marBottom w:val="0"/>
              <w:divBdr>
                <w:top w:val="none" w:sz="0" w:space="0" w:color="auto"/>
                <w:left w:val="none" w:sz="0" w:space="0" w:color="auto"/>
                <w:bottom w:val="none" w:sz="0" w:space="0" w:color="auto"/>
                <w:right w:val="none" w:sz="0" w:space="0" w:color="auto"/>
              </w:divBdr>
              <w:divsChild>
                <w:div w:id="1922642982">
                  <w:marLeft w:val="0"/>
                  <w:marRight w:val="0"/>
                  <w:marTop w:val="0"/>
                  <w:marBottom w:val="0"/>
                  <w:divBdr>
                    <w:top w:val="none" w:sz="0" w:space="0" w:color="auto"/>
                    <w:left w:val="none" w:sz="0" w:space="0" w:color="auto"/>
                    <w:bottom w:val="none" w:sz="0" w:space="0" w:color="auto"/>
                    <w:right w:val="none" w:sz="0" w:space="0" w:color="auto"/>
                  </w:divBdr>
                  <w:divsChild>
                    <w:div w:id="15564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12775">
          <w:marLeft w:val="0"/>
          <w:marRight w:val="0"/>
          <w:marTop w:val="0"/>
          <w:marBottom w:val="0"/>
          <w:divBdr>
            <w:top w:val="none" w:sz="0" w:space="0" w:color="auto"/>
            <w:left w:val="none" w:sz="0" w:space="0" w:color="auto"/>
            <w:bottom w:val="none" w:sz="0" w:space="0" w:color="auto"/>
            <w:right w:val="none" w:sz="0" w:space="0" w:color="auto"/>
          </w:divBdr>
          <w:divsChild>
            <w:div w:id="1520467709">
              <w:marLeft w:val="0"/>
              <w:marRight w:val="0"/>
              <w:marTop w:val="0"/>
              <w:marBottom w:val="0"/>
              <w:divBdr>
                <w:top w:val="none" w:sz="0" w:space="0" w:color="auto"/>
                <w:left w:val="none" w:sz="0" w:space="0" w:color="auto"/>
                <w:bottom w:val="none" w:sz="0" w:space="0" w:color="auto"/>
                <w:right w:val="none" w:sz="0" w:space="0" w:color="auto"/>
              </w:divBdr>
              <w:divsChild>
                <w:div w:id="601380602">
                  <w:marLeft w:val="0"/>
                  <w:marRight w:val="0"/>
                  <w:marTop w:val="0"/>
                  <w:marBottom w:val="0"/>
                  <w:divBdr>
                    <w:top w:val="none" w:sz="0" w:space="0" w:color="auto"/>
                    <w:left w:val="none" w:sz="0" w:space="0" w:color="auto"/>
                    <w:bottom w:val="none" w:sz="0" w:space="0" w:color="auto"/>
                    <w:right w:val="none" w:sz="0" w:space="0" w:color="auto"/>
                  </w:divBdr>
                  <w:divsChild>
                    <w:div w:id="1642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576527">
      <w:bodyDiv w:val="1"/>
      <w:marLeft w:val="0"/>
      <w:marRight w:val="0"/>
      <w:marTop w:val="0"/>
      <w:marBottom w:val="0"/>
      <w:divBdr>
        <w:top w:val="none" w:sz="0" w:space="0" w:color="auto"/>
        <w:left w:val="none" w:sz="0" w:space="0" w:color="auto"/>
        <w:bottom w:val="none" w:sz="0" w:space="0" w:color="auto"/>
        <w:right w:val="none" w:sz="0" w:space="0" w:color="auto"/>
      </w:divBdr>
      <w:divsChild>
        <w:div w:id="1465462204">
          <w:marLeft w:val="0"/>
          <w:marRight w:val="0"/>
          <w:marTop w:val="0"/>
          <w:marBottom w:val="0"/>
          <w:divBdr>
            <w:top w:val="none" w:sz="0" w:space="0" w:color="auto"/>
            <w:left w:val="none" w:sz="0" w:space="0" w:color="auto"/>
            <w:bottom w:val="none" w:sz="0" w:space="0" w:color="auto"/>
            <w:right w:val="none" w:sz="0" w:space="0" w:color="auto"/>
          </w:divBdr>
          <w:divsChild>
            <w:div w:id="1112480255">
              <w:marLeft w:val="0"/>
              <w:marRight w:val="0"/>
              <w:marTop w:val="0"/>
              <w:marBottom w:val="0"/>
              <w:divBdr>
                <w:top w:val="none" w:sz="0" w:space="0" w:color="auto"/>
                <w:left w:val="none" w:sz="0" w:space="0" w:color="auto"/>
                <w:bottom w:val="none" w:sz="0" w:space="0" w:color="auto"/>
                <w:right w:val="none" w:sz="0" w:space="0" w:color="auto"/>
              </w:divBdr>
              <w:divsChild>
                <w:div w:id="129121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690664">
      <w:bodyDiv w:val="1"/>
      <w:marLeft w:val="0"/>
      <w:marRight w:val="0"/>
      <w:marTop w:val="0"/>
      <w:marBottom w:val="0"/>
      <w:divBdr>
        <w:top w:val="none" w:sz="0" w:space="0" w:color="auto"/>
        <w:left w:val="none" w:sz="0" w:space="0" w:color="auto"/>
        <w:bottom w:val="none" w:sz="0" w:space="0" w:color="auto"/>
        <w:right w:val="none" w:sz="0" w:space="0" w:color="auto"/>
      </w:divBdr>
      <w:divsChild>
        <w:div w:id="1844855570">
          <w:marLeft w:val="0"/>
          <w:marRight w:val="0"/>
          <w:marTop w:val="0"/>
          <w:marBottom w:val="0"/>
          <w:divBdr>
            <w:top w:val="none" w:sz="0" w:space="0" w:color="auto"/>
            <w:left w:val="none" w:sz="0" w:space="0" w:color="auto"/>
            <w:bottom w:val="none" w:sz="0" w:space="0" w:color="auto"/>
            <w:right w:val="none" w:sz="0" w:space="0" w:color="auto"/>
          </w:divBdr>
          <w:divsChild>
            <w:div w:id="861093992">
              <w:marLeft w:val="0"/>
              <w:marRight w:val="0"/>
              <w:marTop w:val="0"/>
              <w:marBottom w:val="0"/>
              <w:divBdr>
                <w:top w:val="none" w:sz="0" w:space="0" w:color="auto"/>
                <w:left w:val="none" w:sz="0" w:space="0" w:color="auto"/>
                <w:bottom w:val="none" w:sz="0" w:space="0" w:color="auto"/>
                <w:right w:val="none" w:sz="0" w:space="0" w:color="auto"/>
              </w:divBdr>
              <w:divsChild>
                <w:div w:id="108587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78007">
      <w:bodyDiv w:val="1"/>
      <w:marLeft w:val="0"/>
      <w:marRight w:val="0"/>
      <w:marTop w:val="0"/>
      <w:marBottom w:val="0"/>
      <w:divBdr>
        <w:top w:val="none" w:sz="0" w:space="0" w:color="auto"/>
        <w:left w:val="none" w:sz="0" w:space="0" w:color="auto"/>
        <w:bottom w:val="none" w:sz="0" w:space="0" w:color="auto"/>
        <w:right w:val="none" w:sz="0" w:space="0" w:color="auto"/>
      </w:divBdr>
      <w:divsChild>
        <w:div w:id="1776754197">
          <w:marLeft w:val="0"/>
          <w:marRight w:val="0"/>
          <w:marTop w:val="0"/>
          <w:marBottom w:val="0"/>
          <w:divBdr>
            <w:top w:val="none" w:sz="0" w:space="0" w:color="auto"/>
            <w:left w:val="none" w:sz="0" w:space="0" w:color="auto"/>
            <w:bottom w:val="none" w:sz="0" w:space="0" w:color="auto"/>
            <w:right w:val="none" w:sz="0" w:space="0" w:color="auto"/>
          </w:divBdr>
          <w:divsChild>
            <w:div w:id="45641251">
              <w:marLeft w:val="0"/>
              <w:marRight w:val="0"/>
              <w:marTop w:val="0"/>
              <w:marBottom w:val="0"/>
              <w:divBdr>
                <w:top w:val="none" w:sz="0" w:space="0" w:color="auto"/>
                <w:left w:val="none" w:sz="0" w:space="0" w:color="auto"/>
                <w:bottom w:val="none" w:sz="0" w:space="0" w:color="auto"/>
                <w:right w:val="none" w:sz="0" w:space="0" w:color="auto"/>
              </w:divBdr>
              <w:divsChild>
                <w:div w:id="2071148001">
                  <w:marLeft w:val="0"/>
                  <w:marRight w:val="0"/>
                  <w:marTop w:val="0"/>
                  <w:marBottom w:val="0"/>
                  <w:divBdr>
                    <w:top w:val="none" w:sz="0" w:space="0" w:color="auto"/>
                    <w:left w:val="none" w:sz="0" w:space="0" w:color="auto"/>
                    <w:bottom w:val="none" w:sz="0" w:space="0" w:color="auto"/>
                    <w:right w:val="none" w:sz="0" w:space="0" w:color="auto"/>
                  </w:divBdr>
                  <w:divsChild>
                    <w:div w:id="2992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393874">
      <w:bodyDiv w:val="1"/>
      <w:marLeft w:val="0"/>
      <w:marRight w:val="0"/>
      <w:marTop w:val="0"/>
      <w:marBottom w:val="0"/>
      <w:divBdr>
        <w:top w:val="none" w:sz="0" w:space="0" w:color="auto"/>
        <w:left w:val="none" w:sz="0" w:space="0" w:color="auto"/>
        <w:bottom w:val="none" w:sz="0" w:space="0" w:color="auto"/>
        <w:right w:val="none" w:sz="0" w:space="0" w:color="auto"/>
      </w:divBdr>
      <w:divsChild>
        <w:div w:id="1521509887">
          <w:marLeft w:val="0"/>
          <w:marRight w:val="0"/>
          <w:marTop w:val="0"/>
          <w:marBottom w:val="0"/>
          <w:divBdr>
            <w:top w:val="none" w:sz="0" w:space="0" w:color="auto"/>
            <w:left w:val="none" w:sz="0" w:space="0" w:color="auto"/>
            <w:bottom w:val="none" w:sz="0" w:space="0" w:color="auto"/>
            <w:right w:val="none" w:sz="0" w:space="0" w:color="auto"/>
          </w:divBdr>
          <w:divsChild>
            <w:div w:id="318923335">
              <w:marLeft w:val="0"/>
              <w:marRight w:val="0"/>
              <w:marTop w:val="0"/>
              <w:marBottom w:val="0"/>
              <w:divBdr>
                <w:top w:val="none" w:sz="0" w:space="0" w:color="auto"/>
                <w:left w:val="none" w:sz="0" w:space="0" w:color="auto"/>
                <w:bottom w:val="none" w:sz="0" w:space="0" w:color="auto"/>
                <w:right w:val="none" w:sz="0" w:space="0" w:color="auto"/>
              </w:divBdr>
              <w:divsChild>
                <w:div w:id="11832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26065">
      <w:bodyDiv w:val="1"/>
      <w:marLeft w:val="0"/>
      <w:marRight w:val="0"/>
      <w:marTop w:val="0"/>
      <w:marBottom w:val="0"/>
      <w:divBdr>
        <w:top w:val="none" w:sz="0" w:space="0" w:color="auto"/>
        <w:left w:val="none" w:sz="0" w:space="0" w:color="auto"/>
        <w:bottom w:val="none" w:sz="0" w:space="0" w:color="auto"/>
        <w:right w:val="none" w:sz="0" w:space="0" w:color="auto"/>
      </w:divBdr>
    </w:div>
    <w:div w:id="450128895">
      <w:bodyDiv w:val="1"/>
      <w:marLeft w:val="0"/>
      <w:marRight w:val="0"/>
      <w:marTop w:val="0"/>
      <w:marBottom w:val="0"/>
      <w:divBdr>
        <w:top w:val="none" w:sz="0" w:space="0" w:color="auto"/>
        <w:left w:val="none" w:sz="0" w:space="0" w:color="auto"/>
        <w:bottom w:val="none" w:sz="0" w:space="0" w:color="auto"/>
        <w:right w:val="none" w:sz="0" w:space="0" w:color="auto"/>
      </w:divBdr>
      <w:divsChild>
        <w:div w:id="1487235837">
          <w:marLeft w:val="0"/>
          <w:marRight w:val="0"/>
          <w:marTop w:val="0"/>
          <w:marBottom w:val="0"/>
          <w:divBdr>
            <w:top w:val="none" w:sz="0" w:space="0" w:color="auto"/>
            <w:left w:val="none" w:sz="0" w:space="0" w:color="auto"/>
            <w:bottom w:val="none" w:sz="0" w:space="0" w:color="auto"/>
            <w:right w:val="none" w:sz="0" w:space="0" w:color="auto"/>
          </w:divBdr>
          <w:divsChild>
            <w:div w:id="1471362594">
              <w:marLeft w:val="0"/>
              <w:marRight w:val="0"/>
              <w:marTop w:val="0"/>
              <w:marBottom w:val="0"/>
              <w:divBdr>
                <w:top w:val="none" w:sz="0" w:space="0" w:color="auto"/>
                <w:left w:val="none" w:sz="0" w:space="0" w:color="auto"/>
                <w:bottom w:val="none" w:sz="0" w:space="0" w:color="auto"/>
                <w:right w:val="none" w:sz="0" w:space="0" w:color="auto"/>
              </w:divBdr>
              <w:divsChild>
                <w:div w:id="1419863199">
                  <w:marLeft w:val="0"/>
                  <w:marRight w:val="0"/>
                  <w:marTop w:val="0"/>
                  <w:marBottom w:val="0"/>
                  <w:divBdr>
                    <w:top w:val="none" w:sz="0" w:space="0" w:color="auto"/>
                    <w:left w:val="none" w:sz="0" w:space="0" w:color="auto"/>
                    <w:bottom w:val="none" w:sz="0" w:space="0" w:color="auto"/>
                    <w:right w:val="none" w:sz="0" w:space="0" w:color="auto"/>
                  </w:divBdr>
                  <w:divsChild>
                    <w:div w:id="7216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988410">
      <w:bodyDiv w:val="1"/>
      <w:marLeft w:val="0"/>
      <w:marRight w:val="0"/>
      <w:marTop w:val="0"/>
      <w:marBottom w:val="0"/>
      <w:divBdr>
        <w:top w:val="none" w:sz="0" w:space="0" w:color="auto"/>
        <w:left w:val="none" w:sz="0" w:space="0" w:color="auto"/>
        <w:bottom w:val="none" w:sz="0" w:space="0" w:color="auto"/>
        <w:right w:val="none" w:sz="0" w:space="0" w:color="auto"/>
      </w:divBdr>
      <w:divsChild>
        <w:div w:id="1704818517">
          <w:marLeft w:val="0"/>
          <w:marRight w:val="0"/>
          <w:marTop w:val="0"/>
          <w:marBottom w:val="0"/>
          <w:divBdr>
            <w:top w:val="none" w:sz="0" w:space="0" w:color="auto"/>
            <w:left w:val="none" w:sz="0" w:space="0" w:color="auto"/>
            <w:bottom w:val="none" w:sz="0" w:space="0" w:color="auto"/>
            <w:right w:val="none" w:sz="0" w:space="0" w:color="auto"/>
          </w:divBdr>
          <w:divsChild>
            <w:div w:id="1969581436">
              <w:marLeft w:val="0"/>
              <w:marRight w:val="0"/>
              <w:marTop w:val="0"/>
              <w:marBottom w:val="0"/>
              <w:divBdr>
                <w:top w:val="none" w:sz="0" w:space="0" w:color="auto"/>
                <w:left w:val="none" w:sz="0" w:space="0" w:color="auto"/>
                <w:bottom w:val="none" w:sz="0" w:space="0" w:color="auto"/>
                <w:right w:val="none" w:sz="0" w:space="0" w:color="auto"/>
              </w:divBdr>
              <w:divsChild>
                <w:div w:id="1514685084">
                  <w:marLeft w:val="0"/>
                  <w:marRight w:val="0"/>
                  <w:marTop w:val="0"/>
                  <w:marBottom w:val="0"/>
                  <w:divBdr>
                    <w:top w:val="none" w:sz="0" w:space="0" w:color="auto"/>
                    <w:left w:val="none" w:sz="0" w:space="0" w:color="auto"/>
                    <w:bottom w:val="none" w:sz="0" w:space="0" w:color="auto"/>
                    <w:right w:val="none" w:sz="0" w:space="0" w:color="auto"/>
                  </w:divBdr>
                  <w:divsChild>
                    <w:div w:id="212422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77981">
      <w:bodyDiv w:val="1"/>
      <w:marLeft w:val="0"/>
      <w:marRight w:val="0"/>
      <w:marTop w:val="0"/>
      <w:marBottom w:val="0"/>
      <w:divBdr>
        <w:top w:val="none" w:sz="0" w:space="0" w:color="auto"/>
        <w:left w:val="none" w:sz="0" w:space="0" w:color="auto"/>
        <w:bottom w:val="none" w:sz="0" w:space="0" w:color="auto"/>
        <w:right w:val="none" w:sz="0" w:space="0" w:color="auto"/>
      </w:divBdr>
      <w:divsChild>
        <w:div w:id="382825874">
          <w:marLeft w:val="0"/>
          <w:marRight w:val="0"/>
          <w:marTop w:val="0"/>
          <w:marBottom w:val="0"/>
          <w:divBdr>
            <w:top w:val="none" w:sz="0" w:space="0" w:color="auto"/>
            <w:left w:val="none" w:sz="0" w:space="0" w:color="auto"/>
            <w:bottom w:val="none" w:sz="0" w:space="0" w:color="auto"/>
            <w:right w:val="none" w:sz="0" w:space="0" w:color="auto"/>
          </w:divBdr>
          <w:divsChild>
            <w:div w:id="924456849">
              <w:marLeft w:val="0"/>
              <w:marRight w:val="0"/>
              <w:marTop w:val="0"/>
              <w:marBottom w:val="0"/>
              <w:divBdr>
                <w:top w:val="none" w:sz="0" w:space="0" w:color="auto"/>
                <w:left w:val="none" w:sz="0" w:space="0" w:color="auto"/>
                <w:bottom w:val="none" w:sz="0" w:space="0" w:color="auto"/>
                <w:right w:val="none" w:sz="0" w:space="0" w:color="auto"/>
              </w:divBdr>
              <w:divsChild>
                <w:div w:id="99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5175">
      <w:bodyDiv w:val="1"/>
      <w:marLeft w:val="0"/>
      <w:marRight w:val="0"/>
      <w:marTop w:val="0"/>
      <w:marBottom w:val="0"/>
      <w:divBdr>
        <w:top w:val="none" w:sz="0" w:space="0" w:color="auto"/>
        <w:left w:val="none" w:sz="0" w:space="0" w:color="auto"/>
        <w:bottom w:val="none" w:sz="0" w:space="0" w:color="auto"/>
        <w:right w:val="none" w:sz="0" w:space="0" w:color="auto"/>
      </w:divBdr>
    </w:div>
    <w:div w:id="478379178">
      <w:bodyDiv w:val="1"/>
      <w:marLeft w:val="0"/>
      <w:marRight w:val="0"/>
      <w:marTop w:val="0"/>
      <w:marBottom w:val="0"/>
      <w:divBdr>
        <w:top w:val="none" w:sz="0" w:space="0" w:color="auto"/>
        <w:left w:val="none" w:sz="0" w:space="0" w:color="auto"/>
        <w:bottom w:val="none" w:sz="0" w:space="0" w:color="auto"/>
        <w:right w:val="none" w:sz="0" w:space="0" w:color="auto"/>
      </w:divBdr>
      <w:divsChild>
        <w:div w:id="598294843">
          <w:marLeft w:val="0"/>
          <w:marRight w:val="0"/>
          <w:marTop w:val="0"/>
          <w:marBottom w:val="0"/>
          <w:divBdr>
            <w:top w:val="none" w:sz="0" w:space="0" w:color="auto"/>
            <w:left w:val="none" w:sz="0" w:space="0" w:color="auto"/>
            <w:bottom w:val="none" w:sz="0" w:space="0" w:color="auto"/>
            <w:right w:val="none" w:sz="0" w:space="0" w:color="auto"/>
          </w:divBdr>
          <w:divsChild>
            <w:div w:id="242028379">
              <w:marLeft w:val="0"/>
              <w:marRight w:val="0"/>
              <w:marTop w:val="0"/>
              <w:marBottom w:val="0"/>
              <w:divBdr>
                <w:top w:val="none" w:sz="0" w:space="0" w:color="auto"/>
                <w:left w:val="none" w:sz="0" w:space="0" w:color="auto"/>
                <w:bottom w:val="none" w:sz="0" w:space="0" w:color="auto"/>
                <w:right w:val="none" w:sz="0" w:space="0" w:color="auto"/>
              </w:divBdr>
              <w:divsChild>
                <w:div w:id="11208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18002">
      <w:bodyDiv w:val="1"/>
      <w:marLeft w:val="0"/>
      <w:marRight w:val="0"/>
      <w:marTop w:val="0"/>
      <w:marBottom w:val="0"/>
      <w:divBdr>
        <w:top w:val="none" w:sz="0" w:space="0" w:color="auto"/>
        <w:left w:val="none" w:sz="0" w:space="0" w:color="auto"/>
        <w:bottom w:val="none" w:sz="0" w:space="0" w:color="auto"/>
        <w:right w:val="none" w:sz="0" w:space="0" w:color="auto"/>
      </w:divBdr>
      <w:divsChild>
        <w:div w:id="1012729937">
          <w:marLeft w:val="0"/>
          <w:marRight w:val="0"/>
          <w:marTop w:val="0"/>
          <w:marBottom w:val="0"/>
          <w:divBdr>
            <w:top w:val="none" w:sz="0" w:space="0" w:color="auto"/>
            <w:left w:val="none" w:sz="0" w:space="0" w:color="auto"/>
            <w:bottom w:val="none" w:sz="0" w:space="0" w:color="auto"/>
            <w:right w:val="none" w:sz="0" w:space="0" w:color="auto"/>
          </w:divBdr>
          <w:divsChild>
            <w:div w:id="1271857183">
              <w:marLeft w:val="0"/>
              <w:marRight w:val="0"/>
              <w:marTop w:val="0"/>
              <w:marBottom w:val="0"/>
              <w:divBdr>
                <w:top w:val="none" w:sz="0" w:space="0" w:color="auto"/>
                <w:left w:val="none" w:sz="0" w:space="0" w:color="auto"/>
                <w:bottom w:val="none" w:sz="0" w:space="0" w:color="auto"/>
                <w:right w:val="none" w:sz="0" w:space="0" w:color="auto"/>
              </w:divBdr>
              <w:divsChild>
                <w:div w:id="201349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75329">
      <w:bodyDiv w:val="1"/>
      <w:marLeft w:val="0"/>
      <w:marRight w:val="0"/>
      <w:marTop w:val="0"/>
      <w:marBottom w:val="0"/>
      <w:divBdr>
        <w:top w:val="none" w:sz="0" w:space="0" w:color="auto"/>
        <w:left w:val="none" w:sz="0" w:space="0" w:color="auto"/>
        <w:bottom w:val="none" w:sz="0" w:space="0" w:color="auto"/>
        <w:right w:val="none" w:sz="0" w:space="0" w:color="auto"/>
      </w:divBdr>
      <w:divsChild>
        <w:div w:id="600798157">
          <w:marLeft w:val="0"/>
          <w:marRight w:val="0"/>
          <w:marTop w:val="0"/>
          <w:marBottom w:val="0"/>
          <w:divBdr>
            <w:top w:val="none" w:sz="0" w:space="0" w:color="auto"/>
            <w:left w:val="none" w:sz="0" w:space="0" w:color="auto"/>
            <w:bottom w:val="none" w:sz="0" w:space="0" w:color="auto"/>
            <w:right w:val="none" w:sz="0" w:space="0" w:color="auto"/>
          </w:divBdr>
          <w:divsChild>
            <w:div w:id="2101178714">
              <w:marLeft w:val="0"/>
              <w:marRight w:val="0"/>
              <w:marTop w:val="0"/>
              <w:marBottom w:val="0"/>
              <w:divBdr>
                <w:top w:val="none" w:sz="0" w:space="0" w:color="auto"/>
                <w:left w:val="none" w:sz="0" w:space="0" w:color="auto"/>
                <w:bottom w:val="none" w:sz="0" w:space="0" w:color="auto"/>
                <w:right w:val="none" w:sz="0" w:space="0" w:color="auto"/>
              </w:divBdr>
              <w:divsChild>
                <w:div w:id="4822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55877">
      <w:bodyDiv w:val="1"/>
      <w:marLeft w:val="0"/>
      <w:marRight w:val="0"/>
      <w:marTop w:val="0"/>
      <w:marBottom w:val="0"/>
      <w:divBdr>
        <w:top w:val="none" w:sz="0" w:space="0" w:color="auto"/>
        <w:left w:val="none" w:sz="0" w:space="0" w:color="auto"/>
        <w:bottom w:val="none" w:sz="0" w:space="0" w:color="auto"/>
        <w:right w:val="none" w:sz="0" w:space="0" w:color="auto"/>
      </w:divBdr>
      <w:divsChild>
        <w:div w:id="1807969755">
          <w:marLeft w:val="0"/>
          <w:marRight w:val="0"/>
          <w:marTop w:val="0"/>
          <w:marBottom w:val="0"/>
          <w:divBdr>
            <w:top w:val="none" w:sz="0" w:space="0" w:color="auto"/>
            <w:left w:val="none" w:sz="0" w:space="0" w:color="auto"/>
            <w:bottom w:val="none" w:sz="0" w:space="0" w:color="auto"/>
            <w:right w:val="none" w:sz="0" w:space="0" w:color="auto"/>
          </w:divBdr>
          <w:divsChild>
            <w:div w:id="218906154">
              <w:marLeft w:val="0"/>
              <w:marRight w:val="0"/>
              <w:marTop w:val="0"/>
              <w:marBottom w:val="0"/>
              <w:divBdr>
                <w:top w:val="none" w:sz="0" w:space="0" w:color="auto"/>
                <w:left w:val="none" w:sz="0" w:space="0" w:color="auto"/>
                <w:bottom w:val="none" w:sz="0" w:space="0" w:color="auto"/>
                <w:right w:val="none" w:sz="0" w:space="0" w:color="auto"/>
              </w:divBdr>
              <w:divsChild>
                <w:div w:id="5019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22017">
      <w:bodyDiv w:val="1"/>
      <w:marLeft w:val="0"/>
      <w:marRight w:val="0"/>
      <w:marTop w:val="0"/>
      <w:marBottom w:val="0"/>
      <w:divBdr>
        <w:top w:val="none" w:sz="0" w:space="0" w:color="auto"/>
        <w:left w:val="none" w:sz="0" w:space="0" w:color="auto"/>
        <w:bottom w:val="none" w:sz="0" w:space="0" w:color="auto"/>
        <w:right w:val="none" w:sz="0" w:space="0" w:color="auto"/>
      </w:divBdr>
    </w:div>
    <w:div w:id="492987990">
      <w:bodyDiv w:val="1"/>
      <w:marLeft w:val="0"/>
      <w:marRight w:val="0"/>
      <w:marTop w:val="0"/>
      <w:marBottom w:val="0"/>
      <w:divBdr>
        <w:top w:val="none" w:sz="0" w:space="0" w:color="auto"/>
        <w:left w:val="none" w:sz="0" w:space="0" w:color="auto"/>
        <w:bottom w:val="none" w:sz="0" w:space="0" w:color="auto"/>
        <w:right w:val="none" w:sz="0" w:space="0" w:color="auto"/>
      </w:divBdr>
      <w:divsChild>
        <w:div w:id="1905066959">
          <w:marLeft w:val="0"/>
          <w:marRight w:val="0"/>
          <w:marTop w:val="0"/>
          <w:marBottom w:val="0"/>
          <w:divBdr>
            <w:top w:val="none" w:sz="0" w:space="0" w:color="auto"/>
            <w:left w:val="none" w:sz="0" w:space="0" w:color="auto"/>
            <w:bottom w:val="none" w:sz="0" w:space="0" w:color="auto"/>
            <w:right w:val="none" w:sz="0" w:space="0" w:color="auto"/>
          </w:divBdr>
          <w:divsChild>
            <w:div w:id="608006672">
              <w:marLeft w:val="0"/>
              <w:marRight w:val="0"/>
              <w:marTop w:val="0"/>
              <w:marBottom w:val="0"/>
              <w:divBdr>
                <w:top w:val="none" w:sz="0" w:space="0" w:color="auto"/>
                <w:left w:val="none" w:sz="0" w:space="0" w:color="auto"/>
                <w:bottom w:val="none" w:sz="0" w:space="0" w:color="auto"/>
                <w:right w:val="none" w:sz="0" w:space="0" w:color="auto"/>
              </w:divBdr>
              <w:divsChild>
                <w:div w:id="3689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88236">
      <w:bodyDiv w:val="1"/>
      <w:marLeft w:val="0"/>
      <w:marRight w:val="0"/>
      <w:marTop w:val="0"/>
      <w:marBottom w:val="0"/>
      <w:divBdr>
        <w:top w:val="none" w:sz="0" w:space="0" w:color="auto"/>
        <w:left w:val="none" w:sz="0" w:space="0" w:color="auto"/>
        <w:bottom w:val="none" w:sz="0" w:space="0" w:color="auto"/>
        <w:right w:val="none" w:sz="0" w:space="0" w:color="auto"/>
      </w:divBdr>
      <w:divsChild>
        <w:div w:id="1281840882">
          <w:marLeft w:val="0"/>
          <w:marRight w:val="0"/>
          <w:marTop w:val="0"/>
          <w:marBottom w:val="0"/>
          <w:divBdr>
            <w:top w:val="none" w:sz="0" w:space="0" w:color="auto"/>
            <w:left w:val="none" w:sz="0" w:space="0" w:color="auto"/>
            <w:bottom w:val="none" w:sz="0" w:space="0" w:color="auto"/>
            <w:right w:val="none" w:sz="0" w:space="0" w:color="auto"/>
          </w:divBdr>
          <w:divsChild>
            <w:div w:id="1506940561">
              <w:marLeft w:val="0"/>
              <w:marRight w:val="0"/>
              <w:marTop w:val="0"/>
              <w:marBottom w:val="0"/>
              <w:divBdr>
                <w:top w:val="none" w:sz="0" w:space="0" w:color="auto"/>
                <w:left w:val="none" w:sz="0" w:space="0" w:color="auto"/>
                <w:bottom w:val="none" w:sz="0" w:space="0" w:color="auto"/>
                <w:right w:val="none" w:sz="0" w:space="0" w:color="auto"/>
              </w:divBdr>
              <w:divsChild>
                <w:div w:id="3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485530">
      <w:bodyDiv w:val="1"/>
      <w:marLeft w:val="0"/>
      <w:marRight w:val="0"/>
      <w:marTop w:val="0"/>
      <w:marBottom w:val="0"/>
      <w:divBdr>
        <w:top w:val="none" w:sz="0" w:space="0" w:color="auto"/>
        <w:left w:val="none" w:sz="0" w:space="0" w:color="auto"/>
        <w:bottom w:val="none" w:sz="0" w:space="0" w:color="auto"/>
        <w:right w:val="none" w:sz="0" w:space="0" w:color="auto"/>
      </w:divBdr>
      <w:divsChild>
        <w:div w:id="1855920237">
          <w:marLeft w:val="0"/>
          <w:marRight w:val="0"/>
          <w:marTop w:val="0"/>
          <w:marBottom w:val="0"/>
          <w:divBdr>
            <w:top w:val="none" w:sz="0" w:space="0" w:color="auto"/>
            <w:left w:val="none" w:sz="0" w:space="0" w:color="auto"/>
            <w:bottom w:val="none" w:sz="0" w:space="0" w:color="auto"/>
            <w:right w:val="none" w:sz="0" w:space="0" w:color="auto"/>
          </w:divBdr>
          <w:divsChild>
            <w:div w:id="1233614035">
              <w:marLeft w:val="0"/>
              <w:marRight w:val="0"/>
              <w:marTop w:val="0"/>
              <w:marBottom w:val="0"/>
              <w:divBdr>
                <w:top w:val="none" w:sz="0" w:space="0" w:color="auto"/>
                <w:left w:val="none" w:sz="0" w:space="0" w:color="auto"/>
                <w:bottom w:val="none" w:sz="0" w:space="0" w:color="auto"/>
                <w:right w:val="none" w:sz="0" w:space="0" w:color="auto"/>
              </w:divBdr>
              <w:divsChild>
                <w:div w:id="201853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827019">
      <w:bodyDiv w:val="1"/>
      <w:marLeft w:val="0"/>
      <w:marRight w:val="0"/>
      <w:marTop w:val="0"/>
      <w:marBottom w:val="0"/>
      <w:divBdr>
        <w:top w:val="none" w:sz="0" w:space="0" w:color="auto"/>
        <w:left w:val="none" w:sz="0" w:space="0" w:color="auto"/>
        <w:bottom w:val="none" w:sz="0" w:space="0" w:color="auto"/>
        <w:right w:val="none" w:sz="0" w:space="0" w:color="auto"/>
      </w:divBdr>
      <w:divsChild>
        <w:div w:id="1040201379">
          <w:marLeft w:val="0"/>
          <w:marRight w:val="0"/>
          <w:marTop w:val="0"/>
          <w:marBottom w:val="0"/>
          <w:divBdr>
            <w:top w:val="none" w:sz="0" w:space="0" w:color="auto"/>
            <w:left w:val="none" w:sz="0" w:space="0" w:color="auto"/>
            <w:bottom w:val="none" w:sz="0" w:space="0" w:color="auto"/>
            <w:right w:val="none" w:sz="0" w:space="0" w:color="auto"/>
          </w:divBdr>
          <w:divsChild>
            <w:div w:id="1401369225">
              <w:marLeft w:val="0"/>
              <w:marRight w:val="0"/>
              <w:marTop w:val="0"/>
              <w:marBottom w:val="0"/>
              <w:divBdr>
                <w:top w:val="none" w:sz="0" w:space="0" w:color="auto"/>
                <w:left w:val="none" w:sz="0" w:space="0" w:color="auto"/>
                <w:bottom w:val="none" w:sz="0" w:space="0" w:color="auto"/>
                <w:right w:val="none" w:sz="0" w:space="0" w:color="auto"/>
              </w:divBdr>
              <w:divsChild>
                <w:div w:id="1995066619">
                  <w:marLeft w:val="0"/>
                  <w:marRight w:val="0"/>
                  <w:marTop w:val="0"/>
                  <w:marBottom w:val="0"/>
                  <w:divBdr>
                    <w:top w:val="none" w:sz="0" w:space="0" w:color="auto"/>
                    <w:left w:val="none" w:sz="0" w:space="0" w:color="auto"/>
                    <w:bottom w:val="none" w:sz="0" w:space="0" w:color="auto"/>
                    <w:right w:val="none" w:sz="0" w:space="0" w:color="auto"/>
                  </w:divBdr>
                  <w:divsChild>
                    <w:div w:id="5794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603182">
      <w:bodyDiv w:val="1"/>
      <w:marLeft w:val="0"/>
      <w:marRight w:val="0"/>
      <w:marTop w:val="0"/>
      <w:marBottom w:val="0"/>
      <w:divBdr>
        <w:top w:val="none" w:sz="0" w:space="0" w:color="auto"/>
        <w:left w:val="none" w:sz="0" w:space="0" w:color="auto"/>
        <w:bottom w:val="none" w:sz="0" w:space="0" w:color="auto"/>
        <w:right w:val="none" w:sz="0" w:space="0" w:color="auto"/>
      </w:divBdr>
      <w:divsChild>
        <w:div w:id="1148671690">
          <w:marLeft w:val="0"/>
          <w:marRight w:val="0"/>
          <w:marTop w:val="0"/>
          <w:marBottom w:val="0"/>
          <w:divBdr>
            <w:top w:val="none" w:sz="0" w:space="0" w:color="auto"/>
            <w:left w:val="none" w:sz="0" w:space="0" w:color="auto"/>
            <w:bottom w:val="none" w:sz="0" w:space="0" w:color="auto"/>
            <w:right w:val="none" w:sz="0" w:space="0" w:color="auto"/>
          </w:divBdr>
          <w:divsChild>
            <w:div w:id="1585338926">
              <w:marLeft w:val="0"/>
              <w:marRight w:val="0"/>
              <w:marTop w:val="0"/>
              <w:marBottom w:val="0"/>
              <w:divBdr>
                <w:top w:val="none" w:sz="0" w:space="0" w:color="auto"/>
                <w:left w:val="none" w:sz="0" w:space="0" w:color="auto"/>
                <w:bottom w:val="none" w:sz="0" w:space="0" w:color="auto"/>
                <w:right w:val="none" w:sz="0" w:space="0" w:color="auto"/>
              </w:divBdr>
              <w:divsChild>
                <w:div w:id="207258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85056">
      <w:bodyDiv w:val="1"/>
      <w:marLeft w:val="0"/>
      <w:marRight w:val="0"/>
      <w:marTop w:val="0"/>
      <w:marBottom w:val="0"/>
      <w:divBdr>
        <w:top w:val="none" w:sz="0" w:space="0" w:color="auto"/>
        <w:left w:val="none" w:sz="0" w:space="0" w:color="auto"/>
        <w:bottom w:val="none" w:sz="0" w:space="0" w:color="auto"/>
        <w:right w:val="none" w:sz="0" w:space="0" w:color="auto"/>
      </w:divBdr>
      <w:divsChild>
        <w:div w:id="1993562092">
          <w:marLeft w:val="0"/>
          <w:marRight w:val="0"/>
          <w:marTop w:val="0"/>
          <w:marBottom w:val="0"/>
          <w:divBdr>
            <w:top w:val="none" w:sz="0" w:space="0" w:color="auto"/>
            <w:left w:val="none" w:sz="0" w:space="0" w:color="auto"/>
            <w:bottom w:val="none" w:sz="0" w:space="0" w:color="auto"/>
            <w:right w:val="none" w:sz="0" w:space="0" w:color="auto"/>
          </w:divBdr>
          <w:divsChild>
            <w:div w:id="1696031063">
              <w:marLeft w:val="0"/>
              <w:marRight w:val="0"/>
              <w:marTop w:val="0"/>
              <w:marBottom w:val="0"/>
              <w:divBdr>
                <w:top w:val="none" w:sz="0" w:space="0" w:color="auto"/>
                <w:left w:val="none" w:sz="0" w:space="0" w:color="auto"/>
                <w:bottom w:val="none" w:sz="0" w:space="0" w:color="auto"/>
                <w:right w:val="none" w:sz="0" w:space="0" w:color="auto"/>
              </w:divBdr>
              <w:divsChild>
                <w:div w:id="763888112">
                  <w:marLeft w:val="0"/>
                  <w:marRight w:val="0"/>
                  <w:marTop w:val="0"/>
                  <w:marBottom w:val="0"/>
                  <w:divBdr>
                    <w:top w:val="none" w:sz="0" w:space="0" w:color="auto"/>
                    <w:left w:val="none" w:sz="0" w:space="0" w:color="auto"/>
                    <w:bottom w:val="none" w:sz="0" w:space="0" w:color="auto"/>
                    <w:right w:val="none" w:sz="0" w:space="0" w:color="auto"/>
                  </w:divBdr>
                  <w:divsChild>
                    <w:div w:id="11107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692050">
      <w:bodyDiv w:val="1"/>
      <w:marLeft w:val="0"/>
      <w:marRight w:val="0"/>
      <w:marTop w:val="0"/>
      <w:marBottom w:val="0"/>
      <w:divBdr>
        <w:top w:val="none" w:sz="0" w:space="0" w:color="auto"/>
        <w:left w:val="none" w:sz="0" w:space="0" w:color="auto"/>
        <w:bottom w:val="none" w:sz="0" w:space="0" w:color="auto"/>
        <w:right w:val="none" w:sz="0" w:space="0" w:color="auto"/>
      </w:divBdr>
      <w:divsChild>
        <w:div w:id="938610580">
          <w:marLeft w:val="0"/>
          <w:marRight w:val="0"/>
          <w:marTop w:val="0"/>
          <w:marBottom w:val="0"/>
          <w:divBdr>
            <w:top w:val="none" w:sz="0" w:space="0" w:color="auto"/>
            <w:left w:val="none" w:sz="0" w:space="0" w:color="auto"/>
            <w:bottom w:val="none" w:sz="0" w:space="0" w:color="auto"/>
            <w:right w:val="none" w:sz="0" w:space="0" w:color="auto"/>
          </w:divBdr>
          <w:divsChild>
            <w:div w:id="671688448">
              <w:marLeft w:val="0"/>
              <w:marRight w:val="0"/>
              <w:marTop w:val="0"/>
              <w:marBottom w:val="0"/>
              <w:divBdr>
                <w:top w:val="none" w:sz="0" w:space="0" w:color="auto"/>
                <w:left w:val="none" w:sz="0" w:space="0" w:color="auto"/>
                <w:bottom w:val="none" w:sz="0" w:space="0" w:color="auto"/>
                <w:right w:val="none" w:sz="0" w:space="0" w:color="auto"/>
              </w:divBdr>
              <w:divsChild>
                <w:div w:id="10394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89783">
      <w:bodyDiv w:val="1"/>
      <w:marLeft w:val="0"/>
      <w:marRight w:val="0"/>
      <w:marTop w:val="0"/>
      <w:marBottom w:val="0"/>
      <w:divBdr>
        <w:top w:val="none" w:sz="0" w:space="0" w:color="auto"/>
        <w:left w:val="none" w:sz="0" w:space="0" w:color="auto"/>
        <w:bottom w:val="none" w:sz="0" w:space="0" w:color="auto"/>
        <w:right w:val="none" w:sz="0" w:space="0" w:color="auto"/>
      </w:divBdr>
      <w:divsChild>
        <w:div w:id="1411153446">
          <w:marLeft w:val="0"/>
          <w:marRight w:val="0"/>
          <w:marTop w:val="0"/>
          <w:marBottom w:val="0"/>
          <w:divBdr>
            <w:top w:val="none" w:sz="0" w:space="0" w:color="auto"/>
            <w:left w:val="none" w:sz="0" w:space="0" w:color="auto"/>
            <w:bottom w:val="none" w:sz="0" w:space="0" w:color="auto"/>
            <w:right w:val="none" w:sz="0" w:space="0" w:color="auto"/>
          </w:divBdr>
          <w:divsChild>
            <w:div w:id="1554737008">
              <w:marLeft w:val="0"/>
              <w:marRight w:val="0"/>
              <w:marTop w:val="0"/>
              <w:marBottom w:val="0"/>
              <w:divBdr>
                <w:top w:val="none" w:sz="0" w:space="0" w:color="auto"/>
                <w:left w:val="none" w:sz="0" w:space="0" w:color="auto"/>
                <w:bottom w:val="none" w:sz="0" w:space="0" w:color="auto"/>
                <w:right w:val="none" w:sz="0" w:space="0" w:color="auto"/>
              </w:divBdr>
              <w:divsChild>
                <w:div w:id="209643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100897">
      <w:bodyDiv w:val="1"/>
      <w:marLeft w:val="0"/>
      <w:marRight w:val="0"/>
      <w:marTop w:val="0"/>
      <w:marBottom w:val="0"/>
      <w:divBdr>
        <w:top w:val="none" w:sz="0" w:space="0" w:color="auto"/>
        <w:left w:val="none" w:sz="0" w:space="0" w:color="auto"/>
        <w:bottom w:val="none" w:sz="0" w:space="0" w:color="auto"/>
        <w:right w:val="none" w:sz="0" w:space="0" w:color="auto"/>
      </w:divBdr>
      <w:divsChild>
        <w:div w:id="1286162234">
          <w:marLeft w:val="0"/>
          <w:marRight w:val="0"/>
          <w:marTop w:val="0"/>
          <w:marBottom w:val="0"/>
          <w:divBdr>
            <w:top w:val="none" w:sz="0" w:space="0" w:color="auto"/>
            <w:left w:val="none" w:sz="0" w:space="0" w:color="auto"/>
            <w:bottom w:val="none" w:sz="0" w:space="0" w:color="auto"/>
            <w:right w:val="none" w:sz="0" w:space="0" w:color="auto"/>
          </w:divBdr>
          <w:divsChild>
            <w:div w:id="1779642070">
              <w:marLeft w:val="0"/>
              <w:marRight w:val="0"/>
              <w:marTop w:val="0"/>
              <w:marBottom w:val="0"/>
              <w:divBdr>
                <w:top w:val="none" w:sz="0" w:space="0" w:color="auto"/>
                <w:left w:val="none" w:sz="0" w:space="0" w:color="auto"/>
                <w:bottom w:val="none" w:sz="0" w:space="0" w:color="auto"/>
                <w:right w:val="none" w:sz="0" w:space="0" w:color="auto"/>
              </w:divBdr>
              <w:divsChild>
                <w:div w:id="1249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87093">
      <w:bodyDiv w:val="1"/>
      <w:marLeft w:val="0"/>
      <w:marRight w:val="0"/>
      <w:marTop w:val="0"/>
      <w:marBottom w:val="0"/>
      <w:divBdr>
        <w:top w:val="none" w:sz="0" w:space="0" w:color="auto"/>
        <w:left w:val="none" w:sz="0" w:space="0" w:color="auto"/>
        <w:bottom w:val="none" w:sz="0" w:space="0" w:color="auto"/>
        <w:right w:val="none" w:sz="0" w:space="0" w:color="auto"/>
      </w:divBdr>
      <w:divsChild>
        <w:div w:id="13963246">
          <w:marLeft w:val="0"/>
          <w:marRight w:val="0"/>
          <w:marTop w:val="0"/>
          <w:marBottom w:val="0"/>
          <w:divBdr>
            <w:top w:val="none" w:sz="0" w:space="0" w:color="auto"/>
            <w:left w:val="none" w:sz="0" w:space="0" w:color="auto"/>
            <w:bottom w:val="none" w:sz="0" w:space="0" w:color="auto"/>
            <w:right w:val="none" w:sz="0" w:space="0" w:color="auto"/>
          </w:divBdr>
          <w:divsChild>
            <w:div w:id="1575779734">
              <w:marLeft w:val="0"/>
              <w:marRight w:val="0"/>
              <w:marTop w:val="0"/>
              <w:marBottom w:val="0"/>
              <w:divBdr>
                <w:top w:val="none" w:sz="0" w:space="0" w:color="auto"/>
                <w:left w:val="none" w:sz="0" w:space="0" w:color="auto"/>
                <w:bottom w:val="none" w:sz="0" w:space="0" w:color="auto"/>
                <w:right w:val="none" w:sz="0" w:space="0" w:color="auto"/>
              </w:divBdr>
              <w:divsChild>
                <w:div w:id="9300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4414">
      <w:bodyDiv w:val="1"/>
      <w:marLeft w:val="0"/>
      <w:marRight w:val="0"/>
      <w:marTop w:val="0"/>
      <w:marBottom w:val="0"/>
      <w:divBdr>
        <w:top w:val="none" w:sz="0" w:space="0" w:color="auto"/>
        <w:left w:val="none" w:sz="0" w:space="0" w:color="auto"/>
        <w:bottom w:val="none" w:sz="0" w:space="0" w:color="auto"/>
        <w:right w:val="none" w:sz="0" w:space="0" w:color="auto"/>
      </w:divBdr>
      <w:divsChild>
        <w:div w:id="2034454181">
          <w:marLeft w:val="0"/>
          <w:marRight w:val="0"/>
          <w:marTop w:val="0"/>
          <w:marBottom w:val="0"/>
          <w:divBdr>
            <w:top w:val="none" w:sz="0" w:space="0" w:color="auto"/>
            <w:left w:val="none" w:sz="0" w:space="0" w:color="auto"/>
            <w:bottom w:val="none" w:sz="0" w:space="0" w:color="auto"/>
            <w:right w:val="none" w:sz="0" w:space="0" w:color="auto"/>
          </w:divBdr>
          <w:divsChild>
            <w:div w:id="1595506086">
              <w:marLeft w:val="0"/>
              <w:marRight w:val="0"/>
              <w:marTop w:val="0"/>
              <w:marBottom w:val="0"/>
              <w:divBdr>
                <w:top w:val="none" w:sz="0" w:space="0" w:color="auto"/>
                <w:left w:val="none" w:sz="0" w:space="0" w:color="auto"/>
                <w:bottom w:val="none" w:sz="0" w:space="0" w:color="auto"/>
                <w:right w:val="none" w:sz="0" w:space="0" w:color="auto"/>
              </w:divBdr>
              <w:divsChild>
                <w:div w:id="114577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23126">
      <w:bodyDiv w:val="1"/>
      <w:marLeft w:val="0"/>
      <w:marRight w:val="0"/>
      <w:marTop w:val="0"/>
      <w:marBottom w:val="0"/>
      <w:divBdr>
        <w:top w:val="none" w:sz="0" w:space="0" w:color="auto"/>
        <w:left w:val="none" w:sz="0" w:space="0" w:color="auto"/>
        <w:bottom w:val="none" w:sz="0" w:space="0" w:color="auto"/>
        <w:right w:val="none" w:sz="0" w:space="0" w:color="auto"/>
      </w:divBdr>
      <w:divsChild>
        <w:div w:id="2074813463">
          <w:marLeft w:val="0"/>
          <w:marRight w:val="0"/>
          <w:marTop w:val="0"/>
          <w:marBottom w:val="0"/>
          <w:divBdr>
            <w:top w:val="none" w:sz="0" w:space="0" w:color="auto"/>
            <w:left w:val="none" w:sz="0" w:space="0" w:color="auto"/>
            <w:bottom w:val="none" w:sz="0" w:space="0" w:color="auto"/>
            <w:right w:val="none" w:sz="0" w:space="0" w:color="auto"/>
          </w:divBdr>
          <w:divsChild>
            <w:div w:id="566497111">
              <w:marLeft w:val="0"/>
              <w:marRight w:val="0"/>
              <w:marTop w:val="0"/>
              <w:marBottom w:val="0"/>
              <w:divBdr>
                <w:top w:val="none" w:sz="0" w:space="0" w:color="auto"/>
                <w:left w:val="none" w:sz="0" w:space="0" w:color="auto"/>
                <w:bottom w:val="none" w:sz="0" w:space="0" w:color="auto"/>
                <w:right w:val="none" w:sz="0" w:space="0" w:color="auto"/>
              </w:divBdr>
              <w:divsChild>
                <w:div w:id="4761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938402">
      <w:bodyDiv w:val="1"/>
      <w:marLeft w:val="0"/>
      <w:marRight w:val="0"/>
      <w:marTop w:val="0"/>
      <w:marBottom w:val="0"/>
      <w:divBdr>
        <w:top w:val="none" w:sz="0" w:space="0" w:color="auto"/>
        <w:left w:val="none" w:sz="0" w:space="0" w:color="auto"/>
        <w:bottom w:val="none" w:sz="0" w:space="0" w:color="auto"/>
        <w:right w:val="none" w:sz="0" w:space="0" w:color="auto"/>
      </w:divBdr>
      <w:divsChild>
        <w:div w:id="623927047">
          <w:marLeft w:val="0"/>
          <w:marRight w:val="0"/>
          <w:marTop w:val="0"/>
          <w:marBottom w:val="0"/>
          <w:divBdr>
            <w:top w:val="none" w:sz="0" w:space="0" w:color="auto"/>
            <w:left w:val="none" w:sz="0" w:space="0" w:color="auto"/>
            <w:bottom w:val="none" w:sz="0" w:space="0" w:color="auto"/>
            <w:right w:val="none" w:sz="0" w:space="0" w:color="auto"/>
          </w:divBdr>
          <w:divsChild>
            <w:div w:id="1923441655">
              <w:marLeft w:val="0"/>
              <w:marRight w:val="0"/>
              <w:marTop w:val="0"/>
              <w:marBottom w:val="0"/>
              <w:divBdr>
                <w:top w:val="none" w:sz="0" w:space="0" w:color="auto"/>
                <w:left w:val="none" w:sz="0" w:space="0" w:color="auto"/>
                <w:bottom w:val="none" w:sz="0" w:space="0" w:color="auto"/>
                <w:right w:val="none" w:sz="0" w:space="0" w:color="auto"/>
              </w:divBdr>
              <w:divsChild>
                <w:div w:id="181170006">
                  <w:marLeft w:val="0"/>
                  <w:marRight w:val="0"/>
                  <w:marTop w:val="0"/>
                  <w:marBottom w:val="0"/>
                  <w:divBdr>
                    <w:top w:val="none" w:sz="0" w:space="0" w:color="auto"/>
                    <w:left w:val="none" w:sz="0" w:space="0" w:color="auto"/>
                    <w:bottom w:val="none" w:sz="0" w:space="0" w:color="auto"/>
                    <w:right w:val="none" w:sz="0" w:space="0" w:color="auto"/>
                  </w:divBdr>
                  <w:divsChild>
                    <w:div w:id="14651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61435">
      <w:bodyDiv w:val="1"/>
      <w:marLeft w:val="0"/>
      <w:marRight w:val="0"/>
      <w:marTop w:val="0"/>
      <w:marBottom w:val="0"/>
      <w:divBdr>
        <w:top w:val="none" w:sz="0" w:space="0" w:color="auto"/>
        <w:left w:val="none" w:sz="0" w:space="0" w:color="auto"/>
        <w:bottom w:val="none" w:sz="0" w:space="0" w:color="auto"/>
        <w:right w:val="none" w:sz="0" w:space="0" w:color="auto"/>
      </w:divBdr>
    </w:div>
    <w:div w:id="575093988">
      <w:bodyDiv w:val="1"/>
      <w:marLeft w:val="0"/>
      <w:marRight w:val="0"/>
      <w:marTop w:val="0"/>
      <w:marBottom w:val="0"/>
      <w:divBdr>
        <w:top w:val="none" w:sz="0" w:space="0" w:color="auto"/>
        <w:left w:val="none" w:sz="0" w:space="0" w:color="auto"/>
        <w:bottom w:val="none" w:sz="0" w:space="0" w:color="auto"/>
        <w:right w:val="none" w:sz="0" w:space="0" w:color="auto"/>
      </w:divBdr>
      <w:divsChild>
        <w:div w:id="1843660458">
          <w:marLeft w:val="0"/>
          <w:marRight w:val="0"/>
          <w:marTop w:val="0"/>
          <w:marBottom w:val="0"/>
          <w:divBdr>
            <w:top w:val="none" w:sz="0" w:space="0" w:color="auto"/>
            <w:left w:val="none" w:sz="0" w:space="0" w:color="auto"/>
            <w:bottom w:val="none" w:sz="0" w:space="0" w:color="auto"/>
            <w:right w:val="none" w:sz="0" w:space="0" w:color="auto"/>
          </w:divBdr>
          <w:divsChild>
            <w:div w:id="256795324">
              <w:marLeft w:val="0"/>
              <w:marRight w:val="0"/>
              <w:marTop w:val="0"/>
              <w:marBottom w:val="0"/>
              <w:divBdr>
                <w:top w:val="none" w:sz="0" w:space="0" w:color="auto"/>
                <w:left w:val="none" w:sz="0" w:space="0" w:color="auto"/>
                <w:bottom w:val="none" w:sz="0" w:space="0" w:color="auto"/>
                <w:right w:val="none" w:sz="0" w:space="0" w:color="auto"/>
              </w:divBdr>
              <w:divsChild>
                <w:div w:id="123813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30487">
      <w:bodyDiv w:val="1"/>
      <w:marLeft w:val="0"/>
      <w:marRight w:val="0"/>
      <w:marTop w:val="0"/>
      <w:marBottom w:val="0"/>
      <w:divBdr>
        <w:top w:val="none" w:sz="0" w:space="0" w:color="auto"/>
        <w:left w:val="none" w:sz="0" w:space="0" w:color="auto"/>
        <w:bottom w:val="none" w:sz="0" w:space="0" w:color="auto"/>
        <w:right w:val="none" w:sz="0" w:space="0" w:color="auto"/>
      </w:divBdr>
      <w:divsChild>
        <w:div w:id="940840106">
          <w:marLeft w:val="0"/>
          <w:marRight w:val="0"/>
          <w:marTop w:val="0"/>
          <w:marBottom w:val="0"/>
          <w:divBdr>
            <w:top w:val="none" w:sz="0" w:space="0" w:color="auto"/>
            <w:left w:val="none" w:sz="0" w:space="0" w:color="auto"/>
            <w:bottom w:val="none" w:sz="0" w:space="0" w:color="auto"/>
            <w:right w:val="none" w:sz="0" w:space="0" w:color="auto"/>
          </w:divBdr>
          <w:divsChild>
            <w:div w:id="745422470">
              <w:marLeft w:val="0"/>
              <w:marRight w:val="0"/>
              <w:marTop w:val="0"/>
              <w:marBottom w:val="0"/>
              <w:divBdr>
                <w:top w:val="none" w:sz="0" w:space="0" w:color="auto"/>
                <w:left w:val="none" w:sz="0" w:space="0" w:color="auto"/>
                <w:bottom w:val="none" w:sz="0" w:space="0" w:color="auto"/>
                <w:right w:val="none" w:sz="0" w:space="0" w:color="auto"/>
              </w:divBdr>
              <w:divsChild>
                <w:div w:id="520320910">
                  <w:marLeft w:val="0"/>
                  <w:marRight w:val="0"/>
                  <w:marTop w:val="0"/>
                  <w:marBottom w:val="0"/>
                  <w:divBdr>
                    <w:top w:val="none" w:sz="0" w:space="0" w:color="auto"/>
                    <w:left w:val="none" w:sz="0" w:space="0" w:color="auto"/>
                    <w:bottom w:val="none" w:sz="0" w:space="0" w:color="auto"/>
                    <w:right w:val="none" w:sz="0" w:space="0" w:color="auto"/>
                  </w:divBdr>
                  <w:divsChild>
                    <w:div w:id="180534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34239">
          <w:marLeft w:val="0"/>
          <w:marRight w:val="0"/>
          <w:marTop w:val="0"/>
          <w:marBottom w:val="0"/>
          <w:divBdr>
            <w:top w:val="none" w:sz="0" w:space="0" w:color="auto"/>
            <w:left w:val="none" w:sz="0" w:space="0" w:color="auto"/>
            <w:bottom w:val="none" w:sz="0" w:space="0" w:color="auto"/>
            <w:right w:val="none" w:sz="0" w:space="0" w:color="auto"/>
          </w:divBdr>
          <w:divsChild>
            <w:div w:id="1369792655">
              <w:marLeft w:val="0"/>
              <w:marRight w:val="0"/>
              <w:marTop w:val="0"/>
              <w:marBottom w:val="0"/>
              <w:divBdr>
                <w:top w:val="none" w:sz="0" w:space="0" w:color="auto"/>
                <w:left w:val="none" w:sz="0" w:space="0" w:color="auto"/>
                <w:bottom w:val="none" w:sz="0" w:space="0" w:color="auto"/>
                <w:right w:val="none" w:sz="0" w:space="0" w:color="auto"/>
              </w:divBdr>
              <w:divsChild>
                <w:div w:id="1580360303">
                  <w:marLeft w:val="0"/>
                  <w:marRight w:val="0"/>
                  <w:marTop w:val="0"/>
                  <w:marBottom w:val="0"/>
                  <w:divBdr>
                    <w:top w:val="none" w:sz="0" w:space="0" w:color="auto"/>
                    <w:left w:val="none" w:sz="0" w:space="0" w:color="auto"/>
                    <w:bottom w:val="none" w:sz="0" w:space="0" w:color="auto"/>
                    <w:right w:val="none" w:sz="0" w:space="0" w:color="auto"/>
                  </w:divBdr>
                  <w:divsChild>
                    <w:div w:id="124498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326503">
      <w:bodyDiv w:val="1"/>
      <w:marLeft w:val="0"/>
      <w:marRight w:val="0"/>
      <w:marTop w:val="0"/>
      <w:marBottom w:val="0"/>
      <w:divBdr>
        <w:top w:val="none" w:sz="0" w:space="0" w:color="auto"/>
        <w:left w:val="none" w:sz="0" w:space="0" w:color="auto"/>
        <w:bottom w:val="none" w:sz="0" w:space="0" w:color="auto"/>
        <w:right w:val="none" w:sz="0" w:space="0" w:color="auto"/>
      </w:divBdr>
      <w:divsChild>
        <w:div w:id="535890669">
          <w:marLeft w:val="0"/>
          <w:marRight w:val="0"/>
          <w:marTop w:val="0"/>
          <w:marBottom w:val="0"/>
          <w:divBdr>
            <w:top w:val="none" w:sz="0" w:space="0" w:color="auto"/>
            <w:left w:val="none" w:sz="0" w:space="0" w:color="auto"/>
            <w:bottom w:val="none" w:sz="0" w:space="0" w:color="auto"/>
            <w:right w:val="none" w:sz="0" w:space="0" w:color="auto"/>
          </w:divBdr>
          <w:divsChild>
            <w:div w:id="983434918">
              <w:marLeft w:val="0"/>
              <w:marRight w:val="0"/>
              <w:marTop w:val="0"/>
              <w:marBottom w:val="0"/>
              <w:divBdr>
                <w:top w:val="none" w:sz="0" w:space="0" w:color="auto"/>
                <w:left w:val="none" w:sz="0" w:space="0" w:color="auto"/>
                <w:bottom w:val="none" w:sz="0" w:space="0" w:color="auto"/>
                <w:right w:val="none" w:sz="0" w:space="0" w:color="auto"/>
              </w:divBdr>
              <w:divsChild>
                <w:div w:id="88942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5070">
      <w:bodyDiv w:val="1"/>
      <w:marLeft w:val="0"/>
      <w:marRight w:val="0"/>
      <w:marTop w:val="0"/>
      <w:marBottom w:val="0"/>
      <w:divBdr>
        <w:top w:val="none" w:sz="0" w:space="0" w:color="auto"/>
        <w:left w:val="none" w:sz="0" w:space="0" w:color="auto"/>
        <w:bottom w:val="none" w:sz="0" w:space="0" w:color="auto"/>
        <w:right w:val="none" w:sz="0" w:space="0" w:color="auto"/>
      </w:divBdr>
      <w:divsChild>
        <w:div w:id="760682295">
          <w:marLeft w:val="0"/>
          <w:marRight w:val="0"/>
          <w:marTop w:val="0"/>
          <w:marBottom w:val="0"/>
          <w:divBdr>
            <w:top w:val="none" w:sz="0" w:space="0" w:color="auto"/>
            <w:left w:val="none" w:sz="0" w:space="0" w:color="auto"/>
            <w:bottom w:val="none" w:sz="0" w:space="0" w:color="auto"/>
            <w:right w:val="none" w:sz="0" w:space="0" w:color="auto"/>
          </w:divBdr>
          <w:divsChild>
            <w:div w:id="1637905350">
              <w:marLeft w:val="0"/>
              <w:marRight w:val="0"/>
              <w:marTop w:val="0"/>
              <w:marBottom w:val="0"/>
              <w:divBdr>
                <w:top w:val="none" w:sz="0" w:space="0" w:color="auto"/>
                <w:left w:val="none" w:sz="0" w:space="0" w:color="auto"/>
                <w:bottom w:val="none" w:sz="0" w:space="0" w:color="auto"/>
                <w:right w:val="none" w:sz="0" w:space="0" w:color="auto"/>
              </w:divBdr>
              <w:divsChild>
                <w:div w:id="21528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17199">
      <w:bodyDiv w:val="1"/>
      <w:marLeft w:val="0"/>
      <w:marRight w:val="0"/>
      <w:marTop w:val="0"/>
      <w:marBottom w:val="0"/>
      <w:divBdr>
        <w:top w:val="none" w:sz="0" w:space="0" w:color="auto"/>
        <w:left w:val="none" w:sz="0" w:space="0" w:color="auto"/>
        <w:bottom w:val="none" w:sz="0" w:space="0" w:color="auto"/>
        <w:right w:val="none" w:sz="0" w:space="0" w:color="auto"/>
      </w:divBdr>
      <w:divsChild>
        <w:div w:id="1922328347">
          <w:marLeft w:val="0"/>
          <w:marRight w:val="0"/>
          <w:marTop w:val="0"/>
          <w:marBottom w:val="0"/>
          <w:divBdr>
            <w:top w:val="none" w:sz="0" w:space="0" w:color="auto"/>
            <w:left w:val="none" w:sz="0" w:space="0" w:color="auto"/>
            <w:bottom w:val="none" w:sz="0" w:space="0" w:color="auto"/>
            <w:right w:val="none" w:sz="0" w:space="0" w:color="auto"/>
          </w:divBdr>
          <w:divsChild>
            <w:div w:id="443621464">
              <w:marLeft w:val="0"/>
              <w:marRight w:val="0"/>
              <w:marTop w:val="0"/>
              <w:marBottom w:val="0"/>
              <w:divBdr>
                <w:top w:val="none" w:sz="0" w:space="0" w:color="auto"/>
                <w:left w:val="none" w:sz="0" w:space="0" w:color="auto"/>
                <w:bottom w:val="none" w:sz="0" w:space="0" w:color="auto"/>
                <w:right w:val="none" w:sz="0" w:space="0" w:color="auto"/>
              </w:divBdr>
              <w:divsChild>
                <w:div w:id="59606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74851">
      <w:bodyDiv w:val="1"/>
      <w:marLeft w:val="0"/>
      <w:marRight w:val="0"/>
      <w:marTop w:val="0"/>
      <w:marBottom w:val="0"/>
      <w:divBdr>
        <w:top w:val="none" w:sz="0" w:space="0" w:color="auto"/>
        <w:left w:val="none" w:sz="0" w:space="0" w:color="auto"/>
        <w:bottom w:val="none" w:sz="0" w:space="0" w:color="auto"/>
        <w:right w:val="none" w:sz="0" w:space="0" w:color="auto"/>
      </w:divBdr>
      <w:divsChild>
        <w:div w:id="797601994">
          <w:marLeft w:val="0"/>
          <w:marRight w:val="0"/>
          <w:marTop w:val="0"/>
          <w:marBottom w:val="0"/>
          <w:divBdr>
            <w:top w:val="none" w:sz="0" w:space="0" w:color="auto"/>
            <w:left w:val="none" w:sz="0" w:space="0" w:color="auto"/>
            <w:bottom w:val="none" w:sz="0" w:space="0" w:color="auto"/>
            <w:right w:val="none" w:sz="0" w:space="0" w:color="auto"/>
          </w:divBdr>
          <w:divsChild>
            <w:div w:id="394476262">
              <w:marLeft w:val="0"/>
              <w:marRight w:val="0"/>
              <w:marTop w:val="0"/>
              <w:marBottom w:val="0"/>
              <w:divBdr>
                <w:top w:val="none" w:sz="0" w:space="0" w:color="auto"/>
                <w:left w:val="none" w:sz="0" w:space="0" w:color="auto"/>
                <w:bottom w:val="none" w:sz="0" w:space="0" w:color="auto"/>
                <w:right w:val="none" w:sz="0" w:space="0" w:color="auto"/>
              </w:divBdr>
              <w:divsChild>
                <w:div w:id="967516980">
                  <w:marLeft w:val="0"/>
                  <w:marRight w:val="0"/>
                  <w:marTop w:val="0"/>
                  <w:marBottom w:val="0"/>
                  <w:divBdr>
                    <w:top w:val="none" w:sz="0" w:space="0" w:color="auto"/>
                    <w:left w:val="none" w:sz="0" w:space="0" w:color="auto"/>
                    <w:bottom w:val="none" w:sz="0" w:space="0" w:color="auto"/>
                    <w:right w:val="none" w:sz="0" w:space="0" w:color="auto"/>
                  </w:divBdr>
                  <w:divsChild>
                    <w:div w:id="21050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12473">
      <w:bodyDiv w:val="1"/>
      <w:marLeft w:val="0"/>
      <w:marRight w:val="0"/>
      <w:marTop w:val="0"/>
      <w:marBottom w:val="0"/>
      <w:divBdr>
        <w:top w:val="none" w:sz="0" w:space="0" w:color="auto"/>
        <w:left w:val="none" w:sz="0" w:space="0" w:color="auto"/>
        <w:bottom w:val="none" w:sz="0" w:space="0" w:color="auto"/>
        <w:right w:val="none" w:sz="0" w:space="0" w:color="auto"/>
      </w:divBdr>
      <w:divsChild>
        <w:div w:id="68238561">
          <w:marLeft w:val="0"/>
          <w:marRight w:val="0"/>
          <w:marTop w:val="0"/>
          <w:marBottom w:val="0"/>
          <w:divBdr>
            <w:top w:val="none" w:sz="0" w:space="0" w:color="auto"/>
            <w:left w:val="none" w:sz="0" w:space="0" w:color="auto"/>
            <w:bottom w:val="none" w:sz="0" w:space="0" w:color="auto"/>
            <w:right w:val="none" w:sz="0" w:space="0" w:color="auto"/>
          </w:divBdr>
          <w:divsChild>
            <w:div w:id="1356035944">
              <w:marLeft w:val="0"/>
              <w:marRight w:val="0"/>
              <w:marTop w:val="0"/>
              <w:marBottom w:val="0"/>
              <w:divBdr>
                <w:top w:val="none" w:sz="0" w:space="0" w:color="auto"/>
                <w:left w:val="none" w:sz="0" w:space="0" w:color="auto"/>
                <w:bottom w:val="none" w:sz="0" w:space="0" w:color="auto"/>
                <w:right w:val="none" w:sz="0" w:space="0" w:color="auto"/>
              </w:divBdr>
              <w:divsChild>
                <w:div w:id="5907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03157">
      <w:bodyDiv w:val="1"/>
      <w:marLeft w:val="0"/>
      <w:marRight w:val="0"/>
      <w:marTop w:val="0"/>
      <w:marBottom w:val="0"/>
      <w:divBdr>
        <w:top w:val="none" w:sz="0" w:space="0" w:color="auto"/>
        <w:left w:val="none" w:sz="0" w:space="0" w:color="auto"/>
        <w:bottom w:val="none" w:sz="0" w:space="0" w:color="auto"/>
        <w:right w:val="none" w:sz="0" w:space="0" w:color="auto"/>
      </w:divBdr>
      <w:divsChild>
        <w:div w:id="1239901339">
          <w:marLeft w:val="0"/>
          <w:marRight w:val="0"/>
          <w:marTop w:val="0"/>
          <w:marBottom w:val="0"/>
          <w:divBdr>
            <w:top w:val="none" w:sz="0" w:space="0" w:color="auto"/>
            <w:left w:val="none" w:sz="0" w:space="0" w:color="auto"/>
            <w:bottom w:val="none" w:sz="0" w:space="0" w:color="auto"/>
            <w:right w:val="none" w:sz="0" w:space="0" w:color="auto"/>
          </w:divBdr>
          <w:divsChild>
            <w:div w:id="558593324">
              <w:marLeft w:val="0"/>
              <w:marRight w:val="0"/>
              <w:marTop w:val="0"/>
              <w:marBottom w:val="0"/>
              <w:divBdr>
                <w:top w:val="none" w:sz="0" w:space="0" w:color="auto"/>
                <w:left w:val="none" w:sz="0" w:space="0" w:color="auto"/>
                <w:bottom w:val="none" w:sz="0" w:space="0" w:color="auto"/>
                <w:right w:val="none" w:sz="0" w:space="0" w:color="auto"/>
              </w:divBdr>
              <w:divsChild>
                <w:div w:id="171935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031812">
      <w:bodyDiv w:val="1"/>
      <w:marLeft w:val="0"/>
      <w:marRight w:val="0"/>
      <w:marTop w:val="0"/>
      <w:marBottom w:val="0"/>
      <w:divBdr>
        <w:top w:val="none" w:sz="0" w:space="0" w:color="auto"/>
        <w:left w:val="none" w:sz="0" w:space="0" w:color="auto"/>
        <w:bottom w:val="none" w:sz="0" w:space="0" w:color="auto"/>
        <w:right w:val="none" w:sz="0" w:space="0" w:color="auto"/>
      </w:divBdr>
      <w:divsChild>
        <w:div w:id="1066799113">
          <w:marLeft w:val="0"/>
          <w:marRight w:val="0"/>
          <w:marTop w:val="0"/>
          <w:marBottom w:val="0"/>
          <w:divBdr>
            <w:top w:val="none" w:sz="0" w:space="0" w:color="auto"/>
            <w:left w:val="none" w:sz="0" w:space="0" w:color="auto"/>
            <w:bottom w:val="none" w:sz="0" w:space="0" w:color="auto"/>
            <w:right w:val="none" w:sz="0" w:space="0" w:color="auto"/>
          </w:divBdr>
          <w:divsChild>
            <w:div w:id="812720909">
              <w:marLeft w:val="0"/>
              <w:marRight w:val="0"/>
              <w:marTop w:val="0"/>
              <w:marBottom w:val="0"/>
              <w:divBdr>
                <w:top w:val="none" w:sz="0" w:space="0" w:color="auto"/>
                <w:left w:val="none" w:sz="0" w:space="0" w:color="auto"/>
                <w:bottom w:val="none" w:sz="0" w:space="0" w:color="auto"/>
                <w:right w:val="none" w:sz="0" w:space="0" w:color="auto"/>
              </w:divBdr>
              <w:divsChild>
                <w:div w:id="16291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879736">
      <w:bodyDiv w:val="1"/>
      <w:marLeft w:val="0"/>
      <w:marRight w:val="0"/>
      <w:marTop w:val="0"/>
      <w:marBottom w:val="0"/>
      <w:divBdr>
        <w:top w:val="none" w:sz="0" w:space="0" w:color="auto"/>
        <w:left w:val="none" w:sz="0" w:space="0" w:color="auto"/>
        <w:bottom w:val="none" w:sz="0" w:space="0" w:color="auto"/>
        <w:right w:val="none" w:sz="0" w:space="0" w:color="auto"/>
      </w:divBdr>
      <w:divsChild>
        <w:div w:id="1340427811">
          <w:marLeft w:val="0"/>
          <w:marRight w:val="0"/>
          <w:marTop w:val="0"/>
          <w:marBottom w:val="0"/>
          <w:divBdr>
            <w:top w:val="none" w:sz="0" w:space="0" w:color="auto"/>
            <w:left w:val="none" w:sz="0" w:space="0" w:color="auto"/>
            <w:bottom w:val="none" w:sz="0" w:space="0" w:color="auto"/>
            <w:right w:val="none" w:sz="0" w:space="0" w:color="auto"/>
          </w:divBdr>
          <w:divsChild>
            <w:div w:id="1028990871">
              <w:marLeft w:val="0"/>
              <w:marRight w:val="0"/>
              <w:marTop w:val="0"/>
              <w:marBottom w:val="0"/>
              <w:divBdr>
                <w:top w:val="none" w:sz="0" w:space="0" w:color="auto"/>
                <w:left w:val="none" w:sz="0" w:space="0" w:color="auto"/>
                <w:bottom w:val="none" w:sz="0" w:space="0" w:color="auto"/>
                <w:right w:val="none" w:sz="0" w:space="0" w:color="auto"/>
              </w:divBdr>
              <w:divsChild>
                <w:div w:id="564073124">
                  <w:marLeft w:val="0"/>
                  <w:marRight w:val="0"/>
                  <w:marTop w:val="0"/>
                  <w:marBottom w:val="0"/>
                  <w:divBdr>
                    <w:top w:val="none" w:sz="0" w:space="0" w:color="auto"/>
                    <w:left w:val="none" w:sz="0" w:space="0" w:color="auto"/>
                    <w:bottom w:val="none" w:sz="0" w:space="0" w:color="auto"/>
                    <w:right w:val="none" w:sz="0" w:space="0" w:color="auto"/>
                  </w:divBdr>
                  <w:divsChild>
                    <w:div w:id="10043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034192">
      <w:bodyDiv w:val="1"/>
      <w:marLeft w:val="0"/>
      <w:marRight w:val="0"/>
      <w:marTop w:val="0"/>
      <w:marBottom w:val="0"/>
      <w:divBdr>
        <w:top w:val="none" w:sz="0" w:space="0" w:color="auto"/>
        <w:left w:val="none" w:sz="0" w:space="0" w:color="auto"/>
        <w:bottom w:val="none" w:sz="0" w:space="0" w:color="auto"/>
        <w:right w:val="none" w:sz="0" w:space="0" w:color="auto"/>
      </w:divBdr>
      <w:divsChild>
        <w:div w:id="500049717">
          <w:marLeft w:val="0"/>
          <w:marRight w:val="0"/>
          <w:marTop w:val="0"/>
          <w:marBottom w:val="0"/>
          <w:divBdr>
            <w:top w:val="none" w:sz="0" w:space="0" w:color="auto"/>
            <w:left w:val="none" w:sz="0" w:space="0" w:color="auto"/>
            <w:bottom w:val="none" w:sz="0" w:space="0" w:color="auto"/>
            <w:right w:val="none" w:sz="0" w:space="0" w:color="auto"/>
          </w:divBdr>
          <w:divsChild>
            <w:div w:id="234828954">
              <w:marLeft w:val="0"/>
              <w:marRight w:val="0"/>
              <w:marTop w:val="0"/>
              <w:marBottom w:val="0"/>
              <w:divBdr>
                <w:top w:val="none" w:sz="0" w:space="0" w:color="auto"/>
                <w:left w:val="none" w:sz="0" w:space="0" w:color="auto"/>
                <w:bottom w:val="none" w:sz="0" w:space="0" w:color="auto"/>
                <w:right w:val="none" w:sz="0" w:space="0" w:color="auto"/>
              </w:divBdr>
              <w:divsChild>
                <w:div w:id="13575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012355">
      <w:bodyDiv w:val="1"/>
      <w:marLeft w:val="0"/>
      <w:marRight w:val="0"/>
      <w:marTop w:val="0"/>
      <w:marBottom w:val="0"/>
      <w:divBdr>
        <w:top w:val="none" w:sz="0" w:space="0" w:color="auto"/>
        <w:left w:val="none" w:sz="0" w:space="0" w:color="auto"/>
        <w:bottom w:val="none" w:sz="0" w:space="0" w:color="auto"/>
        <w:right w:val="none" w:sz="0" w:space="0" w:color="auto"/>
      </w:divBdr>
      <w:divsChild>
        <w:div w:id="1301688528">
          <w:marLeft w:val="0"/>
          <w:marRight w:val="0"/>
          <w:marTop w:val="0"/>
          <w:marBottom w:val="0"/>
          <w:divBdr>
            <w:top w:val="none" w:sz="0" w:space="0" w:color="auto"/>
            <w:left w:val="none" w:sz="0" w:space="0" w:color="auto"/>
            <w:bottom w:val="none" w:sz="0" w:space="0" w:color="auto"/>
            <w:right w:val="none" w:sz="0" w:space="0" w:color="auto"/>
          </w:divBdr>
          <w:divsChild>
            <w:div w:id="1589266285">
              <w:marLeft w:val="0"/>
              <w:marRight w:val="0"/>
              <w:marTop w:val="0"/>
              <w:marBottom w:val="0"/>
              <w:divBdr>
                <w:top w:val="none" w:sz="0" w:space="0" w:color="auto"/>
                <w:left w:val="none" w:sz="0" w:space="0" w:color="auto"/>
                <w:bottom w:val="none" w:sz="0" w:space="0" w:color="auto"/>
                <w:right w:val="none" w:sz="0" w:space="0" w:color="auto"/>
              </w:divBdr>
              <w:divsChild>
                <w:div w:id="13443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563726">
      <w:bodyDiv w:val="1"/>
      <w:marLeft w:val="0"/>
      <w:marRight w:val="0"/>
      <w:marTop w:val="0"/>
      <w:marBottom w:val="0"/>
      <w:divBdr>
        <w:top w:val="none" w:sz="0" w:space="0" w:color="auto"/>
        <w:left w:val="none" w:sz="0" w:space="0" w:color="auto"/>
        <w:bottom w:val="none" w:sz="0" w:space="0" w:color="auto"/>
        <w:right w:val="none" w:sz="0" w:space="0" w:color="auto"/>
      </w:divBdr>
      <w:divsChild>
        <w:div w:id="1341470835">
          <w:marLeft w:val="0"/>
          <w:marRight w:val="0"/>
          <w:marTop w:val="0"/>
          <w:marBottom w:val="0"/>
          <w:divBdr>
            <w:top w:val="none" w:sz="0" w:space="0" w:color="auto"/>
            <w:left w:val="none" w:sz="0" w:space="0" w:color="auto"/>
            <w:bottom w:val="none" w:sz="0" w:space="0" w:color="auto"/>
            <w:right w:val="none" w:sz="0" w:space="0" w:color="auto"/>
          </w:divBdr>
          <w:divsChild>
            <w:div w:id="452141300">
              <w:marLeft w:val="0"/>
              <w:marRight w:val="0"/>
              <w:marTop w:val="0"/>
              <w:marBottom w:val="0"/>
              <w:divBdr>
                <w:top w:val="none" w:sz="0" w:space="0" w:color="auto"/>
                <w:left w:val="none" w:sz="0" w:space="0" w:color="auto"/>
                <w:bottom w:val="none" w:sz="0" w:space="0" w:color="auto"/>
                <w:right w:val="none" w:sz="0" w:space="0" w:color="auto"/>
              </w:divBdr>
              <w:divsChild>
                <w:div w:id="64535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712857">
      <w:bodyDiv w:val="1"/>
      <w:marLeft w:val="0"/>
      <w:marRight w:val="0"/>
      <w:marTop w:val="0"/>
      <w:marBottom w:val="0"/>
      <w:divBdr>
        <w:top w:val="none" w:sz="0" w:space="0" w:color="auto"/>
        <w:left w:val="none" w:sz="0" w:space="0" w:color="auto"/>
        <w:bottom w:val="none" w:sz="0" w:space="0" w:color="auto"/>
        <w:right w:val="none" w:sz="0" w:space="0" w:color="auto"/>
      </w:divBdr>
      <w:divsChild>
        <w:div w:id="1218515677">
          <w:marLeft w:val="0"/>
          <w:marRight w:val="0"/>
          <w:marTop w:val="0"/>
          <w:marBottom w:val="0"/>
          <w:divBdr>
            <w:top w:val="none" w:sz="0" w:space="0" w:color="auto"/>
            <w:left w:val="none" w:sz="0" w:space="0" w:color="auto"/>
            <w:bottom w:val="none" w:sz="0" w:space="0" w:color="auto"/>
            <w:right w:val="none" w:sz="0" w:space="0" w:color="auto"/>
          </w:divBdr>
          <w:divsChild>
            <w:div w:id="2043438015">
              <w:marLeft w:val="0"/>
              <w:marRight w:val="0"/>
              <w:marTop w:val="0"/>
              <w:marBottom w:val="0"/>
              <w:divBdr>
                <w:top w:val="none" w:sz="0" w:space="0" w:color="auto"/>
                <w:left w:val="none" w:sz="0" w:space="0" w:color="auto"/>
                <w:bottom w:val="none" w:sz="0" w:space="0" w:color="auto"/>
                <w:right w:val="none" w:sz="0" w:space="0" w:color="auto"/>
              </w:divBdr>
              <w:divsChild>
                <w:div w:id="1101219091">
                  <w:marLeft w:val="0"/>
                  <w:marRight w:val="0"/>
                  <w:marTop w:val="0"/>
                  <w:marBottom w:val="0"/>
                  <w:divBdr>
                    <w:top w:val="none" w:sz="0" w:space="0" w:color="auto"/>
                    <w:left w:val="none" w:sz="0" w:space="0" w:color="auto"/>
                    <w:bottom w:val="none" w:sz="0" w:space="0" w:color="auto"/>
                    <w:right w:val="none" w:sz="0" w:space="0" w:color="auto"/>
                  </w:divBdr>
                  <w:divsChild>
                    <w:div w:id="89955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02417">
      <w:bodyDiv w:val="1"/>
      <w:marLeft w:val="0"/>
      <w:marRight w:val="0"/>
      <w:marTop w:val="0"/>
      <w:marBottom w:val="0"/>
      <w:divBdr>
        <w:top w:val="none" w:sz="0" w:space="0" w:color="auto"/>
        <w:left w:val="none" w:sz="0" w:space="0" w:color="auto"/>
        <w:bottom w:val="none" w:sz="0" w:space="0" w:color="auto"/>
        <w:right w:val="none" w:sz="0" w:space="0" w:color="auto"/>
      </w:divBdr>
      <w:divsChild>
        <w:div w:id="624625986">
          <w:marLeft w:val="0"/>
          <w:marRight w:val="0"/>
          <w:marTop w:val="0"/>
          <w:marBottom w:val="0"/>
          <w:divBdr>
            <w:top w:val="none" w:sz="0" w:space="0" w:color="auto"/>
            <w:left w:val="none" w:sz="0" w:space="0" w:color="auto"/>
            <w:bottom w:val="none" w:sz="0" w:space="0" w:color="auto"/>
            <w:right w:val="none" w:sz="0" w:space="0" w:color="auto"/>
          </w:divBdr>
          <w:divsChild>
            <w:div w:id="1793398897">
              <w:marLeft w:val="0"/>
              <w:marRight w:val="0"/>
              <w:marTop w:val="0"/>
              <w:marBottom w:val="0"/>
              <w:divBdr>
                <w:top w:val="none" w:sz="0" w:space="0" w:color="auto"/>
                <w:left w:val="none" w:sz="0" w:space="0" w:color="auto"/>
                <w:bottom w:val="none" w:sz="0" w:space="0" w:color="auto"/>
                <w:right w:val="none" w:sz="0" w:space="0" w:color="auto"/>
              </w:divBdr>
              <w:divsChild>
                <w:div w:id="1375696877">
                  <w:marLeft w:val="0"/>
                  <w:marRight w:val="0"/>
                  <w:marTop w:val="0"/>
                  <w:marBottom w:val="0"/>
                  <w:divBdr>
                    <w:top w:val="none" w:sz="0" w:space="0" w:color="auto"/>
                    <w:left w:val="none" w:sz="0" w:space="0" w:color="auto"/>
                    <w:bottom w:val="none" w:sz="0" w:space="0" w:color="auto"/>
                    <w:right w:val="none" w:sz="0" w:space="0" w:color="auto"/>
                  </w:divBdr>
                  <w:divsChild>
                    <w:div w:id="9817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970214">
      <w:bodyDiv w:val="1"/>
      <w:marLeft w:val="0"/>
      <w:marRight w:val="0"/>
      <w:marTop w:val="0"/>
      <w:marBottom w:val="0"/>
      <w:divBdr>
        <w:top w:val="none" w:sz="0" w:space="0" w:color="auto"/>
        <w:left w:val="none" w:sz="0" w:space="0" w:color="auto"/>
        <w:bottom w:val="none" w:sz="0" w:space="0" w:color="auto"/>
        <w:right w:val="none" w:sz="0" w:space="0" w:color="auto"/>
      </w:divBdr>
      <w:divsChild>
        <w:div w:id="1430274554">
          <w:marLeft w:val="0"/>
          <w:marRight w:val="0"/>
          <w:marTop w:val="0"/>
          <w:marBottom w:val="0"/>
          <w:divBdr>
            <w:top w:val="none" w:sz="0" w:space="0" w:color="auto"/>
            <w:left w:val="none" w:sz="0" w:space="0" w:color="auto"/>
            <w:bottom w:val="none" w:sz="0" w:space="0" w:color="auto"/>
            <w:right w:val="none" w:sz="0" w:space="0" w:color="auto"/>
          </w:divBdr>
          <w:divsChild>
            <w:div w:id="1063599511">
              <w:marLeft w:val="0"/>
              <w:marRight w:val="0"/>
              <w:marTop w:val="0"/>
              <w:marBottom w:val="0"/>
              <w:divBdr>
                <w:top w:val="none" w:sz="0" w:space="0" w:color="auto"/>
                <w:left w:val="none" w:sz="0" w:space="0" w:color="auto"/>
                <w:bottom w:val="none" w:sz="0" w:space="0" w:color="auto"/>
                <w:right w:val="none" w:sz="0" w:space="0" w:color="auto"/>
              </w:divBdr>
              <w:divsChild>
                <w:div w:id="2070616818">
                  <w:marLeft w:val="0"/>
                  <w:marRight w:val="0"/>
                  <w:marTop w:val="0"/>
                  <w:marBottom w:val="0"/>
                  <w:divBdr>
                    <w:top w:val="none" w:sz="0" w:space="0" w:color="auto"/>
                    <w:left w:val="none" w:sz="0" w:space="0" w:color="auto"/>
                    <w:bottom w:val="none" w:sz="0" w:space="0" w:color="auto"/>
                    <w:right w:val="none" w:sz="0" w:space="0" w:color="auto"/>
                  </w:divBdr>
                  <w:divsChild>
                    <w:div w:id="43444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351620">
      <w:bodyDiv w:val="1"/>
      <w:marLeft w:val="0"/>
      <w:marRight w:val="0"/>
      <w:marTop w:val="0"/>
      <w:marBottom w:val="0"/>
      <w:divBdr>
        <w:top w:val="none" w:sz="0" w:space="0" w:color="auto"/>
        <w:left w:val="none" w:sz="0" w:space="0" w:color="auto"/>
        <w:bottom w:val="none" w:sz="0" w:space="0" w:color="auto"/>
        <w:right w:val="none" w:sz="0" w:space="0" w:color="auto"/>
      </w:divBdr>
      <w:divsChild>
        <w:div w:id="366032253">
          <w:marLeft w:val="0"/>
          <w:marRight w:val="0"/>
          <w:marTop w:val="0"/>
          <w:marBottom w:val="0"/>
          <w:divBdr>
            <w:top w:val="none" w:sz="0" w:space="0" w:color="auto"/>
            <w:left w:val="none" w:sz="0" w:space="0" w:color="auto"/>
            <w:bottom w:val="none" w:sz="0" w:space="0" w:color="auto"/>
            <w:right w:val="none" w:sz="0" w:space="0" w:color="auto"/>
          </w:divBdr>
          <w:divsChild>
            <w:div w:id="316809889">
              <w:marLeft w:val="0"/>
              <w:marRight w:val="0"/>
              <w:marTop w:val="0"/>
              <w:marBottom w:val="0"/>
              <w:divBdr>
                <w:top w:val="none" w:sz="0" w:space="0" w:color="auto"/>
                <w:left w:val="none" w:sz="0" w:space="0" w:color="auto"/>
                <w:bottom w:val="none" w:sz="0" w:space="0" w:color="auto"/>
                <w:right w:val="none" w:sz="0" w:space="0" w:color="auto"/>
              </w:divBdr>
              <w:divsChild>
                <w:div w:id="17052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58146">
      <w:bodyDiv w:val="1"/>
      <w:marLeft w:val="0"/>
      <w:marRight w:val="0"/>
      <w:marTop w:val="0"/>
      <w:marBottom w:val="0"/>
      <w:divBdr>
        <w:top w:val="none" w:sz="0" w:space="0" w:color="auto"/>
        <w:left w:val="none" w:sz="0" w:space="0" w:color="auto"/>
        <w:bottom w:val="none" w:sz="0" w:space="0" w:color="auto"/>
        <w:right w:val="none" w:sz="0" w:space="0" w:color="auto"/>
      </w:divBdr>
      <w:divsChild>
        <w:div w:id="715812903">
          <w:marLeft w:val="0"/>
          <w:marRight w:val="0"/>
          <w:marTop w:val="0"/>
          <w:marBottom w:val="0"/>
          <w:divBdr>
            <w:top w:val="none" w:sz="0" w:space="0" w:color="auto"/>
            <w:left w:val="none" w:sz="0" w:space="0" w:color="auto"/>
            <w:bottom w:val="none" w:sz="0" w:space="0" w:color="auto"/>
            <w:right w:val="none" w:sz="0" w:space="0" w:color="auto"/>
          </w:divBdr>
          <w:divsChild>
            <w:div w:id="2045208424">
              <w:marLeft w:val="0"/>
              <w:marRight w:val="0"/>
              <w:marTop w:val="0"/>
              <w:marBottom w:val="0"/>
              <w:divBdr>
                <w:top w:val="none" w:sz="0" w:space="0" w:color="auto"/>
                <w:left w:val="none" w:sz="0" w:space="0" w:color="auto"/>
                <w:bottom w:val="none" w:sz="0" w:space="0" w:color="auto"/>
                <w:right w:val="none" w:sz="0" w:space="0" w:color="auto"/>
              </w:divBdr>
              <w:divsChild>
                <w:div w:id="9020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00699">
      <w:bodyDiv w:val="1"/>
      <w:marLeft w:val="0"/>
      <w:marRight w:val="0"/>
      <w:marTop w:val="0"/>
      <w:marBottom w:val="0"/>
      <w:divBdr>
        <w:top w:val="none" w:sz="0" w:space="0" w:color="auto"/>
        <w:left w:val="none" w:sz="0" w:space="0" w:color="auto"/>
        <w:bottom w:val="none" w:sz="0" w:space="0" w:color="auto"/>
        <w:right w:val="none" w:sz="0" w:space="0" w:color="auto"/>
      </w:divBdr>
      <w:divsChild>
        <w:div w:id="687099784">
          <w:marLeft w:val="0"/>
          <w:marRight w:val="0"/>
          <w:marTop w:val="0"/>
          <w:marBottom w:val="0"/>
          <w:divBdr>
            <w:top w:val="none" w:sz="0" w:space="0" w:color="auto"/>
            <w:left w:val="none" w:sz="0" w:space="0" w:color="auto"/>
            <w:bottom w:val="none" w:sz="0" w:space="0" w:color="auto"/>
            <w:right w:val="none" w:sz="0" w:space="0" w:color="auto"/>
          </w:divBdr>
          <w:divsChild>
            <w:div w:id="1902519029">
              <w:marLeft w:val="0"/>
              <w:marRight w:val="0"/>
              <w:marTop w:val="0"/>
              <w:marBottom w:val="0"/>
              <w:divBdr>
                <w:top w:val="none" w:sz="0" w:space="0" w:color="auto"/>
                <w:left w:val="none" w:sz="0" w:space="0" w:color="auto"/>
                <w:bottom w:val="none" w:sz="0" w:space="0" w:color="auto"/>
                <w:right w:val="none" w:sz="0" w:space="0" w:color="auto"/>
              </w:divBdr>
              <w:divsChild>
                <w:div w:id="6675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49500">
      <w:bodyDiv w:val="1"/>
      <w:marLeft w:val="0"/>
      <w:marRight w:val="0"/>
      <w:marTop w:val="0"/>
      <w:marBottom w:val="0"/>
      <w:divBdr>
        <w:top w:val="none" w:sz="0" w:space="0" w:color="auto"/>
        <w:left w:val="none" w:sz="0" w:space="0" w:color="auto"/>
        <w:bottom w:val="none" w:sz="0" w:space="0" w:color="auto"/>
        <w:right w:val="none" w:sz="0" w:space="0" w:color="auto"/>
      </w:divBdr>
      <w:divsChild>
        <w:div w:id="1416779676">
          <w:marLeft w:val="0"/>
          <w:marRight w:val="0"/>
          <w:marTop w:val="0"/>
          <w:marBottom w:val="0"/>
          <w:divBdr>
            <w:top w:val="none" w:sz="0" w:space="0" w:color="auto"/>
            <w:left w:val="none" w:sz="0" w:space="0" w:color="auto"/>
            <w:bottom w:val="none" w:sz="0" w:space="0" w:color="auto"/>
            <w:right w:val="none" w:sz="0" w:space="0" w:color="auto"/>
          </w:divBdr>
          <w:divsChild>
            <w:div w:id="47925856">
              <w:marLeft w:val="0"/>
              <w:marRight w:val="0"/>
              <w:marTop w:val="0"/>
              <w:marBottom w:val="0"/>
              <w:divBdr>
                <w:top w:val="none" w:sz="0" w:space="0" w:color="auto"/>
                <w:left w:val="none" w:sz="0" w:space="0" w:color="auto"/>
                <w:bottom w:val="none" w:sz="0" w:space="0" w:color="auto"/>
                <w:right w:val="none" w:sz="0" w:space="0" w:color="auto"/>
              </w:divBdr>
              <w:divsChild>
                <w:div w:id="47514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6923">
      <w:bodyDiv w:val="1"/>
      <w:marLeft w:val="0"/>
      <w:marRight w:val="0"/>
      <w:marTop w:val="0"/>
      <w:marBottom w:val="0"/>
      <w:divBdr>
        <w:top w:val="none" w:sz="0" w:space="0" w:color="auto"/>
        <w:left w:val="none" w:sz="0" w:space="0" w:color="auto"/>
        <w:bottom w:val="none" w:sz="0" w:space="0" w:color="auto"/>
        <w:right w:val="none" w:sz="0" w:space="0" w:color="auto"/>
      </w:divBdr>
      <w:divsChild>
        <w:div w:id="531261602">
          <w:marLeft w:val="0"/>
          <w:marRight w:val="0"/>
          <w:marTop w:val="0"/>
          <w:marBottom w:val="0"/>
          <w:divBdr>
            <w:top w:val="none" w:sz="0" w:space="0" w:color="auto"/>
            <w:left w:val="none" w:sz="0" w:space="0" w:color="auto"/>
            <w:bottom w:val="none" w:sz="0" w:space="0" w:color="auto"/>
            <w:right w:val="none" w:sz="0" w:space="0" w:color="auto"/>
          </w:divBdr>
          <w:divsChild>
            <w:div w:id="1253202124">
              <w:marLeft w:val="0"/>
              <w:marRight w:val="0"/>
              <w:marTop w:val="0"/>
              <w:marBottom w:val="0"/>
              <w:divBdr>
                <w:top w:val="none" w:sz="0" w:space="0" w:color="auto"/>
                <w:left w:val="none" w:sz="0" w:space="0" w:color="auto"/>
                <w:bottom w:val="none" w:sz="0" w:space="0" w:color="auto"/>
                <w:right w:val="none" w:sz="0" w:space="0" w:color="auto"/>
              </w:divBdr>
              <w:divsChild>
                <w:div w:id="1026907471">
                  <w:marLeft w:val="0"/>
                  <w:marRight w:val="0"/>
                  <w:marTop w:val="0"/>
                  <w:marBottom w:val="0"/>
                  <w:divBdr>
                    <w:top w:val="none" w:sz="0" w:space="0" w:color="auto"/>
                    <w:left w:val="none" w:sz="0" w:space="0" w:color="auto"/>
                    <w:bottom w:val="none" w:sz="0" w:space="0" w:color="auto"/>
                    <w:right w:val="none" w:sz="0" w:space="0" w:color="auto"/>
                  </w:divBdr>
                  <w:divsChild>
                    <w:div w:id="13969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241057">
      <w:bodyDiv w:val="1"/>
      <w:marLeft w:val="0"/>
      <w:marRight w:val="0"/>
      <w:marTop w:val="0"/>
      <w:marBottom w:val="0"/>
      <w:divBdr>
        <w:top w:val="none" w:sz="0" w:space="0" w:color="auto"/>
        <w:left w:val="none" w:sz="0" w:space="0" w:color="auto"/>
        <w:bottom w:val="none" w:sz="0" w:space="0" w:color="auto"/>
        <w:right w:val="none" w:sz="0" w:space="0" w:color="auto"/>
      </w:divBdr>
      <w:divsChild>
        <w:div w:id="1559825924">
          <w:marLeft w:val="0"/>
          <w:marRight w:val="0"/>
          <w:marTop w:val="0"/>
          <w:marBottom w:val="0"/>
          <w:divBdr>
            <w:top w:val="none" w:sz="0" w:space="0" w:color="auto"/>
            <w:left w:val="none" w:sz="0" w:space="0" w:color="auto"/>
            <w:bottom w:val="none" w:sz="0" w:space="0" w:color="auto"/>
            <w:right w:val="none" w:sz="0" w:space="0" w:color="auto"/>
          </w:divBdr>
          <w:divsChild>
            <w:div w:id="1146359558">
              <w:marLeft w:val="0"/>
              <w:marRight w:val="0"/>
              <w:marTop w:val="0"/>
              <w:marBottom w:val="0"/>
              <w:divBdr>
                <w:top w:val="none" w:sz="0" w:space="0" w:color="auto"/>
                <w:left w:val="none" w:sz="0" w:space="0" w:color="auto"/>
                <w:bottom w:val="none" w:sz="0" w:space="0" w:color="auto"/>
                <w:right w:val="none" w:sz="0" w:space="0" w:color="auto"/>
              </w:divBdr>
              <w:divsChild>
                <w:div w:id="115186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393179">
      <w:bodyDiv w:val="1"/>
      <w:marLeft w:val="0"/>
      <w:marRight w:val="0"/>
      <w:marTop w:val="0"/>
      <w:marBottom w:val="0"/>
      <w:divBdr>
        <w:top w:val="none" w:sz="0" w:space="0" w:color="auto"/>
        <w:left w:val="none" w:sz="0" w:space="0" w:color="auto"/>
        <w:bottom w:val="none" w:sz="0" w:space="0" w:color="auto"/>
        <w:right w:val="none" w:sz="0" w:space="0" w:color="auto"/>
      </w:divBdr>
    </w:div>
    <w:div w:id="682172908">
      <w:bodyDiv w:val="1"/>
      <w:marLeft w:val="0"/>
      <w:marRight w:val="0"/>
      <w:marTop w:val="0"/>
      <w:marBottom w:val="0"/>
      <w:divBdr>
        <w:top w:val="none" w:sz="0" w:space="0" w:color="auto"/>
        <w:left w:val="none" w:sz="0" w:space="0" w:color="auto"/>
        <w:bottom w:val="none" w:sz="0" w:space="0" w:color="auto"/>
        <w:right w:val="none" w:sz="0" w:space="0" w:color="auto"/>
      </w:divBdr>
      <w:divsChild>
        <w:div w:id="125858862">
          <w:marLeft w:val="0"/>
          <w:marRight w:val="0"/>
          <w:marTop w:val="0"/>
          <w:marBottom w:val="0"/>
          <w:divBdr>
            <w:top w:val="none" w:sz="0" w:space="0" w:color="auto"/>
            <w:left w:val="none" w:sz="0" w:space="0" w:color="auto"/>
            <w:bottom w:val="none" w:sz="0" w:space="0" w:color="auto"/>
            <w:right w:val="none" w:sz="0" w:space="0" w:color="auto"/>
          </w:divBdr>
          <w:divsChild>
            <w:div w:id="1437096976">
              <w:marLeft w:val="0"/>
              <w:marRight w:val="0"/>
              <w:marTop w:val="0"/>
              <w:marBottom w:val="0"/>
              <w:divBdr>
                <w:top w:val="none" w:sz="0" w:space="0" w:color="auto"/>
                <w:left w:val="none" w:sz="0" w:space="0" w:color="auto"/>
                <w:bottom w:val="none" w:sz="0" w:space="0" w:color="auto"/>
                <w:right w:val="none" w:sz="0" w:space="0" w:color="auto"/>
              </w:divBdr>
              <w:divsChild>
                <w:div w:id="56014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5438">
      <w:bodyDiv w:val="1"/>
      <w:marLeft w:val="0"/>
      <w:marRight w:val="0"/>
      <w:marTop w:val="0"/>
      <w:marBottom w:val="0"/>
      <w:divBdr>
        <w:top w:val="none" w:sz="0" w:space="0" w:color="auto"/>
        <w:left w:val="none" w:sz="0" w:space="0" w:color="auto"/>
        <w:bottom w:val="none" w:sz="0" w:space="0" w:color="auto"/>
        <w:right w:val="none" w:sz="0" w:space="0" w:color="auto"/>
      </w:divBdr>
      <w:divsChild>
        <w:div w:id="1926453816">
          <w:marLeft w:val="0"/>
          <w:marRight w:val="0"/>
          <w:marTop w:val="0"/>
          <w:marBottom w:val="0"/>
          <w:divBdr>
            <w:top w:val="none" w:sz="0" w:space="0" w:color="auto"/>
            <w:left w:val="none" w:sz="0" w:space="0" w:color="auto"/>
            <w:bottom w:val="none" w:sz="0" w:space="0" w:color="auto"/>
            <w:right w:val="none" w:sz="0" w:space="0" w:color="auto"/>
          </w:divBdr>
          <w:divsChild>
            <w:div w:id="58484329">
              <w:marLeft w:val="0"/>
              <w:marRight w:val="0"/>
              <w:marTop w:val="0"/>
              <w:marBottom w:val="0"/>
              <w:divBdr>
                <w:top w:val="none" w:sz="0" w:space="0" w:color="auto"/>
                <w:left w:val="none" w:sz="0" w:space="0" w:color="auto"/>
                <w:bottom w:val="none" w:sz="0" w:space="0" w:color="auto"/>
                <w:right w:val="none" w:sz="0" w:space="0" w:color="auto"/>
              </w:divBdr>
              <w:divsChild>
                <w:div w:id="578295513">
                  <w:marLeft w:val="0"/>
                  <w:marRight w:val="0"/>
                  <w:marTop w:val="0"/>
                  <w:marBottom w:val="0"/>
                  <w:divBdr>
                    <w:top w:val="none" w:sz="0" w:space="0" w:color="auto"/>
                    <w:left w:val="none" w:sz="0" w:space="0" w:color="auto"/>
                    <w:bottom w:val="none" w:sz="0" w:space="0" w:color="auto"/>
                    <w:right w:val="none" w:sz="0" w:space="0" w:color="auto"/>
                  </w:divBdr>
                  <w:divsChild>
                    <w:div w:id="16632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740920">
      <w:bodyDiv w:val="1"/>
      <w:marLeft w:val="0"/>
      <w:marRight w:val="0"/>
      <w:marTop w:val="0"/>
      <w:marBottom w:val="0"/>
      <w:divBdr>
        <w:top w:val="none" w:sz="0" w:space="0" w:color="auto"/>
        <w:left w:val="none" w:sz="0" w:space="0" w:color="auto"/>
        <w:bottom w:val="none" w:sz="0" w:space="0" w:color="auto"/>
        <w:right w:val="none" w:sz="0" w:space="0" w:color="auto"/>
      </w:divBdr>
      <w:divsChild>
        <w:div w:id="1568110101">
          <w:marLeft w:val="0"/>
          <w:marRight w:val="0"/>
          <w:marTop w:val="0"/>
          <w:marBottom w:val="0"/>
          <w:divBdr>
            <w:top w:val="none" w:sz="0" w:space="0" w:color="auto"/>
            <w:left w:val="none" w:sz="0" w:space="0" w:color="auto"/>
            <w:bottom w:val="none" w:sz="0" w:space="0" w:color="auto"/>
            <w:right w:val="none" w:sz="0" w:space="0" w:color="auto"/>
          </w:divBdr>
          <w:divsChild>
            <w:div w:id="2004581027">
              <w:marLeft w:val="0"/>
              <w:marRight w:val="0"/>
              <w:marTop w:val="0"/>
              <w:marBottom w:val="0"/>
              <w:divBdr>
                <w:top w:val="none" w:sz="0" w:space="0" w:color="auto"/>
                <w:left w:val="none" w:sz="0" w:space="0" w:color="auto"/>
                <w:bottom w:val="none" w:sz="0" w:space="0" w:color="auto"/>
                <w:right w:val="none" w:sz="0" w:space="0" w:color="auto"/>
              </w:divBdr>
              <w:divsChild>
                <w:div w:id="66074377">
                  <w:marLeft w:val="0"/>
                  <w:marRight w:val="0"/>
                  <w:marTop w:val="0"/>
                  <w:marBottom w:val="0"/>
                  <w:divBdr>
                    <w:top w:val="none" w:sz="0" w:space="0" w:color="auto"/>
                    <w:left w:val="none" w:sz="0" w:space="0" w:color="auto"/>
                    <w:bottom w:val="none" w:sz="0" w:space="0" w:color="auto"/>
                    <w:right w:val="none" w:sz="0" w:space="0" w:color="auto"/>
                  </w:divBdr>
                  <w:divsChild>
                    <w:div w:id="36714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89408">
      <w:bodyDiv w:val="1"/>
      <w:marLeft w:val="0"/>
      <w:marRight w:val="0"/>
      <w:marTop w:val="0"/>
      <w:marBottom w:val="0"/>
      <w:divBdr>
        <w:top w:val="none" w:sz="0" w:space="0" w:color="auto"/>
        <w:left w:val="none" w:sz="0" w:space="0" w:color="auto"/>
        <w:bottom w:val="none" w:sz="0" w:space="0" w:color="auto"/>
        <w:right w:val="none" w:sz="0" w:space="0" w:color="auto"/>
      </w:divBdr>
      <w:divsChild>
        <w:div w:id="278882112">
          <w:marLeft w:val="0"/>
          <w:marRight w:val="0"/>
          <w:marTop w:val="0"/>
          <w:marBottom w:val="0"/>
          <w:divBdr>
            <w:top w:val="none" w:sz="0" w:space="0" w:color="auto"/>
            <w:left w:val="none" w:sz="0" w:space="0" w:color="auto"/>
            <w:bottom w:val="none" w:sz="0" w:space="0" w:color="auto"/>
            <w:right w:val="none" w:sz="0" w:space="0" w:color="auto"/>
          </w:divBdr>
          <w:divsChild>
            <w:div w:id="1805853092">
              <w:marLeft w:val="0"/>
              <w:marRight w:val="0"/>
              <w:marTop w:val="0"/>
              <w:marBottom w:val="0"/>
              <w:divBdr>
                <w:top w:val="none" w:sz="0" w:space="0" w:color="auto"/>
                <w:left w:val="none" w:sz="0" w:space="0" w:color="auto"/>
                <w:bottom w:val="none" w:sz="0" w:space="0" w:color="auto"/>
                <w:right w:val="none" w:sz="0" w:space="0" w:color="auto"/>
              </w:divBdr>
              <w:divsChild>
                <w:div w:id="9299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81261">
      <w:bodyDiv w:val="1"/>
      <w:marLeft w:val="0"/>
      <w:marRight w:val="0"/>
      <w:marTop w:val="0"/>
      <w:marBottom w:val="0"/>
      <w:divBdr>
        <w:top w:val="none" w:sz="0" w:space="0" w:color="auto"/>
        <w:left w:val="none" w:sz="0" w:space="0" w:color="auto"/>
        <w:bottom w:val="none" w:sz="0" w:space="0" w:color="auto"/>
        <w:right w:val="none" w:sz="0" w:space="0" w:color="auto"/>
      </w:divBdr>
      <w:divsChild>
        <w:div w:id="1761636478">
          <w:marLeft w:val="0"/>
          <w:marRight w:val="0"/>
          <w:marTop w:val="0"/>
          <w:marBottom w:val="0"/>
          <w:divBdr>
            <w:top w:val="none" w:sz="0" w:space="0" w:color="auto"/>
            <w:left w:val="none" w:sz="0" w:space="0" w:color="auto"/>
            <w:bottom w:val="none" w:sz="0" w:space="0" w:color="auto"/>
            <w:right w:val="none" w:sz="0" w:space="0" w:color="auto"/>
          </w:divBdr>
          <w:divsChild>
            <w:div w:id="2138138397">
              <w:marLeft w:val="0"/>
              <w:marRight w:val="0"/>
              <w:marTop w:val="0"/>
              <w:marBottom w:val="0"/>
              <w:divBdr>
                <w:top w:val="none" w:sz="0" w:space="0" w:color="auto"/>
                <w:left w:val="none" w:sz="0" w:space="0" w:color="auto"/>
                <w:bottom w:val="none" w:sz="0" w:space="0" w:color="auto"/>
                <w:right w:val="none" w:sz="0" w:space="0" w:color="auto"/>
              </w:divBdr>
              <w:divsChild>
                <w:div w:id="148480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067829">
      <w:bodyDiv w:val="1"/>
      <w:marLeft w:val="0"/>
      <w:marRight w:val="0"/>
      <w:marTop w:val="0"/>
      <w:marBottom w:val="0"/>
      <w:divBdr>
        <w:top w:val="none" w:sz="0" w:space="0" w:color="auto"/>
        <w:left w:val="none" w:sz="0" w:space="0" w:color="auto"/>
        <w:bottom w:val="none" w:sz="0" w:space="0" w:color="auto"/>
        <w:right w:val="none" w:sz="0" w:space="0" w:color="auto"/>
      </w:divBdr>
      <w:divsChild>
        <w:div w:id="611087005">
          <w:marLeft w:val="0"/>
          <w:marRight w:val="0"/>
          <w:marTop w:val="0"/>
          <w:marBottom w:val="0"/>
          <w:divBdr>
            <w:top w:val="none" w:sz="0" w:space="0" w:color="auto"/>
            <w:left w:val="none" w:sz="0" w:space="0" w:color="auto"/>
            <w:bottom w:val="none" w:sz="0" w:space="0" w:color="auto"/>
            <w:right w:val="none" w:sz="0" w:space="0" w:color="auto"/>
          </w:divBdr>
          <w:divsChild>
            <w:div w:id="1275479699">
              <w:marLeft w:val="0"/>
              <w:marRight w:val="0"/>
              <w:marTop w:val="0"/>
              <w:marBottom w:val="0"/>
              <w:divBdr>
                <w:top w:val="none" w:sz="0" w:space="0" w:color="auto"/>
                <w:left w:val="none" w:sz="0" w:space="0" w:color="auto"/>
                <w:bottom w:val="none" w:sz="0" w:space="0" w:color="auto"/>
                <w:right w:val="none" w:sz="0" w:space="0" w:color="auto"/>
              </w:divBdr>
              <w:divsChild>
                <w:div w:id="1446653627">
                  <w:marLeft w:val="0"/>
                  <w:marRight w:val="0"/>
                  <w:marTop w:val="0"/>
                  <w:marBottom w:val="0"/>
                  <w:divBdr>
                    <w:top w:val="none" w:sz="0" w:space="0" w:color="auto"/>
                    <w:left w:val="none" w:sz="0" w:space="0" w:color="auto"/>
                    <w:bottom w:val="none" w:sz="0" w:space="0" w:color="auto"/>
                    <w:right w:val="none" w:sz="0" w:space="0" w:color="auto"/>
                  </w:divBdr>
                  <w:divsChild>
                    <w:div w:id="20224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977280">
      <w:bodyDiv w:val="1"/>
      <w:marLeft w:val="0"/>
      <w:marRight w:val="0"/>
      <w:marTop w:val="0"/>
      <w:marBottom w:val="0"/>
      <w:divBdr>
        <w:top w:val="none" w:sz="0" w:space="0" w:color="auto"/>
        <w:left w:val="none" w:sz="0" w:space="0" w:color="auto"/>
        <w:bottom w:val="none" w:sz="0" w:space="0" w:color="auto"/>
        <w:right w:val="none" w:sz="0" w:space="0" w:color="auto"/>
      </w:divBdr>
    </w:div>
    <w:div w:id="722095107">
      <w:bodyDiv w:val="1"/>
      <w:marLeft w:val="0"/>
      <w:marRight w:val="0"/>
      <w:marTop w:val="0"/>
      <w:marBottom w:val="0"/>
      <w:divBdr>
        <w:top w:val="none" w:sz="0" w:space="0" w:color="auto"/>
        <w:left w:val="none" w:sz="0" w:space="0" w:color="auto"/>
        <w:bottom w:val="none" w:sz="0" w:space="0" w:color="auto"/>
        <w:right w:val="none" w:sz="0" w:space="0" w:color="auto"/>
      </w:divBdr>
      <w:divsChild>
        <w:div w:id="1764952589">
          <w:marLeft w:val="0"/>
          <w:marRight w:val="0"/>
          <w:marTop w:val="0"/>
          <w:marBottom w:val="0"/>
          <w:divBdr>
            <w:top w:val="none" w:sz="0" w:space="0" w:color="auto"/>
            <w:left w:val="none" w:sz="0" w:space="0" w:color="auto"/>
            <w:bottom w:val="none" w:sz="0" w:space="0" w:color="auto"/>
            <w:right w:val="none" w:sz="0" w:space="0" w:color="auto"/>
          </w:divBdr>
          <w:divsChild>
            <w:div w:id="1846942101">
              <w:marLeft w:val="0"/>
              <w:marRight w:val="0"/>
              <w:marTop w:val="0"/>
              <w:marBottom w:val="0"/>
              <w:divBdr>
                <w:top w:val="none" w:sz="0" w:space="0" w:color="auto"/>
                <w:left w:val="none" w:sz="0" w:space="0" w:color="auto"/>
                <w:bottom w:val="none" w:sz="0" w:space="0" w:color="auto"/>
                <w:right w:val="none" w:sz="0" w:space="0" w:color="auto"/>
              </w:divBdr>
              <w:divsChild>
                <w:div w:id="2403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798716">
      <w:bodyDiv w:val="1"/>
      <w:marLeft w:val="0"/>
      <w:marRight w:val="0"/>
      <w:marTop w:val="0"/>
      <w:marBottom w:val="0"/>
      <w:divBdr>
        <w:top w:val="none" w:sz="0" w:space="0" w:color="auto"/>
        <w:left w:val="none" w:sz="0" w:space="0" w:color="auto"/>
        <w:bottom w:val="none" w:sz="0" w:space="0" w:color="auto"/>
        <w:right w:val="none" w:sz="0" w:space="0" w:color="auto"/>
      </w:divBdr>
      <w:divsChild>
        <w:div w:id="49378413">
          <w:marLeft w:val="0"/>
          <w:marRight w:val="0"/>
          <w:marTop w:val="0"/>
          <w:marBottom w:val="0"/>
          <w:divBdr>
            <w:top w:val="none" w:sz="0" w:space="0" w:color="auto"/>
            <w:left w:val="none" w:sz="0" w:space="0" w:color="auto"/>
            <w:bottom w:val="none" w:sz="0" w:space="0" w:color="auto"/>
            <w:right w:val="none" w:sz="0" w:space="0" w:color="auto"/>
          </w:divBdr>
          <w:divsChild>
            <w:div w:id="190261891">
              <w:marLeft w:val="0"/>
              <w:marRight w:val="0"/>
              <w:marTop w:val="0"/>
              <w:marBottom w:val="0"/>
              <w:divBdr>
                <w:top w:val="none" w:sz="0" w:space="0" w:color="auto"/>
                <w:left w:val="none" w:sz="0" w:space="0" w:color="auto"/>
                <w:bottom w:val="none" w:sz="0" w:space="0" w:color="auto"/>
                <w:right w:val="none" w:sz="0" w:space="0" w:color="auto"/>
              </w:divBdr>
              <w:divsChild>
                <w:div w:id="1568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332541">
      <w:bodyDiv w:val="1"/>
      <w:marLeft w:val="0"/>
      <w:marRight w:val="0"/>
      <w:marTop w:val="0"/>
      <w:marBottom w:val="0"/>
      <w:divBdr>
        <w:top w:val="none" w:sz="0" w:space="0" w:color="auto"/>
        <w:left w:val="none" w:sz="0" w:space="0" w:color="auto"/>
        <w:bottom w:val="none" w:sz="0" w:space="0" w:color="auto"/>
        <w:right w:val="none" w:sz="0" w:space="0" w:color="auto"/>
      </w:divBdr>
    </w:div>
    <w:div w:id="726297022">
      <w:bodyDiv w:val="1"/>
      <w:marLeft w:val="0"/>
      <w:marRight w:val="0"/>
      <w:marTop w:val="0"/>
      <w:marBottom w:val="0"/>
      <w:divBdr>
        <w:top w:val="none" w:sz="0" w:space="0" w:color="auto"/>
        <w:left w:val="none" w:sz="0" w:space="0" w:color="auto"/>
        <w:bottom w:val="none" w:sz="0" w:space="0" w:color="auto"/>
        <w:right w:val="none" w:sz="0" w:space="0" w:color="auto"/>
      </w:divBdr>
      <w:divsChild>
        <w:div w:id="1993831753">
          <w:marLeft w:val="0"/>
          <w:marRight w:val="0"/>
          <w:marTop w:val="0"/>
          <w:marBottom w:val="0"/>
          <w:divBdr>
            <w:top w:val="none" w:sz="0" w:space="0" w:color="auto"/>
            <w:left w:val="none" w:sz="0" w:space="0" w:color="auto"/>
            <w:bottom w:val="none" w:sz="0" w:space="0" w:color="auto"/>
            <w:right w:val="none" w:sz="0" w:space="0" w:color="auto"/>
          </w:divBdr>
          <w:divsChild>
            <w:div w:id="993029034">
              <w:marLeft w:val="0"/>
              <w:marRight w:val="0"/>
              <w:marTop w:val="0"/>
              <w:marBottom w:val="0"/>
              <w:divBdr>
                <w:top w:val="none" w:sz="0" w:space="0" w:color="auto"/>
                <w:left w:val="none" w:sz="0" w:space="0" w:color="auto"/>
                <w:bottom w:val="none" w:sz="0" w:space="0" w:color="auto"/>
                <w:right w:val="none" w:sz="0" w:space="0" w:color="auto"/>
              </w:divBdr>
              <w:divsChild>
                <w:div w:id="13857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11462">
      <w:bodyDiv w:val="1"/>
      <w:marLeft w:val="0"/>
      <w:marRight w:val="0"/>
      <w:marTop w:val="0"/>
      <w:marBottom w:val="0"/>
      <w:divBdr>
        <w:top w:val="none" w:sz="0" w:space="0" w:color="auto"/>
        <w:left w:val="none" w:sz="0" w:space="0" w:color="auto"/>
        <w:bottom w:val="none" w:sz="0" w:space="0" w:color="auto"/>
        <w:right w:val="none" w:sz="0" w:space="0" w:color="auto"/>
      </w:divBdr>
      <w:divsChild>
        <w:div w:id="723530943">
          <w:marLeft w:val="0"/>
          <w:marRight w:val="0"/>
          <w:marTop w:val="0"/>
          <w:marBottom w:val="0"/>
          <w:divBdr>
            <w:top w:val="none" w:sz="0" w:space="0" w:color="auto"/>
            <w:left w:val="none" w:sz="0" w:space="0" w:color="auto"/>
            <w:bottom w:val="none" w:sz="0" w:space="0" w:color="auto"/>
            <w:right w:val="none" w:sz="0" w:space="0" w:color="auto"/>
          </w:divBdr>
          <w:divsChild>
            <w:div w:id="1451557028">
              <w:marLeft w:val="0"/>
              <w:marRight w:val="0"/>
              <w:marTop w:val="0"/>
              <w:marBottom w:val="0"/>
              <w:divBdr>
                <w:top w:val="none" w:sz="0" w:space="0" w:color="auto"/>
                <w:left w:val="none" w:sz="0" w:space="0" w:color="auto"/>
                <w:bottom w:val="none" w:sz="0" w:space="0" w:color="auto"/>
                <w:right w:val="none" w:sz="0" w:space="0" w:color="auto"/>
              </w:divBdr>
              <w:divsChild>
                <w:div w:id="1978100819">
                  <w:marLeft w:val="0"/>
                  <w:marRight w:val="0"/>
                  <w:marTop w:val="0"/>
                  <w:marBottom w:val="0"/>
                  <w:divBdr>
                    <w:top w:val="none" w:sz="0" w:space="0" w:color="auto"/>
                    <w:left w:val="none" w:sz="0" w:space="0" w:color="auto"/>
                    <w:bottom w:val="none" w:sz="0" w:space="0" w:color="auto"/>
                    <w:right w:val="none" w:sz="0" w:space="0" w:color="auto"/>
                  </w:divBdr>
                  <w:divsChild>
                    <w:div w:id="851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311874">
      <w:bodyDiv w:val="1"/>
      <w:marLeft w:val="0"/>
      <w:marRight w:val="0"/>
      <w:marTop w:val="0"/>
      <w:marBottom w:val="0"/>
      <w:divBdr>
        <w:top w:val="none" w:sz="0" w:space="0" w:color="auto"/>
        <w:left w:val="none" w:sz="0" w:space="0" w:color="auto"/>
        <w:bottom w:val="none" w:sz="0" w:space="0" w:color="auto"/>
        <w:right w:val="none" w:sz="0" w:space="0" w:color="auto"/>
      </w:divBdr>
      <w:divsChild>
        <w:div w:id="554124631">
          <w:marLeft w:val="0"/>
          <w:marRight w:val="0"/>
          <w:marTop w:val="0"/>
          <w:marBottom w:val="0"/>
          <w:divBdr>
            <w:top w:val="none" w:sz="0" w:space="0" w:color="auto"/>
            <w:left w:val="none" w:sz="0" w:space="0" w:color="auto"/>
            <w:bottom w:val="none" w:sz="0" w:space="0" w:color="auto"/>
            <w:right w:val="none" w:sz="0" w:space="0" w:color="auto"/>
          </w:divBdr>
          <w:divsChild>
            <w:div w:id="1284068852">
              <w:marLeft w:val="0"/>
              <w:marRight w:val="0"/>
              <w:marTop w:val="0"/>
              <w:marBottom w:val="0"/>
              <w:divBdr>
                <w:top w:val="none" w:sz="0" w:space="0" w:color="auto"/>
                <w:left w:val="none" w:sz="0" w:space="0" w:color="auto"/>
                <w:bottom w:val="none" w:sz="0" w:space="0" w:color="auto"/>
                <w:right w:val="none" w:sz="0" w:space="0" w:color="auto"/>
              </w:divBdr>
              <w:divsChild>
                <w:div w:id="1430739329">
                  <w:marLeft w:val="0"/>
                  <w:marRight w:val="0"/>
                  <w:marTop w:val="0"/>
                  <w:marBottom w:val="0"/>
                  <w:divBdr>
                    <w:top w:val="none" w:sz="0" w:space="0" w:color="auto"/>
                    <w:left w:val="none" w:sz="0" w:space="0" w:color="auto"/>
                    <w:bottom w:val="none" w:sz="0" w:space="0" w:color="auto"/>
                    <w:right w:val="none" w:sz="0" w:space="0" w:color="auto"/>
                  </w:divBdr>
                  <w:divsChild>
                    <w:div w:id="93948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251400">
      <w:bodyDiv w:val="1"/>
      <w:marLeft w:val="0"/>
      <w:marRight w:val="0"/>
      <w:marTop w:val="0"/>
      <w:marBottom w:val="0"/>
      <w:divBdr>
        <w:top w:val="none" w:sz="0" w:space="0" w:color="auto"/>
        <w:left w:val="none" w:sz="0" w:space="0" w:color="auto"/>
        <w:bottom w:val="none" w:sz="0" w:space="0" w:color="auto"/>
        <w:right w:val="none" w:sz="0" w:space="0" w:color="auto"/>
      </w:divBdr>
      <w:divsChild>
        <w:div w:id="2105299845">
          <w:marLeft w:val="0"/>
          <w:marRight w:val="0"/>
          <w:marTop w:val="0"/>
          <w:marBottom w:val="0"/>
          <w:divBdr>
            <w:top w:val="none" w:sz="0" w:space="0" w:color="auto"/>
            <w:left w:val="none" w:sz="0" w:space="0" w:color="auto"/>
            <w:bottom w:val="none" w:sz="0" w:space="0" w:color="auto"/>
            <w:right w:val="none" w:sz="0" w:space="0" w:color="auto"/>
          </w:divBdr>
          <w:divsChild>
            <w:div w:id="1152911457">
              <w:marLeft w:val="0"/>
              <w:marRight w:val="0"/>
              <w:marTop w:val="0"/>
              <w:marBottom w:val="0"/>
              <w:divBdr>
                <w:top w:val="none" w:sz="0" w:space="0" w:color="auto"/>
                <w:left w:val="none" w:sz="0" w:space="0" w:color="auto"/>
                <w:bottom w:val="none" w:sz="0" w:space="0" w:color="auto"/>
                <w:right w:val="none" w:sz="0" w:space="0" w:color="auto"/>
              </w:divBdr>
              <w:divsChild>
                <w:div w:id="85511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18488">
      <w:bodyDiv w:val="1"/>
      <w:marLeft w:val="0"/>
      <w:marRight w:val="0"/>
      <w:marTop w:val="0"/>
      <w:marBottom w:val="0"/>
      <w:divBdr>
        <w:top w:val="none" w:sz="0" w:space="0" w:color="auto"/>
        <w:left w:val="none" w:sz="0" w:space="0" w:color="auto"/>
        <w:bottom w:val="none" w:sz="0" w:space="0" w:color="auto"/>
        <w:right w:val="none" w:sz="0" w:space="0" w:color="auto"/>
      </w:divBdr>
      <w:divsChild>
        <w:div w:id="1860240812">
          <w:marLeft w:val="0"/>
          <w:marRight w:val="0"/>
          <w:marTop w:val="0"/>
          <w:marBottom w:val="0"/>
          <w:divBdr>
            <w:top w:val="none" w:sz="0" w:space="0" w:color="auto"/>
            <w:left w:val="none" w:sz="0" w:space="0" w:color="auto"/>
            <w:bottom w:val="none" w:sz="0" w:space="0" w:color="auto"/>
            <w:right w:val="none" w:sz="0" w:space="0" w:color="auto"/>
          </w:divBdr>
          <w:divsChild>
            <w:div w:id="136805941">
              <w:marLeft w:val="0"/>
              <w:marRight w:val="0"/>
              <w:marTop w:val="0"/>
              <w:marBottom w:val="0"/>
              <w:divBdr>
                <w:top w:val="none" w:sz="0" w:space="0" w:color="auto"/>
                <w:left w:val="none" w:sz="0" w:space="0" w:color="auto"/>
                <w:bottom w:val="none" w:sz="0" w:space="0" w:color="auto"/>
                <w:right w:val="none" w:sz="0" w:space="0" w:color="auto"/>
              </w:divBdr>
              <w:divsChild>
                <w:div w:id="1233661138">
                  <w:marLeft w:val="0"/>
                  <w:marRight w:val="0"/>
                  <w:marTop w:val="0"/>
                  <w:marBottom w:val="0"/>
                  <w:divBdr>
                    <w:top w:val="none" w:sz="0" w:space="0" w:color="auto"/>
                    <w:left w:val="none" w:sz="0" w:space="0" w:color="auto"/>
                    <w:bottom w:val="none" w:sz="0" w:space="0" w:color="auto"/>
                    <w:right w:val="none" w:sz="0" w:space="0" w:color="auto"/>
                  </w:divBdr>
                  <w:divsChild>
                    <w:div w:id="77524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769117">
      <w:bodyDiv w:val="1"/>
      <w:marLeft w:val="0"/>
      <w:marRight w:val="0"/>
      <w:marTop w:val="0"/>
      <w:marBottom w:val="0"/>
      <w:divBdr>
        <w:top w:val="none" w:sz="0" w:space="0" w:color="auto"/>
        <w:left w:val="none" w:sz="0" w:space="0" w:color="auto"/>
        <w:bottom w:val="none" w:sz="0" w:space="0" w:color="auto"/>
        <w:right w:val="none" w:sz="0" w:space="0" w:color="auto"/>
      </w:divBdr>
      <w:divsChild>
        <w:div w:id="119226670">
          <w:marLeft w:val="0"/>
          <w:marRight w:val="0"/>
          <w:marTop w:val="0"/>
          <w:marBottom w:val="0"/>
          <w:divBdr>
            <w:top w:val="none" w:sz="0" w:space="0" w:color="auto"/>
            <w:left w:val="none" w:sz="0" w:space="0" w:color="auto"/>
            <w:bottom w:val="none" w:sz="0" w:space="0" w:color="auto"/>
            <w:right w:val="none" w:sz="0" w:space="0" w:color="auto"/>
          </w:divBdr>
          <w:divsChild>
            <w:div w:id="585651736">
              <w:marLeft w:val="0"/>
              <w:marRight w:val="0"/>
              <w:marTop w:val="0"/>
              <w:marBottom w:val="0"/>
              <w:divBdr>
                <w:top w:val="none" w:sz="0" w:space="0" w:color="auto"/>
                <w:left w:val="none" w:sz="0" w:space="0" w:color="auto"/>
                <w:bottom w:val="none" w:sz="0" w:space="0" w:color="auto"/>
                <w:right w:val="none" w:sz="0" w:space="0" w:color="auto"/>
              </w:divBdr>
              <w:divsChild>
                <w:div w:id="14513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96231">
      <w:bodyDiv w:val="1"/>
      <w:marLeft w:val="0"/>
      <w:marRight w:val="0"/>
      <w:marTop w:val="0"/>
      <w:marBottom w:val="0"/>
      <w:divBdr>
        <w:top w:val="none" w:sz="0" w:space="0" w:color="auto"/>
        <w:left w:val="none" w:sz="0" w:space="0" w:color="auto"/>
        <w:bottom w:val="none" w:sz="0" w:space="0" w:color="auto"/>
        <w:right w:val="none" w:sz="0" w:space="0" w:color="auto"/>
      </w:divBdr>
      <w:divsChild>
        <w:div w:id="1679313229">
          <w:marLeft w:val="0"/>
          <w:marRight w:val="0"/>
          <w:marTop w:val="0"/>
          <w:marBottom w:val="0"/>
          <w:divBdr>
            <w:top w:val="none" w:sz="0" w:space="0" w:color="auto"/>
            <w:left w:val="none" w:sz="0" w:space="0" w:color="auto"/>
            <w:bottom w:val="none" w:sz="0" w:space="0" w:color="auto"/>
            <w:right w:val="none" w:sz="0" w:space="0" w:color="auto"/>
          </w:divBdr>
          <w:divsChild>
            <w:div w:id="810564791">
              <w:marLeft w:val="0"/>
              <w:marRight w:val="0"/>
              <w:marTop w:val="0"/>
              <w:marBottom w:val="0"/>
              <w:divBdr>
                <w:top w:val="none" w:sz="0" w:space="0" w:color="auto"/>
                <w:left w:val="none" w:sz="0" w:space="0" w:color="auto"/>
                <w:bottom w:val="none" w:sz="0" w:space="0" w:color="auto"/>
                <w:right w:val="none" w:sz="0" w:space="0" w:color="auto"/>
              </w:divBdr>
              <w:divsChild>
                <w:div w:id="3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57394">
      <w:bodyDiv w:val="1"/>
      <w:marLeft w:val="0"/>
      <w:marRight w:val="0"/>
      <w:marTop w:val="0"/>
      <w:marBottom w:val="0"/>
      <w:divBdr>
        <w:top w:val="none" w:sz="0" w:space="0" w:color="auto"/>
        <w:left w:val="none" w:sz="0" w:space="0" w:color="auto"/>
        <w:bottom w:val="none" w:sz="0" w:space="0" w:color="auto"/>
        <w:right w:val="none" w:sz="0" w:space="0" w:color="auto"/>
      </w:divBdr>
      <w:divsChild>
        <w:div w:id="842432068">
          <w:marLeft w:val="0"/>
          <w:marRight w:val="0"/>
          <w:marTop w:val="0"/>
          <w:marBottom w:val="0"/>
          <w:divBdr>
            <w:top w:val="none" w:sz="0" w:space="0" w:color="auto"/>
            <w:left w:val="none" w:sz="0" w:space="0" w:color="auto"/>
            <w:bottom w:val="none" w:sz="0" w:space="0" w:color="auto"/>
            <w:right w:val="none" w:sz="0" w:space="0" w:color="auto"/>
          </w:divBdr>
          <w:divsChild>
            <w:div w:id="323702617">
              <w:marLeft w:val="0"/>
              <w:marRight w:val="0"/>
              <w:marTop w:val="0"/>
              <w:marBottom w:val="0"/>
              <w:divBdr>
                <w:top w:val="none" w:sz="0" w:space="0" w:color="auto"/>
                <w:left w:val="none" w:sz="0" w:space="0" w:color="auto"/>
                <w:bottom w:val="none" w:sz="0" w:space="0" w:color="auto"/>
                <w:right w:val="none" w:sz="0" w:space="0" w:color="auto"/>
              </w:divBdr>
              <w:divsChild>
                <w:div w:id="677923969">
                  <w:marLeft w:val="0"/>
                  <w:marRight w:val="0"/>
                  <w:marTop w:val="0"/>
                  <w:marBottom w:val="0"/>
                  <w:divBdr>
                    <w:top w:val="none" w:sz="0" w:space="0" w:color="auto"/>
                    <w:left w:val="none" w:sz="0" w:space="0" w:color="auto"/>
                    <w:bottom w:val="none" w:sz="0" w:space="0" w:color="auto"/>
                    <w:right w:val="none" w:sz="0" w:space="0" w:color="auto"/>
                  </w:divBdr>
                  <w:divsChild>
                    <w:div w:id="19431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698455">
      <w:bodyDiv w:val="1"/>
      <w:marLeft w:val="0"/>
      <w:marRight w:val="0"/>
      <w:marTop w:val="0"/>
      <w:marBottom w:val="0"/>
      <w:divBdr>
        <w:top w:val="none" w:sz="0" w:space="0" w:color="auto"/>
        <w:left w:val="none" w:sz="0" w:space="0" w:color="auto"/>
        <w:bottom w:val="none" w:sz="0" w:space="0" w:color="auto"/>
        <w:right w:val="none" w:sz="0" w:space="0" w:color="auto"/>
      </w:divBdr>
      <w:divsChild>
        <w:div w:id="1715235145">
          <w:marLeft w:val="0"/>
          <w:marRight w:val="0"/>
          <w:marTop w:val="0"/>
          <w:marBottom w:val="0"/>
          <w:divBdr>
            <w:top w:val="none" w:sz="0" w:space="0" w:color="auto"/>
            <w:left w:val="none" w:sz="0" w:space="0" w:color="auto"/>
            <w:bottom w:val="none" w:sz="0" w:space="0" w:color="auto"/>
            <w:right w:val="none" w:sz="0" w:space="0" w:color="auto"/>
          </w:divBdr>
          <w:divsChild>
            <w:div w:id="839123547">
              <w:marLeft w:val="0"/>
              <w:marRight w:val="0"/>
              <w:marTop w:val="0"/>
              <w:marBottom w:val="0"/>
              <w:divBdr>
                <w:top w:val="none" w:sz="0" w:space="0" w:color="auto"/>
                <w:left w:val="none" w:sz="0" w:space="0" w:color="auto"/>
                <w:bottom w:val="none" w:sz="0" w:space="0" w:color="auto"/>
                <w:right w:val="none" w:sz="0" w:space="0" w:color="auto"/>
              </w:divBdr>
              <w:divsChild>
                <w:div w:id="166743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4645">
      <w:bodyDiv w:val="1"/>
      <w:marLeft w:val="0"/>
      <w:marRight w:val="0"/>
      <w:marTop w:val="0"/>
      <w:marBottom w:val="0"/>
      <w:divBdr>
        <w:top w:val="none" w:sz="0" w:space="0" w:color="auto"/>
        <w:left w:val="none" w:sz="0" w:space="0" w:color="auto"/>
        <w:bottom w:val="none" w:sz="0" w:space="0" w:color="auto"/>
        <w:right w:val="none" w:sz="0" w:space="0" w:color="auto"/>
      </w:divBdr>
      <w:divsChild>
        <w:div w:id="1198664198">
          <w:marLeft w:val="0"/>
          <w:marRight w:val="0"/>
          <w:marTop w:val="0"/>
          <w:marBottom w:val="0"/>
          <w:divBdr>
            <w:top w:val="none" w:sz="0" w:space="0" w:color="auto"/>
            <w:left w:val="none" w:sz="0" w:space="0" w:color="auto"/>
            <w:bottom w:val="none" w:sz="0" w:space="0" w:color="auto"/>
            <w:right w:val="none" w:sz="0" w:space="0" w:color="auto"/>
          </w:divBdr>
          <w:divsChild>
            <w:div w:id="1794404178">
              <w:marLeft w:val="0"/>
              <w:marRight w:val="0"/>
              <w:marTop w:val="0"/>
              <w:marBottom w:val="0"/>
              <w:divBdr>
                <w:top w:val="none" w:sz="0" w:space="0" w:color="auto"/>
                <w:left w:val="none" w:sz="0" w:space="0" w:color="auto"/>
                <w:bottom w:val="none" w:sz="0" w:space="0" w:color="auto"/>
                <w:right w:val="none" w:sz="0" w:space="0" w:color="auto"/>
              </w:divBdr>
              <w:divsChild>
                <w:div w:id="205156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673454">
      <w:bodyDiv w:val="1"/>
      <w:marLeft w:val="0"/>
      <w:marRight w:val="0"/>
      <w:marTop w:val="0"/>
      <w:marBottom w:val="0"/>
      <w:divBdr>
        <w:top w:val="none" w:sz="0" w:space="0" w:color="auto"/>
        <w:left w:val="none" w:sz="0" w:space="0" w:color="auto"/>
        <w:bottom w:val="none" w:sz="0" w:space="0" w:color="auto"/>
        <w:right w:val="none" w:sz="0" w:space="0" w:color="auto"/>
      </w:divBdr>
      <w:divsChild>
        <w:div w:id="500051775">
          <w:marLeft w:val="0"/>
          <w:marRight w:val="0"/>
          <w:marTop w:val="0"/>
          <w:marBottom w:val="0"/>
          <w:divBdr>
            <w:top w:val="none" w:sz="0" w:space="0" w:color="auto"/>
            <w:left w:val="none" w:sz="0" w:space="0" w:color="auto"/>
            <w:bottom w:val="none" w:sz="0" w:space="0" w:color="auto"/>
            <w:right w:val="none" w:sz="0" w:space="0" w:color="auto"/>
          </w:divBdr>
          <w:divsChild>
            <w:div w:id="1029841953">
              <w:marLeft w:val="0"/>
              <w:marRight w:val="0"/>
              <w:marTop w:val="0"/>
              <w:marBottom w:val="0"/>
              <w:divBdr>
                <w:top w:val="none" w:sz="0" w:space="0" w:color="auto"/>
                <w:left w:val="none" w:sz="0" w:space="0" w:color="auto"/>
                <w:bottom w:val="none" w:sz="0" w:space="0" w:color="auto"/>
                <w:right w:val="none" w:sz="0" w:space="0" w:color="auto"/>
              </w:divBdr>
              <w:divsChild>
                <w:div w:id="3470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6743">
      <w:bodyDiv w:val="1"/>
      <w:marLeft w:val="0"/>
      <w:marRight w:val="0"/>
      <w:marTop w:val="0"/>
      <w:marBottom w:val="0"/>
      <w:divBdr>
        <w:top w:val="none" w:sz="0" w:space="0" w:color="auto"/>
        <w:left w:val="none" w:sz="0" w:space="0" w:color="auto"/>
        <w:bottom w:val="none" w:sz="0" w:space="0" w:color="auto"/>
        <w:right w:val="none" w:sz="0" w:space="0" w:color="auto"/>
      </w:divBdr>
      <w:divsChild>
        <w:div w:id="759251500">
          <w:marLeft w:val="0"/>
          <w:marRight w:val="0"/>
          <w:marTop w:val="0"/>
          <w:marBottom w:val="0"/>
          <w:divBdr>
            <w:top w:val="none" w:sz="0" w:space="0" w:color="auto"/>
            <w:left w:val="none" w:sz="0" w:space="0" w:color="auto"/>
            <w:bottom w:val="none" w:sz="0" w:space="0" w:color="auto"/>
            <w:right w:val="none" w:sz="0" w:space="0" w:color="auto"/>
          </w:divBdr>
          <w:divsChild>
            <w:div w:id="1432582754">
              <w:marLeft w:val="0"/>
              <w:marRight w:val="0"/>
              <w:marTop w:val="0"/>
              <w:marBottom w:val="0"/>
              <w:divBdr>
                <w:top w:val="none" w:sz="0" w:space="0" w:color="auto"/>
                <w:left w:val="none" w:sz="0" w:space="0" w:color="auto"/>
                <w:bottom w:val="none" w:sz="0" w:space="0" w:color="auto"/>
                <w:right w:val="none" w:sz="0" w:space="0" w:color="auto"/>
              </w:divBdr>
              <w:divsChild>
                <w:div w:id="539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9925">
      <w:bodyDiv w:val="1"/>
      <w:marLeft w:val="0"/>
      <w:marRight w:val="0"/>
      <w:marTop w:val="0"/>
      <w:marBottom w:val="0"/>
      <w:divBdr>
        <w:top w:val="none" w:sz="0" w:space="0" w:color="auto"/>
        <w:left w:val="none" w:sz="0" w:space="0" w:color="auto"/>
        <w:bottom w:val="none" w:sz="0" w:space="0" w:color="auto"/>
        <w:right w:val="none" w:sz="0" w:space="0" w:color="auto"/>
      </w:divBdr>
      <w:divsChild>
        <w:div w:id="1755348411">
          <w:marLeft w:val="0"/>
          <w:marRight w:val="0"/>
          <w:marTop w:val="0"/>
          <w:marBottom w:val="0"/>
          <w:divBdr>
            <w:top w:val="none" w:sz="0" w:space="0" w:color="auto"/>
            <w:left w:val="none" w:sz="0" w:space="0" w:color="auto"/>
            <w:bottom w:val="none" w:sz="0" w:space="0" w:color="auto"/>
            <w:right w:val="none" w:sz="0" w:space="0" w:color="auto"/>
          </w:divBdr>
          <w:divsChild>
            <w:div w:id="972558310">
              <w:marLeft w:val="0"/>
              <w:marRight w:val="0"/>
              <w:marTop w:val="0"/>
              <w:marBottom w:val="0"/>
              <w:divBdr>
                <w:top w:val="none" w:sz="0" w:space="0" w:color="auto"/>
                <w:left w:val="none" w:sz="0" w:space="0" w:color="auto"/>
                <w:bottom w:val="none" w:sz="0" w:space="0" w:color="auto"/>
                <w:right w:val="none" w:sz="0" w:space="0" w:color="auto"/>
              </w:divBdr>
              <w:divsChild>
                <w:div w:id="1982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80803">
      <w:bodyDiv w:val="1"/>
      <w:marLeft w:val="0"/>
      <w:marRight w:val="0"/>
      <w:marTop w:val="0"/>
      <w:marBottom w:val="0"/>
      <w:divBdr>
        <w:top w:val="none" w:sz="0" w:space="0" w:color="auto"/>
        <w:left w:val="none" w:sz="0" w:space="0" w:color="auto"/>
        <w:bottom w:val="none" w:sz="0" w:space="0" w:color="auto"/>
        <w:right w:val="none" w:sz="0" w:space="0" w:color="auto"/>
      </w:divBdr>
      <w:divsChild>
        <w:div w:id="224337863">
          <w:marLeft w:val="0"/>
          <w:marRight w:val="0"/>
          <w:marTop w:val="0"/>
          <w:marBottom w:val="0"/>
          <w:divBdr>
            <w:top w:val="none" w:sz="0" w:space="0" w:color="auto"/>
            <w:left w:val="none" w:sz="0" w:space="0" w:color="auto"/>
            <w:bottom w:val="none" w:sz="0" w:space="0" w:color="auto"/>
            <w:right w:val="none" w:sz="0" w:space="0" w:color="auto"/>
          </w:divBdr>
          <w:divsChild>
            <w:div w:id="52701984">
              <w:marLeft w:val="0"/>
              <w:marRight w:val="0"/>
              <w:marTop w:val="0"/>
              <w:marBottom w:val="0"/>
              <w:divBdr>
                <w:top w:val="none" w:sz="0" w:space="0" w:color="auto"/>
                <w:left w:val="none" w:sz="0" w:space="0" w:color="auto"/>
                <w:bottom w:val="none" w:sz="0" w:space="0" w:color="auto"/>
                <w:right w:val="none" w:sz="0" w:space="0" w:color="auto"/>
              </w:divBdr>
              <w:divsChild>
                <w:div w:id="111008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97787">
      <w:bodyDiv w:val="1"/>
      <w:marLeft w:val="0"/>
      <w:marRight w:val="0"/>
      <w:marTop w:val="0"/>
      <w:marBottom w:val="0"/>
      <w:divBdr>
        <w:top w:val="none" w:sz="0" w:space="0" w:color="auto"/>
        <w:left w:val="none" w:sz="0" w:space="0" w:color="auto"/>
        <w:bottom w:val="none" w:sz="0" w:space="0" w:color="auto"/>
        <w:right w:val="none" w:sz="0" w:space="0" w:color="auto"/>
      </w:divBdr>
      <w:divsChild>
        <w:div w:id="363599017">
          <w:marLeft w:val="0"/>
          <w:marRight w:val="0"/>
          <w:marTop w:val="0"/>
          <w:marBottom w:val="0"/>
          <w:divBdr>
            <w:top w:val="none" w:sz="0" w:space="0" w:color="auto"/>
            <w:left w:val="none" w:sz="0" w:space="0" w:color="auto"/>
            <w:bottom w:val="none" w:sz="0" w:space="0" w:color="auto"/>
            <w:right w:val="none" w:sz="0" w:space="0" w:color="auto"/>
          </w:divBdr>
          <w:divsChild>
            <w:div w:id="2093432720">
              <w:marLeft w:val="0"/>
              <w:marRight w:val="0"/>
              <w:marTop w:val="0"/>
              <w:marBottom w:val="0"/>
              <w:divBdr>
                <w:top w:val="none" w:sz="0" w:space="0" w:color="auto"/>
                <w:left w:val="none" w:sz="0" w:space="0" w:color="auto"/>
                <w:bottom w:val="none" w:sz="0" w:space="0" w:color="auto"/>
                <w:right w:val="none" w:sz="0" w:space="0" w:color="auto"/>
              </w:divBdr>
              <w:divsChild>
                <w:div w:id="1787767621">
                  <w:marLeft w:val="0"/>
                  <w:marRight w:val="0"/>
                  <w:marTop w:val="0"/>
                  <w:marBottom w:val="0"/>
                  <w:divBdr>
                    <w:top w:val="none" w:sz="0" w:space="0" w:color="auto"/>
                    <w:left w:val="none" w:sz="0" w:space="0" w:color="auto"/>
                    <w:bottom w:val="none" w:sz="0" w:space="0" w:color="auto"/>
                    <w:right w:val="none" w:sz="0" w:space="0" w:color="auto"/>
                  </w:divBdr>
                  <w:divsChild>
                    <w:div w:id="512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364926">
      <w:bodyDiv w:val="1"/>
      <w:marLeft w:val="0"/>
      <w:marRight w:val="0"/>
      <w:marTop w:val="0"/>
      <w:marBottom w:val="0"/>
      <w:divBdr>
        <w:top w:val="none" w:sz="0" w:space="0" w:color="auto"/>
        <w:left w:val="none" w:sz="0" w:space="0" w:color="auto"/>
        <w:bottom w:val="none" w:sz="0" w:space="0" w:color="auto"/>
        <w:right w:val="none" w:sz="0" w:space="0" w:color="auto"/>
      </w:divBdr>
      <w:divsChild>
        <w:div w:id="2056420208">
          <w:marLeft w:val="0"/>
          <w:marRight w:val="0"/>
          <w:marTop w:val="0"/>
          <w:marBottom w:val="0"/>
          <w:divBdr>
            <w:top w:val="none" w:sz="0" w:space="0" w:color="auto"/>
            <w:left w:val="none" w:sz="0" w:space="0" w:color="auto"/>
            <w:bottom w:val="none" w:sz="0" w:space="0" w:color="auto"/>
            <w:right w:val="none" w:sz="0" w:space="0" w:color="auto"/>
          </w:divBdr>
          <w:divsChild>
            <w:div w:id="1216046621">
              <w:marLeft w:val="0"/>
              <w:marRight w:val="0"/>
              <w:marTop w:val="0"/>
              <w:marBottom w:val="0"/>
              <w:divBdr>
                <w:top w:val="none" w:sz="0" w:space="0" w:color="auto"/>
                <w:left w:val="none" w:sz="0" w:space="0" w:color="auto"/>
                <w:bottom w:val="none" w:sz="0" w:space="0" w:color="auto"/>
                <w:right w:val="none" w:sz="0" w:space="0" w:color="auto"/>
              </w:divBdr>
              <w:divsChild>
                <w:div w:id="18626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44482">
      <w:bodyDiv w:val="1"/>
      <w:marLeft w:val="0"/>
      <w:marRight w:val="0"/>
      <w:marTop w:val="0"/>
      <w:marBottom w:val="0"/>
      <w:divBdr>
        <w:top w:val="none" w:sz="0" w:space="0" w:color="auto"/>
        <w:left w:val="none" w:sz="0" w:space="0" w:color="auto"/>
        <w:bottom w:val="none" w:sz="0" w:space="0" w:color="auto"/>
        <w:right w:val="none" w:sz="0" w:space="0" w:color="auto"/>
      </w:divBdr>
      <w:divsChild>
        <w:div w:id="811945473">
          <w:marLeft w:val="0"/>
          <w:marRight w:val="0"/>
          <w:marTop w:val="0"/>
          <w:marBottom w:val="0"/>
          <w:divBdr>
            <w:top w:val="none" w:sz="0" w:space="0" w:color="auto"/>
            <w:left w:val="none" w:sz="0" w:space="0" w:color="auto"/>
            <w:bottom w:val="none" w:sz="0" w:space="0" w:color="auto"/>
            <w:right w:val="none" w:sz="0" w:space="0" w:color="auto"/>
          </w:divBdr>
          <w:divsChild>
            <w:div w:id="1451432503">
              <w:marLeft w:val="0"/>
              <w:marRight w:val="0"/>
              <w:marTop w:val="0"/>
              <w:marBottom w:val="0"/>
              <w:divBdr>
                <w:top w:val="none" w:sz="0" w:space="0" w:color="auto"/>
                <w:left w:val="none" w:sz="0" w:space="0" w:color="auto"/>
                <w:bottom w:val="none" w:sz="0" w:space="0" w:color="auto"/>
                <w:right w:val="none" w:sz="0" w:space="0" w:color="auto"/>
              </w:divBdr>
              <w:divsChild>
                <w:div w:id="1418555936">
                  <w:marLeft w:val="0"/>
                  <w:marRight w:val="0"/>
                  <w:marTop w:val="0"/>
                  <w:marBottom w:val="0"/>
                  <w:divBdr>
                    <w:top w:val="none" w:sz="0" w:space="0" w:color="auto"/>
                    <w:left w:val="none" w:sz="0" w:space="0" w:color="auto"/>
                    <w:bottom w:val="none" w:sz="0" w:space="0" w:color="auto"/>
                    <w:right w:val="none" w:sz="0" w:space="0" w:color="auto"/>
                  </w:divBdr>
                  <w:divsChild>
                    <w:div w:id="13215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034797">
      <w:bodyDiv w:val="1"/>
      <w:marLeft w:val="0"/>
      <w:marRight w:val="0"/>
      <w:marTop w:val="0"/>
      <w:marBottom w:val="0"/>
      <w:divBdr>
        <w:top w:val="none" w:sz="0" w:space="0" w:color="auto"/>
        <w:left w:val="none" w:sz="0" w:space="0" w:color="auto"/>
        <w:bottom w:val="none" w:sz="0" w:space="0" w:color="auto"/>
        <w:right w:val="none" w:sz="0" w:space="0" w:color="auto"/>
      </w:divBdr>
      <w:divsChild>
        <w:div w:id="1824270774">
          <w:marLeft w:val="0"/>
          <w:marRight w:val="0"/>
          <w:marTop w:val="0"/>
          <w:marBottom w:val="0"/>
          <w:divBdr>
            <w:top w:val="none" w:sz="0" w:space="0" w:color="auto"/>
            <w:left w:val="none" w:sz="0" w:space="0" w:color="auto"/>
            <w:bottom w:val="none" w:sz="0" w:space="0" w:color="auto"/>
            <w:right w:val="none" w:sz="0" w:space="0" w:color="auto"/>
          </w:divBdr>
          <w:divsChild>
            <w:div w:id="599996833">
              <w:marLeft w:val="0"/>
              <w:marRight w:val="0"/>
              <w:marTop w:val="0"/>
              <w:marBottom w:val="0"/>
              <w:divBdr>
                <w:top w:val="none" w:sz="0" w:space="0" w:color="auto"/>
                <w:left w:val="none" w:sz="0" w:space="0" w:color="auto"/>
                <w:bottom w:val="none" w:sz="0" w:space="0" w:color="auto"/>
                <w:right w:val="none" w:sz="0" w:space="0" w:color="auto"/>
              </w:divBdr>
              <w:divsChild>
                <w:div w:id="884677695">
                  <w:marLeft w:val="0"/>
                  <w:marRight w:val="0"/>
                  <w:marTop w:val="0"/>
                  <w:marBottom w:val="0"/>
                  <w:divBdr>
                    <w:top w:val="none" w:sz="0" w:space="0" w:color="auto"/>
                    <w:left w:val="none" w:sz="0" w:space="0" w:color="auto"/>
                    <w:bottom w:val="none" w:sz="0" w:space="0" w:color="auto"/>
                    <w:right w:val="none" w:sz="0" w:space="0" w:color="auto"/>
                  </w:divBdr>
                  <w:divsChild>
                    <w:div w:id="20176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042340">
      <w:bodyDiv w:val="1"/>
      <w:marLeft w:val="0"/>
      <w:marRight w:val="0"/>
      <w:marTop w:val="0"/>
      <w:marBottom w:val="0"/>
      <w:divBdr>
        <w:top w:val="none" w:sz="0" w:space="0" w:color="auto"/>
        <w:left w:val="none" w:sz="0" w:space="0" w:color="auto"/>
        <w:bottom w:val="none" w:sz="0" w:space="0" w:color="auto"/>
        <w:right w:val="none" w:sz="0" w:space="0" w:color="auto"/>
      </w:divBdr>
      <w:divsChild>
        <w:div w:id="1216816565">
          <w:marLeft w:val="0"/>
          <w:marRight w:val="0"/>
          <w:marTop w:val="0"/>
          <w:marBottom w:val="0"/>
          <w:divBdr>
            <w:top w:val="none" w:sz="0" w:space="0" w:color="auto"/>
            <w:left w:val="none" w:sz="0" w:space="0" w:color="auto"/>
            <w:bottom w:val="none" w:sz="0" w:space="0" w:color="auto"/>
            <w:right w:val="none" w:sz="0" w:space="0" w:color="auto"/>
          </w:divBdr>
          <w:divsChild>
            <w:div w:id="775518555">
              <w:marLeft w:val="0"/>
              <w:marRight w:val="0"/>
              <w:marTop w:val="0"/>
              <w:marBottom w:val="0"/>
              <w:divBdr>
                <w:top w:val="none" w:sz="0" w:space="0" w:color="auto"/>
                <w:left w:val="none" w:sz="0" w:space="0" w:color="auto"/>
                <w:bottom w:val="none" w:sz="0" w:space="0" w:color="auto"/>
                <w:right w:val="none" w:sz="0" w:space="0" w:color="auto"/>
              </w:divBdr>
              <w:divsChild>
                <w:div w:id="1196312542">
                  <w:marLeft w:val="0"/>
                  <w:marRight w:val="0"/>
                  <w:marTop w:val="0"/>
                  <w:marBottom w:val="0"/>
                  <w:divBdr>
                    <w:top w:val="none" w:sz="0" w:space="0" w:color="auto"/>
                    <w:left w:val="none" w:sz="0" w:space="0" w:color="auto"/>
                    <w:bottom w:val="none" w:sz="0" w:space="0" w:color="auto"/>
                    <w:right w:val="none" w:sz="0" w:space="0" w:color="auto"/>
                  </w:divBdr>
                  <w:divsChild>
                    <w:div w:id="8600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151212">
      <w:bodyDiv w:val="1"/>
      <w:marLeft w:val="0"/>
      <w:marRight w:val="0"/>
      <w:marTop w:val="0"/>
      <w:marBottom w:val="0"/>
      <w:divBdr>
        <w:top w:val="none" w:sz="0" w:space="0" w:color="auto"/>
        <w:left w:val="none" w:sz="0" w:space="0" w:color="auto"/>
        <w:bottom w:val="none" w:sz="0" w:space="0" w:color="auto"/>
        <w:right w:val="none" w:sz="0" w:space="0" w:color="auto"/>
      </w:divBdr>
      <w:divsChild>
        <w:div w:id="1120607132">
          <w:marLeft w:val="0"/>
          <w:marRight w:val="0"/>
          <w:marTop w:val="0"/>
          <w:marBottom w:val="0"/>
          <w:divBdr>
            <w:top w:val="none" w:sz="0" w:space="0" w:color="auto"/>
            <w:left w:val="none" w:sz="0" w:space="0" w:color="auto"/>
            <w:bottom w:val="none" w:sz="0" w:space="0" w:color="auto"/>
            <w:right w:val="none" w:sz="0" w:space="0" w:color="auto"/>
          </w:divBdr>
          <w:divsChild>
            <w:div w:id="305092252">
              <w:marLeft w:val="0"/>
              <w:marRight w:val="0"/>
              <w:marTop w:val="0"/>
              <w:marBottom w:val="0"/>
              <w:divBdr>
                <w:top w:val="none" w:sz="0" w:space="0" w:color="auto"/>
                <w:left w:val="none" w:sz="0" w:space="0" w:color="auto"/>
                <w:bottom w:val="none" w:sz="0" w:space="0" w:color="auto"/>
                <w:right w:val="none" w:sz="0" w:space="0" w:color="auto"/>
              </w:divBdr>
              <w:divsChild>
                <w:div w:id="2511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5903">
      <w:bodyDiv w:val="1"/>
      <w:marLeft w:val="0"/>
      <w:marRight w:val="0"/>
      <w:marTop w:val="0"/>
      <w:marBottom w:val="0"/>
      <w:divBdr>
        <w:top w:val="none" w:sz="0" w:space="0" w:color="auto"/>
        <w:left w:val="none" w:sz="0" w:space="0" w:color="auto"/>
        <w:bottom w:val="none" w:sz="0" w:space="0" w:color="auto"/>
        <w:right w:val="none" w:sz="0" w:space="0" w:color="auto"/>
      </w:divBdr>
      <w:divsChild>
        <w:div w:id="846746014">
          <w:marLeft w:val="0"/>
          <w:marRight w:val="0"/>
          <w:marTop w:val="0"/>
          <w:marBottom w:val="0"/>
          <w:divBdr>
            <w:top w:val="none" w:sz="0" w:space="0" w:color="auto"/>
            <w:left w:val="none" w:sz="0" w:space="0" w:color="auto"/>
            <w:bottom w:val="none" w:sz="0" w:space="0" w:color="auto"/>
            <w:right w:val="none" w:sz="0" w:space="0" w:color="auto"/>
          </w:divBdr>
          <w:divsChild>
            <w:div w:id="1975283644">
              <w:marLeft w:val="0"/>
              <w:marRight w:val="0"/>
              <w:marTop w:val="0"/>
              <w:marBottom w:val="0"/>
              <w:divBdr>
                <w:top w:val="none" w:sz="0" w:space="0" w:color="auto"/>
                <w:left w:val="none" w:sz="0" w:space="0" w:color="auto"/>
                <w:bottom w:val="none" w:sz="0" w:space="0" w:color="auto"/>
                <w:right w:val="none" w:sz="0" w:space="0" w:color="auto"/>
              </w:divBdr>
              <w:divsChild>
                <w:div w:id="18332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60482">
      <w:bodyDiv w:val="1"/>
      <w:marLeft w:val="0"/>
      <w:marRight w:val="0"/>
      <w:marTop w:val="0"/>
      <w:marBottom w:val="0"/>
      <w:divBdr>
        <w:top w:val="none" w:sz="0" w:space="0" w:color="auto"/>
        <w:left w:val="none" w:sz="0" w:space="0" w:color="auto"/>
        <w:bottom w:val="none" w:sz="0" w:space="0" w:color="auto"/>
        <w:right w:val="none" w:sz="0" w:space="0" w:color="auto"/>
      </w:divBdr>
      <w:divsChild>
        <w:div w:id="1908953448">
          <w:marLeft w:val="0"/>
          <w:marRight w:val="0"/>
          <w:marTop w:val="0"/>
          <w:marBottom w:val="0"/>
          <w:divBdr>
            <w:top w:val="none" w:sz="0" w:space="0" w:color="auto"/>
            <w:left w:val="none" w:sz="0" w:space="0" w:color="auto"/>
            <w:bottom w:val="none" w:sz="0" w:space="0" w:color="auto"/>
            <w:right w:val="none" w:sz="0" w:space="0" w:color="auto"/>
          </w:divBdr>
          <w:divsChild>
            <w:div w:id="762533066">
              <w:marLeft w:val="0"/>
              <w:marRight w:val="0"/>
              <w:marTop w:val="0"/>
              <w:marBottom w:val="0"/>
              <w:divBdr>
                <w:top w:val="none" w:sz="0" w:space="0" w:color="auto"/>
                <w:left w:val="none" w:sz="0" w:space="0" w:color="auto"/>
                <w:bottom w:val="none" w:sz="0" w:space="0" w:color="auto"/>
                <w:right w:val="none" w:sz="0" w:space="0" w:color="auto"/>
              </w:divBdr>
              <w:divsChild>
                <w:div w:id="170112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06085">
      <w:bodyDiv w:val="1"/>
      <w:marLeft w:val="0"/>
      <w:marRight w:val="0"/>
      <w:marTop w:val="0"/>
      <w:marBottom w:val="0"/>
      <w:divBdr>
        <w:top w:val="none" w:sz="0" w:space="0" w:color="auto"/>
        <w:left w:val="none" w:sz="0" w:space="0" w:color="auto"/>
        <w:bottom w:val="none" w:sz="0" w:space="0" w:color="auto"/>
        <w:right w:val="none" w:sz="0" w:space="0" w:color="auto"/>
      </w:divBdr>
      <w:divsChild>
        <w:div w:id="113066996">
          <w:marLeft w:val="0"/>
          <w:marRight w:val="0"/>
          <w:marTop w:val="0"/>
          <w:marBottom w:val="0"/>
          <w:divBdr>
            <w:top w:val="none" w:sz="0" w:space="0" w:color="auto"/>
            <w:left w:val="none" w:sz="0" w:space="0" w:color="auto"/>
            <w:bottom w:val="none" w:sz="0" w:space="0" w:color="auto"/>
            <w:right w:val="none" w:sz="0" w:space="0" w:color="auto"/>
          </w:divBdr>
        </w:div>
        <w:div w:id="148597817">
          <w:marLeft w:val="0"/>
          <w:marRight w:val="0"/>
          <w:marTop w:val="0"/>
          <w:marBottom w:val="0"/>
          <w:divBdr>
            <w:top w:val="none" w:sz="0" w:space="0" w:color="auto"/>
            <w:left w:val="none" w:sz="0" w:space="0" w:color="auto"/>
            <w:bottom w:val="none" w:sz="0" w:space="0" w:color="auto"/>
            <w:right w:val="none" w:sz="0" w:space="0" w:color="auto"/>
          </w:divBdr>
        </w:div>
        <w:div w:id="233901636">
          <w:marLeft w:val="0"/>
          <w:marRight w:val="0"/>
          <w:marTop w:val="0"/>
          <w:marBottom w:val="0"/>
          <w:divBdr>
            <w:top w:val="none" w:sz="0" w:space="0" w:color="auto"/>
            <w:left w:val="none" w:sz="0" w:space="0" w:color="auto"/>
            <w:bottom w:val="none" w:sz="0" w:space="0" w:color="auto"/>
            <w:right w:val="none" w:sz="0" w:space="0" w:color="auto"/>
          </w:divBdr>
        </w:div>
        <w:div w:id="296494646">
          <w:marLeft w:val="0"/>
          <w:marRight w:val="0"/>
          <w:marTop w:val="0"/>
          <w:marBottom w:val="0"/>
          <w:divBdr>
            <w:top w:val="none" w:sz="0" w:space="0" w:color="auto"/>
            <w:left w:val="none" w:sz="0" w:space="0" w:color="auto"/>
            <w:bottom w:val="none" w:sz="0" w:space="0" w:color="auto"/>
            <w:right w:val="none" w:sz="0" w:space="0" w:color="auto"/>
          </w:divBdr>
        </w:div>
        <w:div w:id="393699446">
          <w:marLeft w:val="0"/>
          <w:marRight w:val="0"/>
          <w:marTop w:val="0"/>
          <w:marBottom w:val="0"/>
          <w:divBdr>
            <w:top w:val="none" w:sz="0" w:space="0" w:color="auto"/>
            <w:left w:val="none" w:sz="0" w:space="0" w:color="auto"/>
            <w:bottom w:val="none" w:sz="0" w:space="0" w:color="auto"/>
            <w:right w:val="none" w:sz="0" w:space="0" w:color="auto"/>
          </w:divBdr>
        </w:div>
        <w:div w:id="414791991">
          <w:marLeft w:val="0"/>
          <w:marRight w:val="0"/>
          <w:marTop w:val="0"/>
          <w:marBottom w:val="0"/>
          <w:divBdr>
            <w:top w:val="none" w:sz="0" w:space="0" w:color="auto"/>
            <w:left w:val="none" w:sz="0" w:space="0" w:color="auto"/>
            <w:bottom w:val="none" w:sz="0" w:space="0" w:color="auto"/>
            <w:right w:val="none" w:sz="0" w:space="0" w:color="auto"/>
          </w:divBdr>
        </w:div>
        <w:div w:id="663052188">
          <w:marLeft w:val="0"/>
          <w:marRight w:val="0"/>
          <w:marTop w:val="0"/>
          <w:marBottom w:val="0"/>
          <w:divBdr>
            <w:top w:val="none" w:sz="0" w:space="0" w:color="auto"/>
            <w:left w:val="none" w:sz="0" w:space="0" w:color="auto"/>
            <w:bottom w:val="none" w:sz="0" w:space="0" w:color="auto"/>
            <w:right w:val="none" w:sz="0" w:space="0" w:color="auto"/>
          </w:divBdr>
        </w:div>
        <w:div w:id="891505447">
          <w:marLeft w:val="0"/>
          <w:marRight w:val="0"/>
          <w:marTop w:val="0"/>
          <w:marBottom w:val="0"/>
          <w:divBdr>
            <w:top w:val="none" w:sz="0" w:space="0" w:color="auto"/>
            <w:left w:val="none" w:sz="0" w:space="0" w:color="auto"/>
            <w:bottom w:val="none" w:sz="0" w:space="0" w:color="auto"/>
            <w:right w:val="none" w:sz="0" w:space="0" w:color="auto"/>
          </w:divBdr>
        </w:div>
        <w:div w:id="939485541">
          <w:marLeft w:val="0"/>
          <w:marRight w:val="0"/>
          <w:marTop w:val="0"/>
          <w:marBottom w:val="0"/>
          <w:divBdr>
            <w:top w:val="none" w:sz="0" w:space="0" w:color="auto"/>
            <w:left w:val="none" w:sz="0" w:space="0" w:color="auto"/>
            <w:bottom w:val="none" w:sz="0" w:space="0" w:color="auto"/>
            <w:right w:val="none" w:sz="0" w:space="0" w:color="auto"/>
          </w:divBdr>
        </w:div>
        <w:div w:id="1165781757">
          <w:marLeft w:val="0"/>
          <w:marRight w:val="0"/>
          <w:marTop w:val="0"/>
          <w:marBottom w:val="0"/>
          <w:divBdr>
            <w:top w:val="none" w:sz="0" w:space="0" w:color="auto"/>
            <w:left w:val="none" w:sz="0" w:space="0" w:color="auto"/>
            <w:bottom w:val="none" w:sz="0" w:space="0" w:color="auto"/>
            <w:right w:val="none" w:sz="0" w:space="0" w:color="auto"/>
          </w:divBdr>
        </w:div>
        <w:div w:id="1333529746">
          <w:marLeft w:val="0"/>
          <w:marRight w:val="0"/>
          <w:marTop w:val="0"/>
          <w:marBottom w:val="0"/>
          <w:divBdr>
            <w:top w:val="none" w:sz="0" w:space="0" w:color="auto"/>
            <w:left w:val="none" w:sz="0" w:space="0" w:color="auto"/>
            <w:bottom w:val="none" w:sz="0" w:space="0" w:color="auto"/>
            <w:right w:val="none" w:sz="0" w:space="0" w:color="auto"/>
          </w:divBdr>
        </w:div>
        <w:div w:id="1382703975">
          <w:marLeft w:val="0"/>
          <w:marRight w:val="0"/>
          <w:marTop w:val="0"/>
          <w:marBottom w:val="0"/>
          <w:divBdr>
            <w:top w:val="none" w:sz="0" w:space="0" w:color="auto"/>
            <w:left w:val="none" w:sz="0" w:space="0" w:color="auto"/>
            <w:bottom w:val="none" w:sz="0" w:space="0" w:color="auto"/>
            <w:right w:val="none" w:sz="0" w:space="0" w:color="auto"/>
          </w:divBdr>
        </w:div>
        <w:div w:id="1645159284">
          <w:marLeft w:val="0"/>
          <w:marRight w:val="0"/>
          <w:marTop w:val="0"/>
          <w:marBottom w:val="0"/>
          <w:divBdr>
            <w:top w:val="none" w:sz="0" w:space="0" w:color="auto"/>
            <w:left w:val="none" w:sz="0" w:space="0" w:color="auto"/>
            <w:bottom w:val="none" w:sz="0" w:space="0" w:color="auto"/>
            <w:right w:val="none" w:sz="0" w:space="0" w:color="auto"/>
          </w:divBdr>
        </w:div>
        <w:div w:id="1833257115">
          <w:marLeft w:val="0"/>
          <w:marRight w:val="0"/>
          <w:marTop w:val="0"/>
          <w:marBottom w:val="0"/>
          <w:divBdr>
            <w:top w:val="none" w:sz="0" w:space="0" w:color="auto"/>
            <w:left w:val="none" w:sz="0" w:space="0" w:color="auto"/>
            <w:bottom w:val="none" w:sz="0" w:space="0" w:color="auto"/>
            <w:right w:val="none" w:sz="0" w:space="0" w:color="auto"/>
          </w:divBdr>
        </w:div>
        <w:div w:id="1842619689">
          <w:marLeft w:val="0"/>
          <w:marRight w:val="0"/>
          <w:marTop w:val="0"/>
          <w:marBottom w:val="0"/>
          <w:divBdr>
            <w:top w:val="none" w:sz="0" w:space="0" w:color="auto"/>
            <w:left w:val="none" w:sz="0" w:space="0" w:color="auto"/>
            <w:bottom w:val="none" w:sz="0" w:space="0" w:color="auto"/>
            <w:right w:val="none" w:sz="0" w:space="0" w:color="auto"/>
          </w:divBdr>
        </w:div>
        <w:div w:id="1870949978">
          <w:marLeft w:val="0"/>
          <w:marRight w:val="0"/>
          <w:marTop w:val="0"/>
          <w:marBottom w:val="0"/>
          <w:divBdr>
            <w:top w:val="none" w:sz="0" w:space="0" w:color="auto"/>
            <w:left w:val="none" w:sz="0" w:space="0" w:color="auto"/>
            <w:bottom w:val="none" w:sz="0" w:space="0" w:color="auto"/>
            <w:right w:val="none" w:sz="0" w:space="0" w:color="auto"/>
          </w:divBdr>
        </w:div>
        <w:div w:id="1877694616">
          <w:marLeft w:val="0"/>
          <w:marRight w:val="0"/>
          <w:marTop w:val="0"/>
          <w:marBottom w:val="0"/>
          <w:divBdr>
            <w:top w:val="none" w:sz="0" w:space="0" w:color="auto"/>
            <w:left w:val="none" w:sz="0" w:space="0" w:color="auto"/>
            <w:bottom w:val="none" w:sz="0" w:space="0" w:color="auto"/>
            <w:right w:val="none" w:sz="0" w:space="0" w:color="auto"/>
          </w:divBdr>
        </w:div>
        <w:div w:id="2070105982">
          <w:marLeft w:val="0"/>
          <w:marRight w:val="0"/>
          <w:marTop w:val="0"/>
          <w:marBottom w:val="0"/>
          <w:divBdr>
            <w:top w:val="none" w:sz="0" w:space="0" w:color="auto"/>
            <w:left w:val="none" w:sz="0" w:space="0" w:color="auto"/>
            <w:bottom w:val="none" w:sz="0" w:space="0" w:color="auto"/>
            <w:right w:val="none" w:sz="0" w:space="0" w:color="auto"/>
          </w:divBdr>
        </w:div>
      </w:divsChild>
    </w:div>
    <w:div w:id="799802106">
      <w:bodyDiv w:val="1"/>
      <w:marLeft w:val="0"/>
      <w:marRight w:val="0"/>
      <w:marTop w:val="0"/>
      <w:marBottom w:val="0"/>
      <w:divBdr>
        <w:top w:val="none" w:sz="0" w:space="0" w:color="auto"/>
        <w:left w:val="none" w:sz="0" w:space="0" w:color="auto"/>
        <w:bottom w:val="none" w:sz="0" w:space="0" w:color="auto"/>
        <w:right w:val="none" w:sz="0" w:space="0" w:color="auto"/>
      </w:divBdr>
      <w:divsChild>
        <w:div w:id="42875969">
          <w:marLeft w:val="0"/>
          <w:marRight w:val="0"/>
          <w:marTop w:val="0"/>
          <w:marBottom w:val="0"/>
          <w:divBdr>
            <w:top w:val="none" w:sz="0" w:space="0" w:color="auto"/>
            <w:left w:val="none" w:sz="0" w:space="0" w:color="auto"/>
            <w:bottom w:val="none" w:sz="0" w:space="0" w:color="auto"/>
            <w:right w:val="none" w:sz="0" w:space="0" w:color="auto"/>
          </w:divBdr>
          <w:divsChild>
            <w:div w:id="953483854">
              <w:marLeft w:val="0"/>
              <w:marRight w:val="0"/>
              <w:marTop w:val="0"/>
              <w:marBottom w:val="0"/>
              <w:divBdr>
                <w:top w:val="none" w:sz="0" w:space="0" w:color="auto"/>
                <w:left w:val="none" w:sz="0" w:space="0" w:color="auto"/>
                <w:bottom w:val="none" w:sz="0" w:space="0" w:color="auto"/>
                <w:right w:val="none" w:sz="0" w:space="0" w:color="auto"/>
              </w:divBdr>
              <w:divsChild>
                <w:div w:id="15580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85175">
      <w:bodyDiv w:val="1"/>
      <w:marLeft w:val="0"/>
      <w:marRight w:val="0"/>
      <w:marTop w:val="0"/>
      <w:marBottom w:val="0"/>
      <w:divBdr>
        <w:top w:val="none" w:sz="0" w:space="0" w:color="auto"/>
        <w:left w:val="none" w:sz="0" w:space="0" w:color="auto"/>
        <w:bottom w:val="none" w:sz="0" w:space="0" w:color="auto"/>
        <w:right w:val="none" w:sz="0" w:space="0" w:color="auto"/>
      </w:divBdr>
      <w:divsChild>
        <w:div w:id="1874344155">
          <w:marLeft w:val="0"/>
          <w:marRight w:val="0"/>
          <w:marTop w:val="0"/>
          <w:marBottom w:val="0"/>
          <w:divBdr>
            <w:top w:val="none" w:sz="0" w:space="0" w:color="auto"/>
            <w:left w:val="none" w:sz="0" w:space="0" w:color="auto"/>
            <w:bottom w:val="none" w:sz="0" w:space="0" w:color="auto"/>
            <w:right w:val="none" w:sz="0" w:space="0" w:color="auto"/>
          </w:divBdr>
          <w:divsChild>
            <w:div w:id="2011566488">
              <w:marLeft w:val="0"/>
              <w:marRight w:val="0"/>
              <w:marTop w:val="0"/>
              <w:marBottom w:val="0"/>
              <w:divBdr>
                <w:top w:val="none" w:sz="0" w:space="0" w:color="auto"/>
                <w:left w:val="none" w:sz="0" w:space="0" w:color="auto"/>
                <w:bottom w:val="none" w:sz="0" w:space="0" w:color="auto"/>
                <w:right w:val="none" w:sz="0" w:space="0" w:color="auto"/>
              </w:divBdr>
              <w:divsChild>
                <w:div w:id="34571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79922">
      <w:bodyDiv w:val="1"/>
      <w:marLeft w:val="0"/>
      <w:marRight w:val="0"/>
      <w:marTop w:val="0"/>
      <w:marBottom w:val="0"/>
      <w:divBdr>
        <w:top w:val="none" w:sz="0" w:space="0" w:color="auto"/>
        <w:left w:val="none" w:sz="0" w:space="0" w:color="auto"/>
        <w:bottom w:val="none" w:sz="0" w:space="0" w:color="auto"/>
        <w:right w:val="none" w:sz="0" w:space="0" w:color="auto"/>
      </w:divBdr>
      <w:divsChild>
        <w:div w:id="441926488">
          <w:marLeft w:val="0"/>
          <w:marRight w:val="0"/>
          <w:marTop w:val="0"/>
          <w:marBottom w:val="0"/>
          <w:divBdr>
            <w:top w:val="none" w:sz="0" w:space="0" w:color="auto"/>
            <w:left w:val="none" w:sz="0" w:space="0" w:color="auto"/>
            <w:bottom w:val="none" w:sz="0" w:space="0" w:color="auto"/>
            <w:right w:val="none" w:sz="0" w:space="0" w:color="auto"/>
          </w:divBdr>
          <w:divsChild>
            <w:div w:id="1726681920">
              <w:marLeft w:val="0"/>
              <w:marRight w:val="0"/>
              <w:marTop w:val="0"/>
              <w:marBottom w:val="0"/>
              <w:divBdr>
                <w:top w:val="none" w:sz="0" w:space="0" w:color="auto"/>
                <w:left w:val="none" w:sz="0" w:space="0" w:color="auto"/>
                <w:bottom w:val="none" w:sz="0" w:space="0" w:color="auto"/>
                <w:right w:val="none" w:sz="0" w:space="0" w:color="auto"/>
              </w:divBdr>
              <w:divsChild>
                <w:div w:id="112140036">
                  <w:marLeft w:val="0"/>
                  <w:marRight w:val="0"/>
                  <w:marTop w:val="0"/>
                  <w:marBottom w:val="0"/>
                  <w:divBdr>
                    <w:top w:val="none" w:sz="0" w:space="0" w:color="auto"/>
                    <w:left w:val="none" w:sz="0" w:space="0" w:color="auto"/>
                    <w:bottom w:val="none" w:sz="0" w:space="0" w:color="auto"/>
                    <w:right w:val="none" w:sz="0" w:space="0" w:color="auto"/>
                  </w:divBdr>
                  <w:divsChild>
                    <w:div w:id="16932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897920">
      <w:bodyDiv w:val="1"/>
      <w:marLeft w:val="0"/>
      <w:marRight w:val="0"/>
      <w:marTop w:val="0"/>
      <w:marBottom w:val="0"/>
      <w:divBdr>
        <w:top w:val="none" w:sz="0" w:space="0" w:color="auto"/>
        <w:left w:val="none" w:sz="0" w:space="0" w:color="auto"/>
        <w:bottom w:val="none" w:sz="0" w:space="0" w:color="auto"/>
        <w:right w:val="none" w:sz="0" w:space="0" w:color="auto"/>
      </w:divBdr>
      <w:divsChild>
        <w:div w:id="181087573">
          <w:marLeft w:val="0"/>
          <w:marRight w:val="0"/>
          <w:marTop w:val="0"/>
          <w:marBottom w:val="0"/>
          <w:divBdr>
            <w:top w:val="none" w:sz="0" w:space="0" w:color="auto"/>
            <w:left w:val="none" w:sz="0" w:space="0" w:color="auto"/>
            <w:bottom w:val="none" w:sz="0" w:space="0" w:color="auto"/>
            <w:right w:val="none" w:sz="0" w:space="0" w:color="auto"/>
          </w:divBdr>
          <w:divsChild>
            <w:div w:id="878974881">
              <w:marLeft w:val="0"/>
              <w:marRight w:val="0"/>
              <w:marTop w:val="0"/>
              <w:marBottom w:val="0"/>
              <w:divBdr>
                <w:top w:val="none" w:sz="0" w:space="0" w:color="auto"/>
                <w:left w:val="none" w:sz="0" w:space="0" w:color="auto"/>
                <w:bottom w:val="none" w:sz="0" w:space="0" w:color="auto"/>
                <w:right w:val="none" w:sz="0" w:space="0" w:color="auto"/>
              </w:divBdr>
              <w:divsChild>
                <w:div w:id="8846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21707">
      <w:bodyDiv w:val="1"/>
      <w:marLeft w:val="0"/>
      <w:marRight w:val="0"/>
      <w:marTop w:val="0"/>
      <w:marBottom w:val="0"/>
      <w:divBdr>
        <w:top w:val="none" w:sz="0" w:space="0" w:color="auto"/>
        <w:left w:val="none" w:sz="0" w:space="0" w:color="auto"/>
        <w:bottom w:val="none" w:sz="0" w:space="0" w:color="auto"/>
        <w:right w:val="none" w:sz="0" w:space="0" w:color="auto"/>
      </w:divBdr>
      <w:divsChild>
        <w:div w:id="678310997">
          <w:marLeft w:val="0"/>
          <w:marRight w:val="0"/>
          <w:marTop w:val="0"/>
          <w:marBottom w:val="0"/>
          <w:divBdr>
            <w:top w:val="none" w:sz="0" w:space="0" w:color="auto"/>
            <w:left w:val="none" w:sz="0" w:space="0" w:color="auto"/>
            <w:bottom w:val="none" w:sz="0" w:space="0" w:color="auto"/>
            <w:right w:val="none" w:sz="0" w:space="0" w:color="auto"/>
          </w:divBdr>
          <w:divsChild>
            <w:div w:id="196702203">
              <w:marLeft w:val="0"/>
              <w:marRight w:val="0"/>
              <w:marTop w:val="0"/>
              <w:marBottom w:val="0"/>
              <w:divBdr>
                <w:top w:val="none" w:sz="0" w:space="0" w:color="auto"/>
                <w:left w:val="none" w:sz="0" w:space="0" w:color="auto"/>
                <w:bottom w:val="none" w:sz="0" w:space="0" w:color="auto"/>
                <w:right w:val="none" w:sz="0" w:space="0" w:color="auto"/>
              </w:divBdr>
              <w:divsChild>
                <w:div w:id="1193227955">
                  <w:marLeft w:val="0"/>
                  <w:marRight w:val="0"/>
                  <w:marTop w:val="0"/>
                  <w:marBottom w:val="0"/>
                  <w:divBdr>
                    <w:top w:val="none" w:sz="0" w:space="0" w:color="auto"/>
                    <w:left w:val="none" w:sz="0" w:space="0" w:color="auto"/>
                    <w:bottom w:val="none" w:sz="0" w:space="0" w:color="auto"/>
                    <w:right w:val="none" w:sz="0" w:space="0" w:color="auto"/>
                  </w:divBdr>
                  <w:divsChild>
                    <w:div w:id="7885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445570">
      <w:bodyDiv w:val="1"/>
      <w:marLeft w:val="0"/>
      <w:marRight w:val="0"/>
      <w:marTop w:val="0"/>
      <w:marBottom w:val="0"/>
      <w:divBdr>
        <w:top w:val="none" w:sz="0" w:space="0" w:color="auto"/>
        <w:left w:val="none" w:sz="0" w:space="0" w:color="auto"/>
        <w:bottom w:val="none" w:sz="0" w:space="0" w:color="auto"/>
        <w:right w:val="none" w:sz="0" w:space="0" w:color="auto"/>
      </w:divBdr>
      <w:divsChild>
        <w:div w:id="1404796631">
          <w:marLeft w:val="0"/>
          <w:marRight w:val="0"/>
          <w:marTop w:val="0"/>
          <w:marBottom w:val="0"/>
          <w:divBdr>
            <w:top w:val="none" w:sz="0" w:space="0" w:color="auto"/>
            <w:left w:val="none" w:sz="0" w:space="0" w:color="auto"/>
            <w:bottom w:val="none" w:sz="0" w:space="0" w:color="auto"/>
            <w:right w:val="none" w:sz="0" w:space="0" w:color="auto"/>
          </w:divBdr>
          <w:divsChild>
            <w:div w:id="1961841128">
              <w:marLeft w:val="0"/>
              <w:marRight w:val="0"/>
              <w:marTop w:val="0"/>
              <w:marBottom w:val="0"/>
              <w:divBdr>
                <w:top w:val="none" w:sz="0" w:space="0" w:color="auto"/>
                <w:left w:val="none" w:sz="0" w:space="0" w:color="auto"/>
                <w:bottom w:val="none" w:sz="0" w:space="0" w:color="auto"/>
                <w:right w:val="none" w:sz="0" w:space="0" w:color="auto"/>
              </w:divBdr>
              <w:divsChild>
                <w:div w:id="132555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31484">
      <w:bodyDiv w:val="1"/>
      <w:marLeft w:val="0"/>
      <w:marRight w:val="0"/>
      <w:marTop w:val="0"/>
      <w:marBottom w:val="0"/>
      <w:divBdr>
        <w:top w:val="none" w:sz="0" w:space="0" w:color="auto"/>
        <w:left w:val="none" w:sz="0" w:space="0" w:color="auto"/>
        <w:bottom w:val="none" w:sz="0" w:space="0" w:color="auto"/>
        <w:right w:val="none" w:sz="0" w:space="0" w:color="auto"/>
      </w:divBdr>
      <w:divsChild>
        <w:div w:id="811943308">
          <w:marLeft w:val="0"/>
          <w:marRight w:val="0"/>
          <w:marTop w:val="0"/>
          <w:marBottom w:val="0"/>
          <w:divBdr>
            <w:top w:val="none" w:sz="0" w:space="0" w:color="auto"/>
            <w:left w:val="none" w:sz="0" w:space="0" w:color="auto"/>
            <w:bottom w:val="none" w:sz="0" w:space="0" w:color="auto"/>
            <w:right w:val="none" w:sz="0" w:space="0" w:color="auto"/>
          </w:divBdr>
          <w:divsChild>
            <w:div w:id="337657932">
              <w:marLeft w:val="0"/>
              <w:marRight w:val="0"/>
              <w:marTop w:val="0"/>
              <w:marBottom w:val="0"/>
              <w:divBdr>
                <w:top w:val="none" w:sz="0" w:space="0" w:color="auto"/>
                <w:left w:val="none" w:sz="0" w:space="0" w:color="auto"/>
                <w:bottom w:val="none" w:sz="0" w:space="0" w:color="auto"/>
                <w:right w:val="none" w:sz="0" w:space="0" w:color="auto"/>
              </w:divBdr>
              <w:divsChild>
                <w:div w:id="977297839">
                  <w:marLeft w:val="0"/>
                  <w:marRight w:val="0"/>
                  <w:marTop w:val="0"/>
                  <w:marBottom w:val="0"/>
                  <w:divBdr>
                    <w:top w:val="none" w:sz="0" w:space="0" w:color="auto"/>
                    <w:left w:val="none" w:sz="0" w:space="0" w:color="auto"/>
                    <w:bottom w:val="none" w:sz="0" w:space="0" w:color="auto"/>
                    <w:right w:val="none" w:sz="0" w:space="0" w:color="auto"/>
                  </w:divBdr>
                  <w:divsChild>
                    <w:div w:id="4070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621121">
      <w:bodyDiv w:val="1"/>
      <w:marLeft w:val="0"/>
      <w:marRight w:val="0"/>
      <w:marTop w:val="0"/>
      <w:marBottom w:val="0"/>
      <w:divBdr>
        <w:top w:val="none" w:sz="0" w:space="0" w:color="auto"/>
        <w:left w:val="none" w:sz="0" w:space="0" w:color="auto"/>
        <w:bottom w:val="none" w:sz="0" w:space="0" w:color="auto"/>
        <w:right w:val="none" w:sz="0" w:space="0" w:color="auto"/>
      </w:divBdr>
    </w:div>
    <w:div w:id="825245963">
      <w:bodyDiv w:val="1"/>
      <w:marLeft w:val="0"/>
      <w:marRight w:val="0"/>
      <w:marTop w:val="0"/>
      <w:marBottom w:val="0"/>
      <w:divBdr>
        <w:top w:val="none" w:sz="0" w:space="0" w:color="auto"/>
        <w:left w:val="none" w:sz="0" w:space="0" w:color="auto"/>
        <w:bottom w:val="none" w:sz="0" w:space="0" w:color="auto"/>
        <w:right w:val="none" w:sz="0" w:space="0" w:color="auto"/>
      </w:divBdr>
      <w:divsChild>
        <w:div w:id="1293946178">
          <w:marLeft w:val="0"/>
          <w:marRight w:val="0"/>
          <w:marTop w:val="0"/>
          <w:marBottom w:val="0"/>
          <w:divBdr>
            <w:top w:val="none" w:sz="0" w:space="0" w:color="auto"/>
            <w:left w:val="none" w:sz="0" w:space="0" w:color="auto"/>
            <w:bottom w:val="none" w:sz="0" w:space="0" w:color="auto"/>
            <w:right w:val="none" w:sz="0" w:space="0" w:color="auto"/>
          </w:divBdr>
          <w:divsChild>
            <w:div w:id="1470437583">
              <w:marLeft w:val="0"/>
              <w:marRight w:val="0"/>
              <w:marTop w:val="0"/>
              <w:marBottom w:val="0"/>
              <w:divBdr>
                <w:top w:val="none" w:sz="0" w:space="0" w:color="auto"/>
                <w:left w:val="none" w:sz="0" w:space="0" w:color="auto"/>
                <w:bottom w:val="none" w:sz="0" w:space="0" w:color="auto"/>
                <w:right w:val="none" w:sz="0" w:space="0" w:color="auto"/>
              </w:divBdr>
              <w:divsChild>
                <w:div w:id="49376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90434">
      <w:bodyDiv w:val="1"/>
      <w:marLeft w:val="0"/>
      <w:marRight w:val="0"/>
      <w:marTop w:val="0"/>
      <w:marBottom w:val="0"/>
      <w:divBdr>
        <w:top w:val="none" w:sz="0" w:space="0" w:color="auto"/>
        <w:left w:val="none" w:sz="0" w:space="0" w:color="auto"/>
        <w:bottom w:val="none" w:sz="0" w:space="0" w:color="auto"/>
        <w:right w:val="none" w:sz="0" w:space="0" w:color="auto"/>
      </w:divBdr>
    </w:div>
    <w:div w:id="837309151">
      <w:bodyDiv w:val="1"/>
      <w:marLeft w:val="0"/>
      <w:marRight w:val="0"/>
      <w:marTop w:val="0"/>
      <w:marBottom w:val="0"/>
      <w:divBdr>
        <w:top w:val="none" w:sz="0" w:space="0" w:color="auto"/>
        <w:left w:val="none" w:sz="0" w:space="0" w:color="auto"/>
        <w:bottom w:val="none" w:sz="0" w:space="0" w:color="auto"/>
        <w:right w:val="none" w:sz="0" w:space="0" w:color="auto"/>
      </w:divBdr>
      <w:divsChild>
        <w:div w:id="1603604405">
          <w:marLeft w:val="0"/>
          <w:marRight w:val="0"/>
          <w:marTop w:val="0"/>
          <w:marBottom w:val="0"/>
          <w:divBdr>
            <w:top w:val="none" w:sz="0" w:space="0" w:color="auto"/>
            <w:left w:val="none" w:sz="0" w:space="0" w:color="auto"/>
            <w:bottom w:val="none" w:sz="0" w:space="0" w:color="auto"/>
            <w:right w:val="none" w:sz="0" w:space="0" w:color="auto"/>
          </w:divBdr>
          <w:divsChild>
            <w:div w:id="278148542">
              <w:marLeft w:val="0"/>
              <w:marRight w:val="0"/>
              <w:marTop w:val="0"/>
              <w:marBottom w:val="0"/>
              <w:divBdr>
                <w:top w:val="none" w:sz="0" w:space="0" w:color="auto"/>
                <w:left w:val="none" w:sz="0" w:space="0" w:color="auto"/>
                <w:bottom w:val="none" w:sz="0" w:space="0" w:color="auto"/>
                <w:right w:val="none" w:sz="0" w:space="0" w:color="auto"/>
              </w:divBdr>
              <w:divsChild>
                <w:div w:id="950430378">
                  <w:marLeft w:val="0"/>
                  <w:marRight w:val="0"/>
                  <w:marTop w:val="0"/>
                  <w:marBottom w:val="0"/>
                  <w:divBdr>
                    <w:top w:val="none" w:sz="0" w:space="0" w:color="auto"/>
                    <w:left w:val="none" w:sz="0" w:space="0" w:color="auto"/>
                    <w:bottom w:val="none" w:sz="0" w:space="0" w:color="auto"/>
                    <w:right w:val="none" w:sz="0" w:space="0" w:color="auto"/>
                  </w:divBdr>
                  <w:divsChild>
                    <w:div w:id="19537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081328">
      <w:bodyDiv w:val="1"/>
      <w:marLeft w:val="0"/>
      <w:marRight w:val="0"/>
      <w:marTop w:val="0"/>
      <w:marBottom w:val="0"/>
      <w:divBdr>
        <w:top w:val="none" w:sz="0" w:space="0" w:color="auto"/>
        <w:left w:val="none" w:sz="0" w:space="0" w:color="auto"/>
        <w:bottom w:val="none" w:sz="0" w:space="0" w:color="auto"/>
        <w:right w:val="none" w:sz="0" w:space="0" w:color="auto"/>
      </w:divBdr>
      <w:divsChild>
        <w:div w:id="810101851">
          <w:marLeft w:val="0"/>
          <w:marRight w:val="0"/>
          <w:marTop w:val="0"/>
          <w:marBottom w:val="0"/>
          <w:divBdr>
            <w:top w:val="none" w:sz="0" w:space="0" w:color="auto"/>
            <w:left w:val="none" w:sz="0" w:space="0" w:color="auto"/>
            <w:bottom w:val="none" w:sz="0" w:space="0" w:color="auto"/>
            <w:right w:val="none" w:sz="0" w:space="0" w:color="auto"/>
          </w:divBdr>
          <w:divsChild>
            <w:div w:id="1204562244">
              <w:marLeft w:val="0"/>
              <w:marRight w:val="0"/>
              <w:marTop w:val="0"/>
              <w:marBottom w:val="0"/>
              <w:divBdr>
                <w:top w:val="none" w:sz="0" w:space="0" w:color="auto"/>
                <w:left w:val="none" w:sz="0" w:space="0" w:color="auto"/>
                <w:bottom w:val="none" w:sz="0" w:space="0" w:color="auto"/>
                <w:right w:val="none" w:sz="0" w:space="0" w:color="auto"/>
              </w:divBdr>
              <w:divsChild>
                <w:div w:id="19491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466719">
      <w:bodyDiv w:val="1"/>
      <w:marLeft w:val="0"/>
      <w:marRight w:val="0"/>
      <w:marTop w:val="0"/>
      <w:marBottom w:val="0"/>
      <w:divBdr>
        <w:top w:val="none" w:sz="0" w:space="0" w:color="auto"/>
        <w:left w:val="none" w:sz="0" w:space="0" w:color="auto"/>
        <w:bottom w:val="none" w:sz="0" w:space="0" w:color="auto"/>
        <w:right w:val="none" w:sz="0" w:space="0" w:color="auto"/>
      </w:divBdr>
      <w:divsChild>
        <w:div w:id="307825563">
          <w:marLeft w:val="0"/>
          <w:marRight w:val="0"/>
          <w:marTop w:val="0"/>
          <w:marBottom w:val="0"/>
          <w:divBdr>
            <w:top w:val="none" w:sz="0" w:space="0" w:color="auto"/>
            <w:left w:val="none" w:sz="0" w:space="0" w:color="auto"/>
            <w:bottom w:val="none" w:sz="0" w:space="0" w:color="auto"/>
            <w:right w:val="none" w:sz="0" w:space="0" w:color="auto"/>
          </w:divBdr>
          <w:divsChild>
            <w:div w:id="1718624088">
              <w:marLeft w:val="0"/>
              <w:marRight w:val="0"/>
              <w:marTop w:val="0"/>
              <w:marBottom w:val="0"/>
              <w:divBdr>
                <w:top w:val="none" w:sz="0" w:space="0" w:color="auto"/>
                <w:left w:val="none" w:sz="0" w:space="0" w:color="auto"/>
                <w:bottom w:val="none" w:sz="0" w:space="0" w:color="auto"/>
                <w:right w:val="none" w:sz="0" w:space="0" w:color="auto"/>
              </w:divBdr>
              <w:divsChild>
                <w:div w:id="33911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974568">
      <w:bodyDiv w:val="1"/>
      <w:marLeft w:val="0"/>
      <w:marRight w:val="0"/>
      <w:marTop w:val="0"/>
      <w:marBottom w:val="0"/>
      <w:divBdr>
        <w:top w:val="none" w:sz="0" w:space="0" w:color="auto"/>
        <w:left w:val="none" w:sz="0" w:space="0" w:color="auto"/>
        <w:bottom w:val="none" w:sz="0" w:space="0" w:color="auto"/>
        <w:right w:val="none" w:sz="0" w:space="0" w:color="auto"/>
      </w:divBdr>
      <w:divsChild>
        <w:div w:id="1842963911">
          <w:marLeft w:val="0"/>
          <w:marRight w:val="0"/>
          <w:marTop w:val="0"/>
          <w:marBottom w:val="0"/>
          <w:divBdr>
            <w:top w:val="none" w:sz="0" w:space="0" w:color="auto"/>
            <w:left w:val="none" w:sz="0" w:space="0" w:color="auto"/>
            <w:bottom w:val="none" w:sz="0" w:space="0" w:color="auto"/>
            <w:right w:val="none" w:sz="0" w:space="0" w:color="auto"/>
          </w:divBdr>
          <w:divsChild>
            <w:div w:id="1658727623">
              <w:marLeft w:val="0"/>
              <w:marRight w:val="0"/>
              <w:marTop w:val="0"/>
              <w:marBottom w:val="0"/>
              <w:divBdr>
                <w:top w:val="none" w:sz="0" w:space="0" w:color="auto"/>
                <w:left w:val="none" w:sz="0" w:space="0" w:color="auto"/>
                <w:bottom w:val="none" w:sz="0" w:space="0" w:color="auto"/>
                <w:right w:val="none" w:sz="0" w:space="0" w:color="auto"/>
              </w:divBdr>
              <w:divsChild>
                <w:div w:id="12312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17447">
      <w:bodyDiv w:val="1"/>
      <w:marLeft w:val="0"/>
      <w:marRight w:val="0"/>
      <w:marTop w:val="0"/>
      <w:marBottom w:val="0"/>
      <w:divBdr>
        <w:top w:val="none" w:sz="0" w:space="0" w:color="auto"/>
        <w:left w:val="none" w:sz="0" w:space="0" w:color="auto"/>
        <w:bottom w:val="none" w:sz="0" w:space="0" w:color="auto"/>
        <w:right w:val="none" w:sz="0" w:space="0" w:color="auto"/>
      </w:divBdr>
      <w:divsChild>
        <w:div w:id="572352517">
          <w:marLeft w:val="0"/>
          <w:marRight w:val="0"/>
          <w:marTop w:val="0"/>
          <w:marBottom w:val="0"/>
          <w:divBdr>
            <w:top w:val="none" w:sz="0" w:space="0" w:color="auto"/>
            <w:left w:val="none" w:sz="0" w:space="0" w:color="auto"/>
            <w:bottom w:val="none" w:sz="0" w:space="0" w:color="auto"/>
            <w:right w:val="none" w:sz="0" w:space="0" w:color="auto"/>
          </w:divBdr>
          <w:divsChild>
            <w:div w:id="136456573">
              <w:marLeft w:val="0"/>
              <w:marRight w:val="0"/>
              <w:marTop w:val="0"/>
              <w:marBottom w:val="0"/>
              <w:divBdr>
                <w:top w:val="none" w:sz="0" w:space="0" w:color="auto"/>
                <w:left w:val="none" w:sz="0" w:space="0" w:color="auto"/>
                <w:bottom w:val="none" w:sz="0" w:space="0" w:color="auto"/>
                <w:right w:val="none" w:sz="0" w:space="0" w:color="auto"/>
              </w:divBdr>
              <w:divsChild>
                <w:div w:id="2713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136330">
      <w:bodyDiv w:val="1"/>
      <w:marLeft w:val="0"/>
      <w:marRight w:val="0"/>
      <w:marTop w:val="0"/>
      <w:marBottom w:val="0"/>
      <w:divBdr>
        <w:top w:val="none" w:sz="0" w:space="0" w:color="auto"/>
        <w:left w:val="none" w:sz="0" w:space="0" w:color="auto"/>
        <w:bottom w:val="none" w:sz="0" w:space="0" w:color="auto"/>
        <w:right w:val="none" w:sz="0" w:space="0" w:color="auto"/>
      </w:divBdr>
      <w:divsChild>
        <w:div w:id="591938366">
          <w:marLeft w:val="0"/>
          <w:marRight w:val="0"/>
          <w:marTop w:val="0"/>
          <w:marBottom w:val="0"/>
          <w:divBdr>
            <w:top w:val="none" w:sz="0" w:space="0" w:color="auto"/>
            <w:left w:val="none" w:sz="0" w:space="0" w:color="auto"/>
            <w:bottom w:val="none" w:sz="0" w:space="0" w:color="auto"/>
            <w:right w:val="none" w:sz="0" w:space="0" w:color="auto"/>
          </w:divBdr>
          <w:divsChild>
            <w:div w:id="712923874">
              <w:marLeft w:val="0"/>
              <w:marRight w:val="0"/>
              <w:marTop w:val="0"/>
              <w:marBottom w:val="0"/>
              <w:divBdr>
                <w:top w:val="none" w:sz="0" w:space="0" w:color="auto"/>
                <w:left w:val="none" w:sz="0" w:space="0" w:color="auto"/>
                <w:bottom w:val="none" w:sz="0" w:space="0" w:color="auto"/>
                <w:right w:val="none" w:sz="0" w:space="0" w:color="auto"/>
              </w:divBdr>
              <w:divsChild>
                <w:div w:id="19277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96027">
      <w:bodyDiv w:val="1"/>
      <w:marLeft w:val="0"/>
      <w:marRight w:val="0"/>
      <w:marTop w:val="0"/>
      <w:marBottom w:val="0"/>
      <w:divBdr>
        <w:top w:val="none" w:sz="0" w:space="0" w:color="auto"/>
        <w:left w:val="none" w:sz="0" w:space="0" w:color="auto"/>
        <w:bottom w:val="none" w:sz="0" w:space="0" w:color="auto"/>
        <w:right w:val="none" w:sz="0" w:space="0" w:color="auto"/>
      </w:divBdr>
    </w:div>
    <w:div w:id="850798991">
      <w:bodyDiv w:val="1"/>
      <w:marLeft w:val="0"/>
      <w:marRight w:val="0"/>
      <w:marTop w:val="0"/>
      <w:marBottom w:val="0"/>
      <w:divBdr>
        <w:top w:val="none" w:sz="0" w:space="0" w:color="auto"/>
        <w:left w:val="none" w:sz="0" w:space="0" w:color="auto"/>
        <w:bottom w:val="none" w:sz="0" w:space="0" w:color="auto"/>
        <w:right w:val="none" w:sz="0" w:space="0" w:color="auto"/>
      </w:divBdr>
      <w:divsChild>
        <w:div w:id="311182052">
          <w:marLeft w:val="0"/>
          <w:marRight w:val="0"/>
          <w:marTop w:val="0"/>
          <w:marBottom w:val="0"/>
          <w:divBdr>
            <w:top w:val="none" w:sz="0" w:space="0" w:color="auto"/>
            <w:left w:val="none" w:sz="0" w:space="0" w:color="auto"/>
            <w:bottom w:val="none" w:sz="0" w:space="0" w:color="auto"/>
            <w:right w:val="none" w:sz="0" w:space="0" w:color="auto"/>
          </w:divBdr>
          <w:divsChild>
            <w:div w:id="2098137826">
              <w:marLeft w:val="0"/>
              <w:marRight w:val="0"/>
              <w:marTop w:val="0"/>
              <w:marBottom w:val="0"/>
              <w:divBdr>
                <w:top w:val="none" w:sz="0" w:space="0" w:color="auto"/>
                <w:left w:val="none" w:sz="0" w:space="0" w:color="auto"/>
                <w:bottom w:val="none" w:sz="0" w:space="0" w:color="auto"/>
                <w:right w:val="none" w:sz="0" w:space="0" w:color="auto"/>
              </w:divBdr>
              <w:divsChild>
                <w:div w:id="10441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831">
      <w:bodyDiv w:val="1"/>
      <w:marLeft w:val="0"/>
      <w:marRight w:val="0"/>
      <w:marTop w:val="0"/>
      <w:marBottom w:val="0"/>
      <w:divBdr>
        <w:top w:val="none" w:sz="0" w:space="0" w:color="auto"/>
        <w:left w:val="none" w:sz="0" w:space="0" w:color="auto"/>
        <w:bottom w:val="none" w:sz="0" w:space="0" w:color="auto"/>
        <w:right w:val="none" w:sz="0" w:space="0" w:color="auto"/>
      </w:divBdr>
      <w:divsChild>
        <w:div w:id="167796467">
          <w:marLeft w:val="0"/>
          <w:marRight w:val="0"/>
          <w:marTop w:val="0"/>
          <w:marBottom w:val="0"/>
          <w:divBdr>
            <w:top w:val="none" w:sz="0" w:space="0" w:color="auto"/>
            <w:left w:val="none" w:sz="0" w:space="0" w:color="auto"/>
            <w:bottom w:val="none" w:sz="0" w:space="0" w:color="auto"/>
            <w:right w:val="none" w:sz="0" w:space="0" w:color="auto"/>
          </w:divBdr>
          <w:divsChild>
            <w:div w:id="1628511217">
              <w:marLeft w:val="0"/>
              <w:marRight w:val="0"/>
              <w:marTop w:val="0"/>
              <w:marBottom w:val="0"/>
              <w:divBdr>
                <w:top w:val="none" w:sz="0" w:space="0" w:color="auto"/>
                <w:left w:val="none" w:sz="0" w:space="0" w:color="auto"/>
                <w:bottom w:val="none" w:sz="0" w:space="0" w:color="auto"/>
                <w:right w:val="none" w:sz="0" w:space="0" w:color="auto"/>
              </w:divBdr>
              <w:divsChild>
                <w:div w:id="182219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56204">
      <w:bodyDiv w:val="1"/>
      <w:marLeft w:val="0"/>
      <w:marRight w:val="0"/>
      <w:marTop w:val="0"/>
      <w:marBottom w:val="0"/>
      <w:divBdr>
        <w:top w:val="none" w:sz="0" w:space="0" w:color="auto"/>
        <w:left w:val="none" w:sz="0" w:space="0" w:color="auto"/>
        <w:bottom w:val="none" w:sz="0" w:space="0" w:color="auto"/>
        <w:right w:val="none" w:sz="0" w:space="0" w:color="auto"/>
      </w:divBdr>
      <w:divsChild>
        <w:div w:id="1811171881">
          <w:marLeft w:val="0"/>
          <w:marRight w:val="0"/>
          <w:marTop w:val="0"/>
          <w:marBottom w:val="0"/>
          <w:divBdr>
            <w:top w:val="none" w:sz="0" w:space="0" w:color="auto"/>
            <w:left w:val="none" w:sz="0" w:space="0" w:color="auto"/>
            <w:bottom w:val="none" w:sz="0" w:space="0" w:color="auto"/>
            <w:right w:val="none" w:sz="0" w:space="0" w:color="auto"/>
          </w:divBdr>
          <w:divsChild>
            <w:div w:id="648366285">
              <w:marLeft w:val="0"/>
              <w:marRight w:val="0"/>
              <w:marTop w:val="0"/>
              <w:marBottom w:val="0"/>
              <w:divBdr>
                <w:top w:val="none" w:sz="0" w:space="0" w:color="auto"/>
                <w:left w:val="none" w:sz="0" w:space="0" w:color="auto"/>
                <w:bottom w:val="none" w:sz="0" w:space="0" w:color="auto"/>
                <w:right w:val="none" w:sz="0" w:space="0" w:color="auto"/>
              </w:divBdr>
              <w:divsChild>
                <w:div w:id="5212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369071">
      <w:bodyDiv w:val="1"/>
      <w:marLeft w:val="0"/>
      <w:marRight w:val="0"/>
      <w:marTop w:val="0"/>
      <w:marBottom w:val="0"/>
      <w:divBdr>
        <w:top w:val="none" w:sz="0" w:space="0" w:color="auto"/>
        <w:left w:val="none" w:sz="0" w:space="0" w:color="auto"/>
        <w:bottom w:val="none" w:sz="0" w:space="0" w:color="auto"/>
        <w:right w:val="none" w:sz="0" w:space="0" w:color="auto"/>
      </w:divBdr>
      <w:divsChild>
        <w:div w:id="1005936655">
          <w:marLeft w:val="0"/>
          <w:marRight w:val="0"/>
          <w:marTop w:val="0"/>
          <w:marBottom w:val="0"/>
          <w:divBdr>
            <w:top w:val="none" w:sz="0" w:space="0" w:color="auto"/>
            <w:left w:val="none" w:sz="0" w:space="0" w:color="auto"/>
            <w:bottom w:val="none" w:sz="0" w:space="0" w:color="auto"/>
            <w:right w:val="none" w:sz="0" w:space="0" w:color="auto"/>
          </w:divBdr>
          <w:divsChild>
            <w:div w:id="1265386913">
              <w:marLeft w:val="0"/>
              <w:marRight w:val="0"/>
              <w:marTop w:val="0"/>
              <w:marBottom w:val="0"/>
              <w:divBdr>
                <w:top w:val="none" w:sz="0" w:space="0" w:color="auto"/>
                <w:left w:val="none" w:sz="0" w:space="0" w:color="auto"/>
                <w:bottom w:val="none" w:sz="0" w:space="0" w:color="auto"/>
                <w:right w:val="none" w:sz="0" w:space="0" w:color="auto"/>
              </w:divBdr>
              <w:divsChild>
                <w:div w:id="15462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05869">
      <w:bodyDiv w:val="1"/>
      <w:marLeft w:val="0"/>
      <w:marRight w:val="0"/>
      <w:marTop w:val="0"/>
      <w:marBottom w:val="0"/>
      <w:divBdr>
        <w:top w:val="none" w:sz="0" w:space="0" w:color="auto"/>
        <w:left w:val="none" w:sz="0" w:space="0" w:color="auto"/>
        <w:bottom w:val="none" w:sz="0" w:space="0" w:color="auto"/>
        <w:right w:val="none" w:sz="0" w:space="0" w:color="auto"/>
      </w:divBdr>
      <w:divsChild>
        <w:div w:id="620769625">
          <w:marLeft w:val="0"/>
          <w:marRight w:val="0"/>
          <w:marTop w:val="0"/>
          <w:marBottom w:val="0"/>
          <w:divBdr>
            <w:top w:val="none" w:sz="0" w:space="0" w:color="auto"/>
            <w:left w:val="none" w:sz="0" w:space="0" w:color="auto"/>
            <w:bottom w:val="none" w:sz="0" w:space="0" w:color="auto"/>
            <w:right w:val="none" w:sz="0" w:space="0" w:color="auto"/>
          </w:divBdr>
          <w:divsChild>
            <w:div w:id="1177037091">
              <w:marLeft w:val="0"/>
              <w:marRight w:val="0"/>
              <w:marTop w:val="0"/>
              <w:marBottom w:val="0"/>
              <w:divBdr>
                <w:top w:val="none" w:sz="0" w:space="0" w:color="auto"/>
                <w:left w:val="none" w:sz="0" w:space="0" w:color="auto"/>
                <w:bottom w:val="none" w:sz="0" w:space="0" w:color="auto"/>
                <w:right w:val="none" w:sz="0" w:space="0" w:color="auto"/>
              </w:divBdr>
              <w:divsChild>
                <w:div w:id="133746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98868">
      <w:bodyDiv w:val="1"/>
      <w:marLeft w:val="0"/>
      <w:marRight w:val="0"/>
      <w:marTop w:val="0"/>
      <w:marBottom w:val="0"/>
      <w:divBdr>
        <w:top w:val="none" w:sz="0" w:space="0" w:color="auto"/>
        <w:left w:val="none" w:sz="0" w:space="0" w:color="auto"/>
        <w:bottom w:val="none" w:sz="0" w:space="0" w:color="auto"/>
        <w:right w:val="none" w:sz="0" w:space="0" w:color="auto"/>
      </w:divBdr>
      <w:divsChild>
        <w:div w:id="1052459231">
          <w:marLeft w:val="0"/>
          <w:marRight w:val="0"/>
          <w:marTop w:val="0"/>
          <w:marBottom w:val="0"/>
          <w:divBdr>
            <w:top w:val="none" w:sz="0" w:space="0" w:color="auto"/>
            <w:left w:val="none" w:sz="0" w:space="0" w:color="auto"/>
            <w:bottom w:val="none" w:sz="0" w:space="0" w:color="auto"/>
            <w:right w:val="none" w:sz="0" w:space="0" w:color="auto"/>
          </w:divBdr>
          <w:divsChild>
            <w:div w:id="1142845436">
              <w:marLeft w:val="0"/>
              <w:marRight w:val="0"/>
              <w:marTop w:val="0"/>
              <w:marBottom w:val="0"/>
              <w:divBdr>
                <w:top w:val="none" w:sz="0" w:space="0" w:color="auto"/>
                <w:left w:val="none" w:sz="0" w:space="0" w:color="auto"/>
                <w:bottom w:val="none" w:sz="0" w:space="0" w:color="auto"/>
                <w:right w:val="none" w:sz="0" w:space="0" w:color="auto"/>
              </w:divBdr>
              <w:divsChild>
                <w:div w:id="84949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726306">
      <w:bodyDiv w:val="1"/>
      <w:marLeft w:val="0"/>
      <w:marRight w:val="0"/>
      <w:marTop w:val="0"/>
      <w:marBottom w:val="0"/>
      <w:divBdr>
        <w:top w:val="none" w:sz="0" w:space="0" w:color="auto"/>
        <w:left w:val="none" w:sz="0" w:space="0" w:color="auto"/>
        <w:bottom w:val="none" w:sz="0" w:space="0" w:color="auto"/>
        <w:right w:val="none" w:sz="0" w:space="0" w:color="auto"/>
      </w:divBdr>
      <w:divsChild>
        <w:div w:id="1869566573">
          <w:marLeft w:val="0"/>
          <w:marRight w:val="0"/>
          <w:marTop w:val="0"/>
          <w:marBottom w:val="0"/>
          <w:divBdr>
            <w:top w:val="none" w:sz="0" w:space="0" w:color="auto"/>
            <w:left w:val="none" w:sz="0" w:space="0" w:color="auto"/>
            <w:bottom w:val="none" w:sz="0" w:space="0" w:color="auto"/>
            <w:right w:val="none" w:sz="0" w:space="0" w:color="auto"/>
          </w:divBdr>
          <w:divsChild>
            <w:div w:id="2105421146">
              <w:marLeft w:val="0"/>
              <w:marRight w:val="0"/>
              <w:marTop w:val="0"/>
              <w:marBottom w:val="0"/>
              <w:divBdr>
                <w:top w:val="none" w:sz="0" w:space="0" w:color="auto"/>
                <w:left w:val="none" w:sz="0" w:space="0" w:color="auto"/>
                <w:bottom w:val="none" w:sz="0" w:space="0" w:color="auto"/>
                <w:right w:val="none" w:sz="0" w:space="0" w:color="auto"/>
              </w:divBdr>
              <w:divsChild>
                <w:div w:id="1846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593109">
      <w:bodyDiv w:val="1"/>
      <w:marLeft w:val="0"/>
      <w:marRight w:val="0"/>
      <w:marTop w:val="0"/>
      <w:marBottom w:val="0"/>
      <w:divBdr>
        <w:top w:val="none" w:sz="0" w:space="0" w:color="auto"/>
        <w:left w:val="none" w:sz="0" w:space="0" w:color="auto"/>
        <w:bottom w:val="none" w:sz="0" w:space="0" w:color="auto"/>
        <w:right w:val="none" w:sz="0" w:space="0" w:color="auto"/>
      </w:divBdr>
      <w:divsChild>
        <w:div w:id="2096391500">
          <w:marLeft w:val="0"/>
          <w:marRight w:val="0"/>
          <w:marTop w:val="0"/>
          <w:marBottom w:val="0"/>
          <w:divBdr>
            <w:top w:val="none" w:sz="0" w:space="0" w:color="auto"/>
            <w:left w:val="none" w:sz="0" w:space="0" w:color="auto"/>
            <w:bottom w:val="none" w:sz="0" w:space="0" w:color="auto"/>
            <w:right w:val="none" w:sz="0" w:space="0" w:color="auto"/>
          </w:divBdr>
          <w:divsChild>
            <w:div w:id="1455707168">
              <w:marLeft w:val="0"/>
              <w:marRight w:val="0"/>
              <w:marTop w:val="0"/>
              <w:marBottom w:val="0"/>
              <w:divBdr>
                <w:top w:val="none" w:sz="0" w:space="0" w:color="auto"/>
                <w:left w:val="none" w:sz="0" w:space="0" w:color="auto"/>
                <w:bottom w:val="none" w:sz="0" w:space="0" w:color="auto"/>
                <w:right w:val="none" w:sz="0" w:space="0" w:color="auto"/>
              </w:divBdr>
              <w:divsChild>
                <w:div w:id="19289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464321">
      <w:bodyDiv w:val="1"/>
      <w:marLeft w:val="0"/>
      <w:marRight w:val="0"/>
      <w:marTop w:val="0"/>
      <w:marBottom w:val="0"/>
      <w:divBdr>
        <w:top w:val="none" w:sz="0" w:space="0" w:color="auto"/>
        <w:left w:val="none" w:sz="0" w:space="0" w:color="auto"/>
        <w:bottom w:val="none" w:sz="0" w:space="0" w:color="auto"/>
        <w:right w:val="none" w:sz="0" w:space="0" w:color="auto"/>
      </w:divBdr>
      <w:divsChild>
        <w:div w:id="851140943">
          <w:marLeft w:val="0"/>
          <w:marRight w:val="0"/>
          <w:marTop w:val="0"/>
          <w:marBottom w:val="0"/>
          <w:divBdr>
            <w:top w:val="none" w:sz="0" w:space="0" w:color="auto"/>
            <w:left w:val="none" w:sz="0" w:space="0" w:color="auto"/>
            <w:bottom w:val="none" w:sz="0" w:space="0" w:color="auto"/>
            <w:right w:val="none" w:sz="0" w:space="0" w:color="auto"/>
          </w:divBdr>
          <w:divsChild>
            <w:div w:id="2123644677">
              <w:marLeft w:val="0"/>
              <w:marRight w:val="0"/>
              <w:marTop w:val="0"/>
              <w:marBottom w:val="0"/>
              <w:divBdr>
                <w:top w:val="none" w:sz="0" w:space="0" w:color="auto"/>
                <w:left w:val="none" w:sz="0" w:space="0" w:color="auto"/>
                <w:bottom w:val="none" w:sz="0" w:space="0" w:color="auto"/>
                <w:right w:val="none" w:sz="0" w:space="0" w:color="auto"/>
              </w:divBdr>
              <w:divsChild>
                <w:div w:id="7865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71740">
      <w:bodyDiv w:val="1"/>
      <w:marLeft w:val="0"/>
      <w:marRight w:val="0"/>
      <w:marTop w:val="0"/>
      <w:marBottom w:val="0"/>
      <w:divBdr>
        <w:top w:val="none" w:sz="0" w:space="0" w:color="auto"/>
        <w:left w:val="none" w:sz="0" w:space="0" w:color="auto"/>
        <w:bottom w:val="none" w:sz="0" w:space="0" w:color="auto"/>
        <w:right w:val="none" w:sz="0" w:space="0" w:color="auto"/>
      </w:divBdr>
      <w:divsChild>
        <w:div w:id="821851909">
          <w:marLeft w:val="0"/>
          <w:marRight w:val="0"/>
          <w:marTop w:val="0"/>
          <w:marBottom w:val="0"/>
          <w:divBdr>
            <w:top w:val="none" w:sz="0" w:space="0" w:color="auto"/>
            <w:left w:val="none" w:sz="0" w:space="0" w:color="auto"/>
            <w:bottom w:val="none" w:sz="0" w:space="0" w:color="auto"/>
            <w:right w:val="none" w:sz="0" w:space="0" w:color="auto"/>
          </w:divBdr>
          <w:divsChild>
            <w:div w:id="435447947">
              <w:marLeft w:val="0"/>
              <w:marRight w:val="0"/>
              <w:marTop w:val="0"/>
              <w:marBottom w:val="0"/>
              <w:divBdr>
                <w:top w:val="none" w:sz="0" w:space="0" w:color="auto"/>
                <w:left w:val="none" w:sz="0" w:space="0" w:color="auto"/>
                <w:bottom w:val="none" w:sz="0" w:space="0" w:color="auto"/>
                <w:right w:val="none" w:sz="0" w:space="0" w:color="auto"/>
              </w:divBdr>
              <w:divsChild>
                <w:div w:id="176345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347859">
      <w:bodyDiv w:val="1"/>
      <w:marLeft w:val="0"/>
      <w:marRight w:val="0"/>
      <w:marTop w:val="0"/>
      <w:marBottom w:val="0"/>
      <w:divBdr>
        <w:top w:val="none" w:sz="0" w:space="0" w:color="auto"/>
        <w:left w:val="none" w:sz="0" w:space="0" w:color="auto"/>
        <w:bottom w:val="none" w:sz="0" w:space="0" w:color="auto"/>
        <w:right w:val="none" w:sz="0" w:space="0" w:color="auto"/>
      </w:divBdr>
      <w:divsChild>
        <w:div w:id="771826932">
          <w:marLeft w:val="0"/>
          <w:marRight w:val="0"/>
          <w:marTop w:val="0"/>
          <w:marBottom w:val="0"/>
          <w:divBdr>
            <w:top w:val="none" w:sz="0" w:space="0" w:color="auto"/>
            <w:left w:val="none" w:sz="0" w:space="0" w:color="auto"/>
            <w:bottom w:val="none" w:sz="0" w:space="0" w:color="auto"/>
            <w:right w:val="none" w:sz="0" w:space="0" w:color="auto"/>
          </w:divBdr>
          <w:divsChild>
            <w:div w:id="421075030">
              <w:marLeft w:val="0"/>
              <w:marRight w:val="0"/>
              <w:marTop w:val="0"/>
              <w:marBottom w:val="0"/>
              <w:divBdr>
                <w:top w:val="none" w:sz="0" w:space="0" w:color="auto"/>
                <w:left w:val="none" w:sz="0" w:space="0" w:color="auto"/>
                <w:bottom w:val="none" w:sz="0" w:space="0" w:color="auto"/>
                <w:right w:val="none" w:sz="0" w:space="0" w:color="auto"/>
              </w:divBdr>
              <w:divsChild>
                <w:div w:id="782919584">
                  <w:marLeft w:val="0"/>
                  <w:marRight w:val="0"/>
                  <w:marTop w:val="0"/>
                  <w:marBottom w:val="0"/>
                  <w:divBdr>
                    <w:top w:val="none" w:sz="0" w:space="0" w:color="auto"/>
                    <w:left w:val="none" w:sz="0" w:space="0" w:color="auto"/>
                    <w:bottom w:val="none" w:sz="0" w:space="0" w:color="auto"/>
                    <w:right w:val="none" w:sz="0" w:space="0" w:color="auto"/>
                  </w:divBdr>
                  <w:divsChild>
                    <w:div w:id="5774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040583">
      <w:bodyDiv w:val="1"/>
      <w:marLeft w:val="0"/>
      <w:marRight w:val="0"/>
      <w:marTop w:val="0"/>
      <w:marBottom w:val="0"/>
      <w:divBdr>
        <w:top w:val="none" w:sz="0" w:space="0" w:color="auto"/>
        <w:left w:val="none" w:sz="0" w:space="0" w:color="auto"/>
        <w:bottom w:val="none" w:sz="0" w:space="0" w:color="auto"/>
        <w:right w:val="none" w:sz="0" w:space="0" w:color="auto"/>
      </w:divBdr>
    </w:div>
    <w:div w:id="910239810">
      <w:bodyDiv w:val="1"/>
      <w:marLeft w:val="0"/>
      <w:marRight w:val="0"/>
      <w:marTop w:val="0"/>
      <w:marBottom w:val="0"/>
      <w:divBdr>
        <w:top w:val="none" w:sz="0" w:space="0" w:color="auto"/>
        <w:left w:val="none" w:sz="0" w:space="0" w:color="auto"/>
        <w:bottom w:val="none" w:sz="0" w:space="0" w:color="auto"/>
        <w:right w:val="none" w:sz="0" w:space="0" w:color="auto"/>
      </w:divBdr>
      <w:divsChild>
        <w:div w:id="1433471111">
          <w:marLeft w:val="0"/>
          <w:marRight w:val="0"/>
          <w:marTop w:val="0"/>
          <w:marBottom w:val="0"/>
          <w:divBdr>
            <w:top w:val="none" w:sz="0" w:space="0" w:color="auto"/>
            <w:left w:val="none" w:sz="0" w:space="0" w:color="auto"/>
            <w:bottom w:val="none" w:sz="0" w:space="0" w:color="auto"/>
            <w:right w:val="none" w:sz="0" w:space="0" w:color="auto"/>
          </w:divBdr>
          <w:divsChild>
            <w:div w:id="1601179791">
              <w:marLeft w:val="0"/>
              <w:marRight w:val="0"/>
              <w:marTop w:val="0"/>
              <w:marBottom w:val="0"/>
              <w:divBdr>
                <w:top w:val="none" w:sz="0" w:space="0" w:color="auto"/>
                <w:left w:val="none" w:sz="0" w:space="0" w:color="auto"/>
                <w:bottom w:val="none" w:sz="0" w:space="0" w:color="auto"/>
                <w:right w:val="none" w:sz="0" w:space="0" w:color="auto"/>
              </w:divBdr>
              <w:divsChild>
                <w:div w:id="7114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54677">
      <w:bodyDiv w:val="1"/>
      <w:marLeft w:val="0"/>
      <w:marRight w:val="0"/>
      <w:marTop w:val="0"/>
      <w:marBottom w:val="0"/>
      <w:divBdr>
        <w:top w:val="none" w:sz="0" w:space="0" w:color="auto"/>
        <w:left w:val="none" w:sz="0" w:space="0" w:color="auto"/>
        <w:bottom w:val="none" w:sz="0" w:space="0" w:color="auto"/>
        <w:right w:val="none" w:sz="0" w:space="0" w:color="auto"/>
      </w:divBdr>
      <w:divsChild>
        <w:div w:id="1314333566">
          <w:marLeft w:val="0"/>
          <w:marRight w:val="0"/>
          <w:marTop w:val="0"/>
          <w:marBottom w:val="0"/>
          <w:divBdr>
            <w:top w:val="none" w:sz="0" w:space="0" w:color="auto"/>
            <w:left w:val="none" w:sz="0" w:space="0" w:color="auto"/>
            <w:bottom w:val="none" w:sz="0" w:space="0" w:color="auto"/>
            <w:right w:val="none" w:sz="0" w:space="0" w:color="auto"/>
          </w:divBdr>
          <w:divsChild>
            <w:div w:id="1006906219">
              <w:marLeft w:val="0"/>
              <w:marRight w:val="0"/>
              <w:marTop w:val="0"/>
              <w:marBottom w:val="0"/>
              <w:divBdr>
                <w:top w:val="none" w:sz="0" w:space="0" w:color="auto"/>
                <w:left w:val="none" w:sz="0" w:space="0" w:color="auto"/>
                <w:bottom w:val="none" w:sz="0" w:space="0" w:color="auto"/>
                <w:right w:val="none" w:sz="0" w:space="0" w:color="auto"/>
              </w:divBdr>
              <w:divsChild>
                <w:div w:id="1298757281">
                  <w:marLeft w:val="0"/>
                  <w:marRight w:val="0"/>
                  <w:marTop w:val="0"/>
                  <w:marBottom w:val="0"/>
                  <w:divBdr>
                    <w:top w:val="none" w:sz="0" w:space="0" w:color="auto"/>
                    <w:left w:val="none" w:sz="0" w:space="0" w:color="auto"/>
                    <w:bottom w:val="none" w:sz="0" w:space="0" w:color="auto"/>
                    <w:right w:val="none" w:sz="0" w:space="0" w:color="auto"/>
                  </w:divBdr>
                  <w:divsChild>
                    <w:div w:id="6213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319743">
      <w:bodyDiv w:val="1"/>
      <w:marLeft w:val="0"/>
      <w:marRight w:val="0"/>
      <w:marTop w:val="0"/>
      <w:marBottom w:val="0"/>
      <w:divBdr>
        <w:top w:val="none" w:sz="0" w:space="0" w:color="auto"/>
        <w:left w:val="none" w:sz="0" w:space="0" w:color="auto"/>
        <w:bottom w:val="none" w:sz="0" w:space="0" w:color="auto"/>
        <w:right w:val="none" w:sz="0" w:space="0" w:color="auto"/>
      </w:divBdr>
      <w:divsChild>
        <w:div w:id="1179156070">
          <w:marLeft w:val="0"/>
          <w:marRight w:val="0"/>
          <w:marTop w:val="0"/>
          <w:marBottom w:val="0"/>
          <w:divBdr>
            <w:top w:val="none" w:sz="0" w:space="0" w:color="auto"/>
            <w:left w:val="none" w:sz="0" w:space="0" w:color="auto"/>
            <w:bottom w:val="none" w:sz="0" w:space="0" w:color="auto"/>
            <w:right w:val="none" w:sz="0" w:space="0" w:color="auto"/>
          </w:divBdr>
          <w:divsChild>
            <w:div w:id="1417901396">
              <w:marLeft w:val="0"/>
              <w:marRight w:val="0"/>
              <w:marTop w:val="0"/>
              <w:marBottom w:val="0"/>
              <w:divBdr>
                <w:top w:val="none" w:sz="0" w:space="0" w:color="auto"/>
                <w:left w:val="none" w:sz="0" w:space="0" w:color="auto"/>
                <w:bottom w:val="none" w:sz="0" w:space="0" w:color="auto"/>
                <w:right w:val="none" w:sz="0" w:space="0" w:color="auto"/>
              </w:divBdr>
              <w:divsChild>
                <w:div w:id="21302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28265">
      <w:bodyDiv w:val="1"/>
      <w:marLeft w:val="0"/>
      <w:marRight w:val="0"/>
      <w:marTop w:val="0"/>
      <w:marBottom w:val="0"/>
      <w:divBdr>
        <w:top w:val="none" w:sz="0" w:space="0" w:color="auto"/>
        <w:left w:val="none" w:sz="0" w:space="0" w:color="auto"/>
        <w:bottom w:val="none" w:sz="0" w:space="0" w:color="auto"/>
        <w:right w:val="none" w:sz="0" w:space="0" w:color="auto"/>
      </w:divBdr>
      <w:divsChild>
        <w:div w:id="862858872">
          <w:marLeft w:val="0"/>
          <w:marRight w:val="0"/>
          <w:marTop w:val="0"/>
          <w:marBottom w:val="0"/>
          <w:divBdr>
            <w:top w:val="none" w:sz="0" w:space="0" w:color="auto"/>
            <w:left w:val="none" w:sz="0" w:space="0" w:color="auto"/>
            <w:bottom w:val="none" w:sz="0" w:space="0" w:color="auto"/>
            <w:right w:val="none" w:sz="0" w:space="0" w:color="auto"/>
          </w:divBdr>
          <w:divsChild>
            <w:div w:id="1089154319">
              <w:marLeft w:val="0"/>
              <w:marRight w:val="0"/>
              <w:marTop w:val="0"/>
              <w:marBottom w:val="0"/>
              <w:divBdr>
                <w:top w:val="none" w:sz="0" w:space="0" w:color="auto"/>
                <w:left w:val="none" w:sz="0" w:space="0" w:color="auto"/>
                <w:bottom w:val="none" w:sz="0" w:space="0" w:color="auto"/>
                <w:right w:val="none" w:sz="0" w:space="0" w:color="auto"/>
              </w:divBdr>
              <w:divsChild>
                <w:div w:id="827795137">
                  <w:marLeft w:val="0"/>
                  <w:marRight w:val="0"/>
                  <w:marTop w:val="0"/>
                  <w:marBottom w:val="0"/>
                  <w:divBdr>
                    <w:top w:val="none" w:sz="0" w:space="0" w:color="auto"/>
                    <w:left w:val="none" w:sz="0" w:space="0" w:color="auto"/>
                    <w:bottom w:val="none" w:sz="0" w:space="0" w:color="auto"/>
                    <w:right w:val="none" w:sz="0" w:space="0" w:color="auto"/>
                  </w:divBdr>
                  <w:divsChild>
                    <w:div w:id="210268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933143">
      <w:bodyDiv w:val="1"/>
      <w:marLeft w:val="0"/>
      <w:marRight w:val="0"/>
      <w:marTop w:val="0"/>
      <w:marBottom w:val="0"/>
      <w:divBdr>
        <w:top w:val="none" w:sz="0" w:space="0" w:color="auto"/>
        <w:left w:val="none" w:sz="0" w:space="0" w:color="auto"/>
        <w:bottom w:val="none" w:sz="0" w:space="0" w:color="auto"/>
        <w:right w:val="none" w:sz="0" w:space="0" w:color="auto"/>
      </w:divBdr>
      <w:divsChild>
        <w:div w:id="1957784295">
          <w:marLeft w:val="0"/>
          <w:marRight w:val="0"/>
          <w:marTop w:val="0"/>
          <w:marBottom w:val="0"/>
          <w:divBdr>
            <w:top w:val="none" w:sz="0" w:space="0" w:color="auto"/>
            <w:left w:val="none" w:sz="0" w:space="0" w:color="auto"/>
            <w:bottom w:val="none" w:sz="0" w:space="0" w:color="auto"/>
            <w:right w:val="none" w:sz="0" w:space="0" w:color="auto"/>
          </w:divBdr>
          <w:divsChild>
            <w:div w:id="1561398759">
              <w:marLeft w:val="0"/>
              <w:marRight w:val="0"/>
              <w:marTop w:val="0"/>
              <w:marBottom w:val="0"/>
              <w:divBdr>
                <w:top w:val="none" w:sz="0" w:space="0" w:color="auto"/>
                <w:left w:val="none" w:sz="0" w:space="0" w:color="auto"/>
                <w:bottom w:val="none" w:sz="0" w:space="0" w:color="auto"/>
                <w:right w:val="none" w:sz="0" w:space="0" w:color="auto"/>
              </w:divBdr>
              <w:divsChild>
                <w:div w:id="18685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2399">
      <w:bodyDiv w:val="1"/>
      <w:marLeft w:val="0"/>
      <w:marRight w:val="0"/>
      <w:marTop w:val="0"/>
      <w:marBottom w:val="0"/>
      <w:divBdr>
        <w:top w:val="none" w:sz="0" w:space="0" w:color="auto"/>
        <w:left w:val="none" w:sz="0" w:space="0" w:color="auto"/>
        <w:bottom w:val="none" w:sz="0" w:space="0" w:color="auto"/>
        <w:right w:val="none" w:sz="0" w:space="0" w:color="auto"/>
      </w:divBdr>
      <w:divsChild>
        <w:div w:id="223415805">
          <w:marLeft w:val="0"/>
          <w:marRight w:val="0"/>
          <w:marTop w:val="0"/>
          <w:marBottom w:val="0"/>
          <w:divBdr>
            <w:top w:val="none" w:sz="0" w:space="0" w:color="auto"/>
            <w:left w:val="none" w:sz="0" w:space="0" w:color="auto"/>
            <w:bottom w:val="none" w:sz="0" w:space="0" w:color="auto"/>
            <w:right w:val="none" w:sz="0" w:space="0" w:color="auto"/>
          </w:divBdr>
          <w:divsChild>
            <w:div w:id="648292031">
              <w:marLeft w:val="0"/>
              <w:marRight w:val="0"/>
              <w:marTop w:val="0"/>
              <w:marBottom w:val="0"/>
              <w:divBdr>
                <w:top w:val="none" w:sz="0" w:space="0" w:color="auto"/>
                <w:left w:val="none" w:sz="0" w:space="0" w:color="auto"/>
                <w:bottom w:val="none" w:sz="0" w:space="0" w:color="auto"/>
                <w:right w:val="none" w:sz="0" w:space="0" w:color="auto"/>
              </w:divBdr>
              <w:divsChild>
                <w:div w:id="1803883873">
                  <w:marLeft w:val="0"/>
                  <w:marRight w:val="0"/>
                  <w:marTop w:val="0"/>
                  <w:marBottom w:val="0"/>
                  <w:divBdr>
                    <w:top w:val="none" w:sz="0" w:space="0" w:color="auto"/>
                    <w:left w:val="none" w:sz="0" w:space="0" w:color="auto"/>
                    <w:bottom w:val="none" w:sz="0" w:space="0" w:color="auto"/>
                    <w:right w:val="none" w:sz="0" w:space="0" w:color="auto"/>
                  </w:divBdr>
                  <w:divsChild>
                    <w:div w:id="153749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011136">
      <w:bodyDiv w:val="1"/>
      <w:marLeft w:val="0"/>
      <w:marRight w:val="0"/>
      <w:marTop w:val="0"/>
      <w:marBottom w:val="0"/>
      <w:divBdr>
        <w:top w:val="none" w:sz="0" w:space="0" w:color="auto"/>
        <w:left w:val="none" w:sz="0" w:space="0" w:color="auto"/>
        <w:bottom w:val="none" w:sz="0" w:space="0" w:color="auto"/>
        <w:right w:val="none" w:sz="0" w:space="0" w:color="auto"/>
      </w:divBdr>
    </w:div>
    <w:div w:id="942035081">
      <w:bodyDiv w:val="1"/>
      <w:marLeft w:val="0"/>
      <w:marRight w:val="0"/>
      <w:marTop w:val="0"/>
      <w:marBottom w:val="0"/>
      <w:divBdr>
        <w:top w:val="none" w:sz="0" w:space="0" w:color="auto"/>
        <w:left w:val="none" w:sz="0" w:space="0" w:color="auto"/>
        <w:bottom w:val="none" w:sz="0" w:space="0" w:color="auto"/>
        <w:right w:val="none" w:sz="0" w:space="0" w:color="auto"/>
      </w:divBdr>
      <w:divsChild>
        <w:div w:id="799882239">
          <w:marLeft w:val="0"/>
          <w:marRight w:val="0"/>
          <w:marTop w:val="0"/>
          <w:marBottom w:val="0"/>
          <w:divBdr>
            <w:top w:val="none" w:sz="0" w:space="0" w:color="auto"/>
            <w:left w:val="none" w:sz="0" w:space="0" w:color="auto"/>
            <w:bottom w:val="none" w:sz="0" w:space="0" w:color="auto"/>
            <w:right w:val="none" w:sz="0" w:space="0" w:color="auto"/>
          </w:divBdr>
          <w:divsChild>
            <w:div w:id="1703478597">
              <w:marLeft w:val="0"/>
              <w:marRight w:val="0"/>
              <w:marTop w:val="0"/>
              <w:marBottom w:val="0"/>
              <w:divBdr>
                <w:top w:val="none" w:sz="0" w:space="0" w:color="auto"/>
                <w:left w:val="none" w:sz="0" w:space="0" w:color="auto"/>
                <w:bottom w:val="none" w:sz="0" w:space="0" w:color="auto"/>
                <w:right w:val="none" w:sz="0" w:space="0" w:color="auto"/>
              </w:divBdr>
              <w:divsChild>
                <w:div w:id="28038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225669">
      <w:bodyDiv w:val="1"/>
      <w:marLeft w:val="0"/>
      <w:marRight w:val="0"/>
      <w:marTop w:val="0"/>
      <w:marBottom w:val="0"/>
      <w:divBdr>
        <w:top w:val="none" w:sz="0" w:space="0" w:color="auto"/>
        <w:left w:val="none" w:sz="0" w:space="0" w:color="auto"/>
        <w:bottom w:val="none" w:sz="0" w:space="0" w:color="auto"/>
        <w:right w:val="none" w:sz="0" w:space="0" w:color="auto"/>
      </w:divBdr>
      <w:divsChild>
        <w:div w:id="395058399">
          <w:marLeft w:val="0"/>
          <w:marRight w:val="0"/>
          <w:marTop w:val="0"/>
          <w:marBottom w:val="0"/>
          <w:divBdr>
            <w:top w:val="none" w:sz="0" w:space="0" w:color="auto"/>
            <w:left w:val="none" w:sz="0" w:space="0" w:color="auto"/>
            <w:bottom w:val="none" w:sz="0" w:space="0" w:color="auto"/>
            <w:right w:val="none" w:sz="0" w:space="0" w:color="auto"/>
          </w:divBdr>
          <w:divsChild>
            <w:div w:id="1675255668">
              <w:marLeft w:val="0"/>
              <w:marRight w:val="0"/>
              <w:marTop w:val="0"/>
              <w:marBottom w:val="0"/>
              <w:divBdr>
                <w:top w:val="none" w:sz="0" w:space="0" w:color="auto"/>
                <w:left w:val="none" w:sz="0" w:space="0" w:color="auto"/>
                <w:bottom w:val="none" w:sz="0" w:space="0" w:color="auto"/>
                <w:right w:val="none" w:sz="0" w:space="0" w:color="auto"/>
              </w:divBdr>
              <w:divsChild>
                <w:div w:id="41413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359360">
      <w:bodyDiv w:val="1"/>
      <w:marLeft w:val="0"/>
      <w:marRight w:val="0"/>
      <w:marTop w:val="0"/>
      <w:marBottom w:val="0"/>
      <w:divBdr>
        <w:top w:val="none" w:sz="0" w:space="0" w:color="auto"/>
        <w:left w:val="none" w:sz="0" w:space="0" w:color="auto"/>
        <w:bottom w:val="none" w:sz="0" w:space="0" w:color="auto"/>
        <w:right w:val="none" w:sz="0" w:space="0" w:color="auto"/>
      </w:divBdr>
      <w:divsChild>
        <w:div w:id="127206558">
          <w:marLeft w:val="0"/>
          <w:marRight w:val="0"/>
          <w:marTop w:val="0"/>
          <w:marBottom w:val="0"/>
          <w:divBdr>
            <w:top w:val="none" w:sz="0" w:space="0" w:color="auto"/>
            <w:left w:val="none" w:sz="0" w:space="0" w:color="auto"/>
            <w:bottom w:val="none" w:sz="0" w:space="0" w:color="auto"/>
            <w:right w:val="none" w:sz="0" w:space="0" w:color="auto"/>
          </w:divBdr>
          <w:divsChild>
            <w:div w:id="1952277388">
              <w:marLeft w:val="0"/>
              <w:marRight w:val="0"/>
              <w:marTop w:val="0"/>
              <w:marBottom w:val="0"/>
              <w:divBdr>
                <w:top w:val="none" w:sz="0" w:space="0" w:color="auto"/>
                <w:left w:val="none" w:sz="0" w:space="0" w:color="auto"/>
                <w:bottom w:val="none" w:sz="0" w:space="0" w:color="auto"/>
                <w:right w:val="none" w:sz="0" w:space="0" w:color="auto"/>
              </w:divBdr>
              <w:divsChild>
                <w:div w:id="5466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25643">
      <w:bodyDiv w:val="1"/>
      <w:marLeft w:val="0"/>
      <w:marRight w:val="0"/>
      <w:marTop w:val="0"/>
      <w:marBottom w:val="0"/>
      <w:divBdr>
        <w:top w:val="none" w:sz="0" w:space="0" w:color="auto"/>
        <w:left w:val="none" w:sz="0" w:space="0" w:color="auto"/>
        <w:bottom w:val="none" w:sz="0" w:space="0" w:color="auto"/>
        <w:right w:val="none" w:sz="0" w:space="0" w:color="auto"/>
      </w:divBdr>
      <w:divsChild>
        <w:div w:id="1942686956">
          <w:marLeft w:val="0"/>
          <w:marRight w:val="0"/>
          <w:marTop w:val="0"/>
          <w:marBottom w:val="0"/>
          <w:divBdr>
            <w:top w:val="none" w:sz="0" w:space="0" w:color="auto"/>
            <w:left w:val="none" w:sz="0" w:space="0" w:color="auto"/>
            <w:bottom w:val="none" w:sz="0" w:space="0" w:color="auto"/>
            <w:right w:val="none" w:sz="0" w:space="0" w:color="auto"/>
          </w:divBdr>
          <w:divsChild>
            <w:div w:id="1780638193">
              <w:marLeft w:val="0"/>
              <w:marRight w:val="0"/>
              <w:marTop w:val="0"/>
              <w:marBottom w:val="0"/>
              <w:divBdr>
                <w:top w:val="none" w:sz="0" w:space="0" w:color="auto"/>
                <w:left w:val="none" w:sz="0" w:space="0" w:color="auto"/>
                <w:bottom w:val="none" w:sz="0" w:space="0" w:color="auto"/>
                <w:right w:val="none" w:sz="0" w:space="0" w:color="auto"/>
              </w:divBdr>
              <w:divsChild>
                <w:div w:id="802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96710">
      <w:bodyDiv w:val="1"/>
      <w:marLeft w:val="0"/>
      <w:marRight w:val="0"/>
      <w:marTop w:val="0"/>
      <w:marBottom w:val="0"/>
      <w:divBdr>
        <w:top w:val="none" w:sz="0" w:space="0" w:color="auto"/>
        <w:left w:val="none" w:sz="0" w:space="0" w:color="auto"/>
        <w:bottom w:val="none" w:sz="0" w:space="0" w:color="auto"/>
        <w:right w:val="none" w:sz="0" w:space="0" w:color="auto"/>
      </w:divBdr>
      <w:divsChild>
        <w:div w:id="1763257065">
          <w:marLeft w:val="0"/>
          <w:marRight w:val="0"/>
          <w:marTop w:val="0"/>
          <w:marBottom w:val="0"/>
          <w:divBdr>
            <w:top w:val="none" w:sz="0" w:space="0" w:color="auto"/>
            <w:left w:val="none" w:sz="0" w:space="0" w:color="auto"/>
            <w:bottom w:val="none" w:sz="0" w:space="0" w:color="auto"/>
            <w:right w:val="none" w:sz="0" w:space="0" w:color="auto"/>
          </w:divBdr>
          <w:divsChild>
            <w:div w:id="668141538">
              <w:marLeft w:val="0"/>
              <w:marRight w:val="0"/>
              <w:marTop w:val="0"/>
              <w:marBottom w:val="0"/>
              <w:divBdr>
                <w:top w:val="none" w:sz="0" w:space="0" w:color="auto"/>
                <w:left w:val="none" w:sz="0" w:space="0" w:color="auto"/>
                <w:bottom w:val="none" w:sz="0" w:space="0" w:color="auto"/>
                <w:right w:val="none" w:sz="0" w:space="0" w:color="auto"/>
              </w:divBdr>
              <w:divsChild>
                <w:div w:id="2135368067">
                  <w:marLeft w:val="0"/>
                  <w:marRight w:val="0"/>
                  <w:marTop w:val="0"/>
                  <w:marBottom w:val="0"/>
                  <w:divBdr>
                    <w:top w:val="none" w:sz="0" w:space="0" w:color="auto"/>
                    <w:left w:val="none" w:sz="0" w:space="0" w:color="auto"/>
                    <w:bottom w:val="none" w:sz="0" w:space="0" w:color="auto"/>
                    <w:right w:val="none" w:sz="0" w:space="0" w:color="auto"/>
                  </w:divBdr>
                  <w:divsChild>
                    <w:div w:id="52201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772254">
      <w:bodyDiv w:val="1"/>
      <w:marLeft w:val="0"/>
      <w:marRight w:val="0"/>
      <w:marTop w:val="0"/>
      <w:marBottom w:val="0"/>
      <w:divBdr>
        <w:top w:val="none" w:sz="0" w:space="0" w:color="auto"/>
        <w:left w:val="none" w:sz="0" w:space="0" w:color="auto"/>
        <w:bottom w:val="none" w:sz="0" w:space="0" w:color="auto"/>
        <w:right w:val="none" w:sz="0" w:space="0" w:color="auto"/>
      </w:divBdr>
      <w:divsChild>
        <w:div w:id="1499420349">
          <w:marLeft w:val="0"/>
          <w:marRight w:val="0"/>
          <w:marTop w:val="0"/>
          <w:marBottom w:val="0"/>
          <w:divBdr>
            <w:top w:val="none" w:sz="0" w:space="0" w:color="auto"/>
            <w:left w:val="none" w:sz="0" w:space="0" w:color="auto"/>
            <w:bottom w:val="none" w:sz="0" w:space="0" w:color="auto"/>
            <w:right w:val="none" w:sz="0" w:space="0" w:color="auto"/>
          </w:divBdr>
        </w:div>
      </w:divsChild>
    </w:div>
    <w:div w:id="987125062">
      <w:bodyDiv w:val="1"/>
      <w:marLeft w:val="0"/>
      <w:marRight w:val="0"/>
      <w:marTop w:val="0"/>
      <w:marBottom w:val="0"/>
      <w:divBdr>
        <w:top w:val="none" w:sz="0" w:space="0" w:color="auto"/>
        <w:left w:val="none" w:sz="0" w:space="0" w:color="auto"/>
        <w:bottom w:val="none" w:sz="0" w:space="0" w:color="auto"/>
        <w:right w:val="none" w:sz="0" w:space="0" w:color="auto"/>
      </w:divBdr>
      <w:divsChild>
        <w:div w:id="2043702845">
          <w:marLeft w:val="0"/>
          <w:marRight w:val="0"/>
          <w:marTop w:val="0"/>
          <w:marBottom w:val="0"/>
          <w:divBdr>
            <w:top w:val="none" w:sz="0" w:space="0" w:color="auto"/>
            <w:left w:val="none" w:sz="0" w:space="0" w:color="auto"/>
            <w:bottom w:val="none" w:sz="0" w:space="0" w:color="auto"/>
            <w:right w:val="none" w:sz="0" w:space="0" w:color="auto"/>
          </w:divBdr>
          <w:divsChild>
            <w:div w:id="645554182">
              <w:marLeft w:val="0"/>
              <w:marRight w:val="0"/>
              <w:marTop w:val="0"/>
              <w:marBottom w:val="0"/>
              <w:divBdr>
                <w:top w:val="none" w:sz="0" w:space="0" w:color="auto"/>
                <w:left w:val="none" w:sz="0" w:space="0" w:color="auto"/>
                <w:bottom w:val="none" w:sz="0" w:space="0" w:color="auto"/>
                <w:right w:val="none" w:sz="0" w:space="0" w:color="auto"/>
              </w:divBdr>
              <w:divsChild>
                <w:div w:id="21337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93559">
      <w:bodyDiv w:val="1"/>
      <w:marLeft w:val="0"/>
      <w:marRight w:val="0"/>
      <w:marTop w:val="0"/>
      <w:marBottom w:val="0"/>
      <w:divBdr>
        <w:top w:val="none" w:sz="0" w:space="0" w:color="auto"/>
        <w:left w:val="none" w:sz="0" w:space="0" w:color="auto"/>
        <w:bottom w:val="none" w:sz="0" w:space="0" w:color="auto"/>
        <w:right w:val="none" w:sz="0" w:space="0" w:color="auto"/>
      </w:divBdr>
      <w:divsChild>
        <w:div w:id="1053046059">
          <w:marLeft w:val="0"/>
          <w:marRight w:val="0"/>
          <w:marTop w:val="0"/>
          <w:marBottom w:val="0"/>
          <w:divBdr>
            <w:top w:val="none" w:sz="0" w:space="0" w:color="auto"/>
            <w:left w:val="none" w:sz="0" w:space="0" w:color="auto"/>
            <w:bottom w:val="none" w:sz="0" w:space="0" w:color="auto"/>
            <w:right w:val="none" w:sz="0" w:space="0" w:color="auto"/>
          </w:divBdr>
          <w:divsChild>
            <w:div w:id="901208802">
              <w:marLeft w:val="0"/>
              <w:marRight w:val="0"/>
              <w:marTop w:val="0"/>
              <w:marBottom w:val="0"/>
              <w:divBdr>
                <w:top w:val="none" w:sz="0" w:space="0" w:color="auto"/>
                <w:left w:val="none" w:sz="0" w:space="0" w:color="auto"/>
                <w:bottom w:val="none" w:sz="0" w:space="0" w:color="auto"/>
                <w:right w:val="none" w:sz="0" w:space="0" w:color="auto"/>
              </w:divBdr>
              <w:divsChild>
                <w:div w:id="170822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2498">
      <w:bodyDiv w:val="1"/>
      <w:marLeft w:val="0"/>
      <w:marRight w:val="0"/>
      <w:marTop w:val="0"/>
      <w:marBottom w:val="0"/>
      <w:divBdr>
        <w:top w:val="none" w:sz="0" w:space="0" w:color="auto"/>
        <w:left w:val="none" w:sz="0" w:space="0" w:color="auto"/>
        <w:bottom w:val="none" w:sz="0" w:space="0" w:color="auto"/>
        <w:right w:val="none" w:sz="0" w:space="0" w:color="auto"/>
      </w:divBdr>
      <w:divsChild>
        <w:div w:id="650257956">
          <w:marLeft w:val="0"/>
          <w:marRight w:val="0"/>
          <w:marTop w:val="0"/>
          <w:marBottom w:val="0"/>
          <w:divBdr>
            <w:top w:val="none" w:sz="0" w:space="0" w:color="auto"/>
            <w:left w:val="none" w:sz="0" w:space="0" w:color="auto"/>
            <w:bottom w:val="none" w:sz="0" w:space="0" w:color="auto"/>
            <w:right w:val="none" w:sz="0" w:space="0" w:color="auto"/>
          </w:divBdr>
          <w:divsChild>
            <w:div w:id="579213428">
              <w:marLeft w:val="0"/>
              <w:marRight w:val="0"/>
              <w:marTop w:val="0"/>
              <w:marBottom w:val="0"/>
              <w:divBdr>
                <w:top w:val="none" w:sz="0" w:space="0" w:color="auto"/>
                <w:left w:val="none" w:sz="0" w:space="0" w:color="auto"/>
                <w:bottom w:val="none" w:sz="0" w:space="0" w:color="auto"/>
                <w:right w:val="none" w:sz="0" w:space="0" w:color="auto"/>
              </w:divBdr>
              <w:divsChild>
                <w:div w:id="196615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75031">
      <w:bodyDiv w:val="1"/>
      <w:marLeft w:val="0"/>
      <w:marRight w:val="0"/>
      <w:marTop w:val="0"/>
      <w:marBottom w:val="0"/>
      <w:divBdr>
        <w:top w:val="none" w:sz="0" w:space="0" w:color="auto"/>
        <w:left w:val="none" w:sz="0" w:space="0" w:color="auto"/>
        <w:bottom w:val="none" w:sz="0" w:space="0" w:color="auto"/>
        <w:right w:val="none" w:sz="0" w:space="0" w:color="auto"/>
      </w:divBdr>
      <w:divsChild>
        <w:div w:id="1259024052">
          <w:marLeft w:val="0"/>
          <w:marRight w:val="0"/>
          <w:marTop w:val="0"/>
          <w:marBottom w:val="0"/>
          <w:divBdr>
            <w:top w:val="none" w:sz="0" w:space="0" w:color="auto"/>
            <w:left w:val="none" w:sz="0" w:space="0" w:color="auto"/>
            <w:bottom w:val="none" w:sz="0" w:space="0" w:color="auto"/>
            <w:right w:val="none" w:sz="0" w:space="0" w:color="auto"/>
          </w:divBdr>
          <w:divsChild>
            <w:div w:id="1693454703">
              <w:marLeft w:val="0"/>
              <w:marRight w:val="0"/>
              <w:marTop w:val="0"/>
              <w:marBottom w:val="0"/>
              <w:divBdr>
                <w:top w:val="none" w:sz="0" w:space="0" w:color="auto"/>
                <w:left w:val="none" w:sz="0" w:space="0" w:color="auto"/>
                <w:bottom w:val="none" w:sz="0" w:space="0" w:color="auto"/>
                <w:right w:val="none" w:sz="0" w:space="0" w:color="auto"/>
              </w:divBdr>
              <w:divsChild>
                <w:div w:id="9793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062284">
      <w:bodyDiv w:val="1"/>
      <w:marLeft w:val="0"/>
      <w:marRight w:val="0"/>
      <w:marTop w:val="0"/>
      <w:marBottom w:val="0"/>
      <w:divBdr>
        <w:top w:val="none" w:sz="0" w:space="0" w:color="auto"/>
        <w:left w:val="none" w:sz="0" w:space="0" w:color="auto"/>
        <w:bottom w:val="none" w:sz="0" w:space="0" w:color="auto"/>
        <w:right w:val="none" w:sz="0" w:space="0" w:color="auto"/>
      </w:divBdr>
      <w:divsChild>
        <w:div w:id="480002438">
          <w:marLeft w:val="0"/>
          <w:marRight w:val="0"/>
          <w:marTop w:val="0"/>
          <w:marBottom w:val="0"/>
          <w:divBdr>
            <w:top w:val="none" w:sz="0" w:space="0" w:color="auto"/>
            <w:left w:val="none" w:sz="0" w:space="0" w:color="auto"/>
            <w:bottom w:val="none" w:sz="0" w:space="0" w:color="auto"/>
            <w:right w:val="none" w:sz="0" w:space="0" w:color="auto"/>
          </w:divBdr>
          <w:divsChild>
            <w:div w:id="1212689425">
              <w:marLeft w:val="0"/>
              <w:marRight w:val="0"/>
              <w:marTop w:val="0"/>
              <w:marBottom w:val="0"/>
              <w:divBdr>
                <w:top w:val="none" w:sz="0" w:space="0" w:color="auto"/>
                <w:left w:val="none" w:sz="0" w:space="0" w:color="auto"/>
                <w:bottom w:val="none" w:sz="0" w:space="0" w:color="auto"/>
                <w:right w:val="none" w:sz="0" w:space="0" w:color="auto"/>
              </w:divBdr>
              <w:divsChild>
                <w:div w:id="14691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1788">
      <w:bodyDiv w:val="1"/>
      <w:marLeft w:val="0"/>
      <w:marRight w:val="0"/>
      <w:marTop w:val="0"/>
      <w:marBottom w:val="0"/>
      <w:divBdr>
        <w:top w:val="none" w:sz="0" w:space="0" w:color="auto"/>
        <w:left w:val="none" w:sz="0" w:space="0" w:color="auto"/>
        <w:bottom w:val="none" w:sz="0" w:space="0" w:color="auto"/>
        <w:right w:val="none" w:sz="0" w:space="0" w:color="auto"/>
      </w:divBdr>
      <w:divsChild>
        <w:div w:id="1584803304">
          <w:marLeft w:val="0"/>
          <w:marRight w:val="0"/>
          <w:marTop w:val="0"/>
          <w:marBottom w:val="0"/>
          <w:divBdr>
            <w:top w:val="none" w:sz="0" w:space="0" w:color="auto"/>
            <w:left w:val="none" w:sz="0" w:space="0" w:color="auto"/>
            <w:bottom w:val="none" w:sz="0" w:space="0" w:color="auto"/>
            <w:right w:val="none" w:sz="0" w:space="0" w:color="auto"/>
          </w:divBdr>
          <w:divsChild>
            <w:div w:id="70271437">
              <w:marLeft w:val="0"/>
              <w:marRight w:val="0"/>
              <w:marTop w:val="0"/>
              <w:marBottom w:val="0"/>
              <w:divBdr>
                <w:top w:val="none" w:sz="0" w:space="0" w:color="auto"/>
                <w:left w:val="none" w:sz="0" w:space="0" w:color="auto"/>
                <w:bottom w:val="none" w:sz="0" w:space="0" w:color="auto"/>
                <w:right w:val="none" w:sz="0" w:space="0" w:color="auto"/>
              </w:divBdr>
              <w:divsChild>
                <w:div w:id="209558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63195">
      <w:bodyDiv w:val="1"/>
      <w:marLeft w:val="0"/>
      <w:marRight w:val="0"/>
      <w:marTop w:val="0"/>
      <w:marBottom w:val="0"/>
      <w:divBdr>
        <w:top w:val="none" w:sz="0" w:space="0" w:color="auto"/>
        <w:left w:val="none" w:sz="0" w:space="0" w:color="auto"/>
        <w:bottom w:val="none" w:sz="0" w:space="0" w:color="auto"/>
        <w:right w:val="none" w:sz="0" w:space="0" w:color="auto"/>
      </w:divBdr>
      <w:divsChild>
        <w:div w:id="1063917104">
          <w:marLeft w:val="0"/>
          <w:marRight w:val="0"/>
          <w:marTop w:val="0"/>
          <w:marBottom w:val="0"/>
          <w:divBdr>
            <w:top w:val="none" w:sz="0" w:space="0" w:color="auto"/>
            <w:left w:val="none" w:sz="0" w:space="0" w:color="auto"/>
            <w:bottom w:val="none" w:sz="0" w:space="0" w:color="auto"/>
            <w:right w:val="none" w:sz="0" w:space="0" w:color="auto"/>
          </w:divBdr>
          <w:divsChild>
            <w:div w:id="1060245413">
              <w:marLeft w:val="0"/>
              <w:marRight w:val="0"/>
              <w:marTop w:val="0"/>
              <w:marBottom w:val="0"/>
              <w:divBdr>
                <w:top w:val="none" w:sz="0" w:space="0" w:color="auto"/>
                <w:left w:val="none" w:sz="0" w:space="0" w:color="auto"/>
                <w:bottom w:val="none" w:sz="0" w:space="0" w:color="auto"/>
                <w:right w:val="none" w:sz="0" w:space="0" w:color="auto"/>
              </w:divBdr>
              <w:divsChild>
                <w:div w:id="21423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347712">
      <w:bodyDiv w:val="1"/>
      <w:marLeft w:val="0"/>
      <w:marRight w:val="0"/>
      <w:marTop w:val="0"/>
      <w:marBottom w:val="0"/>
      <w:divBdr>
        <w:top w:val="none" w:sz="0" w:space="0" w:color="auto"/>
        <w:left w:val="none" w:sz="0" w:space="0" w:color="auto"/>
        <w:bottom w:val="none" w:sz="0" w:space="0" w:color="auto"/>
        <w:right w:val="none" w:sz="0" w:space="0" w:color="auto"/>
      </w:divBdr>
      <w:divsChild>
        <w:div w:id="1645886219">
          <w:marLeft w:val="0"/>
          <w:marRight w:val="0"/>
          <w:marTop w:val="0"/>
          <w:marBottom w:val="0"/>
          <w:divBdr>
            <w:top w:val="none" w:sz="0" w:space="0" w:color="auto"/>
            <w:left w:val="none" w:sz="0" w:space="0" w:color="auto"/>
            <w:bottom w:val="none" w:sz="0" w:space="0" w:color="auto"/>
            <w:right w:val="none" w:sz="0" w:space="0" w:color="auto"/>
          </w:divBdr>
          <w:divsChild>
            <w:div w:id="1740399132">
              <w:marLeft w:val="0"/>
              <w:marRight w:val="0"/>
              <w:marTop w:val="0"/>
              <w:marBottom w:val="0"/>
              <w:divBdr>
                <w:top w:val="none" w:sz="0" w:space="0" w:color="auto"/>
                <w:left w:val="none" w:sz="0" w:space="0" w:color="auto"/>
                <w:bottom w:val="none" w:sz="0" w:space="0" w:color="auto"/>
                <w:right w:val="none" w:sz="0" w:space="0" w:color="auto"/>
              </w:divBdr>
              <w:divsChild>
                <w:div w:id="9904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659519">
      <w:bodyDiv w:val="1"/>
      <w:marLeft w:val="0"/>
      <w:marRight w:val="0"/>
      <w:marTop w:val="0"/>
      <w:marBottom w:val="0"/>
      <w:divBdr>
        <w:top w:val="none" w:sz="0" w:space="0" w:color="auto"/>
        <w:left w:val="none" w:sz="0" w:space="0" w:color="auto"/>
        <w:bottom w:val="none" w:sz="0" w:space="0" w:color="auto"/>
        <w:right w:val="none" w:sz="0" w:space="0" w:color="auto"/>
      </w:divBdr>
      <w:divsChild>
        <w:div w:id="287853698">
          <w:marLeft w:val="0"/>
          <w:marRight w:val="0"/>
          <w:marTop w:val="0"/>
          <w:marBottom w:val="0"/>
          <w:divBdr>
            <w:top w:val="none" w:sz="0" w:space="0" w:color="auto"/>
            <w:left w:val="none" w:sz="0" w:space="0" w:color="auto"/>
            <w:bottom w:val="none" w:sz="0" w:space="0" w:color="auto"/>
            <w:right w:val="none" w:sz="0" w:space="0" w:color="auto"/>
          </w:divBdr>
          <w:divsChild>
            <w:div w:id="755051583">
              <w:marLeft w:val="0"/>
              <w:marRight w:val="0"/>
              <w:marTop w:val="0"/>
              <w:marBottom w:val="0"/>
              <w:divBdr>
                <w:top w:val="none" w:sz="0" w:space="0" w:color="auto"/>
                <w:left w:val="none" w:sz="0" w:space="0" w:color="auto"/>
                <w:bottom w:val="none" w:sz="0" w:space="0" w:color="auto"/>
                <w:right w:val="none" w:sz="0" w:space="0" w:color="auto"/>
              </w:divBdr>
              <w:divsChild>
                <w:div w:id="11198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88220">
      <w:bodyDiv w:val="1"/>
      <w:marLeft w:val="0"/>
      <w:marRight w:val="0"/>
      <w:marTop w:val="0"/>
      <w:marBottom w:val="0"/>
      <w:divBdr>
        <w:top w:val="none" w:sz="0" w:space="0" w:color="auto"/>
        <w:left w:val="none" w:sz="0" w:space="0" w:color="auto"/>
        <w:bottom w:val="none" w:sz="0" w:space="0" w:color="auto"/>
        <w:right w:val="none" w:sz="0" w:space="0" w:color="auto"/>
      </w:divBdr>
      <w:divsChild>
        <w:div w:id="2068527633">
          <w:marLeft w:val="0"/>
          <w:marRight w:val="0"/>
          <w:marTop w:val="0"/>
          <w:marBottom w:val="0"/>
          <w:divBdr>
            <w:top w:val="none" w:sz="0" w:space="0" w:color="auto"/>
            <w:left w:val="none" w:sz="0" w:space="0" w:color="auto"/>
            <w:bottom w:val="none" w:sz="0" w:space="0" w:color="auto"/>
            <w:right w:val="none" w:sz="0" w:space="0" w:color="auto"/>
          </w:divBdr>
          <w:divsChild>
            <w:div w:id="1038050134">
              <w:marLeft w:val="0"/>
              <w:marRight w:val="0"/>
              <w:marTop w:val="0"/>
              <w:marBottom w:val="0"/>
              <w:divBdr>
                <w:top w:val="none" w:sz="0" w:space="0" w:color="auto"/>
                <w:left w:val="none" w:sz="0" w:space="0" w:color="auto"/>
                <w:bottom w:val="none" w:sz="0" w:space="0" w:color="auto"/>
                <w:right w:val="none" w:sz="0" w:space="0" w:color="auto"/>
              </w:divBdr>
              <w:divsChild>
                <w:div w:id="79891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74953">
      <w:bodyDiv w:val="1"/>
      <w:marLeft w:val="0"/>
      <w:marRight w:val="0"/>
      <w:marTop w:val="0"/>
      <w:marBottom w:val="0"/>
      <w:divBdr>
        <w:top w:val="none" w:sz="0" w:space="0" w:color="auto"/>
        <w:left w:val="none" w:sz="0" w:space="0" w:color="auto"/>
        <w:bottom w:val="none" w:sz="0" w:space="0" w:color="auto"/>
        <w:right w:val="none" w:sz="0" w:space="0" w:color="auto"/>
      </w:divBdr>
      <w:divsChild>
        <w:div w:id="1925338059">
          <w:marLeft w:val="0"/>
          <w:marRight w:val="0"/>
          <w:marTop w:val="0"/>
          <w:marBottom w:val="0"/>
          <w:divBdr>
            <w:top w:val="none" w:sz="0" w:space="0" w:color="auto"/>
            <w:left w:val="none" w:sz="0" w:space="0" w:color="auto"/>
            <w:bottom w:val="none" w:sz="0" w:space="0" w:color="auto"/>
            <w:right w:val="none" w:sz="0" w:space="0" w:color="auto"/>
          </w:divBdr>
          <w:divsChild>
            <w:div w:id="1697583749">
              <w:marLeft w:val="0"/>
              <w:marRight w:val="0"/>
              <w:marTop w:val="0"/>
              <w:marBottom w:val="0"/>
              <w:divBdr>
                <w:top w:val="none" w:sz="0" w:space="0" w:color="auto"/>
                <w:left w:val="none" w:sz="0" w:space="0" w:color="auto"/>
                <w:bottom w:val="none" w:sz="0" w:space="0" w:color="auto"/>
                <w:right w:val="none" w:sz="0" w:space="0" w:color="auto"/>
              </w:divBdr>
              <w:divsChild>
                <w:div w:id="106136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05900">
      <w:bodyDiv w:val="1"/>
      <w:marLeft w:val="0"/>
      <w:marRight w:val="0"/>
      <w:marTop w:val="0"/>
      <w:marBottom w:val="0"/>
      <w:divBdr>
        <w:top w:val="none" w:sz="0" w:space="0" w:color="auto"/>
        <w:left w:val="none" w:sz="0" w:space="0" w:color="auto"/>
        <w:bottom w:val="none" w:sz="0" w:space="0" w:color="auto"/>
        <w:right w:val="none" w:sz="0" w:space="0" w:color="auto"/>
      </w:divBdr>
      <w:divsChild>
        <w:div w:id="2116778701">
          <w:marLeft w:val="0"/>
          <w:marRight w:val="0"/>
          <w:marTop w:val="0"/>
          <w:marBottom w:val="0"/>
          <w:divBdr>
            <w:top w:val="none" w:sz="0" w:space="0" w:color="auto"/>
            <w:left w:val="none" w:sz="0" w:space="0" w:color="auto"/>
            <w:bottom w:val="none" w:sz="0" w:space="0" w:color="auto"/>
            <w:right w:val="none" w:sz="0" w:space="0" w:color="auto"/>
          </w:divBdr>
          <w:divsChild>
            <w:div w:id="108821753">
              <w:marLeft w:val="0"/>
              <w:marRight w:val="0"/>
              <w:marTop w:val="0"/>
              <w:marBottom w:val="0"/>
              <w:divBdr>
                <w:top w:val="none" w:sz="0" w:space="0" w:color="auto"/>
                <w:left w:val="none" w:sz="0" w:space="0" w:color="auto"/>
                <w:bottom w:val="none" w:sz="0" w:space="0" w:color="auto"/>
                <w:right w:val="none" w:sz="0" w:space="0" w:color="auto"/>
              </w:divBdr>
              <w:divsChild>
                <w:div w:id="10099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06073">
      <w:bodyDiv w:val="1"/>
      <w:marLeft w:val="0"/>
      <w:marRight w:val="0"/>
      <w:marTop w:val="0"/>
      <w:marBottom w:val="0"/>
      <w:divBdr>
        <w:top w:val="none" w:sz="0" w:space="0" w:color="auto"/>
        <w:left w:val="none" w:sz="0" w:space="0" w:color="auto"/>
        <w:bottom w:val="none" w:sz="0" w:space="0" w:color="auto"/>
        <w:right w:val="none" w:sz="0" w:space="0" w:color="auto"/>
      </w:divBdr>
    </w:div>
    <w:div w:id="1025138793">
      <w:bodyDiv w:val="1"/>
      <w:marLeft w:val="0"/>
      <w:marRight w:val="0"/>
      <w:marTop w:val="0"/>
      <w:marBottom w:val="0"/>
      <w:divBdr>
        <w:top w:val="none" w:sz="0" w:space="0" w:color="auto"/>
        <w:left w:val="none" w:sz="0" w:space="0" w:color="auto"/>
        <w:bottom w:val="none" w:sz="0" w:space="0" w:color="auto"/>
        <w:right w:val="none" w:sz="0" w:space="0" w:color="auto"/>
      </w:divBdr>
      <w:divsChild>
        <w:div w:id="547762194">
          <w:marLeft w:val="0"/>
          <w:marRight w:val="0"/>
          <w:marTop w:val="0"/>
          <w:marBottom w:val="0"/>
          <w:divBdr>
            <w:top w:val="none" w:sz="0" w:space="0" w:color="auto"/>
            <w:left w:val="none" w:sz="0" w:space="0" w:color="auto"/>
            <w:bottom w:val="none" w:sz="0" w:space="0" w:color="auto"/>
            <w:right w:val="none" w:sz="0" w:space="0" w:color="auto"/>
          </w:divBdr>
          <w:divsChild>
            <w:div w:id="1583442869">
              <w:marLeft w:val="0"/>
              <w:marRight w:val="0"/>
              <w:marTop w:val="0"/>
              <w:marBottom w:val="0"/>
              <w:divBdr>
                <w:top w:val="none" w:sz="0" w:space="0" w:color="auto"/>
                <w:left w:val="none" w:sz="0" w:space="0" w:color="auto"/>
                <w:bottom w:val="none" w:sz="0" w:space="0" w:color="auto"/>
                <w:right w:val="none" w:sz="0" w:space="0" w:color="auto"/>
              </w:divBdr>
              <w:divsChild>
                <w:div w:id="198746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181551">
      <w:bodyDiv w:val="1"/>
      <w:marLeft w:val="0"/>
      <w:marRight w:val="0"/>
      <w:marTop w:val="0"/>
      <w:marBottom w:val="0"/>
      <w:divBdr>
        <w:top w:val="none" w:sz="0" w:space="0" w:color="auto"/>
        <w:left w:val="none" w:sz="0" w:space="0" w:color="auto"/>
        <w:bottom w:val="none" w:sz="0" w:space="0" w:color="auto"/>
        <w:right w:val="none" w:sz="0" w:space="0" w:color="auto"/>
      </w:divBdr>
      <w:divsChild>
        <w:div w:id="1800415340">
          <w:marLeft w:val="0"/>
          <w:marRight w:val="0"/>
          <w:marTop w:val="0"/>
          <w:marBottom w:val="0"/>
          <w:divBdr>
            <w:top w:val="none" w:sz="0" w:space="0" w:color="auto"/>
            <w:left w:val="none" w:sz="0" w:space="0" w:color="auto"/>
            <w:bottom w:val="none" w:sz="0" w:space="0" w:color="auto"/>
            <w:right w:val="none" w:sz="0" w:space="0" w:color="auto"/>
          </w:divBdr>
          <w:divsChild>
            <w:div w:id="652029911">
              <w:marLeft w:val="0"/>
              <w:marRight w:val="0"/>
              <w:marTop w:val="0"/>
              <w:marBottom w:val="0"/>
              <w:divBdr>
                <w:top w:val="none" w:sz="0" w:space="0" w:color="auto"/>
                <w:left w:val="none" w:sz="0" w:space="0" w:color="auto"/>
                <w:bottom w:val="none" w:sz="0" w:space="0" w:color="auto"/>
                <w:right w:val="none" w:sz="0" w:space="0" w:color="auto"/>
              </w:divBdr>
              <w:divsChild>
                <w:div w:id="532158220">
                  <w:marLeft w:val="0"/>
                  <w:marRight w:val="0"/>
                  <w:marTop w:val="0"/>
                  <w:marBottom w:val="0"/>
                  <w:divBdr>
                    <w:top w:val="none" w:sz="0" w:space="0" w:color="auto"/>
                    <w:left w:val="none" w:sz="0" w:space="0" w:color="auto"/>
                    <w:bottom w:val="none" w:sz="0" w:space="0" w:color="auto"/>
                    <w:right w:val="none" w:sz="0" w:space="0" w:color="auto"/>
                  </w:divBdr>
                  <w:divsChild>
                    <w:div w:id="17171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549938">
      <w:bodyDiv w:val="1"/>
      <w:marLeft w:val="0"/>
      <w:marRight w:val="0"/>
      <w:marTop w:val="0"/>
      <w:marBottom w:val="0"/>
      <w:divBdr>
        <w:top w:val="none" w:sz="0" w:space="0" w:color="auto"/>
        <w:left w:val="none" w:sz="0" w:space="0" w:color="auto"/>
        <w:bottom w:val="none" w:sz="0" w:space="0" w:color="auto"/>
        <w:right w:val="none" w:sz="0" w:space="0" w:color="auto"/>
      </w:divBdr>
      <w:divsChild>
        <w:div w:id="331228581">
          <w:marLeft w:val="0"/>
          <w:marRight w:val="0"/>
          <w:marTop w:val="0"/>
          <w:marBottom w:val="0"/>
          <w:divBdr>
            <w:top w:val="none" w:sz="0" w:space="0" w:color="auto"/>
            <w:left w:val="none" w:sz="0" w:space="0" w:color="auto"/>
            <w:bottom w:val="none" w:sz="0" w:space="0" w:color="auto"/>
            <w:right w:val="none" w:sz="0" w:space="0" w:color="auto"/>
          </w:divBdr>
          <w:divsChild>
            <w:div w:id="2143768569">
              <w:marLeft w:val="0"/>
              <w:marRight w:val="0"/>
              <w:marTop w:val="0"/>
              <w:marBottom w:val="0"/>
              <w:divBdr>
                <w:top w:val="none" w:sz="0" w:space="0" w:color="auto"/>
                <w:left w:val="none" w:sz="0" w:space="0" w:color="auto"/>
                <w:bottom w:val="none" w:sz="0" w:space="0" w:color="auto"/>
                <w:right w:val="none" w:sz="0" w:space="0" w:color="auto"/>
              </w:divBdr>
              <w:divsChild>
                <w:div w:id="96377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38631">
      <w:bodyDiv w:val="1"/>
      <w:marLeft w:val="0"/>
      <w:marRight w:val="0"/>
      <w:marTop w:val="0"/>
      <w:marBottom w:val="0"/>
      <w:divBdr>
        <w:top w:val="none" w:sz="0" w:space="0" w:color="auto"/>
        <w:left w:val="none" w:sz="0" w:space="0" w:color="auto"/>
        <w:bottom w:val="none" w:sz="0" w:space="0" w:color="auto"/>
        <w:right w:val="none" w:sz="0" w:space="0" w:color="auto"/>
      </w:divBdr>
      <w:divsChild>
        <w:div w:id="455178233">
          <w:marLeft w:val="0"/>
          <w:marRight w:val="0"/>
          <w:marTop w:val="0"/>
          <w:marBottom w:val="0"/>
          <w:divBdr>
            <w:top w:val="none" w:sz="0" w:space="0" w:color="auto"/>
            <w:left w:val="none" w:sz="0" w:space="0" w:color="auto"/>
            <w:bottom w:val="none" w:sz="0" w:space="0" w:color="auto"/>
            <w:right w:val="none" w:sz="0" w:space="0" w:color="auto"/>
          </w:divBdr>
          <w:divsChild>
            <w:div w:id="236984579">
              <w:marLeft w:val="0"/>
              <w:marRight w:val="0"/>
              <w:marTop w:val="0"/>
              <w:marBottom w:val="0"/>
              <w:divBdr>
                <w:top w:val="none" w:sz="0" w:space="0" w:color="auto"/>
                <w:left w:val="none" w:sz="0" w:space="0" w:color="auto"/>
                <w:bottom w:val="none" w:sz="0" w:space="0" w:color="auto"/>
                <w:right w:val="none" w:sz="0" w:space="0" w:color="auto"/>
              </w:divBdr>
              <w:divsChild>
                <w:div w:id="235673882">
                  <w:marLeft w:val="0"/>
                  <w:marRight w:val="0"/>
                  <w:marTop w:val="0"/>
                  <w:marBottom w:val="0"/>
                  <w:divBdr>
                    <w:top w:val="none" w:sz="0" w:space="0" w:color="auto"/>
                    <w:left w:val="none" w:sz="0" w:space="0" w:color="auto"/>
                    <w:bottom w:val="none" w:sz="0" w:space="0" w:color="auto"/>
                    <w:right w:val="none" w:sz="0" w:space="0" w:color="auto"/>
                  </w:divBdr>
                  <w:divsChild>
                    <w:div w:id="5615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794584">
      <w:bodyDiv w:val="1"/>
      <w:marLeft w:val="0"/>
      <w:marRight w:val="0"/>
      <w:marTop w:val="0"/>
      <w:marBottom w:val="0"/>
      <w:divBdr>
        <w:top w:val="none" w:sz="0" w:space="0" w:color="auto"/>
        <w:left w:val="none" w:sz="0" w:space="0" w:color="auto"/>
        <w:bottom w:val="none" w:sz="0" w:space="0" w:color="auto"/>
        <w:right w:val="none" w:sz="0" w:space="0" w:color="auto"/>
      </w:divBdr>
      <w:divsChild>
        <w:div w:id="1779255850">
          <w:marLeft w:val="0"/>
          <w:marRight w:val="0"/>
          <w:marTop w:val="0"/>
          <w:marBottom w:val="0"/>
          <w:divBdr>
            <w:top w:val="none" w:sz="0" w:space="0" w:color="auto"/>
            <w:left w:val="none" w:sz="0" w:space="0" w:color="auto"/>
            <w:bottom w:val="none" w:sz="0" w:space="0" w:color="auto"/>
            <w:right w:val="none" w:sz="0" w:space="0" w:color="auto"/>
          </w:divBdr>
          <w:divsChild>
            <w:div w:id="773088879">
              <w:marLeft w:val="0"/>
              <w:marRight w:val="0"/>
              <w:marTop w:val="0"/>
              <w:marBottom w:val="0"/>
              <w:divBdr>
                <w:top w:val="none" w:sz="0" w:space="0" w:color="auto"/>
                <w:left w:val="none" w:sz="0" w:space="0" w:color="auto"/>
                <w:bottom w:val="none" w:sz="0" w:space="0" w:color="auto"/>
                <w:right w:val="none" w:sz="0" w:space="0" w:color="auto"/>
              </w:divBdr>
              <w:divsChild>
                <w:div w:id="12787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354909">
      <w:bodyDiv w:val="1"/>
      <w:marLeft w:val="0"/>
      <w:marRight w:val="0"/>
      <w:marTop w:val="0"/>
      <w:marBottom w:val="0"/>
      <w:divBdr>
        <w:top w:val="none" w:sz="0" w:space="0" w:color="auto"/>
        <w:left w:val="none" w:sz="0" w:space="0" w:color="auto"/>
        <w:bottom w:val="none" w:sz="0" w:space="0" w:color="auto"/>
        <w:right w:val="none" w:sz="0" w:space="0" w:color="auto"/>
      </w:divBdr>
      <w:divsChild>
        <w:div w:id="681124301">
          <w:marLeft w:val="0"/>
          <w:marRight w:val="0"/>
          <w:marTop w:val="0"/>
          <w:marBottom w:val="0"/>
          <w:divBdr>
            <w:top w:val="none" w:sz="0" w:space="0" w:color="auto"/>
            <w:left w:val="none" w:sz="0" w:space="0" w:color="auto"/>
            <w:bottom w:val="none" w:sz="0" w:space="0" w:color="auto"/>
            <w:right w:val="none" w:sz="0" w:space="0" w:color="auto"/>
          </w:divBdr>
          <w:divsChild>
            <w:div w:id="1068504310">
              <w:marLeft w:val="0"/>
              <w:marRight w:val="0"/>
              <w:marTop w:val="0"/>
              <w:marBottom w:val="0"/>
              <w:divBdr>
                <w:top w:val="none" w:sz="0" w:space="0" w:color="auto"/>
                <w:left w:val="none" w:sz="0" w:space="0" w:color="auto"/>
                <w:bottom w:val="none" w:sz="0" w:space="0" w:color="auto"/>
                <w:right w:val="none" w:sz="0" w:space="0" w:color="auto"/>
              </w:divBdr>
              <w:divsChild>
                <w:div w:id="21360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33274">
      <w:bodyDiv w:val="1"/>
      <w:marLeft w:val="0"/>
      <w:marRight w:val="0"/>
      <w:marTop w:val="0"/>
      <w:marBottom w:val="0"/>
      <w:divBdr>
        <w:top w:val="none" w:sz="0" w:space="0" w:color="auto"/>
        <w:left w:val="none" w:sz="0" w:space="0" w:color="auto"/>
        <w:bottom w:val="none" w:sz="0" w:space="0" w:color="auto"/>
        <w:right w:val="none" w:sz="0" w:space="0" w:color="auto"/>
      </w:divBdr>
      <w:divsChild>
        <w:div w:id="1416711355">
          <w:marLeft w:val="0"/>
          <w:marRight w:val="0"/>
          <w:marTop w:val="0"/>
          <w:marBottom w:val="0"/>
          <w:divBdr>
            <w:top w:val="none" w:sz="0" w:space="0" w:color="auto"/>
            <w:left w:val="none" w:sz="0" w:space="0" w:color="auto"/>
            <w:bottom w:val="none" w:sz="0" w:space="0" w:color="auto"/>
            <w:right w:val="none" w:sz="0" w:space="0" w:color="auto"/>
          </w:divBdr>
          <w:divsChild>
            <w:div w:id="879702936">
              <w:marLeft w:val="0"/>
              <w:marRight w:val="0"/>
              <w:marTop w:val="0"/>
              <w:marBottom w:val="0"/>
              <w:divBdr>
                <w:top w:val="none" w:sz="0" w:space="0" w:color="auto"/>
                <w:left w:val="none" w:sz="0" w:space="0" w:color="auto"/>
                <w:bottom w:val="none" w:sz="0" w:space="0" w:color="auto"/>
                <w:right w:val="none" w:sz="0" w:space="0" w:color="auto"/>
              </w:divBdr>
              <w:divsChild>
                <w:div w:id="182046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1839">
      <w:bodyDiv w:val="1"/>
      <w:marLeft w:val="0"/>
      <w:marRight w:val="0"/>
      <w:marTop w:val="0"/>
      <w:marBottom w:val="0"/>
      <w:divBdr>
        <w:top w:val="none" w:sz="0" w:space="0" w:color="auto"/>
        <w:left w:val="none" w:sz="0" w:space="0" w:color="auto"/>
        <w:bottom w:val="none" w:sz="0" w:space="0" w:color="auto"/>
        <w:right w:val="none" w:sz="0" w:space="0" w:color="auto"/>
      </w:divBdr>
      <w:divsChild>
        <w:div w:id="276643370">
          <w:marLeft w:val="0"/>
          <w:marRight w:val="0"/>
          <w:marTop w:val="0"/>
          <w:marBottom w:val="0"/>
          <w:divBdr>
            <w:top w:val="none" w:sz="0" w:space="0" w:color="auto"/>
            <w:left w:val="none" w:sz="0" w:space="0" w:color="auto"/>
            <w:bottom w:val="none" w:sz="0" w:space="0" w:color="auto"/>
            <w:right w:val="none" w:sz="0" w:space="0" w:color="auto"/>
          </w:divBdr>
        </w:div>
        <w:div w:id="1773698717">
          <w:marLeft w:val="0"/>
          <w:marRight w:val="0"/>
          <w:marTop w:val="0"/>
          <w:marBottom w:val="0"/>
          <w:divBdr>
            <w:top w:val="none" w:sz="0" w:space="0" w:color="auto"/>
            <w:left w:val="none" w:sz="0" w:space="0" w:color="auto"/>
            <w:bottom w:val="none" w:sz="0" w:space="0" w:color="auto"/>
            <w:right w:val="none" w:sz="0" w:space="0" w:color="auto"/>
          </w:divBdr>
        </w:div>
        <w:div w:id="1933737280">
          <w:marLeft w:val="0"/>
          <w:marRight w:val="0"/>
          <w:marTop w:val="0"/>
          <w:marBottom w:val="0"/>
          <w:divBdr>
            <w:top w:val="none" w:sz="0" w:space="0" w:color="auto"/>
            <w:left w:val="none" w:sz="0" w:space="0" w:color="auto"/>
            <w:bottom w:val="none" w:sz="0" w:space="0" w:color="auto"/>
            <w:right w:val="none" w:sz="0" w:space="0" w:color="auto"/>
          </w:divBdr>
        </w:div>
        <w:div w:id="1975209589">
          <w:marLeft w:val="0"/>
          <w:marRight w:val="0"/>
          <w:marTop w:val="0"/>
          <w:marBottom w:val="0"/>
          <w:divBdr>
            <w:top w:val="none" w:sz="0" w:space="0" w:color="auto"/>
            <w:left w:val="none" w:sz="0" w:space="0" w:color="auto"/>
            <w:bottom w:val="none" w:sz="0" w:space="0" w:color="auto"/>
            <w:right w:val="none" w:sz="0" w:space="0" w:color="auto"/>
          </w:divBdr>
        </w:div>
      </w:divsChild>
    </w:div>
    <w:div w:id="1065957685">
      <w:bodyDiv w:val="1"/>
      <w:marLeft w:val="0"/>
      <w:marRight w:val="0"/>
      <w:marTop w:val="0"/>
      <w:marBottom w:val="0"/>
      <w:divBdr>
        <w:top w:val="none" w:sz="0" w:space="0" w:color="auto"/>
        <w:left w:val="none" w:sz="0" w:space="0" w:color="auto"/>
        <w:bottom w:val="none" w:sz="0" w:space="0" w:color="auto"/>
        <w:right w:val="none" w:sz="0" w:space="0" w:color="auto"/>
      </w:divBdr>
      <w:divsChild>
        <w:div w:id="919674697">
          <w:marLeft w:val="0"/>
          <w:marRight w:val="0"/>
          <w:marTop w:val="0"/>
          <w:marBottom w:val="0"/>
          <w:divBdr>
            <w:top w:val="none" w:sz="0" w:space="0" w:color="auto"/>
            <w:left w:val="none" w:sz="0" w:space="0" w:color="auto"/>
            <w:bottom w:val="none" w:sz="0" w:space="0" w:color="auto"/>
            <w:right w:val="none" w:sz="0" w:space="0" w:color="auto"/>
          </w:divBdr>
          <w:divsChild>
            <w:div w:id="1511946850">
              <w:marLeft w:val="0"/>
              <w:marRight w:val="0"/>
              <w:marTop w:val="0"/>
              <w:marBottom w:val="0"/>
              <w:divBdr>
                <w:top w:val="none" w:sz="0" w:space="0" w:color="auto"/>
                <w:left w:val="none" w:sz="0" w:space="0" w:color="auto"/>
                <w:bottom w:val="none" w:sz="0" w:space="0" w:color="auto"/>
                <w:right w:val="none" w:sz="0" w:space="0" w:color="auto"/>
              </w:divBdr>
              <w:divsChild>
                <w:div w:id="14395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sChild>
        <w:div w:id="2093888160">
          <w:marLeft w:val="0"/>
          <w:marRight w:val="0"/>
          <w:marTop w:val="0"/>
          <w:marBottom w:val="0"/>
          <w:divBdr>
            <w:top w:val="none" w:sz="0" w:space="0" w:color="auto"/>
            <w:left w:val="none" w:sz="0" w:space="0" w:color="auto"/>
            <w:bottom w:val="none" w:sz="0" w:space="0" w:color="auto"/>
            <w:right w:val="none" w:sz="0" w:space="0" w:color="auto"/>
          </w:divBdr>
          <w:divsChild>
            <w:div w:id="1795169812">
              <w:marLeft w:val="0"/>
              <w:marRight w:val="0"/>
              <w:marTop w:val="0"/>
              <w:marBottom w:val="0"/>
              <w:divBdr>
                <w:top w:val="none" w:sz="0" w:space="0" w:color="auto"/>
                <w:left w:val="none" w:sz="0" w:space="0" w:color="auto"/>
                <w:bottom w:val="none" w:sz="0" w:space="0" w:color="auto"/>
                <w:right w:val="none" w:sz="0" w:space="0" w:color="auto"/>
              </w:divBdr>
              <w:divsChild>
                <w:div w:id="135202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895782">
      <w:bodyDiv w:val="1"/>
      <w:marLeft w:val="0"/>
      <w:marRight w:val="0"/>
      <w:marTop w:val="0"/>
      <w:marBottom w:val="0"/>
      <w:divBdr>
        <w:top w:val="none" w:sz="0" w:space="0" w:color="auto"/>
        <w:left w:val="none" w:sz="0" w:space="0" w:color="auto"/>
        <w:bottom w:val="none" w:sz="0" w:space="0" w:color="auto"/>
        <w:right w:val="none" w:sz="0" w:space="0" w:color="auto"/>
      </w:divBdr>
      <w:divsChild>
        <w:div w:id="14042345">
          <w:marLeft w:val="0"/>
          <w:marRight w:val="0"/>
          <w:marTop w:val="0"/>
          <w:marBottom w:val="0"/>
          <w:divBdr>
            <w:top w:val="none" w:sz="0" w:space="0" w:color="auto"/>
            <w:left w:val="none" w:sz="0" w:space="0" w:color="auto"/>
            <w:bottom w:val="none" w:sz="0" w:space="0" w:color="auto"/>
            <w:right w:val="none" w:sz="0" w:space="0" w:color="auto"/>
          </w:divBdr>
          <w:divsChild>
            <w:div w:id="23016712">
              <w:marLeft w:val="0"/>
              <w:marRight w:val="0"/>
              <w:marTop w:val="0"/>
              <w:marBottom w:val="0"/>
              <w:divBdr>
                <w:top w:val="none" w:sz="0" w:space="0" w:color="auto"/>
                <w:left w:val="none" w:sz="0" w:space="0" w:color="auto"/>
                <w:bottom w:val="none" w:sz="0" w:space="0" w:color="auto"/>
                <w:right w:val="none" w:sz="0" w:space="0" w:color="auto"/>
              </w:divBdr>
              <w:divsChild>
                <w:div w:id="107612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373942">
      <w:bodyDiv w:val="1"/>
      <w:marLeft w:val="0"/>
      <w:marRight w:val="0"/>
      <w:marTop w:val="0"/>
      <w:marBottom w:val="0"/>
      <w:divBdr>
        <w:top w:val="none" w:sz="0" w:space="0" w:color="auto"/>
        <w:left w:val="none" w:sz="0" w:space="0" w:color="auto"/>
        <w:bottom w:val="none" w:sz="0" w:space="0" w:color="auto"/>
        <w:right w:val="none" w:sz="0" w:space="0" w:color="auto"/>
      </w:divBdr>
      <w:divsChild>
        <w:div w:id="606887360">
          <w:marLeft w:val="0"/>
          <w:marRight w:val="0"/>
          <w:marTop w:val="0"/>
          <w:marBottom w:val="0"/>
          <w:divBdr>
            <w:top w:val="none" w:sz="0" w:space="0" w:color="auto"/>
            <w:left w:val="none" w:sz="0" w:space="0" w:color="auto"/>
            <w:bottom w:val="none" w:sz="0" w:space="0" w:color="auto"/>
            <w:right w:val="none" w:sz="0" w:space="0" w:color="auto"/>
          </w:divBdr>
          <w:divsChild>
            <w:div w:id="393502874">
              <w:marLeft w:val="0"/>
              <w:marRight w:val="0"/>
              <w:marTop w:val="0"/>
              <w:marBottom w:val="0"/>
              <w:divBdr>
                <w:top w:val="none" w:sz="0" w:space="0" w:color="auto"/>
                <w:left w:val="none" w:sz="0" w:space="0" w:color="auto"/>
                <w:bottom w:val="none" w:sz="0" w:space="0" w:color="auto"/>
                <w:right w:val="none" w:sz="0" w:space="0" w:color="auto"/>
              </w:divBdr>
              <w:divsChild>
                <w:div w:id="1637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3388">
      <w:bodyDiv w:val="1"/>
      <w:marLeft w:val="0"/>
      <w:marRight w:val="0"/>
      <w:marTop w:val="0"/>
      <w:marBottom w:val="0"/>
      <w:divBdr>
        <w:top w:val="none" w:sz="0" w:space="0" w:color="auto"/>
        <w:left w:val="none" w:sz="0" w:space="0" w:color="auto"/>
        <w:bottom w:val="none" w:sz="0" w:space="0" w:color="auto"/>
        <w:right w:val="none" w:sz="0" w:space="0" w:color="auto"/>
      </w:divBdr>
      <w:divsChild>
        <w:div w:id="1574469115">
          <w:marLeft w:val="0"/>
          <w:marRight w:val="0"/>
          <w:marTop w:val="0"/>
          <w:marBottom w:val="0"/>
          <w:divBdr>
            <w:top w:val="none" w:sz="0" w:space="0" w:color="auto"/>
            <w:left w:val="none" w:sz="0" w:space="0" w:color="auto"/>
            <w:bottom w:val="none" w:sz="0" w:space="0" w:color="auto"/>
            <w:right w:val="none" w:sz="0" w:space="0" w:color="auto"/>
          </w:divBdr>
          <w:divsChild>
            <w:div w:id="1951929815">
              <w:marLeft w:val="0"/>
              <w:marRight w:val="0"/>
              <w:marTop w:val="0"/>
              <w:marBottom w:val="0"/>
              <w:divBdr>
                <w:top w:val="none" w:sz="0" w:space="0" w:color="auto"/>
                <w:left w:val="none" w:sz="0" w:space="0" w:color="auto"/>
                <w:bottom w:val="none" w:sz="0" w:space="0" w:color="auto"/>
                <w:right w:val="none" w:sz="0" w:space="0" w:color="auto"/>
              </w:divBdr>
              <w:divsChild>
                <w:div w:id="81318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86468">
      <w:bodyDiv w:val="1"/>
      <w:marLeft w:val="0"/>
      <w:marRight w:val="0"/>
      <w:marTop w:val="0"/>
      <w:marBottom w:val="0"/>
      <w:divBdr>
        <w:top w:val="none" w:sz="0" w:space="0" w:color="auto"/>
        <w:left w:val="none" w:sz="0" w:space="0" w:color="auto"/>
        <w:bottom w:val="none" w:sz="0" w:space="0" w:color="auto"/>
        <w:right w:val="none" w:sz="0" w:space="0" w:color="auto"/>
      </w:divBdr>
      <w:divsChild>
        <w:div w:id="982468094">
          <w:marLeft w:val="0"/>
          <w:marRight w:val="0"/>
          <w:marTop w:val="0"/>
          <w:marBottom w:val="0"/>
          <w:divBdr>
            <w:top w:val="none" w:sz="0" w:space="0" w:color="auto"/>
            <w:left w:val="none" w:sz="0" w:space="0" w:color="auto"/>
            <w:bottom w:val="none" w:sz="0" w:space="0" w:color="auto"/>
            <w:right w:val="none" w:sz="0" w:space="0" w:color="auto"/>
          </w:divBdr>
          <w:divsChild>
            <w:div w:id="996228065">
              <w:marLeft w:val="0"/>
              <w:marRight w:val="0"/>
              <w:marTop w:val="0"/>
              <w:marBottom w:val="0"/>
              <w:divBdr>
                <w:top w:val="none" w:sz="0" w:space="0" w:color="auto"/>
                <w:left w:val="none" w:sz="0" w:space="0" w:color="auto"/>
                <w:bottom w:val="none" w:sz="0" w:space="0" w:color="auto"/>
                <w:right w:val="none" w:sz="0" w:space="0" w:color="auto"/>
              </w:divBdr>
              <w:divsChild>
                <w:div w:id="1394818340">
                  <w:marLeft w:val="0"/>
                  <w:marRight w:val="0"/>
                  <w:marTop w:val="0"/>
                  <w:marBottom w:val="0"/>
                  <w:divBdr>
                    <w:top w:val="none" w:sz="0" w:space="0" w:color="auto"/>
                    <w:left w:val="none" w:sz="0" w:space="0" w:color="auto"/>
                    <w:bottom w:val="none" w:sz="0" w:space="0" w:color="auto"/>
                    <w:right w:val="none" w:sz="0" w:space="0" w:color="auto"/>
                  </w:divBdr>
                  <w:divsChild>
                    <w:div w:id="9586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09799">
      <w:bodyDiv w:val="1"/>
      <w:marLeft w:val="0"/>
      <w:marRight w:val="0"/>
      <w:marTop w:val="0"/>
      <w:marBottom w:val="0"/>
      <w:divBdr>
        <w:top w:val="none" w:sz="0" w:space="0" w:color="auto"/>
        <w:left w:val="none" w:sz="0" w:space="0" w:color="auto"/>
        <w:bottom w:val="none" w:sz="0" w:space="0" w:color="auto"/>
        <w:right w:val="none" w:sz="0" w:space="0" w:color="auto"/>
      </w:divBdr>
      <w:divsChild>
        <w:div w:id="1744180621">
          <w:marLeft w:val="0"/>
          <w:marRight w:val="0"/>
          <w:marTop w:val="0"/>
          <w:marBottom w:val="0"/>
          <w:divBdr>
            <w:top w:val="none" w:sz="0" w:space="0" w:color="auto"/>
            <w:left w:val="none" w:sz="0" w:space="0" w:color="auto"/>
            <w:bottom w:val="none" w:sz="0" w:space="0" w:color="auto"/>
            <w:right w:val="none" w:sz="0" w:space="0" w:color="auto"/>
          </w:divBdr>
          <w:divsChild>
            <w:div w:id="472061686">
              <w:marLeft w:val="0"/>
              <w:marRight w:val="0"/>
              <w:marTop w:val="0"/>
              <w:marBottom w:val="0"/>
              <w:divBdr>
                <w:top w:val="none" w:sz="0" w:space="0" w:color="auto"/>
                <w:left w:val="none" w:sz="0" w:space="0" w:color="auto"/>
                <w:bottom w:val="none" w:sz="0" w:space="0" w:color="auto"/>
                <w:right w:val="none" w:sz="0" w:space="0" w:color="auto"/>
              </w:divBdr>
              <w:divsChild>
                <w:div w:id="17107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11814">
      <w:bodyDiv w:val="1"/>
      <w:marLeft w:val="0"/>
      <w:marRight w:val="0"/>
      <w:marTop w:val="0"/>
      <w:marBottom w:val="0"/>
      <w:divBdr>
        <w:top w:val="none" w:sz="0" w:space="0" w:color="auto"/>
        <w:left w:val="none" w:sz="0" w:space="0" w:color="auto"/>
        <w:bottom w:val="none" w:sz="0" w:space="0" w:color="auto"/>
        <w:right w:val="none" w:sz="0" w:space="0" w:color="auto"/>
      </w:divBdr>
      <w:divsChild>
        <w:div w:id="463541424">
          <w:marLeft w:val="0"/>
          <w:marRight w:val="0"/>
          <w:marTop w:val="0"/>
          <w:marBottom w:val="0"/>
          <w:divBdr>
            <w:top w:val="none" w:sz="0" w:space="0" w:color="auto"/>
            <w:left w:val="none" w:sz="0" w:space="0" w:color="auto"/>
            <w:bottom w:val="none" w:sz="0" w:space="0" w:color="auto"/>
            <w:right w:val="none" w:sz="0" w:space="0" w:color="auto"/>
          </w:divBdr>
          <w:divsChild>
            <w:div w:id="553935032">
              <w:marLeft w:val="0"/>
              <w:marRight w:val="0"/>
              <w:marTop w:val="0"/>
              <w:marBottom w:val="0"/>
              <w:divBdr>
                <w:top w:val="none" w:sz="0" w:space="0" w:color="auto"/>
                <w:left w:val="none" w:sz="0" w:space="0" w:color="auto"/>
                <w:bottom w:val="none" w:sz="0" w:space="0" w:color="auto"/>
                <w:right w:val="none" w:sz="0" w:space="0" w:color="auto"/>
              </w:divBdr>
              <w:divsChild>
                <w:div w:id="6988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940278">
      <w:bodyDiv w:val="1"/>
      <w:marLeft w:val="0"/>
      <w:marRight w:val="0"/>
      <w:marTop w:val="0"/>
      <w:marBottom w:val="0"/>
      <w:divBdr>
        <w:top w:val="none" w:sz="0" w:space="0" w:color="auto"/>
        <w:left w:val="none" w:sz="0" w:space="0" w:color="auto"/>
        <w:bottom w:val="none" w:sz="0" w:space="0" w:color="auto"/>
        <w:right w:val="none" w:sz="0" w:space="0" w:color="auto"/>
      </w:divBdr>
      <w:divsChild>
        <w:div w:id="402529741">
          <w:marLeft w:val="0"/>
          <w:marRight w:val="0"/>
          <w:marTop w:val="0"/>
          <w:marBottom w:val="0"/>
          <w:divBdr>
            <w:top w:val="none" w:sz="0" w:space="0" w:color="auto"/>
            <w:left w:val="none" w:sz="0" w:space="0" w:color="auto"/>
            <w:bottom w:val="none" w:sz="0" w:space="0" w:color="auto"/>
            <w:right w:val="none" w:sz="0" w:space="0" w:color="auto"/>
          </w:divBdr>
          <w:divsChild>
            <w:div w:id="861746961">
              <w:marLeft w:val="0"/>
              <w:marRight w:val="0"/>
              <w:marTop w:val="0"/>
              <w:marBottom w:val="0"/>
              <w:divBdr>
                <w:top w:val="none" w:sz="0" w:space="0" w:color="auto"/>
                <w:left w:val="none" w:sz="0" w:space="0" w:color="auto"/>
                <w:bottom w:val="none" w:sz="0" w:space="0" w:color="auto"/>
                <w:right w:val="none" w:sz="0" w:space="0" w:color="auto"/>
              </w:divBdr>
              <w:divsChild>
                <w:div w:id="2052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12528">
      <w:bodyDiv w:val="1"/>
      <w:marLeft w:val="0"/>
      <w:marRight w:val="0"/>
      <w:marTop w:val="0"/>
      <w:marBottom w:val="0"/>
      <w:divBdr>
        <w:top w:val="none" w:sz="0" w:space="0" w:color="auto"/>
        <w:left w:val="none" w:sz="0" w:space="0" w:color="auto"/>
        <w:bottom w:val="none" w:sz="0" w:space="0" w:color="auto"/>
        <w:right w:val="none" w:sz="0" w:space="0" w:color="auto"/>
      </w:divBdr>
      <w:divsChild>
        <w:div w:id="944927213">
          <w:marLeft w:val="0"/>
          <w:marRight w:val="0"/>
          <w:marTop w:val="0"/>
          <w:marBottom w:val="0"/>
          <w:divBdr>
            <w:top w:val="none" w:sz="0" w:space="0" w:color="auto"/>
            <w:left w:val="none" w:sz="0" w:space="0" w:color="auto"/>
            <w:bottom w:val="none" w:sz="0" w:space="0" w:color="auto"/>
            <w:right w:val="none" w:sz="0" w:space="0" w:color="auto"/>
          </w:divBdr>
          <w:divsChild>
            <w:div w:id="103311355">
              <w:marLeft w:val="0"/>
              <w:marRight w:val="0"/>
              <w:marTop w:val="0"/>
              <w:marBottom w:val="0"/>
              <w:divBdr>
                <w:top w:val="none" w:sz="0" w:space="0" w:color="auto"/>
                <w:left w:val="none" w:sz="0" w:space="0" w:color="auto"/>
                <w:bottom w:val="none" w:sz="0" w:space="0" w:color="auto"/>
                <w:right w:val="none" w:sz="0" w:space="0" w:color="auto"/>
              </w:divBdr>
              <w:divsChild>
                <w:div w:id="8298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42528">
      <w:bodyDiv w:val="1"/>
      <w:marLeft w:val="0"/>
      <w:marRight w:val="0"/>
      <w:marTop w:val="0"/>
      <w:marBottom w:val="0"/>
      <w:divBdr>
        <w:top w:val="none" w:sz="0" w:space="0" w:color="auto"/>
        <w:left w:val="none" w:sz="0" w:space="0" w:color="auto"/>
        <w:bottom w:val="none" w:sz="0" w:space="0" w:color="auto"/>
        <w:right w:val="none" w:sz="0" w:space="0" w:color="auto"/>
      </w:divBdr>
      <w:divsChild>
        <w:div w:id="473525057">
          <w:marLeft w:val="0"/>
          <w:marRight w:val="0"/>
          <w:marTop w:val="0"/>
          <w:marBottom w:val="0"/>
          <w:divBdr>
            <w:top w:val="none" w:sz="0" w:space="0" w:color="auto"/>
            <w:left w:val="none" w:sz="0" w:space="0" w:color="auto"/>
            <w:bottom w:val="none" w:sz="0" w:space="0" w:color="auto"/>
            <w:right w:val="none" w:sz="0" w:space="0" w:color="auto"/>
          </w:divBdr>
          <w:divsChild>
            <w:div w:id="1199508852">
              <w:marLeft w:val="0"/>
              <w:marRight w:val="0"/>
              <w:marTop w:val="0"/>
              <w:marBottom w:val="0"/>
              <w:divBdr>
                <w:top w:val="none" w:sz="0" w:space="0" w:color="auto"/>
                <w:left w:val="none" w:sz="0" w:space="0" w:color="auto"/>
                <w:bottom w:val="none" w:sz="0" w:space="0" w:color="auto"/>
                <w:right w:val="none" w:sz="0" w:space="0" w:color="auto"/>
              </w:divBdr>
              <w:divsChild>
                <w:div w:id="4150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35872">
      <w:bodyDiv w:val="1"/>
      <w:marLeft w:val="0"/>
      <w:marRight w:val="0"/>
      <w:marTop w:val="0"/>
      <w:marBottom w:val="0"/>
      <w:divBdr>
        <w:top w:val="none" w:sz="0" w:space="0" w:color="auto"/>
        <w:left w:val="none" w:sz="0" w:space="0" w:color="auto"/>
        <w:bottom w:val="none" w:sz="0" w:space="0" w:color="auto"/>
        <w:right w:val="none" w:sz="0" w:space="0" w:color="auto"/>
      </w:divBdr>
      <w:divsChild>
        <w:div w:id="1847474595">
          <w:marLeft w:val="0"/>
          <w:marRight w:val="0"/>
          <w:marTop w:val="0"/>
          <w:marBottom w:val="0"/>
          <w:divBdr>
            <w:top w:val="none" w:sz="0" w:space="0" w:color="auto"/>
            <w:left w:val="none" w:sz="0" w:space="0" w:color="auto"/>
            <w:bottom w:val="none" w:sz="0" w:space="0" w:color="auto"/>
            <w:right w:val="none" w:sz="0" w:space="0" w:color="auto"/>
          </w:divBdr>
          <w:divsChild>
            <w:div w:id="442506331">
              <w:marLeft w:val="0"/>
              <w:marRight w:val="0"/>
              <w:marTop w:val="0"/>
              <w:marBottom w:val="0"/>
              <w:divBdr>
                <w:top w:val="none" w:sz="0" w:space="0" w:color="auto"/>
                <w:left w:val="none" w:sz="0" w:space="0" w:color="auto"/>
                <w:bottom w:val="none" w:sz="0" w:space="0" w:color="auto"/>
                <w:right w:val="none" w:sz="0" w:space="0" w:color="auto"/>
              </w:divBdr>
              <w:divsChild>
                <w:div w:id="21189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649927">
      <w:bodyDiv w:val="1"/>
      <w:marLeft w:val="0"/>
      <w:marRight w:val="0"/>
      <w:marTop w:val="0"/>
      <w:marBottom w:val="0"/>
      <w:divBdr>
        <w:top w:val="none" w:sz="0" w:space="0" w:color="auto"/>
        <w:left w:val="none" w:sz="0" w:space="0" w:color="auto"/>
        <w:bottom w:val="none" w:sz="0" w:space="0" w:color="auto"/>
        <w:right w:val="none" w:sz="0" w:space="0" w:color="auto"/>
      </w:divBdr>
      <w:divsChild>
        <w:div w:id="311758711">
          <w:marLeft w:val="0"/>
          <w:marRight w:val="0"/>
          <w:marTop w:val="0"/>
          <w:marBottom w:val="0"/>
          <w:divBdr>
            <w:top w:val="none" w:sz="0" w:space="0" w:color="auto"/>
            <w:left w:val="none" w:sz="0" w:space="0" w:color="auto"/>
            <w:bottom w:val="none" w:sz="0" w:space="0" w:color="auto"/>
            <w:right w:val="none" w:sz="0" w:space="0" w:color="auto"/>
          </w:divBdr>
          <w:divsChild>
            <w:div w:id="200434885">
              <w:marLeft w:val="0"/>
              <w:marRight w:val="0"/>
              <w:marTop w:val="0"/>
              <w:marBottom w:val="0"/>
              <w:divBdr>
                <w:top w:val="none" w:sz="0" w:space="0" w:color="auto"/>
                <w:left w:val="none" w:sz="0" w:space="0" w:color="auto"/>
                <w:bottom w:val="none" w:sz="0" w:space="0" w:color="auto"/>
                <w:right w:val="none" w:sz="0" w:space="0" w:color="auto"/>
              </w:divBdr>
              <w:divsChild>
                <w:div w:id="1532956994">
                  <w:marLeft w:val="0"/>
                  <w:marRight w:val="0"/>
                  <w:marTop w:val="0"/>
                  <w:marBottom w:val="0"/>
                  <w:divBdr>
                    <w:top w:val="none" w:sz="0" w:space="0" w:color="auto"/>
                    <w:left w:val="none" w:sz="0" w:space="0" w:color="auto"/>
                    <w:bottom w:val="none" w:sz="0" w:space="0" w:color="auto"/>
                    <w:right w:val="none" w:sz="0" w:space="0" w:color="auto"/>
                  </w:divBdr>
                  <w:divsChild>
                    <w:div w:id="89608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185233">
      <w:bodyDiv w:val="1"/>
      <w:marLeft w:val="0"/>
      <w:marRight w:val="0"/>
      <w:marTop w:val="0"/>
      <w:marBottom w:val="0"/>
      <w:divBdr>
        <w:top w:val="none" w:sz="0" w:space="0" w:color="auto"/>
        <w:left w:val="none" w:sz="0" w:space="0" w:color="auto"/>
        <w:bottom w:val="none" w:sz="0" w:space="0" w:color="auto"/>
        <w:right w:val="none" w:sz="0" w:space="0" w:color="auto"/>
      </w:divBdr>
      <w:divsChild>
        <w:div w:id="1346517511">
          <w:marLeft w:val="0"/>
          <w:marRight w:val="0"/>
          <w:marTop w:val="0"/>
          <w:marBottom w:val="0"/>
          <w:divBdr>
            <w:top w:val="none" w:sz="0" w:space="0" w:color="auto"/>
            <w:left w:val="none" w:sz="0" w:space="0" w:color="auto"/>
            <w:bottom w:val="none" w:sz="0" w:space="0" w:color="auto"/>
            <w:right w:val="none" w:sz="0" w:space="0" w:color="auto"/>
          </w:divBdr>
          <w:divsChild>
            <w:div w:id="1682586393">
              <w:marLeft w:val="0"/>
              <w:marRight w:val="0"/>
              <w:marTop w:val="0"/>
              <w:marBottom w:val="0"/>
              <w:divBdr>
                <w:top w:val="none" w:sz="0" w:space="0" w:color="auto"/>
                <w:left w:val="none" w:sz="0" w:space="0" w:color="auto"/>
                <w:bottom w:val="none" w:sz="0" w:space="0" w:color="auto"/>
                <w:right w:val="none" w:sz="0" w:space="0" w:color="auto"/>
              </w:divBdr>
              <w:divsChild>
                <w:div w:id="212588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99665">
      <w:bodyDiv w:val="1"/>
      <w:marLeft w:val="0"/>
      <w:marRight w:val="0"/>
      <w:marTop w:val="0"/>
      <w:marBottom w:val="0"/>
      <w:divBdr>
        <w:top w:val="none" w:sz="0" w:space="0" w:color="auto"/>
        <w:left w:val="none" w:sz="0" w:space="0" w:color="auto"/>
        <w:bottom w:val="none" w:sz="0" w:space="0" w:color="auto"/>
        <w:right w:val="none" w:sz="0" w:space="0" w:color="auto"/>
      </w:divBdr>
      <w:divsChild>
        <w:div w:id="1308851661">
          <w:marLeft w:val="0"/>
          <w:marRight w:val="0"/>
          <w:marTop w:val="0"/>
          <w:marBottom w:val="0"/>
          <w:divBdr>
            <w:top w:val="none" w:sz="0" w:space="0" w:color="auto"/>
            <w:left w:val="none" w:sz="0" w:space="0" w:color="auto"/>
            <w:bottom w:val="none" w:sz="0" w:space="0" w:color="auto"/>
            <w:right w:val="none" w:sz="0" w:space="0" w:color="auto"/>
          </w:divBdr>
          <w:divsChild>
            <w:div w:id="2001735363">
              <w:marLeft w:val="0"/>
              <w:marRight w:val="0"/>
              <w:marTop w:val="0"/>
              <w:marBottom w:val="0"/>
              <w:divBdr>
                <w:top w:val="none" w:sz="0" w:space="0" w:color="auto"/>
                <w:left w:val="none" w:sz="0" w:space="0" w:color="auto"/>
                <w:bottom w:val="none" w:sz="0" w:space="0" w:color="auto"/>
                <w:right w:val="none" w:sz="0" w:space="0" w:color="auto"/>
              </w:divBdr>
              <w:divsChild>
                <w:div w:id="4371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894456">
      <w:bodyDiv w:val="1"/>
      <w:marLeft w:val="0"/>
      <w:marRight w:val="0"/>
      <w:marTop w:val="0"/>
      <w:marBottom w:val="0"/>
      <w:divBdr>
        <w:top w:val="none" w:sz="0" w:space="0" w:color="auto"/>
        <w:left w:val="none" w:sz="0" w:space="0" w:color="auto"/>
        <w:bottom w:val="none" w:sz="0" w:space="0" w:color="auto"/>
        <w:right w:val="none" w:sz="0" w:space="0" w:color="auto"/>
      </w:divBdr>
      <w:divsChild>
        <w:div w:id="809589768">
          <w:marLeft w:val="0"/>
          <w:marRight w:val="0"/>
          <w:marTop w:val="0"/>
          <w:marBottom w:val="0"/>
          <w:divBdr>
            <w:top w:val="none" w:sz="0" w:space="0" w:color="auto"/>
            <w:left w:val="none" w:sz="0" w:space="0" w:color="auto"/>
            <w:bottom w:val="none" w:sz="0" w:space="0" w:color="auto"/>
            <w:right w:val="none" w:sz="0" w:space="0" w:color="auto"/>
          </w:divBdr>
          <w:divsChild>
            <w:div w:id="1798528031">
              <w:marLeft w:val="0"/>
              <w:marRight w:val="0"/>
              <w:marTop w:val="0"/>
              <w:marBottom w:val="0"/>
              <w:divBdr>
                <w:top w:val="none" w:sz="0" w:space="0" w:color="auto"/>
                <w:left w:val="none" w:sz="0" w:space="0" w:color="auto"/>
                <w:bottom w:val="none" w:sz="0" w:space="0" w:color="auto"/>
                <w:right w:val="none" w:sz="0" w:space="0" w:color="auto"/>
              </w:divBdr>
              <w:divsChild>
                <w:div w:id="13408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06565">
      <w:bodyDiv w:val="1"/>
      <w:marLeft w:val="0"/>
      <w:marRight w:val="0"/>
      <w:marTop w:val="0"/>
      <w:marBottom w:val="0"/>
      <w:divBdr>
        <w:top w:val="none" w:sz="0" w:space="0" w:color="auto"/>
        <w:left w:val="none" w:sz="0" w:space="0" w:color="auto"/>
        <w:bottom w:val="none" w:sz="0" w:space="0" w:color="auto"/>
        <w:right w:val="none" w:sz="0" w:space="0" w:color="auto"/>
      </w:divBdr>
      <w:divsChild>
        <w:div w:id="92829039">
          <w:marLeft w:val="0"/>
          <w:marRight w:val="0"/>
          <w:marTop w:val="0"/>
          <w:marBottom w:val="0"/>
          <w:divBdr>
            <w:top w:val="none" w:sz="0" w:space="0" w:color="auto"/>
            <w:left w:val="none" w:sz="0" w:space="0" w:color="auto"/>
            <w:bottom w:val="none" w:sz="0" w:space="0" w:color="auto"/>
            <w:right w:val="none" w:sz="0" w:space="0" w:color="auto"/>
          </w:divBdr>
        </w:div>
        <w:div w:id="138965715">
          <w:marLeft w:val="0"/>
          <w:marRight w:val="0"/>
          <w:marTop w:val="0"/>
          <w:marBottom w:val="0"/>
          <w:divBdr>
            <w:top w:val="none" w:sz="0" w:space="0" w:color="auto"/>
            <w:left w:val="none" w:sz="0" w:space="0" w:color="auto"/>
            <w:bottom w:val="none" w:sz="0" w:space="0" w:color="auto"/>
            <w:right w:val="none" w:sz="0" w:space="0" w:color="auto"/>
          </w:divBdr>
        </w:div>
        <w:div w:id="328991392">
          <w:marLeft w:val="0"/>
          <w:marRight w:val="0"/>
          <w:marTop w:val="0"/>
          <w:marBottom w:val="0"/>
          <w:divBdr>
            <w:top w:val="none" w:sz="0" w:space="0" w:color="auto"/>
            <w:left w:val="none" w:sz="0" w:space="0" w:color="auto"/>
            <w:bottom w:val="none" w:sz="0" w:space="0" w:color="auto"/>
            <w:right w:val="none" w:sz="0" w:space="0" w:color="auto"/>
          </w:divBdr>
        </w:div>
        <w:div w:id="495460167">
          <w:marLeft w:val="0"/>
          <w:marRight w:val="0"/>
          <w:marTop w:val="0"/>
          <w:marBottom w:val="0"/>
          <w:divBdr>
            <w:top w:val="none" w:sz="0" w:space="0" w:color="auto"/>
            <w:left w:val="none" w:sz="0" w:space="0" w:color="auto"/>
            <w:bottom w:val="none" w:sz="0" w:space="0" w:color="auto"/>
            <w:right w:val="none" w:sz="0" w:space="0" w:color="auto"/>
          </w:divBdr>
        </w:div>
        <w:div w:id="680860259">
          <w:marLeft w:val="0"/>
          <w:marRight w:val="0"/>
          <w:marTop w:val="0"/>
          <w:marBottom w:val="0"/>
          <w:divBdr>
            <w:top w:val="none" w:sz="0" w:space="0" w:color="auto"/>
            <w:left w:val="none" w:sz="0" w:space="0" w:color="auto"/>
            <w:bottom w:val="none" w:sz="0" w:space="0" w:color="auto"/>
            <w:right w:val="none" w:sz="0" w:space="0" w:color="auto"/>
          </w:divBdr>
        </w:div>
        <w:div w:id="687947751">
          <w:marLeft w:val="0"/>
          <w:marRight w:val="0"/>
          <w:marTop w:val="0"/>
          <w:marBottom w:val="0"/>
          <w:divBdr>
            <w:top w:val="none" w:sz="0" w:space="0" w:color="auto"/>
            <w:left w:val="none" w:sz="0" w:space="0" w:color="auto"/>
            <w:bottom w:val="none" w:sz="0" w:space="0" w:color="auto"/>
            <w:right w:val="none" w:sz="0" w:space="0" w:color="auto"/>
          </w:divBdr>
        </w:div>
        <w:div w:id="712194312">
          <w:marLeft w:val="0"/>
          <w:marRight w:val="0"/>
          <w:marTop w:val="0"/>
          <w:marBottom w:val="0"/>
          <w:divBdr>
            <w:top w:val="none" w:sz="0" w:space="0" w:color="auto"/>
            <w:left w:val="none" w:sz="0" w:space="0" w:color="auto"/>
            <w:bottom w:val="none" w:sz="0" w:space="0" w:color="auto"/>
            <w:right w:val="none" w:sz="0" w:space="0" w:color="auto"/>
          </w:divBdr>
        </w:div>
        <w:div w:id="727999426">
          <w:marLeft w:val="0"/>
          <w:marRight w:val="0"/>
          <w:marTop w:val="0"/>
          <w:marBottom w:val="0"/>
          <w:divBdr>
            <w:top w:val="none" w:sz="0" w:space="0" w:color="auto"/>
            <w:left w:val="none" w:sz="0" w:space="0" w:color="auto"/>
            <w:bottom w:val="none" w:sz="0" w:space="0" w:color="auto"/>
            <w:right w:val="none" w:sz="0" w:space="0" w:color="auto"/>
          </w:divBdr>
        </w:div>
        <w:div w:id="798303957">
          <w:marLeft w:val="0"/>
          <w:marRight w:val="0"/>
          <w:marTop w:val="0"/>
          <w:marBottom w:val="0"/>
          <w:divBdr>
            <w:top w:val="none" w:sz="0" w:space="0" w:color="auto"/>
            <w:left w:val="none" w:sz="0" w:space="0" w:color="auto"/>
            <w:bottom w:val="none" w:sz="0" w:space="0" w:color="auto"/>
            <w:right w:val="none" w:sz="0" w:space="0" w:color="auto"/>
          </w:divBdr>
        </w:div>
        <w:div w:id="1149785825">
          <w:marLeft w:val="0"/>
          <w:marRight w:val="0"/>
          <w:marTop w:val="0"/>
          <w:marBottom w:val="0"/>
          <w:divBdr>
            <w:top w:val="none" w:sz="0" w:space="0" w:color="auto"/>
            <w:left w:val="none" w:sz="0" w:space="0" w:color="auto"/>
            <w:bottom w:val="none" w:sz="0" w:space="0" w:color="auto"/>
            <w:right w:val="none" w:sz="0" w:space="0" w:color="auto"/>
          </w:divBdr>
        </w:div>
        <w:div w:id="1165709534">
          <w:marLeft w:val="0"/>
          <w:marRight w:val="0"/>
          <w:marTop w:val="0"/>
          <w:marBottom w:val="0"/>
          <w:divBdr>
            <w:top w:val="none" w:sz="0" w:space="0" w:color="auto"/>
            <w:left w:val="none" w:sz="0" w:space="0" w:color="auto"/>
            <w:bottom w:val="none" w:sz="0" w:space="0" w:color="auto"/>
            <w:right w:val="none" w:sz="0" w:space="0" w:color="auto"/>
          </w:divBdr>
        </w:div>
        <w:div w:id="1355114548">
          <w:marLeft w:val="0"/>
          <w:marRight w:val="0"/>
          <w:marTop w:val="0"/>
          <w:marBottom w:val="0"/>
          <w:divBdr>
            <w:top w:val="none" w:sz="0" w:space="0" w:color="auto"/>
            <w:left w:val="none" w:sz="0" w:space="0" w:color="auto"/>
            <w:bottom w:val="none" w:sz="0" w:space="0" w:color="auto"/>
            <w:right w:val="none" w:sz="0" w:space="0" w:color="auto"/>
          </w:divBdr>
        </w:div>
        <w:div w:id="1410538823">
          <w:marLeft w:val="0"/>
          <w:marRight w:val="0"/>
          <w:marTop w:val="0"/>
          <w:marBottom w:val="0"/>
          <w:divBdr>
            <w:top w:val="none" w:sz="0" w:space="0" w:color="auto"/>
            <w:left w:val="none" w:sz="0" w:space="0" w:color="auto"/>
            <w:bottom w:val="none" w:sz="0" w:space="0" w:color="auto"/>
            <w:right w:val="none" w:sz="0" w:space="0" w:color="auto"/>
          </w:divBdr>
        </w:div>
        <w:div w:id="1457604746">
          <w:marLeft w:val="0"/>
          <w:marRight w:val="0"/>
          <w:marTop w:val="0"/>
          <w:marBottom w:val="0"/>
          <w:divBdr>
            <w:top w:val="none" w:sz="0" w:space="0" w:color="auto"/>
            <w:left w:val="none" w:sz="0" w:space="0" w:color="auto"/>
            <w:bottom w:val="none" w:sz="0" w:space="0" w:color="auto"/>
            <w:right w:val="none" w:sz="0" w:space="0" w:color="auto"/>
          </w:divBdr>
        </w:div>
        <w:div w:id="1626234007">
          <w:marLeft w:val="0"/>
          <w:marRight w:val="0"/>
          <w:marTop w:val="0"/>
          <w:marBottom w:val="0"/>
          <w:divBdr>
            <w:top w:val="none" w:sz="0" w:space="0" w:color="auto"/>
            <w:left w:val="none" w:sz="0" w:space="0" w:color="auto"/>
            <w:bottom w:val="none" w:sz="0" w:space="0" w:color="auto"/>
            <w:right w:val="none" w:sz="0" w:space="0" w:color="auto"/>
          </w:divBdr>
        </w:div>
        <w:div w:id="1756517083">
          <w:marLeft w:val="0"/>
          <w:marRight w:val="0"/>
          <w:marTop w:val="0"/>
          <w:marBottom w:val="0"/>
          <w:divBdr>
            <w:top w:val="none" w:sz="0" w:space="0" w:color="auto"/>
            <w:left w:val="none" w:sz="0" w:space="0" w:color="auto"/>
            <w:bottom w:val="none" w:sz="0" w:space="0" w:color="auto"/>
            <w:right w:val="none" w:sz="0" w:space="0" w:color="auto"/>
          </w:divBdr>
        </w:div>
        <w:div w:id="1901742134">
          <w:marLeft w:val="0"/>
          <w:marRight w:val="0"/>
          <w:marTop w:val="0"/>
          <w:marBottom w:val="0"/>
          <w:divBdr>
            <w:top w:val="none" w:sz="0" w:space="0" w:color="auto"/>
            <w:left w:val="none" w:sz="0" w:space="0" w:color="auto"/>
            <w:bottom w:val="none" w:sz="0" w:space="0" w:color="auto"/>
            <w:right w:val="none" w:sz="0" w:space="0" w:color="auto"/>
          </w:divBdr>
        </w:div>
        <w:div w:id="2075472113">
          <w:marLeft w:val="0"/>
          <w:marRight w:val="0"/>
          <w:marTop w:val="0"/>
          <w:marBottom w:val="0"/>
          <w:divBdr>
            <w:top w:val="none" w:sz="0" w:space="0" w:color="auto"/>
            <w:left w:val="none" w:sz="0" w:space="0" w:color="auto"/>
            <w:bottom w:val="none" w:sz="0" w:space="0" w:color="auto"/>
            <w:right w:val="none" w:sz="0" w:space="0" w:color="auto"/>
          </w:divBdr>
        </w:div>
        <w:div w:id="2132018819">
          <w:marLeft w:val="0"/>
          <w:marRight w:val="0"/>
          <w:marTop w:val="0"/>
          <w:marBottom w:val="0"/>
          <w:divBdr>
            <w:top w:val="none" w:sz="0" w:space="0" w:color="auto"/>
            <w:left w:val="none" w:sz="0" w:space="0" w:color="auto"/>
            <w:bottom w:val="none" w:sz="0" w:space="0" w:color="auto"/>
            <w:right w:val="none" w:sz="0" w:space="0" w:color="auto"/>
          </w:divBdr>
        </w:div>
      </w:divsChild>
    </w:div>
    <w:div w:id="1109275954">
      <w:bodyDiv w:val="1"/>
      <w:marLeft w:val="0"/>
      <w:marRight w:val="0"/>
      <w:marTop w:val="0"/>
      <w:marBottom w:val="0"/>
      <w:divBdr>
        <w:top w:val="none" w:sz="0" w:space="0" w:color="auto"/>
        <w:left w:val="none" w:sz="0" w:space="0" w:color="auto"/>
        <w:bottom w:val="none" w:sz="0" w:space="0" w:color="auto"/>
        <w:right w:val="none" w:sz="0" w:space="0" w:color="auto"/>
      </w:divBdr>
      <w:divsChild>
        <w:div w:id="1999989736">
          <w:marLeft w:val="0"/>
          <w:marRight w:val="0"/>
          <w:marTop w:val="0"/>
          <w:marBottom w:val="0"/>
          <w:divBdr>
            <w:top w:val="none" w:sz="0" w:space="0" w:color="auto"/>
            <w:left w:val="none" w:sz="0" w:space="0" w:color="auto"/>
            <w:bottom w:val="none" w:sz="0" w:space="0" w:color="auto"/>
            <w:right w:val="none" w:sz="0" w:space="0" w:color="auto"/>
          </w:divBdr>
          <w:divsChild>
            <w:div w:id="868185930">
              <w:marLeft w:val="0"/>
              <w:marRight w:val="0"/>
              <w:marTop w:val="0"/>
              <w:marBottom w:val="0"/>
              <w:divBdr>
                <w:top w:val="none" w:sz="0" w:space="0" w:color="auto"/>
                <w:left w:val="none" w:sz="0" w:space="0" w:color="auto"/>
                <w:bottom w:val="none" w:sz="0" w:space="0" w:color="auto"/>
                <w:right w:val="none" w:sz="0" w:space="0" w:color="auto"/>
              </w:divBdr>
              <w:divsChild>
                <w:div w:id="1018311818">
                  <w:marLeft w:val="0"/>
                  <w:marRight w:val="0"/>
                  <w:marTop w:val="0"/>
                  <w:marBottom w:val="0"/>
                  <w:divBdr>
                    <w:top w:val="none" w:sz="0" w:space="0" w:color="auto"/>
                    <w:left w:val="none" w:sz="0" w:space="0" w:color="auto"/>
                    <w:bottom w:val="none" w:sz="0" w:space="0" w:color="auto"/>
                    <w:right w:val="none" w:sz="0" w:space="0" w:color="auto"/>
                  </w:divBdr>
                  <w:divsChild>
                    <w:div w:id="18137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320436">
      <w:bodyDiv w:val="1"/>
      <w:marLeft w:val="0"/>
      <w:marRight w:val="0"/>
      <w:marTop w:val="0"/>
      <w:marBottom w:val="0"/>
      <w:divBdr>
        <w:top w:val="none" w:sz="0" w:space="0" w:color="auto"/>
        <w:left w:val="none" w:sz="0" w:space="0" w:color="auto"/>
        <w:bottom w:val="none" w:sz="0" w:space="0" w:color="auto"/>
        <w:right w:val="none" w:sz="0" w:space="0" w:color="auto"/>
      </w:divBdr>
      <w:divsChild>
        <w:div w:id="1482580193">
          <w:marLeft w:val="0"/>
          <w:marRight w:val="0"/>
          <w:marTop w:val="0"/>
          <w:marBottom w:val="0"/>
          <w:divBdr>
            <w:top w:val="none" w:sz="0" w:space="0" w:color="auto"/>
            <w:left w:val="none" w:sz="0" w:space="0" w:color="auto"/>
            <w:bottom w:val="none" w:sz="0" w:space="0" w:color="auto"/>
            <w:right w:val="none" w:sz="0" w:space="0" w:color="auto"/>
          </w:divBdr>
          <w:divsChild>
            <w:div w:id="1306012797">
              <w:marLeft w:val="0"/>
              <w:marRight w:val="0"/>
              <w:marTop w:val="0"/>
              <w:marBottom w:val="0"/>
              <w:divBdr>
                <w:top w:val="none" w:sz="0" w:space="0" w:color="auto"/>
                <w:left w:val="none" w:sz="0" w:space="0" w:color="auto"/>
                <w:bottom w:val="none" w:sz="0" w:space="0" w:color="auto"/>
                <w:right w:val="none" w:sz="0" w:space="0" w:color="auto"/>
              </w:divBdr>
              <w:divsChild>
                <w:div w:id="67229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22924">
      <w:bodyDiv w:val="1"/>
      <w:marLeft w:val="0"/>
      <w:marRight w:val="0"/>
      <w:marTop w:val="0"/>
      <w:marBottom w:val="0"/>
      <w:divBdr>
        <w:top w:val="none" w:sz="0" w:space="0" w:color="auto"/>
        <w:left w:val="none" w:sz="0" w:space="0" w:color="auto"/>
        <w:bottom w:val="none" w:sz="0" w:space="0" w:color="auto"/>
        <w:right w:val="none" w:sz="0" w:space="0" w:color="auto"/>
      </w:divBdr>
    </w:div>
    <w:div w:id="1125588245">
      <w:bodyDiv w:val="1"/>
      <w:marLeft w:val="0"/>
      <w:marRight w:val="0"/>
      <w:marTop w:val="0"/>
      <w:marBottom w:val="0"/>
      <w:divBdr>
        <w:top w:val="none" w:sz="0" w:space="0" w:color="auto"/>
        <w:left w:val="none" w:sz="0" w:space="0" w:color="auto"/>
        <w:bottom w:val="none" w:sz="0" w:space="0" w:color="auto"/>
        <w:right w:val="none" w:sz="0" w:space="0" w:color="auto"/>
      </w:divBdr>
      <w:divsChild>
        <w:div w:id="1549605678">
          <w:marLeft w:val="0"/>
          <w:marRight w:val="0"/>
          <w:marTop w:val="0"/>
          <w:marBottom w:val="0"/>
          <w:divBdr>
            <w:top w:val="none" w:sz="0" w:space="0" w:color="auto"/>
            <w:left w:val="none" w:sz="0" w:space="0" w:color="auto"/>
            <w:bottom w:val="none" w:sz="0" w:space="0" w:color="auto"/>
            <w:right w:val="none" w:sz="0" w:space="0" w:color="auto"/>
          </w:divBdr>
          <w:divsChild>
            <w:div w:id="447551669">
              <w:marLeft w:val="0"/>
              <w:marRight w:val="0"/>
              <w:marTop w:val="0"/>
              <w:marBottom w:val="0"/>
              <w:divBdr>
                <w:top w:val="none" w:sz="0" w:space="0" w:color="auto"/>
                <w:left w:val="none" w:sz="0" w:space="0" w:color="auto"/>
                <w:bottom w:val="none" w:sz="0" w:space="0" w:color="auto"/>
                <w:right w:val="none" w:sz="0" w:space="0" w:color="auto"/>
              </w:divBdr>
              <w:divsChild>
                <w:div w:id="822157722">
                  <w:marLeft w:val="0"/>
                  <w:marRight w:val="0"/>
                  <w:marTop w:val="0"/>
                  <w:marBottom w:val="0"/>
                  <w:divBdr>
                    <w:top w:val="none" w:sz="0" w:space="0" w:color="auto"/>
                    <w:left w:val="none" w:sz="0" w:space="0" w:color="auto"/>
                    <w:bottom w:val="none" w:sz="0" w:space="0" w:color="auto"/>
                    <w:right w:val="none" w:sz="0" w:space="0" w:color="auto"/>
                  </w:divBdr>
                  <w:divsChild>
                    <w:div w:id="48316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400308">
      <w:bodyDiv w:val="1"/>
      <w:marLeft w:val="0"/>
      <w:marRight w:val="0"/>
      <w:marTop w:val="0"/>
      <w:marBottom w:val="0"/>
      <w:divBdr>
        <w:top w:val="none" w:sz="0" w:space="0" w:color="auto"/>
        <w:left w:val="none" w:sz="0" w:space="0" w:color="auto"/>
        <w:bottom w:val="none" w:sz="0" w:space="0" w:color="auto"/>
        <w:right w:val="none" w:sz="0" w:space="0" w:color="auto"/>
      </w:divBdr>
      <w:divsChild>
        <w:div w:id="1978759201">
          <w:marLeft w:val="0"/>
          <w:marRight w:val="0"/>
          <w:marTop w:val="0"/>
          <w:marBottom w:val="0"/>
          <w:divBdr>
            <w:top w:val="none" w:sz="0" w:space="0" w:color="auto"/>
            <w:left w:val="none" w:sz="0" w:space="0" w:color="auto"/>
            <w:bottom w:val="none" w:sz="0" w:space="0" w:color="auto"/>
            <w:right w:val="none" w:sz="0" w:space="0" w:color="auto"/>
          </w:divBdr>
          <w:divsChild>
            <w:div w:id="1908690342">
              <w:marLeft w:val="0"/>
              <w:marRight w:val="0"/>
              <w:marTop w:val="0"/>
              <w:marBottom w:val="0"/>
              <w:divBdr>
                <w:top w:val="none" w:sz="0" w:space="0" w:color="auto"/>
                <w:left w:val="none" w:sz="0" w:space="0" w:color="auto"/>
                <w:bottom w:val="none" w:sz="0" w:space="0" w:color="auto"/>
                <w:right w:val="none" w:sz="0" w:space="0" w:color="auto"/>
              </w:divBdr>
              <w:divsChild>
                <w:div w:id="8616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46286">
      <w:bodyDiv w:val="1"/>
      <w:marLeft w:val="0"/>
      <w:marRight w:val="0"/>
      <w:marTop w:val="0"/>
      <w:marBottom w:val="0"/>
      <w:divBdr>
        <w:top w:val="none" w:sz="0" w:space="0" w:color="auto"/>
        <w:left w:val="none" w:sz="0" w:space="0" w:color="auto"/>
        <w:bottom w:val="none" w:sz="0" w:space="0" w:color="auto"/>
        <w:right w:val="none" w:sz="0" w:space="0" w:color="auto"/>
      </w:divBdr>
      <w:divsChild>
        <w:div w:id="1290629059">
          <w:marLeft w:val="0"/>
          <w:marRight w:val="0"/>
          <w:marTop w:val="0"/>
          <w:marBottom w:val="0"/>
          <w:divBdr>
            <w:top w:val="none" w:sz="0" w:space="0" w:color="auto"/>
            <w:left w:val="none" w:sz="0" w:space="0" w:color="auto"/>
            <w:bottom w:val="none" w:sz="0" w:space="0" w:color="auto"/>
            <w:right w:val="none" w:sz="0" w:space="0" w:color="auto"/>
          </w:divBdr>
          <w:divsChild>
            <w:div w:id="188958767">
              <w:marLeft w:val="0"/>
              <w:marRight w:val="0"/>
              <w:marTop w:val="0"/>
              <w:marBottom w:val="0"/>
              <w:divBdr>
                <w:top w:val="none" w:sz="0" w:space="0" w:color="auto"/>
                <w:left w:val="none" w:sz="0" w:space="0" w:color="auto"/>
                <w:bottom w:val="none" w:sz="0" w:space="0" w:color="auto"/>
                <w:right w:val="none" w:sz="0" w:space="0" w:color="auto"/>
              </w:divBdr>
              <w:divsChild>
                <w:div w:id="7730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646988">
      <w:bodyDiv w:val="1"/>
      <w:marLeft w:val="0"/>
      <w:marRight w:val="0"/>
      <w:marTop w:val="0"/>
      <w:marBottom w:val="0"/>
      <w:divBdr>
        <w:top w:val="none" w:sz="0" w:space="0" w:color="auto"/>
        <w:left w:val="none" w:sz="0" w:space="0" w:color="auto"/>
        <w:bottom w:val="none" w:sz="0" w:space="0" w:color="auto"/>
        <w:right w:val="none" w:sz="0" w:space="0" w:color="auto"/>
      </w:divBdr>
      <w:divsChild>
        <w:div w:id="1087919932">
          <w:marLeft w:val="0"/>
          <w:marRight w:val="0"/>
          <w:marTop w:val="0"/>
          <w:marBottom w:val="0"/>
          <w:divBdr>
            <w:top w:val="none" w:sz="0" w:space="0" w:color="auto"/>
            <w:left w:val="none" w:sz="0" w:space="0" w:color="auto"/>
            <w:bottom w:val="none" w:sz="0" w:space="0" w:color="auto"/>
            <w:right w:val="none" w:sz="0" w:space="0" w:color="auto"/>
          </w:divBdr>
          <w:divsChild>
            <w:div w:id="1050417646">
              <w:marLeft w:val="0"/>
              <w:marRight w:val="0"/>
              <w:marTop w:val="0"/>
              <w:marBottom w:val="0"/>
              <w:divBdr>
                <w:top w:val="none" w:sz="0" w:space="0" w:color="auto"/>
                <w:left w:val="none" w:sz="0" w:space="0" w:color="auto"/>
                <w:bottom w:val="none" w:sz="0" w:space="0" w:color="auto"/>
                <w:right w:val="none" w:sz="0" w:space="0" w:color="auto"/>
              </w:divBdr>
              <w:divsChild>
                <w:div w:id="178704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223249">
      <w:bodyDiv w:val="1"/>
      <w:marLeft w:val="0"/>
      <w:marRight w:val="0"/>
      <w:marTop w:val="0"/>
      <w:marBottom w:val="0"/>
      <w:divBdr>
        <w:top w:val="none" w:sz="0" w:space="0" w:color="auto"/>
        <w:left w:val="none" w:sz="0" w:space="0" w:color="auto"/>
        <w:bottom w:val="none" w:sz="0" w:space="0" w:color="auto"/>
        <w:right w:val="none" w:sz="0" w:space="0" w:color="auto"/>
      </w:divBdr>
      <w:divsChild>
        <w:div w:id="188766409">
          <w:marLeft w:val="0"/>
          <w:marRight w:val="0"/>
          <w:marTop w:val="0"/>
          <w:marBottom w:val="0"/>
          <w:divBdr>
            <w:top w:val="none" w:sz="0" w:space="0" w:color="auto"/>
            <w:left w:val="none" w:sz="0" w:space="0" w:color="auto"/>
            <w:bottom w:val="none" w:sz="0" w:space="0" w:color="auto"/>
            <w:right w:val="none" w:sz="0" w:space="0" w:color="auto"/>
          </w:divBdr>
          <w:divsChild>
            <w:div w:id="1457022673">
              <w:marLeft w:val="0"/>
              <w:marRight w:val="0"/>
              <w:marTop w:val="0"/>
              <w:marBottom w:val="0"/>
              <w:divBdr>
                <w:top w:val="none" w:sz="0" w:space="0" w:color="auto"/>
                <w:left w:val="none" w:sz="0" w:space="0" w:color="auto"/>
                <w:bottom w:val="none" w:sz="0" w:space="0" w:color="auto"/>
                <w:right w:val="none" w:sz="0" w:space="0" w:color="auto"/>
              </w:divBdr>
              <w:divsChild>
                <w:div w:id="1392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656798">
      <w:bodyDiv w:val="1"/>
      <w:marLeft w:val="0"/>
      <w:marRight w:val="0"/>
      <w:marTop w:val="0"/>
      <w:marBottom w:val="0"/>
      <w:divBdr>
        <w:top w:val="none" w:sz="0" w:space="0" w:color="auto"/>
        <w:left w:val="none" w:sz="0" w:space="0" w:color="auto"/>
        <w:bottom w:val="none" w:sz="0" w:space="0" w:color="auto"/>
        <w:right w:val="none" w:sz="0" w:space="0" w:color="auto"/>
      </w:divBdr>
      <w:divsChild>
        <w:div w:id="519515915">
          <w:marLeft w:val="0"/>
          <w:marRight w:val="0"/>
          <w:marTop w:val="0"/>
          <w:marBottom w:val="0"/>
          <w:divBdr>
            <w:top w:val="none" w:sz="0" w:space="0" w:color="auto"/>
            <w:left w:val="none" w:sz="0" w:space="0" w:color="auto"/>
            <w:bottom w:val="none" w:sz="0" w:space="0" w:color="auto"/>
            <w:right w:val="none" w:sz="0" w:space="0" w:color="auto"/>
          </w:divBdr>
          <w:divsChild>
            <w:div w:id="1928886224">
              <w:marLeft w:val="0"/>
              <w:marRight w:val="0"/>
              <w:marTop w:val="0"/>
              <w:marBottom w:val="0"/>
              <w:divBdr>
                <w:top w:val="none" w:sz="0" w:space="0" w:color="auto"/>
                <w:left w:val="none" w:sz="0" w:space="0" w:color="auto"/>
                <w:bottom w:val="none" w:sz="0" w:space="0" w:color="auto"/>
                <w:right w:val="none" w:sz="0" w:space="0" w:color="auto"/>
              </w:divBdr>
              <w:divsChild>
                <w:div w:id="43536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465686">
      <w:bodyDiv w:val="1"/>
      <w:marLeft w:val="0"/>
      <w:marRight w:val="0"/>
      <w:marTop w:val="0"/>
      <w:marBottom w:val="0"/>
      <w:divBdr>
        <w:top w:val="none" w:sz="0" w:space="0" w:color="auto"/>
        <w:left w:val="none" w:sz="0" w:space="0" w:color="auto"/>
        <w:bottom w:val="none" w:sz="0" w:space="0" w:color="auto"/>
        <w:right w:val="none" w:sz="0" w:space="0" w:color="auto"/>
      </w:divBdr>
      <w:divsChild>
        <w:div w:id="670911732">
          <w:marLeft w:val="0"/>
          <w:marRight w:val="0"/>
          <w:marTop w:val="0"/>
          <w:marBottom w:val="0"/>
          <w:divBdr>
            <w:top w:val="none" w:sz="0" w:space="0" w:color="auto"/>
            <w:left w:val="none" w:sz="0" w:space="0" w:color="auto"/>
            <w:bottom w:val="none" w:sz="0" w:space="0" w:color="auto"/>
            <w:right w:val="none" w:sz="0" w:space="0" w:color="auto"/>
          </w:divBdr>
          <w:divsChild>
            <w:div w:id="1574319546">
              <w:marLeft w:val="0"/>
              <w:marRight w:val="0"/>
              <w:marTop w:val="0"/>
              <w:marBottom w:val="0"/>
              <w:divBdr>
                <w:top w:val="none" w:sz="0" w:space="0" w:color="auto"/>
                <w:left w:val="none" w:sz="0" w:space="0" w:color="auto"/>
                <w:bottom w:val="none" w:sz="0" w:space="0" w:color="auto"/>
                <w:right w:val="none" w:sz="0" w:space="0" w:color="auto"/>
              </w:divBdr>
              <w:divsChild>
                <w:div w:id="20329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19389">
      <w:bodyDiv w:val="1"/>
      <w:marLeft w:val="0"/>
      <w:marRight w:val="0"/>
      <w:marTop w:val="0"/>
      <w:marBottom w:val="0"/>
      <w:divBdr>
        <w:top w:val="none" w:sz="0" w:space="0" w:color="auto"/>
        <w:left w:val="none" w:sz="0" w:space="0" w:color="auto"/>
        <w:bottom w:val="none" w:sz="0" w:space="0" w:color="auto"/>
        <w:right w:val="none" w:sz="0" w:space="0" w:color="auto"/>
      </w:divBdr>
      <w:divsChild>
        <w:div w:id="106781033">
          <w:marLeft w:val="0"/>
          <w:marRight w:val="0"/>
          <w:marTop w:val="0"/>
          <w:marBottom w:val="0"/>
          <w:divBdr>
            <w:top w:val="none" w:sz="0" w:space="0" w:color="auto"/>
            <w:left w:val="none" w:sz="0" w:space="0" w:color="auto"/>
            <w:bottom w:val="none" w:sz="0" w:space="0" w:color="auto"/>
            <w:right w:val="none" w:sz="0" w:space="0" w:color="auto"/>
          </w:divBdr>
          <w:divsChild>
            <w:div w:id="1285382348">
              <w:marLeft w:val="0"/>
              <w:marRight w:val="0"/>
              <w:marTop w:val="0"/>
              <w:marBottom w:val="0"/>
              <w:divBdr>
                <w:top w:val="none" w:sz="0" w:space="0" w:color="auto"/>
                <w:left w:val="none" w:sz="0" w:space="0" w:color="auto"/>
                <w:bottom w:val="none" w:sz="0" w:space="0" w:color="auto"/>
                <w:right w:val="none" w:sz="0" w:space="0" w:color="auto"/>
              </w:divBdr>
              <w:divsChild>
                <w:div w:id="18071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261089">
      <w:bodyDiv w:val="1"/>
      <w:marLeft w:val="0"/>
      <w:marRight w:val="0"/>
      <w:marTop w:val="0"/>
      <w:marBottom w:val="0"/>
      <w:divBdr>
        <w:top w:val="none" w:sz="0" w:space="0" w:color="auto"/>
        <w:left w:val="none" w:sz="0" w:space="0" w:color="auto"/>
        <w:bottom w:val="none" w:sz="0" w:space="0" w:color="auto"/>
        <w:right w:val="none" w:sz="0" w:space="0" w:color="auto"/>
      </w:divBdr>
      <w:divsChild>
        <w:div w:id="29653516">
          <w:marLeft w:val="0"/>
          <w:marRight w:val="0"/>
          <w:marTop w:val="0"/>
          <w:marBottom w:val="0"/>
          <w:divBdr>
            <w:top w:val="none" w:sz="0" w:space="0" w:color="auto"/>
            <w:left w:val="none" w:sz="0" w:space="0" w:color="auto"/>
            <w:bottom w:val="none" w:sz="0" w:space="0" w:color="auto"/>
            <w:right w:val="none" w:sz="0" w:space="0" w:color="auto"/>
          </w:divBdr>
          <w:divsChild>
            <w:div w:id="1538196056">
              <w:marLeft w:val="0"/>
              <w:marRight w:val="0"/>
              <w:marTop w:val="0"/>
              <w:marBottom w:val="0"/>
              <w:divBdr>
                <w:top w:val="none" w:sz="0" w:space="0" w:color="auto"/>
                <w:left w:val="none" w:sz="0" w:space="0" w:color="auto"/>
                <w:bottom w:val="none" w:sz="0" w:space="0" w:color="auto"/>
                <w:right w:val="none" w:sz="0" w:space="0" w:color="auto"/>
              </w:divBdr>
              <w:divsChild>
                <w:div w:id="61717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21766">
      <w:bodyDiv w:val="1"/>
      <w:marLeft w:val="0"/>
      <w:marRight w:val="0"/>
      <w:marTop w:val="0"/>
      <w:marBottom w:val="0"/>
      <w:divBdr>
        <w:top w:val="none" w:sz="0" w:space="0" w:color="auto"/>
        <w:left w:val="none" w:sz="0" w:space="0" w:color="auto"/>
        <w:bottom w:val="none" w:sz="0" w:space="0" w:color="auto"/>
        <w:right w:val="none" w:sz="0" w:space="0" w:color="auto"/>
      </w:divBdr>
      <w:divsChild>
        <w:div w:id="1231843504">
          <w:marLeft w:val="0"/>
          <w:marRight w:val="0"/>
          <w:marTop w:val="0"/>
          <w:marBottom w:val="0"/>
          <w:divBdr>
            <w:top w:val="none" w:sz="0" w:space="0" w:color="auto"/>
            <w:left w:val="none" w:sz="0" w:space="0" w:color="auto"/>
            <w:bottom w:val="none" w:sz="0" w:space="0" w:color="auto"/>
            <w:right w:val="none" w:sz="0" w:space="0" w:color="auto"/>
          </w:divBdr>
          <w:divsChild>
            <w:div w:id="1691101542">
              <w:marLeft w:val="0"/>
              <w:marRight w:val="0"/>
              <w:marTop w:val="0"/>
              <w:marBottom w:val="0"/>
              <w:divBdr>
                <w:top w:val="none" w:sz="0" w:space="0" w:color="auto"/>
                <w:left w:val="none" w:sz="0" w:space="0" w:color="auto"/>
                <w:bottom w:val="none" w:sz="0" w:space="0" w:color="auto"/>
                <w:right w:val="none" w:sz="0" w:space="0" w:color="auto"/>
              </w:divBdr>
              <w:divsChild>
                <w:div w:id="17214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80177">
      <w:bodyDiv w:val="1"/>
      <w:marLeft w:val="0"/>
      <w:marRight w:val="0"/>
      <w:marTop w:val="0"/>
      <w:marBottom w:val="0"/>
      <w:divBdr>
        <w:top w:val="none" w:sz="0" w:space="0" w:color="auto"/>
        <w:left w:val="none" w:sz="0" w:space="0" w:color="auto"/>
        <w:bottom w:val="none" w:sz="0" w:space="0" w:color="auto"/>
        <w:right w:val="none" w:sz="0" w:space="0" w:color="auto"/>
      </w:divBdr>
      <w:divsChild>
        <w:div w:id="67923357">
          <w:marLeft w:val="0"/>
          <w:marRight w:val="0"/>
          <w:marTop w:val="0"/>
          <w:marBottom w:val="0"/>
          <w:divBdr>
            <w:top w:val="none" w:sz="0" w:space="0" w:color="auto"/>
            <w:left w:val="none" w:sz="0" w:space="0" w:color="auto"/>
            <w:bottom w:val="none" w:sz="0" w:space="0" w:color="auto"/>
            <w:right w:val="none" w:sz="0" w:space="0" w:color="auto"/>
          </w:divBdr>
          <w:divsChild>
            <w:div w:id="50621558">
              <w:marLeft w:val="0"/>
              <w:marRight w:val="0"/>
              <w:marTop w:val="0"/>
              <w:marBottom w:val="0"/>
              <w:divBdr>
                <w:top w:val="none" w:sz="0" w:space="0" w:color="auto"/>
                <w:left w:val="none" w:sz="0" w:space="0" w:color="auto"/>
                <w:bottom w:val="none" w:sz="0" w:space="0" w:color="auto"/>
                <w:right w:val="none" w:sz="0" w:space="0" w:color="auto"/>
              </w:divBdr>
              <w:divsChild>
                <w:div w:id="191211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83765">
      <w:bodyDiv w:val="1"/>
      <w:marLeft w:val="0"/>
      <w:marRight w:val="0"/>
      <w:marTop w:val="0"/>
      <w:marBottom w:val="0"/>
      <w:divBdr>
        <w:top w:val="none" w:sz="0" w:space="0" w:color="auto"/>
        <w:left w:val="none" w:sz="0" w:space="0" w:color="auto"/>
        <w:bottom w:val="none" w:sz="0" w:space="0" w:color="auto"/>
        <w:right w:val="none" w:sz="0" w:space="0" w:color="auto"/>
      </w:divBdr>
      <w:divsChild>
        <w:div w:id="757480691">
          <w:marLeft w:val="0"/>
          <w:marRight w:val="0"/>
          <w:marTop w:val="0"/>
          <w:marBottom w:val="0"/>
          <w:divBdr>
            <w:top w:val="none" w:sz="0" w:space="0" w:color="auto"/>
            <w:left w:val="none" w:sz="0" w:space="0" w:color="auto"/>
            <w:bottom w:val="none" w:sz="0" w:space="0" w:color="auto"/>
            <w:right w:val="none" w:sz="0" w:space="0" w:color="auto"/>
          </w:divBdr>
          <w:divsChild>
            <w:div w:id="570894363">
              <w:marLeft w:val="0"/>
              <w:marRight w:val="0"/>
              <w:marTop w:val="0"/>
              <w:marBottom w:val="0"/>
              <w:divBdr>
                <w:top w:val="none" w:sz="0" w:space="0" w:color="auto"/>
                <w:left w:val="none" w:sz="0" w:space="0" w:color="auto"/>
                <w:bottom w:val="none" w:sz="0" w:space="0" w:color="auto"/>
                <w:right w:val="none" w:sz="0" w:space="0" w:color="auto"/>
              </w:divBdr>
              <w:divsChild>
                <w:div w:id="723599675">
                  <w:marLeft w:val="0"/>
                  <w:marRight w:val="0"/>
                  <w:marTop w:val="0"/>
                  <w:marBottom w:val="0"/>
                  <w:divBdr>
                    <w:top w:val="none" w:sz="0" w:space="0" w:color="auto"/>
                    <w:left w:val="none" w:sz="0" w:space="0" w:color="auto"/>
                    <w:bottom w:val="none" w:sz="0" w:space="0" w:color="auto"/>
                    <w:right w:val="none" w:sz="0" w:space="0" w:color="auto"/>
                  </w:divBdr>
                  <w:divsChild>
                    <w:div w:id="13392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124218">
      <w:bodyDiv w:val="1"/>
      <w:marLeft w:val="0"/>
      <w:marRight w:val="0"/>
      <w:marTop w:val="0"/>
      <w:marBottom w:val="0"/>
      <w:divBdr>
        <w:top w:val="none" w:sz="0" w:space="0" w:color="auto"/>
        <w:left w:val="none" w:sz="0" w:space="0" w:color="auto"/>
        <w:bottom w:val="none" w:sz="0" w:space="0" w:color="auto"/>
        <w:right w:val="none" w:sz="0" w:space="0" w:color="auto"/>
      </w:divBdr>
    </w:div>
    <w:div w:id="1164279425">
      <w:bodyDiv w:val="1"/>
      <w:marLeft w:val="0"/>
      <w:marRight w:val="0"/>
      <w:marTop w:val="0"/>
      <w:marBottom w:val="0"/>
      <w:divBdr>
        <w:top w:val="none" w:sz="0" w:space="0" w:color="auto"/>
        <w:left w:val="none" w:sz="0" w:space="0" w:color="auto"/>
        <w:bottom w:val="none" w:sz="0" w:space="0" w:color="auto"/>
        <w:right w:val="none" w:sz="0" w:space="0" w:color="auto"/>
      </w:divBdr>
      <w:divsChild>
        <w:div w:id="1696342667">
          <w:marLeft w:val="0"/>
          <w:marRight w:val="0"/>
          <w:marTop w:val="0"/>
          <w:marBottom w:val="0"/>
          <w:divBdr>
            <w:top w:val="none" w:sz="0" w:space="0" w:color="auto"/>
            <w:left w:val="none" w:sz="0" w:space="0" w:color="auto"/>
            <w:bottom w:val="none" w:sz="0" w:space="0" w:color="auto"/>
            <w:right w:val="none" w:sz="0" w:space="0" w:color="auto"/>
          </w:divBdr>
          <w:divsChild>
            <w:div w:id="562300851">
              <w:marLeft w:val="0"/>
              <w:marRight w:val="0"/>
              <w:marTop w:val="0"/>
              <w:marBottom w:val="0"/>
              <w:divBdr>
                <w:top w:val="none" w:sz="0" w:space="0" w:color="auto"/>
                <w:left w:val="none" w:sz="0" w:space="0" w:color="auto"/>
                <w:bottom w:val="none" w:sz="0" w:space="0" w:color="auto"/>
                <w:right w:val="none" w:sz="0" w:space="0" w:color="auto"/>
              </w:divBdr>
              <w:divsChild>
                <w:div w:id="5759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4481">
      <w:bodyDiv w:val="1"/>
      <w:marLeft w:val="0"/>
      <w:marRight w:val="0"/>
      <w:marTop w:val="0"/>
      <w:marBottom w:val="0"/>
      <w:divBdr>
        <w:top w:val="none" w:sz="0" w:space="0" w:color="auto"/>
        <w:left w:val="none" w:sz="0" w:space="0" w:color="auto"/>
        <w:bottom w:val="none" w:sz="0" w:space="0" w:color="auto"/>
        <w:right w:val="none" w:sz="0" w:space="0" w:color="auto"/>
      </w:divBdr>
      <w:divsChild>
        <w:div w:id="1897008201">
          <w:marLeft w:val="0"/>
          <w:marRight w:val="0"/>
          <w:marTop w:val="0"/>
          <w:marBottom w:val="0"/>
          <w:divBdr>
            <w:top w:val="none" w:sz="0" w:space="0" w:color="auto"/>
            <w:left w:val="none" w:sz="0" w:space="0" w:color="auto"/>
            <w:bottom w:val="none" w:sz="0" w:space="0" w:color="auto"/>
            <w:right w:val="none" w:sz="0" w:space="0" w:color="auto"/>
          </w:divBdr>
          <w:divsChild>
            <w:div w:id="1367951071">
              <w:marLeft w:val="0"/>
              <w:marRight w:val="0"/>
              <w:marTop w:val="0"/>
              <w:marBottom w:val="0"/>
              <w:divBdr>
                <w:top w:val="none" w:sz="0" w:space="0" w:color="auto"/>
                <w:left w:val="none" w:sz="0" w:space="0" w:color="auto"/>
                <w:bottom w:val="none" w:sz="0" w:space="0" w:color="auto"/>
                <w:right w:val="none" w:sz="0" w:space="0" w:color="auto"/>
              </w:divBdr>
              <w:divsChild>
                <w:div w:id="1505584060">
                  <w:marLeft w:val="0"/>
                  <w:marRight w:val="0"/>
                  <w:marTop w:val="0"/>
                  <w:marBottom w:val="0"/>
                  <w:divBdr>
                    <w:top w:val="none" w:sz="0" w:space="0" w:color="auto"/>
                    <w:left w:val="none" w:sz="0" w:space="0" w:color="auto"/>
                    <w:bottom w:val="none" w:sz="0" w:space="0" w:color="auto"/>
                    <w:right w:val="none" w:sz="0" w:space="0" w:color="auto"/>
                  </w:divBdr>
                  <w:divsChild>
                    <w:div w:id="15311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062068">
      <w:bodyDiv w:val="1"/>
      <w:marLeft w:val="0"/>
      <w:marRight w:val="0"/>
      <w:marTop w:val="0"/>
      <w:marBottom w:val="0"/>
      <w:divBdr>
        <w:top w:val="none" w:sz="0" w:space="0" w:color="auto"/>
        <w:left w:val="none" w:sz="0" w:space="0" w:color="auto"/>
        <w:bottom w:val="none" w:sz="0" w:space="0" w:color="auto"/>
        <w:right w:val="none" w:sz="0" w:space="0" w:color="auto"/>
      </w:divBdr>
      <w:divsChild>
        <w:div w:id="603347406">
          <w:marLeft w:val="0"/>
          <w:marRight w:val="0"/>
          <w:marTop w:val="0"/>
          <w:marBottom w:val="0"/>
          <w:divBdr>
            <w:top w:val="none" w:sz="0" w:space="0" w:color="auto"/>
            <w:left w:val="none" w:sz="0" w:space="0" w:color="auto"/>
            <w:bottom w:val="none" w:sz="0" w:space="0" w:color="auto"/>
            <w:right w:val="none" w:sz="0" w:space="0" w:color="auto"/>
          </w:divBdr>
          <w:divsChild>
            <w:div w:id="616104270">
              <w:marLeft w:val="0"/>
              <w:marRight w:val="0"/>
              <w:marTop w:val="0"/>
              <w:marBottom w:val="0"/>
              <w:divBdr>
                <w:top w:val="none" w:sz="0" w:space="0" w:color="auto"/>
                <w:left w:val="none" w:sz="0" w:space="0" w:color="auto"/>
                <w:bottom w:val="none" w:sz="0" w:space="0" w:color="auto"/>
                <w:right w:val="none" w:sz="0" w:space="0" w:color="auto"/>
              </w:divBdr>
              <w:divsChild>
                <w:div w:id="15297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521613">
      <w:bodyDiv w:val="1"/>
      <w:marLeft w:val="0"/>
      <w:marRight w:val="0"/>
      <w:marTop w:val="0"/>
      <w:marBottom w:val="0"/>
      <w:divBdr>
        <w:top w:val="none" w:sz="0" w:space="0" w:color="auto"/>
        <w:left w:val="none" w:sz="0" w:space="0" w:color="auto"/>
        <w:bottom w:val="none" w:sz="0" w:space="0" w:color="auto"/>
        <w:right w:val="none" w:sz="0" w:space="0" w:color="auto"/>
      </w:divBdr>
      <w:divsChild>
        <w:div w:id="2002543865">
          <w:marLeft w:val="0"/>
          <w:marRight w:val="0"/>
          <w:marTop w:val="0"/>
          <w:marBottom w:val="0"/>
          <w:divBdr>
            <w:top w:val="none" w:sz="0" w:space="0" w:color="auto"/>
            <w:left w:val="none" w:sz="0" w:space="0" w:color="auto"/>
            <w:bottom w:val="none" w:sz="0" w:space="0" w:color="auto"/>
            <w:right w:val="none" w:sz="0" w:space="0" w:color="auto"/>
          </w:divBdr>
          <w:divsChild>
            <w:div w:id="1532263159">
              <w:marLeft w:val="0"/>
              <w:marRight w:val="0"/>
              <w:marTop w:val="0"/>
              <w:marBottom w:val="0"/>
              <w:divBdr>
                <w:top w:val="none" w:sz="0" w:space="0" w:color="auto"/>
                <w:left w:val="none" w:sz="0" w:space="0" w:color="auto"/>
                <w:bottom w:val="none" w:sz="0" w:space="0" w:color="auto"/>
                <w:right w:val="none" w:sz="0" w:space="0" w:color="auto"/>
              </w:divBdr>
              <w:divsChild>
                <w:div w:id="62423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05053">
      <w:bodyDiv w:val="1"/>
      <w:marLeft w:val="0"/>
      <w:marRight w:val="0"/>
      <w:marTop w:val="0"/>
      <w:marBottom w:val="0"/>
      <w:divBdr>
        <w:top w:val="none" w:sz="0" w:space="0" w:color="auto"/>
        <w:left w:val="none" w:sz="0" w:space="0" w:color="auto"/>
        <w:bottom w:val="none" w:sz="0" w:space="0" w:color="auto"/>
        <w:right w:val="none" w:sz="0" w:space="0" w:color="auto"/>
      </w:divBdr>
      <w:divsChild>
        <w:div w:id="1116680370">
          <w:marLeft w:val="0"/>
          <w:marRight w:val="0"/>
          <w:marTop w:val="0"/>
          <w:marBottom w:val="0"/>
          <w:divBdr>
            <w:top w:val="none" w:sz="0" w:space="0" w:color="auto"/>
            <w:left w:val="none" w:sz="0" w:space="0" w:color="auto"/>
            <w:bottom w:val="none" w:sz="0" w:space="0" w:color="auto"/>
            <w:right w:val="none" w:sz="0" w:space="0" w:color="auto"/>
          </w:divBdr>
          <w:divsChild>
            <w:div w:id="2137140926">
              <w:marLeft w:val="0"/>
              <w:marRight w:val="0"/>
              <w:marTop w:val="0"/>
              <w:marBottom w:val="0"/>
              <w:divBdr>
                <w:top w:val="none" w:sz="0" w:space="0" w:color="auto"/>
                <w:left w:val="none" w:sz="0" w:space="0" w:color="auto"/>
                <w:bottom w:val="none" w:sz="0" w:space="0" w:color="auto"/>
                <w:right w:val="none" w:sz="0" w:space="0" w:color="auto"/>
              </w:divBdr>
              <w:divsChild>
                <w:div w:id="486433348">
                  <w:marLeft w:val="0"/>
                  <w:marRight w:val="0"/>
                  <w:marTop w:val="0"/>
                  <w:marBottom w:val="0"/>
                  <w:divBdr>
                    <w:top w:val="none" w:sz="0" w:space="0" w:color="auto"/>
                    <w:left w:val="none" w:sz="0" w:space="0" w:color="auto"/>
                    <w:bottom w:val="none" w:sz="0" w:space="0" w:color="auto"/>
                    <w:right w:val="none" w:sz="0" w:space="0" w:color="auto"/>
                  </w:divBdr>
                  <w:divsChild>
                    <w:div w:id="12072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23134">
      <w:bodyDiv w:val="1"/>
      <w:marLeft w:val="0"/>
      <w:marRight w:val="0"/>
      <w:marTop w:val="0"/>
      <w:marBottom w:val="0"/>
      <w:divBdr>
        <w:top w:val="none" w:sz="0" w:space="0" w:color="auto"/>
        <w:left w:val="none" w:sz="0" w:space="0" w:color="auto"/>
        <w:bottom w:val="none" w:sz="0" w:space="0" w:color="auto"/>
        <w:right w:val="none" w:sz="0" w:space="0" w:color="auto"/>
      </w:divBdr>
      <w:divsChild>
        <w:div w:id="28379441">
          <w:marLeft w:val="0"/>
          <w:marRight w:val="0"/>
          <w:marTop w:val="0"/>
          <w:marBottom w:val="0"/>
          <w:divBdr>
            <w:top w:val="none" w:sz="0" w:space="0" w:color="auto"/>
            <w:left w:val="none" w:sz="0" w:space="0" w:color="auto"/>
            <w:bottom w:val="none" w:sz="0" w:space="0" w:color="auto"/>
            <w:right w:val="none" w:sz="0" w:space="0" w:color="auto"/>
          </w:divBdr>
        </w:div>
        <w:div w:id="104934877">
          <w:marLeft w:val="0"/>
          <w:marRight w:val="0"/>
          <w:marTop w:val="0"/>
          <w:marBottom w:val="0"/>
          <w:divBdr>
            <w:top w:val="none" w:sz="0" w:space="0" w:color="auto"/>
            <w:left w:val="none" w:sz="0" w:space="0" w:color="auto"/>
            <w:bottom w:val="none" w:sz="0" w:space="0" w:color="auto"/>
            <w:right w:val="none" w:sz="0" w:space="0" w:color="auto"/>
          </w:divBdr>
        </w:div>
        <w:div w:id="219480767">
          <w:marLeft w:val="0"/>
          <w:marRight w:val="0"/>
          <w:marTop w:val="0"/>
          <w:marBottom w:val="0"/>
          <w:divBdr>
            <w:top w:val="none" w:sz="0" w:space="0" w:color="auto"/>
            <w:left w:val="none" w:sz="0" w:space="0" w:color="auto"/>
            <w:bottom w:val="none" w:sz="0" w:space="0" w:color="auto"/>
            <w:right w:val="none" w:sz="0" w:space="0" w:color="auto"/>
          </w:divBdr>
        </w:div>
        <w:div w:id="316153512">
          <w:marLeft w:val="0"/>
          <w:marRight w:val="0"/>
          <w:marTop w:val="0"/>
          <w:marBottom w:val="0"/>
          <w:divBdr>
            <w:top w:val="none" w:sz="0" w:space="0" w:color="auto"/>
            <w:left w:val="none" w:sz="0" w:space="0" w:color="auto"/>
            <w:bottom w:val="none" w:sz="0" w:space="0" w:color="auto"/>
            <w:right w:val="none" w:sz="0" w:space="0" w:color="auto"/>
          </w:divBdr>
        </w:div>
        <w:div w:id="400950028">
          <w:marLeft w:val="0"/>
          <w:marRight w:val="0"/>
          <w:marTop w:val="0"/>
          <w:marBottom w:val="0"/>
          <w:divBdr>
            <w:top w:val="none" w:sz="0" w:space="0" w:color="auto"/>
            <w:left w:val="none" w:sz="0" w:space="0" w:color="auto"/>
            <w:bottom w:val="none" w:sz="0" w:space="0" w:color="auto"/>
            <w:right w:val="none" w:sz="0" w:space="0" w:color="auto"/>
          </w:divBdr>
        </w:div>
        <w:div w:id="535460867">
          <w:marLeft w:val="0"/>
          <w:marRight w:val="0"/>
          <w:marTop w:val="0"/>
          <w:marBottom w:val="0"/>
          <w:divBdr>
            <w:top w:val="none" w:sz="0" w:space="0" w:color="auto"/>
            <w:left w:val="none" w:sz="0" w:space="0" w:color="auto"/>
            <w:bottom w:val="none" w:sz="0" w:space="0" w:color="auto"/>
            <w:right w:val="none" w:sz="0" w:space="0" w:color="auto"/>
          </w:divBdr>
        </w:div>
        <w:div w:id="577440831">
          <w:marLeft w:val="0"/>
          <w:marRight w:val="0"/>
          <w:marTop w:val="0"/>
          <w:marBottom w:val="0"/>
          <w:divBdr>
            <w:top w:val="none" w:sz="0" w:space="0" w:color="auto"/>
            <w:left w:val="none" w:sz="0" w:space="0" w:color="auto"/>
            <w:bottom w:val="none" w:sz="0" w:space="0" w:color="auto"/>
            <w:right w:val="none" w:sz="0" w:space="0" w:color="auto"/>
          </w:divBdr>
        </w:div>
        <w:div w:id="610478379">
          <w:marLeft w:val="0"/>
          <w:marRight w:val="0"/>
          <w:marTop w:val="0"/>
          <w:marBottom w:val="0"/>
          <w:divBdr>
            <w:top w:val="none" w:sz="0" w:space="0" w:color="auto"/>
            <w:left w:val="none" w:sz="0" w:space="0" w:color="auto"/>
            <w:bottom w:val="none" w:sz="0" w:space="0" w:color="auto"/>
            <w:right w:val="none" w:sz="0" w:space="0" w:color="auto"/>
          </w:divBdr>
        </w:div>
        <w:div w:id="701826943">
          <w:marLeft w:val="0"/>
          <w:marRight w:val="0"/>
          <w:marTop w:val="0"/>
          <w:marBottom w:val="0"/>
          <w:divBdr>
            <w:top w:val="none" w:sz="0" w:space="0" w:color="auto"/>
            <w:left w:val="none" w:sz="0" w:space="0" w:color="auto"/>
            <w:bottom w:val="none" w:sz="0" w:space="0" w:color="auto"/>
            <w:right w:val="none" w:sz="0" w:space="0" w:color="auto"/>
          </w:divBdr>
        </w:div>
        <w:div w:id="1023020695">
          <w:marLeft w:val="0"/>
          <w:marRight w:val="0"/>
          <w:marTop w:val="0"/>
          <w:marBottom w:val="0"/>
          <w:divBdr>
            <w:top w:val="none" w:sz="0" w:space="0" w:color="auto"/>
            <w:left w:val="none" w:sz="0" w:space="0" w:color="auto"/>
            <w:bottom w:val="none" w:sz="0" w:space="0" w:color="auto"/>
            <w:right w:val="none" w:sz="0" w:space="0" w:color="auto"/>
          </w:divBdr>
        </w:div>
        <w:div w:id="1210067230">
          <w:marLeft w:val="0"/>
          <w:marRight w:val="0"/>
          <w:marTop w:val="0"/>
          <w:marBottom w:val="0"/>
          <w:divBdr>
            <w:top w:val="none" w:sz="0" w:space="0" w:color="auto"/>
            <w:left w:val="none" w:sz="0" w:space="0" w:color="auto"/>
            <w:bottom w:val="none" w:sz="0" w:space="0" w:color="auto"/>
            <w:right w:val="none" w:sz="0" w:space="0" w:color="auto"/>
          </w:divBdr>
        </w:div>
        <w:div w:id="1338070552">
          <w:marLeft w:val="0"/>
          <w:marRight w:val="0"/>
          <w:marTop w:val="0"/>
          <w:marBottom w:val="0"/>
          <w:divBdr>
            <w:top w:val="none" w:sz="0" w:space="0" w:color="auto"/>
            <w:left w:val="none" w:sz="0" w:space="0" w:color="auto"/>
            <w:bottom w:val="none" w:sz="0" w:space="0" w:color="auto"/>
            <w:right w:val="none" w:sz="0" w:space="0" w:color="auto"/>
          </w:divBdr>
        </w:div>
        <w:div w:id="1529610881">
          <w:marLeft w:val="0"/>
          <w:marRight w:val="0"/>
          <w:marTop w:val="0"/>
          <w:marBottom w:val="0"/>
          <w:divBdr>
            <w:top w:val="none" w:sz="0" w:space="0" w:color="auto"/>
            <w:left w:val="none" w:sz="0" w:space="0" w:color="auto"/>
            <w:bottom w:val="none" w:sz="0" w:space="0" w:color="auto"/>
            <w:right w:val="none" w:sz="0" w:space="0" w:color="auto"/>
          </w:divBdr>
        </w:div>
        <w:div w:id="1756590520">
          <w:marLeft w:val="0"/>
          <w:marRight w:val="0"/>
          <w:marTop w:val="0"/>
          <w:marBottom w:val="0"/>
          <w:divBdr>
            <w:top w:val="none" w:sz="0" w:space="0" w:color="auto"/>
            <w:left w:val="none" w:sz="0" w:space="0" w:color="auto"/>
            <w:bottom w:val="none" w:sz="0" w:space="0" w:color="auto"/>
            <w:right w:val="none" w:sz="0" w:space="0" w:color="auto"/>
          </w:divBdr>
        </w:div>
        <w:div w:id="1762024715">
          <w:marLeft w:val="0"/>
          <w:marRight w:val="0"/>
          <w:marTop w:val="0"/>
          <w:marBottom w:val="0"/>
          <w:divBdr>
            <w:top w:val="none" w:sz="0" w:space="0" w:color="auto"/>
            <w:left w:val="none" w:sz="0" w:space="0" w:color="auto"/>
            <w:bottom w:val="none" w:sz="0" w:space="0" w:color="auto"/>
            <w:right w:val="none" w:sz="0" w:space="0" w:color="auto"/>
          </w:divBdr>
        </w:div>
        <w:div w:id="2048753492">
          <w:marLeft w:val="0"/>
          <w:marRight w:val="0"/>
          <w:marTop w:val="0"/>
          <w:marBottom w:val="0"/>
          <w:divBdr>
            <w:top w:val="none" w:sz="0" w:space="0" w:color="auto"/>
            <w:left w:val="none" w:sz="0" w:space="0" w:color="auto"/>
            <w:bottom w:val="none" w:sz="0" w:space="0" w:color="auto"/>
            <w:right w:val="none" w:sz="0" w:space="0" w:color="auto"/>
          </w:divBdr>
        </w:div>
        <w:div w:id="2103838992">
          <w:marLeft w:val="0"/>
          <w:marRight w:val="0"/>
          <w:marTop w:val="0"/>
          <w:marBottom w:val="0"/>
          <w:divBdr>
            <w:top w:val="none" w:sz="0" w:space="0" w:color="auto"/>
            <w:left w:val="none" w:sz="0" w:space="0" w:color="auto"/>
            <w:bottom w:val="none" w:sz="0" w:space="0" w:color="auto"/>
            <w:right w:val="none" w:sz="0" w:space="0" w:color="auto"/>
          </w:divBdr>
        </w:div>
      </w:divsChild>
    </w:div>
    <w:div w:id="1177308547">
      <w:bodyDiv w:val="1"/>
      <w:marLeft w:val="0"/>
      <w:marRight w:val="0"/>
      <w:marTop w:val="0"/>
      <w:marBottom w:val="0"/>
      <w:divBdr>
        <w:top w:val="none" w:sz="0" w:space="0" w:color="auto"/>
        <w:left w:val="none" w:sz="0" w:space="0" w:color="auto"/>
        <w:bottom w:val="none" w:sz="0" w:space="0" w:color="auto"/>
        <w:right w:val="none" w:sz="0" w:space="0" w:color="auto"/>
      </w:divBdr>
      <w:divsChild>
        <w:div w:id="943344720">
          <w:marLeft w:val="0"/>
          <w:marRight w:val="0"/>
          <w:marTop w:val="0"/>
          <w:marBottom w:val="0"/>
          <w:divBdr>
            <w:top w:val="none" w:sz="0" w:space="0" w:color="auto"/>
            <w:left w:val="none" w:sz="0" w:space="0" w:color="auto"/>
            <w:bottom w:val="none" w:sz="0" w:space="0" w:color="auto"/>
            <w:right w:val="none" w:sz="0" w:space="0" w:color="auto"/>
          </w:divBdr>
          <w:divsChild>
            <w:div w:id="1416779073">
              <w:marLeft w:val="0"/>
              <w:marRight w:val="0"/>
              <w:marTop w:val="0"/>
              <w:marBottom w:val="0"/>
              <w:divBdr>
                <w:top w:val="none" w:sz="0" w:space="0" w:color="auto"/>
                <w:left w:val="none" w:sz="0" w:space="0" w:color="auto"/>
                <w:bottom w:val="none" w:sz="0" w:space="0" w:color="auto"/>
                <w:right w:val="none" w:sz="0" w:space="0" w:color="auto"/>
              </w:divBdr>
              <w:divsChild>
                <w:div w:id="5699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89468">
      <w:bodyDiv w:val="1"/>
      <w:marLeft w:val="0"/>
      <w:marRight w:val="0"/>
      <w:marTop w:val="0"/>
      <w:marBottom w:val="0"/>
      <w:divBdr>
        <w:top w:val="none" w:sz="0" w:space="0" w:color="auto"/>
        <w:left w:val="none" w:sz="0" w:space="0" w:color="auto"/>
        <w:bottom w:val="none" w:sz="0" w:space="0" w:color="auto"/>
        <w:right w:val="none" w:sz="0" w:space="0" w:color="auto"/>
      </w:divBdr>
      <w:divsChild>
        <w:div w:id="1400402226">
          <w:marLeft w:val="0"/>
          <w:marRight w:val="0"/>
          <w:marTop w:val="0"/>
          <w:marBottom w:val="0"/>
          <w:divBdr>
            <w:top w:val="none" w:sz="0" w:space="0" w:color="auto"/>
            <w:left w:val="none" w:sz="0" w:space="0" w:color="auto"/>
            <w:bottom w:val="none" w:sz="0" w:space="0" w:color="auto"/>
            <w:right w:val="none" w:sz="0" w:space="0" w:color="auto"/>
          </w:divBdr>
        </w:div>
      </w:divsChild>
    </w:div>
    <w:div w:id="1180318707">
      <w:bodyDiv w:val="1"/>
      <w:marLeft w:val="0"/>
      <w:marRight w:val="0"/>
      <w:marTop w:val="0"/>
      <w:marBottom w:val="0"/>
      <w:divBdr>
        <w:top w:val="none" w:sz="0" w:space="0" w:color="auto"/>
        <w:left w:val="none" w:sz="0" w:space="0" w:color="auto"/>
        <w:bottom w:val="none" w:sz="0" w:space="0" w:color="auto"/>
        <w:right w:val="none" w:sz="0" w:space="0" w:color="auto"/>
      </w:divBdr>
      <w:divsChild>
        <w:div w:id="1453011857">
          <w:marLeft w:val="0"/>
          <w:marRight w:val="0"/>
          <w:marTop w:val="0"/>
          <w:marBottom w:val="0"/>
          <w:divBdr>
            <w:top w:val="none" w:sz="0" w:space="0" w:color="auto"/>
            <w:left w:val="none" w:sz="0" w:space="0" w:color="auto"/>
            <w:bottom w:val="none" w:sz="0" w:space="0" w:color="auto"/>
            <w:right w:val="none" w:sz="0" w:space="0" w:color="auto"/>
          </w:divBdr>
          <w:divsChild>
            <w:div w:id="727458063">
              <w:marLeft w:val="0"/>
              <w:marRight w:val="0"/>
              <w:marTop w:val="0"/>
              <w:marBottom w:val="0"/>
              <w:divBdr>
                <w:top w:val="none" w:sz="0" w:space="0" w:color="auto"/>
                <w:left w:val="none" w:sz="0" w:space="0" w:color="auto"/>
                <w:bottom w:val="none" w:sz="0" w:space="0" w:color="auto"/>
                <w:right w:val="none" w:sz="0" w:space="0" w:color="auto"/>
              </w:divBdr>
              <w:divsChild>
                <w:div w:id="164681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789731">
      <w:bodyDiv w:val="1"/>
      <w:marLeft w:val="0"/>
      <w:marRight w:val="0"/>
      <w:marTop w:val="0"/>
      <w:marBottom w:val="0"/>
      <w:divBdr>
        <w:top w:val="none" w:sz="0" w:space="0" w:color="auto"/>
        <w:left w:val="none" w:sz="0" w:space="0" w:color="auto"/>
        <w:bottom w:val="none" w:sz="0" w:space="0" w:color="auto"/>
        <w:right w:val="none" w:sz="0" w:space="0" w:color="auto"/>
      </w:divBdr>
      <w:divsChild>
        <w:div w:id="1019235832">
          <w:marLeft w:val="0"/>
          <w:marRight w:val="0"/>
          <w:marTop w:val="0"/>
          <w:marBottom w:val="0"/>
          <w:divBdr>
            <w:top w:val="none" w:sz="0" w:space="0" w:color="auto"/>
            <w:left w:val="none" w:sz="0" w:space="0" w:color="auto"/>
            <w:bottom w:val="none" w:sz="0" w:space="0" w:color="auto"/>
            <w:right w:val="none" w:sz="0" w:space="0" w:color="auto"/>
          </w:divBdr>
          <w:divsChild>
            <w:div w:id="1617254307">
              <w:marLeft w:val="0"/>
              <w:marRight w:val="0"/>
              <w:marTop w:val="0"/>
              <w:marBottom w:val="0"/>
              <w:divBdr>
                <w:top w:val="none" w:sz="0" w:space="0" w:color="auto"/>
                <w:left w:val="none" w:sz="0" w:space="0" w:color="auto"/>
                <w:bottom w:val="none" w:sz="0" w:space="0" w:color="auto"/>
                <w:right w:val="none" w:sz="0" w:space="0" w:color="auto"/>
              </w:divBdr>
              <w:divsChild>
                <w:div w:id="18688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333335">
      <w:bodyDiv w:val="1"/>
      <w:marLeft w:val="0"/>
      <w:marRight w:val="0"/>
      <w:marTop w:val="0"/>
      <w:marBottom w:val="0"/>
      <w:divBdr>
        <w:top w:val="none" w:sz="0" w:space="0" w:color="auto"/>
        <w:left w:val="none" w:sz="0" w:space="0" w:color="auto"/>
        <w:bottom w:val="none" w:sz="0" w:space="0" w:color="auto"/>
        <w:right w:val="none" w:sz="0" w:space="0" w:color="auto"/>
      </w:divBdr>
      <w:divsChild>
        <w:div w:id="367488523">
          <w:marLeft w:val="0"/>
          <w:marRight w:val="0"/>
          <w:marTop w:val="0"/>
          <w:marBottom w:val="0"/>
          <w:divBdr>
            <w:top w:val="none" w:sz="0" w:space="0" w:color="auto"/>
            <w:left w:val="none" w:sz="0" w:space="0" w:color="auto"/>
            <w:bottom w:val="none" w:sz="0" w:space="0" w:color="auto"/>
            <w:right w:val="none" w:sz="0" w:space="0" w:color="auto"/>
          </w:divBdr>
          <w:divsChild>
            <w:div w:id="1968975385">
              <w:marLeft w:val="0"/>
              <w:marRight w:val="0"/>
              <w:marTop w:val="0"/>
              <w:marBottom w:val="0"/>
              <w:divBdr>
                <w:top w:val="none" w:sz="0" w:space="0" w:color="auto"/>
                <w:left w:val="none" w:sz="0" w:space="0" w:color="auto"/>
                <w:bottom w:val="none" w:sz="0" w:space="0" w:color="auto"/>
                <w:right w:val="none" w:sz="0" w:space="0" w:color="auto"/>
              </w:divBdr>
              <w:divsChild>
                <w:div w:id="153334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22353">
      <w:bodyDiv w:val="1"/>
      <w:marLeft w:val="0"/>
      <w:marRight w:val="0"/>
      <w:marTop w:val="0"/>
      <w:marBottom w:val="0"/>
      <w:divBdr>
        <w:top w:val="none" w:sz="0" w:space="0" w:color="auto"/>
        <w:left w:val="none" w:sz="0" w:space="0" w:color="auto"/>
        <w:bottom w:val="none" w:sz="0" w:space="0" w:color="auto"/>
        <w:right w:val="none" w:sz="0" w:space="0" w:color="auto"/>
      </w:divBdr>
      <w:divsChild>
        <w:div w:id="158621928">
          <w:marLeft w:val="0"/>
          <w:marRight w:val="0"/>
          <w:marTop w:val="0"/>
          <w:marBottom w:val="0"/>
          <w:divBdr>
            <w:top w:val="none" w:sz="0" w:space="0" w:color="auto"/>
            <w:left w:val="none" w:sz="0" w:space="0" w:color="auto"/>
            <w:bottom w:val="none" w:sz="0" w:space="0" w:color="auto"/>
            <w:right w:val="none" w:sz="0" w:space="0" w:color="auto"/>
          </w:divBdr>
          <w:divsChild>
            <w:div w:id="313803254">
              <w:marLeft w:val="0"/>
              <w:marRight w:val="0"/>
              <w:marTop w:val="0"/>
              <w:marBottom w:val="0"/>
              <w:divBdr>
                <w:top w:val="none" w:sz="0" w:space="0" w:color="auto"/>
                <w:left w:val="none" w:sz="0" w:space="0" w:color="auto"/>
                <w:bottom w:val="none" w:sz="0" w:space="0" w:color="auto"/>
                <w:right w:val="none" w:sz="0" w:space="0" w:color="auto"/>
              </w:divBdr>
              <w:divsChild>
                <w:div w:id="2123256394">
                  <w:marLeft w:val="0"/>
                  <w:marRight w:val="0"/>
                  <w:marTop w:val="0"/>
                  <w:marBottom w:val="0"/>
                  <w:divBdr>
                    <w:top w:val="none" w:sz="0" w:space="0" w:color="auto"/>
                    <w:left w:val="none" w:sz="0" w:space="0" w:color="auto"/>
                    <w:bottom w:val="none" w:sz="0" w:space="0" w:color="auto"/>
                    <w:right w:val="none" w:sz="0" w:space="0" w:color="auto"/>
                  </w:divBdr>
                  <w:divsChild>
                    <w:div w:id="82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113241">
      <w:bodyDiv w:val="1"/>
      <w:marLeft w:val="0"/>
      <w:marRight w:val="0"/>
      <w:marTop w:val="0"/>
      <w:marBottom w:val="0"/>
      <w:divBdr>
        <w:top w:val="none" w:sz="0" w:space="0" w:color="auto"/>
        <w:left w:val="none" w:sz="0" w:space="0" w:color="auto"/>
        <w:bottom w:val="none" w:sz="0" w:space="0" w:color="auto"/>
        <w:right w:val="none" w:sz="0" w:space="0" w:color="auto"/>
      </w:divBdr>
      <w:divsChild>
        <w:div w:id="1396931765">
          <w:marLeft w:val="0"/>
          <w:marRight w:val="0"/>
          <w:marTop w:val="0"/>
          <w:marBottom w:val="0"/>
          <w:divBdr>
            <w:top w:val="none" w:sz="0" w:space="0" w:color="auto"/>
            <w:left w:val="none" w:sz="0" w:space="0" w:color="auto"/>
            <w:bottom w:val="none" w:sz="0" w:space="0" w:color="auto"/>
            <w:right w:val="none" w:sz="0" w:space="0" w:color="auto"/>
          </w:divBdr>
          <w:divsChild>
            <w:div w:id="281308783">
              <w:marLeft w:val="0"/>
              <w:marRight w:val="0"/>
              <w:marTop w:val="0"/>
              <w:marBottom w:val="0"/>
              <w:divBdr>
                <w:top w:val="none" w:sz="0" w:space="0" w:color="auto"/>
                <w:left w:val="none" w:sz="0" w:space="0" w:color="auto"/>
                <w:bottom w:val="none" w:sz="0" w:space="0" w:color="auto"/>
                <w:right w:val="none" w:sz="0" w:space="0" w:color="auto"/>
              </w:divBdr>
              <w:divsChild>
                <w:div w:id="765618764">
                  <w:marLeft w:val="0"/>
                  <w:marRight w:val="0"/>
                  <w:marTop w:val="0"/>
                  <w:marBottom w:val="0"/>
                  <w:divBdr>
                    <w:top w:val="none" w:sz="0" w:space="0" w:color="auto"/>
                    <w:left w:val="none" w:sz="0" w:space="0" w:color="auto"/>
                    <w:bottom w:val="none" w:sz="0" w:space="0" w:color="auto"/>
                    <w:right w:val="none" w:sz="0" w:space="0" w:color="auto"/>
                  </w:divBdr>
                  <w:divsChild>
                    <w:div w:id="10719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674446">
      <w:bodyDiv w:val="1"/>
      <w:marLeft w:val="0"/>
      <w:marRight w:val="0"/>
      <w:marTop w:val="0"/>
      <w:marBottom w:val="0"/>
      <w:divBdr>
        <w:top w:val="none" w:sz="0" w:space="0" w:color="auto"/>
        <w:left w:val="none" w:sz="0" w:space="0" w:color="auto"/>
        <w:bottom w:val="none" w:sz="0" w:space="0" w:color="auto"/>
        <w:right w:val="none" w:sz="0" w:space="0" w:color="auto"/>
      </w:divBdr>
      <w:divsChild>
        <w:div w:id="379597572">
          <w:marLeft w:val="0"/>
          <w:marRight w:val="0"/>
          <w:marTop w:val="0"/>
          <w:marBottom w:val="0"/>
          <w:divBdr>
            <w:top w:val="none" w:sz="0" w:space="0" w:color="auto"/>
            <w:left w:val="none" w:sz="0" w:space="0" w:color="auto"/>
            <w:bottom w:val="none" w:sz="0" w:space="0" w:color="auto"/>
            <w:right w:val="none" w:sz="0" w:space="0" w:color="auto"/>
          </w:divBdr>
          <w:divsChild>
            <w:div w:id="312680427">
              <w:marLeft w:val="0"/>
              <w:marRight w:val="0"/>
              <w:marTop w:val="0"/>
              <w:marBottom w:val="0"/>
              <w:divBdr>
                <w:top w:val="none" w:sz="0" w:space="0" w:color="auto"/>
                <w:left w:val="none" w:sz="0" w:space="0" w:color="auto"/>
                <w:bottom w:val="none" w:sz="0" w:space="0" w:color="auto"/>
                <w:right w:val="none" w:sz="0" w:space="0" w:color="auto"/>
              </w:divBdr>
              <w:divsChild>
                <w:div w:id="6014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764113">
      <w:bodyDiv w:val="1"/>
      <w:marLeft w:val="0"/>
      <w:marRight w:val="0"/>
      <w:marTop w:val="0"/>
      <w:marBottom w:val="0"/>
      <w:divBdr>
        <w:top w:val="none" w:sz="0" w:space="0" w:color="auto"/>
        <w:left w:val="none" w:sz="0" w:space="0" w:color="auto"/>
        <w:bottom w:val="none" w:sz="0" w:space="0" w:color="auto"/>
        <w:right w:val="none" w:sz="0" w:space="0" w:color="auto"/>
      </w:divBdr>
    </w:div>
    <w:div w:id="1225333625">
      <w:bodyDiv w:val="1"/>
      <w:marLeft w:val="0"/>
      <w:marRight w:val="0"/>
      <w:marTop w:val="0"/>
      <w:marBottom w:val="0"/>
      <w:divBdr>
        <w:top w:val="none" w:sz="0" w:space="0" w:color="auto"/>
        <w:left w:val="none" w:sz="0" w:space="0" w:color="auto"/>
        <w:bottom w:val="none" w:sz="0" w:space="0" w:color="auto"/>
        <w:right w:val="none" w:sz="0" w:space="0" w:color="auto"/>
      </w:divBdr>
      <w:divsChild>
        <w:div w:id="262494933">
          <w:marLeft w:val="0"/>
          <w:marRight w:val="0"/>
          <w:marTop w:val="0"/>
          <w:marBottom w:val="0"/>
          <w:divBdr>
            <w:top w:val="none" w:sz="0" w:space="0" w:color="auto"/>
            <w:left w:val="none" w:sz="0" w:space="0" w:color="auto"/>
            <w:bottom w:val="none" w:sz="0" w:space="0" w:color="auto"/>
            <w:right w:val="none" w:sz="0" w:space="0" w:color="auto"/>
          </w:divBdr>
          <w:divsChild>
            <w:div w:id="1323045643">
              <w:marLeft w:val="0"/>
              <w:marRight w:val="0"/>
              <w:marTop w:val="0"/>
              <w:marBottom w:val="0"/>
              <w:divBdr>
                <w:top w:val="none" w:sz="0" w:space="0" w:color="auto"/>
                <w:left w:val="none" w:sz="0" w:space="0" w:color="auto"/>
                <w:bottom w:val="none" w:sz="0" w:space="0" w:color="auto"/>
                <w:right w:val="none" w:sz="0" w:space="0" w:color="auto"/>
              </w:divBdr>
              <w:divsChild>
                <w:div w:id="855538318">
                  <w:marLeft w:val="0"/>
                  <w:marRight w:val="0"/>
                  <w:marTop w:val="0"/>
                  <w:marBottom w:val="0"/>
                  <w:divBdr>
                    <w:top w:val="none" w:sz="0" w:space="0" w:color="auto"/>
                    <w:left w:val="none" w:sz="0" w:space="0" w:color="auto"/>
                    <w:bottom w:val="none" w:sz="0" w:space="0" w:color="auto"/>
                    <w:right w:val="none" w:sz="0" w:space="0" w:color="auto"/>
                  </w:divBdr>
                  <w:divsChild>
                    <w:div w:id="5706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573999">
      <w:bodyDiv w:val="1"/>
      <w:marLeft w:val="0"/>
      <w:marRight w:val="0"/>
      <w:marTop w:val="0"/>
      <w:marBottom w:val="0"/>
      <w:divBdr>
        <w:top w:val="none" w:sz="0" w:space="0" w:color="auto"/>
        <w:left w:val="none" w:sz="0" w:space="0" w:color="auto"/>
        <w:bottom w:val="none" w:sz="0" w:space="0" w:color="auto"/>
        <w:right w:val="none" w:sz="0" w:space="0" w:color="auto"/>
      </w:divBdr>
      <w:divsChild>
        <w:div w:id="349379171">
          <w:marLeft w:val="0"/>
          <w:marRight w:val="0"/>
          <w:marTop w:val="0"/>
          <w:marBottom w:val="0"/>
          <w:divBdr>
            <w:top w:val="none" w:sz="0" w:space="0" w:color="auto"/>
            <w:left w:val="none" w:sz="0" w:space="0" w:color="auto"/>
            <w:bottom w:val="none" w:sz="0" w:space="0" w:color="auto"/>
            <w:right w:val="none" w:sz="0" w:space="0" w:color="auto"/>
          </w:divBdr>
          <w:divsChild>
            <w:div w:id="433019430">
              <w:marLeft w:val="0"/>
              <w:marRight w:val="0"/>
              <w:marTop w:val="0"/>
              <w:marBottom w:val="0"/>
              <w:divBdr>
                <w:top w:val="none" w:sz="0" w:space="0" w:color="auto"/>
                <w:left w:val="none" w:sz="0" w:space="0" w:color="auto"/>
                <w:bottom w:val="none" w:sz="0" w:space="0" w:color="auto"/>
                <w:right w:val="none" w:sz="0" w:space="0" w:color="auto"/>
              </w:divBdr>
              <w:divsChild>
                <w:div w:id="489448239">
                  <w:marLeft w:val="0"/>
                  <w:marRight w:val="0"/>
                  <w:marTop w:val="0"/>
                  <w:marBottom w:val="0"/>
                  <w:divBdr>
                    <w:top w:val="none" w:sz="0" w:space="0" w:color="auto"/>
                    <w:left w:val="none" w:sz="0" w:space="0" w:color="auto"/>
                    <w:bottom w:val="none" w:sz="0" w:space="0" w:color="auto"/>
                    <w:right w:val="none" w:sz="0" w:space="0" w:color="auto"/>
                  </w:divBdr>
                  <w:divsChild>
                    <w:div w:id="211008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102702">
      <w:bodyDiv w:val="1"/>
      <w:marLeft w:val="0"/>
      <w:marRight w:val="0"/>
      <w:marTop w:val="0"/>
      <w:marBottom w:val="0"/>
      <w:divBdr>
        <w:top w:val="none" w:sz="0" w:space="0" w:color="auto"/>
        <w:left w:val="none" w:sz="0" w:space="0" w:color="auto"/>
        <w:bottom w:val="none" w:sz="0" w:space="0" w:color="auto"/>
        <w:right w:val="none" w:sz="0" w:space="0" w:color="auto"/>
      </w:divBdr>
      <w:divsChild>
        <w:div w:id="1332106311">
          <w:marLeft w:val="0"/>
          <w:marRight w:val="0"/>
          <w:marTop w:val="0"/>
          <w:marBottom w:val="0"/>
          <w:divBdr>
            <w:top w:val="none" w:sz="0" w:space="0" w:color="auto"/>
            <w:left w:val="none" w:sz="0" w:space="0" w:color="auto"/>
            <w:bottom w:val="none" w:sz="0" w:space="0" w:color="auto"/>
            <w:right w:val="none" w:sz="0" w:space="0" w:color="auto"/>
          </w:divBdr>
          <w:divsChild>
            <w:div w:id="117723564">
              <w:marLeft w:val="0"/>
              <w:marRight w:val="0"/>
              <w:marTop w:val="0"/>
              <w:marBottom w:val="0"/>
              <w:divBdr>
                <w:top w:val="none" w:sz="0" w:space="0" w:color="auto"/>
                <w:left w:val="none" w:sz="0" w:space="0" w:color="auto"/>
                <w:bottom w:val="none" w:sz="0" w:space="0" w:color="auto"/>
                <w:right w:val="none" w:sz="0" w:space="0" w:color="auto"/>
              </w:divBdr>
              <w:divsChild>
                <w:div w:id="174268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015561">
      <w:bodyDiv w:val="1"/>
      <w:marLeft w:val="0"/>
      <w:marRight w:val="0"/>
      <w:marTop w:val="0"/>
      <w:marBottom w:val="0"/>
      <w:divBdr>
        <w:top w:val="none" w:sz="0" w:space="0" w:color="auto"/>
        <w:left w:val="none" w:sz="0" w:space="0" w:color="auto"/>
        <w:bottom w:val="none" w:sz="0" w:space="0" w:color="auto"/>
        <w:right w:val="none" w:sz="0" w:space="0" w:color="auto"/>
      </w:divBdr>
      <w:divsChild>
        <w:div w:id="1369334176">
          <w:marLeft w:val="0"/>
          <w:marRight w:val="0"/>
          <w:marTop w:val="0"/>
          <w:marBottom w:val="0"/>
          <w:divBdr>
            <w:top w:val="none" w:sz="0" w:space="0" w:color="auto"/>
            <w:left w:val="none" w:sz="0" w:space="0" w:color="auto"/>
            <w:bottom w:val="none" w:sz="0" w:space="0" w:color="auto"/>
            <w:right w:val="none" w:sz="0" w:space="0" w:color="auto"/>
          </w:divBdr>
          <w:divsChild>
            <w:div w:id="1510439740">
              <w:marLeft w:val="0"/>
              <w:marRight w:val="0"/>
              <w:marTop w:val="0"/>
              <w:marBottom w:val="0"/>
              <w:divBdr>
                <w:top w:val="none" w:sz="0" w:space="0" w:color="auto"/>
                <w:left w:val="none" w:sz="0" w:space="0" w:color="auto"/>
                <w:bottom w:val="none" w:sz="0" w:space="0" w:color="auto"/>
                <w:right w:val="none" w:sz="0" w:space="0" w:color="auto"/>
              </w:divBdr>
              <w:divsChild>
                <w:div w:id="88718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17393">
      <w:bodyDiv w:val="1"/>
      <w:marLeft w:val="0"/>
      <w:marRight w:val="0"/>
      <w:marTop w:val="0"/>
      <w:marBottom w:val="0"/>
      <w:divBdr>
        <w:top w:val="none" w:sz="0" w:space="0" w:color="auto"/>
        <w:left w:val="none" w:sz="0" w:space="0" w:color="auto"/>
        <w:bottom w:val="none" w:sz="0" w:space="0" w:color="auto"/>
        <w:right w:val="none" w:sz="0" w:space="0" w:color="auto"/>
      </w:divBdr>
      <w:divsChild>
        <w:div w:id="1558274841">
          <w:marLeft w:val="0"/>
          <w:marRight w:val="0"/>
          <w:marTop w:val="0"/>
          <w:marBottom w:val="0"/>
          <w:divBdr>
            <w:top w:val="none" w:sz="0" w:space="0" w:color="auto"/>
            <w:left w:val="none" w:sz="0" w:space="0" w:color="auto"/>
            <w:bottom w:val="none" w:sz="0" w:space="0" w:color="auto"/>
            <w:right w:val="none" w:sz="0" w:space="0" w:color="auto"/>
          </w:divBdr>
          <w:divsChild>
            <w:div w:id="720058244">
              <w:marLeft w:val="0"/>
              <w:marRight w:val="0"/>
              <w:marTop w:val="0"/>
              <w:marBottom w:val="0"/>
              <w:divBdr>
                <w:top w:val="none" w:sz="0" w:space="0" w:color="auto"/>
                <w:left w:val="none" w:sz="0" w:space="0" w:color="auto"/>
                <w:bottom w:val="none" w:sz="0" w:space="0" w:color="auto"/>
                <w:right w:val="none" w:sz="0" w:space="0" w:color="auto"/>
              </w:divBdr>
              <w:divsChild>
                <w:div w:id="128754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59960">
      <w:bodyDiv w:val="1"/>
      <w:marLeft w:val="0"/>
      <w:marRight w:val="0"/>
      <w:marTop w:val="0"/>
      <w:marBottom w:val="0"/>
      <w:divBdr>
        <w:top w:val="none" w:sz="0" w:space="0" w:color="auto"/>
        <w:left w:val="none" w:sz="0" w:space="0" w:color="auto"/>
        <w:bottom w:val="none" w:sz="0" w:space="0" w:color="auto"/>
        <w:right w:val="none" w:sz="0" w:space="0" w:color="auto"/>
      </w:divBdr>
      <w:divsChild>
        <w:div w:id="1384795116">
          <w:marLeft w:val="0"/>
          <w:marRight w:val="0"/>
          <w:marTop w:val="0"/>
          <w:marBottom w:val="0"/>
          <w:divBdr>
            <w:top w:val="none" w:sz="0" w:space="0" w:color="auto"/>
            <w:left w:val="none" w:sz="0" w:space="0" w:color="auto"/>
            <w:bottom w:val="none" w:sz="0" w:space="0" w:color="auto"/>
            <w:right w:val="none" w:sz="0" w:space="0" w:color="auto"/>
          </w:divBdr>
        </w:div>
      </w:divsChild>
    </w:div>
    <w:div w:id="1251891391">
      <w:bodyDiv w:val="1"/>
      <w:marLeft w:val="0"/>
      <w:marRight w:val="0"/>
      <w:marTop w:val="0"/>
      <w:marBottom w:val="0"/>
      <w:divBdr>
        <w:top w:val="none" w:sz="0" w:space="0" w:color="auto"/>
        <w:left w:val="none" w:sz="0" w:space="0" w:color="auto"/>
        <w:bottom w:val="none" w:sz="0" w:space="0" w:color="auto"/>
        <w:right w:val="none" w:sz="0" w:space="0" w:color="auto"/>
      </w:divBdr>
    </w:div>
    <w:div w:id="1253777223">
      <w:bodyDiv w:val="1"/>
      <w:marLeft w:val="0"/>
      <w:marRight w:val="0"/>
      <w:marTop w:val="0"/>
      <w:marBottom w:val="0"/>
      <w:divBdr>
        <w:top w:val="none" w:sz="0" w:space="0" w:color="auto"/>
        <w:left w:val="none" w:sz="0" w:space="0" w:color="auto"/>
        <w:bottom w:val="none" w:sz="0" w:space="0" w:color="auto"/>
        <w:right w:val="none" w:sz="0" w:space="0" w:color="auto"/>
      </w:divBdr>
      <w:divsChild>
        <w:div w:id="248513908">
          <w:marLeft w:val="0"/>
          <w:marRight w:val="0"/>
          <w:marTop w:val="0"/>
          <w:marBottom w:val="0"/>
          <w:divBdr>
            <w:top w:val="none" w:sz="0" w:space="0" w:color="auto"/>
            <w:left w:val="none" w:sz="0" w:space="0" w:color="auto"/>
            <w:bottom w:val="none" w:sz="0" w:space="0" w:color="auto"/>
            <w:right w:val="none" w:sz="0" w:space="0" w:color="auto"/>
          </w:divBdr>
          <w:divsChild>
            <w:div w:id="1374958179">
              <w:marLeft w:val="0"/>
              <w:marRight w:val="0"/>
              <w:marTop w:val="0"/>
              <w:marBottom w:val="0"/>
              <w:divBdr>
                <w:top w:val="none" w:sz="0" w:space="0" w:color="auto"/>
                <w:left w:val="none" w:sz="0" w:space="0" w:color="auto"/>
                <w:bottom w:val="none" w:sz="0" w:space="0" w:color="auto"/>
                <w:right w:val="none" w:sz="0" w:space="0" w:color="auto"/>
              </w:divBdr>
              <w:divsChild>
                <w:div w:id="181648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129333">
      <w:bodyDiv w:val="1"/>
      <w:marLeft w:val="0"/>
      <w:marRight w:val="0"/>
      <w:marTop w:val="0"/>
      <w:marBottom w:val="0"/>
      <w:divBdr>
        <w:top w:val="none" w:sz="0" w:space="0" w:color="auto"/>
        <w:left w:val="none" w:sz="0" w:space="0" w:color="auto"/>
        <w:bottom w:val="none" w:sz="0" w:space="0" w:color="auto"/>
        <w:right w:val="none" w:sz="0" w:space="0" w:color="auto"/>
      </w:divBdr>
      <w:divsChild>
        <w:div w:id="2117096786">
          <w:marLeft w:val="0"/>
          <w:marRight w:val="0"/>
          <w:marTop w:val="0"/>
          <w:marBottom w:val="0"/>
          <w:divBdr>
            <w:top w:val="none" w:sz="0" w:space="0" w:color="auto"/>
            <w:left w:val="none" w:sz="0" w:space="0" w:color="auto"/>
            <w:bottom w:val="none" w:sz="0" w:space="0" w:color="auto"/>
            <w:right w:val="none" w:sz="0" w:space="0" w:color="auto"/>
          </w:divBdr>
          <w:divsChild>
            <w:div w:id="998196786">
              <w:marLeft w:val="0"/>
              <w:marRight w:val="0"/>
              <w:marTop w:val="0"/>
              <w:marBottom w:val="0"/>
              <w:divBdr>
                <w:top w:val="none" w:sz="0" w:space="0" w:color="auto"/>
                <w:left w:val="none" w:sz="0" w:space="0" w:color="auto"/>
                <w:bottom w:val="none" w:sz="0" w:space="0" w:color="auto"/>
                <w:right w:val="none" w:sz="0" w:space="0" w:color="auto"/>
              </w:divBdr>
              <w:divsChild>
                <w:div w:id="18260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534186">
      <w:bodyDiv w:val="1"/>
      <w:marLeft w:val="0"/>
      <w:marRight w:val="0"/>
      <w:marTop w:val="0"/>
      <w:marBottom w:val="0"/>
      <w:divBdr>
        <w:top w:val="none" w:sz="0" w:space="0" w:color="auto"/>
        <w:left w:val="none" w:sz="0" w:space="0" w:color="auto"/>
        <w:bottom w:val="none" w:sz="0" w:space="0" w:color="auto"/>
        <w:right w:val="none" w:sz="0" w:space="0" w:color="auto"/>
      </w:divBdr>
      <w:divsChild>
        <w:div w:id="1967464512">
          <w:marLeft w:val="0"/>
          <w:marRight w:val="0"/>
          <w:marTop w:val="0"/>
          <w:marBottom w:val="0"/>
          <w:divBdr>
            <w:top w:val="none" w:sz="0" w:space="0" w:color="auto"/>
            <w:left w:val="none" w:sz="0" w:space="0" w:color="auto"/>
            <w:bottom w:val="none" w:sz="0" w:space="0" w:color="auto"/>
            <w:right w:val="none" w:sz="0" w:space="0" w:color="auto"/>
          </w:divBdr>
          <w:divsChild>
            <w:div w:id="413360538">
              <w:marLeft w:val="0"/>
              <w:marRight w:val="0"/>
              <w:marTop w:val="0"/>
              <w:marBottom w:val="0"/>
              <w:divBdr>
                <w:top w:val="none" w:sz="0" w:space="0" w:color="auto"/>
                <w:left w:val="none" w:sz="0" w:space="0" w:color="auto"/>
                <w:bottom w:val="none" w:sz="0" w:space="0" w:color="auto"/>
                <w:right w:val="none" w:sz="0" w:space="0" w:color="auto"/>
              </w:divBdr>
              <w:divsChild>
                <w:div w:id="180053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87757">
      <w:bodyDiv w:val="1"/>
      <w:marLeft w:val="0"/>
      <w:marRight w:val="0"/>
      <w:marTop w:val="0"/>
      <w:marBottom w:val="0"/>
      <w:divBdr>
        <w:top w:val="none" w:sz="0" w:space="0" w:color="auto"/>
        <w:left w:val="none" w:sz="0" w:space="0" w:color="auto"/>
        <w:bottom w:val="none" w:sz="0" w:space="0" w:color="auto"/>
        <w:right w:val="none" w:sz="0" w:space="0" w:color="auto"/>
      </w:divBdr>
      <w:divsChild>
        <w:div w:id="1816217970">
          <w:marLeft w:val="0"/>
          <w:marRight w:val="0"/>
          <w:marTop w:val="0"/>
          <w:marBottom w:val="0"/>
          <w:divBdr>
            <w:top w:val="none" w:sz="0" w:space="0" w:color="auto"/>
            <w:left w:val="none" w:sz="0" w:space="0" w:color="auto"/>
            <w:bottom w:val="none" w:sz="0" w:space="0" w:color="auto"/>
            <w:right w:val="none" w:sz="0" w:space="0" w:color="auto"/>
          </w:divBdr>
          <w:divsChild>
            <w:div w:id="1058701170">
              <w:marLeft w:val="0"/>
              <w:marRight w:val="0"/>
              <w:marTop w:val="0"/>
              <w:marBottom w:val="0"/>
              <w:divBdr>
                <w:top w:val="none" w:sz="0" w:space="0" w:color="auto"/>
                <w:left w:val="none" w:sz="0" w:space="0" w:color="auto"/>
                <w:bottom w:val="none" w:sz="0" w:space="0" w:color="auto"/>
                <w:right w:val="none" w:sz="0" w:space="0" w:color="auto"/>
              </w:divBdr>
              <w:divsChild>
                <w:div w:id="15619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63379">
      <w:bodyDiv w:val="1"/>
      <w:marLeft w:val="0"/>
      <w:marRight w:val="0"/>
      <w:marTop w:val="0"/>
      <w:marBottom w:val="0"/>
      <w:divBdr>
        <w:top w:val="none" w:sz="0" w:space="0" w:color="auto"/>
        <w:left w:val="none" w:sz="0" w:space="0" w:color="auto"/>
        <w:bottom w:val="none" w:sz="0" w:space="0" w:color="auto"/>
        <w:right w:val="none" w:sz="0" w:space="0" w:color="auto"/>
      </w:divBdr>
      <w:divsChild>
        <w:div w:id="1837374678">
          <w:marLeft w:val="0"/>
          <w:marRight w:val="0"/>
          <w:marTop w:val="0"/>
          <w:marBottom w:val="0"/>
          <w:divBdr>
            <w:top w:val="none" w:sz="0" w:space="0" w:color="auto"/>
            <w:left w:val="none" w:sz="0" w:space="0" w:color="auto"/>
            <w:bottom w:val="none" w:sz="0" w:space="0" w:color="auto"/>
            <w:right w:val="none" w:sz="0" w:space="0" w:color="auto"/>
          </w:divBdr>
          <w:divsChild>
            <w:div w:id="836532142">
              <w:marLeft w:val="0"/>
              <w:marRight w:val="0"/>
              <w:marTop w:val="0"/>
              <w:marBottom w:val="0"/>
              <w:divBdr>
                <w:top w:val="none" w:sz="0" w:space="0" w:color="auto"/>
                <w:left w:val="none" w:sz="0" w:space="0" w:color="auto"/>
                <w:bottom w:val="none" w:sz="0" w:space="0" w:color="auto"/>
                <w:right w:val="none" w:sz="0" w:space="0" w:color="auto"/>
              </w:divBdr>
              <w:divsChild>
                <w:div w:id="1046368670">
                  <w:marLeft w:val="0"/>
                  <w:marRight w:val="0"/>
                  <w:marTop w:val="0"/>
                  <w:marBottom w:val="0"/>
                  <w:divBdr>
                    <w:top w:val="none" w:sz="0" w:space="0" w:color="auto"/>
                    <w:left w:val="none" w:sz="0" w:space="0" w:color="auto"/>
                    <w:bottom w:val="none" w:sz="0" w:space="0" w:color="auto"/>
                    <w:right w:val="none" w:sz="0" w:space="0" w:color="auto"/>
                  </w:divBdr>
                  <w:divsChild>
                    <w:div w:id="152817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781043">
      <w:bodyDiv w:val="1"/>
      <w:marLeft w:val="0"/>
      <w:marRight w:val="0"/>
      <w:marTop w:val="0"/>
      <w:marBottom w:val="0"/>
      <w:divBdr>
        <w:top w:val="none" w:sz="0" w:space="0" w:color="auto"/>
        <w:left w:val="none" w:sz="0" w:space="0" w:color="auto"/>
        <w:bottom w:val="none" w:sz="0" w:space="0" w:color="auto"/>
        <w:right w:val="none" w:sz="0" w:space="0" w:color="auto"/>
      </w:divBdr>
      <w:divsChild>
        <w:div w:id="1576429630">
          <w:marLeft w:val="0"/>
          <w:marRight w:val="0"/>
          <w:marTop w:val="0"/>
          <w:marBottom w:val="0"/>
          <w:divBdr>
            <w:top w:val="none" w:sz="0" w:space="0" w:color="auto"/>
            <w:left w:val="none" w:sz="0" w:space="0" w:color="auto"/>
            <w:bottom w:val="none" w:sz="0" w:space="0" w:color="auto"/>
            <w:right w:val="none" w:sz="0" w:space="0" w:color="auto"/>
          </w:divBdr>
          <w:divsChild>
            <w:div w:id="172425852">
              <w:marLeft w:val="0"/>
              <w:marRight w:val="0"/>
              <w:marTop w:val="0"/>
              <w:marBottom w:val="0"/>
              <w:divBdr>
                <w:top w:val="none" w:sz="0" w:space="0" w:color="auto"/>
                <w:left w:val="none" w:sz="0" w:space="0" w:color="auto"/>
                <w:bottom w:val="none" w:sz="0" w:space="0" w:color="auto"/>
                <w:right w:val="none" w:sz="0" w:space="0" w:color="auto"/>
              </w:divBdr>
              <w:divsChild>
                <w:div w:id="611210873">
                  <w:marLeft w:val="0"/>
                  <w:marRight w:val="0"/>
                  <w:marTop w:val="0"/>
                  <w:marBottom w:val="0"/>
                  <w:divBdr>
                    <w:top w:val="none" w:sz="0" w:space="0" w:color="auto"/>
                    <w:left w:val="none" w:sz="0" w:space="0" w:color="auto"/>
                    <w:bottom w:val="none" w:sz="0" w:space="0" w:color="auto"/>
                    <w:right w:val="none" w:sz="0" w:space="0" w:color="auto"/>
                  </w:divBdr>
                  <w:divsChild>
                    <w:div w:id="20713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17100">
      <w:bodyDiv w:val="1"/>
      <w:marLeft w:val="0"/>
      <w:marRight w:val="0"/>
      <w:marTop w:val="0"/>
      <w:marBottom w:val="0"/>
      <w:divBdr>
        <w:top w:val="none" w:sz="0" w:space="0" w:color="auto"/>
        <w:left w:val="none" w:sz="0" w:space="0" w:color="auto"/>
        <w:bottom w:val="none" w:sz="0" w:space="0" w:color="auto"/>
        <w:right w:val="none" w:sz="0" w:space="0" w:color="auto"/>
      </w:divBdr>
      <w:divsChild>
        <w:div w:id="1718358049">
          <w:marLeft w:val="0"/>
          <w:marRight w:val="0"/>
          <w:marTop w:val="0"/>
          <w:marBottom w:val="0"/>
          <w:divBdr>
            <w:top w:val="none" w:sz="0" w:space="0" w:color="auto"/>
            <w:left w:val="none" w:sz="0" w:space="0" w:color="auto"/>
            <w:bottom w:val="none" w:sz="0" w:space="0" w:color="auto"/>
            <w:right w:val="none" w:sz="0" w:space="0" w:color="auto"/>
          </w:divBdr>
          <w:divsChild>
            <w:div w:id="62455851">
              <w:marLeft w:val="0"/>
              <w:marRight w:val="0"/>
              <w:marTop w:val="0"/>
              <w:marBottom w:val="0"/>
              <w:divBdr>
                <w:top w:val="none" w:sz="0" w:space="0" w:color="auto"/>
                <w:left w:val="none" w:sz="0" w:space="0" w:color="auto"/>
                <w:bottom w:val="none" w:sz="0" w:space="0" w:color="auto"/>
                <w:right w:val="none" w:sz="0" w:space="0" w:color="auto"/>
              </w:divBdr>
              <w:divsChild>
                <w:div w:id="9875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200507">
      <w:bodyDiv w:val="1"/>
      <w:marLeft w:val="0"/>
      <w:marRight w:val="0"/>
      <w:marTop w:val="0"/>
      <w:marBottom w:val="0"/>
      <w:divBdr>
        <w:top w:val="none" w:sz="0" w:space="0" w:color="auto"/>
        <w:left w:val="none" w:sz="0" w:space="0" w:color="auto"/>
        <w:bottom w:val="none" w:sz="0" w:space="0" w:color="auto"/>
        <w:right w:val="none" w:sz="0" w:space="0" w:color="auto"/>
      </w:divBdr>
      <w:divsChild>
        <w:div w:id="1703819490">
          <w:marLeft w:val="0"/>
          <w:marRight w:val="0"/>
          <w:marTop w:val="0"/>
          <w:marBottom w:val="0"/>
          <w:divBdr>
            <w:top w:val="none" w:sz="0" w:space="0" w:color="auto"/>
            <w:left w:val="none" w:sz="0" w:space="0" w:color="auto"/>
            <w:bottom w:val="none" w:sz="0" w:space="0" w:color="auto"/>
            <w:right w:val="none" w:sz="0" w:space="0" w:color="auto"/>
          </w:divBdr>
          <w:divsChild>
            <w:div w:id="1961184361">
              <w:marLeft w:val="0"/>
              <w:marRight w:val="0"/>
              <w:marTop w:val="0"/>
              <w:marBottom w:val="0"/>
              <w:divBdr>
                <w:top w:val="none" w:sz="0" w:space="0" w:color="auto"/>
                <w:left w:val="none" w:sz="0" w:space="0" w:color="auto"/>
                <w:bottom w:val="none" w:sz="0" w:space="0" w:color="auto"/>
                <w:right w:val="none" w:sz="0" w:space="0" w:color="auto"/>
              </w:divBdr>
              <w:divsChild>
                <w:div w:id="59606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861566">
      <w:bodyDiv w:val="1"/>
      <w:marLeft w:val="0"/>
      <w:marRight w:val="0"/>
      <w:marTop w:val="0"/>
      <w:marBottom w:val="0"/>
      <w:divBdr>
        <w:top w:val="none" w:sz="0" w:space="0" w:color="auto"/>
        <w:left w:val="none" w:sz="0" w:space="0" w:color="auto"/>
        <w:bottom w:val="none" w:sz="0" w:space="0" w:color="auto"/>
        <w:right w:val="none" w:sz="0" w:space="0" w:color="auto"/>
      </w:divBdr>
      <w:divsChild>
        <w:div w:id="1914394976">
          <w:marLeft w:val="0"/>
          <w:marRight w:val="0"/>
          <w:marTop w:val="0"/>
          <w:marBottom w:val="0"/>
          <w:divBdr>
            <w:top w:val="none" w:sz="0" w:space="0" w:color="auto"/>
            <w:left w:val="none" w:sz="0" w:space="0" w:color="auto"/>
            <w:bottom w:val="none" w:sz="0" w:space="0" w:color="auto"/>
            <w:right w:val="none" w:sz="0" w:space="0" w:color="auto"/>
          </w:divBdr>
          <w:divsChild>
            <w:div w:id="801923889">
              <w:marLeft w:val="0"/>
              <w:marRight w:val="0"/>
              <w:marTop w:val="0"/>
              <w:marBottom w:val="0"/>
              <w:divBdr>
                <w:top w:val="none" w:sz="0" w:space="0" w:color="auto"/>
                <w:left w:val="none" w:sz="0" w:space="0" w:color="auto"/>
                <w:bottom w:val="none" w:sz="0" w:space="0" w:color="auto"/>
                <w:right w:val="none" w:sz="0" w:space="0" w:color="auto"/>
              </w:divBdr>
              <w:divsChild>
                <w:div w:id="8359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38100">
      <w:bodyDiv w:val="1"/>
      <w:marLeft w:val="0"/>
      <w:marRight w:val="0"/>
      <w:marTop w:val="0"/>
      <w:marBottom w:val="0"/>
      <w:divBdr>
        <w:top w:val="none" w:sz="0" w:space="0" w:color="auto"/>
        <w:left w:val="none" w:sz="0" w:space="0" w:color="auto"/>
        <w:bottom w:val="none" w:sz="0" w:space="0" w:color="auto"/>
        <w:right w:val="none" w:sz="0" w:space="0" w:color="auto"/>
      </w:divBdr>
      <w:divsChild>
        <w:div w:id="740835324">
          <w:marLeft w:val="0"/>
          <w:marRight w:val="0"/>
          <w:marTop w:val="0"/>
          <w:marBottom w:val="0"/>
          <w:divBdr>
            <w:top w:val="none" w:sz="0" w:space="0" w:color="auto"/>
            <w:left w:val="none" w:sz="0" w:space="0" w:color="auto"/>
            <w:bottom w:val="none" w:sz="0" w:space="0" w:color="auto"/>
            <w:right w:val="none" w:sz="0" w:space="0" w:color="auto"/>
          </w:divBdr>
          <w:divsChild>
            <w:div w:id="2045131257">
              <w:marLeft w:val="0"/>
              <w:marRight w:val="0"/>
              <w:marTop w:val="0"/>
              <w:marBottom w:val="0"/>
              <w:divBdr>
                <w:top w:val="none" w:sz="0" w:space="0" w:color="auto"/>
                <w:left w:val="none" w:sz="0" w:space="0" w:color="auto"/>
                <w:bottom w:val="none" w:sz="0" w:space="0" w:color="auto"/>
                <w:right w:val="none" w:sz="0" w:space="0" w:color="auto"/>
              </w:divBdr>
              <w:divsChild>
                <w:div w:id="14668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774227">
      <w:bodyDiv w:val="1"/>
      <w:marLeft w:val="0"/>
      <w:marRight w:val="0"/>
      <w:marTop w:val="0"/>
      <w:marBottom w:val="0"/>
      <w:divBdr>
        <w:top w:val="none" w:sz="0" w:space="0" w:color="auto"/>
        <w:left w:val="none" w:sz="0" w:space="0" w:color="auto"/>
        <w:bottom w:val="none" w:sz="0" w:space="0" w:color="auto"/>
        <w:right w:val="none" w:sz="0" w:space="0" w:color="auto"/>
      </w:divBdr>
      <w:divsChild>
        <w:div w:id="1746147368">
          <w:marLeft w:val="0"/>
          <w:marRight w:val="0"/>
          <w:marTop w:val="0"/>
          <w:marBottom w:val="0"/>
          <w:divBdr>
            <w:top w:val="none" w:sz="0" w:space="0" w:color="auto"/>
            <w:left w:val="none" w:sz="0" w:space="0" w:color="auto"/>
            <w:bottom w:val="none" w:sz="0" w:space="0" w:color="auto"/>
            <w:right w:val="none" w:sz="0" w:space="0" w:color="auto"/>
          </w:divBdr>
          <w:divsChild>
            <w:div w:id="1005788828">
              <w:marLeft w:val="0"/>
              <w:marRight w:val="0"/>
              <w:marTop w:val="0"/>
              <w:marBottom w:val="0"/>
              <w:divBdr>
                <w:top w:val="none" w:sz="0" w:space="0" w:color="auto"/>
                <w:left w:val="none" w:sz="0" w:space="0" w:color="auto"/>
                <w:bottom w:val="none" w:sz="0" w:space="0" w:color="auto"/>
                <w:right w:val="none" w:sz="0" w:space="0" w:color="auto"/>
              </w:divBdr>
              <w:divsChild>
                <w:div w:id="15280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5274">
      <w:bodyDiv w:val="1"/>
      <w:marLeft w:val="0"/>
      <w:marRight w:val="0"/>
      <w:marTop w:val="0"/>
      <w:marBottom w:val="0"/>
      <w:divBdr>
        <w:top w:val="none" w:sz="0" w:space="0" w:color="auto"/>
        <w:left w:val="none" w:sz="0" w:space="0" w:color="auto"/>
        <w:bottom w:val="none" w:sz="0" w:space="0" w:color="auto"/>
        <w:right w:val="none" w:sz="0" w:space="0" w:color="auto"/>
      </w:divBdr>
      <w:divsChild>
        <w:div w:id="1861043797">
          <w:marLeft w:val="0"/>
          <w:marRight w:val="0"/>
          <w:marTop w:val="0"/>
          <w:marBottom w:val="0"/>
          <w:divBdr>
            <w:top w:val="none" w:sz="0" w:space="0" w:color="auto"/>
            <w:left w:val="none" w:sz="0" w:space="0" w:color="auto"/>
            <w:bottom w:val="none" w:sz="0" w:space="0" w:color="auto"/>
            <w:right w:val="none" w:sz="0" w:space="0" w:color="auto"/>
          </w:divBdr>
          <w:divsChild>
            <w:div w:id="1873107784">
              <w:marLeft w:val="0"/>
              <w:marRight w:val="0"/>
              <w:marTop w:val="0"/>
              <w:marBottom w:val="0"/>
              <w:divBdr>
                <w:top w:val="none" w:sz="0" w:space="0" w:color="auto"/>
                <w:left w:val="none" w:sz="0" w:space="0" w:color="auto"/>
                <w:bottom w:val="none" w:sz="0" w:space="0" w:color="auto"/>
                <w:right w:val="none" w:sz="0" w:space="0" w:color="auto"/>
              </w:divBdr>
              <w:divsChild>
                <w:div w:id="25232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32739">
      <w:bodyDiv w:val="1"/>
      <w:marLeft w:val="0"/>
      <w:marRight w:val="0"/>
      <w:marTop w:val="0"/>
      <w:marBottom w:val="0"/>
      <w:divBdr>
        <w:top w:val="none" w:sz="0" w:space="0" w:color="auto"/>
        <w:left w:val="none" w:sz="0" w:space="0" w:color="auto"/>
        <w:bottom w:val="none" w:sz="0" w:space="0" w:color="auto"/>
        <w:right w:val="none" w:sz="0" w:space="0" w:color="auto"/>
      </w:divBdr>
      <w:divsChild>
        <w:div w:id="1098061337">
          <w:marLeft w:val="0"/>
          <w:marRight w:val="0"/>
          <w:marTop w:val="0"/>
          <w:marBottom w:val="0"/>
          <w:divBdr>
            <w:top w:val="none" w:sz="0" w:space="0" w:color="auto"/>
            <w:left w:val="none" w:sz="0" w:space="0" w:color="auto"/>
            <w:bottom w:val="none" w:sz="0" w:space="0" w:color="auto"/>
            <w:right w:val="none" w:sz="0" w:space="0" w:color="auto"/>
          </w:divBdr>
          <w:divsChild>
            <w:div w:id="332029960">
              <w:marLeft w:val="0"/>
              <w:marRight w:val="0"/>
              <w:marTop w:val="0"/>
              <w:marBottom w:val="0"/>
              <w:divBdr>
                <w:top w:val="none" w:sz="0" w:space="0" w:color="auto"/>
                <w:left w:val="none" w:sz="0" w:space="0" w:color="auto"/>
                <w:bottom w:val="none" w:sz="0" w:space="0" w:color="auto"/>
                <w:right w:val="none" w:sz="0" w:space="0" w:color="auto"/>
              </w:divBdr>
              <w:divsChild>
                <w:div w:id="1629702106">
                  <w:marLeft w:val="0"/>
                  <w:marRight w:val="0"/>
                  <w:marTop w:val="0"/>
                  <w:marBottom w:val="0"/>
                  <w:divBdr>
                    <w:top w:val="none" w:sz="0" w:space="0" w:color="auto"/>
                    <w:left w:val="none" w:sz="0" w:space="0" w:color="auto"/>
                    <w:bottom w:val="none" w:sz="0" w:space="0" w:color="auto"/>
                    <w:right w:val="none" w:sz="0" w:space="0" w:color="auto"/>
                  </w:divBdr>
                  <w:divsChild>
                    <w:div w:id="13840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769329">
      <w:bodyDiv w:val="1"/>
      <w:marLeft w:val="0"/>
      <w:marRight w:val="0"/>
      <w:marTop w:val="0"/>
      <w:marBottom w:val="0"/>
      <w:divBdr>
        <w:top w:val="none" w:sz="0" w:space="0" w:color="auto"/>
        <w:left w:val="none" w:sz="0" w:space="0" w:color="auto"/>
        <w:bottom w:val="none" w:sz="0" w:space="0" w:color="auto"/>
        <w:right w:val="none" w:sz="0" w:space="0" w:color="auto"/>
      </w:divBdr>
      <w:divsChild>
        <w:div w:id="1535923568">
          <w:marLeft w:val="0"/>
          <w:marRight w:val="0"/>
          <w:marTop w:val="0"/>
          <w:marBottom w:val="0"/>
          <w:divBdr>
            <w:top w:val="none" w:sz="0" w:space="0" w:color="auto"/>
            <w:left w:val="none" w:sz="0" w:space="0" w:color="auto"/>
            <w:bottom w:val="none" w:sz="0" w:space="0" w:color="auto"/>
            <w:right w:val="none" w:sz="0" w:space="0" w:color="auto"/>
          </w:divBdr>
          <w:divsChild>
            <w:div w:id="261184414">
              <w:marLeft w:val="0"/>
              <w:marRight w:val="0"/>
              <w:marTop w:val="0"/>
              <w:marBottom w:val="0"/>
              <w:divBdr>
                <w:top w:val="none" w:sz="0" w:space="0" w:color="auto"/>
                <w:left w:val="none" w:sz="0" w:space="0" w:color="auto"/>
                <w:bottom w:val="none" w:sz="0" w:space="0" w:color="auto"/>
                <w:right w:val="none" w:sz="0" w:space="0" w:color="auto"/>
              </w:divBdr>
              <w:divsChild>
                <w:div w:id="1156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5142">
      <w:bodyDiv w:val="1"/>
      <w:marLeft w:val="0"/>
      <w:marRight w:val="0"/>
      <w:marTop w:val="0"/>
      <w:marBottom w:val="0"/>
      <w:divBdr>
        <w:top w:val="none" w:sz="0" w:space="0" w:color="auto"/>
        <w:left w:val="none" w:sz="0" w:space="0" w:color="auto"/>
        <w:bottom w:val="none" w:sz="0" w:space="0" w:color="auto"/>
        <w:right w:val="none" w:sz="0" w:space="0" w:color="auto"/>
      </w:divBdr>
      <w:divsChild>
        <w:div w:id="1265697127">
          <w:marLeft w:val="0"/>
          <w:marRight w:val="0"/>
          <w:marTop w:val="0"/>
          <w:marBottom w:val="0"/>
          <w:divBdr>
            <w:top w:val="none" w:sz="0" w:space="0" w:color="auto"/>
            <w:left w:val="none" w:sz="0" w:space="0" w:color="auto"/>
            <w:bottom w:val="none" w:sz="0" w:space="0" w:color="auto"/>
            <w:right w:val="none" w:sz="0" w:space="0" w:color="auto"/>
          </w:divBdr>
          <w:divsChild>
            <w:div w:id="18897041">
              <w:marLeft w:val="0"/>
              <w:marRight w:val="0"/>
              <w:marTop w:val="0"/>
              <w:marBottom w:val="0"/>
              <w:divBdr>
                <w:top w:val="none" w:sz="0" w:space="0" w:color="auto"/>
                <w:left w:val="none" w:sz="0" w:space="0" w:color="auto"/>
                <w:bottom w:val="none" w:sz="0" w:space="0" w:color="auto"/>
                <w:right w:val="none" w:sz="0" w:space="0" w:color="auto"/>
              </w:divBdr>
              <w:divsChild>
                <w:div w:id="51892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30189">
      <w:bodyDiv w:val="1"/>
      <w:marLeft w:val="0"/>
      <w:marRight w:val="0"/>
      <w:marTop w:val="0"/>
      <w:marBottom w:val="0"/>
      <w:divBdr>
        <w:top w:val="none" w:sz="0" w:space="0" w:color="auto"/>
        <w:left w:val="none" w:sz="0" w:space="0" w:color="auto"/>
        <w:bottom w:val="none" w:sz="0" w:space="0" w:color="auto"/>
        <w:right w:val="none" w:sz="0" w:space="0" w:color="auto"/>
      </w:divBdr>
      <w:divsChild>
        <w:div w:id="122046197">
          <w:marLeft w:val="0"/>
          <w:marRight w:val="0"/>
          <w:marTop w:val="0"/>
          <w:marBottom w:val="0"/>
          <w:divBdr>
            <w:top w:val="none" w:sz="0" w:space="0" w:color="auto"/>
            <w:left w:val="none" w:sz="0" w:space="0" w:color="auto"/>
            <w:bottom w:val="none" w:sz="0" w:space="0" w:color="auto"/>
            <w:right w:val="none" w:sz="0" w:space="0" w:color="auto"/>
          </w:divBdr>
          <w:divsChild>
            <w:div w:id="456216241">
              <w:marLeft w:val="0"/>
              <w:marRight w:val="0"/>
              <w:marTop w:val="0"/>
              <w:marBottom w:val="0"/>
              <w:divBdr>
                <w:top w:val="none" w:sz="0" w:space="0" w:color="auto"/>
                <w:left w:val="none" w:sz="0" w:space="0" w:color="auto"/>
                <w:bottom w:val="none" w:sz="0" w:space="0" w:color="auto"/>
                <w:right w:val="none" w:sz="0" w:space="0" w:color="auto"/>
              </w:divBdr>
              <w:divsChild>
                <w:div w:id="1073351741">
                  <w:marLeft w:val="0"/>
                  <w:marRight w:val="0"/>
                  <w:marTop w:val="0"/>
                  <w:marBottom w:val="0"/>
                  <w:divBdr>
                    <w:top w:val="none" w:sz="0" w:space="0" w:color="auto"/>
                    <w:left w:val="none" w:sz="0" w:space="0" w:color="auto"/>
                    <w:bottom w:val="none" w:sz="0" w:space="0" w:color="auto"/>
                    <w:right w:val="none" w:sz="0" w:space="0" w:color="auto"/>
                  </w:divBdr>
                  <w:divsChild>
                    <w:div w:id="5191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61009">
      <w:bodyDiv w:val="1"/>
      <w:marLeft w:val="0"/>
      <w:marRight w:val="0"/>
      <w:marTop w:val="0"/>
      <w:marBottom w:val="0"/>
      <w:divBdr>
        <w:top w:val="none" w:sz="0" w:space="0" w:color="auto"/>
        <w:left w:val="none" w:sz="0" w:space="0" w:color="auto"/>
        <w:bottom w:val="none" w:sz="0" w:space="0" w:color="auto"/>
        <w:right w:val="none" w:sz="0" w:space="0" w:color="auto"/>
      </w:divBdr>
      <w:divsChild>
        <w:div w:id="366949191">
          <w:marLeft w:val="0"/>
          <w:marRight w:val="0"/>
          <w:marTop w:val="0"/>
          <w:marBottom w:val="0"/>
          <w:divBdr>
            <w:top w:val="none" w:sz="0" w:space="0" w:color="auto"/>
            <w:left w:val="none" w:sz="0" w:space="0" w:color="auto"/>
            <w:bottom w:val="none" w:sz="0" w:space="0" w:color="auto"/>
            <w:right w:val="none" w:sz="0" w:space="0" w:color="auto"/>
          </w:divBdr>
          <w:divsChild>
            <w:div w:id="1509785046">
              <w:marLeft w:val="0"/>
              <w:marRight w:val="0"/>
              <w:marTop w:val="0"/>
              <w:marBottom w:val="0"/>
              <w:divBdr>
                <w:top w:val="none" w:sz="0" w:space="0" w:color="auto"/>
                <w:left w:val="none" w:sz="0" w:space="0" w:color="auto"/>
                <w:bottom w:val="none" w:sz="0" w:space="0" w:color="auto"/>
                <w:right w:val="none" w:sz="0" w:space="0" w:color="auto"/>
              </w:divBdr>
              <w:divsChild>
                <w:div w:id="360588837">
                  <w:marLeft w:val="0"/>
                  <w:marRight w:val="0"/>
                  <w:marTop w:val="0"/>
                  <w:marBottom w:val="0"/>
                  <w:divBdr>
                    <w:top w:val="none" w:sz="0" w:space="0" w:color="auto"/>
                    <w:left w:val="none" w:sz="0" w:space="0" w:color="auto"/>
                    <w:bottom w:val="none" w:sz="0" w:space="0" w:color="auto"/>
                    <w:right w:val="none" w:sz="0" w:space="0" w:color="auto"/>
                  </w:divBdr>
                  <w:divsChild>
                    <w:div w:id="165348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1875">
          <w:marLeft w:val="0"/>
          <w:marRight w:val="0"/>
          <w:marTop w:val="0"/>
          <w:marBottom w:val="0"/>
          <w:divBdr>
            <w:top w:val="none" w:sz="0" w:space="0" w:color="auto"/>
            <w:left w:val="none" w:sz="0" w:space="0" w:color="auto"/>
            <w:bottom w:val="none" w:sz="0" w:space="0" w:color="auto"/>
            <w:right w:val="none" w:sz="0" w:space="0" w:color="auto"/>
          </w:divBdr>
          <w:divsChild>
            <w:div w:id="1972393019">
              <w:marLeft w:val="0"/>
              <w:marRight w:val="0"/>
              <w:marTop w:val="0"/>
              <w:marBottom w:val="0"/>
              <w:divBdr>
                <w:top w:val="none" w:sz="0" w:space="0" w:color="auto"/>
                <w:left w:val="none" w:sz="0" w:space="0" w:color="auto"/>
                <w:bottom w:val="none" w:sz="0" w:space="0" w:color="auto"/>
                <w:right w:val="none" w:sz="0" w:space="0" w:color="auto"/>
              </w:divBdr>
              <w:divsChild>
                <w:div w:id="1818447614">
                  <w:marLeft w:val="0"/>
                  <w:marRight w:val="0"/>
                  <w:marTop w:val="0"/>
                  <w:marBottom w:val="0"/>
                  <w:divBdr>
                    <w:top w:val="none" w:sz="0" w:space="0" w:color="auto"/>
                    <w:left w:val="none" w:sz="0" w:space="0" w:color="auto"/>
                    <w:bottom w:val="none" w:sz="0" w:space="0" w:color="auto"/>
                    <w:right w:val="none" w:sz="0" w:space="0" w:color="auto"/>
                  </w:divBdr>
                  <w:divsChild>
                    <w:div w:id="79752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83101">
      <w:bodyDiv w:val="1"/>
      <w:marLeft w:val="0"/>
      <w:marRight w:val="0"/>
      <w:marTop w:val="0"/>
      <w:marBottom w:val="0"/>
      <w:divBdr>
        <w:top w:val="none" w:sz="0" w:space="0" w:color="auto"/>
        <w:left w:val="none" w:sz="0" w:space="0" w:color="auto"/>
        <w:bottom w:val="none" w:sz="0" w:space="0" w:color="auto"/>
        <w:right w:val="none" w:sz="0" w:space="0" w:color="auto"/>
      </w:divBdr>
      <w:divsChild>
        <w:div w:id="233509454">
          <w:marLeft w:val="0"/>
          <w:marRight w:val="0"/>
          <w:marTop w:val="0"/>
          <w:marBottom w:val="0"/>
          <w:divBdr>
            <w:top w:val="none" w:sz="0" w:space="0" w:color="auto"/>
            <w:left w:val="none" w:sz="0" w:space="0" w:color="auto"/>
            <w:bottom w:val="none" w:sz="0" w:space="0" w:color="auto"/>
            <w:right w:val="none" w:sz="0" w:space="0" w:color="auto"/>
          </w:divBdr>
          <w:divsChild>
            <w:div w:id="891580070">
              <w:marLeft w:val="0"/>
              <w:marRight w:val="0"/>
              <w:marTop w:val="0"/>
              <w:marBottom w:val="0"/>
              <w:divBdr>
                <w:top w:val="none" w:sz="0" w:space="0" w:color="auto"/>
                <w:left w:val="none" w:sz="0" w:space="0" w:color="auto"/>
                <w:bottom w:val="none" w:sz="0" w:space="0" w:color="auto"/>
                <w:right w:val="none" w:sz="0" w:space="0" w:color="auto"/>
              </w:divBdr>
              <w:divsChild>
                <w:div w:id="42449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40168">
      <w:bodyDiv w:val="1"/>
      <w:marLeft w:val="0"/>
      <w:marRight w:val="0"/>
      <w:marTop w:val="0"/>
      <w:marBottom w:val="0"/>
      <w:divBdr>
        <w:top w:val="none" w:sz="0" w:space="0" w:color="auto"/>
        <w:left w:val="none" w:sz="0" w:space="0" w:color="auto"/>
        <w:bottom w:val="none" w:sz="0" w:space="0" w:color="auto"/>
        <w:right w:val="none" w:sz="0" w:space="0" w:color="auto"/>
      </w:divBdr>
      <w:divsChild>
        <w:div w:id="1980839365">
          <w:marLeft w:val="0"/>
          <w:marRight w:val="0"/>
          <w:marTop w:val="0"/>
          <w:marBottom w:val="0"/>
          <w:divBdr>
            <w:top w:val="none" w:sz="0" w:space="0" w:color="auto"/>
            <w:left w:val="none" w:sz="0" w:space="0" w:color="auto"/>
            <w:bottom w:val="none" w:sz="0" w:space="0" w:color="auto"/>
            <w:right w:val="none" w:sz="0" w:space="0" w:color="auto"/>
          </w:divBdr>
          <w:divsChild>
            <w:div w:id="1752652983">
              <w:marLeft w:val="0"/>
              <w:marRight w:val="0"/>
              <w:marTop w:val="0"/>
              <w:marBottom w:val="0"/>
              <w:divBdr>
                <w:top w:val="none" w:sz="0" w:space="0" w:color="auto"/>
                <w:left w:val="none" w:sz="0" w:space="0" w:color="auto"/>
                <w:bottom w:val="none" w:sz="0" w:space="0" w:color="auto"/>
                <w:right w:val="none" w:sz="0" w:space="0" w:color="auto"/>
              </w:divBdr>
              <w:divsChild>
                <w:div w:id="10343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07507">
      <w:bodyDiv w:val="1"/>
      <w:marLeft w:val="0"/>
      <w:marRight w:val="0"/>
      <w:marTop w:val="0"/>
      <w:marBottom w:val="0"/>
      <w:divBdr>
        <w:top w:val="none" w:sz="0" w:space="0" w:color="auto"/>
        <w:left w:val="none" w:sz="0" w:space="0" w:color="auto"/>
        <w:bottom w:val="none" w:sz="0" w:space="0" w:color="auto"/>
        <w:right w:val="none" w:sz="0" w:space="0" w:color="auto"/>
      </w:divBdr>
      <w:divsChild>
        <w:div w:id="2062945239">
          <w:marLeft w:val="0"/>
          <w:marRight w:val="0"/>
          <w:marTop w:val="0"/>
          <w:marBottom w:val="0"/>
          <w:divBdr>
            <w:top w:val="none" w:sz="0" w:space="0" w:color="auto"/>
            <w:left w:val="none" w:sz="0" w:space="0" w:color="auto"/>
            <w:bottom w:val="none" w:sz="0" w:space="0" w:color="auto"/>
            <w:right w:val="none" w:sz="0" w:space="0" w:color="auto"/>
          </w:divBdr>
          <w:divsChild>
            <w:div w:id="860582653">
              <w:marLeft w:val="0"/>
              <w:marRight w:val="0"/>
              <w:marTop w:val="0"/>
              <w:marBottom w:val="0"/>
              <w:divBdr>
                <w:top w:val="none" w:sz="0" w:space="0" w:color="auto"/>
                <w:left w:val="none" w:sz="0" w:space="0" w:color="auto"/>
                <w:bottom w:val="none" w:sz="0" w:space="0" w:color="auto"/>
                <w:right w:val="none" w:sz="0" w:space="0" w:color="auto"/>
              </w:divBdr>
              <w:divsChild>
                <w:div w:id="141046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810005">
      <w:bodyDiv w:val="1"/>
      <w:marLeft w:val="0"/>
      <w:marRight w:val="0"/>
      <w:marTop w:val="0"/>
      <w:marBottom w:val="0"/>
      <w:divBdr>
        <w:top w:val="none" w:sz="0" w:space="0" w:color="auto"/>
        <w:left w:val="none" w:sz="0" w:space="0" w:color="auto"/>
        <w:bottom w:val="none" w:sz="0" w:space="0" w:color="auto"/>
        <w:right w:val="none" w:sz="0" w:space="0" w:color="auto"/>
      </w:divBdr>
      <w:divsChild>
        <w:div w:id="340857489">
          <w:marLeft w:val="0"/>
          <w:marRight w:val="0"/>
          <w:marTop w:val="0"/>
          <w:marBottom w:val="0"/>
          <w:divBdr>
            <w:top w:val="none" w:sz="0" w:space="0" w:color="auto"/>
            <w:left w:val="none" w:sz="0" w:space="0" w:color="auto"/>
            <w:bottom w:val="none" w:sz="0" w:space="0" w:color="auto"/>
            <w:right w:val="none" w:sz="0" w:space="0" w:color="auto"/>
          </w:divBdr>
          <w:divsChild>
            <w:div w:id="319506347">
              <w:marLeft w:val="0"/>
              <w:marRight w:val="0"/>
              <w:marTop w:val="0"/>
              <w:marBottom w:val="0"/>
              <w:divBdr>
                <w:top w:val="none" w:sz="0" w:space="0" w:color="auto"/>
                <w:left w:val="none" w:sz="0" w:space="0" w:color="auto"/>
                <w:bottom w:val="none" w:sz="0" w:space="0" w:color="auto"/>
                <w:right w:val="none" w:sz="0" w:space="0" w:color="auto"/>
              </w:divBdr>
              <w:divsChild>
                <w:div w:id="15637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88231">
      <w:bodyDiv w:val="1"/>
      <w:marLeft w:val="0"/>
      <w:marRight w:val="0"/>
      <w:marTop w:val="0"/>
      <w:marBottom w:val="0"/>
      <w:divBdr>
        <w:top w:val="none" w:sz="0" w:space="0" w:color="auto"/>
        <w:left w:val="none" w:sz="0" w:space="0" w:color="auto"/>
        <w:bottom w:val="none" w:sz="0" w:space="0" w:color="auto"/>
        <w:right w:val="none" w:sz="0" w:space="0" w:color="auto"/>
      </w:divBdr>
      <w:divsChild>
        <w:div w:id="707726355">
          <w:marLeft w:val="0"/>
          <w:marRight w:val="0"/>
          <w:marTop w:val="0"/>
          <w:marBottom w:val="0"/>
          <w:divBdr>
            <w:top w:val="none" w:sz="0" w:space="0" w:color="auto"/>
            <w:left w:val="none" w:sz="0" w:space="0" w:color="auto"/>
            <w:bottom w:val="none" w:sz="0" w:space="0" w:color="auto"/>
            <w:right w:val="none" w:sz="0" w:space="0" w:color="auto"/>
          </w:divBdr>
          <w:divsChild>
            <w:div w:id="1097675130">
              <w:marLeft w:val="0"/>
              <w:marRight w:val="0"/>
              <w:marTop w:val="0"/>
              <w:marBottom w:val="0"/>
              <w:divBdr>
                <w:top w:val="none" w:sz="0" w:space="0" w:color="auto"/>
                <w:left w:val="none" w:sz="0" w:space="0" w:color="auto"/>
                <w:bottom w:val="none" w:sz="0" w:space="0" w:color="auto"/>
                <w:right w:val="none" w:sz="0" w:space="0" w:color="auto"/>
              </w:divBdr>
              <w:divsChild>
                <w:div w:id="5512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46473">
      <w:bodyDiv w:val="1"/>
      <w:marLeft w:val="0"/>
      <w:marRight w:val="0"/>
      <w:marTop w:val="0"/>
      <w:marBottom w:val="0"/>
      <w:divBdr>
        <w:top w:val="none" w:sz="0" w:space="0" w:color="auto"/>
        <w:left w:val="none" w:sz="0" w:space="0" w:color="auto"/>
        <w:bottom w:val="none" w:sz="0" w:space="0" w:color="auto"/>
        <w:right w:val="none" w:sz="0" w:space="0" w:color="auto"/>
      </w:divBdr>
      <w:divsChild>
        <w:div w:id="1733195433">
          <w:marLeft w:val="0"/>
          <w:marRight w:val="0"/>
          <w:marTop w:val="0"/>
          <w:marBottom w:val="0"/>
          <w:divBdr>
            <w:top w:val="none" w:sz="0" w:space="0" w:color="auto"/>
            <w:left w:val="none" w:sz="0" w:space="0" w:color="auto"/>
            <w:bottom w:val="none" w:sz="0" w:space="0" w:color="auto"/>
            <w:right w:val="none" w:sz="0" w:space="0" w:color="auto"/>
          </w:divBdr>
          <w:divsChild>
            <w:div w:id="831988134">
              <w:marLeft w:val="0"/>
              <w:marRight w:val="0"/>
              <w:marTop w:val="0"/>
              <w:marBottom w:val="0"/>
              <w:divBdr>
                <w:top w:val="none" w:sz="0" w:space="0" w:color="auto"/>
                <w:left w:val="none" w:sz="0" w:space="0" w:color="auto"/>
                <w:bottom w:val="none" w:sz="0" w:space="0" w:color="auto"/>
                <w:right w:val="none" w:sz="0" w:space="0" w:color="auto"/>
              </w:divBdr>
              <w:divsChild>
                <w:div w:id="1227448234">
                  <w:marLeft w:val="0"/>
                  <w:marRight w:val="0"/>
                  <w:marTop w:val="0"/>
                  <w:marBottom w:val="0"/>
                  <w:divBdr>
                    <w:top w:val="none" w:sz="0" w:space="0" w:color="auto"/>
                    <w:left w:val="none" w:sz="0" w:space="0" w:color="auto"/>
                    <w:bottom w:val="none" w:sz="0" w:space="0" w:color="auto"/>
                    <w:right w:val="none" w:sz="0" w:space="0" w:color="auto"/>
                  </w:divBdr>
                  <w:divsChild>
                    <w:div w:id="570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36126">
      <w:bodyDiv w:val="1"/>
      <w:marLeft w:val="0"/>
      <w:marRight w:val="0"/>
      <w:marTop w:val="0"/>
      <w:marBottom w:val="0"/>
      <w:divBdr>
        <w:top w:val="none" w:sz="0" w:space="0" w:color="auto"/>
        <w:left w:val="none" w:sz="0" w:space="0" w:color="auto"/>
        <w:bottom w:val="none" w:sz="0" w:space="0" w:color="auto"/>
        <w:right w:val="none" w:sz="0" w:space="0" w:color="auto"/>
      </w:divBdr>
      <w:divsChild>
        <w:div w:id="1232279422">
          <w:marLeft w:val="0"/>
          <w:marRight w:val="0"/>
          <w:marTop w:val="0"/>
          <w:marBottom w:val="0"/>
          <w:divBdr>
            <w:top w:val="none" w:sz="0" w:space="0" w:color="auto"/>
            <w:left w:val="none" w:sz="0" w:space="0" w:color="auto"/>
            <w:bottom w:val="none" w:sz="0" w:space="0" w:color="auto"/>
            <w:right w:val="none" w:sz="0" w:space="0" w:color="auto"/>
          </w:divBdr>
          <w:divsChild>
            <w:div w:id="2068798058">
              <w:marLeft w:val="0"/>
              <w:marRight w:val="0"/>
              <w:marTop w:val="0"/>
              <w:marBottom w:val="0"/>
              <w:divBdr>
                <w:top w:val="none" w:sz="0" w:space="0" w:color="auto"/>
                <w:left w:val="none" w:sz="0" w:space="0" w:color="auto"/>
                <w:bottom w:val="none" w:sz="0" w:space="0" w:color="auto"/>
                <w:right w:val="none" w:sz="0" w:space="0" w:color="auto"/>
              </w:divBdr>
              <w:divsChild>
                <w:div w:id="8667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33982">
      <w:bodyDiv w:val="1"/>
      <w:marLeft w:val="0"/>
      <w:marRight w:val="0"/>
      <w:marTop w:val="0"/>
      <w:marBottom w:val="0"/>
      <w:divBdr>
        <w:top w:val="none" w:sz="0" w:space="0" w:color="auto"/>
        <w:left w:val="none" w:sz="0" w:space="0" w:color="auto"/>
        <w:bottom w:val="none" w:sz="0" w:space="0" w:color="auto"/>
        <w:right w:val="none" w:sz="0" w:space="0" w:color="auto"/>
      </w:divBdr>
    </w:div>
    <w:div w:id="1338849596">
      <w:bodyDiv w:val="1"/>
      <w:marLeft w:val="0"/>
      <w:marRight w:val="0"/>
      <w:marTop w:val="0"/>
      <w:marBottom w:val="0"/>
      <w:divBdr>
        <w:top w:val="none" w:sz="0" w:space="0" w:color="auto"/>
        <w:left w:val="none" w:sz="0" w:space="0" w:color="auto"/>
        <w:bottom w:val="none" w:sz="0" w:space="0" w:color="auto"/>
        <w:right w:val="none" w:sz="0" w:space="0" w:color="auto"/>
      </w:divBdr>
      <w:divsChild>
        <w:div w:id="1572160796">
          <w:marLeft w:val="0"/>
          <w:marRight w:val="0"/>
          <w:marTop w:val="0"/>
          <w:marBottom w:val="0"/>
          <w:divBdr>
            <w:top w:val="none" w:sz="0" w:space="0" w:color="auto"/>
            <w:left w:val="none" w:sz="0" w:space="0" w:color="auto"/>
            <w:bottom w:val="none" w:sz="0" w:space="0" w:color="auto"/>
            <w:right w:val="none" w:sz="0" w:space="0" w:color="auto"/>
          </w:divBdr>
          <w:divsChild>
            <w:div w:id="1781027384">
              <w:marLeft w:val="0"/>
              <w:marRight w:val="0"/>
              <w:marTop w:val="0"/>
              <w:marBottom w:val="0"/>
              <w:divBdr>
                <w:top w:val="none" w:sz="0" w:space="0" w:color="auto"/>
                <w:left w:val="none" w:sz="0" w:space="0" w:color="auto"/>
                <w:bottom w:val="none" w:sz="0" w:space="0" w:color="auto"/>
                <w:right w:val="none" w:sz="0" w:space="0" w:color="auto"/>
              </w:divBdr>
              <w:divsChild>
                <w:div w:id="87916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37709">
      <w:bodyDiv w:val="1"/>
      <w:marLeft w:val="0"/>
      <w:marRight w:val="0"/>
      <w:marTop w:val="0"/>
      <w:marBottom w:val="0"/>
      <w:divBdr>
        <w:top w:val="none" w:sz="0" w:space="0" w:color="auto"/>
        <w:left w:val="none" w:sz="0" w:space="0" w:color="auto"/>
        <w:bottom w:val="none" w:sz="0" w:space="0" w:color="auto"/>
        <w:right w:val="none" w:sz="0" w:space="0" w:color="auto"/>
      </w:divBdr>
      <w:divsChild>
        <w:div w:id="217980462">
          <w:marLeft w:val="0"/>
          <w:marRight w:val="0"/>
          <w:marTop w:val="0"/>
          <w:marBottom w:val="0"/>
          <w:divBdr>
            <w:top w:val="none" w:sz="0" w:space="0" w:color="auto"/>
            <w:left w:val="none" w:sz="0" w:space="0" w:color="auto"/>
            <w:bottom w:val="none" w:sz="0" w:space="0" w:color="auto"/>
            <w:right w:val="none" w:sz="0" w:space="0" w:color="auto"/>
          </w:divBdr>
          <w:divsChild>
            <w:div w:id="1163157064">
              <w:marLeft w:val="0"/>
              <w:marRight w:val="0"/>
              <w:marTop w:val="0"/>
              <w:marBottom w:val="0"/>
              <w:divBdr>
                <w:top w:val="none" w:sz="0" w:space="0" w:color="auto"/>
                <w:left w:val="none" w:sz="0" w:space="0" w:color="auto"/>
                <w:bottom w:val="none" w:sz="0" w:space="0" w:color="auto"/>
                <w:right w:val="none" w:sz="0" w:space="0" w:color="auto"/>
              </w:divBdr>
              <w:divsChild>
                <w:div w:id="1265335160">
                  <w:marLeft w:val="0"/>
                  <w:marRight w:val="0"/>
                  <w:marTop w:val="0"/>
                  <w:marBottom w:val="0"/>
                  <w:divBdr>
                    <w:top w:val="none" w:sz="0" w:space="0" w:color="auto"/>
                    <w:left w:val="none" w:sz="0" w:space="0" w:color="auto"/>
                    <w:bottom w:val="none" w:sz="0" w:space="0" w:color="auto"/>
                    <w:right w:val="none" w:sz="0" w:space="0" w:color="auto"/>
                  </w:divBdr>
                  <w:divsChild>
                    <w:div w:id="3000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362322">
          <w:marLeft w:val="0"/>
          <w:marRight w:val="0"/>
          <w:marTop w:val="0"/>
          <w:marBottom w:val="0"/>
          <w:divBdr>
            <w:top w:val="none" w:sz="0" w:space="0" w:color="auto"/>
            <w:left w:val="none" w:sz="0" w:space="0" w:color="auto"/>
            <w:bottom w:val="none" w:sz="0" w:space="0" w:color="auto"/>
            <w:right w:val="none" w:sz="0" w:space="0" w:color="auto"/>
          </w:divBdr>
          <w:divsChild>
            <w:div w:id="582956520">
              <w:marLeft w:val="0"/>
              <w:marRight w:val="0"/>
              <w:marTop w:val="0"/>
              <w:marBottom w:val="0"/>
              <w:divBdr>
                <w:top w:val="none" w:sz="0" w:space="0" w:color="auto"/>
                <w:left w:val="none" w:sz="0" w:space="0" w:color="auto"/>
                <w:bottom w:val="none" w:sz="0" w:space="0" w:color="auto"/>
                <w:right w:val="none" w:sz="0" w:space="0" w:color="auto"/>
              </w:divBdr>
              <w:divsChild>
                <w:div w:id="1458336650">
                  <w:marLeft w:val="0"/>
                  <w:marRight w:val="0"/>
                  <w:marTop w:val="0"/>
                  <w:marBottom w:val="0"/>
                  <w:divBdr>
                    <w:top w:val="none" w:sz="0" w:space="0" w:color="auto"/>
                    <w:left w:val="none" w:sz="0" w:space="0" w:color="auto"/>
                    <w:bottom w:val="none" w:sz="0" w:space="0" w:color="auto"/>
                    <w:right w:val="none" w:sz="0" w:space="0" w:color="auto"/>
                  </w:divBdr>
                  <w:divsChild>
                    <w:div w:id="40025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277044">
      <w:bodyDiv w:val="1"/>
      <w:marLeft w:val="0"/>
      <w:marRight w:val="0"/>
      <w:marTop w:val="0"/>
      <w:marBottom w:val="0"/>
      <w:divBdr>
        <w:top w:val="none" w:sz="0" w:space="0" w:color="auto"/>
        <w:left w:val="none" w:sz="0" w:space="0" w:color="auto"/>
        <w:bottom w:val="none" w:sz="0" w:space="0" w:color="auto"/>
        <w:right w:val="none" w:sz="0" w:space="0" w:color="auto"/>
      </w:divBdr>
      <w:divsChild>
        <w:div w:id="174465435">
          <w:marLeft w:val="0"/>
          <w:marRight w:val="0"/>
          <w:marTop w:val="0"/>
          <w:marBottom w:val="0"/>
          <w:divBdr>
            <w:top w:val="none" w:sz="0" w:space="0" w:color="auto"/>
            <w:left w:val="none" w:sz="0" w:space="0" w:color="auto"/>
            <w:bottom w:val="none" w:sz="0" w:space="0" w:color="auto"/>
            <w:right w:val="none" w:sz="0" w:space="0" w:color="auto"/>
          </w:divBdr>
          <w:divsChild>
            <w:div w:id="168718377">
              <w:marLeft w:val="0"/>
              <w:marRight w:val="0"/>
              <w:marTop w:val="0"/>
              <w:marBottom w:val="0"/>
              <w:divBdr>
                <w:top w:val="none" w:sz="0" w:space="0" w:color="auto"/>
                <w:left w:val="none" w:sz="0" w:space="0" w:color="auto"/>
                <w:bottom w:val="none" w:sz="0" w:space="0" w:color="auto"/>
                <w:right w:val="none" w:sz="0" w:space="0" w:color="auto"/>
              </w:divBdr>
              <w:divsChild>
                <w:div w:id="69299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23676">
      <w:bodyDiv w:val="1"/>
      <w:marLeft w:val="0"/>
      <w:marRight w:val="0"/>
      <w:marTop w:val="0"/>
      <w:marBottom w:val="0"/>
      <w:divBdr>
        <w:top w:val="none" w:sz="0" w:space="0" w:color="auto"/>
        <w:left w:val="none" w:sz="0" w:space="0" w:color="auto"/>
        <w:bottom w:val="none" w:sz="0" w:space="0" w:color="auto"/>
        <w:right w:val="none" w:sz="0" w:space="0" w:color="auto"/>
      </w:divBdr>
      <w:divsChild>
        <w:div w:id="942105776">
          <w:marLeft w:val="0"/>
          <w:marRight w:val="0"/>
          <w:marTop w:val="0"/>
          <w:marBottom w:val="0"/>
          <w:divBdr>
            <w:top w:val="none" w:sz="0" w:space="0" w:color="auto"/>
            <w:left w:val="none" w:sz="0" w:space="0" w:color="auto"/>
            <w:bottom w:val="none" w:sz="0" w:space="0" w:color="auto"/>
            <w:right w:val="none" w:sz="0" w:space="0" w:color="auto"/>
          </w:divBdr>
          <w:divsChild>
            <w:div w:id="1139879470">
              <w:marLeft w:val="0"/>
              <w:marRight w:val="0"/>
              <w:marTop w:val="0"/>
              <w:marBottom w:val="0"/>
              <w:divBdr>
                <w:top w:val="none" w:sz="0" w:space="0" w:color="auto"/>
                <w:left w:val="none" w:sz="0" w:space="0" w:color="auto"/>
                <w:bottom w:val="none" w:sz="0" w:space="0" w:color="auto"/>
                <w:right w:val="none" w:sz="0" w:space="0" w:color="auto"/>
              </w:divBdr>
              <w:divsChild>
                <w:div w:id="121565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12942">
      <w:bodyDiv w:val="1"/>
      <w:marLeft w:val="0"/>
      <w:marRight w:val="0"/>
      <w:marTop w:val="0"/>
      <w:marBottom w:val="0"/>
      <w:divBdr>
        <w:top w:val="none" w:sz="0" w:space="0" w:color="auto"/>
        <w:left w:val="none" w:sz="0" w:space="0" w:color="auto"/>
        <w:bottom w:val="none" w:sz="0" w:space="0" w:color="auto"/>
        <w:right w:val="none" w:sz="0" w:space="0" w:color="auto"/>
      </w:divBdr>
      <w:divsChild>
        <w:div w:id="1459226073">
          <w:marLeft w:val="0"/>
          <w:marRight w:val="0"/>
          <w:marTop w:val="0"/>
          <w:marBottom w:val="0"/>
          <w:divBdr>
            <w:top w:val="none" w:sz="0" w:space="0" w:color="auto"/>
            <w:left w:val="none" w:sz="0" w:space="0" w:color="auto"/>
            <w:bottom w:val="none" w:sz="0" w:space="0" w:color="auto"/>
            <w:right w:val="none" w:sz="0" w:space="0" w:color="auto"/>
          </w:divBdr>
          <w:divsChild>
            <w:div w:id="1210875718">
              <w:marLeft w:val="0"/>
              <w:marRight w:val="0"/>
              <w:marTop w:val="0"/>
              <w:marBottom w:val="0"/>
              <w:divBdr>
                <w:top w:val="none" w:sz="0" w:space="0" w:color="auto"/>
                <w:left w:val="none" w:sz="0" w:space="0" w:color="auto"/>
                <w:bottom w:val="none" w:sz="0" w:space="0" w:color="auto"/>
                <w:right w:val="none" w:sz="0" w:space="0" w:color="auto"/>
              </w:divBdr>
              <w:divsChild>
                <w:div w:id="132146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84639">
      <w:bodyDiv w:val="1"/>
      <w:marLeft w:val="0"/>
      <w:marRight w:val="0"/>
      <w:marTop w:val="0"/>
      <w:marBottom w:val="0"/>
      <w:divBdr>
        <w:top w:val="none" w:sz="0" w:space="0" w:color="auto"/>
        <w:left w:val="none" w:sz="0" w:space="0" w:color="auto"/>
        <w:bottom w:val="none" w:sz="0" w:space="0" w:color="auto"/>
        <w:right w:val="none" w:sz="0" w:space="0" w:color="auto"/>
      </w:divBdr>
      <w:divsChild>
        <w:div w:id="384332660">
          <w:marLeft w:val="0"/>
          <w:marRight w:val="0"/>
          <w:marTop w:val="0"/>
          <w:marBottom w:val="0"/>
          <w:divBdr>
            <w:top w:val="none" w:sz="0" w:space="0" w:color="auto"/>
            <w:left w:val="none" w:sz="0" w:space="0" w:color="auto"/>
            <w:bottom w:val="none" w:sz="0" w:space="0" w:color="auto"/>
            <w:right w:val="none" w:sz="0" w:space="0" w:color="auto"/>
          </w:divBdr>
          <w:divsChild>
            <w:div w:id="174077453">
              <w:marLeft w:val="0"/>
              <w:marRight w:val="0"/>
              <w:marTop w:val="0"/>
              <w:marBottom w:val="0"/>
              <w:divBdr>
                <w:top w:val="none" w:sz="0" w:space="0" w:color="auto"/>
                <w:left w:val="none" w:sz="0" w:space="0" w:color="auto"/>
                <w:bottom w:val="none" w:sz="0" w:space="0" w:color="auto"/>
                <w:right w:val="none" w:sz="0" w:space="0" w:color="auto"/>
              </w:divBdr>
              <w:divsChild>
                <w:div w:id="852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360046">
      <w:bodyDiv w:val="1"/>
      <w:marLeft w:val="0"/>
      <w:marRight w:val="0"/>
      <w:marTop w:val="0"/>
      <w:marBottom w:val="0"/>
      <w:divBdr>
        <w:top w:val="none" w:sz="0" w:space="0" w:color="auto"/>
        <w:left w:val="none" w:sz="0" w:space="0" w:color="auto"/>
        <w:bottom w:val="none" w:sz="0" w:space="0" w:color="auto"/>
        <w:right w:val="none" w:sz="0" w:space="0" w:color="auto"/>
      </w:divBdr>
      <w:divsChild>
        <w:div w:id="1039668121">
          <w:marLeft w:val="0"/>
          <w:marRight w:val="0"/>
          <w:marTop w:val="0"/>
          <w:marBottom w:val="0"/>
          <w:divBdr>
            <w:top w:val="none" w:sz="0" w:space="0" w:color="auto"/>
            <w:left w:val="none" w:sz="0" w:space="0" w:color="auto"/>
            <w:bottom w:val="none" w:sz="0" w:space="0" w:color="auto"/>
            <w:right w:val="none" w:sz="0" w:space="0" w:color="auto"/>
          </w:divBdr>
          <w:divsChild>
            <w:div w:id="1720202325">
              <w:marLeft w:val="0"/>
              <w:marRight w:val="0"/>
              <w:marTop w:val="0"/>
              <w:marBottom w:val="0"/>
              <w:divBdr>
                <w:top w:val="none" w:sz="0" w:space="0" w:color="auto"/>
                <w:left w:val="none" w:sz="0" w:space="0" w:color="auto"/>
                <w:bottom w:val="none" w:sz="0" w:space="0" w:color="auto"/>
                <w:right w:val="none" w:sz="0" w:space="0" w:color="auto"/>
              </w:divBdr>
              <w:divsChild>
                <w:div w:id="39559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72266">
      <w:bodyDiv w:val="1"/>
      <w:marLeft w:val="0"/>
      <w:marRight w:val="0"/>
      <w:marTop w:val="0"/>
      <w:marBottom w:val="0"/>
      <w:divBdr>
        <w:top w:val="none" w:sz="0" w:space="0" w:color="auto"/>
        <w:left w:val="none" w:sz="0" w:space="0" w:color="auto"/>
        <w:bottom w:val="none" w:sz="0" w:space="0" w:color="auto"/>
        <w:right w:val="none" w:sz="0" w:space="0" w:color="auto"/>
      </w:divBdr>
      <w:divsChild>
        <w:div w:id="1652325967">
          <w:marLeft w:val="0"/>
          <w:marRight w:val="0"/>
          <w:marTop w:val="0"/>
          <w:marBottom w:val="0"/>
          <w:divBdr>
            <w:top w:val="none" w:sz="0" w:space="0" w:color="auto"/>
            <w:left w:val="none" w:sz="0" w:space="0" w:color="auto"/>
            <w:bottom w:val="none" w:sz="0" w:space="0" w:color="auto"/>
            <w:right w:val="none" w:sz="0" w:space="0" w:color="auto"/>
          </w:divBdr>
          <w:divsChild>
            <w:div w:id="1933969584">
              <w:marLeft w:val="0"/>
              <w:marRight w:val="0"/>
              <w:marTop w:val="0"/>
              <w:marBottom w:val="0"/>
              <w:divBdr>
                <w:top w:val="none" w:sz="0" w:space="0" w:color="auto"/>
                <w:left w:val="none" w:sz="0" w:space="0" w:color="auto"/>
                <w:bottom w:val="none" w:sz="0" w:space="0" w:color="auto"/>
                <w:right w:val="none" w:sz="0" w:space="0" w:color="auto"/>
              </w:divBdr>
              <w:divsChild>
                <w:div w:id="14118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453857">
      <w:bodyDiv w:val="1"/>
      <w:marLeft w:val="0"/>
      <w:marRight w:val="0"/>
      <w:marTop w:val="0"/>
      <w:marBottom w:val="0"/>
      <w:divBdr>
        <w:top w:val="none" w:sz="0" w:space="0" w:color="auto"/>
        <w:left w:val="none" w:sz="0" w:space="0" w:color="auto"/>
        <w:bottom w:val="none" w:sz="0" w:space="0" w:color="auto"/>
        <w:right w:val="none" w:sz="0" w:space="0" w:color="auto"/>
      </w:divBdr>
      <w:divsChild>
        <w:div w:id="620115063">
          <w:marLeft w:val="0"/>
          <w:marRight w:val="0"/>
          <w:marTop w:val="0"/>
          <w:marBottom w:val="0"/>
          <w:divBdr>
            <w:top w:val="none" w:sz="0" w:space="0" w:color="auto"/>
            <w:left w:val="none" w:sz="0" w:space="0" w:color="auto"/>
            <w:bottom w:val="none" w:sz="0" w:space="0" w:color="auto"/>
            <w:right w:val="none" w:sz="0" w:space="0" w:color="auto"/>
          </w:divBdr>
          <w:divsChild>
            <w:div w:id="998534359">
              <w:marLeft w:val="0"/>
              <w:marRight w:val="0"/>
              <w:marTop w:val="0"/>
              <w:marBottom w:val="0"/>
              <w:divBdr>
                <w:top w:val="none" w:sz="0" w:space="0" w:color="auto"/>
                <w:left w:val="none" w:sz="0" w:space="0" w:color="auto"/>
                <w:bottom w:val="none" w:sz="0" w:space="0" w:color="auto"/>
                <w:right w:val="none" w:sz="0" w:space="0" w:color="auto"/>
              </w:divBdr>
              <w:divsChild>
                <w:div w:id="5015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613423">
      <w:bodyDiv w:val="1"/>
      <w:marLeft w:val="0"/>
      <w:marRight w:val="0"/>
      <w:marTop w:val="0"/>
      <w:marBottom w:val="0"/>
      <w:divBdr>
        <w:top w:val="none" w:sz="0" w:space="0" w:color="auto"/>
        <w:left w:val="none" w:sz="0" w:space="0" w:color="auto"/>
        <w:bottom w:val="none" w:sz="0" w:space="0" w:color="auto"/>
        <w:right w:val="none" w:sz="0" w:space="0" w:color="auto"/>
      </w:divBdr>
      <w:divsChild>
        <w:div w:id="1552226538">
          <w:marLeft w:val="0"/>
          <w:marRight w:val="0"/>
          <w:marTop w:val="0"/>
          <w:marBottom w:val="0"/>
          <w:divBdr>
            <w:top w:val="none" w:sz="0" w:space="0" w:color="auto"/>
            <w:left w:val="none" w:sz="0" w:space="0" w:color="auto"/>
            <w:bottom w:val="none" w:sz="0" w:space="0" w:color="auto"/>
            <w:right w:val="none" w:sz="0" w:space="0" w:color="auto"/>
          </w:divBdr>
          <w:divsChild>
            <w:div w:id="131600484">
              <w:marLeft w:val="0"/>
              <w:marRight w:val="0"/>
              <w:marTop w:val="0"/>
              <w:marBottom w:val="0"/>
              <w:divBdr>
                <w:top w:val="none" w:sz="0" w:space="0" w:color="auto"/>
                <w:left w:val="none" w:sz="0" w:space="0" w:color="auto"/>
                <w:bottom w:val="none" w:sz="0" w:space="0" w:color="auto"/>
                <w:right w:val="none" w:sz="0" w:space="0" w:color="auto"/>
              </w:divBdr>
              <w:divsChild>
                <w:div w:id="205974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33658">
      <w:bodyDiv w:val="1"/>
      <w:marLeft w:val="0"/>
      <w:marRight w:val="0"/>
      <w:marTop w:val="0"/>
      <w:marBottom w:val="0"/>
      <w:divBdr>
        <w:top w:val="none" w:sz="0" w:space="0" w:color="auto"/>
        <w:left w:val="none" w:sz="0" w:space="0" w:color="auto"/>
        <w:bottom w:val="none" w:sz="0" w:space="0" w:color="auto"/>
        <w:right w:val="none" w:sz="0" w:space="0" w:color="auto"/>
      </w:divBdr>
      <w:divsChild>
        <w:div w:id="1444228435">
          <w:marLeft w:val="0"/>
          <w:marRight w:val="0"/>
          <w:marTop w:val="0"/>
          <w:marBottom w:val="0"/>
          <w:divBdr>
            <w:top w:val="none" w:sz="0" w:space="0" w:color="auto"/>
            <w:left w:val="none" w:sz="0" w:space="0" w:color="auto"/>
            <w:bottom w:val="none" w:sz="0" w:space="0" w:color="auto"/>
            <w:right w:val="none" w:sz="0" w:space="0" w:color="auto"/>
          </w:divBdr>
          <w:divsChild>
            <w:div w:id="986058181">
              <w:marLeft w:val="0"/>
              <w:marRight w:val="0"/>
              <w:marTop w:val="0"/>
              <w:marBottom w:val="0"/>
              <w:divBdr>
                <w:top w:val="none" w:sz="0" w:space="0" w:color="auto"/>
                <w:left w:val="none" w:sz="0" w:space="0" w:color="auto"/>
                <w:bottom w:val="none" w:sz="0" w:space="0" w:color="auto"/>
                <w:right w:val="none" w:sz="0" w:space="0" w:color="auto"/>
              </w:divBdr>
              <w:divsChild>
                <w:div w:id="1596981409">
                  <w:marLeft w:val="0"/>
                  <w:marRight w:val="0"/>
                  <w:marTop w:val="0"/>
                  <w:marBottom w:val="0"/>
                  <w:divBdr>
                    <w:top w:val="none" w:sz="0" w:space="0" w:color="auto"/>
                    <w:left w:val="none" w:sz="0" w:space="0" w:color="auto"/>
                    <w:bottom w:val="none" w:sz="0" w:space="0" w:color="auto"/>
                    <w:right w:val="none" w:sz="0" w:space="0" w:color="auto"/>
                  </w:divBdr>
                  <w:divsChild>
                    <w:div w:id="12262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724599">
      <w:bodyDiv w:val="1"/>
      <w:marLeft w:val="0"/>
      <w:marRight w:val="0"/>
      <w:marTop w:val="0"/>
      <w:marBottom w:val="0"/>
      <w:divBdr>
        <w:top w:val="none" w:sz="0" w:space="0" w:color="auto"/>
        <w:left w:val="none" w:sz="0" w:space="0" w:color="auto"/>
        <w:bottom w:val="none" w:sz="0" w:space="0" w:color="auto"/>
        <w:right w:val="none" w:sz="0" w:space="0" w:color="auto"/>
      </w:divBdr>
      <w:divsChild>
        <w:div w:id="438989354">
          <w:marLeft w:val="0"/>
          <w:marRight w:val="0"/>
          <w:marTop w:val="0"/>
          <w:marBottom w:val="0"/>
          <w:divBdr>
            <w:top w:val="none" w:sz="0" w:space="0" w:color="auto"/>
            <w:left w:val="none" w:sz="0" w:space="0" w:color="auto"/>
            <w:bottom w:val="none" w:sz="0" w:space="0" w:color="auto"/>
            <w:right w:val="none" w:sz="0" w:space="0" w:color="auto"/>
          </w:divBdr>
          <w:divsChild>
            <w:div w:id="1012991994">
              <w:marLeft w:val="0"/>
              <w:marRight w:val="0"/>
              <w:marTop w:val="0"/>
              <w:marBottom w:val="0"/>
              <w:divBdr>
                <w:top w:val="none" w:sz="0" w:space="0" w:color="auto"/>
                <w:left w:val="none" w:sz="0" w:space="0" w:color="auto"/>
                <w:bottom w:val="none" w:sz="0" w:space="0" w:color="auto"/>
                <w:right w:val="none" w:sz="0" w:space="0" w:color="auto"/>
              </w:divBdr>
              <w:divsChild>
                <w:div w:id="11900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85812">
      <w:bodyDiv w:val="1"/>
      <w:marLeft w:val="0"/>
      <w:marRight w:val="0"/>
      <w:marTop w:val="0"/>
      <w:marBottom w:val="0"/>
      <w:divBdr>
        <w:top w:val="none" w:sz="0" w:space="0" w:color="auto"/>
        <w:left w:val="none" w:sz="0" w:space="0" w:color="auto"/>
        <w:bottom w:val="none" w:sz="0" w:space="0" w:color="auto"/>
        <w:right w:val="none" w:sz="0" w:space="0" w:color="auto"/>
      </w:divBdr>
      <w:divsChild>
        <w:div w:id="447047282">
          <w:marLeft w:val="0"/>
          <w:marRight w:val="0"/>
          <w:marTop w:val="0"/>
          <w:marBottom w:val="0"/>
          <w:divBdr>
            <w:top w:val="none" w:sz="0" w:space="0" w:color="auto"/>
            <w:left w:val="none" w:sz="0" w:space="0" w:color="auto"/>
            <w:bottom w:val="none" w:sz="0" w:space="0" w:color="auto"/>
            <w:right w:val="none" w:sz="0" w:space="0" w:color="auto"/>
          </w:divBdr>
          <w:divsChild>
            <w:div w:id="1390179870">
              <w:marLeft w:val="0"/>
              <w:marRight w:val="0"/>
              <w:marTop w:val="0"/>
              <w:marBottom w:val="0"/>
              <w:divBdr>
                <w:top w:val="none" w:sz="0" w:space="0" w:color="auto"/>
                <w:left w:val="none" w:sz="0" w:space="0" w:color="auto"/>
                <w:bottom w:val="none" w:sz="0" w:space="0" w:color="auto"/>
                <w:right w:val="none" w:sz="0" w:space="0" w:color="auto"/>
              </w:divBdr>
              <w:divsChild>
                <w:div w:id="6734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334755">
      <w:bodyDiv w:val="1"/>
      <w:marLeft w:val="0"/>
      <w:marRight w:val="0"/>
      <w:marTop w:val="0"/>
      <w:marBottom w:val="0"/>
      <w:divBdr>
        <w:top w:val="none" w:sz="0" w:space="0" w:color="auto"/>
        <w:left w:val="none" w:sz="0" w:space="0" w:color="auto"/>
        <w:bottom w:val="none" w:sz="0" w:space="0" w:color="auto"/>
        <w:right w:val="none" w:sz="0" w:space="0" w:color="auto"/>
      </w:divBdr>
      <w:divsChild>
        <w:div w:id="1663462596">
          <w:marLeft w:val="0"/>
          <w:marRight w:val="0"/>
          <w:marTop w:val="0"/>
          <w:marBottom w:val="0"/>
          <w:divBdr>
            <w:top w:val="none" w:sz="0" w:space="0" w:color="auto"/>
            <w:left w:val="none" w:sz="0" w:space="0" w:color="auto"/>
            <w:bottom w:val="none" w:sz="0" w:space="0" w:color="auto"/>
            <w:right w:val="none" w:sz="0" w:space="0" w:color="auto"/>
          </w:divBdr>
          <w:divsChild>
            <w:div w:id="636955757">
              <w:marLeft w:val="0"/>
              <w:marRight w:val="0"/>
              <w:marTop w:val="0"/>
              <w:marBottom w:val="0"/>
              <w:divBdr>
                <w:top w:val="none" w:sz="0" w:space="0" w:color="auto"/>
                <w:left w:val="none" w:sz="0" w:space="0" w:color="auto"/>
                <w:bottom w:val="none" w:sz="0" w:space="0" w:color="auto"/>
                <w:right w:val="none" w:sz="0" w:space="0" w:color="auto"/>
              </w:divBdr>
              <w:divsChild>
                <w:div w:id="4965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54305">
      <w:bodyDiv w:val="1"/>
      <w:marLeft w:val="0"/>
      <w:marRight w:val="0"/>
      <w:marTop w:val="0"/>
      <w:marBottom w:val="0"/>
      <w:divBdr>
        <w:top w:val="none" w:sz="0" w:space="0" w:color="auto"/>
        <w:left w:val="none" w:sz="0" w:space="0" w:color="auto"/>
        <w:bottom w:val="none" w:sz="0" w:space="0" w:color="auto"/>
        <w:right w:val="none" w:sz="0" w:space="0" w:color="auto"/>
      </w:divBdr>
      <w:divsChild>
        <w:div w:id="123305915">
          <w:marLeft w:val="0"/>
          <w:marRight w:val="0"/>
          <w:marTop w:val="0"/>
          <w:marBottom w:val="0"/>
          <w:divBdr>
            <w:top w:val="none" w:sz="0" w:space="0" w:color="auto"/>
            <w:left w:val="none" w:sz="0" w:space="0" w:color="auto"/>
            <w:bottom w:val="none" w:sz="0" w:space="0" w:color="auto"/>
            <w:right w:val="none" w:sz="0" w:space="0" w:color="auto"/>
          </w:divBdr>
          <w:divsChild>
            <w:div w:id="691344876">
              <w:marLeft w:val="0"/>
              <w:marRight w:val="0"/>
              <w:marTop w:val="0"/>
              <w:marBottom w:val="0"/>
              <w:divBdr>
                <w:top w:val="none" w:sz="0" w:space="0" w:color="auto"/>
                <w:left w:val="none" w:sz="0" w:space="0" w:color="auto"/>
                <w:bottom w:val="none" w:sz="0" w:space="0" w:color="auto"/>
                <w:right w:val="none" w:sz="0" w:space="0" w:color="auto"/>
              </w:divBdr>
              <w:divsChild>
                <w:div w:id="145871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54947">
      <w:bodyDiv w:val="1"/>
      <w:marLeft w:val="0"/>
      <w:marRight w:val="0"/>
      <w:marTop w:val="0"/>
      <w:marBottom w:val="0"/>
      <w:divBdr>
        <w:top w:val="none" w:sz="0" w:space="0" w:color="auto"/>
        <w:left w:val="none" w:sz="0" w:space="0" w:color="auto"/>
        <w:bottom w:val="none" w:sz="0" w:space="0" w:color="auto"/>
        <w:right w:val="none" w:sz="0" w:space="0" w:color="auto"/>
      </w:divBdr>
      <w:divsChild>
        <w:div w:id="446893786">
          <w:marLeft w:val="0"/>
          <w:marRight w:val="0"/>
          <w:marTop w:val="0"/>
          <w:marBottom w:val="0"/>
          <w:divBdr>
            <w:top w:val="none" w:sz="0" w:space="0" w:color="auto"/>
            <w:left w:val="none" w:sz="0" w:space="0" w:color="auto"/>
            <w:bottom w:val="none" w:sz="0" w:space="0" w:color="auto"/>
            <w:right w:val="none" w:sz="0" w:space="0" w:color="auto"/>
          </w:divBdr>
          <w:divsChild>
            <w:div w:id="872420971">
              <w:marLeft w:val="0"/>
              <w:marRight w:val="0"/>
              <w:marTop w:val="0"/>
              <w:marBottom w:val="0"/>
              <w:divBdr>
                <w:top w:val="none" w:sz="0" w:space="0" w:color="auto"/>
                <w:left w:val="none" w:sz="0" w:space="0" w:color="auto"/>
                <w:bottom w:val="none" w:sz="0" w:space="0" w:color="auto"/>
                <w:right w:val="none" w:sz="0" w:space="0" w:color="auto"/>
              </w:divBdr>
              <w:divsChild>
                <w:div w:id="1512910692">
                  <w:marLeft w:val="0"/>
                  <w:marRight w:val="0"/>
                  <w:marTop w:val="0"/>
                  <w:marBottom w:val="0"/>
                  <w:divBdr>
                    <w:top w:val="none" w:sz="0" w:space="0" w:color="auto"/>
                    <w:left w:val="none" w:sz="0" w:space="0" w:color="auto"/>
                    <w:bottom w:val="none" w:sz="0" w:space="0" w:color="auto"/>
                    <w:right w:val="none" w:sz="0" w:space="0" w:color="auto"/>
                  </w:divBdr>
                  <w:divsChild>
                    <w:div w:id="12392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853140">
      <w:bodyDiv w:val="1"/>
      <w:marLeft w:val="0"/>
      <w:marRight w:val="0"/>
      <w:marTop w:val="0"/>
      <w:marBottom w:val="0"/>
      <w:divBdr>
        <w:top w:val="none" w:sz="0" w:space="0" w:color="auto"/>
        <w:left w:val="none" w:sz="0" w:space="0" w:color="auto"/>
        <w:bottom w:val="none" w:sz="0" w:space="0" w:color="auto"/>
        <w:right w:val="none" w:sz="0" w:space="0" w:color="auto"/>
      </w:divBdr>
      <w:divsChild>
        <w:div w:id="451706664">
          <w:marLeft w:val="0"/>
          <w:marRight w:val="0"/>
          <w:marTop w:val="0"/>
          <w:marBottom w:val="0"/>
          <w:divBdr>
            <w:top w:val="none" w:sz="0" w:space="0" w:color="auto"/>
            <w:left w:val="none" w:sz="0" w:space="0" w:color="auto"/>
            <w:bottom w:val="none" w:sz="0" w:space="0" w:color="auto"/>
            <w:right w:val="none" w:sz="0" w:space="0" w:color="auto"/>
          </w:divBdr>
          <w:divsChild>
            <w:div w:id="1024984869">
              <w:marLeft w:val="0"/>
              <w:marRight w:val="0"/>
              <w:marTop w:val="0"/>
              <w:marBottom w:val="0"/>
              <w:divBdr>
                <w:top w:val="none" w:sz="0" w:space="0" w:color="auto"/>
                <w:left w:val="none" w:sz="0" w:space="0" w:color="auto"/>
                <w:bottom w:val="none" w:sz="0" w:space="0" w:color="auto"/>
                <w:right w:val="none" w:sz="0" w:space="0" w:color="auto"/>
              </w:divBdr>
              <w:divsChild>
                <w:div w:id="11778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13763">
      <w:bodyDiv w:val="1"/>
      <w:marLeft w:val="0"/>
      <w:marRight w:val="0"/>
      <w:marTop w:val="0"/>
      <w:marBottom w:val="0"/>
      <w:divBdr>
        <w:top w:val="none" w:sz="0" w:space="0" w:color="auto"/>
        <w:left w:val="none" w:sz="0" w:space="0" w:color="auto"/>
        <w:bottom w:val="none" w:sz="0" w:space="0" w:color="auto"/>
        <w:right w:val="none" w:sz="0" w:space="0" w:color="auto"/>
      </w:divBdr>
      <w:divsChild>
        <w:div w:id="1952394532">
          <w:marLeft w:val="0"/>
          <w:marRight w:val="0"/>
          <w:marTop w:val="0"/>
          <w:marBottom w:val="0"/>
          <w:divBdr>
            <w:top w:val="none" w:sz="0" w:space="0" w:color="auto"/>
            <w:left w:val="none" w:sz="0" w:space="0" w:color="auto"/>
            <w:bottom w:val="none" w:sz="0" w:space="0" w:color="auto"/>
            <w:right w:val="none" w:sz="0" w:space="0" w:color="auto"/>
          </w:divBdr>
          <w:divsChild>
            <w:div w:id="857161378">
              <w:marLeft w:val="0"/>
              <w:marRight w:val="0"/>
              <w:marTop w:val="0"/>
              <w:marBottom w:val="0"/>
              <w:divBdr>
                <w:top w:val="none" w:sz="0" w:space="0" w:color="auto"/>
                <w:left w:val="none" w:sz="0" w:space="0" w:color="auto"/>
                <w:bottom w:val="none" w:sz="0" w:space="0" w:color="auto"/>
                <w:right w:val="none" w:sz="0" w:space="0" w:color="auto"/>
              </w:divBdr>
              <w:divsChild>
                <w:div w:id="11721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2305">
      <w:bodyDiv w:val="1"/>
      <w:marLeft w:val="0"/>
      <w:marRight w:val="0"/>
      <w:marTop w:val="0"/>
      <w:marBottom w:val="0"/>
      <w:divBdr>
        <w:top w:val="none" w:sz="0" w:space="0" w:color="auto"/>
        <w:left w:val="none" w:sz="0" w:space="0" w:color="auto"/>
        <w:bottom w:val="none" w:sz="0" w:space="0" w:color="auto"/>
        <w:right w:val="none" w:sz="0" w:space="0" w:color="auto"/>
      </w:divBdr>
      <w:divsChild>
        <w:div w:id="1990553436">
          <w:marLeft w:val="0"/>
          <w:marRight w:val="0"/>
          <w:marTop w:val="0"/>
          <w:marBottom w:val="0"/>
          <w:divBdr>
            <w:top w:val="none" w:sz="0" w:space="0" w:color="auto"/>
            <w:left w:val="none" w:sz="0" w:space="0" w:color="auto"/>
            <w:bottom w:val="none" w:sz="0" w:space="0" w:color="auto"/>
            <w:right w:val="none" w:sz="0" w:space="0" w:color="auto"/>
          </w:divBdr>
          <w:divsChild>
            <w:div w:id="1034423286">
              <w:marLeft w:val="0"/>
              <w:marRight w:val="0"/>
              <w:marTop w:val="0"/>
              <w:marBottom w:val="0"/>
              <w:divBdr>
                <w:top w:val="none" w:sz="0" w:space="0" w:color="auto"/>
                <w:left w:val="none" w:sz="0" w:space="0" w:color="auto"/>
                <w:bottom w:val="none" w:sz="0" w:space="0" w:color="auto"/>
                <w:right w:val="none" w:sz="0" w:space="0" w:color="auto"/>
              </w:divBdr>
              <w:divsChild>
                <w:div w:id="1556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080921">
      <w:bodyDiv w:val="1"/>
      <w:marLeft w:val="0"/>
      <w:marRight w:val="0"/>
      <w:marTop w:val="0"/>
      <w:marBottom w:val="0"/>
      <w:divBdr>
        <w:top w:val="none" w:sz="0" w:space="0" w:color="auto"/>
        <w:left w:val="none" w:sz="0" w:space="0" w:color="auto"/>
        <w:bottom w:val="none" w:sz="0" w:space="0" w:color="auto"/>
        <w:right w:val="none" w:sz="0" w:space="0" w:color="auto"/>
      </w:divBdr>
      <w:divsChild>
        <w:div w:id="918906759">
          <w:marLeft w:val="0"/>
          <w:marRight w:val="0"/>
          <w:marTop w:val="0"/>
          <w:marBottom w:val="0"/>
          <w:divBdr>
            <w:top w:val="none" w:sz="0" w:space="0" w:color="auto"/>
            <w:left w:val="none" w:sz="0" w:space="0" w:color="auto"/>
            <w:bottom w:val="none" w:sz="0" w:space="0" w:color="auto"/>
            <w:right w:val="none" w:sz="0" w:space="0" w:color="auto"/>
          </w:divBdr>
          <w:divsChild>
            <w:div w:id="1271621621">
              <w:marLeft w:val="0"/>
              <w:marRight w:val="0"/>
              <w:marTop w:val="0"/>
              <w:marBottom w:val="0"/>
              <w:divBdr>
                <w:top w:val="none" w:sz="0" w:space="0" w:color="auto"/>
                <w:left w:val="none" w:sz="0" w:space="0" w:color="auto"/>
                <w:bottom w:val="none" w:sz="0" w:space="0" w:color="auto"/>
                <w:right w:val="none" w:sz="0" w:space="0" w:color="auto"/>
              </w:divBdr>
              <w:divsChild>
                <w:div w:id="1504277761">
                  <w:marLeft w:val="0"/>
                  <w:marRight w:val="0"/>
                  <w:marTop w:val="0"/>
                  <w:marBottom w:val="0"/>
                  <w:divBdr>
                    <w:top w:val="none" w:sz="0" w:space="0" w:color="auto"/>
                    <w:left w:val="none" w:sz="0" w:space="0" w:color="auto"/>
                    <w:bottom w:val="none" w:sz="0" w:space="0" w:color="auto"/>
                    <w:right w:val="none" w:sz="0" w:space="0" w:color="auto"/>
                  </w:divBdr>
                  <w:divsChild>
                    <w:div w:id="17091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788363">
      <w:bodyDiv w:val="1"/>
      <w:marLeft w:val="0"/>
      <w:marRight w:val="0"/>
      <w:marTop w:val="0"/>
      <w:marBottom w:val="0"/>
      <w:divBdr>
        <w:top w:val="none" w:sz="0" w:space="0" w:color="auto"/>
        <w:left w:val="none" w:sz="0" w:space="0" w:color="auto"/>
        <w:bottom w:val="none" w:sz="0" w:space="0" w:color="auto"/>
        <w:right w:val="none" w:sz="0" w:space="0" w:color="auto"/>
      </w:divBdr>
      <w:divsChild>
        <w:div w:id="524949491">
          <w:marLeft w:val="0"/>
          <w:marRight w:val="0"/>
          <w:marTop w:val="0"/>
          <w:marBottom w:val="0"/>
          <w:divBdr>
            <w:top w:val="none" w:sz="0" w:space="0" w:color="auto"/>
            <w:left w:val="none" w:sz="0" w:space="0" w:color="auto"/>
            <w:bottom w:val="none" w:sz="0" w:space="0" w:color="auto"/>
            <w:right w:val="none" w:sz="0" w:space="0" w:color="auto"/>
          </w:divBdr>
          <w:divsChild>
            <w:div w:id="1335694028">
              <w:marLeft w:val="0"/>
              <w:marRight w:val="0"/>
              <w:marTop w:val="0"/>
              <w:marBottom w:val="0"/>
              <w:divBdr>
                <w:top w:val="none" w:sz="0" w:space="0" w:color="auto"/>
                <w:left w:val="none" w:sz="0" w:space="0" w:color="auto"/>
                <w:bottom w:val="none" w:sz="0" w:space="0" w:color="auto"/>
                <w:right w:val="none" w:sz="0" w:space="0" w:color="auto"/>
              </w:divBdr>
              <w:divsChild>
                <w:div w:id="1581982431">
                  <w:marLeft w:val="0"/>
                  <w:marRight w:val="0"/>
                  <w:marTop w:val="0"/>
                  <w:marBottom w:val="0"/>
                  <w:divBdr>
                    <w:top w:val="none" w:sz="0" w:space="0" w:color="auto"/>
                    <w:left w:val="none" w:sz="0" w:space="0" w:color="auto"/>
                    <w:bottom w:val="none" w:sz="0" w:space="0" w:color="auto"/>
                    <w:right w:val="none" w:sz="0" w:space="0" w:color="auto"/>
                  </w:divBdr>
                  <w:divsChild>
                    <w:div w:id="74476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954702">
      <w:bodyDiv w:val="1"/>
      <w:marLeft w:val="0"/>
      <w:marRight w:val="0"/>
      <w:marTop w:val="0"/>
      <w:marBottom w:val="0"/>
      <w:divBdr>
        <w:top w:val="none" w:sz="0" w:space="0" w:color="auto"/>
        <w:left w:val="none" w:sz="0" w:space="0" w:color="auto"/>
        <w:bottom w:val="none" w:sz="0" w:space="0" w:color="auto"/>
        <w:right w:val="none" w:sz="0" w:space="0" w:color="auto"/>
      </w:divBdr>
      <w:divsChild>
        <w:div w:id="1069232697">
          <w:marLeft w:val="0"/>
          <w:marRight w:val="0"/>
          <w:marTop w:val="0"/>
          <w:marBottom w:val="0"/>
          <w:divBdr>
            <w:top w:val="none" w:sz="0" w:space="0" w:color="auto"/>
            <w:left w:val="none" w:sz="0" w:space="0" w:color="auto"/>
            <w:bottom w:val="none" w:sz="0" w:space="0" w:color="auto"/>
            <w:right w:val="none" w:sz="0" w:space="0" w:color="auto"/>
          </w:divBdr>
          <w:divsChild>
            <w:div w:id="1398284669">
              <w:marLeft w:val="0"/>
              <w:marRight w:val="0"/>
              <w:marTop w:val="0"/>
              <w:marBottom w:val="0"/>
              <w:divBdr>
                <w:top w:val="none" w:sz="0" w:space="0" w:color="auto"/>
                <w:left w:val="none" w:sz="0" w:space="0" w:color="auto"/>
                <w:bottom w:val="none" w:sz="0" w:space="0" w:color="auto"/>
                <w:right w:val="none" w:sz="0" w:space="0" w:color="auto"/>
              </w:divBdr>
              <w:divsChild>
                <w:div w:id="10398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08120">
      <w:bodyDiv w:val="1"/>
      <w:marLeft w:val="0"/>
      <w:marRight w:val="0"/>
      <w:marTop w:val="0"/>
      <w:marBottom w:val="0"/>
      <w:divBdr>
        <w:top w:val="none" w:sz="0" w:space="0" w:color="auto"/>
        <w:left w:val="none" w:sz="0" w:space="0" w:color="auto"/>
        <w:bottom w:val="none" w:sz="0" w:space="0" w:color="auto"/>
        <w:right w:val="none" w:sz="0" w:space="0" w:color="auto"/>
      </w:divBdr>
      <w:divsChild>
        <w:div w:id="1563061585">
          <w:marLeft w:val="0"/>
          <w:marRight w:val="0"/>
          <w:marTop w:val="0"/>
          <w:marBottom w:val="0"/>
          <w:divBdr>
            <w:top w:val="none" w:sz="0" w:space="0" w:color="auto"/>
            <w:left w:val="none" w:sz="0" w:space="0" w:color="auto"/>
            <w:bottom w:val="none" w:sz="0" w:space="0" w:color="auto"/>
            <w:right w:val="none" w:sz="0" w:space="0" w:color="auto"/>
          </w:divBdr>
          <w:divsChild>
            <w:div w:id="1757631610">
              <w:marLeft w:val="0"/>
              <w:marRight w:val="0"/>
              <w:marTop w:val="0"/>
              <w:marBottom w:val="0"/>
              <w:divBdr>
                <w:top w:val="none" w:sz="0" w:space="0" w:color="auto"/>
                <w:left w:val="none" w:sz="0" w:space="0" w:color="auto"/>
                <w:bottom w:val="none" w:sz="0" w:space="0" w:color="auto"/>
                <w:right w:val="none" w:sz="0" w:space="0" w:color="auto"/>
              </w:divBdr>
              <w:divsChild>
                <w:div w:id="2472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87567">
      <w:bodyDiv w:val="1"/>
      <w:marLeft w:val="0"/>
      <w:marRight w:val="0"/>
      <w:marTop w:val="0"/>
      <w:marBottom w:val="0"/>
      <w:divBdr>
        <w:top w:val="none" w:sz="0" w:space="0" w:color="auto"/>
        <w:left w:val="none" w:sz="0" w:space="0" w:color="auto"/>
        <w:bottom w:val="none" w:sz="0" w:space="0" w:color="auto"/>
        <w:right w:val="none" w:sz="0" w:space="0" w:color="auto"/>
      </w:divBdr>
    </w:div>
    <w:div w:id="1457917528">
      <w:bodyDiv w:val="1"/>
      <w:marLeft w:val="0"/>
      <w:marRight w:val="0"/>
      <w:marTop w:val="0"/>
      <w:marBottom w:val="0"/>
      <w:divBdr>
        <w:top w:val="none" w:sz="0" w:space="0" w:color="auto"/>
        <w:left w:val="none" w:sz="0" w:space="0" w:color="auto"/>
        <w:bottom w:val="none" w:sz="0" w:space="0" w:color="auto"/>
        <w:right w:val="none" w:sz="0" w:space="0" w:color="auto"/>
      </w:divBdr>
      <w:divsChild>
        <w:div w:id="1445611404">
          <w:marLeft w:val="0"/>
          <w:marRight w:val="0"/>
          <w:marTop w:val="0"/>
          <w:marBottom w:val="0"/>
          <w:divBdr>
            <w:top w:val="none" w:sz="0" w:space="0" w:color="auto"/>
            <w:left w:val="none" w:sz="0" w:space="0" w:color="auto"/>
            <w:bottom w:val="none" w:sz="0" w:space="0" w:color="auto"/>
            <w:right w:val="none" w:sz="0" w:space="0" w:color="auto"/>
          </w:divBdr>
          <w:divsChild>
            <w:div w:id="1299453882">
              <w:marLeft w:val="0"/>
              <w:marRight w:val="0"/>
              <w:marTop w:val="0"/>
              <w:marBottom w:val="0"/>
              <w:divBdr>
                <w:top w:val="none" w:sz="0" w:space="0" w:color="auto"/>
                <w:left w:val="none" w:sz="0" w:space="0" w:color="auto"/>
                <w:bottom w:val="none" w:sz="0" w:space="0" w:color="auto"/>
                <w:right w:val="none" w:sz="0" w:space="0" w:color="auto"/>
              </w:divBdr>
              <w:divsChild>
                <w:div w:id="2448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263404">
      <w:bodyDiv w:val="1"/>
      <w:marLeft w:val="0"/>
      <w:marRight w:val="0"/>
      <w:marTop w:val="0"/>
      <w:marBottom w:val="0"/>
      <w:divBdr>
        <w:top w:val="none" w:sz="0" w:space="0" w:color="auto"/>
        <w:left w:val="none" w:sz="0" w:space="0" w:color="auto"/>
        <w:bottom w:val="none" w:sz="0" w:space="0" w:color="auto"/>
        <w:right w:val="none" w:sz="0" w:space="0" w:color="auto"/>
      </w:divBdr>
      <w:divsChild>
        <w:div w:id="486750521">
          <w:marLeft w:val="0"/>
          <w:marRight w:val="0"/>
          <w:marTop w:val="0"/>
          <w:marBottom w:val="0"/>
          <w:divBdr>
            <w:top w:val="none" w:sz="0" w:space="0" w:color="auto"/>
            <w:left w:val="none" w:sz="0" w:space="0" w:color="auto"/>
            <w:bottom w:val="none" w:sz="0" w:space="0" w:color="auto"/>
            <w:right w:val="none" w:sz="0" w:space="0" w:color="auto"/>
          </w:divBdr>
          <w:divsChild>
            <w:div w:id="1325817023">
              <w:marLeft w:val="0"/>
              <w:marRight w:val="0"/>
              <w:marTop w:val="0"/>
              <w:marBottom w:val="0"/>
              <w:divBdr>
                <w:top w:val="none" w:sz="0" w:space="0" w:color="auto"/>
                <w:left w:val="none" w:sz="0" w:space="0" w:color="auto"/>
                <w:bottom w:val="none" w:sz="0" w:space="0" w:color="auto"/>
                <w:right w:val="none" w:sz="0" w:space="0" w:color="auto"/>
              </w:divBdr>
              <w:divsChild>
                <w:div w:id="67006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463223">
      <w:bodyDiv w:val="1"/>
      <w:marLeft w:val="0"/>
      <w:marRight w:val="0"/>
      <w:marTop w:val="0"/>
      <w:marBottom w:val="0"/>
      <w:divBdr>
        <w:top w:val="none" w:sz="0" w:space="0" w:color="auto"/>
        <w:left w:val="none" w:sz="0" w:space="0" w:color="auto"/>
        <w:bottom w:val="none" w:sz="0" w:space="0" w:color="auto"/>
        <w:right w:val="none" w:sz="0" w:space="0" w:color="auto"/>
      </w:divBdr>
    </w:div>
    <w:div w:id="1470786622">
      <w:bodyDiv w:val="1"/>
      <w:marLeft w:val="0"/>
      <w:marRight w:val="0"/>
      <w:marTop w:val="0"/>
      <w:marBottom w:val="0"/>
      <w:divBdr>
        <w:top w:val="none" w:sz="0" w:space="0" w:color="auto"/>
        <w:left w:val="none" w:sz="0" w:space="0" w:color="auto"/>
        <w:bottom w:val="none" w:sz="0" w:space="0" w:color="auto"/>
        <w:right w:val="none" w:sz="0" w:space="0" w:color="auto"/>
      </w:divBdr>
      <w:divsChild>
        <w:div w:id="196162295">
          <w:marLeft w:val="0"/>
          <w:marRight w:val="0"/>
          <w:marTop w:val="0"/>
          <w:marBottom w:val="0"/>
          <w:divBdr>
            <w:top w:val="none" w:sz="0" w:space="0" w:color="auto"/>
            <w:left w:val="none" w:sz="0" w:space="0" w:color="auto"/>
            <w:bottom w:val="none" w:sz="0" w:space="0" w:color="auto"/>
            <w:right w:val="none" w:sz="0" w:space="0" w:color="auto"/>
          </w:divBdr>
          <w:divsChild>
            <w:div w:id="535967718">
              <w:marLeft w:val="0"/>
              <w:marRight w:val="0"/>
              <w:marTop w:val="0"/>
              <w:marBottom w:val="0"/>
              <w:divBdr>
                <w:top w:val="none" w:sz="0" w:space="0" w:color="auto"/>
                <w:left w:val="none" w:sz="0" w:space="0" w:color="auto"/>
                <w:bottom w:val="none" w:sz="0" w:space="0" w:color="auto"/>
                <w:right w:val="none" w:sz="0" w:space="0" w:color="auto"/>
              </w:divBdr>
              <w:divsChild>
                <w:div w:id="713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73389">
      <w:bodyDiv w:val="1"/>
      <w:marLeft w:val="0"/>
      <w:marRight w:val="0"/>
      <w:marTop w:val="0"/>
      <w:marBottom w:val="0"/>
      <w:divBdr>
        <w:top w:val="none" w:sz="0" w:space="0" w:color="auto"/>
        <w:left w:val="none" w:sz="0" w:space="0" w:color="auto"/>
        <w:bottom w:val="none" w:sz="0" w:space="0" w:color="auto"/>
        <w:right w:val="none" w:sz="0" w:space="0" w:color="auto"/>
      </w:divBdr>
      <w:divsChild>
        <w:div w:id="308677220">
          <w:marLeft w:val="0"/>
          <w:marRight w:val="0"/>
          <w:marTop w:val="0"/>
          <w:marBottom w:val="0"/>
          <w:divBdr>
            <w:top w:val="none" w:sz="0" w:space="0" w:color="auto"/>
            <w:left w:val="none" w:sz="0" w:space="0" w:color="auto"/>
            <w:bottom w:val="none" w:sz="0" w:space="0" w:color="auto"/>
            <w:right w:val="none" w:sz="0" w:space="0" w:color="auto"/>
          </w:divBdr>
        </w:div>
        <w:div w:id="406071167">
          <w:marLeft w:val="0"/>
          <w:marRight w:val="0"/>
          <w:marTop w:val="0"/>
          <w:marBottom w:val="0"/>
          <w:divBdr>
            <w:top w:val="none" w:sz="0" w:space="0" w:color="auto"/>
            <w:left w:val="none" w:sz="0" w:space="0" w:color="auto"/>
            <w:bottom w:val="none" w:sz="0" w:space="0" w:color="auto"/>
            <w:right w:val="none" w:sz="0" w:space="0" w:color="auto"/>
          </w:divBdr>
        </w:div>
        <w:div w:id="867184515">
          <w:marLeft w:val="0"/>
          <w:marRight w:val="0"/>
          <w:marTop w:val="0"/>
          <w:marBottom w:val="0"/>
          <w:divBdr>
            <w:top w:val="none" w:sz="0" w:space="0" w:color="auto"/>
            <w:left w:val="none" w:sz="0" w:space="0" w:color="auto"/>
            <w:bottom w:val="none" w:sz="0" w:space="0" w:color="auto"/>
            <w:right w:val="none" w:sz="0" w:space="0" w:color="auto"/>
          </w:divBdr>
        </w:div>
        <w:div w:id="1121877261">
          <w:marLeft w:val="0"/>
          <w:marRight w:val="0"/>
          <w:marTop w:val="0"/>
          <w:marBottom w:val="0"/>
          <w:divBdr>
            <w:top w:val="none" w:sz="0" w:space="0" w:color="auto"/>
            <w:left w:val="none" w:sz="0" w:space="0" w:color="auto"/>
            <w:bottom w:val="none" w:sz="0" w:space="0" w:color="auto"/>
            <w:right w:val="none" w:sz="0" w:space="0" w:color="auto"/>
          </w:divBdr>
        </w:div>
        <w:div w:id="1348867292">
          <w:marLeft w:val="0"/>
          <w:marRight w:val="0"/>
          <w:marTop w:val="0"/>
          <w:marBottom w:val="0"/>
          <w:divBdr>
            <w:top w:val="none" w:sz="0" w:space="0" w:color="auto"/>
            <w:left w:val="none" w:sz="0" w:space="0" w:color="auto"/>
            <w:bottom w:val="none" w:sz="0" w:space="0" w:color="auto"/>
            <w:right w:val="none" w:sz="0" w:space="0" w:color="auto"/>
          </w:divBdr>
        </w:div>
      </w:divsChild>
    </w:div>
    <w:div w:id="1485120204">
      <w:bodyDiv w:val="1"/>
      <w:marLeft w:val="0"/>
      <w:marRight w:val="0"/>
      <w:marTop w:val="0"/>
      <w:marBottom w:val="0"/>
      <w:divBdr>
        <w:top w:val="none" w:sz="0" w:space="0" w:color="auto"/>
        <w:left w:val="none" w:sz="0" w:space="0" w:color="auto"/>
        <w:bottom w:val="none" w:sz="0" w:space="0" w:color="auto"/>
        <w:right w:val="none" w:sz="0" w:space="0" w:color="auto"/>
      </w:divBdr>
      <w:divsChild>
        <w:div w:id="2083673670">
          <w:marLeft w:val="0"/>
          <w:marRight w:val="0"/>
          <w:marTop w:val="0"/>
          <w:marBottom w:val="0"/>
          <w:divBdr>
            <w:top w:val="none" w:sz="0" w:space="0" w:color="auto"/>
            <w:left w:val="none" w:sz="0" w:space="0" w:color="auto"/>
            <w:bottom w:val="none" w:sz="0" w:space="0" w:color="auto"/>
            <w:right w:val="none" w:sz="0" w:space="0" w:color="auto"/>
          </w:divBdr>
          <w:divsChild>
            <w:div w:id="1818110348">
              <w:marLeft w:val="0"/>
              <w:marRight w:val="0"/>
              <w:marTop w:val="0"/>
              <w:marBottom w:val="0"/>
              <w:divBdr>
                <w:top w:val="none" w:sz="0" w:space="0" w:color="auto"/>
                <w:left w:val="none" w:sz="0" w:space="0" w:color="auto"/>
                <w:bottom w:val="none" w:sz="0" w:space="0" w:color="auto"/>
                <w:right w:val="none" w:sz="0" w:space="0" w:color="auto"/>
              </w:divBdr>
              <w:divsChild>
                <w:div w:id="571236278">
                  <w:marLeft w:val="0"/>
                  <w:marRight w:val="0"/>
                  <w:marTop w:val="0"/>
                  <w:marBottom w:val="0"/>
                  <w:divBdr>
                    <w:top w:val="none" w:sz="0" w:space="0" w:color="auto"/>
                    <w:left w:val="none" w:sz="0" w:space="0" w:color="auto"/>
                    <w:bottom w:val="none" w:sz="0" w:space="0" w:color="auto"/>
                    <w:right w:val="none" w:sz="0" w:space="0" w:color="auto"/>
                  </w:divBdr>
                  <w:divsChild>
                    <w:div w:id="9930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289738">
      <w:bodyDiv w:val="1"/>
      <w:marLeft w:val="0"/>
      <w:marRight w:val="0"/>
      <w:marTop w:val="0"/>
      <w:marBottom w:val="0"/>
      <w:divBdr>
        <w:top w:val="none" w:sz="0" w:space="0" w:color="auto"/>
        <w:left w:val="none" w:sz="0" w:space="0" w:color="auto"/>
        <w:bottom w:val="none" w:sz="0" w:space="0" w:color="auto"/>
        <w:right w:val="none" w:sz="0" w:space="0" w:color="auto"/>
      </w:divBdr>
      <w:divsChild>
        <w:div w:id="868763565">
          <w:marLeft w:val="0"/>
          <w:marRight w:val="0"/>
          <w:marTop w:val="0"/>
          <w:marBottom w:val="0"/>
          <w:divBdr>
            <w:top w:val="none" w:sz="0" w:space="0" w:color="auto"/>
            <w:left w:val="none" w:sz="0" w:space="0" w:color="auto"/>
            <w:bottom w:val="none" w:sz="0" w:space="0" w:color="auto"/>
            <w:right w:val="none" w:sz="0" w:space="0" w:color="auto"/>
          </w:divBdr>
          <w:divsChild>
            <w:div w:id="722993684">
              <w:marLeft w:val="0"/>
              <w:marRight w:val="0"/>
              <w:marTop w:val="0"/>
              <w:marBottom w:val="0"/>
              <w:divBdr>
                <w:top w:val="none" w:sz="0" w:space="0" w:color="auto"/>
                <w:left w:val="none" w:sz="0" w:space="0" w:color="auto"/>
                <w:bottom w:val="none" w:sz="0" w:space="0" w:color="auto"/>
                <w:right w:val="none" w:sz="0" w:space="0" w:color="auto"/>
              </w:divBdr>
              <w:divsChild>
                <w:div w:id="97460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67490">
      <w:bodyDiv w:val="1"/>
      <w:marLeft w:val="0"/>
      <w:marRight w:val="0"/>
      <w:marTop w:val="0"/>
      <w:marBottom w:val="0"/>
      <w:divBdr>
        <w:top w:val="none" w:sz="0" w:space="0" w:color="auto"/>
        <w:left w:val="none" w:sz="0" w:space="0" w:color="auto"/>
        <w:bottom w:val="none" w:sz="0" w:space="0" w:color="auto"/>
        <w:right w:val="none" w:sz="0" w:space="0" w:color="auto"/>
      </w:divBdr>
      <w:divsChild>
        <w:div w:id="1992903741">
          <w:marLeft w:val="0"/>
          <w:marRight w:val="0"/>
          <w:marTop w:val="0"/>
          <w:marBottom w:val="0"/>
          <w:divBdr>
            <w:top w:val="none" w:sz="0" w:space="0" w:color="auto"/>
            <w:left w:val="none" w:sz="0" w:space="0" w:color="auto"/>
            <w:bottom w:val="none" w:sz="0" w:space="0" w:color="auto"/>
            <w:right w:val="none" w:sz="0" w:space="0" w:color="auto"/>
          </w:divBdr>
          <w:divsChild>
            <w:div w:id="1734889777">
              <w:marLeft w:val="0"/>
              <w:marRight w:val="0"/>
              <w:marTop w:val="0"/>
              <w:marBottom w:val="0"/>
              <w:divBdr>
                <w:top w:val="none" w:sz="0" w:space="0" w:color="auto"/>
                <w:left w:val="none" w:sz="0" w:space="0" w:color="auto"/>
                <w:bottom w:val="none" w:sz="0" w:space="0" w:color="auto"/>
                <w:right w:val="none" w:sz="0" w:space="0" w:color="auto"/>
              </w:divBdr>
              <w:divsChild>
                <w:div w:id="1504323189">
                  <w:marLeft w:val="0"/>
                  <w:marRight w:val="0"/>
                  <w:marTop w:val="0"/>
                  <w:marBottom w:val="0"/>
                  <w:divBdr>
                    <w:top w:val="none" w:sz="0" w:space="0" w:color="auto"/>
                    <w:left w:val="none" w:sz="0" w:space="0" w:color="auto"/>
                    <w:bottom w:val="none" w:sz="0" w:space="0" w:color="auto"/>
                    <w:right w:val="none" w:sz="0" w:space="0" w:color="auto"/>
                  </w:divBdr>
                  <w:divsChild>
                    <w:div w:id="18284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803047">
      <w:bodyDiv w:val="1"/>
      <w:marLeft w:val="0"/>
      <w:marRight w:val="0"/>
      <w:marTop w:val="0"/>
      <w:marBottom w:val="0"/>
      <w:divBdr>
        <w:top w:val="none" w:sz="0" w:space="0" w:color="auto"/>
        <w:left w:val="none" w:sz="0" w:space="0" w:color="auto"/>
        <w:bottom w:val="none" w:sz="0" w:space="0" w:color="auto"/>
        <w:right w:val="none" w:sz="0" w:space="0" w:color="auto"/>
      </w:divBdr>
      <w:divsChild>
        <w:div w:id="562643261">
          <w:marLeft w:val="0"/>
          <w:marRight w:val="0"/>
          <w:marTop w:val="0"/>
          <w:marBottom w:val="0"/>
          <w:divBdr>
            <w:top w:val="none" w:sz="0" w:space="0" w:color="auto"/>
            <w:left w:val="none" w:sz="0" w:space="0" w:color="auto"/>
            <w:bottom w:val="none" w:sz="0" w:space="0" w:color="auto"/>
            <w:right w:val="none" w:sz="0" w:space="0" w:color="auto"/>
          </w:divBdr>
          <w:divsChild>
            <w:div w:id="1121997377">
              <w:marLeft w:val="0"/>
              <w:marRight w:val="0"/>
              <w:marTop w:val="0"/>
              <w:marBottom w:val="0"/>
              <w:divBdr>
                <w:top w:val="none" w:sz="0" w:space="0" w:color="auto"/>
                <w:left w:val="none" w:sz="0" w:space="0" w:color="auto"/>
                <w:bottom w:val="none" w:sz="0" w:space="0" w:color="auto"/>
                <w:right w:val="none" w:sz="0" w:space="0" w:color="auto"/>
              </w:divBdr>
              <w:divsChild>
                <w:div w:id="5130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69616">
      <w:bodyDiv w:val="1"/>
      <w:marLeft w:val="0"/>
      <w:marRight w:val="0"/>
      <w:marTop w:val="0"/>
      <w:marBottom w:val="0"/>
      <w:divBdr>
        <w:top w:val="none" w:sz="0" w:space="0" w:color="auto"/>
        <w:left w:val="none" w:sz="0" w:space="0" w:color="auto"/>
        <w:bottom w:val="none" w:sz="0" w:space="0" w:color="auto"/>
        <w:right w:val="none" w:sz="0" w:space="0" w:color="auto"/>
      </w:divBdr>
      <w:divsChild>
        <w:div w:id="699670272">
          <w:marLeft w:val="0"/>
          <w:marRight w:val="0"/>
          <w:marTop w:val="0"/>
          <w:marBottom w:val="0"/>
          <w:divBdr>
            <w:top w:val="none" w:sz="0" w:space="0" w:color="auto"/>
            <w:left w:val="none" w:sz="0" w:space="0" w:color="auto"/>
            <w:bottom w:val="none" w:sz="0" w:space="0" w:color="auto"/>
            <w:right w:val="none" w:sz="0" w:space="0" w:color="auto"/>
          </w:divBdr>
          <w:divsChild>
            <w:div w:id="1083338517">
              <w:marLeft w:val="0"/>
              <w:marRight w:val="0"/>
              <w:marTop w:val="0"/>
              <w:marBottom w:val="0"/>
              <w:divBdr>
                <w:top w:val="none" w:sz="0" w:space="0" w:color="auto"/>
                <w:left w:val="none" w:sz="0" w:space="0" w:color="auto"/>
                <w:bottom w:val="none" w:sz="0" w:space="0" w:color="auto"/>
                <w:right w:val="none" w:sz="0" w:space="0" w:color="auto"/>
              </w:divBdr>
              <w:divsChild>
                <w:div w:id="1009213575">
                  <w:marLeft w:val="0"/>
                  <w:marRight w:val="0"/>
                  <w:marTop w:val="0"/>
                  <w:marBottom w:val="0"/>
                  <w:divBdr>
                    <w:top w:val="none" w:sz="0" w:space="0" w:color="auto"/>
                    <w:left w:val="none" w:sz="0" w:space="0" w:color="auto"/>
                    <w:bottom w:val="none" w:sz="0" w:space="0" w:color="auto"/>
                    <w:right w:val="none" w:sz="0" w:space="0" w:color="auto"/>
                  </w:divBdr>
                  <w:divsChild>
                    <w:div w:id="13400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227536">
      <w:bodyDiv w:val="1"/>
      <w:marLeft w:val="0"/>
      <w:marRight w:val="0"/>
      <w:marTop w:val="0"/>
      <w:marBottom w:val="0"/>
      <w:divBdr>
        <w:top w:val="none" w:sz="0" w:space="0" w:color="auto"/>
        <w:left w:val="none" w:sz="0" w:space="0" w:color="auto"/>
        <w:bottom w:val="none" w:sz="0" w:space="0" w:color="auto"/>
        <w:right w:val="none" w:sz="0" w:space="0" w:color="auto"/>
      </w:divBdr>
      <w:divsChild>
        <w:div w:id="1845775848">
          <w:marLeft w:val="0"/>
          <w:marRight w:val="0"/>
          <w:marTop w:val="0"/>
          <w:marBottom w:val="0"/>
          <w:divBdr>
            <w:top w:val="none" w:sz="0" w:space="0" w:color="auto"/>
            <w:left w:val="none" w:sz="0" w:space="0" w:color="auto"/>
            <w:bottom w:val="none" w:sz="0" w:space="0" w:color="auto"/>
            <w:right w:val="none" w:sz="0" w:space="0" w:color="auto"/>
          </w:divBdr>
          <w:divsChild>
            <w:div w:id="597176576">
              <w:marLeft w:val="0"/>
              <w:marRight w:val="0"/>
              <w:marTop w:val="0"/>
              <w:marBottom w:val="0"/>
              <w:divBdr>
                <w:top w:val="none" w:sz="0" w:space="0" w:color="auto"/>
                <w:left w:val="none" w:sz="0" w:space="0" w:color="auto"/>
                <w:bottom w:val="none" w:sz="0" w:space="0" w:color="auto"/>
                <w:right w:val="none" w:sz="0" w:space="0" w:color="auto"/>
              </w:divBdr>
              <w:divsChild>
                <w:div w:id="512453550">
                  <w:marLeft w:val="0"/>
                  <w:marRight w:val="0"/>
                  <w:marTop w:val="0"/>
                  <w:marBottom w:val="0"/>
                  <w:divBdr>
                    <w:top w:val="none" w:sz="0" w:space="0" w:color="auto"/>
                    <w:left w:val="none" w:sz="0" w:space="0" w:color="auto"/>
                    <w:bottom w:val="none" w:sz="0" w:space="0" w:color="auto"/>
                    <w:right w:val="none" w:sz="0" w:space="0" w:color="auto"/>
                  </w:divBdr>
                  <w:divsChild>
                    <w:div w:id="55616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345980">
      <w:bodyDiv w:val="1"/>
      <w:marLeft w:val="0"/>
      <w:marRight w:val="0"/>
      <w:marTop w:val="0"/>
      <w:marBottom w:val="0"/>
      <w:divBdr>
        <w:top w:val="none" w:sz="0" w:space="0" w:color="auto"/>
        <w:left w:val="none" w:sz="0" w:space="0" w:color="auto"/>
        <w:bottom w:val="none" w:sz="0" w:space="0" w:color="auto"/>
        <w:right w:val="none" w:sz="0" w:space="0" w:color="auto"/>
      </w:divBdr>
      <w:divsChild>
        <w:div w:id="408428325">
          <w:marLeft w:val="0"/>
          <w:marRight w:val="0"/>
          <w:marTop w:val="0"/>
          <w:marBottom w:val="0"/>
          <w:divBdr>
            <w:top w:val="none" w:sz="0" w:space="0" w:color="auto"/>
            <w:left w:val="none" w:sz="0" w:space="0" w:color="auto"/>
            <w:bottom w:val="none" w:sz="0" w:space="0" w:color="auto"/>
            <w:right w:val="none" w:sz="0" w:space="0" w:color="auto"/>
          </w:divBdr>
          <w:divsChild>
            <w:div w:id="1298300304">
              <w:marLeft w:val="0"/>
              <w:marRight w:val="0"/>
              <w:marTop w:val="0"/>
              <w:marBottom w:val="0"/>
              <w:divBdr>
                <w:top w:val="none" w:sz="0" w:space="0" w:color="auto"/>
                <w:left w:val="none" w:sz="0" w:space="0" w:color="auto"/>
                <w:bottom w:val="none" w:sz="0" w:space="0" w:color="auto"/>
                <w:right w:val="none" w:sz="0" w:space="0" w:color="auto"/>
              </w:divBdr>
              <w:divsChild>
                <w:div w:id="1768231973">
                  <w:marLeft w:val="0"/>
                  <w:marRight w:val="0"/>
                  <w:marTop w:val="0"/>
                  <w:marBottom w:val="0"/>
                  <w:divBdr>
                    <w:top w:val="none" w:sz="0" w:space="0" w:color="auto"/>
                    <w:left w:val="none" w:sz="0" w:space="0" w:color="auto"/>
                    <w:bottom w:val="none" w:sz="0" w:space="0" w:color="auto"/>
                    <w:right w:val="none" w:sz="0" w:space="0" w:color="auto"/>
                  </w:divBdr>
                  <w:divsChild>
                    <w:div w:id="9601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505467">
      <w:bodyDiv w:val="1"/>
      <w:marLeft w:val="0"/>
      <w:marRight w:val="0"/>
      <w:marTop w:val="0"/>
      <w:marBottom w:val="0"/>
      <w:divBdr>
        <w:top w:val="none" w:sz="0" w:space="0" w:color="auto"/>
        <w:left w:val="none" w:sz="0" w:space="0" w:color="auto"/>
        <w:bottom w:val="none" w:sz="0" w:space="0" w:color="auto"/>
        <w:right w:val="none" w:sz="0" w:space="0" w:color="auto"/>
      </w:divBdr>
    </w:div>
    <w:div w:id="1518615671">
      <w:bodyDiv w:val="1"/>
      <w:marLeft w:val="0"/>
      <w:marRight w:val="0"/>
      <w:marTop w:val="0"/>
      <w:marBottom w:val="0"/>
      <w:divBdr>
        <w:top w:val="none" w:sz="0" w:space="0" w:color="auto"/>
        <w:left w:val="none" w:sz="0" w:space="0" w:color="auto"/>
        <w:bottom w:val="none" w:sz="0" w:space="0" w:color="auto"/>
        <w:right w:val="none" w:sz="0" w:space="0" w:color="auto"/>
      </w:divBdr>
      <w:divsChild>
        <w:div w:id="1322809134">
          <w:marLeft w:val="0"/>
          <w:marRight w:val="0"/>
          <w:marTop w:val="0"/>
          <w:marBottom w:val="0"/>
          <w:divBdr>
            <w:top w:val="none" w:sz="0" w:space="0" w:color="auto"/>
            <w:left w:val="none" w:sz="0" w:space="0" w:color="auto"/>
            <w:bottom w:val="none" w:sz="0" w:space="0" w:color="auto"/>
            <w:right w:val="none" w:sz="0" w:space="0" w:color="auto"/>
          </w:divBdr>
          <w:divsChild>
            <w:div w:id="1620910134">
              <w:marLeft w:val="0"/>
              <w:marRight w:val="0"/>
              <w:marTop w:val="0"/>
              <w:marBottom w:val="0"/>
              <w:divBdr>
                <w:top w:val="none" w:sz="0" w:space="0" w:color="auto"/>
                <w:left w:val="none" w:sz="0" w:space="0" w:color="auto"/>
                <w:bottom w:val="none" w:sz="0" w:space="0" w:color="auto"/>
                <w:right w:val="none" w:sz="0" w:space="0" w:color="auto"/>
              </w:divBdr>
              <w:divsChild>
                <w:div w:id="20360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946694">
      <w:bodyDiv w:val="1"/>
      <w:marLeft w:val="0"/>
      <w:marRight w:val="0"/>
      <w:marTop w:val="0"/>
      <w:marBottom w:val="0"/>
      <w:divBdr>
        <w:top w:val="none" w:sz="0" w:space="0" w:color="auto"/>
        <w:left w:val="none" w:sz="0" w:space="0" w:color="auto"/>
        <w:bottom w:val="none" w:sz="0" w:space="0" w:color="auto"/>
        <w:right w:val="none" w:sz="0" w:space="0" w:color="auto"/>
      </w:divBdr>
      <w:divsChild>
        <w:div w:id="777405911">
          <w:marLeft w:val="0"/>
          <w:marRight w:val="0"/>
          <w:marTop w:val="0"/>
          <w:marBottom w:val="0"/>
          <w:divBdr>
            <w:top w:val="none" w:sz="0" w:space="0" w:color="auto"/>
            <w:left w:val="none" w:sz="0" w:space="0" w:color="auto"/>
            <w:bottom w:val="none" w:sz="0" w:space="0" w:color="auto"/>
            <w:right w:val="none" w:sz="0" w:space="0" w:color="auto"/>
          </w:divBdr>
          <w:divsChild>
            <w:div w:id="1135292651">
              <w:marLeft w:val="0"/>
              <w:marRight w:val="0"/>
              <w:marTop w:val="0"/>
              <w:marBottom w:val="0"/>
              <w:divBdr>
                <w:top w:val="none" w:sz="0" w:space="0" w:color="auto"/>
                <w:left w:val="none" w:sz="0" w:space="0" w:color="auto"/>
                <w:bottom w:val="none" w:sz="0" w:space="0" w:color="auto"/>
                <w:right w:val="none" w:sz="0" w:space="0" w:color="auto"/>
              </w:divBdr>
              <w:divsChild>
                <w:div w:id="670596570">
                  <w:marLeft w:val="0"/>
                  <w:marRight w:val="0"/>
                  <w:marTop w:val="0"/>
                  <w:marBottom w:val="0"/>
                  <w:divBdr>
                    <w:top w:val="none" w:sz="0" w:space="0" w:color="auto"/>
                    <w:left w:val="none" w:sz="0" w:space="0" w:color="auto"/>
                    <w:bottom w:val="none" w:sz="0" w:space="0" w:color="auto"/>
                    <w:right w:val="none" w:sz="0" w:space="0" w:color="auto"/>
                  </w:divBdr>
                  <w:divsChild>
                    <w:div w:id="3953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99177">
      <w:bodyDiv w:val="1"/>
      <w:marLeft w:val="0"/>
      <w:marRight w:val="0"/>
      <w:marTop w:val="0"/>
      <w:marBottom w:val="0"/>
      <w:divBdr>
        <w:top w:val="none" w:sz="0" w:space="0" w:color="auto"/>
        <w:left w:val="none" w:sz="0" w:space="0" w:color="auto"/>
        <w:bottom w:val="none" w:sz="0" w:space="0" w:color="auto"/>
        <w:right w:val="none" w:sz="0" w:space="0" w:color="auto"/>
      </w:divBdr>
      <w:divsChild>
        <w:div w:id="47000168">
          <w:marLeft w:val="0"/>
          <w:marRight w:val="0"/>
          <w:marTop w:val="0"/>
          <w:marBottom w:val="0"/>
          <w:divBdr>
            <w:top w:val="none" w:sz="0" w:space="0" w:color="auto"/>
            <w:left w:val="none" w:sz="0" w:space="0" w:color="auto"/>
            <w:bottom w:val="none" w:sz="0" w:space="0" w:color="auto"/>
            <w:right w:val="none" w:sz="0" w:space="0" w:color="auto"/>
          </w:divBdr>
          <w:divsChild>
            <w:div w:id="1632128249">
              <w:marLeft w:val="0"/>
              <w:marRight w:val="0"/>
              <w:marTop w:val="0"/>
              <w:marBottom w:val="0"/>
              <w:divBdr>
                <w:top w:val="none" w:sz="0" w:space="0" w:color="auto"/>
                <w:left w:val="none" w:sz="0" w:space="0" w:color="auto"/>
                <w:bottom w:val="none" w:sz="0" w:space="0" w:color="auto"/>
                <w:right w:val="none" w:sz="0" w:space="0" w:color="auto"/>
              </w:divBdr>
              <w:divsChild>
                <w:div w:id="70274319">
                  <w:marLeft w:val="0"/>
                  <w:marRight w:val="0"/>
                  <w:marTop w:val="0"/>
                  <w:marBottom w:val="0"/>
                  <w:divBdr>
                    <w:top w:val="none" w:sz="0" w:space="0" w:color="auto"/>
                    <w:left w:val="none" w:sz="0" w:space="0" w:color="auto"/>
                    <w:bottom w:val="none" w:sz="0" w:space="0" w:color="auto"/>
                    <w:right w:val="none" w:sz="0" w:space="0" w:color="auto"/>
                  </w:divBdr>
                  <w:divsChild>
                    <w:div w:id="24079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499105">
      <w:bodyDiv w:val="1"/>
      <w:marLeft w:val="0"/>
      <w:marRight w:val="0"/>
      <w:marTop w:val="0"/>
      <w:marBottom w:val="0"/>
      <w:divBdr>
        <w:top w:val="none" w:sz="0" w:space="0" w:color="auto"/>
        <w:left w:val="none" w:sz="0" w:space="0" w:color="auto"/>
        <w:bottom w:val="none" w:sz="0" w:space="0" w:color="auto"/>
        <w:right w:val="none" w:sz="0" w:space="0" w:color="auto"/>
      </w:divBdr>
      <w:divsChild>
        <w:div w:id="1792626239">
          <w:marLeft w:val="0"/>
          <w:marRight w:val="0"/>
          <w:marTop w:val="0"/>
          <w:marBottom w:val="0"/>
          <w:divBdr>
            <w:top w:val="none" w:sz="0" w:space="0" w:color="auto"/>
            <w:left w:val="none" w:sz="0" w:space="0" w:color="auto"/>
            <w:bottom w:val="none" w:sz="0" w:space="0" w:color="auto"/>
            <w:right w:val="none" w:sz="0" w:space="0" w:color="auto"/>
          </w:divBdr>
          <w:divsChild>
            <w:div w:id="1835488411">
              <w:marLeft w:val="0"/>
              <w:marRight w:val="0"/>
              <w:marTop w:val="0"/>
              <w:marBottom w:val="0"/>
              <w:divBdr>
                <w:top w:val="none" w:sz="0" w:space="0" w:color="auto"/>
                <w:left w:val="none" w:sz="0" w:space="0" w:color="auto"/>
                <w:bottom w:val="none" w:sz="0" w:space="0" w:color="auto"/>
                <w:right w:val="none" w:sz="0" w:space="0" w:color="auto"/>
              </w:divBdr>
              <w:divsChild>
                <w:div w:id="345719478">
                  <w:marLeft w:val="0"/>
                  <w:marRight w:val="0"/>
                  <w:marTop w:val="0"/>
                  <w:marBottom w:val="0"/>
                  <w:divBdr>
                    <w:top w:val="none" w:sz="0" w:space="0" w:color="auto"/>
                    <w:left w:val="none" w:sz="0" w:space="0" w:color="auto"/>
                    <w:bottom w:val="none" w:sz="0" w:space="0" w:color="auto"/>
                    <w:right w:val="none" w:sz="0" w:space="0" w:color="auto"/>
                  </w:divBdr>
                  <w:divsChild>
                    <w:div w:id="13080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507914">
      <w:bodyDiv w:val="1"/>
      <w:marLeft w:val="0"/>
      <w:marRight w:val="0"/>
      <w:marTop w:val="0"/>
      <w:marBottom w:val="0"/>
      <w:divBdr>
        <w:top w:val="none" w:sz="0" w:space="0" w:color="auto"/>
        <w:left w:val="none" w:sz="0" w:space="0" w:color="auto"/>
        <w:bottom w:val="none" w:sz="0" w:space="0" w:color="auto"/>
        <w:right w:val="none" w:sz="0" w:space="0" w:color="auto"/>
      </w:divBdr>
    </w:div>
    <w:div w:id="1540362647">
      <w:bodyDiv w:val="1"/>
      <w:marLeft w:val="0"/>
      <w:marRight w:val="0"/>
      <w:marTop w:val="0"/>
      <w:marBottom w:val="0"/>
      <w:divBdr>
        <w:top w:val="none" w:sz="0" w:space="0" w:color="auto"/>
        <w:left w:val="none" w:sz="0" w:space="0" w:color="auto"/>
        <w:bottom w:val="none" w:sz="0" w:space="0" w:color="auto"/>
        <w:right w:val="none" w:sz="0" w:space="0" w:color="auto"/>
      </w:divBdr>
    </w:div>
    <w:div w:id="1541473610">
      <w:bodyDiv w:val="1"/>
      <w:marLeft w:val="0"/>
      <w:marRight w:val="0"/>
      <w:marTop w:val="0"/>
      <w:marBottom w:val="0"/>
      <w:divBdr>
        <w:top w:val="none" w:sz="0" w:space="0" w:color="auto"/>
        <w:left w:val="none" w:sz="0" w:space="0" w:color="auto"/>
        <w:bottom w:val="none" w:sz="0" w:space="0" w:color="auto"/>
        <w:right w:val="none" w:sz="0" w:space="0" w:color="auto"/>
      </w:divBdr>
      <w:divsChild>
        <w:div w:id="474954688">
          <w:marLeft w:val="0"/>
          <w:marRight w:val="0"/>
          <w:marTop w:val="0"/>
          <w:marBottom w:val="0"/>
          <w:divBdr>
            <w:top w:val="none" w:sz="0" w:space="0" w:color="auto"/>
            <w:left w:val="none" w:sz="0" w:space="0" w:color="auto"/>
            <w:bottom w:val="none" w:sz="0" w:space="0" w:color="auto"/>
            <w:right w:val="none" w:sz="0" w:space="0" w:color="auto"/>
          </w:divBdr>
          <w:divsChild>
            <w:div w:id="1160805022">
              <w:marLeft w:val="0"/>
              <w:marRight w:val="0"/>
              <w:marTop w:val="0"/>
              <w:marBottom w:val="0"/>
              <w:divBdr>
                <w:top w:val="none" w:sz="0" w:space="0" w:color="auto"/>
                <w:left w:val="none" w:sz="0" w:space="0" w:color="auto"/>
                <w:bottom w:val="none" w:sz="0" w:space="0" w:color="auto"/>
                <w:right w:val="none" w:sz="0" w:space="0" w:color="auto"/>
              </w:divBdr>
              <w:divsChild>
                <w:div w:id="59182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33750">
      <w:bodyDiv w:val="1"/>
      <w:marLeft w:val="0"/>
      <w:marRight w:val="0"/>
      <w:marTop w:val="0"/>
      <w:marBottom w:val="0"/>
      <w:divBdr>
        <w:top w:val="none" w:sz="0" w:space="0" w:color="auto"/>
        <w:left w:val="none" w:sz="0" w:space="0" w:color="auto"/>
        <w:bottom w:val="none" w:sz="0" w:space="0" w:color="auto"/>
        <w:right w:val="none" w:sz="0" w:space="0" w:color="auto"/>
      </w:divBdr>
      <w:divsChild>
        <w:div w:id="49890517">
          <w:marLeft w:val="0"/>
          <w:marRight w:val="0"/>
          <w:marTop w:val="0"/>
          <w:marBottom w:val="0"/>
          <w:divBdr>
            <w:top w:val="none" w:sz="0" w:space="0" w:color="auto"/>
            <w:left w:val="none" w:sz="0" w:space="0" w:color="auto"/>
            <w:bottom w:val="none" w:sz="0" w:space="0" w:color="auto"/>
            <w:right w:val="none" w:sz="0" w:space="0" w:color="auto"/>
          </w:divBdr>
        </w:div>
        <w:div w:id="255215356">
          <w:marLeft w:val="0"/>
          <w:marRight w:val="0"/>
          <w:marTop w:val="0"/>
          <w:marBottom w:val="0"/>
          <w:divBdr>
            <w:top w:val="none" w:sz="0" w:space="0" w:color="auto"/>
            <w:left w:val="none" w:sz="0" w:space="0" w:color="auto"/>
            <w:bottom w:val="none" w:sz="0" w:space="0" w:color="auto"/>
            <w:right w:val="none" w:sz="0" w:space="0" w:color="auto"/>
          </w:divBdr>
        </w:div>
        <w:div w:id="375665529">
          <w:marLeft w:val="0"/>
          <w:marRight w:val="0"/>
          <w:marTop w:val="0"/>
          <w:marBottom w:val="0"/>
          <w:divBdr>
            <w:top w:val="none" w:sz="0" w:space="0" w:color="auto"/>
            <w:left w:val="none" w:sz="0" w:space="0" w:color="auto"/>
            <w:bottom w:val="none" w:sz="0" w:space="0" w:color="auto"/>
            <w:right w:val="none" w:sz="0" w:space="0" w:color="auto"/>
          </w:divBdr>
        </w:div>
        <w:div w:id="846754823">
          <w:marLeft w:val="0"/>
          <w:marRight w:val="0"/>
          <w:marTop w:val="0"/>
          <w:marBottom w:val="0"/>
          <w:divBdr>
            <w:top w:val="none" w:sz="0" w:space="0" w:color="auto"/>
            <w:left w:val="none" w:sz="0" w:space="0" w:color="auto"/>
            <w:bottom w:val="none" w:sz="0" w:space="0" w:color="auto"/>
            <w:right w:val="none" w:sz="0" w:space="0" w:color="auto"/>
          </w:divBdr>
        </w:div>
        <w:div w:id="998925458">
          <w:marLeft w:val="0"/>
          <w:marRight w:val="0"/>
          <w:marTop w:val="0"/>
          <w:marBottom w:val="0"/>
          <w:divBdr>
            <w:top w:val="none" w:sz="0" w:space="0" w:color="auto"/>
            <w:left w:val="none" w:sz="0" w:space="0" w:color="auto"/>
            <w:bottom w:val="none" w:sz="0" w:space="0" w:color="auto"/>
            <w:right w:val="none" w:sz="0" w:space="0" w:color="auto"/>
          </w:divBdr>
        </w:div>
        <w:div w:id="1129318329">
          <w:marLeft w:val="0"/>
          <w:marRight w:val="0"/>
          <w:marTop w:val="0"/>
          <w:marBottom w:val="0"/>
          <w:divBdr>
            <w:top w:val="none" w:sz="0" w:space="0" w:color="auto"/>
            <w:left w:val="none" w:sz="0" w:space="0" w:color="auto"/>
            <w:bottom w:val="none" w:sz="0" w:space="0" w:color="auto"/>
            <w:right w:val="none" w:sz="0" w:space="0" w:color="auto"/>
          </w:divBdr>
        </w:div>
        <w:div w:id="1190071158">
          <w:marLeft w:val="0"/>
          <w:marRight w:val="0"/>
          <w:marTop w:val="0"/>
          <w:marBottom w:val="0"/>
          <w:divBdr>
            <w:top w:val="none" w:sz="0" w:space="0" w:color="auto"/>
            <w:left w:val="none" w:sz="0" w:space="0" w:color="auto"/>
            <w:bottom w:val="none" w:sz="0" w:space="0" w:color="auto"/>
            <w:right w:val="none" w:sz="0" w:space="0" w:color="auto"/>
          </w:divBdr>
        </w:div>
        <w:div w:id="1192955895">
          <w:marLeft w:val="0"/>
          <w:marRight w:val="0"/>
          <w:marTop w:val="0"/>
          <w:marBottom w:val="0"/>
          <w:divBdr>
            <w:top w:val="none" w:sz="0" w:space="0" w:color="auto"/>
            <w:left w:val="none" w:sz="0" w:space="0" w:color="auto"/>
            <w:bottom w:val="none" w:sz="0" w:space="0" w:color="auto"/>
            <w:right w:val="none" w:sz="0" w:space="0" w:color="auto"/>
          </w:divBdr>
        </w:div>
        <w:div w:id="1210649873">
          <w:marLeft w:val="0"/>
          <w:marRight w:val="0"/>
          <w:marTop w:val="0"/>
          <w:marBottom w:val="0"/>
          <w:divBdr>
            <w:top w:val="none" w:sz="0" w:space="0" w:color="auto"/>
            <w:left w:val="none" w:sz="0" w:space="0" w:color="auto"/>
            <w:bottom w:val="none" w:sz="0" w:space="0" w:color="auto"/>
            <w:right w:val="none" w:sz="0" w:space="0" w:color="auto"/>
          </w:divBdr>
        </w:div>
        <w:div w:id="1260412031">
          <w:marLeft w:val="0"/>
          <w:marRight w:val="0"/>
          <w:marTop w:val="0"/>
          <w:marBottom w:val="0"/>
          <w:divBdr>
            <w:top w:val="none" w:sz="0" w:space="0" w:color="auto"/>
            <w:left w:val="none" w:sz="0" w:space="0" w:color="auto"/>
            <w:bottom w:val="none" w:sz="0" w:space="0" w:color="auto"/>
            <w:right w:val="none" w:sz="0" w:space="0" w:color="auto"/>
          </w:divBdr>
        </w:div>
        <w:div w:id="1356155377">
          <w:marLeft w:val="0"/>
          <w:marRight w:val="0"/>
          <w:marTop w:val="0"/>
          <w:marBottom w:val="0"/>
          <w:divBdr>
            <w:top w:val="none" w:sz="0" w:space="0" w:color="auto"/>
            <w:left w:val="none" w:sz="0" w:space="0" w:color="auto"/>
            <w:bottom w:val="none" w:sz="0" w:space="0" w:color="auto"/>
            <w:right w:val="none" w:sz="0" w:space="0" w:color="auto"/>
          </w:divBdr>
        </w:div>
        <w:div w:id="1409421780">
          <w:marLeft w:val="0"/>
          <w:marRight w:val="0"/>
          <w:marTop w:val="0"/>
          <w:marBottom w:val="0"/>
          <w:divBdr>
            <w:top w:val="none" w:sz="0" w:space="0" w:color="auto"/>
            <w:left w:val="none" w:sz="0" w:space="0" w:color="auto"/>
            <w:bottom w:val="none" w:sz="0" w:space="0" w:color="auto"/>
            <w:right w:val="none" w:sz="0" w:space="0" w:color="auto"/>
          </w:divBdr>
        </w:div>
        <w:div w:id="1486629810">
          <w:marLeft w:val="0"/>
          <w:marRight w:val="0"/>
          <w:marTop w:val="0"/>
          <w:marBottom w:val="0"/>
          <w:divBdr>
            <w:top w:val="none" w:sz="0" w:space="0" w:color="auto"/>
            <w:left w:val="none" w:sz="0" w:space="0" w:color="auto"/>
            <w:bottom w:val="none" w:sz="0" w:space="0" w:color="auto"/>
            <w:right w:val="none" w:sz="0" w:space="0" w:color="auto"/>
          </w:divBdr>
        </w:div>
        <w:div w:id="1563713838">
          <w:marLeft w:val="0"/>
          <w:marRight w:val="0"/>
          <w:marTop w:val="0"/>
          <w:marBottom w:val="0"/>
          <w:divBdr>
            <w:top w:val="none" w:sz="0" w:space="0" w:color="auto"/>
            <w:left w:val="none" w:sz="0" w:space="0" w:color="auto"/>
            <w:bottom w:val="none" w:sz="0" w:space="0" w:color="auto"/>
            <w:right w:val="none" w:sz="0" w:space="0" w:color="auto"/>
          </w:divBdr>
        </w:div>
        <w:div w:id="1642150936">
          <w:marLeft w:val="0"/>
          <w:marRight w:val="0"/>
          <w:marTop w:val="0"/>
          <w:marBottom w:val="0"/>
          <w:divBdr>
            <w:top w:val="none" w:sz="0" w:space="0" w:color="auto"/>
            <w:left w:val="none" w:sz="0" w:space="0" w:color="auto"/>
            <w:bottom w:val="none" w:sz="0" w:space="0" w:color="auto"/>
            <w:right w:val="none" w:sz="0" w:space="0" w:color="auto"/>
          </w:divBdr>
        </w:div>
        <w:div w:id="1787233712">
          <w:marLeft w:val="0"/>
          <w:marRight w:val="0"/>
          <w:marTop w:val="0"/>
          <w:marBottom w:val="0"/>
          <w:divBdr>
            <w:top w:val="none" w:sz="0" w:space="0" w:color="auto"/>
            <w:left w:val="none" w:sz="0" w:space="0" w:color="auto"/>
            <w:bottom w:val="none" w:sz="0" w:space="0" w:color="auto"/>
            <w:right w:val="none" w:sz="0" w:space="0" w:color="auto"/>
          </w:divBdr>
        </w:div>
        <w:div w:id="1857768373">
          <w:marLeft w:val="0"/>
          <w:marRight w:val="0"/>
          <w:marTop w:val="0"/>
          <w:marBottom w:val="0"/>
          <w:divBdr>
            <w:top w:val="none" w:sz="0" w:space="0" w:color="auto"/>
            <w:left w:val="none" w:sz="0" w:space="0" w:color="auto"/>
            <w:bottom w:val="none" w:sz="0" w:space="0" w:color="auto"/>
            <w:right w:val="none" w:sz="0" w:space="0" w:color="auto"/>
          </w:divBdr>
        </w:div>
        <w:div w:id="1872835980">
          <w:marLeft w:val="0"/>
          <w:marRight w:val="0"/>
          <w:marTop w:val="0"/>
          <w:marBottom w:val="0"/>
          <w:divBdr>
            <w:top w:val="none" w:sz="0" w:space="0" w:color="auto"/>
            <w:left w:val="none" w:sz="0" w:space="0" w:color="auto"/>
            <w:bottom w:val="none" w:sz="0" w:space="0" w:color="auto"/>
            <w:right w:val="none" w:sz="0" w:space="0" w:color="auto"/>
          </w:divBdr>
        </w:div>
        <w:div w:id="2078278572">
          <w:marLeft w:val="0"/>
          <w:marRight w:val="0"/>
          <w:marTop w:val="0"/>
          <w:marBottom w:val="0"/>
          <w:divBdr>
            <w:top w:val="none" w:sz="0" w:space="0" w:color="auto"/>
            <w:left w:val="none" w:sz="0" w:space="0" w:color="auto"/>
            <w:bottom w:val="none" w:sz="0" w:space="0" w:color="auto"/>
            <w:right w:val="none" w:sz="0" w:space="0" w:color="auto"/>
          </w:divBdr>
        </w:div>
      </w:divsChild>
    </w:div>
    <w:div w:id="1546141098">
      <w:bodyDiv w:val="1"/>
      <w:marLeft w:val="0"/>
      <w:marRight w:val="0"/>
      <w:marTop w:val="0"/>
      <w:marBottom w:val="0"/>
      <w:divBdr>
        <w:top w:val="none" w:sz="0" w:space="0" w:color="auto"/>
        <w:left w:val="none" w:sz="0" w:space="0" w:color="auto"/>
        <w:bottom w:val="none" w:sz="0" w:space="0" w:color="auto"/>
        <w:right w:val="none" w:sz="0" w:space="0" w:color="auto"/>
      </w:divBdr>
      <w:divsChild>
        <w:div w:id="423187394">
          <w:marLeft w:val="0"/>
          <w:marRight w:val="0"/>
          <w:marTop w:val="0"/>
          <w:marBottom w:val="0"/>
          <w:divBdr>
            <w:top w:val="none" w:sz="0" w:space="0" w:color="auto"/>
            <w:left w:val="none" w:sz="0" w:space="0" w:color="auto"/>
            <w:bottom w:val="none" w:sz="0" w:space="0" w:color="auto"/>
            <w:right w:val="none" w:sz="0" w:space="0" w:color="auto"/>
          </w:divBdr>
          <w:divsChild>
            <w:div w:id="127742830">
              <w:marLeft w:val="0"/>
              <w:marRight w:val="0"/>
              <w:marTop w:val="0"/>
              <w:marBottom w:val="0"/>
              <w:divBdr>
                <w:top w:val="none" w:sz="0" w:space="0" w:color="auto"/>
                <w:left w:val="none" w:sz="0" w:space="0" w:color="auto"/>
                <w:bottom w:val="none" w:sz="0" w:space="0" w:color="auto"/>
                <w:right w:val="none" w:sz="0" w:space="0" w:color="auto"/>
              </w:divBdr>
              <w:divsChild>
                <w:div w:id="6172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87367">
      <w:bodyDiv w:val="1"/>
      <w:marLeft w:val="0"/>
      <w:marRight w:val="0"/>
      <w:marTop w:val="0"/>
      <w:marBottom w:val="0"/>
      <w:divBdr>
        <w:top w:val="none" w:sz="0" w:space="0" w:color="auto"/>
        <w:left w:val="none" w:sz="0" w:space="0" w:color="auto"/>
        <w:bottom w:val="none" w:sz="0" w:space="0" w:color="auto"/>
        <w:right w:val="none" w:sz="0" w:space="0" w:color="auto"/>
      </w:divBdr>
      <w:divsChild>
        <w:div w:id="926617593">
          <w:marLeft w:val="0"/>
          <w:marRight w:val="0"/>
          <w:marTop w:val="0"/>
          <w:marBottom w:val="0"/>
          <w:divBdr>
            <w:top w:val="none" w:sz="0" w:space="0" w:color="auto"/>
            <w:left w:val="none" w:sz="0" w:space="0" w:color="auto"/>
            <w:bottom w:val="none" w:sz="0" w:space="0" w:color="auto"/>
            <w:right w:val="none" w:sz="0" w:space="0" w:color="auto"/>
          </w:divBdr>
          <w:divsChild>
            <w:div w:id="503937227">
              <w:marLeft w:val="0"/>
              <w:marRight w:val="0"/>
              <w:marTop w:val="0"/>
              <w:marBottom w:val="0"/>
              <w:divBdr>
                <w:top w:val="none" w:sz="0" w:space="0" w:color="auto"/>
                <w:left w:val="none" w:sz="0" w:space="0" w:color="auto"/>
                <w:bottom w:val="none" w:sz="0" w:space="0" w:color="auto"/>
                <w:right w:val="none" w:sz="0" w:space="0" w:color="auto"/>
              </w:divBdr>
              <w:divsChild>
                <w:div w:id="209462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74967">
      <w:bodyDiv w:val="1"/>
      <w:marLeft w:val="0"/>
      <w:marRight w:val="0"/>
      <w:marTop w:val="0"/>
      <w:marBottom w:val="0"/>
      <w:divBdr>
        <w:top w:val="none" w:sz="0" w:space="0" w:color="auto"/>
        <w:left w:val="none" w:sz="0" w:space="0" w:color="auto"/>
        <w:bottom w:val="none" w:sz="0" w:space="0" w:color="auto"/>
        <w:right w:val="none" w:sz="0" w:space="0" w:color="auto"/>
      </w:divBdr>
      <w:divsChild>
        <w:div w:id="633219768">
          <w:marLeft w:val="0"/>
          <w:marRight w:val="0"/>
          <w:marTop w:val="0"/>
          <w:marBottom w:val="0"/>
          <w:divBdr>
            <w:top w:val="none" w:sz="0" w:space="0" w:color="auto"/>
            <w:left w:val="none" w:sz="0" w:space="0" w:color="auto"/>
            <w:bottom w:val="none" w:sz="0" w:space="0" w:color="auto"/>
            <w:right w:val="none" w:sz="0" w:space="0" w:color="auto"/>
          </w:divBdr>
          <w:divsChild>
            <w:div w:id="1657147464">
              <w:marLeft w:val="0"/>
              <w:marRight w:val="0"/>
              <w:marTop w:val="0"/>
              <w:marBottom w:val="0"/>
              <w:divBdr>
                <w:top w:val="none" w:sz="0" w:space="0" w:color="auto"/>
                <w:left w:val="none" w:sz="0" w:space="0" w:color="auto"/>
                <w:bottom w:val="none" w:sz="0" w:space="0" w:color="auto"/>
                <w:right w:val="none" w:sz="0" w:space="0" w:color="auto"/>
              </w:divBdr>
              <w:divsChild>
                <w:div w:id="122854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69959">
      <w:bodyDiv w:val="1"/>
      <w:marLeft w:val="0"/>
      <w:marRight w:val="0"/>
      <w:marTop w:val="0"/>
      <w:marBottom w:val="0"/>
      <w:divBdr>
        <w:top w:val="none" w:sz="0" w:space="0" w:color="auto"/>
        <w:left w:val="none" w:sz="0" w:space="0" w:color="auto"/>
        <w:bottom w:val="none" w:sz="0" w:space="0" w:color="auto"/>
        <w:right w:val="none" w:sz="0" w:space="0" w:color="auto"/>
      </w:divBdr>
      <w:divsChild>
        <w:div w:id="571894460">
          <w:marLeft w:val="0"/>
          <w:marRight w:val="0"/>
          <w:marTop w:val="0"/>
          <w:marBottom w:val="0"/>
          <w:divBdr>
            <w:top w:val="none" w:sz="0" w:space="0" w:color="auto"/>
            <w:left w:val="none" w:sz="0" w:space="0" w:color="auto"/>
            <w:bottom w:val="none" w:sz="0" w:space="0" w:color="auto"/>
            <w:right w:val="none" w:sz="0" w:space="0" w:color="auto"/>
          </w:divBdr>
          <w:divsChild>
            <w:div w:id="460223927">
              <w:marLeft w:val="0"/>
              <w:marRight w:val="0"/>
              <w:marTop w:val="0"/>
              <w:marBottom w:val="0"/>
              <w:divBdr>
                <w:top w:val="none" w:sz="0" w:space="0" w:color="auto"/>
                <w:left w:val="none" w:sz="0" w:space="0" w:color="auto"/>
                <w:bottom w:val="none" w:sz="0" w:space="0" w:color="auto"/>
                <w:right w:val="none" w:sz="0" w:space="0" w:color="auto"/>
              </w:divBdr>
              <w:divsChild>
                <w:div w:id="1998721873">
                  <w:marLeft w:val="0"/>
                  <w:marRight w:val="0"/>
                  <w:marTop w:val="0"/>
                  <w:marBottom w:val="0"/>
                  <w:divBdr>
                    <w:top w:val="none" w:sz="0" w:space="0" w:color="auto"/>
                    <w:left w:val="none" w:sz="0" w:space="0" w:color="auto"/>
                    <w:bottom w:val="none" w:sz="0" w:space="0" w:color="auto"/>
                    <w:right w:val="none" w:sz="0" w:space="0" w:color="auto"/>
                  </w:divBdr>
                  <w:divsChild>
                    <w:div w:id="320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076505">
      <w:bodyDiv w:val="1"/>
      <w:marLeft w:val="0"/>
      <w:marRight w:val="0"/>
      <w:marTop w:val="0"/>
      <w:marBottom w:val="0"/>
      <w:divBdr>
        <w:top w:val="none" w:sz="0" w:space="0" w:color="auto"/>
        <w:left w:val="none" w:sz="0" w:space="0" w:color="auto"/>
        <w:bottom w:val="none" w:sz="0" w:space="0" w:color="auto"/>
        <w:right w:val="none" w:sz="0" w:space="0" w:color="auto"/>
      </w:divBdr>
      <w:divsChild>
        <w:div w:id="1399473616">
          <w:marLeft w:val="0"/>
          <w:marRight w:val="0"/>
          <w:marTop w:val="0"/>
          <w:marBottom w:val="0"/>
          <w:divBdr>
            <w:top w:val="none" w:sz="0" w:space="0" w:color="auto"/>
            <w:left w:val="none" w:sz="0" w:space="0" w:color="auto"/>
            <w:bottom w:val="none" w:sz="0" w:space="0" w:color="auto"/>
            <w:right w:val="none" w:sz="0" w:space="0" w:color="auto"/>
          </w:divBdr>
          <w:divsChild>
            <w:div w:id="2078353413">
              <w:marLeft w:val="0"/>
              <w:marRight w:val="0"/>
              <w:marTop w:val="0"/>
              <w:marBottom w:val="0"/>
              <w:divBdr>
                <w:top w:val="none" w:sz="0" w:space="0" w:color="auto"/>
                <w:left w:val="none" w:sz="0" w:space="0" w:color="auto"/>
                <w:bottom w:val="none" w:sz="0" w:space="0" w:color="auto"/>
                <w:right w:val="none" w:sz="0" w:space="0" w:color="auto"/>
              </w:divBdr>
              <w:divsChild>
                <w:div w:id="1229996373">
                  <w:marLeft w:val="0"/>
                  <w:marRight w:val="0"/>
                  <w:marTop w:val="0"/>
                  <w:marBottom w:val="0"/>
                  <w:divBdr>
                    <w:top w:val="none" w:sz="0" w:space="0" w:color="auto"/>
                    <w:left w:val="none" w:sz="0" w:space="0" w:color="auto"/>
                    <w:bottom w:val="none" w:sz="0" w:space="0" w:color="auto"/>
                    <w:right w:val="none" w:sz="0" w:space="0" w:color="auto"/>
                  </w:divBdr>
                  <w:divsChild>
                    <w:div w:id="187264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110293">
      <w:bodyDiv w:val="1"/>
      <w:marLeft w:val="0"/>
      <w:marRight w:val="0"/>
      <w:marTop w:val="0"/>
      <w:marBottom w:val="0"/>
      <w:divBdr>
        <w:top w:val="none" w:sz="0" w:space="0" w:color="auto"/>
        <w:left w:val="none" w:sz="0" w:space="0" w:color="auto"/>
        <w:bottom w:val="none" w:sz="0" w:space="0" w:color="auto"/>
        <w:right w:val="none" w:sz="0" w:space="0" w:color="auto"/>
      </w:divBdr>
      <w:divsChild>
        <w:div w:id="252126179">
          <w:marLeft w:val="0"/>
          <w:marRight w:val="0"/>
          <w:marTop w:val="0"/>
          <w:marBottom w:val="0"/>
          <w:divBdr>
            <w:top w:val="none" w:sz="0" w:space="0" w:color="auto"/>
            <w:left w:val="none" w:sz="0" w:space="0" w:color="auto"/>
            <w:bottom w:val="none" w:sz="0" w:space="0" w:color="auto"/>
            <w:right w:val="none" w:sz="0" w:space="0" w:color="auto"/>
          </w:divBdr>
          <w:divsChild>
            <w:div w:id="236062751">
              <w:marLeft w:val="0"/>
              <w:marRight w:val="0"/>
              <w:marTop w:val="0"/>
              <w:marBottom w:val="0"/>
              <w:divBdr>
                <w:top w:val="none" w:sz="0" w:space="0" w:color="auto"/>
                <w:left w:val="none" w:sz="0" w:space="0" w:color="auto"/>
                <w:bottom w:val="none" w:sz="0" w:space="0" w:color="auto"/>
                <w:right w:val="none" w:sz="0" w:space="0" w:color="auto"/>
              </w:divBdr>
              <w:divsChild>
                <w:div w:id="1010448705">
                  <w:marLeft w:val="0"/>
                  <w:marRight w:val="0"/>
                  <w:marTop w:val="0"/>
                  <w:marBottom w:val="0"/>
                  <w:divBdr>
                    <w:top w:val="none" w:sz="0" w:space="0" w:color="auto"/>
                    <w:left w:val="none" w:sz="0" w:space="0" w:color="auto"/>
                    <w:bottom w:val="none" w:sz="0" w:space="0" w:color="auto"/>
                    <w:right w:val="none" w:sz="0" w:space="0" w:color="auto"/>
                  </w:divBdr>
                  <w:divsChild>
                    <w:div w:id="7332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387952">
      <w:bodyDiv w:val="1"/>
      <w:marLeft w:val="0"/>
      <w:marRight w:val="0"/>
      <w:marTop w:val="0"/>
      <w:marBottom w:val="0"/>
      <w:divBdr>
        <w:top w:val="none" w:sz="0" w:space="0" w:color="auto"/>
        <w:left w:val="none" w:sz="0" w:space="0" w:color="auto"/>
        <w:bottom w:val="none" w:sz="0" w:space="0" w:color="auto"/>
        <w:right w:val="none" w:sz="0" w:space="0" w:color="auto"/>
      </w:divBdr>
      <w:divsChild>
        <w:div w:id="1192838305">
          <w:marLeft w:val="0"/>
          <w:marRight w:val="0"/>
          <w:marTop w:val="0"/>
          <w:marBottom w:val="0"/>
          <w:divBdr>
            <w:top w:val="none" w:sz="0" w:space="0" w:color="auto"/>
            <w:left w:val="none" w:sz="0" w:space="0" w:color="auto"/>
            <w:bottom w:val="none" w:sz="0" w:space="0" w:color="auto"/>
            <w:right w:val="none" w:sz="0" w:space="0" w:color="auto"/>
          </w:divBdr>
          <w:divsChild>
            <w:div w:id="1419717183">
              <w:marLeft w:val="0"/>
              <w:marRight w:val="0"/>
              <w:marTop w:val="0"/>
              <w:marBottom w:val="0"/>
              <w:divBdr>
                <w:top w:val="none" w:sz="0" w:space="0" w:color="auto"/>
                <w:left w:val="none" w:sz="0" w:space="0" w:color="auto"/>
                <w:bottom w:val="none" w:sz="0" w:space="0" w:color="auto"/>
                <w:right w:val="none" w:sz="0" w:space="0" w:color="auto"/>
              </w:divBdr>
              <w:divsChild>
                <w:div w:id="2746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859469">
      <w:bodyDiv w:val="1"/>
      <w:marLeft w:val="0"/>
      <w:marRight w:val="0"/>
      <w:marTop w:val="0"/>
      <w:marBottom w:val="0"/>
      <w:divBdr>
        <w:top w:val="none" w:sz="0" w:space="0" w:color="auto"/>
        <w:left w:val="none" w:sz="0" w:space="0" w:color="auto"/>
        <w:bottom w:val="none" w:sz="0" w:space="0" w:color="auto"/>
        <w:right w:val="none" w:sz="0" w:space="0" w:color="auto"/>
      </w:divBdr>
      <w:divsChild>
        <w:div w:id="771902155">
          <w:marLeft w:val="0"/>
          <w:marRight w:val="0"/>
          <w:marTop w:val="0"/>
          <w:marBottom w:val="0"/>
          <w:divBdr>
            <w:top w:val="none" w:sz="0" w:space="0" w:color="auto"/>
            <w:left w:val="none" w:sz="0" w:space="0" w:color="auto"/>
            <w:bottom w:val="none" w:sz="0" w:space="0" w:color="auto"/>
            <w:right w:val="none" w:sz="0" w:space="0" w:color="auto"/>
          </w:divBdr>
          <w:divsChild>
            <w:div w:id="1485657365">
              <w:marLeft w:val="0"/>
              <w:marRight w:val="0"/>
              <w:marTop w:val="0"/>
              <w:marBottom w:val="0"/>
              <w:divBdr>
                <w:top w:val="none" w:sz="0" w:space="0" w:color="auto"/>
                <w:left w:val="none" w:sz="0" w:space="0" w:color="auto"/>
                <w:bottom w:val="none" w:sz="0" w:space="0" w:color="auto"/>
                <w:right w:val="none" w:sz="0" w:space="0" w:color="auto"/>
              </w:divBdr>
              <w:divsChild>
                <w:div w:id="182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468037">
      <w:bodyDiv w:val="1"/>
      <w:marLeft w:val="0"/>
      <w:marRight w:val="0"/>
      <w:marTop w:val="0"/>
      <w:marBottom w:val="0"/>
      <w:divBdr>
        <w:top w:val="none" w:sz="0" w:space="0" w:color="auto"/>
        <w:left w:val="none" w:sz="0" w:space="0" w:color="auto"/>
        <w:bottom w:val="none" w:sz="0" w:space="0" w:color="auto"/>
        <w:right w:val="none" w:sz="0" w:space="0" w:color="auto"/>
      </w:divBdr>
      <w:divsChild>
        <w:div w:id="899562886">
          <w:marLeft w:val="0"/>
          <w:marRight w:val="0"/>
          <w:marTop w:val="0"/>
          <w:marBottom w:val="0"/>
          <w:divBdr>
            <w:top w:val="none" w:sz="0" w:space="0" w:color="auto"/>
            <w:left w:val="none" w:sz="0" w:space="0" w:color="auto"/>
            <w:bottom w:val="none" w:sz="0" w:space="0" w:color="auto"/>
            <w:right w:val="none" w:sz="0" w:space="0" w:color="auto"/>
          </w:divBdr>
          <w:divsChild>
            <w:div w:id="993073372">
              <w:marLeft w:val="0"/>
              <w:marRight w:val="0"/>
              <w:marTop w:val="0"/>
              <w:marBottom w:val="0"/>
              <w:divBdr>
                <w:top w:val="none" w:sz="0" w:space="0" w:color="auto"/>
                <w:left w:val="none" w:sz="0" w:space="0" w:color="auto"/>
                <w:bottom w:val="none" w:sz="0" w:space="0" w:color="auto"/>
                <w:right w:val="none" w:sz="0" w:space="0" w:color="auto"/>
              </w:divBdr>
              <w:divsChild>
                <w:div w:id="173061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00969">
      <w:bodyDiv w:val="1"/>
      <w:marLeft w:val="0"/>
      <w:marRight w:val="0"/>
      <w:marTop w:val="0"/>
      <w:marBottom w:val="0"/>
      <w:divBdr>
        <w:top w:val="none" w:sz="0" w:space="0" w:color="auto"/>
        <w:left w:val="none" w:sz="0" w:space="0" w:color="auto"/>
        <w:bottom w:val="none" w:sz="0" w:space="0" w:color="auto"/>
        <w:right w:val="none" w:sz="0" w:space="0" w:color="auto"/>
      </w:divBdr>
      <w:divsChild>
        <w:div w:id="1895500369">
          <w:marLeft w:val="0"/>
          <w:marRight w:val="0"/>
          <w:marTop w:val="0"/>
          <w:marBottom w:val="0"/>
          <w:divBdr>
            <w:top w:val="none" w:sz="0" w:space="0" w:color="auto"/>
            <w:left w:val="none" w:sz="0" w:space="0" w:color="auto"/>
            <w:bottom w:val="none" w:sz="0" w:space="0" w:color="auto"/>
            <w:right w:val="none" w:sz="0" w:space="0" w:color="auto"/>
          </w:divBdr>
          <w:divsChild>
            <w:div w:id="856889866">
              <w:marLeft w:val="0"/>
              <w:marRight w:val="0"/>
              <w:marTop w:val="0"/>
              <w:marBottom w:val="0"/>
              <w:divBdr>
                <w:top w:val="none" w:sz="0" w:space="0" w:color="auto"/>
                <w:left w:val="none" w:sz="0" w:space="0" w:color="auto"/>
                <w:bottom w:val="none" w:sz="0" w:space="0" w:color="auto"/>
                <w:right w:val="none" w:sz="0" w:space="0" w:color="auto"/>
              </w:divBdr>
              <w:divsChild>
                <w:div w:id="148134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747006">
      <w:bodyDiv w:val="1"/>
      <w:marLeft w:val="0"/>
      <w:marRight w:val="0"/>
      <w:marTop w:val="0"/>
      <w:marBottom w:val="0"/>
      <w:divBdr>
        <w:top w:val="none" w:sz="0" w:space="0" w:color="auto"/>
        <w:left w:val="none" w:sz="0" w:space="0" w:color="auto"/>
        <w:bottom w:val="none" w:sz="0" w:space="0" w:color="auto"/>
        <w:right w:val="none" w:sz="0" w:space="0" w:color="auto"/>
      </w:divBdr>
      <w:divsChild>
        <w:div w:id="644506120">
          <w:marLeft w:val="0"/>
          <w:marRight w:val="0"/>
          <w:marTop w:val="0"/>
          <w:marBottom w:val="0"/>
          <w:divBdr>
            <w:top w:val="none" w:sz="0" w:space="0" w:color="auto"/>
            <w:left w:val="none" w:sz="0" w:space="0" w:color="auto"/>
            <w:bottom w:val="none" w:sz="0" w:space="0" w:color="auto"/>
            <w:right w:val="none" w:sz="0" w:space="0" w:color="auto"/>
          </w:divBdr>
          <w:divsChild>
            <w:div w:id="1312784197">
              <w:marLeft w:val="0"/>
              <w:marRight w:val="0"/>
              <w:marTop w:val="0"/>
              <w:marBottom w:val="0"/>
              <w:divBdr>
                <w:top w:val="none" w:sz="0" w:space="0" w:color="auto"/>
                <w:left w:val="none" w:sz="0" w:space="0" w:color="auto"/>
                <w:bottom w:val="none" w:sz="0" w:space="0" w:color="auto"/>
                <w:right w:val="none" w:sz="0" w:space="0" w:color="auto"/>
              </w:divBdr>
              <w:divsChild>
                <w:div w:id="9387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157410">
      <w:bodyDiv w:val="1"/>
      <w:marLeft w:val="0"/>
      <w:marRight w:val="0"/>
      <w:marTop w:val="0"/>
      <w:marBottom w:val="0"/>
      <w:divBdr>
        <w:top w:val="none" w:sz="0" w:space="0" w:color="auto"/>
        <w:left w:val="none" w:sz="0" w:space="0" w:color="auto"/>
        <w:bottom w:val="none" w:sz="0" w:space="0" w:color="auto"/>
        <w:right w:val="none" w:sz="0" w:space="0" w:color="auto"/>
      </w:divBdr>
      <w:divsChild>
        <w:div w:id="1404449664">
          <w:marLeft w:val="0"/>
          <w:marRight w:val="0"/>
          <w:marTop w:val="0"/>
          <w:marBottom w:val="0"/>
          <w:divBdr>
            <w:top w:val="none" w:sz="0" w:space="0" w:color="auto"/>
            <w:left w:val="none" w:sz="0" w:space="0" w:color="auto"/>
            <w:bottom w:val="none" w:sz="0" w:space="0" w:color="auto"/>
            <w:right w:val="none" w:sz="0" w:space="0" w:color="auto"/>
          </w:divBdr>
          <w:divsChild>
            <w:div w:id="39594493">
              <w:marLeft w:val="0"/>
              <w:marRight w:val="0"/>
              <w:marTop w:val="0"/>
              <w:marBottom w:val="0"/>
              <w:divBdr>
                <w:top w:val="none" w:sz="0" w:space="0" w:color="auto"/>
                <w:left w:val="none" w:sz="0" w:space="0" w:color="auto"/>
                <w:bottom w:val="none" w:sz="0" w:space="0" w:color="auto"/>
                <w:right w:val="none" w:sz="0" w:space="0" w:color="auto"/>
              </w:divBdr>
              <w:divsChild>
                <w:div w:id="2172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92849">
      <w:bodyDiv w:val="1"/>
      <w:marLeft w:val="0"/>
      <w:marRight w:val="0"/>
      <w:marTop w:val="0"/>
      <w:marBottom w:val="0"/>
      <w:divBdr>
        <w:top w:val="none" w:sz="0" w:space="0" w:color="auto"/>
        <w:left w:val="none" w:sz="0" w:space="0" w:color="auto"/>
        <w:bottom w:val="none" w:sz="0" w:space="0" w:color="auto"/>
        <w:right w:val="none" w:sz="0" w:space="0" w:color="auto"/>
      </w:divBdr>
    </w:div>
    <w:div w:id="1613828401">
      <w:bodyDiv w:val="1"/>
      <w:marLeft w:val="0"/>
      <w:marRight w:val="0"/>
      <w:marTop w:val="0"/>
      <w:marBottom w:val="0"/>
      <w:divBdr>
        <w:top w:val="none" w:sz="0" w:space="0" w:color="auto"/>
        <w:left w:val="none" w:sz="0" w:space="0" w:color="auto"/>
        <w:bottom w:val="none" w:sz="0" w:space="0" w:color="auto"/>
        <w:right w:val="none" w:sz="0" w:space="0" w:color="auto"/>
      </w:divBdr>
      <w:divsChild>
        <w:div w:id="891162571">
          <w:marLeft w:val="0"/>
          <w:marRight w:val="0"/>
          <w:marTop w:val="0"/>
          <w:marBottom w:val="0"/>
          <w:divBdr>
            <w:top w:val="none" w:sz="0" w:space="0" w:color="auto"/>
            <w:left w:val="none" w:sz="0" w:space="0" w:color="auto"/>
            <w:bottom w:val="none" w:sz="0" w:space="0" w:color="auto"/>
            <w:right w:val="none" w:sz="0" w:space="0" w:color="auto"/>
          </w:divBdr>
          <w:divsChild>
            <w:div w:id="124471899">
              <w:marLeft w:val="0"/>
              <w:marRight w:val="0"/>
              <w:marTop w:val="0"/>
              <w:marBottom w:val="0"/>
              <w:divBdr>
                <w:top w:val="none" w:sz="0" w:space="0" w:color="auto"/>
                <w:left w:val="none" w:sz="0" w:space="0" w:color="auto"/>
                <w:bottom w:val="none" w:sz="0" w:space="0" w:color="auto"/>
                <w:right w:val="none" w:sz="0" w:space="0" w:color="auto"/>
              </w:divBdr>
              <w:divsChild>
                <w:div w:id="20973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40932">
      <w:bodyDiv w:val="1"/>
      <w:marLeft w:val="0"/>
      <w:marRight w:val="0"/>
      <w:marTop w:val="0"/>
      <w:marBottom w:val="0"/>
      <w:divBdr>
        <w:top w:val="none" w:sz="0" w:space="0" w:color="auto"/>
        <w:left w:val="none" w:sz="0" w:space="0" w:color="auto"/>
        <w:bottom w:val="none" w:sz="0" w:space="0" w:color="auto"/>
        <w:right w:val="none" w:sz="0" w:space="0" w:color="auto"/>
      </w:divBdr>
      <w:divsChild>
        <w:div w:id="817187267">
          <w:marLeft w:val="0"/>
          <w:marRight w:val="0"/>
          <w:marTop w:val="0"/>
          <w:marBottom w:val="0"/>
          <w:divBdr>
            <w:top w:val="none" w:sz="0" w:space="0" w:color="auto"/>
            <w:left w:val="none" w:sz="0" w:space="0" w:color="auto"/>
            <w:bottom w:val="none" w:sz="0" w:space="0" w:color="auto"/>
            <w:right w:val="none" w:sz="0" w:space="0" w:color="auto"/>
          </w:divBdr>
          <w:divsChild>
            <w:div w:id="554051348">
              <w:marLeft w:val="0"/>
              <w:marRight w:val="0"/>
              <w:marTop w:val="0"/>
              <w:marBottom w:val="0"/>
              <w:divBdr>
                <w:top w:val="none" w:sz="0" w:space="0" w:color="auto"/>
                <w:left w:val="none" w:sz="0" w:space="0" w:color="auto"/>
                <w:bottom w:val="none" w:sz="0" w:space="0" w:color="auto"/>
                <w:right w:val="none" w:sz="0" w:space="0" w:color="auto"/>
              </w:divBdr>
              <w:divsChild>
                <w:div w:id="4776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566788">
      <w:bodyDiv w:val="1"/>
      <w:marLeft w:val="0"/>
      <w:marRight w:val="0"/>
      <w:marTop w:val="0"/>
      <w:marBottom w:val="0"/>
      <w:divBdr>
        <w:top w:val="none" w:sz="0" w:space="0" w:color="auto"/>
        <w:left w:val="none" w:sz="0" w:space="0" w:color="auto"/>
        <w:bottom w:val="none" w:sz="0" w:space="0" w:color="auto"/>
        <w:right w:val="none" w:sz="0" w:space="0" w:color="auto"/>
      </w:divBdr>
      <w:divsChild>
        <w:div w:id="1511721734">
          <w:marLeft w:val="0"/>
          <w:marRight w:val="0"/>
          <w:marTop w:val="0"/>
          <w:marBottom w:val="0"/>
          <w:divBdr>
            <w:top w:val="none" w:sz="0" w:space="0" w:color="auto"/>
            <w:left w:val="none" w:sz="0" w:space="0" w:color="auto"/>
            <w:bottom w:val="none" w:sz="0" w:space="0" w:color="auto"/>
            <w:right w:val="none" w:sz="0" w:space="0" w:color="auto"/>
          </w:divBdr>
          <w:divsChild>
            <w:div w:id="439569776">
              <w:marLeft w:val="0"/>
              <w:marRight w:val="0"/>
              <w:marTop w:val="0"/>
              <w:marBottom w:val="0"/>
              <w:divBdr>
                <w:top w:val="none" w:sz="0" w:space="0" w:color="auto"/>
                <w:left w:val="none" w:sz="0" w:space="0" w:color="auto"/>
                <w:bottom w:val="none" w:sz="0" w:space="0" w:color="auto"/>
                <w:right w:val="none" w:sz="0" w:space="0" w:color="auto"/>
              </w:divBdr>
              <w:divsChild>
                <w:div w:id="1669745980">
                  <w:marLeft w:val="0"/>
                  <w:marRight w:val="0"/>
                  <w:marTop w:val="0"/>
                  <w:marBottom w:val="0"/>
                  <w:divBdr>
                    <w:top w:val="none" w:sz="0" w:space="0" w:color="auto"/>
                    <w:left w:val="none" w:sz="0" w:space="0" w:color="auto"/>
                    <w:bottom w:val="none" w:sz="0" w:space="0" w:color="auto"/>
                    <w:right w:val="none" w:sz="0" w:space="0" w:color="auto"/>
                  </w:divBdr>
                  <w:divsChild>
                    <w:div w:id="194996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80269">
      <w:bodyDiv w:val="1"/>
      <w:marLeft w:val="0"/>
      <w:marRight w:val="0"/>
      <w:marTop w:val="0"/>
      <w:marBottom w:val="0"/>
      <w:divBdr>
        <w:top w:val="none" w:sz="0" w:space="0" w:color="auto"/>
        <w:left w:val="none" w:sz="0" w:space="0" w:color="auto"/>
        <w:bottom w:val="none" w:sz="0" w:space="0" w:color="auto"/>
        <w:right w:val="none" w:sz="0" w:space="0" w:color="auto"/>
      </w:divBdr>
      <w:divsChild>
        <w:div w:id="388765540">
          <w:marLeft w:val="0"/>
          <w:marRight w:val="0"/>
          <w:marTop w:val="0"/>
          <w:marBottom w:val="0"/>
          <w:divBdr>
            <w:top w:val="none" w:sz="0" w:space="0" w:color="auto"/>
            <w:left w:val="none" w:sz="0" w:space="0" w:color="auto"/>
            <w:bottom w:val="none" w:sz="0" w:space="0" w:color="auto"/>
            <w:right w:val="none" w:sz="0" w:space="0" w:color="auto"/>
          </w:divBdr>
          <w:divsChild>
            <w:div w:id="2047870126">
              <w:marLeft w:val="0"/>
              <w:marRight w:val="0"/>
              <w:marTop w:val="0"/>
              <w:marBottom w:val="0"/>
              <w:divBdr>
                <w:top w:val="none" w:sz="0" w:space="0" w:color="auto"/>
                <w:left w:val="none" w:sz="0" w:space="0" w:color="auto"/>
                <w:bottom w:val="none" w:sz="0" w:space="0" w:color="auto"/>
                <w:right w:val="none" w:sz="0" w:space="0" w:color="auto"/>
              </w:divBdr>
              <w:divsChild>
                <w:div w:id="90048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3140">
      <w:bodyDiv w:val="1"/>
      <w:marLeft w:val="0"/>
      <w:marRight w:val="0"/>
      <w:marTop w:val="0"/>
      <w:marBottom w:val="0"/>
      <w:divBdr>
        <w:top w:val="none" w:sz="0" w:space="0" w:color="auto"/>
        <w:left w:val="none" w:sz="0" w:space="0" w:color="auto"/>
        <w:bottom w:val="none" w:sz="0" w:space="0" w:color="auto"/>
        <w:right w:val="none" w:sz="0" w:space="0" w:color="auto"/>
      </w:divBdr>
      <w:divsChild>
        <w:div w:id="431171072">
          <w:marLeft w:val="0"/>
          <w:marRight w:val="0"/>
          <w:marTop w:val="0"/>
          <w:marBottom w:val="0"/>
          <w:divBdr>
            <w:top w:val="none" w:sz="0" w:space="0" w:color="auto"/>
            <w:left w:val="none" w:sz="0" w:space="0" w:color="auto"/>
            <w:bottom w:val="none" w:sz="0" w:space="0" w:color="auto"/>
            <w:right w:val="none" w:sz="0" w:space="0" w:color="auto"/>
          </w:divBdr>
          <w:divsChild>
            <w:div w:id="1560743551">
              <w:marLeft w:val="0"/>
              <w:marRight w:val="0"/>
              <w:marTop w:val="0"/>
              <w:marBottom w:val="0"/>
              <w:divBdr>
                <w:top w:val="none" w:sz="0" w:space="0" w:color="auto"/>
                <w:left w:val="none" w:sz="0" w:space="0" w:color="auto"/>
                <w:bottom w:val="none" w:sz="0" w:space="0" w:color="auto"/>
                <w:right w:val="none" w:sz="0" w:space="0" w:color="auto"/>
              </w:divBdr>
              <w:divsChild>
                <w:div w:id="20966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130099">
      <w:bodyDiv w:val="1"/>
      <w:marLeft w:val="0"/>
      <w:marRight w:val="0"/>
      <w:marTop w:val="0"/>
      <w:marBottom w:val="0"/>
      <w:divBdr>
        <w:top w:val="none" w:sz="0" w:space="0" w:color="auto"/>
        <w:left w:val="none" w:sz="0" w:space="0" w:color="auto"/>
        <w:bottom w:val="none" w:sz="0" w:space="0" w:color="auto"/>
        <w:right w:val="none" w:sz="0" w:space="0" w:color="auto"/>
      </w:divBdr>
      <w:divsChild>
        <w:div w:id="2134902296">
          <w:marLeft w:val="0"/>
          <w:marRight w:val="0"/>
          <w:marTop w:val="0"/>
          <w:marBottom w:val="0"/>
          <w:divBdr>
            <w:top w:val="none" w:sz="0" w:space="0" w:color="auto"/>
            <w:left w:val="none" w:sz="0" w:space="0" w:color="auto"/>
            <w:bottom w:val="none" w:sz="0" w:space="0" w:color="auto"/>
            <w:right w:val="none" w:sz="0" w:space="0" w:color="auto"/>
          </w:divBdr>
          <w:divsChild>
            <w:div w:id="1600596531">
              <w:marLeft w:val="0"/>
              <w:marRight w:val="0"/>
              <w:marTop w:val="0"/>
              <w:marBottom w:val="0"/>
              <w:divBdr>
                <w:top w:val="none" w:sz="0" w:space="0" w:color="auto"/>
                <w:left w:val="none" w:sz="0" w:space="0" w:color="auto"/>
                <w:bottom w:val="none" w:sz="0" w:space="0" w:color="auto"/>
                <w:right w:val="none" w:sz="0" w:space="0" w:color="auto"/>
              </w:divBdr>
              <w:divsChild>
                <w:div w:id="12412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27160">
      <w:bodyDiv w:val="1"/>
      <w:marLeft w:val="0"/>
      <w:marRight w:val="0"/>
      <w:marTop w:val="0"/>
      <w:marBottom w:val="0"/>
      <w:divBdr>
        <w:top w:val="none" w:sz="0" w:space="0" w:color="auto"/>
        <w:left w:val="none" w:sz="0" w:space="0" w:color="auto"/>
        <w:bottom w:val="none" w:sz="0" w:space="0" w:color="auto"/>
        <w:right w:val="none" w:sz="0" w:space="0" w:color="auto"/>
      </w:divBdr>
    </w:div>
    <w:div w:id="1645769502">
      <w:bodyDiv w:val="1"/>
      <w:marLeft w:val="0"/>
      <w:marRight w:val="0"/>
      <w:marTop w:val="0"/>
      <w:marBottom w:val="0"/>
      <w:divBdr>
        <w:top w:val="none" w:sz="0" w:space="0" w:color="auto"/>
        <w:left w:val="none" w:sz="0" w:space="0" w:color="auto"/>
        <w:bottom w:val="none" w:sz="0" w:space="0" w:color="auto"/>
        <w:right w:val="none" w:sz="0" w:space="0" w:color="auto"/>
      </w:divBdr>
      <w:divsChild>
        <w:div w:id="575438639">
          <w:marLeft w:val="0"/>
          <w:marRight w:val="0"/>
          <w:marTop w:val="0"/>
          <w:marBottom w:val="0"/>
          <w:divBdr>
            <w:top w:val="none" w:sz="0" w:space="0" w:color="auto"/>
            <w:left w:val="none" w:sz="0" w:space="0" w:color="auto"/>
            <w:bottom w:val="none" w:sz="0" w:space="0" w:color="auto"/>
            <w:right w:val="none" w:sz="0" w:space="0" w:color="auto"/>
          </w:divBdr>
          <w:divsChild>
            <w:div w:id="1169448657">
              <w:marLeft w:val="0"/>
              <w:marRight w:val="0"/>
              <w:marTop w:val="0"/>
              <w:marBottom w:val="0"/>
              <w:divBdr>
                <w:top w:val="none" w:sz="0" w:space="0" w:color="auto"/>
                <w:left w:val="none" w:sz="0" w:space="0" w:color="auto"/>
                <w:bottom w:val="none" w:sz="0" w:space="0" w:color="auto"/>
                <w:right w:val="none" w:sz="0" w:space="0" w:color="auto"/>
              </w:divBdr>
              <w:divsChild>
                <w:div w:id="2015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91507">
      <w:bodyDiv w:val="1"/>
      <w:marLeft w:val="0"/>
      <w:marRight w:val="0"/>
      <w:marTop w:val="0"/>
      <w:marBottom w:val="0"/>
      <w:divBdr>
        <w:top w:val="none" w:sz="0" w:space="0" w:color="auto"/>
        <w:left w:val="none" w:sz="0" w:space="0" w:color="auto"/>
        <w:bottom w:val="none" w:sz="0" w:space="0" w:color="auto"/>
        <w:right w:val="none" w:sz="0" w:space="0" w:color="auto"/>
      </w:divBdr>
      <w:divsChild>
        <w:div w:id="1335181993">
          <w:marLeft w:val="0"/>
          <w:marRight w:val="0"/>
          <w:marTop w:val="0"/>
          <w:marBottom w:val="0"/>
          <w:divBdr>
            <w:top w:val="none" w:sz="0" w:space="0" w:color="auto"/>
            <w:left w:val="none" w:sz="0" w:space="0" w:color="auto"/>
            <w:bottom w:val="none" w:sz="0" w:space="0" w:color="auto"/>
            <w:right w:val="none" w:sz="0" w:space="0" w:color="auto"/>
          </w:divBdr>
          <w:divsChild>
            <w:div w:id="1807508072">
              <w:marLeft w:val="0"/>
              <w:marRight w:val="0"/>
              <w:marTop w:val="0"/>
              <w:marBottom w:val="0"/>
              <w:divBdr>
                <w:top w:val="none" w:sz="0" w:space="0" w:color="auto"/>
                <w:left w:val="none" w:sz="0" w:space="0" w:color="auto"/>
                <w:bottom w:val="none" w:sz="0" w:space="0" w:color="auto"/>
                <w:right w:val="none" w:sz="0" w:space="0" w:color="auto"/>
              </w:divBdr>
              <w:divsChild>
                <w:div w:id="64062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05578">
      <w:bodyDiv w:val="1"/>
      <w:marLeft w:val="0"/>
      <w:marRight w:val="0"/>
      <w:marTop w:val="0"/>
      <w:marBottom w:val="0"/>
      <w:divBdr>
        <w:top w:val="none" w:sz="0" w:space="0" w:color="auto"/>
        <w:left w:val="none" w:sz="0" w:space="0" w:color="auto"/>
        <w:bottom w:val="none" w:sz="0" w:space="0" w:color="auto"/>
        <w:right w:val="none" w:sz="0" w:space="0" w:color="auto"/>
      </w:divBdr>
      <w:divsChild>
        <w:div w:id="2075154577">
          <w:marLeft w:val="0"/>
          <w:marRight w:val="0"/>
          <w:marTop w:val="0"/>
          <w:marBottom w:val="0"/>
          <w:divBdr>
            <w:top w:val="none" w:sz="0" w:space="0" w:color="auto"/>
            <w:left w:val="none" w:sz="0" w:space="0" w:color="auto"/>
            <w:bottom w:val="none" w:sz="0" w:space="0" w:color="auto"/>
            <w:right w:val="none" w:sz="0" w:space="0" w:color="auto"/>
          </w:divBdr>
          <w:divsChild>
            <w:div w:id="2007054773">
              <w:marLeft w:val="0"/>
              <w:marRight w:val="0"/>
              <w:marTop w:val="0"/>
              <w:marBottom w:val="0"/>
              <w:divBdr>
                <w:top w:val="none" w:sz="0" w:space="0" w:color="auto"/>
                <w:left w:val="none" w:sz="0" w:space="0" w:color="auto"/>
                <w:bottom w:val="none" w:sz="0" w:space="0" w:color="auto"/>
                <w:right w:val="none" w:sz="0" w:space="0" w:color="auto"/>
              </w:divBdr>
              <w:divsChild>
                <w:div w:id="2130586850">
                  <w:marLeft w:val="0"/>
                  <w:marRight w:val="0"/>
                  <w:marTop w:val="0"/>
                  <w:marBottom w:val="0"/>
                  <w:divBdr>
                    <w:top w:val="none" w:sz="0" w:space="0" w:color="auto"/>
                    <w:left w:val="none" w:sz="0" w:space="0" w:color="auto"/>
                    <w:bottom w:val="none" w:sz="0" w:space="0" w:color="auto"/>
                    <w:right w:val="none" w:sz="0" w:space="0" w:color="auto"/>
                  </w:divBdr>
                  <w:divsChild>
                    <w:div w:id="13433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174163">
      <w:bodyDiv w:val="1"/>
      <w:marLeft w:val="0"/>
      <w:marRight w:val="0"/>
      <w:marTop w:val="0"/>
      <w:marBottom w:val="0"/>
      <w:divBdr>
        <w:top w:val="none" w:sz="0" w:space="0" w:color="auto"/>
        <w:left w:val="none" w:sz="0" w:space="0" w:color="auto"/>
        <w:bottom w:val="none" w:sz="0" w:space="0" w:color="auto"/>
        <w:right w:val="none" w:sz="0" w:space="0" w:color="auto"/>
      </w:divBdr>
      <w:divsChild>
        <w:div w:id="697852183">
          <w:marLeft w:val="0"/>
          <w:marRight w:val="0"/>
          <w:marTop w:val="0"/>
          <w:marBottom w:val="0"/>
          <w:divBdr>
            <w:top w:val="none" w:sz="0" w:space="0" w:color="auto"/>
            <w:left w:val="none" w:sz="0" w:space="0" w:color="auto"/>
            <w:bottom w:val="none" w:sz="0" w:space="0" w:color="auto"/>
            <w:right w:val="none" w:sz="0" w:space="0" w:color="auto"/>
          </w:divBdr>
          <w:divsChild>
            <w:div w:id="1206719640">
              <w:marLeft w:val="0"/>
              <w:marRight w:val="0"/>
              <w:marTop w:val="0"/>
              <w:marBottom w:val="0"/>
              <w:divBdr>
                <w:top w:val="none" w:sz="0" w:space="0" w:color="auto"/>
                <w:left w:val="none" w:sz="0" w:space="0" w:color="auto"/>
                <w:bottom w:val="none" w:sz="0" w:space="0" w:color="auto"/>
                <w:right w:val="none" w:sz="0" w:space="0" w:color="auto"/>
              </w:divBdr>
              <w:divsChild>
                <w:div w:id="192611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3265">
      <w:bodyDiv w:val="1"/>
      <w:marLeft w:val="0"/>
      <w:marRight w:val="0"/>
      <w:marTop w:val="0"/>
      <w:marBottom w:val="0"/>
      <w:divBdr>
        <w:top w:val="none" w:sz="0" w:space="0" w:color="auto"/>
        <w:left w:val="none" w:sz="0" w:space="0" w:color="auto"/>
        <w:bottom w:val="none" w:sz="0" w:space="0" w:color="auto"/>
        <w:right w:val="none" w:sz="0" w:space="0" w:color="auto"/>
      </w:divBdr>
      <w:divsChild>
        <w:div w:id="58484596">
          <w:marLeft w:val="0"/>
          <w:marRight w:val="0"/>
          <w:marTop w:val="0"/>
          <w:marBottom w:val="0"/>
          <w:divBdr>
            <w:top w:val="none" w:sz="0" w:space="0" w:color="auto"/>
            <w:left w:val="none" w:sz="0" w:space="0" w:color="auto"/>
            <w:bottom w:val="none" w:sz="0" w:space="0" w:color="auto"/>
            <w:right w:val="none" w:sz="0" w:space="0" w:color="auto"/>
          </w:divBdr>
          <w:divsChild>
            <w:div w:id="462584143">
              <w:marLeft w:val="0"/>
              <w:marRight w:val="0"/>
              <w:marTop w:val="0"/>
              <w:marBottom w:val="0"/>
              <w:divBdr>
                <w:top w:val="none" w:sz="0" w:space="0" w:color="auto"/>
                <w:left w:val="none" w:sz="0" w:space="0" w:color="auto"/>
                <w:bottom w:val="none" w:sz="0" w:space="0" w:color="auto"/>
                <w:right w:val="none" w:sz="0" w:space="0" w:color="auto"/>
              </w:divBdr>
              <w:divsChild>
                <w:div w:id="59051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60053">
      <w:bodyDiv w:val="1"/>
      <w:marLeft w:val="0"/>
      <w:marRight w:val="0"/>
      <w:marTop w:val="0"/>
      <w:marBottom w:val="0"/>
      <w:divBdr>
        <w:top w:val="none" w:sz="0" w:space="0" w:color="auto"/>
        <w:left w:val="none" w:sz="0" w:space="0" w:color="auto"/>
        <w:bottom w:val="none" w:sz="0" w:space="0" w:color="auto"/>
        <w:right w:val="none" w:sz="0" w:space="0" w:color="auto"/>
      </w:divBdr>
      <w:divsChild>
        <w:div w:id="900023979">
          <w:marLeft w:val="0"/>
          <w:marRight w:val="0"/>
          <w:marTop w:val="0"/>
          <w:marBottom w:val="0"/>
          <w:divBdr>
            <w:top w:val="none" w:sz="0" w:space="0" w:color="auto"/>
            <w:left w:val="none" w:sz="0" w:space="0" w:color="auto"/>
            <w:bottom w:val="none" w:sz="0" w:space="0" w:color="auto"/>
            <w:right w:val="none" w:sz="0" w:space="0" w:color="auto"/>
          </w:divBdr>
          <w:divsChild>
            <w:div w:id="1241066047">
              <w:marLeft w:val="0"/>
              <w:marRight w:val="0"/>
              <w:marTop w:val="0"/>
              <w:marBottom w:val="0"/>
              <w:divBdr>
                <w:top w:val="none" w:sz="0" w:space="0" w:color="auto"/>
                <w:left w:val="none" w:sz="0" w:space="0" w:color="auto"/>
                <w:bottom w:val="none" w:sz="0" w:space="0" w:color="auto"/>
                <w:right w:val="none" w:sz="0" w:space="0" w:color="auto"/>
              </w:divBdr>
              <w:divsChild>
                <w:div w:id="1008144510">
                  <w:marLeft w:val="0"/>
                  <w:marRight w:val="0"/>
                  <w:marTop w:val="0"/>
                  <w:marBottom w:val="0"/>
                  <w:divBdr>
                    <w:top w:val="none" w:sz="0" w:space="0" w:color="auto"/>
                    <w:left w:val="none" w:sz="0" w:space="0" w:color="auto"/>
                    <w:bottom w:val="none" w:sz="0" w:space="0" w:color="auto"/>
                    <w:right w:val="none" w:sz="0" w:space="0" w:color="auto"/>
                  </w:divBdr>
                  <w:divsChild>
                    <w:div w:id="12330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96558">
          <w:marLeft w:val="0"/>
          <w:marRight w:val="0"/>
          <w:marTop w:val="0"/>
          <w:marBottom w:val="0"/>
          <w:divBdr>
            <w:top w:val="none" w:sz="0" w:space="0" w:color="auto"/>
            <w:left w:val="none" w:sz="0" w:space="0" w:color="auto"/>
            <w:bottom w:val="none" w:sz="0" w:space="0" w:color="auto"/>
            <w:right w:val="none" w:sz="0" w:space="0" w:color="auto"/>
          </w:divBdr>
          <w:divsChild>
            <w:div w:id="951479302">
              <w:marLeft w:val="0"/>
              <w:marRight w:val="0"/>
              <w:marTop w:val="0"/>
              <w:marBottom w:val="0"/>
              <w:divBdr>
                <w:top w:val="none" w:sz="0" w:space="0" w:color="auto"/>
                <w:left w:val="none" w:sz="0" w:space="0" w:color="auto"/>
                <w:bottom w:val="none" w:sz="0" w:space="0" w:color="auto"/>
                <w:right w:val="none" w:sz="0" w:space="0" w:color="auto"/>
              </w:divBdr>
              <w:divsChild>
                <w:div w:id="1901284168">
                  <w:marLeft w:val="0"/>
                  <w:marRight w:val="0"/>
                  <w:marTop w:val="0"/>
                  <w:marBottom w:val="0"/>
                  <w:divBdr>
                    <w:top w:val="none" w:sz="0" w:space="0" w:color="auto"/>
                    <w:left w:val="none" w:sz="0" w:space="0" w:color="auto"/>
                    <w:bottom w:val="none" w:sz="0" w:space="0" w:color="auto"/>
                    <w:right w:val="none" w:sz="0" w:space="0" w:color="auto"/>
                  </w:divBdr>
                  <w:divsChild>
                    <w:div w:id="102066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66648">
      <w:bodyDiv w:val="1"/>
      <w:marLeft w:val="0"/>
      <w:marRight w:val="0"/>
      <w:marTop w:val="0"/>
      <w:marBottom w:val="0"/>
      <w:divBdr>
        <w:top w:val="none" w:sz="0" w:space="0" w:color="auto"/>
        <w:left w:val="none" w:sz="0" w:space="0" w:color="auto"/>
        <w:bottom w:val="none" w:sz="0" w:space="0" w:color="auto"/>
        <w:right w:val="none" w:sz="0" w:space="0" w:color="auto"/>
      </w:divBdr>
      <w:divsChild>
        <w:div w:id="1602837840">
          <w:marLeft w:val="0"/>
          <w:marRight w:val="0"/>
          <w:marTop w:val="0"/>
          <w:marBottom w:val="0"/>
          <w:divBdr>
            <w:top w:val="none" w:sz="0" w:space="0" w:color="auto"/>
            <w:left w:val="none" w:sz="0" w:space="0" w:color="auto"/>
            <w:bottom w:val="none" w:sz="0" w:space="0" w:color="auto"/>
            <w:right w:val="none" w:sz="0" w:space="0" w:color="auto"/>
          </w:divBdr>
        </w:div>
      </w:divsChild>
    </w:div>
    <w:div w:id="1660956706">
      <w:bodyDiv w:val="1"/>
      <w:marLeft w:val="0"/>
      <w:marRight w:val="0"/>
      <w:marTop w:val="0"/>
      <w:marBottom w:val="0"/>
      <w:divBdr>
        <w:top w:val="none" w:sz="0" w:space="0" w:color="auto"/>
        <w:left w:val="none" w:sz="0" w:space="0" w:color="auto"/>
        <w:bottom w:val="none" w:sz="0" w:space="0" w:color="auto"/>
        <w:right w:val="none" w:sz="0" w:space="0" w:color="auto"/>
      </w:divBdr>
      <w:divsChild>
        <w:div w:id="941954642">
          <w:marLeft w:val="0"/>
          <w:marRight w:val="0"/>
          <w:marTop w:val="0"/>
          <w:marBottom w:val="0"/>
          <w:divBdr>
            <w:top w:val="none" w:sz="0" w:space="0" w:color="auto"/>
            <w:left w:val="none" w:sz="0" w:space="0" w:color="auto"/>
            <w:bottom w:val="none" w:sz="0" w:space="0" w:color="auto"/>
            <w:right w:val="none" w:sz="0" w:space="0" w:color="auto"/>
          </w:divBdr>
          <w:divsChild>
            <w:div w:id="685641987">
              <w:marLeft w:val="0"/>
              <w:marRight w:val="0"/>
              <w:marTop w:val="0"/>
              <w:marBottom w:val="0"/>
              <w:divBdr>
                <w:top w:val="none" w:sz="0" w:space="0" w:color="auto"/>
                <w:left w:val="none" w:sz="0" w:space="0" w:color="auto"/>
                <w:bottom w:val="none" w:sz="0" w:space="0" w:color="auto"/>
                <w:right w:val="none" w:sz="0" w:space="0" w:color="auto"/>
              </w:divBdr>
              <w:divsChild>
                <w:div w:id="1323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616507">
      <w:bodyDiv w:val="1"/>
      <w:marLeft w:val="0"/>
      <w:marRight w:val="0"/>
      <w:marTop w:val="0"/>
      <w:marBottom w:val="0"/>
      <w:divBdr>
        <w:top w:val="none" w:sz="0" w:space="0" w:color="auto"/>
        <w:left w:val="none" w:sz="0" w:space="0" w:color="auto"/>
        <w:bottom w:val="none" w:sz="0" w:space="0" w:color="auto"/>
        <w:right w:val="none" w:sz="0" w:space="0" w:color="auto"/>
      </w:divBdr>
      <w:divsChild>
        <w:div w:id="439688133">
          <w:marLeft w:val="0"/>
          <w:marRight w:val="0"/>
          <w:marTop w:val="0"/>
          <w:marBottom w:val="0"/>
          <w:divBdr>
            <w:top w:val="none" w:sz="0" w:space="0" w:color="auto"/>
            <w:left w:val="none" w:sz="0" w:space="0" w:color="auto"/>
            <w:bottom w:val="none" w:sz="0" w:space="0" w:color="auto"/>
            <w:right w:val="none" w:sz="0" w:space="0" w:color="auto"/>
          </w:divBdr>
          <w:divsChild>
            <w:div w:id="1381637249">
              <w:marLeft w:val="0"/>
              <w:marRight w:val="0"/>
              <w:marTop w:val="0"/>
              <w:marBottom w:val="0"/>
              <w:divBdr>
                <w:top w:val="none" w:sz="0" w:space="0" w:color="auto"/>
                <w:left w:val="none" w:sz="0" w:space="0" w:color="auto"/>
                <w:bottom w:val="none" w:sz="0" w:space="0" w:color="auto"/>
                <w:right w:val="none" w:sz="0" w:space="0" w:color="auto"/>
              </w:divBdr>
              <w:divsChild>
                <w:div w:id="392387259">
                  <w:marLeft w:val="0"/>
                  <w:marRight w:val="0"/>
                  <w:marTop w:val="0"/>
                  <w:marBottom w:val="0"/>
                  <w:divBdr>
                    <w:top w:val="none" w:sz="0" w:space="0" w:color="auto"/>
                    <w:left w:val="none" w:sz="0" w:space="0" w:color="auto"/>
                    <w:bottom w:val="none" w:sz="0" w:space="0" w:color="auto"/>
                    <w:right w:val="none" w:sz="0" w:space="0" w:color="auto"/>
                  </w:divBdr>
                  <w:divsChild>
                    <w:div w:id="13540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587239">
      <w:bodyDiv w:val="1"/>
      <w:marLeft w:val="0"/>
      <w:marRight w:val="0"/>
      <w:marTop w:val="0"/>
      <w:marBottom w:val="0"/>
      <w:divBdr>
        <w:top w:val="none" w:sz="0" w:space="0" w:color="auto"/>
        <w:left w:val="none" w:sz="0" w:space="0" w:color="auto"/>
        <w:bottom w:val="none" w:sz="0" w:space="0" w:color="auto"/>
        <w:right w:val="none" w:sz="0" w:space="0" w:color="auto"/>
      </w:divBdr>
    </w:div>
    <w:div w:id="1665740557">
      <w:bodyDiv w:val="1"/>
      <w:marLeft w:val="0"/>
      <w:marRight w:val="0"/>
      <w:marTop w:val="0"/>
      <w:marBottom w:val="0"/>
      <w:divBdr>
        <w:top w:val="none" w:sz="0" w:space="0" w:color="auto"/>
        <w:left w:val="none" w:sz="0" w:space="0" w:color="auto"/>
        <w:bottom w:val="none" w:sz="0" w:space="0" w:color="auto"/>
        <w:right w:val="none" w:sz="0" w:space="0" w:color="auto"/>
      </w:divBdr>
      <w:divsChild>
        <w:div w:id="2066179108">
          <w:marLeft w:val="0"/>
          <w:marRight w:val="0"/>
          <w:marTop w:val="0"/>
          <w:marBottom w:val="0"/>
          <w:divBdr>
            <w:top w:val="none" w:sz="0" w:space="0" w:color="auto"/>
            <w:left w:val="none" w:sz="0" w:space="0" w:color="auto"/>
            <w:bottom w:val="none" w:sz="0" w:space="0" w:color="auto"/>
            <w:right w:val="none" w:sz="0" w:space="0" w:color="auto"/>
          </w:divBdr>
          <w:divsChild>
            <w:div w:id="1245650295">
              <w:marLeft w:val="0"/>
              <w:marRight w:val="0"/>
              <w:marTop w:val="0"/>
              <w:marBottom w:val="0"/>
              <w:divBdr>
                <w:top w:val="none" w:sz="0" w:space="0" w:color="auto"/>
                <w:left w:val="none" w:sz="0" w:space="0" w:color="auto"/>
                <w:bottom w:val="none" w:sz="0" w:space="0" w:color="auto"/>
                <w:right w:val="none" w:sz="0" w:space="0" w:color="auto"/>
              </w:divBdr>
              <w:divsChild>
                <w:div w:id="5861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743563">
      <w:bodyDiv w:val="1"/>
      <w:marLeft w:val="0"/>
      <w:marRight w:val="0"/>
      <w:marTop w:val="0"/>
      <w:marBottom w:val="0"/>
      <w:divBdr>
        <w:top w:val="none" w:sz="0" w:space="0" w:color="auto"/>
        <w:left w:val="none" w:sz="0" w:space="0" w:color="auto"/>
        <w:bottom w:val="none" w:sz="0" w:space="0" w:color="auto"/>
        <w:right w:val="none" w:sz="0" w:space="0" w:color="auto"/>
      </w:divBdr>
      <w:divsChild>
        <w:div w:id="1705593887">
          <w:marLeft w:val="0"/>
          <w:marRight w:val="0"/>
          <w:marTop w:val="0"/>
          <w:marBottom w:val="0"/>
          <w:divBdr>
            <w:top w:val="none" w:sz="0" w:space="0" w:color="auto"/>
            <w:left w:val="none" w:sz="0" w:space="0" w:color="auto"/>
            <w:bottom w:val="none" w:sz="0" w:space="0" w:color="auto"/>
            <w:right w:val="none" w:sz="0" w:space="0" w:color="auto"/>
          </w:divBdr>
          <w:divsChild>
            <w:div w:id="1252935004">
              <w:marLeft w:val="0"/>
              <w:marRight w:val="0"/>
              <w:marTop w:val="0"/>
              <w:marBottom w:val="0"/>
              <w:divBdr>
                <w:top w:val="none" w:sz="0" w:space="0" w:color="auto"/>
                <w:left w:val="none" w:sz="0" w:space="0" w:color="auto"/>
                <w:bottom w:val="none" w:sz="0" w:space="0" w:color="auto"/>
                <w:right w:val="none" w:sz="0" w:space="0" w:color="auto"/>
              </w:divBdr>
              <w:divsChild>
                <w:div w:id="129282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78306">
      <w:bodyDiv w:val="1"/>
      <w:marLeft w:val="0"/>
      <w:marRight w:val="0"/>
      <w:marTop w:val="0"/>
      <w:marBottom w:val="0"/>
      <w:divBdr>
        <w:top w:val="none" w:sz="0" w:space="0" w:color="auto"/>
        <w:left w:val="none" w:sz="0" w:space="0" w:color="auto"/>
        <w:bottom w:val="none" w:sz="0" w:space="0" w:color="auto"/>
        <w:right w:val="none" w:sz="0" w:space="0" w:color="auto"/>
      </w:divBdr>
      <w:divsChild>
        <w:div w:id="2062631002">
          <w:marLeft w:val="0"/>
          <w:marRight w:val="0"/>
          <w:marTop w:val="0"/>
          <w:marBottom w:val="0"/>
          <w:divBdr>
            <w:top w:val="none" w:sz="0" w:space="0" w:color="auto"/>
            <w:left w:val="none" w:sz="0" w:space="0" w:color="auto"/>
            <w:bottom w:val="none" w:sz="0" w:space="0" w:color="auto"/>
            <w:right w:val="none" w:sz="0" w:space="0" w:color="auto"/>
          </w:divBdr>
          <w:divsChild>
            <w:div w:id="1424573027">
              <w:marLeft w:val="0"/>
              <w:marRight w:val="0"/>
              <w:marTop w:val="0"/>
              <w:marBottom w:val="0"/>
              <w:divBdr>
                <w:top w:val="none" w:sz="0" w:space="0" w:color="auto"/>
                <w:left w:val="none" w:sz="0" w:space="0" w:color="auto"/>
                <w:bottom w:val="none" w:sz="0" w:space="0" w:color="auto"/>
                <w:right w:val="none" w:sz="0" w:space="0" w:color="auto"/>
              </w:divBdr>
              <w:divsChild>
                <w:div w:id="1701010654">
                  <w:marLeft w:val="0"/>
                  <w:marRight w:val="0"/>
                  <w:marTop w:val="0"/>
                  <w:marBottom w:val="0"/>
                  <w:divBdr>
                    <w:top w:val="none" w:sz="0" w:space="0" w:color="auto"/>
                    <w:left w:val="none" w:sz="0" w:space="0" w:color="auto"/>
                    <w:bottom w:val="none" w:sz="0" w:space="0" w:color="auto"/>
                    <w:right w:val="none" w:sz="0" w:space="0" w:color="auto"/>
                  </w:divBdr>
                  <w:divsChild>
                    <w:div w:id="52803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5388">
      <w:bodyDiv w:val="1"/>
      <w:marLeft w:val="0"/>
      <w:marRight w:val="0"/>
      <w:marTop w:val="0"/>
      <w:marBottom w:val="0"/>
      <w:divBdr>
        <w:top w:val="none" w:sz="0" w:space="0" w:color="auto"/>
        <w:left w:val="none" w:sz="0" w:space="0" w:color="auto"/>
        <w:bottom w:val="none" w:sz="0" w:space="0" w:color="auto"/>
        <w:right w:val="none" w:sz="0" w:space="0" w:color="auto"/>
      </w:divBdr>
      <w:divsChild>
        <w:div w:id="2058049441">
          <w:marLeft w:val="0"/>
          <w:marRight w:val="0"/>
          <w:marTop w:val="0"/>
          <w:marBottom w:val="0"/>
          <w:divBdr>
            <w:top w:val="none" w:sz="0" w:space="0" w:color="auto"/>
            <w:left w:val="none" w:sz="0" w:space="0" w:color="auto"/>
            <w:bottom w:val="none" w:sz="0" w:space="0" w:color="auto"/>
            <w:right w:val="none" w:sz="0" w:space="0" w:color="auto"/>
          </w:divBdr>
          <w:divsChild>
            <w:div w:id="760103173">
              <w:marLeft w:val="0"/>
              <w:marRight w:val="0"/>
              <w:marTop w:val="0"/>
              <w:marBottom w:val="0"/>
              <w:divBdr>
                <w:top w:val="none" w:sz="0" w:space="0" w:color="auto"/>
                <w:left w:val="none" w:sz="0" w:space="0" w:color="auto"/>
                <w:bottom w:val="none" w:sz="0" w:space="0" w:color="auto"/>
                <w:right w:val="none" w:sz="0" w:space="0" w:color="auto"/>
              </w:divBdr>
              <w:divsChild>
                <w:div w:id="837698559">
                  <w:marLeft w:val="0"/>
                  <w:marRight w:val="0"/>
                  <w:marTop w:val="0"/>
                  <w:marBottom w:val="0"/>
                  <w:divBdr>
                    <w:top w:val="none" w:sz="0" w:space="0" w:color="auto"/>
                    <w:left w:val="none" w:sz="0" w:space="0" w:color="auto"/>
                    <w:bottom w:val="none" w:sz="0" w:space="0" w:color="auto"/>
                    <w:right w:val="none" w:sz="0" w:space="0" w:color="auto"/>
                  </w:divBdr>
                  <w:divsChild>
                    <w:div w:id="11914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075972">
      <w:bodyDiv w:val="1"/>
      <w:marLeft w:val="0"/>
      <w:marRight w:val="0"/>
      <w:marTop w:val="0"/>
      <w:marBottom w:val="0"/>
      <w:divBdr>
        <w:top w:val="none" w:sz="0" w:space="0" w:color="auto"/>
        <w:left w:val="none" w:sz="0" w:space="0" w:color="auto"/>
        <w:bottom w:val="none" w:sz="0" w:space="0" w:color="auto"/>
        <w:right w:val="none" w:sz="0" w:space="0" w:color="auto"/>
      </w:divBdr>
      <w:divsChild>
        <w:div w:id="483669268">
          <w:marLeft w:val="0"/>
          <w:marRight w:val="0"/>
          <w:marTop w:val="0"/>
          <w:marBottom w:val="0"/>
          <w:divBdr>
            <w:top w:val="none" w:sz="0" w:space="0" w:color="auto"/>
            <w:left w:val="none" w:sz="0" w:space="0" w:color="auto"/>
            <w:bottom w:val="none" w:sz="0" w:space="0" w:color="auto"/>
            <w:right w:val="none" w:sz="0" w:space="0" w:color="auto"/>
          </w:divBdr>
          <w:divsChild>
            <w:div w:id="2009167257">
              <w:marLeft w:val="0"/>
              <w:marRight w:val="0"/>
              <w:marTop w:val="0"/>
              <w:marBottom w:val="0"/>
              <w:divBdr>
                <w:top w:val="none" w:sz="0" w:space="0" w:color="auto"/>
                <w:left w:val="none" w:sz="0" w:space="0" w:color="auto"/>
                <w:bottom w:val="none" w:sz="0" w:space="0" w:color="auto"/>
                <w:right w:val="none" w:sz="0" w:space="0" w:color="auto"/>
              </w:divBdr>
              <w:divsChild>
                <w:div w:id="999230992">
                  <w:marLeft w:val="0"/>
                  <w:marRight w:val="0"/>
                  <w:marTop w:val="0"/>
                  <w:marBottom w:val="0"/>
                  <w:divBdr>
                    <w:top w:val="none" w:sz="0" w:space="0" w:color="auto"/>
                    <w:left w:val="none" w:sz="0" w:space="0" w:color="auto"/>
                    <w:bottom w:val="none" w:sz="0" w:space="0" w:color="auto"/>
                    <w:right w:val="none" w:sz="0" w:space="0" w:color="auto"/>
                  </w:divBdr>
                  <w:divsChild>
                    <w:div w:id="16540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94059">
      <w:bodyDiv w:val="1"/>
      <w:marLeft w:val="0"/>
      <w:marRight w:val="0"/>
      <w:marTop w:val="0"/>
      <w:marBottom w:val="0"/>
      <w:divBdr>
        <w:top w:val="none" w:sz="0" w:space="0" w:color="auto"/>
        <w:left w:val="none" w:sz="0" w:space="0" w:color="auto"/>
        <w:bottom w:val="none" w:sz="0" w:space="0" w:color="auto"/>
        <w:right w:val="none" w:sz="0" w:space="0" w:color="auto"/>
      </w:divBdr>
      <w:divsChild>
        <w:div w:id="1134131585">
          <w:marLeft w:val="0"/>
          <w:marRight w:val="0"/>
          <w:marTop w:val="0"/>
          <w:marBottom w:val="0"/>
          <w:divBdr>
            <w:top w:val="none" w:sz="0" w:space="0" w:color="auto"/>
            <w:left w:val="none" w:sz="0" w:space="0" w:color="auto"/>
            <w:bottom w:val="none" w:sz="0" w:space="0" w:color="auto"/>
            <w:right w:val="none" w:sz="0" w:space="0" w:color="auto"/>
          </w:divBdr>
          <w:divsChild>
            <w:div w:id="878393426">
              <w:marLeft w:val="0"/>
              <w:marRight w:val="0"/>
              <w:marTop w:val="0"/>
              <w:marBottom w:val="0"/>
              <w:divBdr>
                <w:top w:val="none" w:sz="0" w:space="0" w:color="auto"/>
                <w:left w:val="none" w:sz="0" w:space="0" w:color="auto"/>
                <w:bottom w:val="none" w:sz="0" w:space="0" w:color="auto"/>
                <w:right w:val="none" w:sz="0" w:space="0" w:color="auto"/>
              </w:divBdr>
              <w:divsChild>
                <w:div w:id="7152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085383">
      <w:bodyDiv w:val="1"/>
      <w:marLeft w:val="0"/>
      <w:marRight w:val="0"/>
      <w:marTop w:val="0"/>
      <w:marBottom w:val="0"/>
      <w:divBdr>
        <w:top w:val="none" w:sz="0" w:space="0" w:color="auto"/>
        <w:left w:val="none" w:sz="0" w:space="0" w:color="auto"/>
        <w:bottom w:val="none" w:sz="0" w:space="0" w:color="auto"/>
        <w:right w:val="none" w:sz="0" w:space="0" w:color="auto"/>
      </w:divBdr>
      <w:divsChild>
        <w:div w:id="1038318223">
          <w:marLeft w:val="0"/>
          <w:marRight w:val="0"/>
          <w:marTop w:val="0"/>
          <w:marBottom w:val="0"/>
          <w:divBdr>
            <w:top w:val="none" w:sz="0" w:space="0" w:color="auto"/>
            <w:left w:val="none" w:sz="0" w:space="0" w:color="auto"/>
            <w:bottom w:val="none" w:sz="0" w:space="0" w:color="auto"/>
            <w:right w:val="none" w:sz="0" w:space="0" w:color="auto"/>
          </w:divBdr>
          <w:divsChild>
            <w:div w:id="48112240">
              <w:marLeft w:val="0"/>
              <w:marRight w:val="0"/>
              <w:marTop w:val="0"/>
              <w:marBottom w:val="0"/>
              <w:divBdr>
                <w:top w:val="none" w:sz="0" w:space="0" w:color="auto"/>
                <w:left w:val="none" w:sz="0" w:space="0" w:color="auto"/>
                <w:bottom w:val="none" w:sz="0" w:space="0" w:color="auto"/>
                <w:right w:val="none" w:sz="0" w:space="0" w:color="auto"/>
              </w:divBdr>
              <w:divsChild>
                <w:div w:id="141481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29059">
      <w:bodyDiv w:val="1"/>
      <w:marLeft w:val="0"/>
      <w:marRight w:val="0"/>
      <w:marTop w:val="0"/>
      <w:marBottom w:val="0"/>
      <w:divBdr>
        <w:top w:val="none" w:sz="0" w:space="0" w:color="auto"/>
        <w:left w:val="none" w:sz="0" w:space="0" w:color="auto"/>
        <w:bottom w:val="none" w:sz="0" w:space="0" w:color="auto"/>
        <w:right w:val="none" w:sz="0" w:space="0" w:color="auto"/>
      </w:divBdr>
      <w:divsChild>
        <w:div w:id="1403865513">
          <w:marLeft w:val="0"/>
          <w:marRight w:val="0"/>
          <w:marTop w:val="0"/>
          <w:marBottom w:val="0"/>
          <w:divBdr>
            <w:top w:val="none" w:sz="0" w:space="0" w:color="auto"/>
            <w:left w:val="none" w:sz="0" w:space="0" w:color="auto"/>
            <w:bottom w:val="none" w:sz="0" w:space="0" w:color="auto"/>
            <w:right w:val="none" w:sz="0" w:space="0" w:color="auto"/>
          </w:divBdr>
          <w:divsChild>
            <w:div w:id="1468088687">
              <w:marLeft w:val="0"/>
              <w:marRight w:val="0"/>
              <w:marTop w:val="0"/>
              <w:marBottom w:val="0"/>
              <w:divBdr>
                <w:top w:val="none" w:sz="0" w:space="0" w:color="auto"/>
                <w:left w:val="none" w:sz="0" w:space="0" w:color="auto"/>
                <w:bottom w:val="none" w:sz="0" w:space="0" w:color="auto"/>
                <w:right w:val="none" w:sz="0" w:space="0" w:color="auto"/>
              </w:divBdr>
              <w:divsChild>
                <w:div w:id="69442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7001">
      <w:bodyDiv w:val="1"/>
      <w:marLeft w:val="0"/>
      <w:marRight w:val="0"/>
      <w:marTop w:val="0"/>
      <w:marBottom w:val="0"/>
      <w:divBdr>
        <w:top w:val="none" w:sz="0" w:space="0" w:color="auto"/>
        <w:left w:val="none" w:sz="0" w:space="0" w:color="auto"/>
        <w:bottom w:val="none" w:sz="0" w:space="0" w:color="auto"/>
        <w:right w:val="none" w:sz="0" w:space="0" w:color="auto"/>
      </w:divBdr>
      <w:divsChild>
        <w:div w:id="1511212516">
          <w:marLeft w:val="0"/>
          <w:marRight w:val="0"/>
          <w:marTop w:val="0"/>
          <w:marBottom w:val="0"/>
          <w:divBdr>
            <w:top w:val="none" w:sz="0" w:space="0" w:color="auto"/>
            <w:left w:val="none" w:sz="0" w:space="0" w:color="auto"/>
            <w:bottom w:val="none" w:sz="0" w:space="0" w:color="auto"/>
            <w:right w:val="none" w:sz="0" w:space="0" w:color="auto"/>
          </w:divBdr>
          <w:divsChild>
            <w:div w:id="55051567">
              <w:marLeft w:val="0"/>
              <w:marRight w:val="0"/>
              <w:marTop w:val="0"/>
              <w:marBottom w:val="0"/>
              <w:divBdr>
                <w:top w:val="none" w:sz="0" w:space="0" w:color="auto"/>
                <w:left w:val="none" w:sz="0" w:space="0" w:color="auto"/>
                <w:bottom w:val="none" w:sz="0" w:space="0" w:color="auto"/>
                <w:right w:val="none" w:sz="0" w:space="0" w:color="auto"/>
              </w:divBdr>
              <w:divsChild>
                <w:div w:id="110797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22871">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8">
          <w:marLeft w:val="0"/>
          <w:marRight w:val="0"/>
          <w:marTop w:val="0"/>
          <w:marBottom w:val="0"/>
          <w:divBdr>
            <w:top w:val="none" w:sz="0" w:space="0" w:color="auto"/>
            <w:left w:val="none" w:sz="0" w:space="0" w:color="auto"/>
            <w:bottom w:val="none" w:sz="0" w:space="0" w:color="auto"/>
            <w:right w:val="none" w:sz="0" w:space="0" w:color="auto"/>
          </w:divBdr>
          <w:divsChild>
            <w:div w:id="1684283277">
              <w:marLeft w:val="0"/>
              <w:marRight w:val="0"/>
              <w:marTop w:val="0"/>
              <w:marBottom w:val="0"/>
              <w:divBdr>
                <w:top w:val="none" w:sz="0" w:space="0" w:color="auto"/>
                <w:left w:val="none" w:sz="0" w:space="0" w:color="auto"/>
                <w:bottom w:val="none" w:sz="0" w:space="0" w:color="auto"/>
                <w:right w:val="none" w:sz="0" w:space="0" w:color="auto"/>
              </w:divBdr>
              <w:divsChild>
                <w:div w:id="101472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68696">
      <w:bodyDiv w:val="1"/>
      <w:marLeft w:val="0"/>
      <w:marRight w:val="0"/>
      <w:marTop w:val="0"/>
      <w:marBottom w:val="0"/>
      <w:divBdr>
        <w:top w:val="none" w:sz="0" w:space="0" w:color="auto"/>
        <w:left w:val="none" w:sz="0" w:space="0" w:color="auto"/>
        <w:bottom w:val="none" w:sz="0" w:space="0" w:color="auto"/>
        <w:right w:val="none" w:sz="0" w:space="0" w:color="auto"/>
      </w:divBdr>
      <w:divsChild>
        <w:div w:id="1965649216">
          <w:marLeft w:val="0"/>
          <w:marRight w:val="0"/>
          <w:marTop w:val="0"/>
          <w:marBottom w:val="0"/>
          <w:divBdr>
            <w:top w:val="none" w:sz="0" w:space="0" w:color="auto"/>
            <w:left w:val="none" w:sz="0" w:space="0" w:color="auto"/>
            <w:bottom w:val="none" w:sz="0" w:space="0" w:color="auto"/>
            <w:right w:val="none" w:sz="0" w:space="0" w:color="auto"/>
          </w:divBdr>
          <w:divsChild>
            <w:div w:id="40062467">
              <w:marLeft w:val="0"/>
              <w:marRight w:val="0"/>
              <w:marTop w:val="0"/>
              <w:marBottom w:val="0"/>
              <w:divBdr>
                <w:top w:val="none" w:sz="0" w:space="0" w:color="auto"/>
                <w:left w:val="none" w:sz="0" w:space="0" w:color="auto"/>
                <w:bottom w:val="none" w:sz="0" w:space="0" w:color="auto"/>
                <w:right w:val="none" w:sz="0" w:space="0" w:color="auto"/>
              </w:divBdr>
              <w:divsChild>
                <w:div w:id="631516960">
                  <w:marLeft w:val="0"/>
                  <w:marRight w:val="0"/>
                  <w:marTop w:val="0"/>
                  <w:marBottom w:val="0"/>
                  <w:divBdr>
                    <w:top w:val="none" w:sz="0" w:space="0" w:color="auto"/>
                    <w:left w:val="none" w:sz="0" w:space="0" w:color="auto"/>
                    <w:bottom w:val="none" w:sz="0" w:space="0" w:color="auto"/>
                    <w:right w:val="none" w:sz="0" w:space="0" w:color="auto"/>
                  </w:divBdr>
                  <w:divsChild>
                    <w:div w:id="209046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4448">
      <w:bodyDiv w:val="1"/>
      <w:marLeft w:val="0"/>
      <w:marRight w:val="0"/>
      <w:marTop w:val="0"/>
      <w:marBottom w:val="0"/>
      <w:divBdr>
        <w:top w:val="none" w:sz="0" w:space="0" w:color="auto"/>
        <w:left w:val="none" w:sz="0" w:space="0" w:color="auto"/>
        <w:bottom w:val="none" w:sz="0" w:space="0" w:color="auto"/>
        <w:right w:val="none" w:sz="0" w:space="0" w:color="auto"/>
      </w:divBdr>
      <w:divsChild>
        <w:div w:id="566376271">
          <w:marLeft w:val="0"/>
          <w:marRight w:val="0"/>
          <w:marTop w:val="0"/>
          <w:marBottom w:val="0"/>
          <w:divBdr>
            <w:top w:val="none" w:sz="0" w:space="0" w:color="auto"/>
            <w:left w:val="none" w:sz="0" w:space="0" w:color="auto"/>
            <w:bottom w:val="none" w:sz="0" w:space="0" w:color="auto"/>
            <w:right w:val="none" w:sz="0" w:space="0" w:color="auto"/>
          </w:divBdr>
          <w:divsChild>
            <w:div w:id="176505171">
              <w:marLeft w:val="0"/>
              <w:marRight w:val="0"/>
              <w:marTop w:val="0"/>
              <w:marBottom w:val="0"/>
              <w:divBdr>
                <w:top w:val="none" w:sz="0" w:space="0" w:color="auto"/>
                <w:left w:val="none" w:sz="0" w:space="0" w:color="auto"/>
                <w:bottom w:val="none" w:sz="0" w:space="0" w:color="auto"/>
                <w:right w:val="none" w:sz="0" w:space="0" w:color="auto"/>
              </w:divBdr>
              <w:divsChild>
                <w:div w:id="137037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30562">
      <w:bodyDiv w:val="1"/>
      <w:marLeft w:val="0"/>
      <w:marRight w:val="0"/>
      <w:marTop w:val="0"/>
      <w:marBottom w:val="0"/>
      <w:divBdr>
        <w:top w:val="none" w:sz="0" w:space="0" w:color="auto"/>
        <w:left w:val="none" w:sz="0" w:space="0" w:color="auto"/>
        <w:bottom w:val="none" w:sz="0" w:space="0" w:color="auto"/>
        <w:right w:val="none" w:sz="0" w:space="0" w:color="auto"/>
      </w:divBdr>
      <w:divsChild>
        <w:div w:id="1725832120">
          <w:marLeft w:val="0"/>
          <w:marRight w:val="0"/>
          <w:marTop w:val="0"/>
          <w:marBottom w:val="0"/>
          <w:divBdr>
            <w:top w:val="none" w:sz="0" w:space="0" w:color="auto"/>
            <w:left w:val="none" w:sz="0" w:space="0" w:color="auto"/>
            <w:bottom w:val="none" w:sz="0" w:space="0" w:color="auto"/>
            <w:right w:val="none" w:sz="0" w:space="0" w:color="auto"/>
          </w:divBdr>
          <w:divsChild>
            <w:div w:id="162668622">
              <w:marLeft w:val="0"/>
              <w:marRight w:val="0"/>
              <w:marTop w:val="0"/>
              <w:marBottom w:val="0"/>
              <w:divBdr>
                <w:top w:val="none" w:sz="0" w:space="0" w:color="auto"/>
                <w:left w:val="none" w:sz="0" w:space="0" w:color="auto"/>
                <w:bottom w:val="none" w:sz="0" w:space="0" w:color="auto"/>
                <w:right w:val="none" w:sz="0" w:space="0" w:color="auto"/>
              </w:divBdr>
              <w:divsChild>
                <w:div w:id="16733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296363">
      <w:bodyDiv w:val="1"/>
      <w:marLeft w:val="0"/>
      <w:marRight w:val="0"/>
      <w:marTop w:val="0"/>
      <w:marBottom w:val="0"/>
      <w:divBdr>
        <w:top w:val="none" w:sz="0" w:space="0" w:color="auto"/>
        <w:left w:val="none" w:sz="0" w:space="0" w:color="auto"/>
        <w:bottom w:val="none" w:sz="0" w:space="0" w:color="auto"/>
        <w:right w:val="none" w:sz="0" w:space="0" w:color="auto"/>
      </w:divBdr>
      <w:divsChild>
        <w:div w:id="477769460">
          <w:marLeft w:val="0"/>
          <w:marRight w:val="0"/>
          <w:marTop w:val="0"/>
          <w:marBottom w:val="0"/>
          <w:divBdr>
            <w:top w:val="none" w:sz="0" w:space="0" w:color="auto"/>
            <w:left w:val="none" w:sz="0" w:space="0" w:color="auto"/>
            <w:bottom w:val="none" w:sz="0" w:space="0" w:color="auto"/>
            <w:right w:val="none" w:sz="0" w:space="0" w:color="auto"/>
          </w:divBdr>
          <w:divsChild>
            <w:div w:id="35858973">
              <w:marLeft w:val="0"/>
              <w:marRight w:val="0"/>
              <w:marTop w:val="0"/>
              <w:marBottom w:val="0"/>
              <w:divBdr>
                <w:top w:val="none" w:sz="0" w:space="0" w:color="auto"/>
                <w:left w:val="none" w:sz="0" w:space="0" w:color="auto"/>
                <w:bottom w:val="none" w:sz="0" w:space="0" w:color="auto"/>
                <w:right w:val="none" w:sz="0" w:space="0" w:color="auto"/>
              </w:divBdr>
              <w:divsChild>
                <w:div w:id="12895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13345">
      <w:bodyDiv w:val="1"/>
      <w:marLeft w:val="0"/>
      <w:marRight w:val="0"/>
      <w:marTop w:val="0"/>
      <w:marBottom w:val="0"/>
      <w:divBdr>
        <w:top w:val="none" w:sz="0" w:space="0" w:color="auto"/>
        <w:left w:val="none" w:sz="0" w:space="0" w:color="auto"/>
        <w:bottom w:val="none" w:sz="0" w:space="0" w:color="auto"/>
        <w:right w:val="none" w:sz="0" w:space="0" w:color="auto"/>
      </w:divBdr>
      <w:divsChild>
        <w:div w:id="338193121">
          <w:marLeft w:val="0"/>
          <w:marRight w:val="0"/>
          <w:marTop w:val="0"/>
          <w:marBottom w:val="0"/>
          <w:divBdr>
            <w:top w:val="none" w:sz="0" w:space="0" w:color="auto"/>
            <w:left w:val="none" w:sz="0" w:space="0" w:color="auto"/>
            <w:bottom w:val="none" w:sz="0" w:space="0" w:color="auto"/>
            <w:right w:val="none" w:sz="0" w:space="0" w:color="auto"/>
          </w:divBdr>
          <w:divsChild>
            <w:div w:id="1809667272">
              <w:marLeft w:val="0"/>
              <w:marRight w:val="0"/>
              <w:marTop w:val="0"/>
              <w:marBottom w:val="0"/>
              <w:divBdr>
                <w:top w:val="none" w:sz="0" w:space="0" w:color="auto"/>
                <w:left w:val="none" w:sz="0" w:space="0" w:color="auto"/>
                <w:bottom w:val="none" w:sz="0" w:space="0" w:color="auto"/>
                <w:right w:val="none" w:sz="0" w:space="0" w:color="auto"/>
              </w:divBdr>
              <w:divsChild>
                <w:div w:id="13660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84535">
      <w:bodyDiv w:val="1"/>
      <w:marLeft w:val="0"/>
      <w:marRight w:val="0"/>
      <w:marTop w:val="0"/>
      <w:marBottom w:val="0"/>
      <w:divBdr>
        <w:top w:val="none" w:sz="0" w:space="0" w:color="auto"/>
        <w:left w:val="none" w:sz="0" w:space="0" w:color="auto"/>
        <w:bottom w:val="none" w:sz="0" w:space="0" w:color="auto"/>
        <w:right w:val="none" w:sz="0" w:space="0" w:color="auto"/>
      </w:divBdr>
      <w:divsChild>
        <w:div w:id="2007249439">
          <w:marLeft w:val="0"/>
          <w:marRight w:val="0"/>
          <w:marTop w:val="0"/>
          <w:marBottom w:val="0"/>
          <w:divBdr>
            <w:top w:val="none" w:sz="0" w:space="0" w:color="auto"/>
            <w:left w:val="none" w:sz="0" w:space="0" w:color="auto"/>
            <w:bottom w:val="none" w:sz="0" w:space="0" w:color="auto"/>
            <w:right w:val="none" w:sz="0" w:space="0" w:color="auto"/>
          </w:divBdr>
          <w:divsChild>
            <w:div w:id="494150852">
              <w:marLeft w:val="0"/>
              <w:marRight w:val="0"/>
              <w:marTop w:val="0"/>
              <w:marBottom w:val="0"/>
              <w:divBdr>
                <w:top w:val="none" w:sz="0" w:space="0" w:color="auto"/>
                <w:left w:val="none" w:sz="0" w:space="0" w:color="auto"/>
                <w:bottom w:val="none" w:sz="0" w:space="0" w:color="auto"/>
                <w:right w:val="none" w:sz="0" w:space="0" w:color="auto"/>
              </w:divBdr>
              <w:divsChild>
                <w:div w:id="20570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29721">
      <w:bodyDiv w:val="1"/>
      <w:marLeft w:val="0"/>
      <w:marRight w:val="0"/>
      <w:marTop w:val="0"/>
      <w:marBottom w:val="0"/>
      <w:divBdr>
        <w:top w:val="none" w:sz="0" w:space="0" w:color="auto"/>
        <w:left w:val="none" w:sz="0" w:space="0" w:color="auto"/>
        <w:bottom w:val="none" w:sz="0" w:space="0" w:color="auto"/>
        <w:right w:val="none" w:sz="0" w:space="0" w:color="auto"/>
      </w:divBdr>
      <w:divsChild>
        <w:div w:id="1018584033">
          <w:marLeft w:val="0"/>
          <w:marRight w:val="0"/>
          <w:marTop w:val="0"/>
          <w:marBottom w:val="0"/>
          <w:divBdr>
            <w:top w:val="none" w:sz="0" w:space="0" w:color="auto"/>
            <w:left w:val="none" w:sz="0" w:space="0" w:color="auto"/>
            <w:bottom w:val="none" w:sz="0" w:space="0" w:color="auto"/>
            <w:right w:val="none" w:sz="0" w:space="0" w:color="auto"/>
          </w:divBdr>
          <w:divsChild>
            <w:div w:id="152332564">
              <w:marLeft w:val="0"/>
              <w:marRight w:val="0"/>
              <w:marTop w:val="0"/>
              <w:marBottom w:val="0"/>
              <w:divBdr>
                <w:top w:val="none" w:sz="0" w:space="0" w:color="auto"/>
                <w:left w:val="none" w:sz="0" w:space="0" w:color="auto"/>
                <w:bottom w:val="none" w:sz="0" w:space="0" w:color="auto"/>
                <w:right w:val="none" w:sz="0" w:space="0" w:color="auto"/>
              </w:divBdr>
              <w:divsChild>
                <w:div w:id="8672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50211">
      <w:bodyDiv w:val="1"/>
      <w:marLeft w:val="0"/>
      <w:marRight w:val="0"/>
      <w:marTop w:val="0"/>
      <w:marBottom w:val="0"/>
      <w:divBdr>
        <w:top w:val="none" w:sz="0" w:space="0" w:color="auto"/>
        <w:left w:val="none" w:sz="0" w:space="0" w:color="auto"/>
        <w:bottom w:val="none" w:sz="0" w:space="0" w:color="auto"/>
        <w:right w:val="none" w:sz="0" w:space="0" w:color="auto"/>
      </w:divBdr>
      <w:divsChild>
        <w:div w:id="1482842725">
          <w:marLeft w:val="0"/>
          <w:marRight w:val="0"/>
          <w:marTop w:val="0"/>
          <w:marBottom w:val="0"/>
          <w:divBdr>
            <w:top w:val="none" w:sz="0" w:space="0" w:color="auto"/>
            <w:left w:val="none" w:sz="0" w:space="0" w:color="auto"/>
            <w:bottom w:val="none" w:sz="0" w:space="0" w:color="auto"/>
            <w:right w:val="none" w:sz="0" w:space="0" w:color="auto"/>
          </w:divBdr>
          <w:divsChild>
            <w:div w:id="321352828">
              <w:marLeft w:val="0"/>
              <w:marRight w:val="0"/>
              <w:marTop w:val="0"/>
              <w:marBottom w:val="0"/>
              <w:divBdr>
                <w:top w:val="none" w:sz="0" w:space="0" w:color="auto"/>
                <w:left w:val="none" w:sz="0" w:space="0" w:color="auto"/>
                <w:bottom w:val="none" w:sz="0" w:space="0" w:color="auto"/>
                <w:right w:val="none" w:sz="0" w:space="0" w:color="auto"/>
              </w:divBdr>
              <w:divsChild>
                <w:div w:id="8382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46508">
      <w:bodyDiv w:val="1"/>
      <w:marLeft w:val="0"/>
      <w:marRight w:val="0"/>
      <w:marTop w:val="0"/>
      <w:marBottom w:val="0"/>
      <w:divBdr>
        <w:top w:val="none" w:sz="0" w:space="0" w:color="auto"/>
        <w:left w:val="none" w:sz="0" w:space="0" w:color="auto"/>
        <w:bottom w:val="none" w:sz="0" w:space="0" w:color="auto"/>
        <w:right w:val="none" w:sz="0" w:space="0" w:color="auto"/>
      </w:divBdr>
      <w:divsChild>
        <w:div w:id="1642344394">
          <w:marLeft w:val="0"/>
          <w:marRight w:val="0"/>
          <w:marTop w:val="0"/>
          <w:marBottom w:val="0"/>
          <w:divBdr>
            <w:top w:val="none" w:sz="0" w:space="0" w:color="auto"/>
            <w:left w:val="none" w:sz="0" w:space="0" w:color="auto"/>
            <w:bottom w:val="none" w:sz="0" w:space="0" w:color="auto"/>
            <w:right w:val="none" w:sz="0" w:space="0" w:color="auto"/>
          </w:divBdr>
          <w:divsChild>
            <w:div w:id="1410225167">
              <w:marLeft w:val="0"/>
              <w:marRight w:val="0"/>
              <w:marTop w:val="0"/>
              <w:marBottom w:val="0"/>
              <w:divBdr>
                <w:top w:val="none" w:sz="0" w:space="0" w:color="auto"/>
                <w:left w:val="none" w:sz="0" w:space="0" w:color="auto"/>
                <w:bottom w:val="none" w:sz="0" w:space="0" w:color="auto"/>
                <w:right w:val="none" w:sz="0" w:space="0" w:color="auto"/>
              </w:divBdr>
              <w:divsChild>
                <w:div w:id="7187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55680">
      <w:bodyDiv w:val="1"/>
      <w:marLeft w:val="0"/>
      <w:marRight w:val="0"/>
      <w:marTop w:val="0"/>
      <w:marBottom w:val="0"/>
      <w:divBdr>
        <w:top w:val="none" w:sz="0" w:space="0" w:color="auto"/>
        <w:left w:val="none" w:sz="0" w:space="0" w:color="auto"/>
        <w:bottom w:val="none" w:sz="0" w:space="0" w:color="auto"/>
        <w:right w:val="none" w:sz="0" w:space="0" w:color="auto"/>
      </w:divBdr>
      <w:divsChild>
        <w:div w:id="1875342060">
          <w:marLeft w:val="0"/>
          <w:marRight w:val="0"/>
          <w:marTop w:val="0"/>
          <w:marBottom w:val="0"/>
          <w:divBdr>
            <w:top w:val="none" w:sz="0" w:space="0" w:color="auto"/>
            <w:left w:val="none" w:sz="0" w:space="0" w:color="auto"/>
            <w:bottom w:val="none" w:sz="0" w:space="0" w:color="auto"/>
            <w:right w:val="none" w:sz="0" w:space="0" w:color="auto"/>
          </w:divBdr>
          <w:divsChild>
            <w:div w:id="1759398750">
              <w:marLeft w:val="0"/>
              <w:marRight w:val="0"/>
              <w:marTop w:val="0"/>
              <w:marBottom w:val="0"/>
              <w:divBdr>
                <w:top w:val="none" w:sz="0" w:space="0" w:color="auto"/>
                <w:left w:val="none" w:sz="0" w:space="0" w:color="auto"/>
                <w:bottom w:val="none" w:sz="0" w:space="0" w:color="auto"/>
                <w:right w:val="none" w:sz="0" w:space="0" w:color="auto"/>
              </w:divBdr>
              <w:divsChild>
                <w:div w:id="1145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76323">
      <w:bodyDiv w:val="1"/>
      <w:marLeft w:val="0"/>
      <w:marRight w:val="0"/>
      <w:marTop w:val="0"/>
      <w:marBottom w:val="0"/>
      <w:divBdr>
        <w:top w:val="none" w:sz="0" w:space="0" w:color="auto"/>
        <w:left w:val="none" w:sz="0" w:space="0" w:color="auto"/>
        <w:bottom w:val="none" w:sz="0" w:space="0" w:color="auto"/>
        <w:right w:val="none" w:sz="0" w:space="0" w:color="auto"/>
      </w:divBdr>
      <w:divsChild>
        <w:div w:id="757601731">
          <w:marLeft w:val="0"/>
          <w:marRight w:val="0"/>
          <w:marTop w:val="0"/>
          <w:marBottom w:val="0"/>
          <w:divBdr>
            <w:top w:val="none" w:sz="0" w:space="0" w:color="auto"/>
            <w:left w:val="none" w:sz="0" w:space="0" w:color="auto"/>
            <w:bottom w:val="none" w:sz="0" w:space="0" w:color="auto"/>
            <w:right w:val="none" w:sz="0" w:space="0" w:color="auto"/>
          </w:divBdr>
          <w:divsChild>
            <w:div w:id="431509414">
              <w:marLeft w:val="0"/>
              <w:marRight w:val="0"/>
              <w:marTop w:val="0"/>
              <w:marBottom w:val="0"/>
              <w:divBdr>
                <w:top w:val="none" w:sz="0" w:space="0" w:color="auto"/>
                <w:left w:val="none" w:sz="0" w:space="0" w:color="auto"/>
                <w:bottom w:val="none" w:sz="0" w:space="0" w:color="auto"/>
                <w:right w:val="none" w:sz="0" w:space="0" w:color="auto"/>
              </w:divBdr>
              <w:divsChild>
                <w:div w:id="13889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96353">
      <w:bodyDiv w:val="1"/>
      <w:marLeft w:val="0"/>
      <w:marRight w:val="0"/>
      <w:marTop w:val="0"/>
      <w:marBottom w:val="0"/>
      <w:divBdr>
        <w:top w:val="none" w:sz="0" w:space="0" w:color="auto"/>
        <w:left w:val="none" w:sz="0" w:space="0" w:color="auto"/>
        <w:bottom w:val="none" w:sz="0" w:space="0" w:color="auto"/>
        <w:right w:val="none" w:sz="0" w:space="0" w:color="auto"/>
      </w:divBdr>
      <w:divsChild>
        <w:div w:id="1034884484">
          <w:marLeft w:val="0"/>
          <w:marRight w:val="0"/>
          <w:marTop w:val="0"/>
          <w:marBottom w:val="0"/>
          <w:divBdr>
            <w:top w:val="none" w:sz="0" w:space="0" w:color="auto"/>
            <w:left w:val="none" w:sz="0" w:space="0" w:color="auto"/>
            <w:bottom w:val="none" w:sz="0" w:space="0" w:color="auto"/>
            <w:right w:val="none" w:sz="0" w:space="0" w:color="auto"/>
          </w:divBdr>
          <w:divsChild>
            <w:div w:id="1499534576">
              <w:marLeft w:val="0"/>
              <w:marRight w:val="0"/>
              <w:marTop w:val="0"/>
              <w:marBottom w:val="0"/>
              <w:divBdr>
                <w:top w:val="none" w:sz="0" w:space="0" w:color="auto"/>
                <w:left w:val="none" w:sz="0" w:space="0" w:color="auto"/>
                <w:bottom w:val="none" w:sz="0" w:space="0" w:color="auto"/>
                <w:right w:val="none" w:sz="0" w:space="0" w:color="auto"/>
              </w:divBdr>
              <w:divsChild>
                <w:div w:id="10417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23305">
      <w:bodyDiv w:val="1"/>
      <w:marLeft w:val="0"/>
      <w:marRight w:val="0"/>
      <w:marTop w:val="0"/>
      <w:marBottom w:val="0"/>
      <w:divBdr>
        <w:top w:val="none" w:sz="0" w:space="0" w:color="auto"/>
        <w:left w:val="none" w:sz="0" w:space="0" w:color="auto"/>
        <w:bottom w:val="none" w:sz="0" w:space="0" w:color="auto"/>
        <w:right w:val="none" w:sz="0" w:space="0" w:color="auto"/>
      </w:divBdr>
      <w:divsChild>
        <w:div w:id="35352556">
          <w:marLeft w:val="0"/>
          <w:marRight w:val="0"/>
          <w:marTop w:val="0"/>
          <w:marBottom w:val="0"/>
          <w:divBdr>
            <w:top w:val="none" w:sz="0" w:space="0" w:color="auto"/>
            <w:left w:val="none" w:sz="0" w:space="0" w:color="auto"/>
            <w:bottom w:val="none" w:sz="0" w:space="0" w:color="auto"/>
            <w:right w:val="none" w:sz="0" w:space="0" w:color="auto"/>
          </w:divBdr>
          <w:divsChild>
            <w:div w:id="1099063289">
              <w:marLeft w:val="0"/>
              <w:marRight w:val="0"/>
              <w:marTop w:val="0"/>
              <w:marBottom w:val="0"/>
              <w:divBdr>
                <w:top w:val="none" w:sz="0" w:space="0" w:color="auto"/>
                <w:left w:val="none" w:sz="0" w:space="0" w:color="auto"/>
                <w:bottom w:val="none" w:sz="0" w:space="0" w:color="auto"/>
                <w:right w:val="none" w:sz="0" w:space="0" w:color="auto"/>
              </w:divBdr>
              <w:divsChild>
                <w:div w:id="141940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037583">
      <w:bodyDiv w:val="1"/>
      <w:marLeft w:val="0"/>
      <w:marRight w:val="0"/>
      <w:marTop w:val="0"/>
      <w:marBottom w:val="0"/>
      <w:divBdr>
        <w:top w:val="none" w:sz="0" w:space="0" w:color="auto"/>
        <w:left w:val="none" w:sz="0" w:space="0" w:color="auto"/>
        <w:bottom w:val="none" w:sz="0" w:space="0" w:color="auto"/>
        <w:right w:val="none" w:sz="0" w:space="0" w:color="auto"/>
      </w:divBdr>
      <w:divsChild>
        <w:div w:id="409618456">
          <w:marLeft w:val="0"/>
          <w:marRight w:val="0"/>
          <w:marTop w:val="0"/>
          <w:marBottom w:val="0"/>
          <w:divBdr>
            <w:top w:val="none" w:sz="0" w:space="0" w:color="auto"/>
            <w:left w:val="none" w:sz="0" w:space="0" w:color="auto"/>
            <w:bottom w:val="none" w:sz="0" w:space="0" w:color="auto"/>
            <w:right w:val="none" w:sz="0" w:space="0" w:color="auto"/>
          </w:divBdr>
          <w:divsChild>
            <w:div w:id="1600599521">
              <w:marLeft w:val="0"/>
              <w:marRight w:val="0"/>
              <w:marTop w:val="0"/>
              <w:marBottom w:val="0"/>
              <w:divBdr>
                <w:top w:val="none" w:sz="0" w:space="0" w:color="auto"/>
                <w:left w:val="none" w:sz="0" w:space="0" w:color="auto"/>
                <w:bottom w:val="none" w:sz="0" w:space="0" w:color="auto"/>
                <w:right w:val="none" w:sz="0" w:space="0" w:color="auto"/>
              </w:divBdr>
              <w:divsChild>
                <w:div w:id="5221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390416">
      <w:bodyDiv w:val="1"/>
      <w:marLeft w:val="0"/>
      <w:marRight w:val="0"/>
      <w:marTop w:val="0"/>
      <w:marBottom w:val="0"/>
      <w:divBdr>
        <w:top w:val="none" w:sz="0" w:space="0" w:color="auto"/>
        <w:left w:val="none" w:sz="0" w:space="0" w:color="auto"/>
        <w:bottom w:val="none" w:sz="0" w:space="0" w:color="auto"/>
        <w:right w:val="none" w:sz="0" w:space="0" w:color="auto"/>
      </w:divBdr>
      <w:divsChild>
        <w:div w:id="1359770268">
          <w:marLeft w:val="0"/>
          <w:marRight w:val="0"/>
          <w:marTop w:val="0"/>
          <w:marBottom w:val="0"/>
          <w:divBdr>
            <w:top w:val="none" w:sz="0" w:space="0" w:color="auto"/>
            <w:left w:val="none" w:sz="0" w:space="0" w:color="auto"/>
            <w:bottom w:val="none" w:sz="0" w:space="0" w:color="auto"/>
            <w:right w:val="none" w:sz="0" w:space="0" w:color="auto"/>
          </w:divBdr>
          <w:divsChild>
            <w:div w:id="470831025">
              <w:marLeft w:val="0"/>
              <w:marRight w:val="0"/>
              <w:marTop w:val="0"/>
              <w:marBottom w:val="0"/>
              <w:divBdr>
                <w:top w:val="none" w:sz="0" w:space="0" w:color="auto"/>
                <w:left w:val="none" w:sz="0" w:space="0" w:color="auto"/>
                <w:bottom w:val="none" w:sz="0" w:space="0" w:color="auto"/>
                <w:right w:val="none" w:sz="0" w:space="0" w:color="auto"/>
              </w:divBdr>
              <w:divsChild>
                <w:div w:id="2001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12329">
      <w:bodyDiv w:val="1"/>
      <w:marLeft w:val="0"/>
      <w:marRight w:val="0"/>
      <w:marTop w:val="0"/>
      <w:marBottom w:val="0"/>
      <w:divBdr>
        <w:top w:val="none" w:sz="0" w:space="0" w:color="auto"/>
        <w:left w:val="none" w:sz="0" w:space="0" w:color="auto"/>
        <w:bottom w:val="none" w:sz="0" w:space="0" w:color="auto"/>
        <w:right w:val="none" w:sz="0" w:space="0" w:color="auto"/>
      </w:divBdr>
      <w:divsChild>
        <w:div w:id="1523977943">
          <w:marLeft w:val="0"/>
          <w:marRight w:val="0"/>
          <w:marTop w:val="0"/>
          <w:marBottom w:val="0"/>
          <w:divBdr>
            <w:top w:val="none" w:sz="0" w:space="0" w:color="auto"/>
            <w:left w:val="none" w:sz="0" w:space="0" w:color="auto"/>
            <w:bottom w:val="none" w:sz="0" w:space="0" w:color="auto"/>
            <w:right w:val="none" w:sz="0" w:space="0" w:color="auto"/>
          </w:divBdr>
          <w:divsChild>
            <w:div w:id="17629551">
              <w:marLeft w:val="0"/>
              <w:marRight w:val="0"/>
              <w:marTop w:val="0"/>
              <w:marBottom w:val="0"/>
              <w:divBdr>
                <w:top w:val="none" w:sz="0" w:space="0" w:color="auto"/>
                <w:left w:val="none" w:sz="0" w:space="0" w:color="auto"/>
                <w:bottom w:val="none" w:sz="0" w:space="0" w:color="auto"/>
                <w:right w:val="none" w:sz="0" w:space="0" w:color="auto"/>
              </w:divBdr>
              <w:divsChild>
                <w:div w:id="1034648871">
                  <w:marLeft w:val="0"/>
                  <w:marRight w:val="0"/>
                  <w:marTop w:val="0"/>
                  <w:marBottom w:val="0"/>
                  <w:divBdr>
                    <w:top w:val="none" w:sz="0" w:space="0" w:color="auto"/>
                    <w:left w:val="none" w:sz="0" w:space="0" w:color="auto"/>
                    <w:bottom w:val="none" w:sz="0" w:space="0" w:color="auto"/>
                    <w:right w:val="none" w:sz="0" w:space="0" w:color="auto"/>
                  </w:divBdr>
                </w:div>
              </w:divsChild>
            </w:div>
            <w:div w:id="1468470969">
              <w:marLeft w:val="0"/>
              <w:marRight w:val="0"/>
              <w:marTop w:val="0"/>
              <w:marBottom w:val="0"/>
              <w:divBdr>
                <w:top w:val="none" w:sz="0" w:space="0" w:color="auto"/>
                <w:left w:val="none" w:sz="0" w:space="0" w:color="auto"/>
                <w:bottom w:val="none" w:sz="0" w:space="0" w:color="auto"/>
                <w:right w:val="none" w:sz="0" w:space="0" w:color="auto"/>
              </w:divBdr>
              <w:divsChild>
                <w:div w:id="512573096">
                  <w:marLeft w:val="0"/>
                  <w:marRight w:val="0"/>
                  <w:marTop w:val="0"/>
                  <w:marBottom w:val="0"/>
                  <w:divBdr>
                    <w:top w:val="none" w:sz="0" w:space="0" w:color="auto"/>
                    <w:left w:val="none" w:sz="0" w:space="0" w:color="auto"/>
                    <w:bottom w:val="none" w:sz="0" w:space="0" w:color="auto"/>
                    <w:right w:val="none" w:sz="0" w:space="0" w:color="auto"/>
                  </w:divBdr>
                </w:div>
              </w:divsChild>
            </w:div>
            <w:div w:id="1641616423">
              <w:marLeft w:val="0"/>
              <w:marRight w:val="0"/>
              <w:marTop w:val="0"/>
              <w:marBottom w:val="0"/>
              <w:divBdr>
                <w:top w:val="none" w:sz="0" w:space="0" w:color="auto"/>
                <w:left w:val="none" w:sz="0" w:space="0" w:color="auto"/>
                <w:bottom w:val="none" w:sz="0" w:space="0" w:color="auto"/>
                <w:right w:val="none" w:sz="0" w:space="0" w:color="auto"/>
              </w:divBdr>
              <w:divsChild>
                <w:div w:id="746924808">
                  <w:marLeft w:val="0"/>
                  <w:marRight w:val="0"/>
                  <w:marTop w:val="0"/>
                  <w:marBottom w:val="0"/>
                  <w:divBdr>
                    <w:top w:val="none" w:sz="0" w:space="0" w:color="auto"/>
                    <w:left w:val="none" w:sz="0" w:space="0" w:color="auto"/>
                    <w:bottom w:val="none" w:sz="0" w:space="0" w:color="auto"/>
                    <w:right w:val="none" w:sz="0" w:space="0" w:color="auto"/>
                  </w:divBdr>
                </w:div>
              </w:divsChild>
            </w:div>
            <w:div w:id="1650398889">
              <w:marLeft w:val="0"/>
              <w:marRight w:val="0"/>
              <w:marTop w:val="0"/>
              <w:marBottom w:val="0"/>
              <w:divBdr>
                <w:top w:val="none" w:sz="0" w:space="0" w:color="auto"/>
                <w:left w:val="none" w:sz="0" w:space="0" w:color="auto"/>
                <w:bottom w:val="none" w:sz="0" w:space="0" w:color="auto"/>
                <w:right w:val="none" w:sz="0" w:space="0" w:color="auto"/>
              </w:divBdr>
              <w:divsChild>
                <w:div w:id="23902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3076">
      <w:bodyDiv w:val="1"/>
      <w:marLeft w:val="0"/>
      <w:marRight w:val="0"/>
      <w:marTop w:val="0"/>
      <w:marBottom w:val="0"/>
      <w:divBdr>
        <w:top w:val="none" w:sz="0" w:space="0" w:color="auto"/>
        <w:left w:val="none" w:sz="0" w:space="0" w:color="auto"/>
        <w:bottom w:val="none" w:sz="0" w:space="0" w:color="auto"/>
        <w:right w:val="none" w:sz="0" w:space="0" w:color="auto"/>
      </w:divBdr>
      <w:divsChild>
        <w:div w:id="1538468826">
          <w:marLeft w:val="0"/>
          <w:marRight w:val="0"/>
          <w:marTop w:val="0"/>
          <w:marBottom w:val="0"/>
          <w:divBdr>
            <w:top w:val="none" w:sz="0" w:space="0" w:color="auto"/>
            <w:left w:val="none" w:sz="0" w:space="0" w:color="auto"/>
            <w:bottom w:val="none" w:sz="0" w:space="0" w:color="auto"/>
            <w:right w:val="none" w:sz="0" w:space="0" w:color="auto"/>
          </w:divBdr>
          <w:divsChild>
            <w:div w:id="2112507588">
              <w:marLeft w:val="0"/>
              <w:marRight w:val="0"/>
              <w:marTop w:val="0"/>
              <w:marBottom w:val="0"/>
              <w:divBdr>
                <w:top w:val="none" w:sz="0" w:space="0" w:color="auto"/>
                <w:left w:val="none" w:sz="0" w:space="0" w:color="auto"/>
                <w:bottom w:val="none" w:sz="0" w:space="0" w:color="auto"/>
                <w:right w:val="none" w:sz="0" w:space="0" w:color="auto"/>
              </w:divBdr>
              <w:divsChild>
                <w:div w:id="19114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27475">
      <w:bodyDiv w:val="1"/>
      <w:marLeft w:val="0"/>
      <w:marRight w:val="0"/>
      <w:marTop w:val="0"/>
      <w:marBottom w:val="0"/>
      <w:divBdr>
        <w:top w:val="none" w:sz="0" w:space="0" w:color="auto"/>
        <w:left w:val="none" w:sz="0" w:space="0" w:color="auto"/>
        <w:bottom w:val="none" w:sz="0" w:space="0" w:color="auto"/>
        <w:right w:val="none" w:sz="0" w:space="0" w:color="auto"/>
      </w:divBdr>
      <w:divsChild>
        <w:div w:id="937828824">
          <w:marLeft w:val="0"/>
          <w:marRight w:val="0"/>
          <w:marTop w:val="0"/>
          <w:marBottom w:val="0"/>
          <w:divBdr>
            <w:top w:val="none" w:sz="0" w:space="0" w:color="auto"/>
            <w:left w:val="none" w:sz="0" w:space="0" w:color="auto"/>
            <w:bottom w:val="none" w:sz="0" w:space="0" w:color="auto"/>
            <w:right w:val="none" w:sz="0" w:space="0" w:color="auto"/>
          </w:divBdr>
          <w:divsChild>
            <w:div w:id="773284715">
              <w:marLeft w:val="0"/>
              <w:marRight w:val="0"/>
              <w:marTop w:val="0"/>
              <w:marBottom w:val="0"/>
              <w:divBdr>
                <w:top w:val="none" w:sz="0" w:space="0" w:color="auto"/>
                <w:left w:val="none" w:sz="0" w:space="0" w:color="auto"/>
                <w:bottom w:val="none" w:sz="0" w:space="0" w:color="auto"/>
                <w:right w:val="none" w:sz="0" w:space="0" w:color="auto"/>
              </w:divBdr>
              <w:divsChild>
                <w:div w:id="795217258">
                  <w:marLeft w:val="0"/>
                  <w:marRight w:val="0"/>
                  <w:marTop w:val="0"/>
                  <w:marBottom w:val="0"/>
                  <w:divBdr>
                    <w:top w:val="none" w:sz="0" w:space="0" w:color="auto"/>
                    <w:left w:val="none" w:sz="0" w:space="0" w:color="auto"/>
                    <w:bottom w:val="none" w:sz="0" w:space="0" w:color="auto"/>
                    <w:right w:val="none" w:sz="0" w:space="0" w:color="auto"/>
                  </w:divBdr>
                  <w:divsChild>
                    <w:div w:id="38715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68979">
      <w:bodyDiv w:val="1"/>
      <w:marLeft w:val="0"/>
      <w:marRight w:val="0"/>
      <w:marTop w:val="0"/>
      <w:marBottom w:val="0"/>
      <w:divBdr>
        <w:top w:val="none" w:sz="0" w:space="0" w:color="auto"/>
        <w:left w:val="none" w:sz="0" w:space="0" w:color="auto"/>
        <w:bottom w:val="none" w:sz="0" w:space="0" w:color="auto"/>
        <w:right w:val="none" w:sz="0" w:space="0" w:color="auto"/>
      </w:divBdr>
      <w:divsChild>
        <w:div w:id="782193733">
          <w:marLeft w:val="0"/>
          <w:marRight w:val="0"/>
          <w:marTop w:val="0"/>
          <w:marBottom w:val="0"/>
          <w:divBdr>
            <w:top w:val="none" w:sz="0" w:space="0" w:color="auto"/>
            <w:left w:val="none" w:sz="0" w:space="0" w:color="auto"/>
            <w:bottom w:val="none" w:sz="0" w:space="0" w:color="auto"/>
            <w:right w:val="none" w:sz="0" w:space="0" w:color="auto"/>
          </w:divBdr>
          <w:divsChild>
            <w:div w:id="1397823768">
              <w:marLeft w:val="0"/>
              <w:marRight w:val="0"/>
              <w:marTop w:val="0"/>
              <w:marBottom w:val="0"/>
              <w:divBdr>
                <w:top w:val="none" w:sz="0" w:space="0" w:color="auto"/>
                <w:left w:val="none" w:sz="0" w:space="0" w:color="auto"/>
                <w:bottom w:val="none" w:sz="0" w:space="0" w:color="auto"/>
                <w:right w:val="none" w:sz="0" w:space="0" w:color="auto"/>
              </w:divBdr>
              <w:divsChild>
                <w:div w:id="158121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75715">
      <w:bodyDiv w:val="1"/>
      <w:marLeft w:val="0"/>
      <w:marRight w:val="0"/>
      <w:marTop w:val="0"/>
      <w:marBottom w:val="0"/>
      <w:divBdr>
        <w:top w:val="none" w:sz="0" w:space="0" w:color="auto"/>
        <w:left w:val="none" w:sz="0" w:space="0" w:color="auto"/>
        <w:bottom w:val="none" w:sz="0" w:space="0" w:color="auto"/>
        <w:right w:val="none" w:sz="0" w:space="0" w:color="auto"/>
      </w:divBdr>
      <w:divsChild>
        <w:div w:id="70125584">
          <w:marLeft w:val="0"/>
          <w:marRight w:val="0"/>
          <w:marTop w:val="0"/>
          <w:marBottom w:val="0"/>
          <w:divBdr>
            <w:top w:val="none" w:sz="0" w:space="0" w:color="auto"/>
            <w:left w:val="none" w:sz="0" w:space="0" w:color="auto"/>
            <w:bottom w:val="none" w:sz="0" w:space="0" w:color="auto"/>
            <w:right w:val="none" w:sz="0" w:space="0" w:color="auto"/>
          </w:divBdr>
          <w:divsChild>
            <w:div w:id="17315544">
              <w:marLeft w:val="0"/>
              <w:marRight w:val="0"/>
              <w:marTop w:val="0"/>
              <w:marBottom w:val="0"/>
              <w:divBdr>
                <w:top w:val="none" w:sz="0" w:space="0" w:color="auto"/>
                <w:left w:val="none" w:sz="0" w:space="0" w:color="auto"/>
                <w:bottom w:val="none" w:sz="0" w:space="0" w:color="auto"/>
                <w:right w:val="none" w:sz="0" w:space="0" w:color="auto"/>
              </w:divBdr>
              <w:divsChild>
                <w:div w:id="1301615450">
                  <w:marLeft w:val="0"/>
                  <w:marRight w:val="0"/>
                  <w:marTop w:val="0"/>
                  <w:marBottom w:val="0"/>
                  <w:divBdr>
                    <w:top w:val="none" w:sz="0" w:space="0" w:color="auto"/>
                    <w:left w:val="none" w:sz="0" w:space="0" w:color="auto"/>
                    <w:bottom w:val="none" w:sz="0" w:space="0" w:color="auto"/>
                    <w:right w:val="none" w:sz="0" w:space="0" w:color="auto"/>
                  </w:divBdr>
                  <w:divsChild>
                    <w:div w:id="4875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176522">
      <w:bodyDiv w:val="1"/>
      <w:marLeft w:val="0"/>
      <w:marRight w:val="0"/>
      <w:marTop w:val="0"/>
      <w:marBottom w:val="0"/>
      <w:divBdr>
        <w:top w:val="none" w:sz="0" w:space="0" w:color="auto"/>
        <w:left w:val="none" w:sz="0" w:space="0" w:color="auto"/>
        <w:bottom w:val="none" w:sz="0" w:space="0" w:color="auto"/>
        <w:right w:val="none" w:sz="0" w:space="0" w:color="auto"/>
      </w:divBdr>
      <w:divsChild>
        <w:div w:id="733045179">
          <w:marLeft w:val="0"/>
          <w:marRight w:val="0"/>
          <w:marTop w:val="0"/>
          <w:marBottom w:val="0"/>
          <w:divBdr>
            <w:top w:val="none" w:sz="0" w:space="0" w:color="auto"/>
            <w:left w:val="none" w:sz="0" w:space="0" w:color="auto"/>
            <w:bottom w:val="none" w:sz="0" w:space="0" w:color="auto"/>
            <w:right w:val="none" w:sz="0" w:space="0" w:color="auto"/>
          </w:divBdr>
          <w:divsChild>
            <w:div w:id="916939594">
              <w:marLeft w:val="0"/>
              <w:marRight w:val="0"/>
              <w:marTop w:val="0"/>
              <w:marBottom w:val="0"/>
              <w:divBdr>
                <w:top w:val="none" w:sz="0" w:space="0" w:color="auto"/>
                <w:left w:val="none" w:sz="0" w:space="0" w:color="auto"/>
                <w:bottom w:val="none" w:sz="0" w:space="0" w:color="auto"/>
                <w:right w:val="none" w:sz="0" w:space="0" w:color="auto"/>
              </w:divBdr>
              <w:divsChild>
                <w:div w:id="6195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09258">
      <w:bodyDiv w:val="1"/>
      <w:marLeft w:val="0"/>
      <w:marRight w:val="0"/>
      <w:marTop w:val="0"/>
      <w:marBottom w:val="0"/>
      <w:divBdr>
        <w:top w:val="none" w:sz="0" w:space="0" w:color="auto"/>
        <w:left w:val="none" w:sz="0" w:space="0" w:color="auto"/>
        <w:bottom w:val="none" w:sz="0" w:space="0" w:color="auto"/>
        <w:right w:val="none" w:sz="0" w:space="0" w:color="auto"/>
      </w:divBdr>
      <w:divsChild>
        <w:div w:id="692270764">
          <w:marLeft w:val="0"/>
          <w:marRight w:val="0"/>
          <w:marTop w:val="0"/>
          <w:marBottom w:val="0"/>
          <w:divBdr>
            <w:top w:val="none" w:sz="0" w:space="0" w:color="auto"/>
            <w:left w:val="none" w:sz="0" w:space="0" w:color="auto"/>
            <w:bottom w:val="none" w:sz="0" w:space="0" w:color="auto"/>
            <w:right w:val="none" w:sz="0" w:space="0" w:color="auto"/>
          </w:divBdr>
          <w:divsChild>
            <w:div w:id="2017223608">
              <w:marLeft w:val="0"/>
              <w:marRight w:val="0"/>
              <w:marTop w:val="0"/>
              <w:marBottom w:val="0"/>
              <w:divBdr>
                <w:top w:val="none" w:sz="0" w:space="0" w:color="auto"/>
                <w:left w:val="none" w:sz="0" w:space="0" w:color="auto"/>
                <w:bottom w:val="none" w:sz="0" w:space="0" w:color="auto"/>
                <w:right w:val="none" w:sz="0" w:space="0" w:color="auto"/>
              </w:divBdr>
              <w:divsChild>
                <w:div w:id="18972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62138">
      <w:bodyDiv w:val="1"/>
      <w:marLeft w:val="0"/>
      <w:marRight w:val="0"/>
      <w:marTop w:val="0"/>
      <w:marBottom w:val="0"/>
      <w:divBdr>
        <w:top w:val="none" w:sz="0" w:space="0" w:color="auto"/>
        <w:left w:val="none" w:sz="0" w:space="0" w:color="auto"/>
        <w:bottom w:val="none" w:sz="0" w:space="0" w:color="auto"/>
        <w:right w:val="none" w:sz="0" w:space="0" w:color="auto"/>
      </w:divBdr>
      <w:divsChild>
        <w:div w:id="717897819">
          <w:marLeft w:val="0"/>
          <w:marRight w:val="0"/>
          <w:marTop w:val="0"/>
          <w:marBottom w:val="0"/>
          <w:divBdr>
            <w:top w:val="none" w:sz="0" w:space="0" w:color="auto"/>
            <w:left w:val="none" w:sz="0" w:space="0" w:color="auto"/>
            <w:bottom w:val="none" w:sz="0" w:space="0" w:color="auto"/>
            <w:right w:val="none" w:sz="0" w:space="0" w:color="auto"/>
          </w:divBdr>
          <w:divsChild>
            <w:div w:id="1613123797">
              <w:marLeft w:val="0"/>
              <w:marRight w:val="0"/>
              <w:marTop w:val="0"/>
              <w:marBottom w:val="0"/>
              <w:divBdr>
                <w:top w:val="none" w:sz="0" w:space="0" w:color="auto"/>
                <w:left w:val="none" w:sz="0" w:space="0" w:color="auto"/>
                <w:bottom w:val="none" w:sz="0" w:space="0" w:color="auto"/>
                <w:right w:val="none" w:sz="0" w:space="0" w:color="auto"/>
              </w:divBdr>
              <w:divsChild>
                <w:div w:id="124029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522157">
      <w:bodyDiv w:val="1"/>
      <w:marLeft w:val="0"/>
      <w:marRight w:val="0"/>
      <w:marTop w:val="0"/>
      <w:marBottom w:val="0"/>
      <w:divBdr>
        <w:top w:val="none" w:sz="0" w:space="0" w:color="auto"/>
        <w:left w:val="none" w:sz="0" w:space="0" w:color="auto"/>
        <w:bottom w:val="none" w:sz="0" w:space="0" w:color="auto"/>
        <w:right w:val="none" w:sz="0" w:space="0" w:color="auto"/>
      </w:divBdr>
    </w:div>
    <w:div w:id="1799952261">
      <w:bodyDiv w:val="1"/>
      <w:marLeft w:val="0"/>
      <w:marRight w:val="0"/>
      <w:marTop w:val="0"/>
      <w:marBottom w:val="0"/>
      <w:divBdr>
        <w:top w:val="none" w:sz="0" w:space="0" w:color="auto"/>
        <w:left w:val="none" w:sz="0" w:space="0" w:color="auto"/>
        <w:bottom w:val="none" w:sz="0" w:space="0" w:color="auto"/>
        <w:right w:val="none" w:sz="0" w:space="0" w:color="auto"/>
      </w:divBdr>
      <w:divsChild>
        <w:div w:id="1139952311">
          <w:marLeft w:val="0"/>
          <w:marRight w:val="0"/>
          <w:marTop w:val="0"/>
          <w:marBottom w:val="0"/>
          <w:divBdr>
            <w:top w:val="none" w:sz="0" w:space="0" w:color="auto"/>
            <w:left w:val="none" w:sz="0" w:space="0" w:color="auto"/>
            <w:bottom w:val="none" w:sz="0" w:space="0" w:color="auto"/>
            <w:right w:val="none" w:sz="0" w:space="0" w:color="auto"/>
          </w:divBdr>
          <w:divsChild>
            <w:div w:id="823005200">
              <w:marLeft w:val="0"/>
              <w:marRight w:val="0"/>
              <w:marTop w:val="0"/>
              <w:marBottom w:val="0"/>
              <w:divBdr>
                <w:top w:val="none" w:sz="0" w:space="0" w:color="auto"/>
                <w:left w:val="none" w:sz="0" w:space="0" w:color="auto"/>
                <w:bottom w:val="none" w:sz="0" w:space="0" w:color="auto"/>
                <w:right w:val="none" w:sz="0" w:space="0" w:color="auto"/>
              </w:divBdr>
              <w:divsChild>
                <w:div w:id="52691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00630">
      <w:bodyDiv w:val="1"/>
      <w:marLeft w:val="0"/>
      <w:marRight w:val="0"/>
      <w:marTop w:val="0"/>
      <w:marBottom w:val="0"/>
      <w:divBdr>
        <w:top w:val="none" w:sz="0" w:space="0" w:color="auto"/>
        <w:left w:val="none" w:sz="0" w:space="0" w:color="auto"/>
        <w:bottom w:val="none" w:sz="0" w:space="0" w:color="auto"/>
        <w:right w:val="none" w:sz="0" w:space="0" w:color="auto"/>
      </w:divBdr>
      <w:divsChild>
        <w:div w:id="2057120467">
          <w:marLeft w:val="0"/>
          <w:marRight w:val="0"/>
          <w:marTop w:val="0"/>
          <w:marBottom w:val="0"/>
          <w:divBdr>
            <w:top w:val="none" w:sz="0" w:space="0" w:color="auto"/>
            <w:left w:val="none" w:sz="0" w:space="0" w:color="auto"/>
            <w:bottom w:val="none" w:sz="0" w:space="0" w:color="auto"/>
            <w:right w:val="none" w:sz="0" w:space="0" w:color="auto"/>
          </w:divBdr>
          <w:divsChild>
            <w:div w:id="611980169">
              <w:marLeft w:val="0"/>
              <w:marRight w:val="0"/>
              <w:marTop w:val="0"/>
              <w:marBottom w:val="0"/>
              <w:divBdr>
                <w:top w:val="none" w:sz="0" w:space="0" w:color="auto"/>
                <w:left w:val="none" w:sz="0" w:space="0" w:color="auto"/>
                <w:bottom w:val="none" w:sz="0" w:space="0" w:color="auto"/>
                <w:right w:val="none" w:sz="0" w:space="0" w:color="auto"/>
              </w:divBdr>
              <w:divsChild>
                <w:div w:id="962854979">
                  <w:marLeft w:val="0"/>
                  <w:marRight w:val="0"/>
                  <w:marTop w:val="0"/>
                  <w:marBottom w:val="0"/>
                  <w:divBdr>
                    <w:top w:val="none" w:sz="0" w:space="0" w:color="auto"/>
                    <w:left w:val="none" w:sz="0" w:space="0" w:color="auto"/>
                    <w:bottom w:val="none" w:sz="0" w:space="0" w:color="auto"/>
                    <w:right w:val="none" w:sz="0" w:space="0" w:color="auto"/>
                  </w:divBdr>
                  <w:divsChild>
                    <w:div w:id="157905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578218">
      <w:bodyDiv w:val="1"/>
      <w:marLeft w:val="0"/>
      <w:marRight w:val="0"/>
      <w:marTop w:val="0"/>
      <w:marBottom w:val="0"/>
      <w:divBdr>
        <w:top w:val="none" w:sz="0" w:space="0" w:color="auto"/>
        <w:left w:val="none" w:sz="0" w:space="0" w:color="auto"/>
        <w:bottom w:val="none" w:sz="0" w:space="0" w:color="auto"/>
        <w:right w:val="none" w:sz="0" w:space="0" w:color="auto"/>
      </w:divBdr>
      <w:divsChild>
        <w:div w:id="794253521">
          <w:marLeft w:val="0"/>
          <w:marRight w:val="0"/>
          <w:marTop w:val="0"/>
          <w:marBottom w:val="0"/>
          <w:divBdr>
            <w:top w:val="none" w:sz="0" w:space="0" w:color="auto"/>
            <w:left w:val="none" w:sz="0" w:space="0" w:color="auto"/>
            <w:bottom w:val="none" w:sz="0" w:space="0" w:color="auto"/>
            <w:right w:val="none" w:sz="0" w:space="0" w:color="auto"/>
          </w:divBdr>
          <w:divsChild>
            <w:div w:id="1889678427">
              <w:marLeft w:val="0"/>
              <w:marRight w:val="0"/>
              <w:marTop w:val="0"/>
              <w:marBottom w:val="0"/>
              <w:divBdr>
                <w:top w:val="none" w:sz="0" w:space="0" w:color="auto"/>
                <w:left w:val="none" w:sz="0" w:space="0" w:color="auto"/>
                <w:bottom w:val="none" w:sz="0" w:space="0" w:color="auto"/>
                <w:right w:val="none" w:sz="0" w:space="0" w:color="auto"/>
              </w:divBdr>
              <w:divsChild>
                <w:div w:id="15556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84571">
      <w:bodyDiv w:val="1"/>
      <w:marLeft w:val="0"/>
      <w:marRight w:val="0"/>
      <w:marTop w:val="0"/>
      <w:marBottom w:val="0"/>
      <w:divBdr>
        <w:top w:val="none" w:sz="0" w:space="0" w:color="auto"/>
        <w:left w:val="none" w:sz="0" w:space="0" w:color="auto"/>
        <w:bottom w:val="none" w:sz="0" w:space="0" w:color="auto"/>
        <w:right w:val="none" w:sz="0" w:space="0" w:color="auto"/>
      </w:divBdr>
      <w:divsChild>
        <w:div w:id="2109150879">
          <w:marLeft w:val="0"/>
          <w:marRight w:val="0"/>
          <w:marTop w:val="0"/>
          <w:marBottom w:val="0"/>
          <w:divBdr>
            <w:top w:val="none" w:sz="0" w:space="0" w:color="auto"/>
            <w:left w:val="none" w:sz="0" w:space="0" w:color="auto"/>
            <w:bottom w:val="none" w:sz="0" w:space="0" w:color="auto"/>
            <w:right w:val="none" w:sz="0" w:space="0" w:color="auto"/>
          </w:divBdr>
          <w:divsChild>
            <w:div w:id="1969237275">
              <w:marLeft w:val="0"/>
              <w:marRight w:val="0"/>
              <w:marTop w:val="0"/>
              <w:marBottom w:val="0"/>
              <w:divBdr>
                <w:top w:val="none" w:sz="0" w:space="0" w:color="auto"/>
                <w:left w:val="none" w:sz="0" w:space="0" w:color="auto"/>
                <w:bottom w:val="none" w:sz="0" w:space="0" w:color="auto"/>
                <w:right w:val="none" w:sz="0" w:space="0" w:color="auto"/>
              </w:divBdr>
              <w:divsChild>
                <w:div w:id="5731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95293">
      <w:bodyDiv w:val="1"/>
      <w:marLeft w:val="0"/>
      <w:marRight w:val="0"/>
      <w:marTop w:val="0"/>
      <w:marBottom w:val="0"/>
      <w:divBdr>
        <w:top w:val="none" w:sz="0" w:space="0" w:color="auto"/>
        <w:left w:val="none" w:sz="0" w:space="0" w:color="auto"/>
        <w:bottom w:val="none" w:sz="0" w:space="0" w:color="auto"/>
        <w:right w:val="none" w:sz="0" w:space="0" w:color="auto"/>
      </w:divBdr>
      <w:divsChild>
        <w:div w:id="1862821247">
          <w:marLeft w:val="0"/>
          <w:marRight w:val="0"/>
          <w:marTop w:val="0"/>
          <w:marBottom w:val="0"/>
          <w:divBdr>
            <w:top w:val="none" w:sz="0" w:space="0" w:color="auto"/>
            <w:left w:val="none" w:sz="0" w:space="0" w:color="auto"/>
            <w:bottom w:val="none" w:sz="0" w:space="0" w:color="auto"/>
            <w:right w:val="none" w:sz="0" w:space="0" w:color="auto"/>
          </w:divBdr>
          <w:divsChild>
            <w:div w:id="56437272">
              <w:marLeft w:val="0"/>
              <w:marRight w:val="0"/>
              <w:marTop w:val="0"/>
              <w:marBottom w:val="0"/>
              <w:divBdr>
                <w:top w:val="none" w:sz="0" w:space="0" w:color="auto"/>
                <w:left w:val="none" w:sz="0" w:space="0" w:color="auto"/>
                <w:bottom w:val="none" w:sz="0" w:space="0" w:color="auto"/>
                <w:right w:val="none" w:sz="0" w:space="0" w:color="auto"/>
              </w:divBdr>
              <w:divsChild>
                <w:div w:id="7953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54256">
      <w:bodyDiv w:val="1"/>
      <w:marLeft w:val="0"/>
      <w:marRight w:val="0"/>
      <w:marTop w:val="0"/>
      <w:marBottom w:val="0"/>
      <w:divBdr>
        <w:top w:val="none" w:sz="0" w:space="0" w:color="auto"/>
        <w:left w:val="none" w:sz="0" w:space="0" w:color="auto"/>
        <w:bottom w:val="none" w:sz="0" w:space="0" w:color="auto"/>
        <w:right w:val="none" w:sz="0" w:space="0" w:color="auto"/>
      </w:divBdr>
      <w:divsChild>
        <w:div w:id="276759435">
          <w:marLeft w:val="0"/>
          <w:marRight w:val="0"/>
          <w:marTop w:val="0"/>
          <w:marBottom w:val="0"/>
          <w:divBdr>
            <w:top w:val="none" w:sz="0" w:space="0" w:color="auto"/>
            <w:left w:val="none" w:sz="0" w:space="0" w:color="auto"/>
            <w:bottom w:val="none" w:sz="0" w:space="0" w:color="auto"/>
            <w:right w:val="none" w:sz="0" w:space="0" w:color="auto"/>
          </w:divBdr>
          <w:divsChild>
            <w:div w:id="1469665289">
              <w:marLeft w:val="0"/>
              <w:marRight w:val="0"/>
              <w:marTop w:val="0"/>
              <w:marBottom w:val="0"/>
              <w:divBdr>
                <w:top w:val="none" w:sz="0" w:space="0" w:color="auto"/>
                <w:left w:val="none" w:sz="0" w:space="0" w:color="auto"/>
                <w:bottom w:val="none" w:sz="0" w:space="0" w:color="auto"/>
                <w:right w:val="none" w:sz="0" w:space="0" w:color="auto"/>
              </w:divBdr>
              <w:divsChild>
                <w:div w:id="12174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89916">
      <w:bodyDiv w:val="1"/>
      <w:marLeft w:val="0"/>
      <w:marRight w:val="0"/>
      <w:marTop w:val="0"/>
      <w:marBottom w:val="0"/>
      <w:divBdr>
        <w:top w:val="none" w:sz="0" w:space="0" w:color="auto"/>
        <w:left w:val="none" w:sz="0" w:space="0" w:color="auto"/>
        <w:bottom w:val="none" w:sz="0" w:space="0" w:color="auto"/>
        <w:right w:val="none" w:sz="0" w:space="0" w:color="auto"/>
      </w:divBdr>
      <w:divsChild>
        <w:div w:id="1470123767">
          <w:marLeft w:val="0"/>
          <w:marRight w:val="0"/>
          <w:marTop w:val="0"/>
          <w:marBottom w:val="0"/>
          <w:divBdr>
            <w:top w:val="none" w:sz="0" w:space="0" w:color="auto"/>
            <w:left w:val="none" w:sz="0" w:space="0" w:color="auto"/>
            <w:bottom w:val="none" w:sz="0" w:space="0" w:color="auto"/>
            <w:right w:val="none" w:sz="0" w:space="0" w:color="auto"/>
          </w:divBdr>
          <w:divsChild>
            <w:div w:id="1543248837">
              <w:marLeft w:val="0"/>
              <w:marRight w:val="0"/>
              <w:marTop w:val="0"/>
              <w:marBottom w:val="0"/>
              <w:divBdr>
                <w:top w:val="none" w:sz="0" w:space="0" w:color="auto"/>
                <w:left w:val="none" w:sz="0" w:space="0" w:color="auto"/>
                <w:bottom w:val="none" w:sz="0" w:space="0" w:color="auto"/>
                <w:right w:val="none" w:sz="0" w:space="0" w:color="auto"/>
              </w:divBdr>
              <w:divsChild>
                <w:div w:id="1892036200">
                  <w:marLeft w:val="0"/>
                  <w:marRight w:val="0"/>
                  <w:marTop w:val="0"/>
                  <w:marBottom w:val="0"/>
                  <w:divBdr>
                    <w:top w:val="none" w:sz="0" w:space="0" w:color="auto"/>
                    <w:left w:val="none" w:sz="0" w:space="0" w:color="auto"/>
                    <w:bottom w:val="none" w:sz="0" w:space="0" w:color="auto"/>
                    <w:right w:val="none" w:sz="0" w:space="0" w:color="auto"/>
                  </w:divBdr>
                  <w:divsChild>
                    <w:div w:id="1455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77137">
      <w:bodyDiv w:val="1"/>
      <w:marLeft w:val="0"/>
      <w:marRight w:val="0"/>
      <w:marTop w:val="0"/>
      <w:marBottom w:val="0"/>
      <w:divBdr>
        <w:top w:val="none" w:sz="0" w:space="0" w:color="auto"/>
        <w:left w:val="none" w:sz="0" w:space="0" w:color="auto"/>
        <w:bottom w:val="none" w:sz="0" w:space="0" w:color="auto"/>
        <w:right w:val="none" w:sz="0" w:space="0" w:color="auto"/>
      </w:divBdr>
      <w:divsChild>
        <w:div w:id="1334723154">
          <w:marLeft w:val="0"/>
          <w:marRight w:val="0"/>
          <w:marTop w:val="0"/>
          <w:marBottom w:val="0"/>
          <w:divBdr>
            <w:top w:val="none" w:sz="0" w:space="0" w:color="auto"/>
            <w:left w:val="none" w:sz="0" w:space="0" w:color="auto"/>
            <w:bottom w:val="none" w:sz="0" w:space="0" w:color="auto"/>
            <w:right w:val="none" w:sz="0" w:space="0" w:color="auto"/>
          </w:divBdr>
          <w:divsChild>
            <w:div w:id="249975359">
              <w:marLeft w:val="0"/>
              <w:marRight w:val="0"/>
              <w:marTop w:val="0"/>
              <w:marBottom w:val="0"/>
              <w:divBdr>
                <w:top w:val="none" w:sz="0" w:space="0" w:color="auto"/>
                <w:left w:val="none" w:sz="0" w:space="0" w:color="auto"/>
                <w:bottom w:val="none" w:sz="0" w:space="0" w:color="auto"/>
                <w:right w:val="none" w:sz="0" w:space="0" w:color="auto"/>
              </w:divBdr>
              <w:divsChild>
                <w:div w:id="1994720433">
                  <w:marLeft w:val="0"/>
                  <w:marRight w:val="0"/>
                  <w:marTop w:val="0"/>
                  <w:marBottom w:val="0"/>
                  <w:divBdr>
                    <w:top w:val="none" w:sz="0" w:space="0" w:color="auto"/>
                    <w:left w:val="none" w:sz="0" w:space="0" w:color="auto"/>
                    <w:bottom w:val="none" w:sz="0" w:space="0" w:color="auto"/>
                    <w:right w:val="none" w:sz="0" w:space="0" w:color="auto"/>
                  </w:divBdr>
                  <w:divsChild>
                    <w:div w:id="20480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378067">
      <w:bodyDiv w:val="1"/>
      <w:marLeft w:val="0"/>
      <w:marRight w:val="0"/>
      <w:marTop w:val="0"/>
      <w:marBottom w:val="0"/>
      <w:divBdr>
        <w:top w:val="none" w:sz="0" w:space="0" w:color="auto"/>
        <w:left w:val="none" w:sz="0" w:space="0" w:color="auto"/>
        <w:bottom w:val="none" w:sz="0" w:space="0" w:color="auto"/>
        <w:right w:val="none" w:sz="0" w:space="0" w:color="auto"/>
      </w:divBdr>
      <w:divsChild>
        <w:div w:id="946430021">
          <w:marLeft w:val="0"/>
          <w:marRight w:val="0"/>
          <w:marTop w:val="0"/>
          <w:marBottom w:val="0"/>
          <w:divBdr>
            <w:top w:val="none" w:sz="0" w:space="0" w:color="auto"/>
            <w:left w:val="none" w:sz="0" w:space="0" w:color="auto"/>
            <w:bottom w:val="none" w:sz="0" w:space="0" w:color="auto"/>
            <w:right w:val="none" w:sz="0" w:space="0" w:color="auto"/>
          </w:divBdr>
          <w:divsChild>
            <w:div w:id="93402424">
              <w:marLeft w:val="0"/>
              <w:marRight w:val="0"/>
              <w:marTop w:val="0"/>
              <w:marBottom w:val="0"/>
              <w:divBdr>
                <w:top w:val="none" w:sz="0" w:space="0" w:color="auto"/>
                <w:left w:val="none" w:sz="0" w:space="0" w:color="auto"/>
                <w:bottom w:val="none" w:sz="0" w:space="0" w:color="auto"/>
                <w:right w:val="none" w:sz="0" w:space="0" w:color="auto"/>
              </w:divBdr>
              <w:divsChild>
                <w:div w:id="56106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550241">
      <w:bodyDiv w:val="1"/>
      <w:marLeft w:val="0"/>
      <w:marRight w:val="0"/>
      <w:marTop w:val="0"/>
      <w:marBottom w:val="0"/>
      <w:divBdr>
        <w:top w:val="none" w:sz="0" w:space="0" w:color="auto"/>
        <w:left w:val="none" w:sz="0" w:space="0" w:color="auto"/>
        <w:bottom w:val="none" w:sz="0" w:space="0" w:color="auto"/>
        <w:right w:val="none" w:sz="0" w:space="0" w:color="auto"/>
      </w:divBdr>
      <w:divsChild>
        <w:div w:id="442843977">
          <w:marLeft w:val="0"/>
          <w:marRight w:val="0"/>
          <w:marTop w:val="0"/>
          <w:marBottom w:val="0"/>
          <w:divBdr>
            <w:top w:val="none" w:sz="0" w:space="0" w:color="auto"/>
            <w:left w:val="none" w:sz="0" w:space="0" w:color="auto"/>
            <w:bottom w:val="none" w:sz="0" w:space="0" w:color="auto"/>
            <w:right w:val="none" w:sz="0" w:space="0" w:color="auto"/>
          </w:divBdr>
          <w:divsChild>
            <w:div w:id="1464885686">
              <w:marLeft w:val="0"/>
              <w:marRight w:val="0"/>
              <w:marTop w:val="0"/>
              <w:marBottom w:val="0"/>
              <w:divBdr>
                <w:top w:val="none" w:sz="0" w:space="0" w:color="auto"/>
                <w:left w:val="none" w:sz="0" w:space="0" w:color="auto"/>
                <w:bottom w:val="none" w:sz="0" w:space="0" w:color="auto"/>
                <w:right w:val="none" w:sz="0" w:space="0" w:color="auto"/>
              </w:divBdr>
              <w:divsChild>
                <w:div w:id="188594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73816">
      <w:bodyDiv w:val="1"/>
      <w:marLeft w:val="0"/>
      <w:marRight w:val="0"/>
      <w:marTop w:val="0"/>
      <w:marBottom w:val="0"/>
      <w:divBdr>
        <w:top w:val="none" w:sz="0" w:space="0" w:color="auto"/>
        <w:left w:val="none" w:sz="0" w:space="0" w:color="auto"/>
        <w:bottom w:val="none" w:sz="0" w:space="0" w:color="auto"/>
        <w:right w:val="none" w:sz="0" w:space="0" w:color="auto"/>
      </w:divBdr>
      <w:divsChild>
        <w:div w:id="789516315">
          <w:marLeft w:val="0"/>
          <w:marRight w:val="0"/>
          <w:marTop w:val="0"/>
          <w:marBottom w:val="0"/>
          <w:divBdr>
            <w:top w:val="none" w:sz="0" w:space="0" w:color="auto"/>
            <w:left w:val="none" w:sz="0" w:space="0" w:color="auto"/>
            <w:bottom w:val="none" w:sz="0" w:space="0" w:color="auto"/>
            <w:right w:val="none" w:sz="0" w:space="0" w:color="auto"/>
          </w:divBdr>
        </w:div>
      </w:divsChild>
    </w:div>
    <w:div w:id="1854421029">
      <w:bodyDiv w:val="1"/>
      <w:marLeft w:val="0"/>
      <w:marRight w:val="0"/>
      <w:marTop w:val="0"/>
      <w:marBottom w:val="0"/>
      <w:divBdr>
        <w:top w:val="none" w:sz="0" w:space="0" w:color="auto"/>
        <w:left w:val="none" w:sz="0" w:space="0" w:color="auto"/>
        <w:bottom w:val="none" w:sz="0" w:space="0" w:color="auto"/>
        <w:right w:val="none" w:sz="0" w:space="0" w:color="auto"/>
      </w:divBdr>
      <w:divsChild>
        <w:div w:id="1879514781">
          <w:marLeft w:val="0"/>
          <w:marRight w:val="0"/>
          <w:marTop w:val="0"/>
          <w:marBottom w:val="0"/>
          <w:divBdr>
            <w:top w:val="none" w:sz="0" w:space="0" w:color="auto"/>
            <w:left w:val="none" w:sz="0" w:space="0" w:color="auto"/>
            <w:bottom w:val="none" w:sz="0" w:space="0" w:color="auto"/>
            <w:right w:val="none" w:sz="0" w:space="0" w:color="auto"/>
          </w:divBdr>
          <w:divsChild>
            <w:div w:id="1194732113">
              <w:marLeft w:val="0"/>
              <w:marRight w:val="0"/>
              <w:marTop w:val="0"/>
              <w:marBottom w:val="0"/>
              <w:divBdr>
                <w:top w:val="none" w:sz="0" w:space="0" w:color="auto"/>
                <w:left w:val="none" w:sz="0" w:space="0" w:color="auto"/>
                <w:bottom w:val="none" w:sz="0" w:space="0" w:color="auto"/>
                <w:right w:val="none" w:sz="0" w:space="0" w:color="auto"/>
              </w:divBdr>
              <w:divsChild>
                <w:div w:id="9194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80034">
      <w:bodyDiv w:val="1"/>
      <w:marLeft w:val="0"/>
      <w:marRight w:val="0"/>
      <w:marTop w:val="0"/>
      <w:marBottom w:val="0"/>
      <w:divBdr>
        <w:top w:val="none" w:sz="0" w:space="0" w:color="auto"/>
        <w:left w:val="none" w:sz="0" w:space="0" w:color="auto"/>
        <w:bottom w:val="none" w:sz="0" w:space="0" w:color="auto"/>
        <w:right w:val="none" w:sz="0" w:space="0" w:color="auto"/>
      </w:divBdr>
      <w:divsChild>
        <w:div w:id="1431075464">
          <w:marLeft w:val="0"/>
          <w:marRight w:val="0"/>
          <w:marTop w:val="0"/>
          <w:marBottom w:val="0"/>
          <w:divBdr>
            <w:top w:val="none" w:sz="0" w:space="0" w:color="auto"/>
            <w:left w:val="none" w:sz="0" w:space="0" w:color="auto"/>
            <w:bottom w:val="none" w:sz="0" w:space="0" w:color="auto"/>
            <w:right w:val="none" w:sz="0" w:space="0" w:color="auto"/>
          </w:divBdr>
          <w:divsChild>
            <w:div w:id="68046652">
              <w:marLeft w:val="0"/>
              <w:marRight w:val="0"/>
              <w:marTop w:val="0"/>
              <w:marBottom w:val="0"/>
              <w:divBdr>
                <w:top w:val="none" w:sz="0" w:space="0" w:color="auto"/>
                <w:left w:val="none" w:sz="0" w:space="0" w:color="auto"/>
                <w:bottom w:val="none" w:sz="0" w:space="0" w:color="auto"/>
                <w:right w:val="none" w:sz="0" w:space="0" w:color="auto"/>
              </w:divBdr>
              <w:divsChild>
                <w:div w:id="2119138096">
                  <w:marLeft w:val="0"/>
                  <w:marRight w:val="0"/>
                  <w:marTop w:val="0"/>
                  <w:marBottom w:val="0"/>
                  <w:divBdr>
                    <w:top w:val="none" w:sz="0" w:space="0" w:color="auto"/>
                    <w:left w:val="none" w:sz="0" w:space="0" w:color="auto"/>
                    <w:bottom w:val="none" w:sz="0" w:space="0" w:color="auto"/>
                    <w:right w:val="none" w:sz="0" w:space="0" w:color="auto"/>
                  </w:divBdr>
                  <w:divsChild>
                    <w:div w:id="12676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625045">
      <w:bodyDiv w:val="1"/>
      <w:marLeft w:val="0"/>
      <w:marRight w:val="0"/>
      <w:marTop w:val="0"/>
      <w:marBottom w:val="0"/>
      <w:divBdr>
        <w:top w:val="none" w:sz="0" w:space="0" w:color="auto"/>
        <w:left w:val="none" w:sz="0" w:space="0" w:color="auto"/>
        <w:bottom w:val="none" w:sz="0" w:space="0" w:color="auto"/>
        <w:right w:val="none" w:sz="0" w:space="0" w:color="auto"/>
      </w:divBdr>
      <w:divsChild>
        <w:div w:id="486440084">
          <w:marLeft w:val="0"/>
          <w:marRight w:val="0"/>
          <w:marTop w:val="0"/>
          <w:marBottom w:val="0"/>
          <w:divBdr>
            <w:top w:val="none" w:sz="0" w:space="0" w:color="auto"/>
            <w:left w:val="none" w:sz="0" w:space="0" w:color="auto"/>
            <w:bottom w:val="none" w:sz="0" w:space="0" w:color="auto"/>
            <w:right w:val="none" w:sz="0" w:space="0" w:color="auto"/>
          </w:divBdr>
          <w:divsChild>
            <w:div w:id="1812865354">
              <w:marLeft w:val="0"/>
              <w:marRight w:val="0"/>
              <w:marTop w:val="0"/>
              <w:marBottom w:val="0"/>
              <w:divBdr>
                <w:top w:val="none" w:sz="0" w:space="0" w:color="auto"/>
                <w:left w:val="none" w:sz="0" w:space="0" w:color="auto"/>
                <w:bottom w:val="none" w:sz="0" w:space="0" w:color="auto"/>
                <w:right w:val="none" w:sz="0" w:space="0" w:color="auto"/>
              </w:divBdr>
              <w:divsChild>
                <w:div w:id="11581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561813">
      <w:bodyDiv w:val="1"/>
      <w:marLeft w:val="0"/>
      <w:marRight w:val="0"/>
      <w:marTop w:val="0"/>
      <w:marBottom w:val="0"/>
      <w:divBdr>
        <w:top w:val="none" w:sz="0" w:space="0" w:color="auto"/>
        <w:left w:val="none" w:sz="0" w:space="0" w:color="auto"/>
        <w:bottom w:val="none" w:sz="0" w:space="0" w:color="auto"/>
        <w:right w:val="none" w:sz="0" w:space="0" w:color="auto"/>
      </w:divBdr>
      <w:divsChild>
        <w:div w:id="468475206">
          <w:marLeft w:val="0"/>
          <w:marRight w:val="0"/>
          <w:marTop w:val="0"/>
          <w:marBottom w:val="0"/>
          <w:divBdr>
            <w:top w:val="none" w:sz="0" w:space="0" w:color="auto"/>
            <w:left w:val="none" w:sz="0" w:space="0" w:color="auto"/>
            <w:bottom w:val="none" w:sz="0" w:space="0" w:color="auto"/>
            <w:right w:val="none" w:sz="0" w:space="0" w:color="auto"/>
          </w:divBdr>
          <w:divsChild>
            <w:div w:id="644819995">
              <w:marLeft w:val="0"/>
              <w:marRight w:val="0"/>
              <w:marTop w:val="0"/>
              <w:marBottom w:val="0"/>
              <w:divBdr>
                <w:top w:val="none" w:sz="0" w:space="0" w:color="auto"/>
                <w:left w:val="none" w:sz="0" w:space="0" w:color="auto"/>
                <w:bottom w:val="none" w:sz="0" w:space="0" w:color="auto"/>
                <w:right w:val="none" w:sz="0" w:space="0" w:color="auto"/>
              </w:divBdr>
              <w:divsChild>
                <w:div w:id="12519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45624">
      <w:bodyDiv w:val="1"/>
      <w:marLeft w:val="0"/>
      <w:marRight w:val="0"/>
      <w:marTop w:val="0"/>
      <w:marBottom w:val="0"/>
      <w:divBdr>
        <w:top w:val="none" w:sz="0" w:space="0" w:color="auto"/>
        <w:left w:val="none" w:sz="0" w:space="0" w:color="auto"/>
        <w:bottom w:val="none" w:sz="0" w:space="0" w:color="auto"/>
        <w:right w:val="none" w:sz="0" w:space="0" w:color="auto"/>
      </w:divBdr>
      <w:divsChild>
        <w:div w:id="200941239">
          <w:marLeft w:val="0"/>
          <w:marRight w:val="0"/>
          <w:marTop w:val="0"/>
          <w:marBottom w:val="0"/>
          <w:divBdr>
            <w:top w:val="none" w:sz="0" w:space="0" w:color="auto"/>
            <w:left w:val="none" w:sz="0" w:space="0" w:color="auto"/>
            <w:bottom w:val="none" w:sz="0" w:space="0" w:color="auto"/>
            <w:right w:val="none" w:sz="0" w:space="0" w:color="auto"/>
          </w:divBdr>
          <w:divsChild>
            <w:div w:id="521481509">
              <w:marLeft w:val="0"/>
              <w:marRight w:val="0"/>
              <w:marTop w:val="0"/>
              <w:marBottom w:val="0"/>
              <w:divBdr>
                <w:top w:val="none" w:sz="0" w:space="0" w:color="auto"/>
                <w:left w:val="none" w:sz="0" w:space="0" w:color="auto"/>
                <w:bottom w:val="none" w:sz="0" w:space="0" w:color="auto"/>
                <w:right w:val="none" w:sz="0" w:space="0" w:color="auto"/>
              </w:divBdr>
              <w:divsChild>
                <w:div w:id="1289706019">
                  <w:marLeft w:val="0"/>
                  <w:marRight w:val="0"/>
                  <w:marTop w:val="0"/>
                  <w:marBottom w:val="0"/>
                  <w:divBdr>
                    <w:top w:val="none" w:sz="0" w:space="0" w:color="auto"/>
                    <w:left w:val="none" w:sz="0" w:space="0" w:color="auto"/>
                    <w:bottom w:val="none" w:sz="0" w:space="0" w:color="auto"/>
                    <w:right w:val="none" w:sz="0" w:space="0" w:color="auto"/>
                  </w:divBdr>
                  <w:divsChild>
                    <w:div w:id="21079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495650">
      <w:bodyDiv w:val="1"/>
      <w:marLeft w:val="0"/>
      <w:marRight w:val="0"/>
      <w:marTop w:val="0"/>
      <w:marBottom w:val="0"/>
      <w:divBdr>
        <w:top w:val="none" w:sz="0" w:space="0" w:color="auto"/>
        <w:left w:val="none" w:sz="0" w:space="0" w:color="auto"/>
        <w:bottom w:val="none" w:sz="0" w:space="0" w:color="auto"/>
        <w:right w:val="none" w:sz="0" w:space="0" w:color="auto"/>
      </w:divBdr>
      <w:divsChild>
        <w:div w:id="1854419387">
          <w:marLeft w:val="0"/>
          <w:marRight w:val="0"/>
          <w:marTop w:val="0"/>
          <w:marBottom w:val="0"/>
          <w:divBdr>
            <w:top w:val="none" w:sz="0" w:space="0" w:color="auto"/>
            <w:left w:val="none" w:sz="0" w:space="0" w:color="auto"/>
            <w:bottom w:val="none" w:sz="0" w:space="0" w:color="auto"/>
            <w:right w:val="none" w:sz="0" w:space="0" w:color="auto"/>
          </w:divBdr>
          <w:divsChild>
            <w:div w:id="318506341">
              <w:marLeft w:val="0"/>
              <w:marRight w:val="0"/>
              <w:marTop w:val="0"/>
              <w:marBottom w:val="0"/>
              <w:divBdr>
                <w:top w:val="none" w:sz="0" w:space="0" w:color="auto"/>
                <w:left w:val="none" w:sz="0" w:space="0" w:color="auto"/>
                <w:bottom w:val="none" w:sz="0" w:space="0" w:color="auto"/>
                <w:right w:val="none" w:sz="0" w:space="0" w:color="auto"/>
              </w:divBdr>
              <w:divsChild>
                <w:div w:id="18685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24264">
      <w:bodyDiv w:val="1"/>
      <w:marLeft w:val="0"/>
      <w:marRight w:val="0"/>
      <w:marTop w:val="0"/>
      <w:marBottom w:val="0"/>
      <w:divBdr>
        <w:top w:val="none" w:sz="0" w:space="0" w:color="auto"/>
        <w:left w:val="none" w:sz="0" w:space="0" w:color="auto"/>
        <w:bottom w:val="none" w:sz="0" w:space="0" w:color="auto"/>
        <w:right w:val="none" w:sz="0" w:space="0" w:color="auto"/>
      </w:divBdr>
      <w:divsChild>
        <w:div w:id="1799375783">
          <w:marLeft w:val="0"/>
          <w:marRight w:val="0"/>
          <w:marTop w:val="0"/>
          <w:marBottom w:val="0"/>
          <w:divBdr>
            <w:top w:val="none" w:sz="0" w:space="0" w:color="auto"/>
            <w:left w:val="none" w:sz="0" w:space="0" w:color="auto"/>
            <w:bottom w:val="none" w:sz="0" w:space="0" w:color="auto"/>
            <w:right w:val="none" w:sz="0" w:space="0" w:color="auto"/>
          </w:divBdr>
          <w:divsChild>
            <w:div w:id="1598440098">
              <w:marLeft w:val="0"/>
              <w:marRight w:val="0"/>
              <w:marTop w:val="0"/>
              <w:marBottom w:val="0"/>
              <w:divBdr>
                <w:top w:val="none" w:sz="0" w:space="0" w:color="auto"/>
                <w:left w:val="none" w:sz="0" w:space="0" w:color="auto"/>
                <w:bottom w:val="none" w:sz="0" w:space="0" w:color="auto"/>
                <w:right w:val="none" w:sz="0" w:space="0" w:color="auto"/>
              </w:divBdr>
              <w:divsChild>
                <w:div w:id="150150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466354">
      <w:bodyDiv w:val="1"/>
      <w:marLeft w:val="0"/>
      <w:marRight w:val="0"/>
      <w:marTop w:val="0"/>
      <w:marBottom w:val="0"/>
      <w:divBdr>
        <w:top w:val="none" w:sz="0" w:space="0" w:color="auto"/>
        <w:left w:val="none" w:sz="0" w:space="0" w:color="auto"/>
        <w:bottom w:val="none" w:sz="0" w:space="0" w:color="auto"/>
        <w:right w:val="none" w:sz="0" w:space="0" w:color="auto"/>
      </w:divBdr>
      <w:divsChild>
        <w:div w:id="183981735">
          <w:marLeft w:val="0"/>
          <w:marRight w:val="0"/>
          <w:marTop w:val="0"/>
          <w:marBottom w:val="0"/>
          <w:divBdr>
            <w:top w:val="none" w:sz="0" w:space="0" w:color="auto"/>
            <w:left w:val="none" w:sz="0" w:space="0" w:color="auto"/>
            <w:bottom w:val="none" w:sz="0" w:space="0" w:color="auto"/>
            <w:right w:val="none" w:sz="0" w:space="0" w:color="auto"/>
          </w:divBdr>
          <w:divsChild>
            <w:div w:id="737704639">
              <w:marLeft w:val="0"/>
              <w:marRight w:val="0"/>
              <w:marTop w:val="0"/>
              <w:marBottom w:val="0"/>
              <w:divBdr>
                <w:top w:val="none" w:sz="0" w:space="0" w:color="auto"/>
                <w:left w:val="none" w:sz="0" w:space="0" w:color="auto"/>
                <w:bottom w:val="none" w:sz="0" w:space="0" w:color="auto"/>
                <w:right w:val="none" w:sz="0" w:space="0" w:color="auto"/>
              </w:divBdr>
              <w:divsChild>
                <w:div w:id="983199089">
                  <w:marLeft w:val="0"/>
                  <w:marRight w:val="0"/>
                  <w:marTop w:val="0"/>
                  <w:marBottom w:val="0"/>
                  <w:divBdr>
                    <w:top w:val="none" w:sz="0" w:space="0" w:color="auto"/>
                    <w:left w:val="none" w:sz="0" w:space="0" w:color="auto"/>
                    <w:bottom w:val="none" w:sz="0" w:space="0" w:color="auto"/>
                    <w:right w:val="none" w:sz="0" w:space="0" w:color="auto"/>
                  </w:divBdr>
                  <w:divsChild>
                    <w:div w:id="16859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827917">
      <w:bodyDiv w:val="1"/>
      <w:marLeft w:val="0"/>
      <w:marRight w:val="0"/>
      <w:marTop w:val="0"/>
      <w:marBottom w:val="0"/>
      <w:divBdr>
        <w:top w:val="none" w:sz="0" w:space="0" w:color="auto"/>
        <w:left w:val="none" w:sz="0" w:space="0" w:color="auto"/>
        <w:bottom w:val="none" w:sz="0" w:space="0" w:color="auto"/>
        <w:right w:val="none" w:sz="0" w:space="0" w:color="auto"/>
      </w:divBdr>
      <w:divsChild>
        <w:div w:id="1024210807">
          <w:marLeft w:val="0"/>
          <w:marRight w:val="0"/>
          <w:marTop w:val="0"/>
          <w:marBottom w:val="0"/>
          <w:divBdr>
            <w:top w:val="none" w:sz="0" w:space="0" w:color="auto"/>
            <w:left w:val="none" w:sz="0" w:space="0" w:color="auto"/>
            <w:bottom w:val="none" w:sz="0" w:space="0" w:color="auto"/>
            <w:right w:val="none" w:sz="0" w:space="0" w:color="auto"/>
          </w:divBdr>
          <w:divsChild>
            <w:div w:id="2113475223">
              <w:marLeft w:val="0"/>
              <w:marRight w:val="0"/>
              <w:marTop w:val="0"/>
              <w:marBottom w:val="0"/>
              <w:divBdr>
                <w:top w:val="none" w:sz="0" w:space="0" w:color="auto"/>
                <w:left w:val="none" w:sz="0" w:space="0" w:color="auto"/>
                <w:bottom w:val="none" w:sz="0" w:space="0" w:color="auto"/>
                <w:right w:val="none" w:sz="0" w:space="0" w:color="auto"/>
              </w:divBdr>
              <w:divsChild>
                <w:div w:id="47533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675102">
      <w:bodyDiv w:val="1"/>
      <w:marLeft w:val="0"/>
      <w:marRight w:val="0"/>
      <w:marTop w:val="0"/>
      <w:marBottom w:val="0"/>
      <w:divBdr>
        <w:top w:val="none" w:sz="0" w:space="0" w:color="auto"/>
        <w:left w:val="none" w:sz="0" w:space="0" w:color="auto"/>
        <w:bottom w:val="none" w:sz="0" w:space="0" w:color="auto"/>
        <w:right w:val="none" w:sz="0" w:space="0" w:color="auto"/>
      </w:divBdr>
      <w:divsChild>
        <w:div w:id="2010062606">
          <w:marLeft w:val="0"/>
          <w:marRight w:val="0"/>
          <w:marTop w:val="0"/>
          <w:marBottom w:val="0"/>
          <w:divBdr>
            <w:top w:val="none" w:sz="0" w:space="0" w:color="auto"/>
            <w:left w:val="none" w:sz="0" w:space="0" w:color="auto"/>
            <w:bottom w:val="none" w:sz="0" w:space="0" w:color="auto"/>
            <w:right w:val="none" w:sz="0" w:space="0" w:color="auto"/>
          </w:divBdr>
          <w:divsChild>
            <w:div w:id="858660849">
              <w:marLeft w:val="0"/>
              <w:marRight w:val="0"/>
              <w:marTop w:val="0"/>
              <w:marBottom w:val="0"/>
              <w:divBdr>
                <w:top w:val="none" w:sz="0" w:space="0" w:color="auto"/>
                <w:left w:val="none" w:sz="0" w:space="0" w:color="auto"/>
                <w:bottom w:val="none" w:sz="0" w:space="0" w:color="auto"/>
                <w:right w:val="none" w:sz="0" w:space="0" w:color="auto"/>
              </w:divBdr>
              <w:divsChild>
                <w:div w:id="13453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76785">
      <w:bodyDiv w:val="1"/>
      <w:marLeft w:val="0"/>
      <w:marRight w:val="0"/>
      <w:marTop w:val="0"/>
      <w:marBottom w:val="0"/>
      <w:divBdr>
        <w:top w:val="none" w:sz="0" w:space="0" w:color="auto"/>
        <w:left w:val="none" w:sz="0" w:space="0" w:color="auto"/>
        <w:bottom w:val="none" w:sz="0" w:space="0" w:color="auto"/>
        <w:right w:val="none" w:sz="0" w:space="0" w:color="auto"/>
      </w:divBdr>
      <w:divsChild>
        <w:div w:id="1237125367">
          <w:marLeft w:val="0"/>
          <w:marRight w:val="0"/>
          <w:marTop w:val="0"/>
          <w:marBottom w:val="0"/>
          <w:divBdr>
            <w:top w:val="none" w:sz="0" w:space="0" w:color="auto"/>
            <w:left w:val="none" w:sz="0" w:space="0" w:color="auto"/>
            <w:bottom w:val="none" w:sz="0" w:space="0" w:color="auto"/>
            <w:right w:val="none" w:sz="0" w:space="0" w:color="auto"/>
          </w:divBdr>
          <w:divsChild>
            <w:div w:id="1191844561">
              <w:marLeft w:val="0"/>
              <w:marRight w:val="0"/>
              <w:marTop w:val="0"/>
              <w:marBottom w:val="0"/>
              <w:divBdr>
                <w:top w:val="none" w:sz="0" w:space="0" w:color="auto"/>
                <w:left w:val="none" w:sz="0" w:space="0" w:color="auto"/>
                <w:bottom w:val="none" w:sz="0" w:space="0" w:color="auto"/>
                <w:right w:val="none" w:sz="0" w:space="0" w:color="auto"/>
              </w:divBdr>
              <w:divsChild>
                <w:div w:id="13137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150467">
      <w:bodyDiv w:val="1"/>
      <w:marLeft w:val="0"/>
      <w:marRight w:val="0"/>
      <w:marTop w:val="0"/>
      <w:marBottom w:val="0"/>
      <w:divBdr>
        <w:top w:val="none" w:sz="0" w:space="0" w:color="auto"/>
        <w:left w:val="none" w:sz="0" w:space="0" w:color="auto"/>
        <w:bottom w:val="none" w:sz="0" w:space="0" w:color="auto"/>
        <w:right w:val="none" w:sz="0" w:space="0" w:color="auto"/>
      </w:divBdr>
      <w:divsChild>
        <w:div w:id="2119907612">
          <w:marLeft w:val="0"/>
          <w:marRight w:val="0"/>
          <w:marTop w:val="0"/>
          <w:marBottom w:val="0"/>
          <w:divBdr>
            <w:top w:val="none" w:sz="0" w:space="0" w:color="auto"/>
            <w:left w:val="none" w:sz="0" w:space="0" w:color="auto"/>
            <w:bottom w:val="none" w:sz="0" w:space="0" w:color="auto"/>
            <w:right w:val="none" w:sz="0" w:space="0" w:color="auto"/>
          </w:divBdr>
          <w:divsChild>
            <w:div w:id="801382696">
              <w:marLeft w:val="0"/>
              <w:marRight w:val="0"/>
              <w:marTop w:val="0"/>
              <w:marBottom w:val="0"/>
              <w:divBdr>
                <w:top w:val="none" w:sz="0" w:space="0" w:color="auto"/>
                <w:left w:val="none" w:sz="0" w:space="0" w:color="auto"/>
                <w:bottom w:val="none" w:sz="0" w:space="0" w:color="auto"/>
                <w:right w:val="none" w:sz="0" w:space="0" w:color="auto"/>
              </w:divBdr>
              <w:divsChild>
                <w:div w:id="21119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926726">
      <w:bodyDiv w:val="1"/>
      <w:marLeft w:val="0"/>
      <w:marRight w:val="0"/>
      <w:marTop w:val="0"/>
      <w:marBottom w:val="0"/>
      <w:divBdr>
        <w:top w:val="none" w:sz="0" w:space="0" w:color="auto"/>
        <w:left w:val="none" w:sz="0" w:space="0" w:color="auto"/>
        <w:bottom w:val="none" w:sz="0" w:space="0" w:color="auto"/>
        <w:right w:val="none" w:sz="0" w:space="0" w:color="auto"/>
      </w:divBdr>
      <w:divsChild>
        <w:div w:id="127935320">
          <w:marLeft w:val="0"/>
          <w:marRight w:val="0"/>
          <w:marTop w:val="0"/>
          <w:marBottom w:val="0"/>
          <w:divBdr>
            <w:top w:val="none" w:sz="0" w:space="0" w:color="auto"/>
            <w:left w:val="none" w:sz="0" w:space="0" w:color="auto"/>
            <w:bottom w:val="none" w:sz="0" w:space="0" w:color="auto"/>
            <w:right w:val="none" w:sz="0" w:space="0" w:color="auto"/>
          </w:divBdr>
        </w:div>
      </w:divsChild>
    </w:div>
    <w:div w:id="1933050282">
      <w:bodyDiv w:val="1"/>
      <w:marLeft w:val="0"/>
      <w:marRight w:val="0"/>
      <w:marTop w:val="0"/>
      <w:marBottom w:val="0"/>
      <w:divBdr>
        <w:top w:val="none" w:sz="0" w:space="0" w:color="auto"/>
        <w:left w:val="none" w:sz="0" w:space="0" w:color="auto"/>
        <w:bottom w:val="none" w:sz="0" w:space="0" w:color="auto"/>
        <w:right w:val="none" w:sz="0" w:space="0" w:color="auto"/>
      </w:divBdr>
      <w:divsChild>
        <w:div w:id="210843501">
          <w:marLeft w:val="0"/>
          <w:marRight w:val="0"/>
          <w:marTop w:val="0"/>
          <w:marBottom w:val="0"/>
          <w:divBdr>
            <w:top w:val="none" w:sz="0" w:space="0" w:color="auto"/>
            <w:left w:val="none" w:sz="0" w:space="0" w:color="auto"/>
            <w:bottom w:val="none" w:sz="0" w:space="0" w:color="auto"/>
            <w:right w:val="none" w:sz="0" w:space="0" w:color="auto"/>
          </w:divBdr>
          <w:divsChild>
            <w:div w:id="1315842131">
              <w:marLeft w:val="0"/>
              <w:marRight w:val="0"/>
              <w:marTop w:val="0"/>
              <w:marBottom w:val="0"/>
              <w:divBdr>
                <w:top w:val="none" w:sz="0" w:space="0" w:color="auto"/>
                <w:left w:val="none" w:sz="0" w:space="0" w:color="auto"/>
                <w:bottom w:val="none" w:sz="0" w:space="0" w:color="auto"/>
                <w:right w:val="none" w:sz="0" w:space="0" w:color="auto"/>
              </w:divBdr>
              <w:divsChild>
                <w:div w:id="160336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59922">
      <w:bodyDiv w:val="1"/>
      <w:marLeft w:val="0"/>
      <w:marRight w:val="0"/>
      <w:marTop w:val="0"/>
      <w:marBottom w:val="0"/>
      <w:divBdr>
        <w:top w:val="none" w:sz="0" w:space="0" w:color="auto"/>
        <w:left w:val="none" w:sz="0" w:space="0" w:color="auto"/>
        <w:bottom w:val="none" w:sz="0" w:space="0" w:color="auto"/>
        <w:right w:val="none" w:sz="0" w:space="0" w:color="auto"/>
      </w:divBdr>
      <w:divsChild>
        <w:div w:id="265115440">
          <w:marLeft w:val="0"/>
          <w:marRight w:val="0"/>
          <w:marTop w:val="0"/>
          <w:marBottom w:val="0"/>
          <w:divBdr>
            <w:top w:val="none" w:sz="0" w:space="0" w:color="auto"/>
            <w:left w:val="none" w:sz="0" w:space="0" w:color="auto"/>
            <w:bottom w:val="none" w:sz="0" w:space="0" w:color="auto"/>
            <w:right w:val="none" w:sz="0" w:space="0" w:color="auto"/>
          </w:divBdr>
          <w:divsChild>
            <w:div w:id="610821494">
              <w:marLeft w:val="0"/>
              <w:marRight w:val="0"/>
              <w:marTop w:val="0"/>
              <w:marBottom w:val="0"/>
              <w:divBdr>
                <w:top w:val="none" w:sz="0" w:space="0" w:color="auto"/>
                <w:left w:val="none" w:sz="0" w:space="0" w:color="auto"/>
                <w:bottom w:val="none" w:sz="0" w:space="0" w:color="auto"/>
                <w:right w:val="none" w:sz="0" w:space="0" w:color="auto"/>
              </w:divBdr>
              <w:divsChild>
                <w:div w:id="70586987">
                  <w:marLeft w:val="0"/>
                  <w:marRight w:val="0"/>
                  <w:marTop w:val="0"/>
                  <w:marBottom w:val="0"/>
                  <w:divBdr>
                    <w:top w:val="none" w:sz="0" w:space="0" w:color="auto"/>
                    <w:left w:val="none" w:sz="0" w:space="0" w:color="auto"/>
                    <w:bottom w:val="none" w:sz="0" w:space="0" w:color="auto"/>
                    <w:right w:val="none" w:sz="0" w:space="0" w:color="auto"/>
                  </w:divBdr>
                  <w:divsChild>
                    <w:div w:id="52274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84798">
      <w:bodyDiv w:val="1"/>
      <w:marLeft w:val="0"/>
      <w:marRight w:val="0"/>
      <w:marTop w:val="0"/>
      <w:marBottom w:val="0"/>
      <w:divBdr>
        <w:top w:val="none" w:sz="0" w:space="0" w:color="auto"/>
        <w:left w:val="none" w:sz="0" w:space="0" w:color="auto"/>
        <w:bottom w:val="none" w:sz="0" w:space="0" w:color="auto"/>
        <w:right w:val="none" w:sz="0" w:space="0" w:color="auto"/>
      </w:divBdr>
    </w:div>
    <w:div w:id="1953853943">
      <w:bodyDiv w:val="1"/>
      <w:marLeft w:val="0"/>
      <w:marRight w:val="0"/>
      <w:marTop w:val="0"/>
      <w:marBottom w:val="0"/>
      <w:divBdr>
        <w:top w:val="none" w:sz="0" w:space="0" w:color="auto"/>
        <w:left w:val="none" w:sz="0" w:space="0" w:color="auto"/>
        <w:bottom w:val="none" w:sz="0" w:space="0" w:color="auto"/>
        <w:right w:val="none" w:sz="0" w:space="0" w:color="auto"/>
      </w:divBdr>
      <w:divsChild>
        <w:div w:id="448353089">
          <w:marLeft w:val="0"/>
          <w:marRight w:val="0"/>
          <w:marTop w:val="0"/>
          <w:marBottom w:val="0"/>
          <w:divBdr>
            <w:top w:val="none" w:sz="0" w:space="0" w:color="auto"/>
            <w:left w:val="none" w:sz="0" w:space="0" w:color="auto"/>
            <w:bottom w:val="none" w:sz="0" w:space="0" w:color="auto"/>
            <w:right w:val="none" w:sz="0" w:space="0" w:color="auto"/>
          </w:divBdr>
          <w:divsChild>
            <w:div w:id="1914119064">
              <w:marLeft w:val="0"/>
              <w:marRight w:val="0"/>
              <w:marTop w:val="0"/>
              <w:marBottom w:val="0"/>
              <w:divBdr>
                <w:top w:val="none" w:sz="0" w:space="0" w:color="auto"/>
                <w:left w:val="none" w:sz="0" w:space="0" w:color="auto"/>
                <w:bottom w:val="none" w:sz="0" w:space="0" w:color="auto"/>
                <w:right w:val="none" w:sz="0" w:space="0" w:color="auto"/>
              </w:divBdr>
              <w:divsChild>
                <w:div w:id="194769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66472">
      <w:bodyDiv w:val="1"/>
      <w:marLeft w:val="0"/>
      <w:marRight w:val="0"/>
      <w:marTop w:val="0"/>
      <w:marBottom w:val="0"/>
      <w:divBdr>
        <w:top w:val="none" w:sz="0" w:space="0" w:color="auto"/>
        <w:left w:val="none" w:sz="0" w:space="0" w:color="auto"/>
        <w:bottom w:val="none" w:sz="0" w:space="0" w:color="auto"/>
        <w:right w:val="none" w:sz="0" w:space="0" w:color="auto"/>
      </w:divBdr>
      <w:divsChild>
        <w:div w:id="1352024262">
          <w:marLeft w:val="0"/>
          <w:marRight w:val="0"/>
          <w:marTop w:val="0"/>
          <w:marBottom w:val="0"/>
          <w:divBdr>
            <w:top w:val="none" w:sz="0" w:space="0" w:color="auto"/>
            <w:left w:val="none" w:sz="0" w:space="0" w:color="auto"/>
            <w:bottom w:val="none" w:sz="0" w:space="0" w:color="auto"/>
            <w:right w:val="none" w:sz="0" w:space="0" w:color="auto"/>
          </w:divBdr>
          <w:divsChild>
            <w:div w:id="728769554">
              <w:marLeft w:val="0"/>
              <w:marRight w:val="0"/>
              <w:marTop w:val="0"/>
              <w:marBottom w:val="0"/>
              <w:divBdr>
                <w:top w:val="none" w:sz="0" w:space="0" w:color="auto"/>
                <w:left w:val="none" w:sz="0" w:space="0" w:color="auto"/>
                <w:bottom w:val="none" w:sz="0" w:space="0" w:color="auto"/>
                <w:right w:val="none" w:sz="0" w:space="0" w:color="auto"/>
              </w:divBdr>
              <w:divsChild>
                <w:div w:id="43255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27867">
      <w:bodyDiv w:val="1"/>
      <w:marLeft w:val="0"/>
      <w:marRight w:val="0"/>
      <w:marTop w:val="0"/>
      <w:marBottom w:val="0"/>
      <w:divBdr>
        <w:top w:val="none" w:sz="0" w:space="0" w:color="auto"/>
        <w:left w:val="none" w:sz="0" w:space="0" w:color="auto"/>
        <w:bottom w:val="none" w:sz="0" w:space="0" w:color="auto"/>
        <w:right w:val="none" w:sz="0" w:space="0" w:color="auto"/>
      </w:divBdr>
      <w:divsChild>
        <w:div w:id="1212769216">
          <w:marLeft w:val="0"/>
          <w:marRight w:val="0"/>
          <w:marTop w:val="0"/>
          <w:marBottom w:val="0"/>
          <w:divBdr>
            <w:top w:val="none" w:sz="0" w:space="0" w:color="auto"/>
            <w:left w:val="none" w:sz="0" w:space="0" w:color="auto"/>
            <w:bottom w:val="none" w:sz="0" w:space="0" w:color="auto"/>
            <w:right w:val="none" w:sz="0" w:space="0" w:color="auto"/>
          </w:divBdr>
          <w:divsChild>
            <w:div w:id="814879937">
              <w:marLeft w:val="0"/>
              <w:marRight w:val="0"/>
              <w:marTop w:val="0"/>
              <w:marBottom w:val="0"/>
              <w:divBdr>
                <w:top w:val="none" w:sz="0" w:space="0" w:color="auto"/>
                <w:left w:val="none" w:sz="0" w:space="0" w:color="auto"/>
                <w:bottom w:val="none" w:sz="0" w:space="0" w:color="auto"/>
                <w:right w:val="none" w:sz="0" w:space="0" w:color="auto"/>
              </w:divBdr>
              <w:divsChild>
                <w:div w:id="10427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1885">
      <w:bodyDiv w:val="1"/>
      <w:marLeft w:val="0"/>
      <w:marRight w:val="0"/>
      <w:marTop w:val="0"/>
      <w:marBottom w:val="0"/>
      <w:divBdr>
        <w:top w:val="none" w:sz="0" w:space="0" w:color="auto"/>
        <w:left w:val="none" w:sz="0" w:space="0" w:color="auto"/>
        <w:bottom w:val="none" w:sz="0" w:space="0" w:color="auto"/>
        <w:right w:val="none" w:sz="0" w:space="0" w:color="auto"/>
      </w:divBdr>
      <w:divsChild>
        <w:div w:id="1410691196">
          <w:marLeft w:val="0"/>
          <w:marRight w:val="0"/>
          <w:marTop w:val="0"/>
          <w:marBottom w:val="0"/>
          <w:divBdr>
            <w:top w:val="none" w:sz="0" w:space="0" w:color="auto"/>
            <w:left w:val="none" w:sz="0" w:space="0" w:color="auto"/>
            <w:bottom w:val="none" w:sz="0" w:space="0" w:color="auto"/>
            <w:right w:val="none" w:sz="0" w:space="0" w:color="auto"/>
          </w:divBdr>
          <w:divsChild>
            <w:div w:id="774714160">
              <w:marLeft w:val="0"/>
              <w:marRight w:val="0"/>
              <w:marTop w:val="0"/>
              <w:marBottom w:val="0"/>
              <w:divBdr>
                <w:top w:val="none" w:sz="0" w:space="0" w:color="auto"/>
                <w:left w:val="none" w:sz="0" w:space="0" w:color="auto"/>
                <w:bottom w:val="none" w:sz="0" w:space="0" w:color="auto"/>
                <w:right w:val="none" w:sz="0" w:space="0" w:color="auto"/>
              </w:divBdr>
              <w:divsChild>
                <w:div w:id="2029021219">
                  <w:marLeft w:val="0"/>
                  <w:marRight w:val="0"/>
                  <w:marTop w:val="0"/>
                  <w:marBottom w:val="0"/>
                  <w:divBdr>
                    <w:top w:val="none" w:sz="0" w:space="0" w:color="auto"/>
                    <w:left w:val="none" w:sz="0" w:space="0" w:color="auto"/>
                    <w:bottom w:val="none" w:sz="0" w:space="0" w:color="auto"/>
                    <w:right w:val="none" w:sz="0" w:space="0" w:color="auto"/>
                  </w:divBdr>
                  <w:divsChild>
                    <w:div w:id="29688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448472">
      <w:bodyDiv w:val="1"/>
      <w:marLeft w:val="0"/>
      <w:marRight w:val="0"/>
      <w:marTop w:val="0"/>
      <w:marBottom w:val="0"/>
      <w:divBdr>
        <w:top w:val="none" w:sz="0" w:space="0" w:color="auto"/>
        <w:left w:val="none" w:sz="0" w:space="0" w:color="auto"/>
        <w:bottom w:val="none" w:sz="0" w:space="0" w:color="auto"/>
        <w:right w:val="none" w:sz="0" w:space="0" w:color="auto"/>
      </w:divBdr>
      <w:divsChild>
        <w:div w:id="592936368">
          <w:marLeft w:val="0"/>
          <w:marRight w:val="0"/>
          <w:marTop w:val="0"/>
          <w:marBottom w:val="0"/>
          <w:divBdr>
            <w:top w:val="none" w:sz="0" w:space="0" w:color="auto"/>
            <w:left w:val="none" w:sz="0" w:space="0" w:color="auto"/>
            <w:bottom w:val="none" w:sz="0" w:space="0" w:color="auto"/>
            <w:right w:val="none" w:sz="0" w:space="0" w:color="auto"/>
          </w:divBdr>
          <w:divsChild>
            <w:div w:id="1798838742">
              <w:marLeft w:val="0"/>
              <w:marRight w:val="0"/>
              <w:marTop w:val="0"/>
              <w:marBottom w:val="0"/>
              <w:divBdr>
                <w:top w:val="none" w:sz="0" w:space="0" w:color="auto"/>
                <w:left w:val="none" w:sz="0" w:space="0" w:color="auto"/>
                <w:bottom w:val="none" w:sz="0" w:space="0" w:color="auto"/>
                <w:right w:val="none" w:sz="0" w:space="0" w:color="auto"/>
              </w:divBdr>
              <w:divsChild>
                <w:div w:id="20903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6310">
      <w:bodyDiv w:val="1"/>
      <w:marLeft w:val="0"/>
      <w:marRight w:val="0"/>
      <w:marTop w:val="0"/>
      <w:marBottom w:val="0"/>
      <w:divBdr>
        <w:top w:val="none" w:sz="0" w:space="0" w:color="auto"/>
        <w:left w:val="none" w:sz="0" w:space="0" w:color="auto"/>
        <w:bottom w:val="none" w:sz="0" w:space="0" w:color="auto"/>
        <w:right w:val="none" w:sz="0" w:space="0" w:color="auto"/>
      </w:divBdr>
      <w:divsChild>
        <w:div w:id="1993481454">
          <w:marLeft w:val="0"/>
          <w:marRight w:val="0"/>
          <w:marTop w:val="0"/>
          <w:marBottom w:val="0"/>
          <w:divBdr>
            <w:top w:val="none" w:sz="0" w:space="0" w:color="auto"/>
            <w:left w:val="none" w:sz="0" w:space="0" w:color="auto"/>
            <w:bottom w:val="none" w:sz="0" w:space="0" w:color="auto"/>
            <w:right w:val="none" w:sz="0" w:space="0" w:color="auto"/>
          </w:divBdr>
          <w:divsChild>
            <w:div w:id="1401558397">
              <w:marLeft w:val="0"/>
              <w:marRight w:val="0"/>
              <w:marTop w:val="0"/>
              <w:marBottom w:val="0"/>
              <w:divBdr>
                <w:top w:val="none" w:sz="0" w:space="0" w:color="auto"/>
                <w:left w:val="none" w:sz="0" w:space="0" w:color="auto"/>
                <w:bottom w:val="none" w:sz="0" w:space="0" w:color="auto"/>
                <w:right w:val="none" w:sz="0" w:space="0" w:color="auto"/>
              </w:divBdr>
              <w:divsChild>
                <w:div w:id="368456022">
                  <w:marLeft w:val="0"/>
                  <w:marRight w:val="0"/>
                  <w:marTop w:val="0"/>
                  <w:marBottom w:val="0"/>
                  <w:divBdr>
                    <w:top w:val="none" w:sz="0" w:space="0" w:color="auto"/>
                    <w:left w:val="none" w:sz="0" w:space="0" w:color="auto"/>
                    <w:bottom w:val="none" w:sz="0" w:space="0" w:color="auto"/>
                    <w:right w:val="none" w:sz="0" w:space="0" w:color="auto"/>
                  </w:divBdr>
                  <w:divsChild>
                    <w:div w:id="201067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656258">
      <w:bodyDiv w:val="1"/>
      <w:marLeft w:val="0"/>
      <w:marRight w:val="0"/>
      <w:marTop w:val="0"/>
      <w:marBottom w:val="0"/>
      <w:divBdr>
        <w:top w:val="none" w:sz="0" w:space="0" w:color="auto"/>
        <w:left w:val="none" w:sz="0" w:space="0" w:color="auto"/>
        <w:bottom w:val="none" w:sz="0" w:space="0" w:color="auto"/>
        <w:right w:val="none" w:sz="0" w:space="0" w:color="auto"/>
      </w:divBdr>
      <w:divsChild>
        <w:div w:id="1274363037">
          <w:marLeft w:val="0"/>
          <w:marRight w:val="0"/>
          <w:marTop w:val="0"/>
          <w:marBottom w:val="0"/>
          <w:divBdr>
            <w:top w:val="none" w:sz="0" w:space="0" w:color="auto"/>
            <w:left w:val="none" w:sz="0" w:space="0" w:color="auto"/>
            <w:bottom w:val="none" w:sz="0" w:space="0" w:color="auto"/>
            <w:right w:val="none" w:sz="0" w:space="0" w:color="auto"/>
          </w:divBdr>
          <w:divsChild>
            <w:div w:id="698243130">
              <w:marLeft w:val="0"/>
              <w:marRight w:val="0"/>
              <w:marTop w:val="0"/>
              <w:marBottom w:val="0"/>
              <w:divBdr>
                <w:top w:val="none" w:sz="0" w:space="0" w:color="auto"/>
                <w:left w:val="none" w:sz="0" w:space="0" w:color="auto"/>
                <w:bottom w:val="none" w:sz="0" w:space="0" w:color="auto"/>
                <w:right w:val="none" w:sz="0" w:space="0" w:color="auto"/>
              </w:divBdr>
              <w:divsChild>
                <w:div w:id="17649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732782">
      <w:bodyDiv w:val="1"/>
      <w:marLeft w:val="0"/>
      <w:marRight w:val="0"/>
      <w:marTop w:val="0"/>
      <w:marBottom w:val="0"/>
      <w:divBdr>
        <w:top w:val="none" w:sz="0" w:space="0" w:color="auto"/>
        <w:left w:val="none" w:sz="0" w:space="0" w:color="auto"/>
        <w:bottom w:val="none" w:sz="0" w:space="0" w:color="auto"/>
        <w:right w:val="none" w:sz="0" w:space="0" w:color="auto"/>
      </w:divBdr>
      <w:divsChild>
        <w:div w:id="1935554917">
          <w:marLeft w:val="0"/>
          <w:marRight w:val="0"/>
          <w:marTop w:val="0"/>
          <w:marBottom w:val="0"/>
          <w:divBdr>
            <w:top w:val="none" w:sz="0" w:space="0" w:color="auto"/>
            <w:left w:val="none" w:sz="0" w:space="0" w:color="auto"/>
            <w:bottom w:val="none" w:sz="0" w:space="0" w:color="auto"/>
            <w:right w:val="none" w:sz="0" w:space="0" w:color="auto"/>
          </w:divBdr>
          <w:divsChild>
            <w:div w:id="1682665293">
              <w:marLeft w:val="0"/>
              <w:marRight w:val="0"/>
              <w:marTop w:val="0"/>
              <w:marBottom w:val="0"/>
              <w:divBdr>
                <w:top w:val="none" w:sz="0" w:space="0" w:color="auto"/>
                <w:left w:val="none" w:sz="0" w:space="0" w:color="auto"/>
                <w:bottom w:val="none" w:sz="0" w:space="0" w:color="auto"/>
                <w:right w:val="none" w:sz="0" w:space="0" w:color="auto"/>
              </w:divBdr>
              <w:divsChild>
                <w:div w:id="25120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37756">
      <w:bodyDiv w:val="1"/>
      <w:marLeft w:val="0"/>
      <w:marRight w:val="0"/>
      <w:marTop w:val="0"/>
      <w:marBottom w:val="0"/>
      <w:divBdr>
        <w:top w:val="none" w:sz="0" w:space="0" w:color="auto"/>
        <w:left w:val="none" w:sz="0" w:space="0" w:color="auto"/>
        <w:bottom w:val="none" w:sz="0" w:space="0" w:color="auto"/>
        <w:right w:val="none" w:sz="0" w:space="0" w:color="auto"/>
      </w:divBdr>
      <w:divsChild>
        <w:div w:id="2114936048">
          <w:marLeft w:val="0"/>
          <w:marRight w:val="0"/>
          <w:marTop w:val="0"/>
          <w:marBottom w:val="0"/>
          <w:divBdr>
            <w:top w:val="none" w:sz="0" w:space="0" w:color="auto"/>
            <w:left w:val="none" w:sz="0" w:space="0" w:color="auto"/>
            <w:bottom w:val="none" w:sz="0" w:space="0" w:color="auto"/>
            <w:right w:val="none" w:sz="0" w:space="0" w:color="auto"/>
          </w:divBdr>
          <w:divsChild>
            <w:div w:id="411513109">
              <w:marLeft w:val="0"/>
              <w:marRight w:val="0"/>
              <w:marTop w:val="0"/>
              <w:marBottom w:val="0"/>
              <w:divBdr>
                <w:top w:val="none" w:sz="0" w:space="0" w:color="auto"/>
                <w:left w:val="none" w:sz="0" w:space="0" w:color="auto"/>
                <w:bottom w:val="none" w:sz="0" w:space="0" w:color="auto"/>
                <w:right w:val="none" w:sz="0" w:space="0" w:color="auto"/>
              </w:divBdr>
              <w:divsChild>
                <w:div w:id="19444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441167">
      <w:bodyDiv w:val="1"/>
      <w:marLeft w:val="0"/>
      <w:marRight w:val="0"/>
      <w:marTop w:val="0"/>
      <w:marBottom w:val="0"/>
      <w:divBdr>
        <w:top w:val="none" w:sz="0" w:space="0" w:color="auto"/>
        <w:left w:val="none" w:sz="0" w:space="0" w:color="auto"/>
        <w:bottom w:val="none" w:sz="0" w:space="0" w:color="auto"/>
        <w:right w:val="none" w:sz="0" w:space="0" w:color="auto"/>
      </w:divBdr>
      <w:divsChild>
        <w:div w:id="1669479615">
          <w:marLeft w:val="0"/>
          <w:marRight w:val="0"/>
          <w:marTop w:val="0"/>
          <w:marBottom w:val="0"/>
          <w:divBdr>
            <w:top w:val="none" w:sz="0" w:space="0" w:color="auto"/>
            <w:left w:val="none" w:sz="0" w:space="0" w:color="auto"/>
            <w:bottom w:val="none" w:sz="0" w:space="0" w:color="auto"/>
            <w:right w:val="none" w:sz="0" w:space="0" w:color="auto"/>
          </w:divBdr>
          <w:divsChild>
            <w:div w:id="1592818335">
              <w:marLeft w:val="0"/>
              <w:marRight w:val="0"/>
              <w:marTop w:val="0"/>
              <w:marBottom w:val="0"/>
              <w:divBdr>
                <w:top w:val="none" w:sz="0" w:space="0" w:color="auto"/>
                <w:left w:val="none" w:sz="0" w:space="0" w:color="auto"/>
                <w:bottom w:val="none" w:sz="0" w:space="0" w:color="auto"/>
                <w:right w:val="none" w:sz="0" w:space="0" w:color="auto"/>
              </w:divBdr>
              <w:divsChild>
                <w:div w:id="40730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259970">
      <w:bodyDiv w:val="1"/>
      <w:marLeft w:val="0"/>
      <w:marRight w:val="0"/>
      <w:marTop w:val="0"/>
      <w:marBottom w:val="0"/>
      <w:divBdr>
        <w:top w:val="none" w:sz="0" w:space="0" w:color="auto"/>
        <w:left w:val="none" w:sz="0" w:space="0" w:color="auto"/>
        <w:bottom w:val="none" w:sz="0" w:space="0" w:color="auto"/>
        <w:right w:val="none" w:sz="0" w:space="0" w:color="auto"/>
      </w:divBdr>
    </w:div>
    <w:div w:id="1993026250">
      <w:bodyDiv w:val="1"/>
      <w:marLeft w:val="0"/>
      <w:marRight w:val="0"/>
      <w:marTop w:val="0"/>
      <w:marBottom w:val="0"/>
      <w:divBdr>
        <w:top w:val="none" w:sz="0" w:space="0" w:color="auto"/>
        <w:left w:val="none" w:sz="0" w:space="0" w:color="auto"/>
        <w:bottom w:val="none" w:sz="0" w:space="0" w:color="auto"/>
        <w:right w:val="none" w:sz="0" w:space="0" w:color="auto"/>
      </w:divBdr>
      <w:divsChild>
        <w:div w:id="1593852062">
          <w:marLeft w:val="0"/>
          <w:marRight w:val="0"/>
          <w:marTop w:val="0"/>
          <w:marBottom w:val="0"/>
          <w:divBdr>
            <w:top w:val="none" w:sz="0" w:space="0" w:color="auto"/>
            <w:left w:val="none" w:sz="0" w:space="0" w:color="auto"/>
            <w:bottom w:val="none" w:sz="0" w:space="0" w:color="auto"/>
            <w:right w:val="none" w:sz="0" w:space="0" w:color="auto"/>
          </w:divBdr>
          <w:divsChild>
            <w:div w:id="202913258">
              <w:marLeft w:val="0"/>
              <w:marRight w:val="0"/>
              <w:marTop w:val="0"/>
              <w:marBottom w:val="0"/>
              <w:divBdr>
                <w:top w:val="none" w:sz="0" w:space="0" w:color="auto"/>
                <w:left w:val="none" w:sz="0" w:space="0" w:color="auto"/>
                <w:bottom w:val="none" w:sz="0" w:space="0" w:color="auto"/>
                <w:right w:val="none" w:sz="0" w:space="0" w:color="auto"/>
              </w:divBdr>
              <w:divsChild>
                <w:div w:id="29479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3936">
      <w:bodyDiv w:val="1"/>
      <w:marLeft w:val="0"/>
      <w:marRight w:val="0"/>
      <w:marTop w:val="0"/>
      <w:marBottom w:val="0"/>
      <w:divBdr>
        <w:top w:val="none" w:sz="0" w:space="0" w:color="auto"/>
        <w:left w:val="none" w:sz="0" w:space="0" w:color="auto"/>
        <w:bottom w:val="none" w:sz="0" w:space="0" w:color="auto"/>
        <w:right w:val="none" w:sz="0" w:space="0" w:color="auto"/>
      </w:divBdr>
      <w:divsChild>
        <w:div w:id="669257422">
          <w:marLeft w:val="0"/>
          <w:marRight w:val="0"/>
          <w:marTop w:val="0"/>
          <w:marBottom w:val="0"/>
          <w:divBdr>
            <w:top w:val="none" w:sz="0" w:space="0" w:color="auto"/>
            <w:left w:val="none" w:sz="0" w:space="0" w:color="auto"/>
            <w:bottom w:val="none" w:sz="0" w:space="0" w:color="auto"/>
            <w:right w:val="none" w:sz="0" w:space="0" w:color="auto"/>
          </w:divBdr>
          <w:divsChild>
            <w:div w:id="272444176">
              <w:marLeft w:val="0"/>
              <w:marRight w:val="0"/>
              <w:marTop w:val="0"/>
              <w:marBottom w:val="0"/>
              <w:divBdr>
                <w:top w:val="none" w:sz="0" w:space="0" w:color="auto"/>
                <w:left w:val="none" w:sz="0" w:space="0" w:color="auto"/>
                <w:bottom w:val="none" w:sz="0" w:space="0" w:color="auto"/>
                <w:right w:val="none" w:sz="0" w:space="0" w:color="auto"/>
              </w:divBdr>
              <w:divsChild>
                <w:div w:id="144442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02323">
      <w:bodyDiv w:val="1"/>
      <w:marLeft w:val="0"/>
      <w:marRight w:val="0"/>
      <w:marTop w:val="0"/>
      <w:marBottom w:val="0"/>
      <w:divBdr>
        <w:top w:val="none" w:sz="0" w:space="0" w:color="auto"/>
        <w:left w:val="none" w:sz="0" w:space="0" w:color="auto"/>
        <w:bottom w:val="none" w:sz="0" w:space="0" w:color="auto"/>
        <w:right w:val="none" w:sz="0" w:space="0" w:color="auto"/>
      </w:divBdr>
      <w:divsChild>
        <w:div w:id="747767515">
          <w:marLeft w:val="0"/>
          <w:marRight w:val="0"/>
          <w:marTop w:val="0"/>
          <w:marBottom w:val="0"/>
          <w:divBdr>
            <w:top w:val="none" w:sz="0" w:space="0" w:color="auto"/>
            <w:left w:val="none" w:sz="0" w:space="0" w:color="auto"/>
            <w:bottom w:val="none" w:sz="0" w:space="0" w:color="auto"/>
            <w:right w:val="none" w:sz="0" w:space="0" w:color="auto"/>
          </w:divBdr>
          <w:divsChild>
            <w:div w:id="1660959089">
              <w:marLeft w:val="0"/>
              <w:marRight w:val="0"/>
              <w:marTop w:val="0"/>
              <w:marBottom w:val="0"/>
              <w:divBdr>
                <w:top w:val="none" w:sz="0" w:space="0" w:color="auto"/>
                <w:left w:val="none" w:sz="0" w:space="0" w:color="auto"/>
                <w:bottom w:val="none" w:sz="0" w:space="0" w:color="auto"/>
                <w:right w:val="none" w:sz="0" w:space="0" w:color="auto"/>
              </w:divBdr>
              <w:divsChild>
                <w:div w:id="15747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60179">
      <w:bodyDiv w:val="1"/>
      <w:marLeft w:val="0"/>
      <w:marRight w:val="0"/>
      <w:marTop w:val="0"/>
      <w:marBottom w:val="0"/>
      <w:divBdr>
        <w:top w:val="none" w:sz="0" w:space="0" w:color="auto"/>
        <w:left w:val="none" w:sz="0" w:space="0" w:color="auto"/>
        <w:bottom w:val="none" w:sz="0" w:space="0" w:color="auto"/>
        <w:right w:val="none" w:sz="0" w:space="0" w:color="auto"/>
      </w:divBdr>
      <w:divsChild>
        <w:div w:id="269167625">
          <w:marLeft w:val="0"/>
          <w:marRight w:val="0"/>
          <w:marTop w:val="0"/>
          <w:marBottom w:val="0"/>
          <w:divBdr>
            <w:top w:val="none" w:sz="0" w:space="0" w:color="auto"/>
            <w:left w:val="none" w:sz="0" w:space="0" w:color="auto"/>
            <w:bottom w:val="none" w:sz="0" w:space="0" w:color="auto"/>
            <w:right w:val="none" w:sz="0" w:space="0" w:color="auto"/>
          </w:divBdr>
          <w:divsChild>
            <w:div w:id="646595342">
              <w:marLeft w:val="0"/>
              <w:marRight w:val="0"/>
              <w:marTop w:val="0"/>
              <w:marBottom w:val="0"/>
              <w:divBdr>
                <w:top w:val="none" w:sz="0" w:space="0" w:color="auto"/>
                <w:left w:val="none" w:sz="0" w:space="0" w:color="auto"/>
                <w:bottom w:val="none" w:sz="0" w:space="0" w:color="auto"/>
                <w:right w:val="none" w:sz="0" w:space="0" w:color="auto"/>
              </w:divBdr>
              <w:divsChild>
                <w:div w:id="199255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837664">
      <w:bodyDiv w:val="1"/>
      <w:marLeft w:val="0"/>
      <w:marRight w:val="0"/>
      <w:marTop w:val="0"/>
      <w:marBottom w:val="0"/>
      <w:divBdr>
        <w:top w:val="none" w:sz="0" w:space="0" w:color="auto"/>
        <w:left w:val="none" w:sz="0" w:space="0" w:color="auto"/>
        <w:bottom w:val="none" w:sz="0" w:space="0" w:color="auto"/>
        <w:right w:val="none" w:sz="0" w:space="0" w:color="auto"/>
      </w:divBdr>
      <w:divsChild>
        <w:div w:id="1134374344">
          <w:marLeft w:val="0"/>
          <w:marRight w:val="0"/>
          <w:marTop w:val="0"/>
          <w:marBottom w:val="0"/>
          <w:divBdr>
            <w:top w:val="none" w:sz="0" w:space="0" w:color="auto"/>
            <w:left w:val="none" w:sz="0" w:space="0" w:color="auto"/>
            <w:bottom w:val="none" w:sz="0" w:space="0" w:color="auto"/>
            <w:right w:val="none" w:sz="0" w:space="0" w:color="auto"/>
          </w:divBdr>
          <w:divsChild>
            <w:div w:id="1495485043">
              <w:marLeft w:val="0"/>
              <w:marRight w:val="0"/>
              <w:marTop w:val="0"/>
              <w:marBottom w:val="0"/>
              <w:divBdr>
                <w:top w:val="none" w:sz="0" w:space="0" w:color="auto"/>
                <w:left w:val="none" w:sz="0" w:space="0" w:color="auto"/>
                <w:bottom w:val="none" w:sz="0" w:space="0" w:color="auto"/>
                <w:right w:val="none" w:sz="0" w:space="0" w:color="auto"/>
              </w:divBdr>
              <w:divsChild>
                <w:div w:id="17272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0777">
      <w:bodyDiv w:val="1"/>
      <w:marLeft w:val="0"/>
      <w:marRight w:val="0"/>
      <w:marTop w:val="0"/>
      <w:marBottom w:val="0"/>
      <w:divBdr>
        <w:top w:val="none" w:sz="0" w:space="0" w:color="auto"/>
        <w:left w:val="none" w:sz="0" w:space="0" w:color="auto"/>
        <w:bottom w:val="none" w:sz="0" w:space="0" w:color="auto"/>
        <w:right w:val="none" w:sz="0" w:space="0" w:color="auto"/>
      </w:divBdr>
      <w:divsChild>
        <w:div w:id="1272975084">
          <w:marLeft w:val="0"/>
          <w:marRight w:val="0"/>
          <w:marTop w:val="0"/>
          <w:marBottom w:val="0"/>
          <w:divBdr>
            <w:top w:val="none" w:sz="0" w:space="0" w:color="auto"/>
            <w:left w:val="none" w:sz="0" w:space="0" w:color="auto"/>
            <w:bottom w:val="none" w:sz="0" w:space="0" w:color="auto"/>
            <w:right w:val="none" w:sz="0" w:space="0" w:color="auto"/>
          </w:divBdr>
          <w:divsChild>
            <w:div w:id="194583649">
              <w:marLeft w:val="0"/>
              <w:marRight w:val="0"/>
              <w:marTop w:val="0"/>
              <w:marBottom w:val="0"/>
              <w:divBdr>
                <w:top w:val="none" w:sz="0" w:space="0" w:color="auto"/>
                <w:left w:val="none" w:sz="0" w:space="0" w:color="auto"/>
                <w:bottom w:val="none" w:sz="0" w:space="0" w:color="auto"/>
                <w:right w:val="none" w:sz="0" w:space="0" w:color="auto"/>
              </w:divBdr>
              <w:divsChild>
                <w:div w:id="7499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25905">
      <w:bodyDiv w:val="1"/>
      <w:marLeft w:val="0"/>
      <w:marRight w:val="0"/>
      <w:marTop w:val="0"/>
      <w:marBottom w:val="0"/>
      <w:divBdr>
        <w:top w:val="none" w:sz="0" w:space="0" w:color="auto"/>
        <w:left w:val="none" w:sz="0" w:space="0" w:color="auto"/>
        <w:bottom w:val="none" w:sz="0" w:space="0" w:color="auto"/>
        <w:right w:val="none" w:sz="0" w:space="0" w:color="auto"/>
      </w:divBdr>
      <w:divsChild>
        <w:div w:id="213008248">
          <w:marLeft w:val="0"/>
          <w:marRight w:val="0"/>
          <w:marTop w:val="0"/>
          <w:marBottom w:val="0"/>
          <w:divBdr>
            <w:top w:val="none" w:sz="0" w:space="0" w:color="auto"/>
            <w:left w:val="none" w:sz="0" w:space="0" w:color="auto"/>
            <w:bottom w:val="none" w:sz="0" w:space="0" w:color="auto"/>
            <w:right w:val="none" w:sz="0" w:space="0" w:color="auto"/>
          </w:divBdr>
          <w:divsChild>
            <w:div w:id="1852258158">
              <w:marLeft w:val="0"/>
              <w:marRight w:val="0"/>
              <w:marTop w:val="0"/>
              <w:marBottom w:val="0"/>
              <w:divBdr>
                <w:top w:val="none" w:sz="0" w:space="0" w:color="auto"/>
                <w:left w:val="none" w:sz="0" w:space="0" w:color="auto"/>
                <w:bottom w:val="none" w:sz="0" w:space="0" w:color="auto"/>
                <w:right w:val="none" w:sz="0" w:space="0" w:color="auto"/>
              </w:divBdr>
              <w:divsChild>
                <w:div w:id="21376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02875">
      <w:bodyDiv w:val="1"/>
      <w:marLeft w:val="0"/>
      <w:marRight w:val="0"/>
      <w:marTop w:val="0"/>
      <w:marBottom w:val="0"/>
      <w:divBdr>
        <w:top w:val="none" w:sz="0" w:space="0" w:color="auto"/>
        <w:left w:val="none" w:sz="0" w:space="0" w:color="auto"/>
        <w:bottom w:val="none" w:sz="0" w:space="0" w:color="auto"/>
        <w:right w:val="none" w:sz="0" w:space="0" w:color="auto"/>
      </w:divBdr>
      <w:divsChild>
        <w:div w:id="1740908063">
          <w:marLeft w:val="0"/>
          <w:marRight w:val="0"/>
          <w:marTop w:val="0"/>
          <w:marBottom w:val="0"/>
          <w:divBdr>
            <w:top w:val="none" w:sz="0" w:space="0" w:color="auto"/>
            <w:left w:val="none" w:sz="0" w:space="0" w:color="auto"/>
            <w:bottom w:val="none" w:sz="0" w:space="0" w:color="auto"/>
            <w:right w:val="none" w:sz="0" w:space="0" w:color="auto"/>
          </w:divBdr>
          <w:divsChild>
            <w:div w:id="2114469511">
              <w:marLeft w:val="0"/>
              <w:marRight w:val="0"/>
              <w:marTop w:val="0"/>
              <w:marBottom w:val="0"/>
              <w:divBdr>
                <w:top w:val="none" w:sz="0" w:space="0" w:color="auto"/>
                <w:left w:val="none" w:sz="0" w:space="0" w:color="auto"/>
                <w:bottom w:val="none" w:sz="0" w:space="0" w:color="auto"/>
                <w:right w:val="none" w:sz="0" w:space="0" w:color="auto"/>
              </w:divBdr>
              <w:divsChild>
                <w:div w:id="12482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729093">
      <w:bodyDiv w:val="1"/>
      <w:marLeft w:val="0"/>
      <w:marRight w:val="0"/>
      <w:marTop w:val="0"/>
      <w:marBottom w:val="0"/>
      <w:divBdr>
        <w:top w:val="none" w:sz="0" w:space="0" w:color="auto"/>
        <w:left w:val="none" w:sz="0" w:space="0" w:color="auto"/>
        <w:bottom w:val="none" w:sz="0" w:space="0" w:color="auto"/>
        <w:right w:val="none" w:sz="0" w:space="0" w:color="auto"/>
      </w:divBdr>
    </w:div>
    <w:div w:id="2023555854">
      <w:bodyDiv w:val="1"/>
      <w:marLeft w:val="0"/>
      <w:marRight w:val="0"/>
      <w:marTop w:val="0"/>
      <w:marBottom w:val="0"/>
      <w:divBdr>
        <w:top w:val="none" w:sz="0" w:space="0" w:color="auto"/>
        <w:left w:val="none" w:sz="0" w:space="0" w:color="auto"/>
        <w:bottom w:val="none" w:sz="0" w:space="0" w:color="auto"/>
        <w:right w:val="none" w:sz="0" w:space="0" w:color="auto"/>
      </w:divBdr>
    </w:div>
    <w:div w:id="2031489751">
      <w:bodyDiv w:val="1"/>
      <w:marLeft w:val="0"/>
      <w:marRight w:val="0"/>
      <w:marTop w:val="0"/>
      <w:marBottom w:val="0"/>
      <w:divBdr>
        <w:top w:val="none" w:sz="0" w:space="0" w:color="auto"/>
        <w:left w:val="none" w:sz="0" w:space="0" w:color="auto"/>
        <w:bottom w:val="none" w:sz="0" w:space="0" w:color="auto"/>
        <w:right w:val="none" w:sz="0" w:space="0" w:color="auto"/>
      </w:divBdr>
      <w:divsChild>
        <w:div w:id="1042636676">
          <w:marLeft w:val="0"/>
          <w:marRight w:val="0"/>
          <w:marTop w:val="0"/>
          <w:marBottom w:val="0"/>
          <w:divBdr>
            <w:top w:val="none" w:sz="0" w:space="0" w:color="auto"/>
            <w:left w:val="none" w:sz="0" w:space="0" w:color="auto"/>
            <w:bottom w:val="none" w:sz="0" w:space="0" w:color="auto"/>
            <w:right w:val="none" w:sz="0" w:space="0" w:color="auto"/>
          </w:divBdr>
          <w:divsChild>
            <w:div w:id="569271635">
              <w:marLeft w:val="0"/>
              <w:marRight w:val="0"/>
              <w:marTop w:val="0"/>
              <w:marBottom w:val="0"/>
              <w:divBdr>
                <w:top w:val="none" w:sz="0" w:space="0" w:color="auto"/>
                <w:left w:val="none" w:sz="0" w:space="0" w:color="auto"/>
                <w:bottom w:val="none" w:sz="0" w:space="0" w:color="auto"/>
                <w:right w:val="none" w:sz="0" w:space="0" w:color="auto"/>
              </w:divBdr>
              <w:divsChild>
                <w:div w:id="49422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5144">
      <w:bodyDiv w:val="1"/>
      <w:marLeft w:val="0"/>
      <w:marRight w:val="0"/>
      <w:marTop w:val="0"/>
      <w:marBottom w:val="0"/>
      <w:divBdr>
        <w:top w:val="none" w:sz="0" w:space="0" w:color="auto"/>
        <w:left w:val="none" w:sz="0" w:space="0" w:color="auto"/>
        <w:bottom w:val="none" w:sz="0" w:space="0" w:color="auto"/>
        <w:right w:val="none" w:sz="0" w:space="0" w:color="auto"/>
      </w:divBdr>
      <w:divsChild>
        <w:div w:id="687682413">
          <w:marLeft w:val="0"/>
          <w:marRight w:val="0"/>
          <w:marTop w:val="0"/>
          <w:marBottom w:val="0"/>
          <w:divBdr>
            <w:top w:val="none" w:sz="0" w:space="0" w:color="auto"/>
            <w:left w:val="none" w:sz="0" w:space="0" w:color="auto"/>
            <w:bottom w:val="none" w:sz="0" w:space="0" w:color="auto"/>
            <w:right w:val="none" w:sz="0" w:space="0" w:color="auto"/>
          </w:divBdr>
          <w:divsChild>
            <w:div w:id="627974838">
              <w:marLeft w:val="0"/>
              <w:marRight w:val="0"/>
              <w:marTop w:val="0"/>
              <w:marBottom w:val="0"/>
              <w:divBdr>
                <w:top w:val="none" w:sz="0" w:space="0" w:color="auto"/>
                <w:left w:val="none" w:sz="0" w:space="0" w:color="auto"/>
                <w:bottom w:val="none" w:sz="0" w:space="0" w:color="auto"/>
                <w:right w:val="none" w:sz="0" w:space="0" w:color="auto"/>
              </w:divBdr>
              <w:divsChild>
                <w:div w:id="1180580335">
                  <w:marLeft w:val="0"/>
                  <w:marRight w:val="0"/>
                  <w:marTop w:val="0"/>
                  <w:marBottom w:val="0"/>
                  <w:divBdr>
                    <w:top w:val="none" w:sz="0" w:space="0" w:color="auto"/>
                    <w:left w:val="none" w:sz="0" w:space="0" w:color="auto"/>
                    <w:bottom w:val="none" w:sz="0" w:space="0" w:color="auto"/>
                    <w:right w:val="none" w:sz="0" w:space="0" w:color="auto"/>
                  </w:divBdr>
                  <w:divsChild>
                    <w:div w:id="107527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724991">
      <w:bodyDiv w:val="1"/>
      <w:marLeft w:val="0"/>
      <w:marRight w:val="0"/>
      <w:marTop w:val="0"/>
      <w:marBottom w:val="0"/>
      <w:divBdr>
        <w:top w:val="none" w:sz="0" w:space="0" w:color="auto"/>
        <w:left w:val="none" w:sz="0" w:space="0" w:color="auto"/>
        <w:bottom w:val="none" w:sz="0" w:space="0" w:color="auto"/>
        <w:right w:val="none" w:sz="0" w:space="0" w:color="auto"/>
      </w:divBdr>
    </w:div>
    <w:div w:id="2037848871">
      <w:bodyDiv w:val="1"/>
      <w:marLeft w:val="0"/>
      <w:marRight w:val="0"/>
      <w:marTop w:val="0"/>
      <w:marBottom w:val="0"/>
      <w:divBdr>
        <w:top w:val="none" w:sz="0" w:space="0" w:color="auto"/>
        <w:left w:val="none" w:sz="0" w:space="0" w:color="auto"/>
        <w:bottom w:val="none" w:sz="0" w:space="0" w:color="auto"/>
        <w:right w:val="none" w:sz="0" w:space="0" w:color="auto"/>
      </w:divBdr>
      <w:divsChild>
        <w:div w:id="1103382743">
          <w:marLeft w:val="0"/>
          <w:marRight w:val="0"/>
          <w:marTop w:val="0"/>
          <w:marBottom w:val="0"/>
          <w:divBdr>
            <w:top w:val="none" w:sz="0" w:space="0" w:color="auto"/>
            <w:left w:val="none" w:sz="0" w:space="0" w:color="auto"/>
            <w:bottom w:val="none" w:sz="0" w:space="0" w:color="auto"/>
            <w:right w:val="none" w:sz="0" w:space="0" w:color="auto"/>
          </w:divBdr>
          <w:divsChild>
            <w:div w:id="163522354">
              <w:marLeft w:val="0"/>
              <w:marRight w:val="0"/>
              <w:marTop w:val="0"/>
              <w:marBottom w:val="0"/>
              <w:divBdr>
                <w:top w:val="none" w:sz="0" w:space="0" w:color="auto"/>
                <w:left w:val="none" w:sz="0" w:space="0" w:color="auto"/>
                <w:bottom w:val="none" w:sz="0" w:space="0" w:color="auto"/>
                <w:right w:val="none" w:sz="0" w:space="0" w:color="auto"/>
              </w:divBdr>
              <w:divsChild>
                <w:div w:id="166474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73153">
      <w:bodyDiv w:val="1"/>
      <w:marLeft w:val="0"/>
      <w:marRight w:val="0"/>
      <w:marTop w:val="0"/>
      <w:marBottom w:val="0"/>
      <w:divBdr>
        <w:top w:val="none" w:sz="0" w:space="0" w:color="auto"/>
        <w:left w:val="none" w:sz="0" w:space="0" w:color="auto"/>
        <w:bottom w:val="none" w:sz="0" w:space="0" w:color="auto"/>
        <w:right w:val="none" w:sz="0" w:space="0" w:color="auto"/>
      </w:divBdr>
      <w:divsChild>
        <w:div w:id="1570774244">
          <w:marLeft w:val="0"/>
          <w:marRight w:val="0"/>
          <w:marTop w:val="0"/>
          <w:marBottom w:val="0"/>
          <w:divBdr>
            <w:top w:val="none" w:sz="0" w:space="0" w:color="auto"/>
            <w:left w:val="none" w:sz="0" w:space="0" w:color="auto"/>
            <w:bottom w:val="none" w:sz="0" w:space="0" w:color="auto"/>
            <w:right w:val="none" w:sz="0" w:space="0" w:color="auto"/>
          </w:divBdr>
          <w:divsChild>
            <w:div w:id="216094815">
              <w:marLeft w:val="0"/>
              <w:marRight w:val="0"/>
              <w:marTop w:val="0"/>
              <w:marBottom w:val="0"/>
              <w:divBdr>
                <w:top w:val="none" w:sz="0" w:space="0" w:color="auto"/>
                <w:left w:val="none" w:sz="0" w:space="0" w:color="auto"/>
                <w:bottom w:val="none" w:sz="0" w:space="0" w:color="auto"/>
                <w:right w:val="none" w:sz="0" w:space="0" w:color="auto"/>
              </w:divBdr>
              <w:divsChild>
                <w:div w:id="8460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00734">
      <w:bodyDiv w:val="1"/>
      <w:marLeft w:val="0"/>
      <w:marRight w:val="0"/>
      <w:marTop w:val="0"/>
      <w:marBottom w:val="0"/>
      <w:divBdr>
        <w:top w:val="none" w:sz="0" w:space="0" w:color="auto"/>
        <w:left w:val="none" w:sz="0" w:space="0" w:color="auto"/>
        <w:bottom w:val="none" w:sz="0" w:space="0" w:color="auto"/>
        <w:right w:val="none" w:sz="0" w:space="0" w:color="auto"/>
      </w:divBdr>
    </w:div>
    <w:div w:id="2057968091">
      <w:bodyDiv w:val="1"/>
      <w:marLeft w:val="0"/>
      <w:marRight w:val="0"/>
      <w:marTop w:val="0"/>
      <w:marBottom w:val="0"/>
      <w:divBdr>
        <w:top w:val="none" w:sz="0" w:space="0" w:color="auto"/>
        <w:left w:val="none" w:sz="0" w:space="0" w:color="auto"/>
        <w:bottom w:val="none" w:sz="0" w:space="0" w:color="auto"/>
        <w:right w:val="none" w:sz="0" w:space="0" w:color="auto"/>
      </w:divBdr>
      <w:divsChild>
        <w:div w:id="1795369593">
          <w:marLeft w:val="0"/>
          <w:marRight w:val="0"/>
          <w:marTop w:val="0"/>
          <w:marBottom w:val="0"/>
          <w:divBdr>
            <w:top w:val="none" w:sz="0" w:space="0" w:color="auto"/>
            <w:left w:val="none" w:sz="0" w:space="0" w:color="auto"/>
            <w:bottom w:val="none" w:sz="0" w:space="0" w:color="auto"/>
            <w:right w:val="none" w:sz="0" w:space="0" w:color="auto"/>
          </w:divBdr>
          <w:divsChild>
            <w:div w:id="1743796641">
              <w:marLeft w:val="0"/>
              <w:marRight w:val="0"/>
              <w:marTop w:val="0"/>
              <w:marBottom w:val="0"/>
              <w:divBdr>
                <w:top w:val="none" w:sz="0" w:space="0" w:color="auto"/>
                <w:left w:val="none" w:sz="0" w:space="0" w:color="auto"/>
                <w:bottom w:val="none" w:sz="0" w:space="0" w:color="auto"/>
                <w:right w:val="none" w:sz="0" w:space="0" w:color="auto"/>
              </w:divBdr>
              <w:divsChild>
                <w:div w:id="1294870096">
                  <w:marLeft w:val="0"/>
                  <w:marRight w:val="0"/>
                  <w:marTop w:val="0"/>
                  <w:marBottom w:val="0"/>
                  <w:divBdr>
                    <w:top w:val="none" w:sz="0" w:space="0" w:color="auto"/>
                    <w:left w:val="none" w:sz="0" w:space="0" w:color="auto"/>
                    <w:bottom w:val="none" w:sz="0" w:space="0" w:color="auto"/>
                    <w:right w:val="none" w:sz="0" w:space="0" w:color="auto"/>
                  </w:divBdr>
                  <w:divsChild>
                    <w:div w:id="143100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525558">
      <w:bodyDiv w:val="1"/>
      <w:marLeft w:val="0"/>
      <w:marRight w:val="0"/>
      <w:marTop w:val="0"/>
      <w:marBottom w:val="0"/>
      <w:divBdr>
        <w:top w:val="none" w:sz="0" w:space="0" w:color="auto"/>
        <w:left w:val="none" w:sz="0" w:space="0" w:color="auto"/>
        <w:bottom w:val="none" w:sz="0" w:space="0" w:color="auto"/>
        <w:right w:val="none" w:sz="0" w:space="0" w:color="auto"/>
      </w:divBdr>
      <w:divsChild>
        <w:div w:id="2079589863">
          <w:marLeft w:val="0"/>
          <w:marRight w:val="0"/>
          <w:marTop w:val="0"/>
          <w:marBottom w:val="0"/>
          <w:divBdr>
            <w:top w:val="none" w:sz="0" w:space="0" w:color="auto"/>
            <w:left w:val="none" w:sz="0" w:space="0" w:color="auto"/>
            <w:bottom w:val="none" w:sz="0" w:space="0" w:color="auto"/>
            <w:right w:val="none" w:sz="0" w:space="0" w:color="auto"/>
          </w:divBdr>
          <w:divsChild>
            <w:div w:id="823543976">
              <w:marLeft w:val="0"/>
              <w:marRight w:val="0"/>
              <w:marTop w:val="0"/>
              <w:marBottom w:val="0"/>
              <w:divBdr>
                <w:top w:val="none" w:sz="0" w:space="0" w:color="auto"/>
                <w:left w:val="none" w:sz="0" w:space="0" w:color="auto"/>
                <w:bottom w:val="none" w:sz="0" w:space="0" w:color="auto"/>
                <w:right w:val="none" w:sz="0" w:space="0" w:color="auto"/>
              </w:divBdr>
              <w:divsChild>
                <w:div w:id="186412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760388">
      <w:bodyDiv w:val="1"/>
      <w:marLeft w:val="0"/>
      <w:marRight w:val="0"/>
      <w:marTop w:val="0"/>
      <w:marBottom w:val="0"/>
      <w:divBdr>
        <w:top w:val="none" w:sz="0" w:space="0" w:color="auto"/>
        <w:left w:val="none" w:sz="0" w:space="0" w:color="auto"/>
        <w:bottom w:val="none" w:sz="0" w:space="0" w:color="auto"/>
        <w:right w:val="none" w:sz="0" w:space="0" w:color="auto"/>
      </w:divBdr>
    </w:div>
    <w:div w:id="2070761048">
      <w:bodyDiv w:val="1"/>
      <w:marLeft w:val="0"/>
      <w:marRight w:val="0"/>
      <w:marTop w:val="0"/>
      <w:marBottom w:val="0"/>
      <w:divBdr>
        <w:top w:val="none" w:sz="0" w:space="0" w:color="auto"/>
        <w:left w:val="none" w:sz="0" w:space="0" w:color="auto"/>
        <w:bottom w:val="none" w:sz="0" w:space="0" w:color="auto"/>
        <w:right w:val="none" w:sz="0" w:space="0" w:color="auto"/>
      </w:divBdr>
      <w:divsChild>
        <w:div w:id="1592817842">
          <w:marLeft w:val="0"/>
          <w:marRight w:val="0"/>
          <w:marTop w:val="0"/>
          <w:marBottom w:val="0"/>
          <w:divBdr>
            <w:top w:val="none" w:sz="0" w:space="0" w:color="auto"/>
            <w:left w:val="none" w:sz="0" w:space="0" w:color="auto"/>
            <w:bottom w:val="none" w:sz="0" w:space="0" w:color="auto"/>
            <w:right w:val="none" w:sz="0" w:space="0" w:color="auto"/>
          </w:divBdr>
          <w:divsChild>
            <w:div w:id="1336180540">
              <w:marLeft w:val="0"/>
              <w:marRight w:val="0"/>
              <w:marTop w:val="0"/>
              <w:marBottom w:val="0"/>
              <w:divBdr>
                <w:top w:val="none" w:sz="0" w:space="0" w:color="auto"/>
                <w:left w:val="none" w:sz="0" w:space="0" w:color="auto"/>
                <w:bottom w:val="none" w:sz="0" w:space="0" w:color="auto"/>
                <w:right w:val="none" w:sz="0" w:space="0" w:color="auto"/>
              </w:divBdr>
              <w:divsChild>
                <w:div w:id="9685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95266">
      <w:bodyDiv w:val="1"/>
      <w:marLeft w:val="0"/>
      <w:marRight w:val="0"/>
      <w:marTop w:val="0"/>
      <w:marBottom w:val="0"/>
      <w:divBdr>
        <w:top w:val="none" w:sz="0" w:space="0" w:color="auto"/>
        <w:left w:val="none" w:sz="0" w:space="0" w:color="auto"/>
        <w:bottom w:val="none" w:sz="0" w:space="0" w:color="auto"/>
        <w:right w:val="none" w:sz="0" w:space="0" w:color="auto"/>
      </w:divBdr>
      <w:divsChild>
        <w:div w:id="1329820486">
          <w:marLeft w:val="0"/>
          <w:marRight w:val="0"/>
          <w:marTop w:val="0"/>
          <w:marBottom w:val="0"/>
          <w:divBdr>
            <w:top w:val="none" w:sz="0" w:space="0" w:color="auto"/>
            <w:left w:val="none" w:sz="0" w:space="0" w:color="auto"/>
            <w:bottom w:val="none" w:sz="0" w:space="0" w:color="auto"/>
            <w:right w:val="none" w:sz="0" w:space="0" w:color="auto"/>
          </w:divBdr>
          <w:divsChild>
            <w:div w:id="1043361585">
              <w:marLeft w:val="0"/>
              <w:marRight w:val="0"/>
              <w:marTop w:val="0"/>
              <w:marBottom w:val="0"/>
              <w:divBdr>
                <w:top w:val="none" w:sz="0" w:space="0" w:color="auto"/>
                <w:left w:val="none" w:sz="0" w:space="0" w:color="auto"/>
                <w:bottom w:val="none" w:sz="0" w:space="0" w:color="auto"/>
                <w:right w:val="none" w:sz="0" w:space="0" w:color="auto"/>
              </w:divBdr>
              <w:divsChild>
                <w:div w:id="2096707369">
                  <w:marLeft w:val="0"/>
                  <w:marRight w:val="0"/>
                  <w:marTop w:val="0"/>
                  <w:marBottom w:val="0"/>
                  <w:divBdr>
                    <w:top w:val="none" w:sz="0" w:space="0" w:color="auto"/>
                    <w:left w:val="none" w:sz="0" w:space="0" w:color="auto"/>
                    <w:bottom w:val="none" w:sz="0" w:space="0" w:color="auto"/>
                    <w:right w:val="none" w:sz="0" w:space="0" w:color="auto"/>
                  </w:divBdr>
                  <w:divsChild>
                    <w:div w:id="13252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657270">
      <w:bodyDiv w:val="1"/>
      <w:marLeft w:val="0"/>
      <w:marRight w:val="0"/>
      <w:marTop w:val="0"/>
      <w:marBottom w:val="0"/>
      <w:divBdr>
        <w:top w:val="none" w:sz="0" w:space="0" w:color="auto"/>
        <w:left w:val="none" w:sz="0" w:space="0" w:color="auto"/>
        <w:bottom w:val="none" w:sz="0" w:space="0" w:color="auto"/>
        <w:right w:val="none" w:sz="0" w:space="0" w:color="auto"/>
      </w:divBdr>
    </w:div>
    <w:div w:id="2073262288">
      <w:bodyDiv w:val="1"/>
      <w:marLeft w:val="0"/>
      <w:marRight w:val="0"/>
      <w:marTop w:val="0"/>
      <w:marBottom w:val="0"/>
      <w:divBdr>
        <w:top w:val="none" w:sz="0" w:space="0" w:color="auto"/>
        <w:left w:val="none" w:sz="0" w:space="0" w:color="auto"/>
        <w:bottom w:val="none" w:sz="0" w:space="0" w:color="auto"/>
        <w:right w:val="none" w:sz="0" w:space="0" w:color="auto"/>
      </w:divBdr>
      <w:divsChild>
        <w:div w:id="976375296">
          <w:marLeft w:val="0"/>
          <w:marRight w:val="0"/>
          <w:marTop w:val="0"/>
          <w:marBottom w:val="0"/>
          <w:divBdr>
            <w:top w:val="none" w:sz="0" w:space="0" w:color="auto"/>
            <w:left w:val="none" w:sz="0" w:space="0" w:color="auto"/>
            <w:bottom w:val="none" w:sz="0" w:space="0" w:color="auto"/>
            <w:right w:val="none" w:sz="0" w:space="0" w:color="auto"/>
          </w:divBdr>
          <w:divsChild>
            <w:div w:id="441458922">
              <w:marLeft w:val="0"/>
              <w:marRight w:val="0"/>
              <w:marTop w:val="0"/>
              <w:marBottom w:val="0"/>
              <w:divBdr>
                <w:top w:val="none" w:sz="0" w:space="0" w:color="auto"/>
                <w:left w:val="none" w:sz="0" w:space="0" w:color="auto"/>
                <w:bottom w:val="none" w:sz="0" w:space="0" w:color="auto"/>
                <w:right w:val="none" w:sz="0" w:space="0" w:color="auto"/>
              </w:divBdr>
              <w:divsChild>
                <w:div w:id="209389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8426">
      <w:bodyDiv w:val="1"/>
      <w:marLeft w:val="0"/>
      <w:marRight w:val="0"/>
      <w:marTop w:val="0"/>
      <w:marBottom w:val="0"/>
      <w:divBdr>
        <w:top w:val="none" w:sz="0" w:space="0" w:color="auto"/>
        <w:left w:val="none" w:sz="0" w:space="0" w:color="auto"/>
        <w:bottom w:val="none" w:sz="0" w:space="0" w:color="auto"/>
        <w:right w:val="none" w:sz="0" w:space="0" w:color="auto"/>
      </w:divBdr>
      <w:divsChild>
        <w:div w:id="1744596789">
          <w:marLeft w:val="0"/>
          <w:marRight w:val="0"/>
          <w:marTop w:val="0"/>
          <w:marBottom w:val="0"/>
          <w:divBdr>
            <w:top w:val="none" w:sz="0" w:space="0" w:color="auto"/>
            <w:left w:val="none" w:sz="0" w:space="0" w:color="auto"/>
            <w:bottom w:val="none" w:sz="0" w:space="0" w:color="auto"/>
            <w:right w:val="none" w:sz="0" w:space="0" w:color="auto"/>
          </w:divBdr>
          <w:divsChild>
            <w:div w:id="129593047">
              <w:marLeft w:val="0"/>
              <w:marRight w:val="0"/>
              <w:marTop w:val="0"/>
              <w:marBottom w:val="0"/>
              <w:divBdr>
                <w:top w:val="none" w:sz="0" w:space="0" w:color="auto"/>
                <w:left w:val="none" w:sz="0" w:space="0" w:color="auto"/>
                <w:bottom w:val="none" w:sz="0" w:space="0" w:color="auto"/>
                <w:right w:val="none" w:sz="0" w:space="0" w:color="auto"/>
              </w:divBdr>
              <w:divsChild>
                <w:div w:id="1217670084">
                  <w:marLeft w:val="0"/>
                  <w:marRight w:val="0"/>
                  <w:marTop w:val="0"/>
                  <w:marBottom w:val="0"/>
                  <w:divBdr>
                    <w:top w:val="none" w:sz="0" w:space="0" w:color="auto"/>
                    <w:left w:val="none" w:sz="0" w:space="0" w:color="auto"/>
                    <w:bottom w:val="none" w:sz="0" w:space="0" w:color="auto"/>
                    <w:right w:val="none" w:sz="0" w:space="0" w:color="auto"/>
                  </w:divBdr>
                  <w:divsChild>
                    <w:div w:id="6590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205711">
      <w:bodyDiv w:val="1"/>
      <w:marLeft w:val="0"/>
      <w:marRight w:val="0"/>
      <w:marTop w:val="0"/>
      <w:marBottom w:val="0"/>
      <w:divBdr>
        <w:top w:val="none" w:sz="0" w:space="0" w:color="auto"/>
        <w:left w:val="none" w:sz="0" w:space="0" w:color="auto"/>
        <w:bottom w:val="none" w:sz="0" w:space="0" w:color="auto"/>
        <w:right w:val="none" w:sz="0" w:space="0" w:color="auto"/>
      </w:divBdr>
      <w:divsChild>
        <w:div w:id="1343164056">
          <w:marLeft w:val="0"/>
          <w:marRight w:val="0"/>
          <w:marTop w:val="0"/>
          <w:marBottom w:val="0"/>
          <w:divBdr>
            <w:top w:val="none" w:sz="0" w:space="0" w:color="auto"/>
            <w:left w:val="none" w:sz="0" w:space="0" w:color="auto"/>
            <w:bottom w:val="none" w:sz="0" w:space="0" w:color="auto"/>
            <w:right w:val="none" w:sz="0" w:space="0" w:color="auto"/>
          </w:divBdr>
          <w:divsChild>
            <w:div w:id="1838962873">
              <w:marLeft w:val="0"/>
              <w:marRight w:val="0"/>
              <w:marTop w:val="0"/>
              <w:marBottom w:val="0"/>
              <w:divBdr>
                <w:top w:val="none" w:sz="0" w:space="0" w:color="auto"/>
                <w:left w:val="none" w:sz="0" w:space="0" w:color="auto"/>
                <w:bottom w:val="none" w:sz="0" w:space="0" w:color="auto"/>
                <w:right w:val="none" w:sz="0" w:space="0" w:color="auto"/>
              </w:divBdr>
              <w:divsChild>
                <w:div w:id="17751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80406">
      <w:bodyDiv w:val="1"/>
      <w:marLeft w:val="0"/>
      <w:marRight w:val="0"/>
      <w:marTop w:val="0"/>
      <w:marBottom w:val="0"/>
      <w:divBdr>
        <w:top w:val="none" w:sz="0" w:space="0" w:color="auto"/>
        <w:left w:val="none" w:sz="0" w:space="0" w:color="auto"/>
        <w:bottom w:val="none" w:sz="0" w:space="0" w:color="auto"/>
        <w:right w:val="none" w:sz="0" w:space="0" w:color="auto"/>
      </w:divBdr>
      <w:divsChild>
        <w:div w:id="94252565">
          <w:marLeft w:val="0"/>
          <w:marRight w:val="0"/>
          <w:marTop w:val="0"/>
          <w:marBottom w:val="0"/>
          <w:divBdr>
            <w:top w:val="none" w:sz="0" w:space="0" w:color="auto"/>
            <w:left w:val="none" w:sz="0" w:space="0" w:color="auto"/>
            <w:bottom w:val="none" w:sz="0" w:space="0" w:color="auto"/>
            <w:right w:val="none" w:sz="0" w:space="0" w:color="auto"/>
          </w:divBdr>
          <w:divsChild>
            <w:div w:id="974604256">
              <w:marLeft w:val="0"/>
              <w:marRight w:val="0"/>
              <w:marTop w:val="0"/>
              <w:marBottom w:val="0"/>
              <w:divBdr>
                <w:top w:val="none" w:sz="0" w:space="0" w:color="auto"/>
                <w:left w:val="none" w:sz="0" w:space="0" w:color="auto"/>
                <w:bottom w:val="none" w:sz="0" w:space="0" w:color="auto"/>
                <w:right w:val="none" w:sz="0" w:space="0" w:color="auto"/>
              </w:divBdr>
              <w:divsChild>
                <w:div w:id="1496603285">
                  <w:marLeft w:val="0"/>
                  <w:marRight w:val="0"/>
                  <w:marTop w:val="0"/>
                  <w:marBottom w:val="0"/>
                  <w:divBdr>
                    <w:top w:val="none" w:sz="0" w:space="0" w:color="auto"/>
                    <w:left w:val="none" w:sz="0" w:space="0" w:color="auto"/>
                    <w:bottom w:val="none" w:sz="0" w:space="0" w:color="auto"/>
                    <w:right w:val="none" w:sz="0" w:space="0" w:color="auto"/>
                  </w:divBdr>
                  <w:divsChild>
                    <w:div w:id="71651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156701">
      <w:bodyDiv w:val="1"/>
      <w:marLeft w:val="0"/>
      <w:marRight w:val="0"/>
      <w:marTop w:val="0"/>
      <w:marBottom w:val="0"/>
      <w:divBdr>
        <w:top w:val="none" w:sz="0" w:space="0" w:color="auto"/>
        <w:left w:val="none" w:sz="0" w:space="0" w:color="auto"/>
        <w:bottom w:val="none" w:sz="0" w:space="0" w:color="auto"/>
        <w:right w:val="none" w:sz="0" w:space="0" w:color="auto"/>
      </w:divBdr>
      <w:divsChild>
        <w:div w:id="1656181198">
          <w:marLeft w:val="0"/>
          <w:marRight w:val="0"/>
          <w:marTop w:val="0"/>
          <w:marBottom w:val="0"/>
          <w:divBdr>
            <w:top w:val="none" w:sz="0" w:space="0" w:color="auto"/>
            <w:left w:val="none" w:sz="0" w:space="0" w:color="auto"/>
            <w:bottom w:val="none" w:sz="0" w:space="0" w:color="auto"/>
            <w:right w:val="none" w:sz="0" w:space="0" w:color="auto"/>
          </w:divBdr>
          <w:divsChild>
            <w:div w:id="1377704697">
              <w:marLeft w:val="0"/>
              <w:marRight w:val="0"/>
              <w:marTop w:val="0"/>
              <w:marBottom w:val="0"/>
              <w:divBdr>
                <w:top w:val="none" w:sz="0" w:space="0" w:color="auto"/>
                <w:left w:val="none" w:sz="0" w:space="0" w:color="auto"/>
                <w:bottom w:val="none" w:sz="0" w:space="0" w:color="auto"/>
                <w:right w:val="none" w:sz="0" w:space="0" w:color="auto"/>
              </w:divBdr>
              <w:divsChild>
                <w:div w:id="3297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26476">
      <w:bodyDiv w:val="1"/>
      <w:marLeft w:val="0"/>
      <w:marRight w:val="0"/>
      <w:marTop w:val="0"/>
      <w:marBottom w:val="0"/>
      <w:divBdr>
        <w:top w:val="none" w:sz="0" w:space="0" w:color="auto"/>
        <w:left w:val="none" w:sz="0" w:space="0" w:color="auto"/>
        <w:bottom w:val="none" w:sz="0" w:space="0" w:color="auto"/>
        <w:right w:val="none" w:sz="0" w:space="0" w:color="auto"/>
      </w:divBdr>
      <w:divsChild>
        <w:div w:id="968436155">
          <w:marLeft w:val="0"/>
          <w:marRight w:val="0"/>
          <w:marTop w:val="0"/>
          <w:marBottom w:val="0"/>
          <w:divBdr>
            <w:top w:val="none" w:sz="0" w:space="0" w:color="auto"/>
            <w:left w:val="none" w:sz="0" w:space="0" w:color="auto"/>
            <w:bottom w:val="none" w:sz="0" w:space="0" w:color="auto"/>
            <w:right w:val="none" w:sz="0" w:space="0" w:color="auto"/>
          </w:divBdr>
          <w:divsChild>
            <w:div w:id="2083208958">
              <w:marLeft w:val="0"/>
              <w:marRight w:val="0"/>
              <w:marTop w:val="0"/>
              <w:marBottom w:val="0"/>
              <w:divBdr>
                <w:top w:val="none" w:sz="0" w:space="0" w:color="auto"/>
                <w:left w:val="none" w:sz="0" w:space="0" w:color="auto"/>
                <w:bottom w:val="none" w:sz="0" w:space="0" w:color="auto"/>
                <w:right w:val="none" w:sz="0" w:space="0" w:color="auto"/>
              </w:divBdr>
              <w:divsChild>
                <w:div w:id="182904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740452">
      <w:bodyDiv w:val="1"/>
      <w:marLeft w:val="0"/>
      <w:marRight w:val="0"/>
      <w:marTop w:val="0"/>
      <w:marBottom w:val="0"/>
      <w:divBdr>
        <w:top w:val="none" w:sz="0" w:space="0" w:color="auto"/>
        <w:left w:val="none" w:sz="0" w:space="0" w:color="auto"/>
        <w:bottom w:val="none" w:sz="0" w:space="0" w:color="auto"/>
        <w:right w:val="none" w:sz="0" w:space="0" w:color="auto"/>
      </w:divBdr>
      <w:divsChild>
        <w:div w:id="20937106">
          <w:marLeft w:val="0"/>
          <w:marRight w:val="0"/>
          <w:marTop w:val="0"/>
          <w:marBottom w:val="0"/>
          <w:divBdr>
            <w:top w:val="none" w:sz="0" w:space="0" w:color="auto"/>
            <w:left w:val="none" w:sz="0" w:space="0" w:color="auto"/>
            <w:bottom w:val="none" w:sz="0" w:space="0" w:color="auto"/>
            <w:right w:val="none" w:sz="0" w:space="0" w:color="auto"/>
          </w:divBdr>
          <w:divsChild>
            <w:div w:id="142550475">
              <w:marLeft w:val="0"/>
              <w:marRight w:val="0"/>
              <w:marTop w:val="0"/>
              <w:marBottom w:val="0"/>
              <w:divBdr>
                <w:top w:val="none" w:sz="0" w:space="0" w:color="auto"/>
                <w:left w:val="none" w:sz="0" w:space="0" w:color="auto"/>
                <w:bottom w:val="none" w:sz="0" w:space="0" w:color="auto"/>
                <w:right w:val="none" w:sz="0" w:space="0" w:color="auto"/>
              </w:divBdr>
              <w:divsChild>
                <w:div w:id="112207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57464">
      <w:bodyDiv w:val="1"/>
      <w:marLeft w:val="0"/>
      <w:marRight w:val="0"/>
      <w:marTop w:val="0"/>
      <w:marBottom w:val="0"/>
      <w:divBdr>
        <w:top w:val="none" w:sz="0" w:space="0" w:color="auto"/>
        <w:left w:val="none" w:sz="0" w:space="0" w:color="auto"/>
        <w:bottom w:val="none" w:sz="0" w:space="0" w:color="auto"/>
        <w:right w:val="none" w:sz="0" w:space="0" w:color="auto"/>
      </w:divBdr>
    </w:div>
    <w:div w:id="2098792481">
      <w:bodyDiv w:val="1"/>
      <w:marLeft w:val="0"/>
      <w:marRight w:val="0"/>
      <w:marTop w:val="0"/>
      <w:marBottom w:val="0"/>
      <w:divBdr>
        <w:top w:val="none" w:sz="0" w:space="0" w:color="auto"/>
        <w:left w:val="none" w:sz="0" w:space="0" w:color="auto"/>
        <w:bottom w:val="none" w:sz="0" w:space="0" w:color="auto"/>
        <w:right w:val="none" w:sz="0" w:space="0" w:color="auto"/>
      </w:divBdr>
      <w:divsChild>
        <w:div w:id="685180231">
          <w:marLeft w:val="0"/>
          <w:marRight w:val="0"/>
          <w:marTop w:val="0"/>
          <w:marBottom w:val="0"/>
          <w:divBdr>
            <w:top w:val="none" w:sz="0" w:space="0" w:color="auto"/>
            <w:left w:val="none" w:sz="0" w:space="0" w:color="auto"/>
            <w:bottom w:val="none" w:sz="0" w:space="0" w:color="auto"/>
            <w:right w:val="none" w:sz="0" w:space="0" w:color="auto"/>
          </w:divBdr>
          <w:divsChild>
            <w:div w:id="862130508">
              <w:marLeft w:val="0"/>
              <w:marRight w:val="0"/>
              <w:marTop w:val="0"/>
              <w:marBottom w:val="0"/>
              <w:divBdr>
                <w:top w:val="none" w:sz="0" w:space="0" w:color="auto"/>
                <w:left w:val="none" w:sz="0" w:space="0" w:color="auto"/>
                <w:bottom w:val="none" w:sz="0" w:space="0" w:color="auto"/>
                <w:right w:val="none" w:sz="0" w:space="0" w:color="auto"/>
              </w:divBdr>
              <w:divsChild>
                <w:div w:id="17352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37327">
      <w:bodyDiv w:val="1"/>
      <w:marLeft w:val="0"/>
      <w:marRight w:val="0"/>
      <w:marTop w:val="0"/>
      <w:marBottom w:val="0"/>
      <w:divBdr>
        <w:top w:val="none" w:sz="0" w:space="0" w:color="auto"/>
        <w:left w:val="none" w:sz="0" w:space="0" w:color="auto"/>
        <w:bottom w:val="none" w:sz="0" w:space="0" w:color="auto"/>
        <w:right w:val="none" w:sz="0" w:space="0" w:color="auto"/>
      </w:divBdr>
      <w:divsChild>
        <w:div w:id="1655180425">
          <w:marLeft w:val="0"/>
          <w:marRight w:val="0"/>
          <w:marTop w:val="0"/>
          <w:marBottom w:val="0"/>
          <w:divBdr>
            <w:top w:val="none" w:sz="0" w:space="0" w:color="auto"/>
            <w:left w:val="none" w:sz="0" w:space="0" w:color="auto"/>
            <w:bottom w:val="none" w:sz="0" w:space="0" w:color="auto"/>
            <w:right w:val="none" w:sz="0" w:space="0" w:color="auto"/>
          </w:divBdr>
          <w:divsChild>
            <w:div w:id="1019812591">
              <w:marLeft w:val="0"/>
              <w:marRight w:val="0"/>
              <w:marTop w:val="0"/>
              <w:marBottom w:val="0"/>
              <w:divBdr>
                <w:top w:val="none" w:sz="0" w:space="0" w:color="auto"/>
                <w:left w:val="none" w:sz="0" w:space="0" w:color="auto"/>
                <w:bottom w:val="none" w:sz="0" w:space="0" w:color="auto"/>
                <w:right w:val="none" w:sz="0" w:space="0" w:color="auto"/>
              </w:divBdr>
              <w:divsChild>
                <w:div w:id="3694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36926">
      <w:bodyDiv w:val="1"/>
      <w:marLeft w:val="0"/>
      <w:marRight w:val="0"/>
      <w:marTop w:val="0"/>
      <w:marBottom w:val="0"/>
      <w:divBdr>
        <w:top w:val="none" w:sz="0" w:space="0" w:color="auto"/>
        <w:left w:val="none" w:sz="0" w:space="0" w:color="auto"/>
        <w:bottom w:val="none" w:sz="0" w:space="0" w:color="auto"/>
        <w:right w:val="none" w:sz="0" w:space="0" w:color="auto"/>
      </w:divBdr>
      <w:divsChild>
        <w:div w:id="1748074351">
          <w:marLeft w:val="0"/>
          <w:marRight w:val="0"/>
          <w:marTop w:val="0"/>
          <w:marBottom w:val="0"/>
          <w:divBdr>
            <w:top w:val="none" w:sz="0" w:space="0" w:color="auto"/>
            <w:left w:val="none" w:sz="0" w:space="0" w:color="auto"/>
            <w:bottom w:val="none" w:sz="0" w:space="0" w:color="auto"/>
            <w:right w:val="none" w:sz="0" w:space="0" w:color="auto"/>
          </w:divBdr>
          <w:divsChild>
            <w:div w:id="1298754010">
              <w:marLeft w:val="0"/>
              <w:marRight w:val="0"/>
              <w:marTop w:val="0"/>
              <w:marBottom w:val="0"/>
              <w:divBdr>
                <w:top w:val="none" w:sz="0" w:space="0" w:color="auto"/>
                <w:left w:val="none" w:sz="0" w:space="0" w:color="auto"/>
                <w:bottom w:val="none" w:sz="0" w:space="0" w:color="auto"/>
                <w:right w:val="none" w:sz="0" w:space="0" w:color="auto"/>
              </w:divBdr>
              <w:divsChild>
                <w:div w:id="177026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655517">
      <w:bodyDiv w:val="1"/>
      <w:marLeft w:val="0"/>
      <w:marRight w:val="0"/>
      <w:marTop w:val="0"/>
      <w:marBottom w:val="0"/>
      <w:divBdr>
        <w:top w:val="none" w:sz="0" w:space="0" w:color="auto"/>
        <w:left w:val="none" w:sz="0" w:space="0" w:color="auto"/>
        <w:bottom w:val="none" w:sz="0" w:space="0" w:color="auto"/>
        <w:right w:val="none" w:sz="0" w:space="0" w:color="auto"/>
      </w:divBdr>
      <w:divsChild>
        <w:div w:id="2134248268">
          <w:marLeft w:val="0"/>
          <w:marRight w:val="0"/>
          <w:marTop w:val="0"/>
          <w:marBottom w:val="0"/>
          <w:divBdr>
            <w:top w:val="none" w:sz="0" w:space="0" w:color="auto"/>
            <w:left w:val="none" w:sz="0" w:space="0" w:color="auto"/>
            <w:bottom w:val="none" w:sz="0" w:space="0" w:color="auto"/>
            <w:right w:val="none" w:sz="0" w:space="0" w:color="auto"/>
          </w:divBdr>
          <w:divsChild>
            <w:div w:id="1655177289">
              <w:marLeft w:val="0"/>
              <w:marRight w:val="0"/>
              <w:marTop w:val="0"/>
              <w:marBottom w:val="0"/>
              <w:divBdr>
                <w:top w:val="none" w:sz="0" w:space="0" w:color="auto"/>
                <w:left w:val="none" w:sz="0" w:space="0" w:color="auto"/>
                <w:bottom w:val="none" w:sz="0" w:space="0" w:color="auto"/>
                <w:right w:val="none" w:sz="0" w:space="0" w:color="auto"/>
              </w:divBdr>
              <w:divsChild>
                <w:div w:id="19899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02263">
      <w:bodyDiv w:val="1"/>
      <w:marLeft w:val="0"/>
      <w:marRight w:val="0"/>
      <w:marTop w:val="0"/>
      <w:marBottom w:val="0"/>
      <w:divBdr>
        <w:top w:val="none" w:sz="0" w:space="0" w:color="auto"/>
        <w:left w:val="none" w:sz="0" w:space="0" w:color="auto"/>
        <w:bottom w:val="none" w:sz="0" w:space="0" w:color="auto"/>
        <w:right w:val="none" w:sz="0" w:space="0" w:color="auto"/>
      </w:divBdr>
      <w:divsChild>
        <w:div w:id="646664404">
          <w:marLeft w:val="0"/>
          <w:marRight w:val="0"/>
          <w:marTop w:val="0"/>
          <w:marBottom w:val="0"/>
          <w:divBdr>
            <w:top w:val="none" w:sz="0" w:space="0" w:color="auto"/>
            <w:left w:val="none" w:sz="0" w:space="0" w:color="auto"/>
            <w:bottom w:val="none" w:sz="0" w:space="0" w:color="auto"/>
            <w:right w:val="none" w:sz="0" w:space="0" w:color="auto"/>
          </w:divBdr>
          <w:divsChild>
            <w:div w:id="556236780">
              <w:marLeft w:val="0"/>
              <w:marRight w:val="0"/>
              <w:marTop w:val="0"/>
              <w:marBottom w:val="0"/>
              <w:divBdr>
                <w:top w:val="none" w:sz="0" w:space="0" w:color="auto"/>
                <w:left w:val="none" w:sz="0" w:space="0" w:color="auto"/>
                <w:bottom w:val="none" w:sz="0" w:space="0" w:color="auto"/>
                <w:right w:val="none" w:sz="0" w:space="0" w:color="auto"/>
              </w:divBdr>
              <w:divsChild>
                <w:div w:id="124487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158129">
      <w:bodyDiv w:val="1"/>
      <w:marLeft w:val="0"/>
      <w:marRight w:val="0"/>
      <w:marTop w:val="0"/>
      <w:marBottom w:val="0"/>
      <w:divBdr>
        <w:top w:val="none" w:sz="0" w:space="0" w:color="auto"/>
        <w:left w:val="none" w:sz="0" w:space="0" w:color="auto"/>
        <w:bottom w:val="none" w:sz="0" w:space="0" w:color="auto"/>
        <w:right w:val="none" w:sz="0" w:space="0" w:color="auto"/>
      </w:divBdr>
      <w:divsChild>
        <w:div w:id="893740880">
          <w:marLeft w:val="0"/>
          <w:marRight w:val="0"/>
          <w:marTop w:val="0"/>
          <w:marBottom w:val="0"/>
          <w:divBdr>
            <w:top w:val="none" w:sz="0" w:space="0" w:color="auto"/>
            <w:left w:val="none" w:sz="0" w:space="0" w:color="auto"/>
            <w:bottom w:val="none" w:sz="0" w:space="0" w:color="auto"/>
            <w:right w:val="none" w:sz="0" w:space="0" w:color="auto"/>
          </w:divBdr>
          <w:divsChild>
            <w:div w:id="2090075888">
              <w:marLeft w:val="0"/>
              <w:marRight w:val="0"/>
              <w:marTop w:val="0"/>
              <w:marBottom w:val="0"/>
              <w:divBdr>
                <w:top w:val="none" w:sz="0" w:space="0" w:color="auto"/>
                <w:left w:val="none" w:sz="0" w:space="0" w:color="auto"/>
                <w:bottom w:val="none" w:sz="0" w:space="0" w:color="auto"/>
                <w:right w:val="none" w:sz="0" w:space="0" w:color="auto"/>
              </w:divBdr>
              <w:divsChild>
                <w:div w:id="1546720951">
                  <w:marLeft w:val="0"/>
                  <w:marRight w:val="0"/>
                  <w:marTop w:val="0"/>
                  <w:marBottom w:val="0"/>
                  <w:divBdr>
                    <w:top w:val="none" w:sz="0" w:space="0" w:color="auto"/>
                    <w:left w:val="none" w:sz="0" w:space="0" w:color="auto"/>
                    <w:bottom w:val="none" w:sz="0" w:space="0" w:color="auto"/>
                    <w:right w:val="none" w:sz="0" w:space="0" w:color="auto"/>
                  </w:divBdr>
                  <w:divsChild>
                    <w:div w:id="17693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7423">
      <w:bodyDiv w:val="1"/>
      <w:marLeft w:val="0"/>
      <w:marRight w:val="0"/>
      <w:marTop w:val="0"/>
      <w:marBottom w:val="0"/>
      <w:divBdr>
        <w:top w:val="none" w:sz="0" w:space="0" w:color="auto"/>
        <w:left w:val="none" w:sz="0" w:space="0" w:color="auto"/>
        <w:bottom w:val="none" w:sz="0" w:space="0" w:color="auto"/>
        <w:right w:val="none" w:sz="0" w:space="0" w:color="auto"/>
      </w:divBdr>
      <w:divsChild>
        <w:div w:id="538518454">
          <w:marLeft w:val="0"/>
          <w:marRight w:val="0"/>
          <w:marTop w:val="0"/>
          <w:marBottom w:val="0"/>
          <w:divBdr>
            <w:top w:val="none" w:sz="0" w:space="0" w:color="auto"/>
            <w:left w:val="none" w:sz="0" w:space="0" w:color="auto"/>
            <w:bottom w:val="none" w:sz="0" w:space="0" w:color="auto"/>
            <w:right w:val="none" w:sz="0" w:space="0" w:color="auto"/>
          </w:divBdr>
          <w:divsChild>
            <w:div w:id="1326127910">
              <w:marLeft w:val="0"/>
              <w:marRight w:val="0"/>
              <w:marTop w:val="0"/>
              <w:marBottom w:val="0"/>
              <w:divBdr>
                <w:top w:val="none" w:sz="0" w:space="0" w:color="auto"/>
                <w:left w:val="none" w:sz="0" w:space="0" w:color="auto"/>
                <w:bottom w:val="none" w:sz="0" w:space="0" w:color="auto"/>
                <w:right w:val="none" w:sz="0" w:space="0" w:color="auto"/>
              </w:divBdr>
              <w:divsChild>
                <w:div w:id="413362759">
                  <w:marLeft w:val="0"/>
                  <w:marRight w:val="0"/>
                  <w:marTop w:val="0"/>
                  <w:marBottom w:val="0"/>
                  <w:divBdr>
                    <w:top w:val="none" w:sz="0" w:space="0" w:color="auto"/>
                    <w:left w:val="none" w:sz="0" w:space="0" w:color="auto"/>
                    <w:bottom w:val="none" w:sz="0" w:space="0" w:color="auto"/>
                    <w:right w:val="none" w:sz="0" w:space="0" w:color="auto"/>
                  </w:divBdr>
                  <w:divsChild>
                    <w:div w:id="90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192945">
      <w:bodyDiv w:val="1"/>
      <w:marLeft w:val="0"/>
      <w:marRight w:val="0"/>
      <w:marTop w:val="0"/>
      <w:marBottom w:val="0"/>
      <w:divBdr>
        <w:top w:val="none" w:sz="0" w:space="0" w:color="auto"/>
        <w:left w:val="none" w:sz="0" w:space="0" w:color="auto"/>
        <w:bottom w:val="none" w:sz="0" w:space="0" w:color="auto"/>
        <w:right w:val="none" w:sz="0" w:space="0" w:color="auto"/>
      </w:divBdr>
      <w:divsChild>
        <w:div w:id="839350340">
          <w:marLeft w:val="0"/>
          <w:marRight w:val="0"/>
          <w:marTop w:val="0"/>
          <w:marBottom w:val="0"/>
          <w:divBdr>
            <w:top w:val="none" w:sz="0" w:space="0" w:color="auto"/>
            <w:left w:val="none" w:sz="0" w:space="0" w:color="auto"/>
            <w:bottom w:val="none" w:sz="0" w:space="0" w:color="auto"/>
            <w:right w:val="none" w:sz="0" w:space="0" w:color="auto"/>
          </w:divBdr>
          <w:divsChild>
            <w:div w:id="1743478925">
              <w:marLeft w:val="0"/>
              <w:marRight w:val="0"/>
              <w:marTop w:val="0"/>
              <w:marBottom w:val="0"/>
              <w:divBdr>
                <w:top w:val="none" w:sz="0" w:space="0" w:color="auto"/>
                <w:left w:val="none" w:sz="0" w:space="0" w:color="auto"/>
                <w:bottom w:val="none" w:sz="0" w:space="0" w:color="auto"/>
                <w:right w:val="none" w:sz="0" w:space="0" w:color="auto"/>
              </w:divBdr>
              <w:divsChild>
                <w:div w:id="93725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51028">
      <w:bodyDiv w:val="1"/>
      <w:marLeft w:val="0"/>
      <w:marRight w:val="0"/>
      <w:marTop w:val="0"/>
      <w:marBottom w:val="0"/>
      <w:divBdr>
        <w:top w:val="none" w:sz="0" w:space="0" w:color="auto"/>
        <w:left w:val="none" w:sz="0" w:space="0" w:color="auto"/>
        <w:bottom w:val="none" w:sz="0" w:space="0" w:color="auto"/>
        <w:right w:val="none" w:sz="0" w:space="0" w:color="auto"/>
      </w:divBdr>
      <w:divsChild>
        <w:div w:id="813106470">
          <w:marLeft w:val="0"/>
          <w:marRight w:val="0"/>
          <w:marTop w:val="0"/>
          <w:marBottom w:val="0"/>
          <w:divBdr>
            <w:top w:val="none" w:sz="0" w:space="0" w:color="auto"/>
            <w:left w:val="none" w:sz="0" w:space="0" w:color="auto"/>
            <w:bottom w:val="none" w:sz="0" w:space="0" w:color="auto"/>
            <w:right w:val="none" w:sz="0" w:space="0" w:color="auto"/>
          </w:divBdr>
          <w:divsChild>
            <w:div w:id="566842235">
              <w:marLeft w:val="0"/>
              <w:marRight w:val="0"/>
              <w:marTop w:val="0"/>
              <w:marBottom w:val="0"/>
              <w:divBdr>
                <w:top w:val="none" w:sz="0" w:space="0" w:color="auto"/>
                <w:left w:val="none" w:sz="0" w:space="0" w:color="auto"/>
                <w:bottom w:val="none" w:sz="0" w:space="0" w:color="auto"/>
                <w:right w:val="none" w:sz="0" w:space="0" w:color="auto"/>
              </w:divBdr>
              <w:divsChild>
                <w:div w:id="3429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061233">
      <w:bodyDiv w:val="1"/>
      <w:marLeft w:val="0"/>
      <w:marRight w:val="0"/>
      <w:marTop w:val="0"/>
      <w:marBottom w:val="0"/>
      <w:divBdr>
        <w:top w:val="none" w:sz="0" w:space="0" w:color="auto"/>
        <w:left w:val="none" w:sz="0" w:space="0" w:color="auto"/>
        <w:bottom w:val="none" w:sz="0" w:space="0" w:color="auto"/>
        <w:right w:val="none" w:sz="0" w:space="0" w:color="auto"/>
      </w:divBdr>
      <w:divsChild>
        <w:div w:id="717126051">
          <w:marLeft w:val="0"/>
          <w:marRight w:val="0"/>
          <w:marTop w:val="0"/>
          <w:marBottom w:val="0"/>
          <w:divBdr>
            <w:top w:val="none" w:sz="0" w:space="0" w:color="auto"/>
            <w:left w:val="none" w:sz="0" w:space="0" w:color="auto"/>
            <w:bottom w:val="none" w:sz="0" w:space="0" w:color="auto"/>
            <w:right w:val="none" w:sz="0" w:space="0" w:color="auto"/>
          </w:divBdr>
          <w:divsChild>
            <w:div w:id="723214310">
              <w:marLeft w:val="0"/>
              <w:marRight w:val="0"/>
              <w:marTop w:val="0"/>
              <w:marBottom w:val="0"/>
              <w:divBdr>
                <w:top w:val="none" w:sz="0" w:space="0" w:color="auto"/>
                <w:left w:val="none" w:sz="0" w:space="0" w:color="auto"/>
                <w:bottom w:val="none" w:sz="0" w:space="0" w:color="auto"/>
                <w:right w:val="none" w:sz="0" w:space="0" w:color="auto"/>
              </w:divBdr>
              <w:divsChild>
                <w:div w:id="65275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909933">
      <w:bodyDiv w:val="1"/>
      <w:marLeft w:val="0"/>
      <w:marRight w:val="0"/>
      <w:marTop w:val="0"/>
      <w:marBottom w:val="0"/>
      <w:divBdr>
        <w:top w:val="none" w:sz="0" w:space="0" w:color="auto"/>
        <w:left w:val="none" w:sz="0" w:space="0" w:color="auto"/>
        <w:bottom w:val="none" w:sz="0" w:space="0" w:color="auto"/>
        <w:right w:val="none" w:sz="0" w:space="0" w:color="auto"/>
      </w:divBdr>
      <w:divsChild>
        <w:div w:id="689527097">
          <w:marLeft w:val="0"/>
          <w:marRight w:val="0"/>
          <w:marTop w:val="0"/>
          <w:marBottom w:val="0"/>
          <w:divBdr>
            <w:top w:val="none" w:sz="0" w:space="0" w:color="auto"/>
            <w:left w:val="none" w:sz="0" w:space="0" w:color="auto"/>
            <w:bottom w:val="none" w:sz="0" w:space="0" w:color="auto"/>
            <w:right w:val="none" w:sz="0" w:space="0" w:color="auto"/>
          </w:divBdr>
          <w:divsChild>
            <w:div w:id="82379337">
              <w:marLeft w:val="0"/>
              <w:marRight w:val="0"/>
              <w:marTop w:val="0"/>
              <w:marBottom w:val="0"/>
              <w:divBdr>
                <w:top w:val="none" w:sz="0" w:space="0" w:color="auto"/>
                <w:left w:val="none" w:sz="0" w:space="0" w:color="auto"/>
                <w:bottom w:val="none" w:sz="0" w:space="0" w:color="auto"/>
                <w:right w:val="none" w:sz="0" w:space="0" w:color="auto"/>
              </w:divBdr>
              <w:divsChild>
                <w:div w:id="9387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55209">
      <w:bodyDiv w:val="1"/>
      <w:marLeft w:val="0"/>
      <w:marRight w:val="0"/>
      <w:marTop w:val="0"/>
      <w:marBottom w:val="0"/>
      <w:divBdr>
        <w:top w:val="none" w:sz="0" w:space="0" w:color="auto"/>
        <w:left w:val="none" w:sz="0" w:space="0" w:color="auto"/>
        <w:bottom w:val="none" w:sz="0" w:space="0" w:color="auto"/>
        <w:right w:val="none" w:sz="0" w:space="0" w:color="auto"/>
      </w:divBdr>
      <w:divsChild>
        <w:div w:id="629937503">
          <w:marLeft w:val="0"/>
          <w:marRight w:val="0"/>
          <w:marTop w:val="0"/>
          <w:marBottom w:val="0"/>
          <w:divBdr>
            <w:top w:val="none" w:sz="0" w:space="0" w:color="auto"/>
            <w:left w:val="none" w:sz="0" w:space="0" w:color="auto"/>
            <w:bottom w:val="none" w:sz="0" w:space="0" w:color="auto"/>
            <w:right w:val="none" w:sz="0" w:space="0" w:color="auto"/>
          </w:divBdr>
        </w:div>
      </w:divsChild>
    </w:div>
    <w:div w:id="2123726372">
      <w:bodyDiv w:val="1"/>
      <w:marLeft w:val="0"/>
      <w:marRight w:val="0"/>
      <w:marTop w:val="0"/>
      <w:marBottom w:val="0"/>
      <w:divBdr>
        <w:top w:val="none" w:sz="0" w:space="0" w:color="auto"/>
        <w:left w:val="none" w:sz="0" w:space="0" w:color="auto"/>
        <w:bottom w:val="none" w:sz="0" w:space="0" w:color="auto"/>
        <w:right w:val="none" w:sz="0" w:space="0" w:color="auto"/>
      </w:divBdr>
      <w:divsChild>
        <w:div w:id="79835876">
          <w:marLeft w:val="0"/>
          <w:marRight w:val="0"/>
          <w:marTop w:val="0"/>
          <w:marBottom w:val="0"/>
          <w:divBdr>
            <w:top w:val="none" w:sz="0" w:space="0" w:color="auto"/>
            <w:left w:val="none" w:sz="0" w:space="0" w:color="auto"/>
            <w:bottom w:val="none" w:sz="0" w:space="0" w:color="auto"/>
            <w:right w:val="none" w:sz="0" w:space="0" w:color="auto"/>
          </w:divBdr>
          <w:divsChild>
            <w:div w:id="848174949">
              <w:marLeft w:val="0"/>
              <w:marRight w:val="0"/>
              <w:marTop w:val="0"/>
              <w:marBottom w:val="0"/>
              <w:divBdr>
                <w:top w:val="none" w:sz="0" w:space="0" w:color="auto"/>
                <w:left w:val="none" w:sz="0" w:space="0" w:color="auto"/>
                <w:bottom w:val="none" w:sz="0" w:space="0" w:color="auto"/>
                <w:right w:val="none" w:sz="0" w:space="0" w:color="auto"/>
              </w:divBdr>
              <w:divsChild>
                <w:div w:id="289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2818">
      <w:bodyDiv w:val="1"/>
      <w:marLeft w:val="0"/>
      <w:marRight w:val="0"/>
      <w:marTop w:val="0"/>
      <w:marBottom w:val="0"/>
      <w:divBdr>
        <w:top w:val="none" w:sz="0" w:space="0" w:color="auto"/>
        <w:left w:val="none" w:sz="0" w:space="0" w:color="auto"/>
        <w:bottom w:val="none" w:sz="0" w:space="0" w:color="auto"/>
        <w:right w:val="none" w:sz="0" w:space="0" w:color="auto"/>
      </w:divBdr>
      <w:divsChild>
        <w:div w:id="1432241237">
          <w:marLeft w:val="0"/>
          <w:marRight w:val="0"/>
          <w:marTop w:val="0"/>
          <w:marBottom w:val="0"/>
          <w:divBdr>
            <w:top w:val="none" w:sz="0" w:space="0" w:color="auto"/>
            <w:left w:val="none" w:sz="0" w:space="0" w:color="auto"/>
            <w:bottom w:val="none" w:sz="0" w:space="0" w:color="auto"/>
            <w:right w:val="none" w:sz="0" w:space="0" w:color="auto"/>
          </w:divBdr>
          <w:divsChild>
            <w:div w:id="1736393571">
              <w:marLeft w:val="0"/>
              <w:marRight w:val="0"/>
              <w:marTop w:val="0"/>
              <w:marBottom w:val="0"/>
              <w:divBdr>
                <w:top w:val="none" w:sz="0" w:space="0" w:color="auto"/>
                <w:left w:val="none" w:sz="0" w:space="0" w:color="auto"/>
                <w:bottom w:val="none" w:sz="0" w:space="0" w:color="auto"/>
                <w:right w:val="none" w:sz="0" w:space="0" w:color="auto"/>
              </w:divBdr>
              <w:divsChild>
                <w:div w:id="19210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77347">
      <w:bodyDiv w:val="1"/>
      <w:marLeft w:val="0"/>
      <w:marRight w:val="0"/>
      <w:marTop w:val="0"/>
      <w:marBottom w:val="0"/>
      <w:divBdr>
        <w:top w:val="none" w:sz="0" w:space="0" w:color="auto"/>
        <w:left w:val="none" w:sz="0" w:space="0" w:color="auto"/>
        <w:bottom w:val="none" w:sz="0" w:space="0" w:color="auto"/>
        <w:right w:val="none" w:sz="0" w:space="0" w:color="auto"/>
      </w:divBdr>
      <w:divsChild>
        <w:div w:id="1385761689">
          <w:marLeft w:val="0"/>
          <w:marRight w:val="0"/>
          <w:marTop w:val="0"/>
          <w:marBottom w:val="0"/>
          <w:divBdr>
            <w:top w:val="none" w:sz="0" w:space="0" w:color="auto"/>
            <w:left w:val="none" w:sz="0" w:space="0" w:color="auto"/>
            <w:bottom w:val="none" w:sz="0" w:space="0" w:color="auto"/>
            <w:right w:val="none" w:sz="0" w:space="0" w:color="auto"/>
          </w:divBdr>
          <w:divsChild>
            <w:div w:id="838497821">
              <w:marLeft w:val="0"/>
              <w:marRight w:val="0"/>
              <w:marTop w:val="0"/>
              <w:marBottom w:val="0"/>
              <w:divBdr>
                <w:top w:val="none" w:sz="0" w:space="0" w:color="auto"/>
                <w:left w:val="none" w:sz="0" w:space="0" w:color="auto"/>
                <w:bottom w:val="none" w:sz="0" w:space="0" w:color="auto"/>
                <w:right w:val="none" w:sz="0" w:space="0" w:color="auto"/>
              </w:divBdr>
              <w:divsChild>
                <w:div w:id="1751122622">
                  <w:marLeft w:val="0"/>
                  <w:marRight w:val="0"/>
                  <w:marTop w:val="0"/>
                  <w:marBottom w:val="0"/>
                  <w:divBdr>
                    <w:top w:val="none" w:sz="0" w:space="0" w:color="auto"/>
                    <w:left w:val="none" w:sz="0" w:space="0" w:color="auto"/>
                    <w:bottom w:val="none" w:sz="0" w:space="0" w:color="auto"/>
                    <w:right w:val="none" w:sz="0" w:space="0" w:color="auto"/>
                  </w:divBdr>
                  <w:divsChild>
                    <w:div w:id="13736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658851">
      <w:bodyDiv w:val="1"/>
      <w:marLeft w:val="0"/>
      <w:marRight w:val="0"/>
      <w:marTop w:val="0"/>
      <w:marBottom w:val="0"/>
      <w:divBdr>
        <w:top w:val="none" w:sz="0" w:space="0" w:color="auto"/>
        <w:left w:val="none" w:sz="0" w:space="0" w:color="auto"/>
        <w:bottom w:val="none" w:sz="0" w:space="0" w:color="auto"/>
        <w:right w:val="none" w:sz="0" w:space="0" w:color="auto"/>
      </w:divBdr>
      <w:divsChild>
        <w:div w:id="1841383692">
          <w:marLeft w:val="0"/>
          <w:marRight w:val="0"/>
          <w:marTop w:val="0"/>
          <w:marBottom w:val="0"/>
          <w:divBdr>
            <w:top w:val="none" w:sz="0" w:space="0" w:color="auto"/>
            <w:left w:val="none" w:sz="0" w:space="0" w:color="auto"/>
            <w:bottom w:val="none" w:sz="0" w:space="0" w:color="auto"/>
            <w:right w:val="none" w:sz="0" w:space="0" w:color="auto"/>
          </w:divBdr>
          <w:divsChild>
            <w:div w:id="1718970658">
              <w:marLeft w:val="0"/>
              <w:marRight w:val="0"/>
              <w:marTop w:val="0"/>
              <w:marBottom w:val="0"/>
              <w:divBdr>
                <w:top w:val="none" w:sz="0" w:space="0" w:color="auto"/>
                <w:left w:val="none" w:sz="0" w:space="0" w:color="auto"/>
                <w:bottom w:val="none" w:sz="0" w:space="0" w:color="auto"/>
                <w:right w:val="none" w:sz="0" w:space="0" w:color="auto"/>
              </w:divBdr>
              <w:divsChild>
                <w:div w:id="1451584025">
                  <w:marLeft w:val="0"/>
                  <w:marRight w:val="0"/>
                  <w:marTop w:val="0"/>
                  <w:marBottom w:val="0"/>
                  <w:divBdr>
                    <w:top w:val="none" w:sz="0" w:space="0" w:color="auto"/>
                    <w:left w:val="none" w:sz="0" w:space="0" w:color="auto"/>
                    <w:bottom w:val="none" w:sz="0" w:space="0" w:color="auto"/>
                    <w:right w:val="none" w:sz="0" w:space="0" w:color="auto"/>
                  </w:divBdr>
                  <w:divsChild>
                    <w:div w:id="16401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624662">
      <w:bodyDiv w:val="1"/>
      <w:marLeft w:val="0"/>
      <w:marRight w:val="0"/>
      <w:marTop w:val="0"/>
      <w:marBottom w:val="0"/>
      <w:divBdr>
        <w:top w:val="none" w:sz="0" w:space="0" w:color="auto"/>
        <w:left w:val="none" w:sz="0" w:space="0" w:color="auto"/>
        <w:bottom w:val="none" w:sz="0" w:space="0" w:color="auto"/>
        <w:right w:val="none" w:sz="0" w:space="0" w:color="auto"/>
      </w:divBdr>
      <w:divsChild>
        <w:div w:id="1667705966">
          <w:marLeft w:val="0"/>
          <w:marRight w:val="0"/>
          <w:marTop w:val="0"/>
          <w:marBottom w:val="0"/>
          <w:divBdr>
            <w:top w:val="none" w:sz="0" w:space="0" w:color="auto"/>
            <w:left w:val="none" w:sz="0" w:space="0" w:color="auto"/>
            <w:bottom w:val="none" w:sz="0" w:space="0" w:color="auto"/>
            <w:right w:val="none" w:sz="0" w:space="0" w:color="auto"/>
          </w:divBdr>
          <w:divsChild>
            <w:div w:id="145165509">
              <w:marLeft w:val="0"/>
              <w:marRight w:val="0"/>
              <w:marTop w:val="0"/>
              <w:marBottom w:val="0"/>
              <w:divBdr>
                <w:top w:val="none" w:sz="0" w:space="0" w:color="auto"/>
                <w:left w:val="none" w:sz="0" w:space="0" w:color="auto"/>
                <w:bottom w:val="none" w:sz="0" w:space="0" w:color="auto"/>
                <w:right w:val="none" w:sz="0" w:space="0" w:color="auto"/>
              </w:divBdr>
              <w:divsChild>
                <w:div w:id="19026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12A98-7094-4924-987C-75092989E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77</Pages>
  <Words>23669</Words>
  <Characters>134914</Characters>
  <Application>Microsoft Office Word</Application>
  <DocSecurity>0</DocSecurity>
  <Lines>1124</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1506 1506</dc:creator>
  <cp:keywords/>
  <dc:description/>
  <cp:lastModifiedBy>mlemley</cp:lastModifiedBy>
  <cp:revision>10</cp:revision>
  <cp:lastPrinted>2019-12-09T21:57:00Z</cp:lastPrinted>
  <dcterms:created xsi:type="dcterms:W3CDTF">2019-12-09T20:23:00Z</dcterms:created>
  <dcterms:modified xsi:type="dcterms:W3CDTF">2019-12-09T22:05:00Z</dcterms:modified>
</cp:coreProperties>
</file>