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4A" w:rsidRDefault="009B74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0"/>
        <w:ind w:righ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Ms. Wilson is the Executive Director of the State Bar of California. In that capacity, she manages a $180 million budget and 550 staff who are responsible for regulation, licensing, and discipline of California attorneys, as well as for promoting access to</w:t>
      </w:r>
      <w:r>
        <w:rPr>
          <w:color w:val="000000"/>
          <w:sz w:val="24"/>
          <w:szCs w:val="24"/>
        </w:rPr>
        <w:t xml:space="preserve"> legal services and </w:t>
      </w:r>
      <w:bookmarkStart w:id="0" w:name="_GoBack"/>
      <w:bookmarkEnd w:id="0"/>
      <w:r>
        <w:rPr>
          <w:color w:val="000000"/>
          <w:sz w:val="24"/>
          <w:szCs w:val="24"/>
        </w:rPr>
        <w:t xml:space="preserve">inclusion in the legal profession. Prior to her appointment to that position in September, 2017, she served as the Chief Operating Officer for the State Bar. </w:t>
      </w:r>
    </w:p>
    <w:p w:rsidR="00184E4A" w:rsidRDefault="009B74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Before joining the State Bar Ms. Wilson served as the Court Executive Officer</w:t>
      </w:r>
      <w:r>
        <w:rPr>
          <w:color w:val="000000"/>
          <w:sz w:val="24"/>
          <w:szCs w:val="24"/>
        </w:rPr>
        <w:t xml:space="preserve"> (CEO) for the Alameda County Superior Court. There, in addition to being responsible for overall court operations, personnel, budget and policy, she took a particular interest in collaborative courts, and advocated for the use of risk assessment tools and</w:t>
      </w:r>
      <w:r>
        <w:rPr>
          <w:color w:val="000000"/>
          <w:sz w:val="24"/>
          <w:szCs w:val="24"/>
        </w:rPr>
        <w:t xml:space="preserve"> an expansion of effective alternatives to incarceration. </w:t>
      </w:r>
    </w:p>
    <w:p w:rsidR="00184E4A" w:rsidRDefault="009B74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Ms. Wilson holds a Master’s Degree in Public Policy and a Juris Doctorate, both from the University of California, Berkeley, and is a member of the California State Bar. She also served as Presiden</w:t>
      </w:r>
      <w:r>
        <w:rPr>
          <w:color w:val="000000"/>
          <w:sz w:val="24"/>
          <w:szCs w:val="24"/>
        </w:rPr>
        <w:t xml:space="preserve">t of the Berkeley Unified School District’s Board of Education.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1495425</wp:posOffset>
            </wp:positionV>
            <wp:extent cx="5776913" cy="3874199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6913" cy="3874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4E4A" w:rsidRDefault="00184E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249"/>
        <w:rPr>
          <w:sz w:val="24"/>
          <w:szCs w:val="24"/>
        </w:rPr>
      </w:pPr>
    </w:p>
    <w:sectPr w:rsidR="00184E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6B" w:rsidRDefault="009B746B">
      <w:pPr>
        <w:spacing w:line="240" w:lineRule="auto"/>
      </w:pPr>
      <w:r>
        <w:separator/>
      </w:r>
    </w:p>
  </w:endnote>
  <w:endnote w:type="continuationSeparator" w:id="0">
    <w:p w:rsidR="009B746B" w:rsidRDefault="009B7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6B" w:rsidRDefault="009B746B">
      <w:pPr>
        <w:spacing w:line="240" w:lineRule="auto"/>
      </w:pPr>
      <w:r>
        <w:separator/>
      </w:r>
    </w:p>
  </w:footnote>
  <w:footnote w:type="continuationSeparator" w:id="0">
    <w:p w:rsidR="009B746B" w:rsidRDefault="009B74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4A"/>
    <w:rsid w:val="00184E4A"/>
    <w:rsid w:val="009B746B"/>
    <w:rsid w:val="00B1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E9B9"/>
  <w15:docId w15:val="{68C42C79-BB82-44F8-8E25-17B3753A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14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88"/>
  </w:style>
  <w:style w:type="paragraph" w:styleId="Footer">
    <w:name w:val="footer"/>
    <w:basedOn w:val="Normal"/>
    <w:link w:val="FooterChar"/>
    <w:uiPriority w:val="99"/>
    <w:unhideWhenUsed/>
    <w:rsid w:val="00B114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Law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nobody</cp:lastModifiedBy>
  <cp:revision>2</cp:revision>
  <dcterms:created xsi:type="dcterms:W3CDTF">2019-08-22T21:05:00Z</dcterms:created>
  <dcterms:modified xsi:type="dcterms:W3CDTF">2019-08-22T21:05:00Z</dcterms:modified>
</cp:coreProperties>
</file>