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401AE" w14:textId="77777777" w:rsidR="00F20B84" w:rsidRDefault="009E5099" w:rsidP="00CA2C0A">
      <w:pPr>
        <w:jc w:val="center"/>
        <w:outlineLvl w:val="0"/>
        <w:rPr>
          <w:rFonts w:cs="Times New Roman"/>
          <w:b/>
        </w:rPr>
      </w:pPr>
      <w:bookmarkStart w:id="0" w:name="_Toc526093229"/>
      <w:bookmarkStart w:id="1" w:name="_Toc526368120"/>
      <w:bookmarkStart w:id="2" w:name="_GoBack"/>
      <w:bookmarkEnd w:id="2"/>
      <w:r w:rsidRPr="00677ABE">
        <w:rPr>
          <w:rFonts w:cs="Times New Roman"/>
          <w:b/>
        </w:rPr>
        <w:t>RECENT DEVELOPMENTS IN PATENT LAW (</w:t>
      </w:r>
      <w:r w:rsidR="00386B7A" w:rsidRPr="00677ABE">
        <w:rPr>
          <w:rFonts w:cs="Times New Roman"/>
          <w:b/>
        </w:rPr>
        <w:t>FALL</w:t>
      </w:r>
      <w:r w:rsidR="00D97BC1" w:rsidRPr="00677ABE">
        <w:rPr>
          <w:rFonts w:cs="Times New Roman"/>
          <w:b/>
        </w:rPr>
        <w:t xml:space="preserve"> 2018</w:t>
      </w:r>
      <w:r w:rsidRPr="00677ABE">
        <w:rPr>
          <w:rFonts w:cs="Times New Roman"/>
          <w:b/>
        </w:rPr>
        <w:t>)</w:t>
      </w:r>
      <w:bookmarkEnd w:id="0"/>
      <w:bookmarkEnd w:id="1"/>
    </w:p>
    <w:p w14:paraId="2D55C6A8" w14:textId="77777777" w:rsidR="00F20B84" w:rsidRDefault="009E5099" w:rsidP="00CA2C0A">
      <w:pPr>
        <w:jc w:val="center"/>
        <w:outlineLvl w:val="0"/>
        <w:rPr>
          <w:rFonts w:cs="Times New Roman"/>
          <w:b/>
        </w:rPr>
      </w:pPr>
      <w:bookmarkStart w:id="3" w:name="_Toc526093230"/>
      <w:bookmarkStart w:id="4" w:name="_Toc526368121"/>
      <w:r w:rsidRPr="00677ABE">
        <w:rPr>
          <w:rFonts w:cs="Times New Roman"/>
          <w:b/>
        </w:rPr>
        <w:t xml:space="preserve">UPDATED THROUGH </w:t>
      </w:r>
      <w:bookmarkEnd w:id="3"/>
      <w:bookmarkEnd w:id="4"/>
      <w:r w:rsidR="00064C8E" w:rsidRPr="00677ABE">
        <w:rPr>
          <w:rFonts w:cs="Times New Roman"/>
          <w:b/>
        </w:rPr>
        <w:t>9/20</w:t>
      </w:r>
      <w:r w:rsidR="00D97BC1" w:rsidRPr="00677ABE">
        <w:rPr>
          <w:rFonts w:cs="Times New Roman"/>
          <w:b/>
        </w:rPr>
        <w:t>/2018</w:t>
      </w:r>
    </w:p>
    <w:p w14:paraId="40F051A0" w14:textId="77777777" w:rsidR="00F20B84" w:rsidRDefault="009E5099" w:rsidP="00CA2C0A">
      <w:pPr>
        <w:jc w:val="center"/>
        <w:outlineLvl w:val="0"/>
        <w:rPr>
          <w:rFonts w:cs="Times New Roman"/>
          <w:b/>
        </w:rPr>
      </w:pPr>
      <w:bookmarkStart w:id="5" w:name="_Toc526093231"/>
      <w:bookmarkStart w:id="6" w:name="_Toc526368122"/>
      <w:r w:rsidRPr="00677ABE">
        <w:rPr>
          <w:rFonts w:cs="Times New Roman"/>
          <w:b/>
        </w:rPr>
        <w:t>Mark Lemley,</w:t>
      </w:r>
      <w:r w:rsidRPr="00677ABE">
        <w:rPr>
          <w:rStyle w:val="FootnoteReference"/>
          <w:rFonts w:cs="Times New Roman"/>
          <w:b/>
        </w:rPr>
        <w:footnoteReference w:id="1"/>
      </w:r>
      <w:r w:rsidRPr="00677ABE">
        <w:rPr>
          <w:rFonts w:cs="Times New Roman"/>
          <w:b/>
        </w:rPr>
        <w:t xml:space="preserve"> Andrew McCreary,</w:t>
      </w:r>
      <w:r w:rsidRPr="00677ABE">
        <w:rPr>
          <w:rStyle w:val="FootnoteReference"/>
          <w:rFonts w:cs="Times New Roman"/>
          <w:b/>
        </w:rPr>
        <w:footnoteReference w:id="2"/>
      </w:r>
      <w:r w:rsidRPr="00677ABE">
        <w:rPr>
          <w:rFonts w:cs="Times New Roman"/>
          <w:b/>
        </w:rPr>
        <w:t xml:space="preserve"> &amp; Jason Reinecke</w:t>
      </w:r>
      <w:r w:rsidRPr="00677ABE">
        <w:rPr>
          <w:rStyle w:val="FootnoteReference"/>
          <w:rFonts w:cs="Times New Roman"/>
          <w:b/>
        </w:rPr>
        <w:footnoteReference w:id="3"/>
      </w:r>
      <w:bookmarkEnd w:id="5"/>
      <w:bookmarkEnd w:id="6"/>
    </w:p>
    <w:p w14:paraId="160AF430" w14:textId="52049344" w:rsidR="006A0965" w:rsidRDefault="0091068D">
      <w:pPr>
        <w:pStyle w:val="TOC1"/>
        <w:rPr>
          <w:rFonts w:asciiTheme="minorHAnsi" w:hAnsiTheme="minorHAnsi"/>
          <w:b w:val="0"/>
          <w:bCs w:val="0"/>
          <w:caps w:val="0"/>
          <w:noProof/>
          <w:spacing w:val="0"/>
          <w:sz w:val="22"/>
          <w:szCs w:val="22"/>
        </w:rPr>
      </w:pPr>
      <w:r w:rsidRPr="00677ABE">
        <w:rPr>
          <w:rFonts w:ascii="Times New Roman" w:hAnsi="Times New Roman"/>
          <w:i/>
        </w:rPr>
        <w:fldChar w:fldCharType="begin"/>
      </w:r>
      <w:r w:rsidRPr="00677ABE">
        <w:rPr>
          <w:rFonts w:ascii="Times New Roman" w:hAnsi="Times New Roman"/>
          <w:i/>
        </w:rPr>
        <w:instrText xml:space="preserve"> TOC \o "1-3" </w:instrText>
      </w:r>
      <w:r w:rsidRPr="00677ABE">
        <w:rPr>
          <w:rFonts w:ascii="Times New Roman" w:hAnsi="Times New Roman"/>
          <w:i/>
        </w:rPr>
        <w:fldChar w:fldCharType="separate"/>
      </w:r>
      <w:r w:rsidR="006A0965" w:rsidRPr="00BA07AC">
        <w:rPr>
          <w:rFonts w:cs="Times New Roman"/>
          <w:noProof/>
        </w:rPr>
        <w:t>PATENTABLE SUBJECT MATTER</w:t>
      </w:r>
      <w:r w:rsidR="006A0965">
        <w:rPr>
          <w:noProof/>
        </w:rPr>
        <w:tab/>
      </w:r>
      <w:r w:rsidR="006A0965">
        <w:rPr>
          <w:noProof/>
        </w:rPr>
        <w:fldChar w:fldCharType="begin"/>
      </w:r>
      <w:r w:rsidR="006A0965">
        <w:rPr>
          <w:noProof/>
        </w:rPr>
        <w:instrText xml:space="preserve"> PAGEREF _Toc531692713 \h </w:instrText>
      </w:r>
      <w:r w:rsidR="006A0965">
        <w:rPr>
          <w:noProof/>
        </w:rPr>
      </w:r>
      <w:r w:rsidR="006A0965">
        <w:rPr>
          <w:noProof/>
        </w:rPr>
        <w:fldChar w:fldCharType="separate"/>
      </w:r>
      <w:r w:rsidR="006A0965">
        <w:rPr>
          <w:noProof/>
        </w:rPr>
        <w:t>6</w:t>
      </w:r>
      <w:r w:rsidR="006A0965">
        <w:rPr>
          <w:noProof/>
        </w:rPr>
        <w:fldChar w:fldCharType="end"/>
      </w:r>
    </w:p>
    <w:p w14:paraId="3D468EE8" w14:textId="6468B15D" w:rsidR="006A0965" w:rsidRDefault="006A0965">
      <w:pPr>
        <w:pStyle w:val="TOC3"/>
        <w:rPr>
          <w:rFonts w:asciiTheme="minorHAnsi" w:hAnsiTheme="minorHAnsi"/>
          <w:sz w:val="22"/>
          <w:szCs w:val="22"/>
        </w:rPr>
      </w:pPr>
      <w:r w:rsidRPr="00BA07AC">
        <w:rPr>
          <w:rFonts w:cs="Times New Roman"/>
        </w:rPr>
        <w:t>Core Wireless Licensing S.A.R.L. v. LG Electronics, Inc., 880 F.3d 1356 (Fed. Cir. Jan. 25, 2018)</w:t>
      </w:r>
      <w:r>
        <w:tab/>
      </w:r>
      <w:r>
        <w:fldChar w:fldCharType="begin"/>
      </w:r>
      <w:r>
        <w:instrText xml:space="preserve"> PAGEREF _Toc531692714 \h </w:instrText>
      </w:r>
      <w:r>
        <w:fldChar w:fldCharType="separate"/>
      </w:r>
      <w:r>
        <w:t>6</w:t>
      </w:r>
      <w:r>
        <w:fldChar w:fldCharType="end"/>
      </w:r>
    </w:p>
    <w:p w14:paraId="56E54055" w14:textId="0473A02E" w:rsidR="006A0965" w:rsidRDefault="006A0965">
      <w:pPr>
        <w:pStyle w:val="TOC3"/>
        <w:rPr>
          <w:rFonts w:asciiTheme="minorHAnsi" w:hAnsiTheme="minorHAnsi"/>
          <w:sz w:val="22"/>
          <w:szCs w:val="22"/>
        </w:rPr>
      </w:pPr>
      <w:r w:rsidRPr="00BA07AC">
        <w:rPr>
          <w:rFonts w:cs="Times New Roman"/>
        </w:rPr>
        <w:t>Finjan, Inc. v. Blue Coat Systems, Inc., No. 2016-2520, 2018 WL 341882 (Fed. Cir. Jan. 10, 2018)</w:t>
      </w:r>
      <w:r>
        <w:tab/>
      </w:r>
      <w:r>
        <w:fldChar w:fldCharType="begin"/>
      </w:r>
      <w:r>
        <w:instrText xml:space="preserve"> PAGEREF _Toc531692715 \h </w:instrText>
      </w:r>
      <w:r>
        <w:fldChar w:fldCharType="separate"/>
      </w:r>
      <w:r>
        <w:t>6</w:t>
      </w:r>
      <w:r>
        <w:fldChar w:fldCharType="end"/>
      </w:r>
    </w:p>
    <w:p w14:paraId="33E1E5DB" w14:textId="2B57A3E0" w:rsidR="006A0965" w:rsidRDefault="006A0965">
      <w:pPr>
        <w:pStyle w:val="TOC3"/>
        <w:rPr>
          <w:rFonts w:asciiTheme="minorHAnsi" w:hAnsiTheme="minorHAnsi"/>
          <w:sz w:val="22"/>
          <w:szCs w:val="22"/>
        </w:rPr>
      </w:pPr>
      <w:r w:rsidRPr="00BA07AC">
        <w:rPr>
          <w:rFonts w:cs="Times New Roman"/>
        </w:rPr>
        <w:t>Voter Verified, Inc. v. Election Systems &amp; Software LLC, 887 F.3d 1376 (Apr. 20, 2018)</w:t>
      </w:r>
      <w:r>
        <w:tab/>
      </w:r>
      <w:r>
        <w:fldChar w:fldCharType="begin"/>
      </w:r>
      <w:r>
        <w:instrText xml:space="preserve"> PAGEREF _Toc531692716 \h </w:instrText>
      </w:r>
      <w:r>
        <w:fldChar w:fldCharType="separate"/>
      </w:r>
      <w:r>
        <w:t>7</w:t>
      </w:r>
      <w:r>
        <w:fldChar w:fldCharType="end"/>
      </w:r>
    </w:p>
    <w:p w14:paraId="7C3BC863" w14:textId="0F629691" w:rsidR="006A0965" w:rsidRDefault="006A0965">
      <w:pPr>
        <w:pStyle w:val="TOC3"/>
        <w:rPr>
          <w:rFonts w:asciiTheme="minorHAnsi" w:hAnsiTheme="minorHAnsi"/>
          <w:sz w:val="22"/>
          <w:szCs w:val="22"/>
        </w:rPr>
      </w:pPr>
      <w:r w:rsidRPr="00BA07AC">
        <w:rPr>
          <w:rFonts w:cs="Times New Roman"/>
        </w:rPr>
        <w:t>BSG Tech LLC, v. Buyseasons, Inc., 899 F.3d 1281 (Fed. Cir. Aug. 15, 2018)</w:t>
      </w:r>
      <w:r>
        <w:tab/>
      </w:r>
      <w:r>
        <w:fldChar w:fldCharType="begin"/>
      </w:r>
      <w:r>
        <w:instrText xml:space="preserve"> PAGEREF _Toc531692717 \h </w:instrText>
      </w:r>
      <w:r>
        <w:fldChar w:fldCharType="separate"/>
      </w:r>
      <w:r>
        <w:t>8</w:t>
      </w:r>
      <w:r>
        <w:fldChar w:fldCharType="end"/>
      </w:r>
    </w:p>
    <w:p w14:paraId="1C838942" w14:textId="4590550A" w:rsidR="006A0965" w:rsidRDefault="006A0965">
      <w:pPr>
        <w:pStyle w:val="TOC3"/>
        <w:rPr>
          <w:rFonts w:asciiTheme="minorHAnsi" w:hAnsiTheme="minorHAnsi"/>
          <w:sz w:val="22"/>
          <w:szCs w:val="22"/>
        </w:rPr>
      </w:pPr>
      <w:r w:rsidRPr="00BA07AC">
        <w:rPr>
          <w:rFonts w:cs="Times New Roman"/>
        </w:rPr>
        <w:t>SAP Am. Inc., v. Investpic, LLC, 898 F.3d 1161 (Fed. Cir. Aug. 2, 2018)</w:t>
      </w:r>
      <w:r>
        <w:tab/>
      </w:r>
      <w:r>
        <w:fldChar w:fldCharType="begin"/>
      </w:r>
      <w:r>
        <w:instrText xml:space="preserve"> PAGEREF _Toc531692718 \h </w:instrText>
      </w:r>
      <w:r>
        <w:fldChar w:fldCharType="separate"/>
      </w:r>
      <w:r>
        <w:t>10</w:t>
      </w:r>
      <w:r>
        <w:fldChar w:fldCharType="end"/>
      </w:r>
    </w:p>
    <w:p w14:paraId="7D357639" w14:textId="1D5F327C" w:rsidR="006A0965" w:rsidRDefault="006A0965">
      <w:pPr>
        <w:pStyle w:val="TOC3"/>
        <w:rPr>
          <w:rFonts w:asciiTheme="minorHAnsi" w:hAnsiTheme="minorHAnsi"/>
          <w:sz w:val="22"/>
          <w:szCs w:val="22"/>
        </w:rPr>
      </w:pPr>
      <w:r w:rsidRPr="00BA07AC">
        <w:rPr>
          <w:rFonts w:cs="Times New Roman"/>
        </w:rPr>
        <w:t>Interval Licensing LLC v. AOL, Inc., 896 F.3d 1335 (Fed. Cir. July 20, 2018)</w:t>
      </w:r>
      <w:r>
        <w:tab/>
      </w:r>
      <w:r>
        <w:fldChar w:fldCharType="begin"/>
      </w:r>
      <w:r>
        <w:instrText xml:space="preserve"> PAGEREF _Toc531692719 \h </w:instrText>
      </w:r>
      <w:r>
        <w:fldChar w:fldCharType="separate"/>
      </w:r>
      <w:r>
        <w:t>10</w:t>
      </w:r>
      <w:r>
        <w:fldChar w:fldCharType="end"/>
      </w:r>
    </w:p>
    <w:p w14:paraId="07057354" w14:textId="2D6FDF17" w:rsidR="006A0965" w:rsidRDefault="006A0965">
      <w:pPr>
        <w:pStyle w:val="TOC3"/>
        <w:rPr>
          <w:rFonts w:asciiTheme="minorHAnsi" w:hAnsiTheme="minorHAnsi"/>
          <w:sz w:val="22"/>
          <w:szCs w:val="22"/>
        </w:rPr>
      </w:pPr>
      <w:r w:rsidRPr="00BA07AC">
        <w:rPr>
          <w:rFonts w:cs="Times New Roman"/>
        </w:rPr>
        <w:t>Praxair Distrib. Inc. v. Mallinckrodt Hosp. Prods. IP Ltd., 890 F.3d 1024 (Fed. Cir. May 16, 2018)</w:t>
      </w:r>
      <w:r>
        <w:tab/>
      </w:r>
      <w:r>
        <w:fldChar w:fldCharType="begin"/>
      </w:r>
      <w:r>
        <w:instrText xml:space="preserve"> PAGEREF _Toc531692720 \h </w:instrText>
      </w:r>
      <w:r>
        <w:fldChar w:fldCharType="separate"/>
      </w:r>
      <w:r>
        <w:t>12</w:t>
      </w:r>
      <w:r>
        <w:fldChar w:fldCharType="end"/>
      </w:r>
    </w:p>
    <w:p w14:paraId="7726127D" w14:textId="0E251D13" w:rsidR="006A0965" w:rsidRDefault="006A0965">
      <w:pPr>
        <w:pStyle w:val="TOC3"/>
        <w:rPr>
          <w:rFonts w:asciiTheme="minorHAnsi" w:hAnsiTheme="minorHAnsi"/>
          <w:sz w:val="22"/>
          <w:szCs w:val="22"/>
        </w:rPr>
      </w:pPr>
      <w:r w:rsidRPr="00BA07AC">
        <w:rPr>
          <w:rFonts w:cs="Times New Roman"/>
        </w:rPr>
        <w:t>Berkheimer v. HP Inc., 881 F.3d 1360 (Fed. Cir. Feb. 8, 2018)</w:t>
      </w:r>
      <w:r>
        <w:tab/>
      </w:r>
      <w:r>
        <w:fldChar w:fldCharType="begin"/>
      </w:r>
      <w:r>
        <w:instrText xml:space="preserve"> PAGEREF _Toc531692721 \h </w:instrText>
      </w:r>
      <w:r>
        <w:fldChar w:fldCharType="separate"/>
      </w:r>
      <w:r>
        <w:t>13</w:t>
      </w:r>
      <w:r>
        <w:fldChar w:fldCharType="end"/>
      </w:r>
    </w:p>
    <w:p w14:paraId="0AA02F5D" w14:textId="4970218A" w:rsidR="006A0965" w:rsidRDefault="006A0965">
      <w:pPr>
        <w:pStyle w:val="TOC3"/>
        <w:rPr>
          <w:rFonts w:asciiTheme="minorHAnsi" w:hAnsiTheme="minorHAnsi"/>
          <w:sz w:val="22"/>
          <w:szCs w:val="22"/>
        </w:rPr>
      </w:pPr>
      <w:r w:rsidRPr="00BA07AC">
        <w:rPr>
          <w:rFonts w:cs="Times New Roman"/>
        </w:rPr>
        <w:t>Aatrix Software, Inc. v. Green Shades Software, Inc., 882 F.3d 1121 (Fed. Cir. Feb. 14, 2018)</w:t>
      </w:r>
      <w:r>
        <w:tab/>
      </w:r>
      <w:r>
        <w:fldChar w:fldCharType="begin"/>
      </w:r>
      <w:r>
        <w:instrText xml:space="preserve"> PAGEREF _Toc531692722 \h </w:instrText>
      </w:r>
      <w:r>
        <w:fldChar w:fldCharType="separate"/>
      </w:r>
      <w:r>
        <w:t>14</w:t>
      </w:r>
      <w:r>
        <w:fldChar w:fldCharType="end"/>
      </w:r>
    </w:p>
    <w:p w14:paraId="3E45B044" w14:textId="3ADFCCE9" w:rsidR="006A0965" w:rsidRDefault="006A0965">
      <w:pPr>
        <w:pStyle w:val="TOC3"/>
        <w:rPr>
          <w:rFonts w:asciiTheme="minorHAnsi" w:hAnsiTheme="minorHAnsi"/>
          <w:sz w:val="22"/>
          <w:szCs w:val="22"/>
        </w:rPr>
      </w:pPr>
      <w:r w:rsidRPr="00BA07AC">
        <w:rPr>
          <w:rFonts w:cs="Times New Roman"/>
          <w:lang w:val="es-ES"/>
        </w:rPr>
        <w:t>Exergen Corp. v. Kaz USA, Inc., 2018 WL 1193529 (Fed. Cir. Mar. 8, 2018)</w:t>
      </w:r>
      <w:r>
        <w:tab/>
      </w:r>
      <w:r>
        <w:fldChar w:fldCharType="begin"/>
      </w:r>
      <w:r>
        <w:instrText xml:space="preserve"> PAGEREF _Toc531692723 \h </w:instrText>
      </w:r>
      <w:r>
        <w:fldChar w:fldCharType="separate"/>
      </w:r>
      <w:r>
        <w:t>15</w:t>
      </w:r>
      <w:r>
        <w:fldChar w:fldCharType="end"/>
      </w:r>
    </w:p>
    <w:p w14:paraId="1288045C" w14:textId="4F227694" w:rsidR="006A0965" w:rsidRDefault="006A0965">
      <w:pPr>
        <w:pStyle w:val="TOC3"/>
        <w:rPr>
          <w:rFonts w:asciiTheme="minorHAnsi" w:hAnsiTheme="minorHAnsi"/>
          <w:sz w:val="22"/>
          <w:szCs w:val="22"/>
        </w:rPr>
      </w:pPr>
      <w:r>
        <w:t>Data Engine Techs. LLC v. Google LLC</w:t>
      </w:r>
      <w:r w:rsidRPr="00BA07AC">
        <w:t>, 906 F.3d 999 (Fed. Cir. Oct. 9, 2018)</w:t>
      </w:r>
      <w:r>
        <w:tab/>
      </w:r>
      <w:r>
        <w:fldChar w:fldCharType="begin"/>
      </w:r>
      <w:r>
        <w:instrText xml:space="preserve"> PAGEREF _Toc531692724 \h </w:instrText>
      </w:r>
      <w:r>
        <w:fldChar w:fldCharType="separate"/>
      </w:r>
      <w:r>
        <w:t>16</w:t>
      </w:r>
      <w:r>
        <w:fldChar w:fldCharType="end"/>
      </w:r>
    </w:p>
    <w:p w14:paraId="071C073B" w14:textId="65FEE6A4" w:rsidR="006A0965" w:rsidRDefault="006A0965">
      <w:pPr>
        <w:pStyle w:val="TOC3"/>
        <w:rPr>
          <w:rFonts w:asciiTheme="minorHAnsi" w:hAnsiTheme="minorHAnsi"/>
          <w:sz w:val="22"/>
          <w:szCs w:val="22"/>
        </w:rPr>
      </w:pPr>
      <w:r w:rsidRPr="00BA07AC">
        <w:rPr>
          <w:rFonts w:cs="Times New Roman"/>
        </w:rPr>
        <w:t>Vanda Pharmaceuticals Inc. v. West-Ward Pharmaceuticals International Ltd., 887 F.3d 1117 (Fed. Cir. Apr. 13, 2018)</w:t>
      </w:r>
      <w:r>
        <w:tab/>
      </w:r>
      <w:r>
        <w:fldChar w:fldCharType="begin"/>
      </w:r>
      <w:r>
        <w:instrText xml:space="preserve"> PAGEREF _Toc531692725 \h </w:instrText>
      </w:r>
      <w:r>
        <w:fldChar w:fldCharType="separate"/>
      </w:r>
      <w:r>
        <w:t>18</w:t>
      </w:r>
      <w:r>
        <w:fldChar w:fldCharType="end"/>
      </w:r>
    </w:p>
    <w:p w14:paraId="594E12B0" w14:textId="3C7EF1AF" w:rsidR="006A0965" w:rsidRDefault="006A0965">
      <w:pPr>
        <w:pStyle w:val="TOC3"/>
        <w:rPr>
          <w:rFonts w:asciiTheme="minorHAnsi" w:hAnsiTheme="minorHAnsi"/>
          <w:sz w:val="22"/>
          <w:szCs w:val="22"/>
        </w:rPr>
      </w:pPr>
      <w:r>
        <w:t>Roche Molecular Systs., Inc., v. Cepheid</w:t>
      </w:r>
      <w:r w:rsidRPr="00BA07AC">
        <w:t>, 905 F.3d 1363 (Fed. Cir. Oct. 9, 2018)</w:t>
      </w:r>
      <w:r>
        <w:tab/>
      </w:r>
      <w:r>
        <w:fldChar w:fldCharType="begin"/>
      </w:r>
      <w:r>
        <w:instrText xml:space="preserve"> PAGEREF _Toc531692726 \h </w:instrText>
      </w:r>
      <w:r>
        <w:fldChar w:fldCharType="separate"/>
      </w:r>
      <w:r>
        <w:t>19</w:t>
      </w:r>
      <w:r>
        <w:fldChar w:fldCharType="end"/>
      </w:r>
    </w:p>
    <w:p w14:paraId="232FC2E1" w14:textId="3A802E76" w:rsidR="006A0965" w:rsidRDefault="006A0965">
      <w:pPr>
        <w:pStyle w:val="TOC1"/>
        <w:rPr>
          <w:rFonts w:asciiTheme="minorHAnsi" w:hAnsiTheme="minorHAnsi"/>
          <w:b w:val="0"/>
          <w:bCs w:val="0"/>
          <w:caps w:val="0"/>
          <w:noProof/>
          <w:spacing w:val="0"/>
          <w:sz w:val="22"/>
          <w:szCs w:val="22"/>
        </w:rPr>
      </w:pPr>
      <w:r w:rsidRPr="00BA07AC">
        <w:rPr>
          <w:rFonts w:cs="Times New Roman"/>
          <w:noProof/>
        </w:rPr>
        <w:t>DISCLOSURE</w:t>
      </w:r>
      <w:r>
        <w:rPr>
          <w:noProof/>
        </w:rPr>
        <w:tab/>
      </w:r>
      <w:r>
        <w:rPr>
          <w:noProof/>
        </w:rPr>
        <w:fldChar w:fldCharType="begin"/>
      </w:r>
      <w:r>
        <w:rPr>
          <w:noProof/>
        </w:rPr>
        <w:instrText xml:space="preserve"> PAGEREF _Toc531692727 \h </w:instrText>
      </w:r>
      <w:r>
        <w:rPr>
          <w:noProof/>
        </w:rPr>
      </w:r>
      <w:r>
        <w:rPr>
          <w:noProof/>
        </w:rPr>
        <w:fldChar w:fldCharType="separate"/>
      </w:r>
      <w:r>
        <w:rPr>
          <w:noProof/>
        </w:rPr>
        <w:t>21</w:t>
      </w:r>
      <w:r>
        <w:rPr>
          <w:noProof/>
        </w:rPr>
        <w:fldChar w:fldCharType="end"/>
      </w:r>
    </w:p>
    <w:p w14:paraId="7A53FC83" w14:textId="3CB23A42" w:rsidR="006A0965" w:rsidRDefault="006A0965">
      <w:pPr>
        <w:pStyle w:val="TOC2"/>
        <w:tabs>
          <w:tab w:val="right" w:leader="dot" w:pos="8630"/>
        </w:tabs>
        <w:rPr>
          <w:rFonts w:asciiTheme="minorHAnsi" w:hAnsiTheme="minorHAnsi"/>
          <w:b w:val="0"/>
          <w:bCs w:val="0"/>
          <w:noProof/>
          <w:sz w:val="22"/>
          <w:szCs w:val="22"/>
        </w:rPr>
      </w:pPr>
      <w:r w:rsidRPr="00BA07AC">
        <w:rPr>
          <w:rFonts w:cs="Times New Roman"/>
          <w:noProof/>
        </w:rPr>
        <w:t>Definiteness</w:t>
      </w:r>
      <w:r>
        <w:rPr>
          <w:noProof/>
        </w:rPr>
        <w:tab/>
      </w:r>
      <w:r>
        <w:rPr>
          <w:noProof/>
        </w:rPr>
        <w:fldChar w:fldCharType="begin"/>
      </w:r>
      <w:r>
        <w:rPr>
          <w:noProof/>
        </w:rPr>
        <w:instrText xml:space="preserve"> PAGEREF _Toc531692728 \h </w:instrText>
      </w:r>
      <w:r>
        <w:rPr>
          <w:noProof/>
        </w:rPr>
      </w:r>
      <w:r>
        <w:rPr>
          <w:noProof/>
        </w:rPr>
        <w:fldChar w:fldCharType="separate"/>
      </w:r>
      <w:r>
        <w:rPr>
          <w:noProof/>
        </w:rPr>
        <w:t>21</w:t>
      </w:r>
      <w:r>
        <w:rPr>
          <w:noProof/>
        </w:rPr>
        <w:fldChar w:fldCharType="end"/>
      </w:r>
    </w:p>
    <w:p w14:paraId="030B3870" w14:textId="327D313F" w:rsidR="006A0965" w:rsidRDefault="006A0965">
      <w:pPr>
        <w:pStyle w:val="TOC3"/>
        <w:rPr>
          <w:rFonts w:asciiTheme="minorHAnsi" w:hAnsiTheme="minorHAnsi"/>
          <w:sz w:val="22"/>
          <w:szCs w:val="22"/>
        </w:rPr>
      </w:pPr>
      <w:r w:rsidRPr="00BA07AC">
        <w:rPr>
          <w:rFonts w:cs="Times New Roman"/>
        </w:rPr>
        <w:t>Intellectual Ventures I LLC v. T-Mobile USA, Inc., Nos. 2017-2434 &amp; 2017-2435, 2018 U.S. App. LEXIS 24997 (Fed. Cir. Sept. 4, 2018)</w:t>
      </w:r>
      <w:r>
        <w:tab/>
      </w:r>
      <w:r>
        <w:fldChar w:fldCharType="begin"/>
      </w:r>
      <w:r>
        <w:instrText xml:space="preserve"> PAGEREF _Toc531692729 \h </w:instrText>
      </w:r>
      <w:r>
        <w:fldChar w:fldCharType="separate"/>
      </w:r>
      <w:r>
        <w:t>21</w:t>
      </w:r>
      <w:r>
        <w:fldChar w:fldCharType="end"/>
      </w:r>
    </w:p>
    <w:p w14:paraId="6080C420" w14:textId="4FB6D043" w:rsidR="006A0965" w:rsidRDefault="006A0965">
      <w:pPr>
        <w:pStyle w:val="TOC3"/>
        <w:rPr>
          <w:rFonts w:asciiTheme="minorHAnsi" w:hAnsiTheme="minorHAnsi"/>
          <w:sz w:val="22"/>
          <w:szCs w:val="22"/>
        </w:rPr>
      </w:pPr>
      <w:r w:rsidRPr="00BA07AC">
        <w:rPr>
          <w:rFonts w:cs="Times New Roman"/>
        </w:rPr>
        <w:t>Diebold Nixdorf, Inc. v. Int’l Trade Comm’n, 899 F.3d 1291 (Fed. Cir. Aug. 15, 2018)</w:t>
      </w:r>
      <w:r>
        <w:tab/>
      </w:r>
      <w:r>
        <w:fldChar w:fldCharType="begin"/>
      </w:r>
      <w:r>
        <w:instrText xml:space="preserve"> PAGEREF _Toc531692730 \h </w:instrText>
      </w:r>
      <w:r>
        <w:fldChar w:fldCharType="separate"/>
      </w:r>
      <w:r>
        <w:t>22</w:t>
      </w:r>
      <w:r>
        <w:fldChar w:fldCharType="end"/>
      </w:r>
    </w:p>
    <w:p w14:paraId="46F0FC9C" w14:textId="471087BF" w:rsidR="006A0965" w:rsidRDefault="006A0965">
      <w:pPr>
        <w:pStyle w:val="TOC3"/>
        <w:rPr>
          <w:rFonts w:asciiTheme="minorHAnsi" w:hAnsiTheme="minorHAnsi"/>
          <w:sz w:val="22"/>
          <w:szCs w:val="22"/>
        </w:rPr>
      </w:pPr>
      <w:r w:rsidRPr="00BA07AC">
        <w:rPr>
          <w:rFonts w:cs="Times New Roman"/>
        </w:rPr>
        <w:t>Zeroclick, LLC, v. Apple Inc., 891 F.3d 1003 (Fed. Cir. June 1, 2018)</w:t>
      </w:r>
      <w:r>
        <w:tab/>
      </w:r>
      <w:r>
        <w:fldChar w:fldCharType="begin"/>
      </w:r>
      <w:r>
        <w:instrText xml:space="preserve"> PAGEREF _Toc531692731 \h </w:instrText>
      </w:r>
      <w:r>
        <w:fldChar w:fldCharType="separate"/>
      </w:r>
      <w:r>
        <w:t>23</w:t>
      </w:r>
      <w:r>
        <w:fldChar w:fldCharType="end"/>
      </w:r>
    </w:p>
    <w:p w14:paraId="2617B641" w14:textId="2E8B4B20" w:rsidR="006A0965" w:rsidRDefault="006A0965">
      <w:pPr>
        <w:pStyle w:val="TOC2"/>
        <w:tabs>
          <w:tab w:val="right" w:leader="dot" w:pos="8630"/>
        </w:tabs>
        <w:rPr>
          <w:rFonts w:asciiTheme="minorHAnsi" w:hAnsiTheme="minorHAnsi"/>
          <w:b w:val="0"/>
          <w:bCs w:val="0"/>
          <w:noProof/>
          <w:sz w:val="22"/>
          <w:szCs w:val="22"/>
        </w:rPr>
      </w:pPr>
      <w:r w:rsidRPr="00BA07AC">
        <w:rPr>
          <w:rFonts w:cs="Times New Roman"/>
          <w:noProof/>
        </w:rPr>
        <w:t>Enablement and Written Description</w:t>
      </w:r>
      <w:r>
        <w:rPr>
          <w:noProof/>
        </w:rPr>
        <w:tab/>
      </w:r>
      <w:r>
        <w:rPr>
          <w:noProof/>
        </w:rPr>
        <w:fldChar w:fldCharType="begin"/>
      </w:r>
      <w:r>
        <w:rPr>
          <w:noProof/>
        </w:rPr>
        <w:instrText xml:space="preserve"> PAGEREF _Toc531692732 \h </w:instrText>
      </w:r>
      <w:r>
        <w:rPr>
          <w:noProof/>
        </w:rPr>
      </w:r>
      <w:r>
        <w:rPr>
          <w:noProof/>
        </w:rPr>
        <w:fldChar w:fldCharType="separate"/>
      </w:r>
      <w:r>
        <w:rPr>
          <w:noProof/>
        </w:rPr>
        <w:t>23</w:t>
      </w:r>
      <w:r>
        <w:rPr>
          <w:noProof/>
        </w:rPr>
        <w:fldChar w:fldCharType="end"/>
      </w:r>
    </w:p>
    <w:p w14:paraId="76B79D53" w14:textId="5596A1C5" w:rsidR="006A0965" w:rsidRDefault="006A0965">
      <w:pPr>
        <w:pStyle w:val="TOC3"/>
        <w:rPr>
          <w:rFonts w:asciiTheme="minorHAnsi" w:hAnsiTheme="minorHAnsi"/>
          <w:sz w:val="22"/>
          <w:szCs w:val="22"/>
        </w:rPr>
      </w:pPr>
      <w:r w:rsidRPr="00BA07AC">
        <w:rPr>
          <w:rFonts w:cs="Times New Roman"/>
        </w:rPr>
        <w:t>Knowles Electronics LLC v. Cirrus Logic, Inc., 883 F.3d 1358 (Fed. Cir. Mar. 2, 2018)</w:t>
      </w:r>
      <w:r>
        <w:tab/>
      </w:r>
      <w:r>
        <w:fldChar w:fldCharType="begin"/>
      </w:r>
      <w:r>
        <w:instrText xml:space="preserve"> PAGEREF _Toc531692733 \h </w:instrText>
      </w:r>
      <w:r>
        <w:fldChar w:fldCharType="separate"/>
      </w:r>
      <w:r>
        <w:t>23</w:t>
      </w:r>
      <w:r>
        <w:fldChar w:fldCharType="end"/>
      </w:r>
    </w:p>
    <w:p w14:paraId="7D1B5E74" w14:textId="02180FD8" w:rsidR="006A0965" w:rsidRDefault="006A0965">
      <w:pPr>
        <w:pStyle w:val="TOC3"/>
        <w:rPr>
          <w:rFonts w:asciiTheme="minorHAnsi" w:hAnsiTheme="minorHAnsi"/>
          <w:sz w:val="22"/>
          <w:szCs w:val="22"/>
        </w:rPr>
      </w:pPr>
      <w:r w:rsidRPr="00BA07AC">
        <w:rPr>
          <w:rFonts w:cs="Times New Roman"/>
        </w:rPr>
        <w:t>General Hosp. Corp. v. Sienna Biopharms. Inc., 888 F.3d 1368 (Fed. Cir. May 4, 2018)</w:t>
      </w:r>
      <w:r>
        <w:tab/>
      </w:r>
      <w:r>
        <w:fldChar w:fldCharType="begin"/>
      </w:r>
      <w:r>
        <w:instrText xml:space="preserve"> PAGEREF _Toc531692734 \h </w:instrText>
      </w:r>
      <w:r>
        <w:fldChar w:fldCharType="separate"/>
      </w:r>
      <w:r>
        <w:t>24</w:t>
      </w:r>
      <w:r>
        <w:fldChar w:fldCharType="end"/>
      </w:r>
    </w:p>
    <w:p w14:paraId="1E037829" w14:textId="554C9D63" w:rsidR="006A0965" w:rsidRDefault="006A0965">
      <w:pPr>
        <w:pStyle w:val="TOC3"/>
        <w:rPr>
          <w:rFonts w:asciiTheme="minorHAnsi" w:hAnsiTheme="minorHAnsi"/>
          <w:sz w:val="22"/>
          <w:szCs w:val="22"/>
        </w:rPr>
      </w:pPr>
      <w:r w:rsidRPr="00BA07AC">
        <w:rPr>
          <w:rFonts w:cs="Times New Roman"/>
        </w:rPr>
        <w:t>Trustees of Boston Univ. v. Everlight Elecs. Co., 896 F.3d 1357 (Fed. Cir. July 25, 2018)</w:t>
      </w:r>
      <w:r>
        <w:tab/>
      </w:r>
      <w:r>
        <w:fldChar w:fldCharType="begin"/>
      </w:r>
      <w:r>
        <w:instrText xml:space="preserve"> PAGEREF _Toc531692735 \h </w:instrText>
      </w:r>
      <w:r>
        <w:fldChar w:fldCharType="separate"/>
      </w:r>
      <w:r>
        <w:t>25</w:t>
      </w:r>
      <w:r>
        <w:fldChar w:fldCharType="end"/>
      </w:r>
    </w:p>
    <w:p w14:paraId="062585A7" w14:textId="58CE05E8" w:rsidR="006A0965" w:rsidRDefault="006A0965">
      <w:pPr>
        <w:pStyle w:val="TOC1"/>
        <w:rPr>
          <w:rFonts w:asciiTheme="minorHAnsi" w:hAnsiTheme="minorHAnsi"/>
          <w:b w:val="0"/>
          <w:bCs w:val="0"/>
          <w:caps w:val="0"/>
          <w:noProof/>
          <w:spacing w:val="0"/>
          <w:sz w:val="22"/>
          <w:szCs w:val="22"/>
        </w:rPr>
      </w:pPr>
      <w:r w:rsidRPr="00BA07AC">
        <w:rPr>
          <w:rFonts w:cs="Times New Roman"/>
          <w:noProof/>
        </w:rPr>
        <w:lastRenderedPageBreak/>
        <w:t>SECTION 102</w:t>
      </w:r>
      <w:r>
        <w:rPr>
          <w:noProof/>
        </w:rPr>
        <w:tab/>
      </w:r>
      <w:r>
        <w:rPr>
          <w:noProof/>
        </w:rPr>
        <w:fldChar w:fldCharType="begin"/>
      </w:r>
      <w:r>
        <w:rPr>
          <w:noProof/>
        </w:rPr>
        <w:instrText xml:space="preserve"> PAGEREF _Toc531692736 \h </w:instrText>
      </w:r>
      <w:r>
        <w:rPr>
          <w:noProof/>
        </w:rPr>
      </w:r>
      <w:r>
        <w:rPr>
          <w:noProof/>
        </w:rPr>
        <w:fldChar w:fldCharType="separate"/>
      </w:r>
      <w:r>
        <w:rPr>
          <w:noProof/>
        </w:rPr>
        <w:t>27</w:t>
      </w:r>
      <w:r>
        <w:rPr>
          <w:noProof/>
        </w:rPr>
        <w:fldChar w:fldCharType="end"/>
      </w:r>
    </w:p>
    <w:p w14:paraId="68851974" w14:textId="3C742019" w:rsidR="006A0965" w:rsidRDefault="006A0965">
      <w:pPr>
        <w:pStyle w:val="TOC2"/>
        <w:tabs>
          <w:tab w:val="right" w:leader="dot" w:pos="8630"/>
        </w:tabs>
        <w:rPr>
          <w:rFonts w:asciiTheme="minorHAnsi" w:hAnsiTheme="minorHAnsi"/>
          <w:b w:val="0"/>
          <w:bCs w:val="0"/>
          <w:noProof/>
          <w:sz w:val="22"/>
          <w:szCs w:val="22"/>
        </w:rPr>
      </w:pPr>
      <w:r w:rsidRPr="00BA07AC">
        <w:rPr>
          <w:rFonts w:cs="Times New Roman"/>
          <w:noProof/>
        </w:rPr>
        <w:t>Printed Publication</w:t>
      </w:r>
      <w:r>
        <w:rPr>
          <w:noProof/>
        </w:rPr>
        <w:tab/>
      </w:r>
      <w:r>
        <w:rPr>
          <w:noProof/>
        </w:rPr>
        <w:fldChar w:fldCharType="begin"/>
      </w:r>
      <w:r>
        <w:rPr>
          <w:noProof/>
        </w:rPr>
        <w:instrText xml:space="preserve"> PAGEREF _Toc531692737 \h </w:instrText>
      </w:r>
      <w:r>
        <w:rPr>
          <w:noProof/>
        </w:rPr>
      </w:r>
      <w:r>
        <w:rPr>
          <w:noProof/>
        </w:rPr>
        <w:fldChar w:fldCharType="separate"/>
      </w:r>
      <w:r>
        <w:rPr>
          <w:noProof/>
        </w:rPr>
        <w:t>27</w:t>
      </w:r>
      <w:r>
        <w:rPr>
          <w:noProof/>
        </w:rPr>
        <w:fldChar w:fldCharType="end"/>
      </w:r>
    </w:p>
    <w:p w14:paraId="552E6369" w14:textId="07C4B0EE" w:rsidR="006A0965" w:rsidRDefault="006A0965">
      <w:pPr>
        <w:pStyle w:val="TOC3"/>
        <w:rPr>
          <w:rFonts w:asciiTheme="minorHAnsi" w:hAnsiTheme="minorHAnsi"/>
          <w:sz w:val="22"/>
          <w:szCs w:val="22"/>
        </w:rPr>
      </w:pPr>
      <w:r>
        <w:t>GoPro, Inc. v. Contour IP Holding LLC</w:t>
      </w:r>
      <w:r w:rsidRPr="00BA07AC">
        <w:t>, Nos. 2017-1894, 2017-1936, 2018 WL 5660650 (Fed. Cir. July 27, 2018, modified Nov. 1, 2018)</w:t>
      </w:r>
      <w:r>
        <w:tab/>
      </w:r>
      <w:r>
        <w:fldChar w:fldCharType="begin"/>
      </w:r>
      <w:r>
        <w:instrText xml:space="preserve"> PAGEREF _Toc531692738 \h </w:instrText>
      </w:r>
      <w:r>
        <w:fldChar w:fldCharType="separate"/>
      </w:r>
      <w:r>
        <w:t>27</w:t>
      </w:r>
      <w:r>
        <w:fldChar w:fldCharType="end"/>
      </w:r>
    </w:p>
    <w:p w14:paraId="6FA89F0A" w14:textId="55440EE0" w:rsidR="006A0965" w:rsidRDefault="006A0965">
      <w:pPr>
        <w:pStyle w:val="TOC2"/>
        <w:tabs>
          <w:tab w:val="right" w:leader="dot" w:pos="8630"/>
        </w:tabs>
        <w:rPr>
          <w:rFonts w:asciiTheme="minorHAnsi" w:hAnsiTheme="minorHAnsi"/>
          <w:b w:val="0"/>
          <w:bCs w:val="0"/>
          <w:noProof/>
          <w:sz w:val="22"/>
          <w:szCs w:val="22"/>
        </w:rPr>
      </w:pPr>
      <w:r w:rsidRPr="00BA07AC">
        <w:rPr>
          <w:rFonts w:cs="Times New Roman"/>
          <w:noProof/>
        </w:rPr>
        <w:t>On-Sale Bar</w:t>
      </w:r>
      <w:r>
        <w:rPr>
          <w:noProof/>
        </w:rPr>
        <w:tab/>
      </w:r>
      <w:r>
        <w:rPr>
          <w:noProof/>
        </w:rPr>
        <w:fldChar w:fldCharType="begin"/>
      </w:r>
      <w:r>
        <w:rPr>
          <w:noProof/>
        </w:rPr>
        <w:instrText xml:space="preserve"> PAGEREF _Toc531692739 \h </w:instrText>
      </w:r>
      <w:r>
        <w:rPr>
          <w:noProof/>
        </w:rPr>
      </w:r>
      <w:r>
        <w:rPr>
          <w:noProof/>
        </w:rPr>
        <w:fldChar w:fldCharType="separate"/>
      </w:r>
      <w:r>
        <w:rPr>
          <w:noProof/>
        </w:rPr>
        <w:t>28</w:t>
      </w:r>
      <w:r>
        <w:rPr>
          <w:noProof/>
        </w:rPr>
        <w:fldChar w:fldCharType="end"/>
      </w:r>
    </w:p>
    <w:p w14:paraId="32EA320D" w14:textId="139E21D5" w:rsidR="006A0965" w:rsidRDefault="006A0965">
      <w:pPr>
        <w:pStyle w:val="TOC3"/>
        <w:rPr>
          <w:rFonts w:asciiTheme="minorHAnsi" w:hAnsiTheme="minorHAnsi"/>
          <w:sz w:val="22"/>
          <w:szCs w:val="22"/>
        </w:rPr>
      </w:pPr>
      <w:r w:rsidRPr="00BA07AC">
        <w:rPr>
          <w:rFonts w:cs="Times New Roman"/>
        </w:rPr>
        <w:t xml:space="preserve">Helsinn Healthcare S.A. v. Teva Pharms. </w:t>
      </w:r>
      <w:r w:rsidRPr="00BA07AC">
        <w:rPr>
          <w:rFonts w:cs="Times New Roman"/>
          <w:lang w:val="es-ES"/>
        </w:rPr>
        <w:t>USA, Inc., 138 S.Ct. 2678 (June 25, 2018).</w:t>
      </w:r>
      <w:r>
        <w:tab/>
      </w:r>
      <w:r>
        <w:fldChar w:fldCharType="begin"/>
      </w:r>
      <w:r>
        <w:instrText xml:space="preserve"> PAGEREF _Toc531692740 \h </w:instrText>
      </w:r>
      <w:r>
        <w:fldChar w:fldCharType="separate"/>
      </w:r>
      <w:r>
        <w:t>28</w:t>
      </w:r>
      <w:r>
        <w:fldChar w:fldCharType="end"/>
      </w:r>
    </w:p>
    <w:p w14:paraId="5D8EFA75" w14:textId="2B5F529E" w:rsidR="006A0965" w:rsidRDefault="006A0965">
      <w:pPr>
        <w:pStyle w:val="TOC3"/>
        <w:rPr>
          <w:rFonts w:asciiTheme="minorHAnsi" w:hAnsiTheme="minorHAnsi"/>
          <w:sz w:val="22"/>
          <w:szCs w:val="22"/>
        </w:rPr>
      </w:pPr>
      <w:r w:rsidRPr="00BA07AC">
        <w:rPr>
          <w:rFonts w:cs="Times New Roman"/>
        </w:rPr>
        <w:t>The Medicines Co. v. Hospira Inc., 881 F.3d 1347 (Fed. Cir. Feb. 6, 2018)</w:t>
      </w:r>
      <w:r>
        <w:tab/>
      </w:r>
      <w:r>
        <w:fldChar w:fldCharType="begin"/>
      </w:r>
      <w:r>
        <w:instrText xml:space="preserve"> PAGEREF _Toc531692741 \h </w:instrText>
      </w:r>
      <w:r>
        <w:fldChar w:fldCharType="separate"/>
      </w:r>
      <w:r>
        <w:t>29</w:t>
      </w:r>
      <w:r>
        <w:fldChar w:fldCharType="end"/>
      </w:r>
    </w:p>
    <w:p w14:paraId="512B3D42" w14:textId="5F7E809D" w:rsidR="006A0965" w:rsidRDefault="006A0965">
      <w:pPr>
        <w:pStyle w:val="TOC2"/>
        <w:tabs>
          <w:tab w:val="right" w:leader="dot" w:pos="8630"/>
        </w:tabs>
        <w:rPr>
          <w:rFonts w:asciiTheme="minorHAnsi" w:hAnsiTheme="minorHAnsi"/>
          <w:b w:val="0"/>
          <w:bCs w:val="0"/>
          <w:noProof/>
          <w:sz w:val="22"/>
          <w:szCs w:val="22"/>
        </w:rPr>
      </w:pPr>
      <w:r>
        <w:rPr>
          <w:noProof/>
        </w:rPr>
        <w:t>Standard of Review</w:t>
      </w:r>
      <w:r>
        <w:rPr>
          <w:noProof/>
        </w:rPr>
        <w:tab/>
      </w:r>
      <w:r>
        <w:rPr>
          <w:noProof/>
        </w:rPr>
        <w:fldChar w:fldCharType="begin"/>
      </w:r>
      <w:r>
        <w:rPr>
          <w:noProof/>
        </w:rPr>
        <w:instrText xml:space="preserve"> PAGEREF _Toc531692742 \h </w:instrText>
      </w:r>
      <w:r>
        <w:rPr>
          <w:noProof/>
        </w:rPr>
      </w:r>
      <w:r>
        <w:rPr>
          <w:noProof/>
        </w:rPr>
        <w:fldChar w:fldCharType="separate"/>
      </w:r>
      <w:r>
        <w:rPr>
          <w:noProof/>
        </w:rPr>
        <w:t>30</w:t>
      </w:r>
      <w:r>
        <w:rPr>
          <w:noProof/>
        </w:rPr>
        <w:fldChar w:fldCharType="end"/>
      </w:r>
    </w:p>
    <w:p w14:paraId="02D9F641" w14:textId="476B8F52" w:rsidR="006A0965" w:rsidRDefault="006A0965">
      <w:pPr>
        <w:pStyle w:val="TOC3"/>
        <w:rPr>
          <w:rFonts w:asciiTheme="minorHAnsi" w:hAnsiTheme="minorHAnsi"/>
          <w:sz w:val="22"/>
          <w:szCs w:val="22"/>
        </w:rPr>
      </w:pPr>
      <w:r w:rsidRPr="00BA07AC">
        <w:rPr>
          <w:rFonts w:cs="Times New Roman"/>
        </w:rPr>
        <w:t>Microsoft Corp. v. Biscotti, Inc., 878 F.3d 1052 (Fed. Cir. Dec. 28, 2017)</w:t>
      </w:r>
      <w:r>
        <w:tab/>
      </w:r>
      <w:r>
        <w:fldChar w:fldCharType="begin"/>
      </w:r>
      <w:r>
        <w:instrText xml:space="preserve"> PAGEREF _Toc531692743 \h </w:instrText>
      </w:r>
      <w:r>
        <w:fldChar w:fldCharType="separate"/>
      </w:r>
      <w:r>
        <w:t>30</w:t>
      </w:r>
      <w:r>
        <w:fldChar w:fldCharType="end"/>
      </w:r>
    </w:p>
    <w:p w14:paraId="7EC8D6F4" w14:textId="7713DE0A" w:rsidR="006A0965" w:rsidRDefault="006A0965">
      <w:pPr>
        <w:pStyle w:val="TOC2"/>
        <w:tabs>
          <w:tab w:val="right" w:leader="dot" w:pos="8630"/>
        </w:tabs>
        <w:rPr>
          <w:rFonts w:asciiTheme="minorHAnsi" w:hAnsiTheme="minorHAnsi"/>
          <w:b w:val="0"/>
          <w:bCs w:val="0"/>
          <w:noProof/>
          <w:sz w:val="22"/>
          <w:szCs w:val="22"/>
        </w:rPr>
      </w:pPr>
      <w:r w:rsidRPr="00BA07AC">
        <w:rPr>
          <w:rFonts w:cs="Times New Roman"/>
          <w:noProof/>
        </w:rPr>
        <w:t>Experimental Use</w:t>
      </w:r>
      <w:r>
        <w:rPr>
          <w:noProof/>
        </w:rPr>
        <w:tab/>
      </w:r>
      <w:r>
        <w:rPr>
          <w:noProof/>
        </w:rPr>
        <w:fldChar w:fldCharType="begin"/>
      </w:r>
      <w:r>
        <w:rPr>
          <w:noProof/>
        </w:rPr>
        <w:instrText xml:space="preserve"> PAGEREF _Toc531692744 \h </w:instrText>
      </w:r>
      <w:r>
        <w:rPr>
          <w:noProof/>
        </w:rPr>
      </w:r>
      <w:r>
        <w:rPr>
          <w:noProof/>
        </w:rPr>
        <w:fldChar w:fldCharType="separate"/>
      </w:r>
      <w:r>
        <w:rPr>
          <w:noProof/>
        </w:rPr>
        <w:t>31</w:t>
      </w:r>
      <w:r>
        <w:rPr>
          <w:noProof/>
        </w:rPr>
        <w:fldChar w:fldCharType="end"/>
      </w:r>
    </w:p>
    <w:p w14:paraId="79EB4972" w14:textId="6370018B" w:rsidR="006A0965" w:rsidRDefault="006A0965">
      <w:pPr>
        <w:pStyle w:val="TOC3"/>
        <w:rPr>
          <w:rFonts w:asciiTheme="minorHAnsi" w:hAnsiTheme="minorHAnsi"/>
          <w:sz w:val="22"/>
          <w:szCs w:val="22"/>
        </w:rPr>
      </w:pPr>
      <w:r w:rsidRPr="00BA07AC">
        <w:rPr>
          <w:rFonts w:cs="Times New Roman"/>
        </w:rPr>
        <w:t>Polara Eng’g Inc. v. Campbell Co., 894 F.3d 1339 (Fed. Cir. July 10, 2018)</w:t>
      </w:r>
      <w:r>
        <w:tab/>
      </w:r>
      <w:r>
        <w:fldChar w:fldCharType="begin"/>
      </w:r>
      <w:r>
        <w:instrText xml:space="preserve"> PAGEREF _Toc531692745 \h </w:instrText>
      </w:r>
      <w:r>
        <w:fldChar w:fldCharType="separate"/>
      </w:r>
      <w:r>
        <w:t>31</w:t>
      </w:r>
      <w:r>
        <w:fldChar w:fldCharType="end"/>
      </w:r>
    </w:p>
    <w:p w14:paraId="526DA674" w14:textId="48BA0D47" w:rsidR="006A0965" w:rsidRDefault="006A0965">
      <w:pPr>
        <w:pStyle w:val="TOC2"/>
        <w:tabs>
          <w:tab w:val="right" w:leader="dot" w:pos="8630"/>
        </w:tabs>
        <w:rPr>
          <w:rFonts w:asciiTheme="minorHAnsi" w:hAnsiTheme="minorHAnsi"/>
          <w:b w:val="0"/>
          <w:bCs w:val="0"/>
          <w:noProof/>
          <w:sz w:val="22"/>
          <w:szCs w:val="22"/>
        </w:rPr>
      </w:pPr>
      <w:r w:rsidRPr="00BA07AC">
        <w:rPr>
          <w:rFonts w:cs="Times New Roman"/>
          <w:noProof/>
        </w:rPr>
        <w:t>Priority</w:t>
      </w:r>
      <w:r>
        <w:rPr>
          <w:noProof/>
        </w:rPr>
        <w:tab/>
      </w:r>
      <w:r>
        <w:rPr>
          <w:noProof/>
        </w:rPr>
        <w:fldChar w:fldCharType="begin"/>
      </w:r>
      <w:r>
        <w:rPr>
          <w:noProof/>
        </w:rPr>
        <w:instrText xml:space="preserve"> PAGEREF _Toc531692746 \h </w:instrText>
      </w:r>
      <w:r>
        <w:rPr>
          <w:noProof/>
        </w:rPr>
      </w:r>
      <w:r>
        <w:rPr>
          <w:noProof/>
        </w:rPr>
        <w:fldChar w:fldCharType="separate"/>
      </w:r>
      <w:r>
        <w:rPr>
          <w:noProof/>
        </w:rPr>
        <w:t>32</w:t>
      </w:r>
      <w:r>
        <w:rPr>
          <w:noProof/>
        </w:rPr>
        <w:fldChar w:fldCharType="end"/>
      </w:r>
    </w:p>
    <w:p w14:paraId="53979CB6" w14:textId="3F8C1C4C" w:rsidR="006A0965" w:rsidRDefault="006A0965">
      <w:pPr>
        <w:pStyle w:val="TOC3"/>
        <w:rPr>
          <w:rFonts w:asciiTheme="minorHAnsi" w:hAnsiTheme="minorHAnsi"/>
          <w:sz w:val="22"/>
          <w:szCs w:val="22"/>
        </w:rPr>
      </w:pPr>
      <w:r>
        <w:t>Natural Alternatives Int’l, Inc. v. Iancu</w:t>
      </w:r>
      <w:r w:rsidRPr="00BA07AC">
        <w:t>, 904 F.3d 1375 (Fed. Cir. Oct. 1, 2018)</w:t>
      </w:r>
      <w:r>
        <w:tab/>
      </w:r>
      <w:r>
        <w:fldChar w:fldCharType="begin"/>
      </w:r>
      <w:r>
        <w:instrText xml:space="preserve"> PAGEREF _Toc531692747 \h </w:instrText>
      </w:r>
      <w:r>
        <w:fldChar w:fldCharType="separate"/>
      </w:r>
      <w:r>
        <w:t>32</w:t>
      </w:r>
      <w:r>
        <w:fldChar w:fldCharType="end"/>
      </w:r>
    </w:p>
    <w:p w14:paraId="7A63D385" w14:textId="13ABE34C" w:rsidR="006A0965" w:rsidRDefault="006A0965">
      <w:pPr>
        <w:pStyle w:val="TOC3"/>
        <w:rPr>
          <w:rFonts w:asciiTheme="minorHAnsi" w:hAnsiTheme="minorHAnsi"/>
          <w:sz w:val="22"/>
          <w:szCs w:val="22"/>
        </w:rPr>
      </w:pPr>
      <w:r w:rsidRPr="00BA07AC">
        <w:rPr>
          <w:rFonts w:cs="Times New Roman"/>
        </w:rPr>
        <w:t>Regents of the Univ. of California v. Broad Inst., Inc., No. 2017-1907, 2018 WL 4288968 (Fed. Cir. Sept. 10, 2018)</w:t>
      </w:r>
      <w:r>
        <w:tab/>
      </w:r>
      <w:r>
        <w:fldChar w:fldCharType="begin"/>
      </w:r>
      <w:r>
        <w:instrText xml:space="preserve"> PAGEREF _Toc531692748 \h </w:instrText>
      </w:r>
      <w:r>
        <w:fldChar w:fldCharType="separate"/>
      </w:r>
      <w:r>
        <w:t>34</w:t>
      </w:r>
      <w:r>
        <w:fldChar w:fldCharType="end"/>
      </w:r>
    </w:p>
    <w:p w14:paraId="62B69A9D" w14:textId="0E2C2129" w:rsidR="006A0965" w:rsidRDefault="006A0965">
      <w:pPr>
        <w:pStyle w:val="TOC1"/>
        <w:rPr>
          <w:rFonts w:asciiTheme="minorHAnsi" w:hAnsiTheme="minorHAnsi"/>
          <w:b w:val="0"/>
          <w:bCs w:val="0"/>
          <w:caps w:val="0"/>
          <w:noProof/>
          <w:spacing w:val="0"/>
          <w:sz w:val="22"/>
          <w:szCs w:val="22"/>
        </w:rPr>
      </w:pPr>
      <w:r w:rsidRPr="00BA07AC">
        <w:rPr>
          <w:rFonts w:cs="Times New Roman"/>
          <w:noProof/>
        </w:rPr>
        <w:t>OBVIOUSNESS</w:t>
      </w:r>
      <w:r>
        <w:rPr>
          <w:noProof/>
        </w:rPr>
        <w:tab/>
      </w:r>
      <w:r>
        <w:rPr>
          <w:noProof/>
        </w:rPr>
        <w:fldChar w:fldCharType="begin"/>
      </w:r>
      <w:r>
        <w:rPr>
          <w:noProof/>
        </w:rPr>
        <w:instrText xml:space="preserve"> PAGEREF _Toc531692749 \h </w:instrText>
      </w:r>
      <w:r>
        <w:rPr>
          <w:noProof/>
        </w:rPr>
      </w:r>
      <w:r>
        <w:rPr>
          <w:noProof/>
        </w:rPr>
        <w:fldChar w:fldCharType="separate"/>
      </w:r>
      <w:r>
        <w:rPr>
          <w:noProof/>
        </w:rPr>
        <w:t>36</w:t>
      </w:r>
      <w:r>
        <w:rPr>
          <w:noProof/>
        </w:rPr>
        <w:fldChar w:fldCharType="end"/>
      </w:r>
    </w:p>
    <w:p w14:paraId="12565846" w14:textId="46418D81" w:rsidR="006A0965" w:rsidRDefault="006A0965">
      <w:pPr>
        <w:pStyle w:val="TOC3"/>
        <w:rPr>
          <w:rFonts w:asciiTheme="minorHAnsi" w:hAnsiTheme="minorHAnsi"/>
          <w:sz w:val="22"/>
          <w:szCs w:val="22"/>
        </w:rPr>
      </w:pPr>
      <w:r w:rsidRPr="00BA07AC">
        <w:rPr>
          <w:rFonts w:cs="Times New Roman"/>
        </w:rPr>
        <w:t>Droplets, Inc. v. E*Trade Bank, 887 F.3d 1309 (Fed. Cir. Apr. 19, 2018)</w:t>
      </w:r>
      <w:r>
        <w:tab/>
      </w:r>
      <w:r>
        <w:fldChar w:fldCharType="begin"/>
      </w:r>
      <w:r>
        <w:instrText xml:space="preserve"> PAGEREF _Toc531692750 \h </w:instrText>
      </w:r>
      <w:r>
        <w:fldChar w:fldCharType="separate"/>
      </w:r>
      <w:r>
        <w:t>36</w:t>
      </w:r>
      <w:r>
        <w:fldChar w:fldCharType="end"/>
      </w:r>
    </w:p>
    <w:p w14:paraId="158523BD" w14:textId="53D8DE51" w:rsidR="006A0965" w:rsidRDefault="006A0965">
      <w:pPr>
        <w:pStyle w:val="TOC3"/>
        <w:rPr>
          <w:rFonts w:asciiTheme="minorHAnsi" w:hAnsiTheme="minorHAnsi"/>
          <w:sz w:val="22"/>
          <w:szCs w:val="22"/>
        </w:rPr>
      </w:pPr>
      <w:r w:rsidRPr="00BA07AC">
        <w:rPr>
          <w:rFonts w:cs="Times New Roman"/>
        </w:rPr>
        <w:t>Acorda Therapeutics, Inc. v. Roxane Labs., Inc., Nos. 2017-2078 &amp; 2017-2134, 2018 WL 4288982 (Fed. Cir. Sept. 10, 2018)</w:t>
      </w:r>
      <w:r>
        <w:tab/>
      </w:r>
      <w:r>
        <w:fldChar w:fldCharType="begin"/>
      </w:r>
      <w:r>
        <w:instrText xml:space="preserve"> PAGEREF _Toc531692751 \h </w:instrText>
      </w:r>
      <w:r>
        <w:fldChar w:fldCharType="separate"/>
      </w:r>
      <w:r>
        <w:t>36</w:t>
      </w:r>
      <w:r>
        <w:fldChar w:fldCharType="end"/>
      </w:r>
    </w:p>
    <w:p w14:paraId="2FB8C6E1" w14:textId="7535F8F1" w:rsidR="006A0965" w:rsidRDefault="006A0965">
      <w:pPr>
        <w:pStyle w:val="TOC2"/>
        <w:tabs>
          <w:tab w:val="right" w:leader="dot" w:pos="8630"/>
        </w:tabs>
        <w:rPr>
          <w:rFonts w:asciiTheme="minorHAnsi" w:hAnsiTheme="minorHAnsi"/>
          <w:b w:val="0"/>
          <w:bCs w:val="0"/>
          <w:noProof/>
          <w:sz w:val="22"/>
          <w:szCs w:val="22"/>
        </w:rPr>
      </w:pPr>
      <w:r>
        <w:rPr>
          <w:noProof/>
        </w:rPr>
        <w:t>PTAB Burdens</w:t>
      </w:r>
      <w:r>
        <w:rPr>
          <w:noProof/>
        </w:rPr>
        <w:tab/>
      </w:r>
      <w:r>
        <w:rPr>
          <w:noProof/>
        </w:rPr>
        <w:fldChar w:fldCharType="begin"/>
      </w:r>
      <w:r>
        <w:rPr>
          <w:noProof/>
        </w:rPr>
        <w:instrText xml:space="preserve"> PAGEREF _Toc531692752 \h </w:instrText>
      </w:r>
      <w:r>
        <w:rPr>
          <w:noProof/>
        </w:rPr>
      </w:r>
      <w:r>
        <w:rPr>
          <w:noProof/>
        </w:rPr>
        <w:fldChar w:fldCharType="separate"/>
      </w:r>
      <w:r>
        <w:rPr>
          <w:noProof/>
        </w:rPr>
        <w:t>38</w:t>
      </w:r>
      <w:r>
        <w:rPr>
          <w:noProof/>
        </w:rPr>
        <w:fldChar w:fldCharType="end"/>
      </w:r>
    </w:p>
    <w:p w14:paraId="5EB26893" w14:textId="5BEED6DC" w:rsidR="006A0965" w:rsidRDefault="006A0965">
      <w:pPr>
        <w:pStyle w:val="TOC3"/>
        <w:rPr>
          <w:rFonts w:asciiTheme="minorHAnsi" w:hAnsiTheme="minorHAnsi"/>
          <w:sz w:val="22"/>
          <w:szCs w:val="22"/>
        </w:rPr>
      </w:pPr>
      <w:r w:rsidRPr="00BA07AC">
        <w:rPr>
          <w:rFonts w:cs="Times New Roman"/>
        </w:rPr>
        <w:t>E.I. DuPont de Nemours &amp; Co. v. Synvina C.V., No. 2017-1977, 2018 WL 4390796 (Fed. Cir. Sept. 17, 2018)</w:t>
      </w:r>
      <w:r>
        <w:tab/>
      </w:r>
      <w:r>
        <w:fldChar w:fldCharType="begin"/>
      </w:r>
      <w:r>
        <w:instrText xml:space="preserve"> PAGEREF _Toc531692753 \h </w:instrText>
      </w:r>
      <w:r>
        <w:fldChar w:fldCharType="separate"/>
      </w:r>
      <w:r>
        <w:t>38</w:t>
      </w:r>
      <w:r>
        <w:fldChar w:fldCharType="end"/>
      </w:r>
    </w:p>
    <w:p w14:paraId="7D62AA23" w14:textId="4A100933" w:rsidR="006A0965" w:rsidRDefault="006A0965">
      <w:pPr>
        <w:pStyle w:val="TOC3"/>
        <w:rPr>
          <w:rFonts w:asciiTheme="minorHAnsi" w:hAnsiTheme="minorHAnsi"/>
          <w:sz w:val="22"/>
          <w:szCs w:val="22"/>
        </w:rPr>
      </w:pPr>
      <w:r w:rsidRPr="00BA07AC">
        <w:rPr>
          <w:rFonts w:cs="Times New Roman"/>
        </w:rPr>
        <w:t>DSS Technology Management, Inc. v. Apple Inc., No. 2016-2523, 2018 WL 1439893 (Fed. Cir. Mar. 23, 2018)</w:t>
      </w:r>
      <w:r>
        <w:tab/>
      </w:r>
      <w:r>
        <w:fldChar w:fldCharType="begin"/>
      </w:r>
      <w:r>
        <w:instrText xml:space="preserve"> PAGEREF _Toc531692754 \h </w:instrText>
      </w:r>
      <w:r>
        <w:fldChar w:fldCharType="separate"/>
      </w:r>
      <w:r>
        <w:t>39</w:t>
      </w:r>
      <w:r>
        <w:fldChar w:fldCharType="end"/>
      </w:r>
    </w:p>
    <w:p w14:paraId="4D25FFA5" w14:textId="6F99DE9F" w:rsidR="006A0965" w:rsidRDefault="006A0965">
      <w:pPr>
        <w:pStyle w:val="TOC2"/>
        <w:tabs>
          <w:tab w:val="right" w:leader="dot" w:pos="8630"/>
        </w:tabs>
        <w:rPr>
          <w:rFonts w:asciiTheme="minorHAnsi" w:hAnsiTheme="minorHAnsi"/>
          <w:b w:val="0"/>
          <w:bCs w:val="0"/>
          <w:noProof/>
          <w:sz w:val="22"/>
          <w:szCs w:val="22"/>
        </w:rPr>
      </w:pPr>
      <w:r>
        <w:rPr>
          <w:noProof/>
        </w:rPr>
        <w:t>Obviousness and Inherency</w:t>
      </w:r>
      <w:r>
        <w:rPr>
          <w:noProof/>
        </w:rPr>
        <w:tab/>
      </w:r>
      <w:r>
        <w:rPr>
          <w:noProof/>
        </w:rPr>
        <w:fldChar w:fldCharType="begin"/>
      </w:r>
      <w:r>
        <w:rPr>
          <w:noProof/>
        </w:rPr>
        <w:instrText xml:space="preserve"> PAGEREF _Toc531692755 \h </w:instrText>
      </w:r>
      <w:r>
        <w:rPr>
          <w:noProof/>
        </w:rPr>
      </w:r>
      <w:r>
        <w:rPr>
          <w:noProof/>
        </w:rPr>
        <w:fldChar w:fldCharType="separate"/>
      </w:r>
      <w:r>
        <w:rPr>
          <w:noProof/>
        </w:rPr>
        <w:t>40</w:t>
      </w:r>
      <w:r>
        <w:rPr>
          <w:noProof/>
        </w:rPr>
        <w:fldChar w:fldCharType="end"/>
      </w:r>
    </w:p>
    <w:p w14:paraId="45CD2B64" w14:textId="4C37A082" w:rsidR="006A0965" w:rsidRDefault="006A0965">
      <w:pPr>
        <w:pStyle w:val="TOC3"/>
        <w:rPr>
          <w:rFonts w:asciiTheme="minorHAnsi" w:hAnsiTheme="minorHAnsi"/>
          <w:sz w:val="22"/>
          <w:szCs w:val="22"/>
        </w:rPr>
      </w:pPr>
      <w:r>
        <w:t>In re Copaxone Consolidated Cases</w:t>
      </w:r>
      <w:r w:rsidRPr="00BA07AC">
        <w:t>, No. 2017-1575, 2018 U.S. App. LEXIS 28751 (Fed. Cir. Oct. 12, 2018)</w:t>
      </w:r>
      <w:r>
        <w:tab/>
      </w:r>
      <w:r>
        <w:fldChar w:fldCharType="begin"/>
      </w:r>
      <w:r>
        <w:instrText xml:space="preserve"> PAGEREF _Toc531692756 \h </w:instrText>
      </w:r>
      <w:r>
        <w:fldChar w:fldCharType="separate"/>
      </w:r>
      <w:r>
        <w:t>40</w:t>
      </w:r>
      <w:r>
        <w:fldChar w:fldCharType="end"/>
      </w:r>
    </w:p>
    <w:p w14:paraId="6B067BFC" w14:textId="3F504B35" w:rsidR="006A0965" w:rsidRDefault="006A0965">
      <w:pPr>
        <w:pStyle w:val="TOC3"/>
        <w:rPr>
          <w:rFonts w:asciiTheme="minorHAnsi" w:hAnsiTheme="minorHAnsi"/>
          <w:sz w:val="22"/>
          <w:szCs w:val="22"/>
        </w:rPr>
      </w:pPr>
      <w:r w:rsidRPr="00BA07AC">
        <w:rPr>
          <w:rFonts w:cs="Times New Roman"/>
        </w:rPr>
        <w:t>Monsanto Technology LLC v. E.I. DuPont de Nemours &amp; Co., 878 F.3d 1336 (Fed. Cir. Jan. 5, 2018)</w:t>
      </w:r>
      <w:r>
        <w:tab/>
      </w:r>
      <w:r>
        <w:fldChar w:fldCharType="begin"/>
      </w:r>
      <w:r>
        <w:instrText xml:space="preserve"> PAGEREF _Toc531692757 \h </w:instrText>
      </w:r>
      <w:r>
        <w:fldChar w:fldCharType="separate"/>
      </w:r>
      <w:r>
        <w:t>42</w:t>
      </w:r>
      <w:r>
        <w:fldChar w:fldCharType="end"/>
      </w:r>
    </w:p>
    <w:p w14:paraId="72CF5886" w14:textId="13277797" w:rsidR="006A0965" w:rsidRDefault="006A0965">
      <w:pPr>
        <w:pStyle w:val="TOC3"/>
        <w:rPr>
          <w:rFonts w:asciiTheme="minorHAnsi" w:hAnsiTheme="minorHAnsi"/>
          <w:sz w:val="22"/>
          <w:szCs w:val="22"/>
        </w:rPr>
      </w:pPr>
      <w:r w:rsidRPr="00BA07AC">
        <w:rPr>
          <w:rFonts w:cs="Times New Roman"/>
        </w:rPr>
        <w:t>Endo Pharms. Sols. Inc. v. Custopharm Inc., 894 F.3d 1374 (Fed. Cir. July 13, 2018)</w:t>
      </w:r>
      <w:r>
        <w:tab/>
      </w:r>
      <w:r>
        <w:fldChar w:fldCharType="begin"/>
      </w:r>
      <w:r>
        <w:instrText xml:space="preserve"> PAGEREF _Toc531692758 \h </w:instrText>
      </w:r>
      <w:r>
        <w:fldChar w:fldCharType="separate"/>
      </w:r>
      <w:r>
        <w:t>43</w:t>
      </w:r>
      <w:r>
        <w:fldChar w:fldCharType="end"/>
      </w:r>
    </w:p>
    <w:p w14:paraId="1783EEC3" w14:textId="183B11D4" w:rsidR="006A0965" w:rsidRDefault="006A0965">
      <w:pPr>
        <w:pStyle w:val="TOC2"/>
        <w:tabs>
          <w:tab w:val="right" w:leader="dot" w:pos="8630"/>
        </w:tabs>
        <w:rPr>
          <w:rFonts w:asciiTheme="minorHAnsi" w:hAnsiTheme="minorHAnsi"/>
          <w:b w:val="0"/>
          <w:bCs w:val="0"/>
          <w:noProof/>
          <w:sz w:val="22"/>
          <w:szCs w:val="22"/>
        </w:rPr>
      </w:pPr>
      <w:r>
        <w:rPr>
          <w:noProof/>
        </w:rPr>
        <w:t>Motivation to Combine</w:t>
      </w:r>
      <w:r>
        <w:rPr>
          <w:noProof/>
        </w:rPr>
        <w:tab/>
      </w:r>
      <w:r>
        <w:rPr>
          <w:noProof/>
        </w:rPr>
        <w:fldChar w:fldCharType="begin"/>
      </w:r>
      <w:r>
        <w:rPr>
          <w:noProof/>
        </w:rPr>
        <w:instrText xml:space="preserve"> PAGEREF _Toc531692759 \h </w:instrText>
      </w:r>
      <w:r>
        <w:rPr>
          <w:noProof/>
        </w:rPr>
      </w:r>
      <w:r>
        <w:rPr>
          <w:noProof/>
        </w:rPr>
        <w:fldChar w:fldCharType="separate"/>
      </w:r>
      <w:r>
        <w:rPr>
          <w:noProof/>
        </w:rPr>
        <w:t>44</w:t>
      </w:r>
      <w:r>
        <w:rPr>
          <w:noProof/>
        </w:rPr>
        <w:fldChar w:fldCharType="end"/>
      </w:r>
    </w:p>
    <w:p w14:paraId="3B6B7FD7" w14:textId="546218DC" w:rsidR="006A0965" w:rsidRDefault="006A0965">
      <w:pPr>
        <w:pStyle w:val="TOC3"/>
        <w:rPr>
          <w:rFonts w:asciiTheme="minorHAnsi" w:hAnsiTheme="minorHAnsi"/>
          <w:sz w:val="22"/>
          <w:szCs w:val="22"/>
        </w:rPr>
      </w:pPr>
      <w:r w:rsidRPr="00BA07AC">
        <w:rPr>
          <w:rFonts w:cs="Times New Roman"/>
        </w:rPr>
        <w:t>Arctic Cat Inc. v. Bombardier Recreational Products Inc., 876 F.3d 1350 (Fed. Cir. Dec. 7, 2017)</w:t>
      </w:r>
      <w:r>
        <w:tab/>
      </w:r>
      <w:r>
        <w:fldChar w:fldCharType="begin"/>
      </w:r>
      <w:r>
        <w:instrText xml:space="preserve"> PAGEREF _Toc531692760 \h </w:instrText>
      </w:r>
      <w:r>
        <w:fldChar w:fldCharType="separate"/>
      </w:r>
      <w:r>
        <w:t>44</w:t>
      </w:r>
      <w:r>
        <w:fldChar w:fldCharType="end"/>
      </w:r>
    </w:p>
    <w:p w14:paraId="26141C25" w14:textId="31B7EF2A" w:rsidR="006A0965" w:rsidRDefault="006A0965">
      <w:pPr>
        <w:pStyle w:val="TOC2"/>
        <w:tabs>
          <w:tab w:val="right" w:leader="dot" w:pos="8630"/>
        </w:tabs>
        <w:rPr>
          <w:rFonts w:asciiTheme="minorHAnsi" w:hAnsiTheme="minorHAnsi"/>
          <w:b w:val="0"/>
          <w:bCs w:val="0"/>
          <w:noProof/>
          <w:sz w:val="22"/>
          <w:szCs w:val="22"/>
        </w:rPr>
      </w:pPr>
      <w:r w:rsidRPr="00BA07AC">
        <w:rPr>
          <w:rFonts w:cs="Times New Roman"/>
          <w:noProof/>
        </w:rPr>
        <w:t>Secondary Considerations</w:t>
      </w:r>
      <w:r>
        <w:rPr>
          <w:noProof/>
        </w:rPr>
        <w:tab/>
      </w:r>
      <w:r>
        <w:rPr>
          <w:noProof/>
        </w:rPr>
        <w:fldChar w:fldCharType="begin"/>
      </w:r>
      <w:r>
        <w:rPr>
          <w:noProof/>
        </w:rPr>
        <w:instrText xml:space="preserve"> PAGEREF _Toc531692761 \h </w:instrText>
      </w:r>
      <w:r>
        <w:rPr>
          <w:noProof/>
        </w:rPr>
      </w:r>
      <w:r>
        <w:rPr>
          <w:noProof/>
        </w:rPr>
        <w:fldChar w:fldCharType="separate"/>
      </w:r>
      <w:r>
        <w:rPr>
          <w:noProof/>
        </w:rPr>
        <w:t>45</w:t>
      </w:r>
      <w:r>
        <w:rPr>
          <w:noProof/>
        </w:rPr>
        <w:fldChar w:fldCharType="end"/>
      </w:r>
    </w:p>
    <w:p w14:paraId="6C888464" w14:textId="69E2BE77" w:rsidR="006A0965" w:rsidRDefault="006A0965">
      <w:pPr>
        <w:pStyle w:val="TOC3"/>
        <w:rPr>
          <w:rFonts w:asciiTheme="minorHAnsi" w:hAnsiTheme="minorHAnsi"/>
          <w:sz w:val="22"/>
          <w:szCs w:val="22"/>
        </w:rPr>
      </w:pPr>
      <w:r w:rsidRPr="00BA07AC">
        <w:rPr>
          <w:rFonts w:cs="Times New Roman"/>
        </w:rPr>
        <w:lastRenderedPageBreak/>
        <w:t>American Innotek, Inc. v. United States, 706 Fed. Appx. 686 (Fed. Cir. Dec. 19, 2017)</w:t>
      </w:r>
      <w:r>
        <w:tab/>
      </w:r>
      <w:r>
        <w:fldChar w:fldCharType="begin"/>
      </w:r>
      <w:r>
        <w:instrText xml:space="preserve"> PAGEREF _Toc531692762 \h </w:instrText>
      </w:r>
      <w:r>
        <w:fldChar w:fldCharType="separate"/>
      </w:r>
      <w:r>
        <w:t>45</w:t>
      </w:r>
      <w:r>
        <w:fldChar w:fldCharType="end"/>
      </w:r>
    </w:p>
    <w:p w14:paraId="4C4BDF12" w14:textId="25E04324" w:rsidR="006A0965" w:rsidRDefault="006A0965">
      <w:pPr>
        <w:pStyle w:val="TOC2"/>
        <w:tabs>
          <w:tab w:val="right" w:leader="dot" w:pos="8630"/>
        </w:tabs>
        <w:rPr>
          <w:rFonts w:asciiTheme="minorHAnsi" w:hAnsiTheme="minorHAnsi"/>
          <w:b w:val="0"/>
          <w:bCs w:val="0"/>
          <w:noProof/>
          <w:sz w:val="22"/>
          <w:szCs w:val="22"/>
        </w:rPr>
      </w:pPr>
      <w:r w:rsidRPr="00BA07AC">
        <w:rPr>
          <w:rFonts w:cs="Times New Roman"/>
          <w:noProof/>
        </w:rPr>
        <w:t>Obviousness-Type Double Patenting</w:t>
      </w:r>
      <w:r>
        <w:rPr>
          <w:noProof/>
        </w:rPr>
        <w:tab/>
      </w:r>
      <w:r>
        <w:rPr>
          <w:noProof/>
        </w:rPr>
        <w:fldChar w:fldCharType="begin"/>
      </w:r>
      <w:r>
        <w:rPr>
          <w:noProof/>
        </w:rPr>
        <w:instrText xml:space="preserve"> PAGEREF _Toc531692763 \h </w:instrText>
      </w:r>
      <w:r>
        <w:rPr>
          <w:noProof/>
        </w:rPr>
      </w:r>
      <w:r>
        <w:rPr>
          <w:noProof/>
        </w:rPr>
        <w:fldChar w:fldCharType="separate"/>
      </w:r>
      <w:r>
        <w:rPr>
          <w:noProof/>
        </w:rPr>
        <w:t>45</w:t>
      </w:r>
      <w:r>
        <w:rPr>
          <w:noProof/>
        </w:rPr>
        <w:fldChar w:fldCharType="end"/>
      </w:r>
    </w:p>
    <w:p w14:paraId="15B9A15D" w14:textId="4F6959F2" w:rsidR="006A0965" w:rsidRDefault="006A0965">
      <w:pPr>
        <w:pStyle w:val="TOC3"/>
        <w:rPr>
          <w:rFonts w:asciiTheme="minorHAnsi" w:hAnsiTheme="minorHAnsi"/>
          <w:sz w:val="22"/>
          <w:szCs w:val="22"/>
        </w:rPr>
      </w:pPr>
      <w:r w:rsidRPr="00BA07AC">
        <w:rPr>
          <w:rFonts w:cs="Times New Roman"/>
        </w:rPr>
        <w:t>In re Janssen Biotech, Inc., No. 2017-1257, 2018 WL 503335 (Fed. Cir. Jan. 23, 2018)</w:t>
      </w:r>
      <w:r>
        <w:tab/>
      </w:r>
      <w:r>
        <w:fldChar w:fldCharType="begin"/>
      </w:r>
      <w:r>
        <w:instrText xml:space="preserve"> PAGEREF _Toc531692764 \h </w:instrText>
      </w:r>
      <w:r>
        <w:fldChar w:fldCharType="separate"/>
      </w:r>
      <w:r>
        <w:t>45</w:t>
      </w:r>
      <w:r>
        <w:fldChar w:fldCharType="end"/>
      </w:r>
    </w:p>
    <w:p w14:paraId="0D702EE0" w14:textId="37BDBD08" w:rsidR="006A0965" w:rsidRDefault="006A0965">
      <w:pPr>
        <w:pStyle w:val="TOC3"/>
        <w:rPr>
          <w:rFonts w:asciiTheme="minorHAnsi" w:hAnsiTheme="minorHAnsi"/>
          <w:sz w:val="22"/>
          <w:szCs w:val="22"/>
        </w:rPr>
      </w:pPr>
      <w:r w:rsidRPr="00BA07AC">
        <w:rPr>
          <w:rFonts w:cs="Times New Roman"/>
        </w:rPr>
        <w:t>UCB, Inc. v. Accord Healthcare, Inc., 890 F.3d 1313 (Fed. Cir. May 23, 2018)</w:t>
      </w:r>
      <w:r>
        <w:tab/>
      </w:r>
      <w:r>
        <w:fldChar w:fldCharType="begin"/>
      </w:r>
      <w:r>
        <w:instrText xml:space="preserve"> PAGEREF _Toc531692765 \h </w:instrText>
      </w:r>
      <w:r>
        <w:fldChar w:fldCharType="separate"/>
      </w:r>
      <w:r>
        <w:t>47</w:t>
      </w:r>
      <w:r>
        <w:fldChar w:fldCharType="end"/>
      </w:r>
    </w:p>
    <w:p w14:paraId="23C302CC" w14:textId="094EEDEB" w:rsidR="006A0965" w:rsidRDefault="006A0965">
      <w:pPr>
        <w:pStyle w:val="TOC1"/>
        <w:rPr>
          <w:rFonts w:asciiTheme="minorHAnsi" w:hAnsiTheme="minorHAnsi"/>
          <w:b w:val="0"/>
          <w:bCs w:val="0"/>
          <w:caps w:val="0"/>
          <w:noProof/>
          <w:spacing w:val="0"/>
          <w:sz w:val="22"/>
          <w:szCs w:val="22"/>
        </w:rPr>
      </w:pPr>
      <w:r w:rsidRPr="00BA07AC">
        <w:rPr>
          <w:rFonts w:cs="Times New Roman"/>
          <w:noProof/>
        </w:rPr>
        <w:t>CLAIM CONSTRUCTION</w:t>
      </w:r>
      <w:r>
        <w:rPr>
          <w:noProof/>
        </w:rPr>
        <w:tab/>
      </w:r>
      <w:r>
        <w:rPr>
          <w:noProof/>
        </w:rPr>
        <w:fldChar w:fldCharType="begin"/>
      </w:r>
      <w:r>
        <w:rPr>
          <w:noProof/>
        </w:rPr>
        <w:instrText xml:space="preserve"> PAGEREF _Toc531692766 \h </w:instrText>
      </w:r>
      <w:r>
        <w:rPr>
          <w:noProof/>
        </w:rPr>
      </w:r>
      <w:r>
        <w:rPr>
          <w:noProof/>
        </w:rPr>
        <w:fldChar w:fldCharType="separate"/>
      </w:r>
      <w:r>
        <w:rPr>
          <w:noProof/>
        </w:rPr>
        <w:t>49</w:t>
      </w:r>
      <w:r>
        <w:rPr>
          <w:noProof/>
        </w:rPr>
        <w:fldChar w:fldCharType="end"/>
      </w:r>
    </w:p>
    <w:p w14:paraId="0B4F012A" w14:textId="367BC998" w:rsidR="006A0965" w:rsidRDefault="006A0965">
      <w:pPr>
        <w:pStyle w:val="TOC3"/>
        <w:rPr>
          <w:rFonts w:asciiTheme="minorHAnsi" w:hAnsiTheme="minorHAnsi"/>
          <w:sz w:val="22"/>
          <w:szCs w:val="22"/>
        </w:rPr>
      </w:pPr>
      <w:r w:rsidRPr="00BA07AC">
        <w:rPr>
          <w:rFonts w:cs="Times New Roman"/>
        </w:rPr>
        <w:t>In re Nordt Dev. Co., LLC, 881 F.3d 1371 (Fed. Cir. Feb. 8, 2018)</w:t>
      </w:r>
      <w:r>
        <w:tab/>
      </w:r>
      <w:r>
        <w:fldChar w:fldCharType="begin"/>
      </w:r>
      <w:r>
        <w:instrText xml:space="preserve"> PAGEREF _Toc531692767 \h </w:instrText>
      </w:r>
      <w:r>
        <w:fldChar w:fldCharType="separate"/>
      </w:r>
      <w:r>
        <w:t>49</w:t>
      </w:r>
      <w:r>
        <w:fldChar w:fldCharType="end"/>
      </w:r>
    </w:p>
    <w:p w14:paraId="70EC4C72" w14:textId="230E2238" w:rsidR="006A0965" w:rsidRDefault="006A0965">
      <w:pPr>
        <w:pStyle w:val="TOC3"/>
        <w:rPr>
          <w:rFonts w:asciiTheme="minorHAnsi" w:hAnsiTheme="minorHAnsi"/>
          <w:sz w:val="22"/>
          <w:szCs w:val="22"/>
        </w:rPr>
      </w:pPr>
      <w:r w:rsidRPr="00BA07AC">
        <w:rPr>
          <w:rFonts w:cs="Times New Roman"/>
        </w:rPr>
        <w:t>Blackbird Tech LLC v. ELB Elecs., Inc., 895 F.3d 1374, (Fed. Cir. July 16, 2018)</w:t>
      </w:r>
      <w:r>
        <w:tab/>
      </w:r>
      <w:r>
        <w:fldChar w:fldCharType="begin"/>
      </w:r>
      <w:r>
        <w:instrText xml:space="preserve"> PAGEREF _Toc531692768 \h </w:instrText>
      </w:r>
      <w:r>
        <w:fldChar w:fldCharType="separate"/>
      </w:r>
      <w:r>
        <w:t>49</w:t>
      </w:r>
      <w:r>
        <w:fldChar w:fldCharType="end"/>
      </w:r>
    </w:p>
    <w:p w14:paraId="343DA75A" w14:textId="7C617A9A" w:rsidR="006A0965" w:rsidRDefault="006A0965">
      <w:pPr>
        <w:pStyle w:val="TOC1"/>
        <w:rPr>
          <w:rFonts w:asciiTheme="minorHAnsi" w:hAnsiTheme="minorHAnsi"/>
          <w:b w:val="0"/>
          <w:bCs w:val="0"/>
          <w:caps w:val="0"/>
          <w:noProof/>
          <w:spacing w:val="0"/>
          <w:sz w:val="22"/>
          <w:szCs w:val="22"/>
        </w:rPr>
      </w:pPr>
      <w:r w:rsidRPr="00BA07AC">
        <w:rPr>
          <w:rFonts w:cs="Times New Roman"/>
          <w:noProof/>
        </w:rPr>
        <w:t>INFRINGEMENT</w:t>
      </w:r>
      <w:r>
        <w:rPr>
          <w:noProof/>
        </w:rPr>
        <w:tab/>
      </w:r>
      <w:r>
        <w:rPr>
          <w:noProof/>
        </w:rPr>
        <w:fldChar w:fldCharType="begin"/>
      </w:r>
      <w:r>
        <w:rPr>
          <w:noProof/>
        </w:rPr>
        <w:instrText xml:space="preserve"> PAGEREF _Toc531692769 \h </w:instrText>
      </w:r>
      <w:r>
        <w:rPr>
          <w:noProof/>
        </w:rPr>
      </w:r>
      <w:r>
        <w:rPr>
          <w:noProof/>
        </w:rPr>
        <w:fldChar w:fldCharType="separate"/>
      </w:r>
      <w:r>
        <w:rPr>
          <w:noProof/>
        </w:rPr>
        <w:t>51</w:t>
      </w:r>
      <w:r>
        <w:rPr>
          <w:noProof/>
        </w:rPr>
        <w:fldChar w:fldCharType="end"/>
      </w:r>
    </w:p>
    <w:p w14:paraId="3C49FDF0" w14:textId="5756F60E" w:rsidR="006A0965" w:rsidRDefault="006A0965">
      <w:pPr>
        <w:pStyle w:val="TOC2"/>
        <w:tabs>
          <w:tab w:val="right" w:leader="dot" w:pos="8630"/>
        </w:tabs>
        <w:rPr>
          <w:rFonts w:asciiTheme="minorHAnsi" w:hAnsiTheme="minorHAnsi"/>
          <w:b w:val="0"/>
          <w:bCs w:val="0"/>
          <w:noProof/>
          <w:sz w:val="22"/>
          <w:szCs w:val="22"/>
        </w:rPr>
      </w:pPr>
      <w:r w:rsidRPr="00BA07AC">
        <w:rPr>
          <w:rFonts w:cs="Times New Roman"/>
          <w:noProof/>
        </w:rPr>
        <w:t>Divided Infringement</w:t>
      </w:r>
      <w:r>
        <w:rPr>
          <w:noProof/>
        </w:rPr>
        <w:tab/>
      </w:r>
      <w:r>
        <w:rPr>
          <w:noProof/>
        </w:rPr>
        <w:fldChar w:fldCharType="begin"/>
      </w:r>
      <w:r>
        <w:rPr>
          <w:noProof/>
        </w:rPr>
        <w:instrText xml:space="preserve"> PAGEREF _Toc531692770 \h </w:instrText>
      </w:r>
      <w:r>
        <w:rPr>
          <w:noProof/>
        </w:rPr>
      </w:r>
      <w:r>
        <w:rPr>
          <w:noProof/>
        </w:rPr>
        <w:fldChar w:fldCharType="separate"/>
      </w:r>
      <w:r>
        <w:rPr>
          <w:noProof/>
        </w:rPr>
        <w:t>51</w:t>
      </w:r>
      <w:r>
        <w:rPr>
          <w:noProof/>
        </w:rPr>
        <w:fldChar w:fldCharType="end"/>
      </w:r>
    </w:p>
    <w:p w14:paraId="7D9FBCA5" w14:textId="7085DCC4" w:rsidR="006A0965" w:rsidRDefault="006A0965">
      <w:pPr>
        <w:pStyle w:val="TOC3"/>
        <w:rPr>
          <w:rFonts w:asciiTheme="minorHAnsi" w:hAnsiTheme="minorHAnsi"/>
          <w:sz w:val="22"/>
          <w:szCs w:val="22"/>
        </w:rPr>
      </w:pPr>
      <w:r w:rsidRPr="00BA07AC">
        <w:rPr>
          <w:rFonts w:cs="Times New Roman"/>
        </w:rPr>
        <w:t>Travel Sentry, Inc. v. Tropp, 877 F.3d 1370 (Fed. Cir. Dec. 19, 2017)</w:t>
      </w:r>
      <w:r>
        <w:tab/>
      </w:r>
      <w:r>
        <w:fldChar w:fldCharType="begin"/>
      </w:r>
      <w:r>
        <w:instrText xml:space="preserve"> PAGEREF _Toc531692771 \h </w:instrText>
      </w:r>
      <w:r>
        <w:fldChar w:fldCharType="separate"/>
      </w:r>
      <w:r>
        <w:t>51</w:t>
      </w:r>
      <w:r>
        <w:fldChar w:fldCharType="end"/>
      </w:r>
    </w:p>
    <w:p w14:paraId="74150BB0" w14:textId="28C2B64B" w:rsidR="006A0965" w:rsidRDefault="006A0965">
      <w:pPr>
        <w:pStyle w:val="TOC1"/>
        <w:rPr>
          <w:rFonts w:asciiTheme="minorHAnsi" w:hAnsiTheme="minorHAnsi"/>
          <w:b w:val="0"/>
          <w:bCs w:val="0"/>
          <w:caps w:val="0"/>
          <w:noProof/>
          <w:spacing w:val="0"/>
          <w:sz w:val="22"/>
          <w:szCs w:val="22"/>
        </w:rPr>
      </w:pPr>
      <w:r w:rsidRPr="00BA07AC">
        <w:rPr>
          <w:rFonts w:cs="Times New Roman"/>
          <w:noProof/>
        </w:rPr>
        <w:t>DEFENSES</w:t>
      </w:r>
      <w:r>
        <w:rPr>
          <w:noProof/>
        </w:rPr>
        <w:tab/>
      </w:r>
      <w:r>
        <w:rPr>
          <w:noProof/>
        </w:rPr>
        <w:fldChar w:fldCharType="begin"/>
      </w:r>
      <w:r>
        <w:rPr>
          <w:noProof/>
        </w:rPr>
        <w:instrText xml:space="preserve"> PAGEREF _Toc531692772 \h </w:instrText>
      </w:r>
      <w:r>
        <w:rPr>
          <w:noProof/>
        </w:rPr>
      </w:r>
      <w:r>
        <w:rPr>
          <w:noProof/>
        </w:rPr>
        <w:fldChar w:fldCharType="separate"/>
      </w:r>
      <w:r>
        <w:rPr>
          <w:noProof/>
        </w:rPr>
        <w:t>53</w:t>
      </w:r>
      <w:r>
        <w:rPr>
          <w:noProof/>
        </w:rPr>
        <w:fldChar w:fldCharType="end"/>
      </w:r>
    </w:p>
    <w:p w14:paraId="666E419E" w14:textId="2F643CA6" w:rsidR="006A0965" w:rsidRDefault="006A0965">
      <w:pPr>
        <w:pStyle w:val="TOC2"/>
        <w:tabs>
          <w:tab w:val="right" w:leader="dot" w:pos="8630"/>
        </w:tabs>
        <w:rPr>
          <w:rFonts w:asciiTheme="minorHAnsi" w:hAnsiTheme="minorHAnsi"/>
          <w:b w:val="0"/>
          <w:bCs w:val="0"/>
          <w:noProof/>
          <w:sz w:val="22"/>
          <w:szCs w:val="22"/>
        </w:rPr>
      </w:pPr>
      <w:r w:rsidRPr="00BA07AC">
        <w:rPr>
          <w:rFonts w:cs="Times New Roman"/>
          <w:noProof/>
        </w:rPr>
        <w:t>Implied Waiver and Standard-Setting Organizations</w:t>
      </w:r>
      <w:r>
        <w:rPr>
          <w:noProof/>
        </w:rPr>
        <w:tab/>
      </w:r>
      <w:r>
        <w:rPr>
          <w:noProof/>
        </w:rPr>
        <w:fldChar w:fldCharType="begin"/>
      </w:r>
      <w:r>
        <w:rPr>
          <w:noProof/>
        </w:rPr>
        <w:instrText xml:space="preserve"> PAGEREF _Toc531692773 \h </w:instrText>
      </w:r>
      <w:r>
        <w:rPr>
          <w:noProof/>
        </w:rPr>
      </w:r>
      <w:r>
        <w:rPr>
          <w:noProof/>
        </w:rPr>
        <w:fldChar w:fldCharType="separate"/>
      </w:r>
      <w:r>
        <w:rPr>
          <w:noProof/>
        </w:rPr>
        <w:t>53</w:t>
      </w:r>
      <w:r>
        <w:rPr>
          <w:noProof/>
        </w:rPr>
        <w:fldChar w:fldCharType="end"/>
      </w:r>
    </w:p>
    <w:p w14:paraId="2ED82CC8" w14:textId="1AACE55E" w:rsidR="006A0965" w:rsidRDefault="006A0965">
      <w:pPr>
        <w:pStyle w:val="TOC3"/>
        <w:rPr>
          <w:rFonts w:asciiTheme="minorHAnsi" w:hAnsiTheme="minorHAnsi"/>
          <w:sz w:val="22"/>
          <w:szCs w:val="22"/>
        </w:rPr>
      </w:pPr>
      <w:r w:rsidRPr="00BA07AC">
        <w:rPr>
          <w:rFonts w:cs="Times New Roman"/>
        </w:rPr>
        <w:t>Core Wireless Licensing S.A.R.L. v. Apple Inc., 899 F.3d 1356 (Fed. Cir. Aug. 16, 2018)</w:t>
      </w:r>
      <w:r>
        <w:tab/>
      </w:r>
      <w:r>
        <w:fldChar w:fldCharType="begin"/>
      </w:r>
      <w:r>
        <w:instrText xml:space="preserve"> PAGEREF _Toc531692774 \h </w:instrText>
      </w:r>
      <w:r>
        <w:fldChar w:fldCharType="separate"/>
      </w:r>
      <w:r>
        <w:t>53</w:t>
      </w:r>
      <w:r>
        <w:fldChar w:fldCharType="end"/>
      </w:r>
    </w:p>
    <w:p w14:paraId="363ABB17" w14:textId="45D7FDBB" w:rsidR="006A0965" w:rsidRDefault="006A0965">
      <w:pPr>
        <w:pStyle w:val="TOC2"/>
        <w:tabs>
          <w:tab w:val="right" w:leader="dot" w:pos="8630"/>
        </w:tabs>
        <w:rPr>
          <w:rFonts w:asciiTheme="minorHAnsi" w:hAnsiTheme="minorHAnsi"/>
          <w:b w:val="0"/>
          <w:bCs w:val="0"/>
          <w:noProof/>
          <w:sz w:val="22"/>
          <w:szCs w:val="22"/>
        </w:rPr>
      </w:pPr>
      <w:r w:rsidRPr="00BA07AC">
        <w:rPr>
          <w:rFonts w:cs="Times New Roman"/>
          <w:noProof/>
        </w:rPr>
        <w:t>Prosecution History Estoppel</w:t>
      </w:r>
      <w:r>
        <w:rPr>
          <w:noProof/>
        </w:rPr>
        <w:tab/>
      </w:r>
      <w:r>
        <w:rPr>
          <w:noProof/>
        </w:rPr>
        <w:fldChar w:fldCharType="begin"/>
      </w:r>
      <w:r>
        <w:rPr>
          <w:noProof/>
        </w:rPr>
        <w:instrText xml:space="preserve"> PAGEREF _Toc531692775 \h </w:instrText>
      </w:r>
      <w:r>
        <w:rPr>
          <w:noProof/>
        </w:rPr>
      </w:r>
      <w:r>
        <w:rPr>
          <w:noProof/>
        </w:rPr>
        <w:fldChar w:fldCharType="separate"/>
      </w:r>
      <w:r>
        <w:rPr>
          <w:noProof/>
        </w:rPr>
        <w:t>54</w:t>
      </w:r>
      <w:r>
        <w:rPr>
          <w:noProof/>
        </w:rPr>
        <w:fldChar w:fldCharType="end"/>
      </w:r>
    </w:p>
    <w:p w14:paraId="0628314F" w14:textId="48F39761" w:rsidR="006A0965" w:rsidRDefault="006A0965">
      <w:pPr>
        <w:pStyle w:val="TOC3"/>
        <w:rPr>
          <w:rFonts w:asciiTheme="minorHAnsi" w:hAnsiTheme="minorHAnsi"/>
          <w:sz w:val="22"/>
          <w:szCs w:val="22"/>
        </w:rPr>
      </w:pPr>
      <w:r w:rsidRPr="00BA07AC">
        <w:rPr>
          <w:rFonts w:cs="Times New Roman"/>
        </w:rPr>
        <w:t>Power Integrations, Inc. v. Fairchild Semiconductor Int’l, Inc., Nos. 2016-2691 &amp; 2017-1875, 2018 WL 4501536 (Fed. Cir. July 3, 2018, modified Sept. 20, 2018)</w:t>
      </w:r>
      <w:r>
        <w:tab/>
      </w:r>
      <w:r>
        <w:fldChar w:fldCharType="begin"/>
      </w:r>
      <w:r>
        <w:instrText xml:space="preserve"> PAGEREF _Toc531692776 \h </w:instrText>
      </w:r>
      <w:r>
        <w:fldChar w:fldCharType="separate"/>
      </w:r>
      <w:r>
        <w:t>54</w:t>
      </w:r>
      <w:r>
        <w:fldChar w:fldCharType="end"/>
      </w:r>
    </w:p>
    <w:p w14:paraId="4EF84FE8" w14:textId="156BD6C3" w:rsidR="006A0965" w:rsidRDefault="006A0965">
      <w:pPr>
        <w:pStyle w:val="TOC2"/>
        <w:tabs>
          <w:tab w:val="right" w:leader="dot" w:pos="8630"/>
        </w:tabs>
        <w:rPr>
          <w:rFonts w:asciiTheme="minorHAnsi" w:hAnsiTheme="minorHAnsi"/>
          <w:b w:val="0"/>
          <w:bCs w:val="0"/>
          <w:noProof/>
          <w:sz w:val="22"/>
          <w:szCs w:val="22"/>
        </w:rPr>
      </w:pPr>
      <w:r w:rsidRPr="00BA07AC">
        <w:rPr>
          <w:rFonts w:cs="Times New Roman"/>
          <w:noProof/>
        </w:rPr>
        <w:t>Inequitable Conduct</w:t>
      </w:r>
      <w:r>
        <w:rPr>
          <w:noProof/>
        </w:rPr>
        <w:tab/>
      </w:r>
      <w:r>
        <w:rPr>
          <w:noProof/>
        </w:rPr>
        <w:fldChar w:fldCharType="begin"/>
      </w:r>
      <w:r>
        <w:rPr>
          <w:noProof/>
        </w:rPr>
        <w:instrText xml:space="preserve"> PAGEREF _Toc531692777 \h </w:instrText>
      </w:r>
      <w:r>
        <w:rPr>
          <w:noProof/>
        </w:rPr>
      </w:r>
      <w:r>
        <w:rPr>
          <w:noProof/>
        </w:rPr>
        <w:fldChar w:fldCharType="separate"/>
      </w:r>
      <w:r>
        <w:rPr>
          <w:noProof/>
        </w:rPr>
        <w:t>55</w:t>
      </w:r>
      <w:r>
        <w:rPr>
          <w:noProof/>
        </w:rPr>
        <w:fldChar w:fldCharType="end"/>
      </w:r>
    </w:p>
    <w:p w14:paraId="271E5791" w14:textId="206C6F5F" w:rsidR="006A0965" w:rsidRDefault="006A0965">
      <w:pPr>
        <w:pStyle w:val="TOC3"/>
        <w:rPr>
          <w:rFonts w:asciiTheme="minorHAnsi" w:hAnsiTheme="minorHAnsi"/>
          <w:sz w:val="22"/>
          <w:szCs w:val="22"/>
        </w:rPr>
      </w:pPr>
      <w:r w:rsidRPr="00BA07AC">
        <w:rPr>
          <w:rFonts w:cs="Times New Roman"/>
        </w:rPr>
        <w:t>Gilead Sciences, Inc. v. Merck &amp; Co., Inc., 888 F.3d 1231 (Fed. Cir. Apr. 25, 2018)</w:t>
      </w:r>
      <w:r>
        <w:tab/>
      </w:r>
      <w:r>
        <w:fldChar w:fldCharType="begin"/>
      </w:r>
      <w:r>
        <w:instrText xml:space="preserve"> PAGEREF _Toc531692778 \h </w:instrText>
      </w:r>
      <w:r>
        <w:fldChar w:fldCharType="separate"/>
      </w:r>
      <w:r>
        <w:t>55</w:t>
      </w:r>
      <w:r>
        <w:fldChar w:fldCharType="end"/>
      </w:r>
    </w:p>
    <w:p w14:paraId="521218D0" w14:textId="5BB4D4EC" w:rsidR="006A0965" w:rsidRDefault="006A0965">
      <w:pPr>
        <w:pStyle w:val="TOC3"/>
        <w:rPr>
          <w:rFonts w:asciiTheme="minorHAnsi" w:hAnsiTheme="minorHAnsi"/>
          <w:sz w:val="22"/>
          <w:szCs w:val="22"/>
        </w:rPr>
      </w:pPr>
      <w:r w:rsidRPr="00BA07AC">
        <w:rPr>
          <w:rFonts w:cs="Times New Roman"/>
        </w:rPr>
        <w:t>Energy Heating, LLC v. Heat On-The-Fly, LLC, 889 F.3d 1291 (Fed. Cir. May 4, 2018)</w:t>
      </w:r>
      <w:r>
        <w:tab/>
      </w:r>
      <w:r>
        <w:fldChar w:fldCharType="begin"/>
      </w:r>
      <w:r>
        <w:instrText xml:space="preserve"> PAGEREF _Toc531692779 \h </w:instrText>
      </w:r>
      <w:r>
        <w:fldChar w:fldCharType="separate"/>
      </w:r>
      <w:r>
        <w:t>56</w:t>
      </w:r>
      <w:r>
        <w:fldChar w:fldCharType="end"/>
      </w:r>
    </w:p>
    <w:p w14:paraId="1B4EB3D0" w14:textId="4F7D0549" w:rsidR="006A0965" w:rsidRDefault="006A0965">
      <w:pPr>
        <w:pStyle w:val="TOC1"/>
        <w:rPr>
          <w:rFonts w:asciiTheme="minorHAnsi" w:hAnsiTheme="minorHAnsi"/>
          <w:b w:val="0"/>
          <w:bCs w:val="0"/>
          <w:caps w:val="0"/>
          <w:noProof/>
          <w:spacing w:val="0"/>
          <w:sz w:val="22"/>
          <w:szCs w:val="22"/>
        </w:rPr>
      </w:pPr>
      <w:r w:rsidRPr="00BA07AC">
        <w:rPr>
          <w:rFonts w:cs="Times New Roman"/>
          <w:noProof/>
        </w:rPr>
        <w:t>REMEDIES</w:t>
      </w:r>
      <w:r>
        <w:rPr>
          <w:noProof/>
        </w:rPr>
        <w:tab/>
      </w:r>
      <w:r>
        <w:rPr>
          <w:noProof/>
        </w:rPr>
        <w:fldChar w:fldCharType="begin"/>
      </w:r>
      <w:r>
        <w:rPr>
          <w:noProof/>
        </w:rPr>
        <w:instrText xml:space="preserve"> PAGEREF _Toc531692780 \h </w:instrText>
      </w:r>
      <w:r>
        <w:rPr>
          <w:noProof/>
        </w:rPr>
      </w:r>
      <w:r>
        <w:rPr>
          <w:noProof/>
        </w:rPr>
        <w:fldChar w:fldCharType="separate"/>
      </w:r>
      <w:r>
        <w:rPr>
          <w:noProof/>
        </w:rPr>
        <w:t>59</w:t>
      </w:r>
      <w:r>
        <w:rPr>
          <w:noProof/>
        </w:rPr>
        <w:fldChar w:fldCharType="end"/>
      </w:r>
    </w:p>
    <w:p w14:paraId="3554FAA5" w14:textId="6A4C9DFC" w:rsidR="006A0965" w:rsidRDefault="006A0965">
      <w:pPr>
        <w:pStyle w:val="TOC2"/>
        <w:tabs>
          <w:tab w:val="right" w:leader="dot" w:pos="8630"/>
        </w:tabs>
        <w:rPr>
          <w:rFonts w:asciiTheme="minorHAnsi" w:hAnsiTheme="minorHAnsi"/>
          <w:b w:val="0"/>
          <w:bCs w:val="0"/>
          <w:noProof/>
          <w:sz w:val="22"/>
          <w:szCs w:val="22"/>
        </w:rPr>
      </w:pPr>
      <w:r w:rsidRPr="00BA07AC">
        <w:rPr>
          <w:rFonts w:cs="Times New Roman"/>
          <w:noProof/>
        </w:rPr>
        <w:t>Damages</w:t>
      </w:r>
      <w:r>
        <w:rPr>
          <w:noProof/>
        </w:rPr>
        <w:tab/>
      </w:r>
      <w:r>
        <w:rPr>
          <w:noProof/>
        </w:rPr>
        <w:fldChar w:fldCharType="begin"/>
      </w:r>
      <w:r>
        <w:rPr>
          <w:noProof/>
        </w:rPr>
        <w:instrText xml:space="preserve"> PAGEREF _Toc531692781 \h </w:instrText>
      </w:r>
      <w:r>
        <w:rPr>
          <w:noProof/>
        </w:rPr>
      </w:r>
      <w:r>
        <w:rPr>
          <w:noProof/>
        </w:rPr>
        <w:fldChar w:fldCharType="separate"/>
      </w:r>
      <w:r>
        <w:rPr>
          <w:noProof/>
        </w:rPr>
        <w:t>59</w:t>
      </w:r>
      <w:r>
        <w:rPr>
          <w:noProof/>
        </w:rPr>
        <w:fldChar w:fldCharType="end"/>
      </w:r>
    </w:p>
    <w:p w14:paraId="18205BBE" w14:textId="067065D5" w:rsidR="006A0965" w:rsidRDefault="006A0965">
      <w:pPr>
        <w:pStyle w:val="TOC3"/>
        <w:rPr>
          <w:rFonts w:asciiTheme="minorHAnsi" w:hAnsiTheme="minorHAnsi"/>
          <w:sz w:val="22"/>
          <w:szCs w:val="22"/>
        </w:rPr>
      </w:pPr>
      <w:r w:rsidRPr="00BA07AC">
        <w:rPr>
          <w:rFonts w:cs="Times New Roman"/>
        </w:rPr>
        <w:t>Promega Corp. v. Life Techs. Corp., 2013-1011, 2017 WL 5242434 (Fed. Cir. Nov. 13, 2017)</w:t>
      </w:r>
      <w:r>
        <w:tab/>
      </w:r>
      <w:r>
        <w:fldChar w:fldCharType="begin"/>
      </w:r>
      <w:r>
        <w:instrText xml:space="preserve"> PAGEREF _Toc531692782 \h </w:instrText>
      </w:r>
      <w:r>
        <w:fldChar w:fldCharType="separate"/>
      </w:r>
      <w:r>
        <w:t>59</w:t>
      </w:r>
      <w:r>
        <w:fldChar w:fldCharType="end"/>
      </w:r>
    </w:p>
    <w:p w14:paraId="2C6C4CA9" w14:textId="2776A0DF" w:rsidR="006A0965" w:rsidRDefault="006A0965">
      <w:pPr>
        <w:pStyle w:val="TOC3"/>
        <w:rPr>
          <w:rFonts w:asciiTheme="minorHAnsi" w:hAnsiTheme="minorHAnsi"/>
          <w:sz w:val="22"/>
          <w:szCs w:val="22"/>
        </w:rPr>
      </w:pPr>
      <w:r w:rsidRPr="00BA07AC">
        <w:rPr>
          <w:rFonts w:cs="Times New Roman"/>
        </w:rPr>
        <w:t>Finjan, Inc. v. Blue Coat Systems, Inc., No. 2016-2520, 2018 WL 341882 (Fed. Cir. Jan. 10, 2018)</w:t>
      </w:r>
      <w:r>
        <w:tab/>
      </w:r>
      <w:r>
        <w:fldChar w:fldCharType="begin"/>
      </w:r>
      <w:r>
        <w:instrText xml:space="preserve"> PAGEREF _Toc531692783 \h </w:instrText>
      </w:r>
      <w:r>
        <w:fldChar w:fldCharType="separate"/>
      </w:r>
      <w:r>
        <w:t>60</w:t>
      </w:r>
      <w:r>
        <w:fldChar w:fldCharType="end"/>
      </w:r>
    </w:p>
    <w:p w14:paraId="51C5B18E" w14:textId="53700B36" w:rsidR="006A0965" w:rsidRDefault="006A0965">
      <w:pPr>
        <w:pStyle w:val="TOC3"/>
        <w:rPr>
          <w:rFonts w:asciiTheme="minorHAnsi" w:hAnsiTheme="minorHAnsi"/>
          <w:sz w:val="22"/>
          <w:szCs w:val="22"/>
        </w:rPr>
      </w:pPr>
      <w:r w:rsidRPr="00BA07AC">
        <w:rPr>
          <w:rFonts w:cs="Times New Roman"/>
        </w:rPr>
        <w:t>Exmark Manufacturing Co. Inc. v. Briggs &amp; Stratton Power Products Group, LLC, No. 2016-2197, 2018 WL 385497 (Fed. Cir. Jan. 12, 2018)</w:t>
      </w:r>
      <w:r>
        <w:tab/>
      </w:r>
      <w:r>
        <w:fldChar w:fldCharType="begin"/>
      </w:r>
      <w:r>
        <w:instrText xml:space="preserve"> PAGEREF _Toc531692784 \h </w:instrText>
      </w:r>
      <w:r>
        <w:fldChar w:fldCharType="separate"/>
      </w:r>
      <w:r>
        <w:t>61</w:t>
      </w:r>
      <w:r>
        <w:fldChar w:fldCharType="end"/>
      </w:r>
    </w:p>
    <w:p w14:paraId="28397D56" w14:textId="5CB28EA2" w:rsidR="006A0965" w:rsidRDefault="006A0965">
      <w:pPr>
        <w:pStyle w:val="TOC3"/>
        <w:rPr>
          <w:rFonts w:asciiTheme="minorHAnsi" w:hAnsiTheme="minorHAnsi"/>
          <w:sz w:val="22"/>
          <w:szCs w:val="22"/>
        </w:rPr>
      </w:pPr>
      <w:r w:rsidRPr="00BA07AC">
        <w:rPr>
          <w:rFonts w:cs="Times New Roman"/>
        </w:rPr>
        <w:lastRenderedPageBreak/>
        <w:t>Power Integrations, Inc. v. Fairchild Semiconductor Int’l, Inc., Nos. 2016-2691 &amp; 2017-1875, 2018 WL 4501536 (Fed. Cir. July 3, 2018, modified Sept. 20, 2018)</w:t>
      </w:r>
      <w:r>
        <w:tab/>
      </w:r>
      <w:r>
        <w:fldChar w:fldCharType="begin"/>
      </w:r>
      <w:r>
        <w:instrText xml:space="preserve"> PAGEREF _Toc531692785 \h </w:instrText>
      </w:r>
      <w:r>
        <w:fldChar w:fldCharType="separate"/>
      </w:r>
      <w:r>
        <w:t>62</w:t>
      </w:r>
      <w:r>
        <w:fldChar w:fldCharType="end"/>
      </w:r>
    </w:p>
    <w:p w14:paraId="408A2389" w14:textId="7B1DC20B" w:rsidR="006A0965" w:rsidRDefault="006A0965">
      <w:pPr>
        <w:pStyle w:val="TOC3"/>
        <w:rPr>
          <w:rFonts w:asciiTheme="minorHAnsi" w:hAnsiTheme="minorHAnsi"/>
          <w:sz w:val="22"/>
          <w:szCs w:val="22"/>
        </w:rPr>
      </w:pPr>
      <w:r w:rsidRPr="00BA07AC">
        <w:rPr>
          <w:rFonts w:cs="Times New Roman"/>
        </w:rPr>
        <w:t>WesternGeco LLC v. Ion Geophysical Corp., 138 S.Ct. 2129 (June 22, 2018)</w:t>
      </w:r>
      <w:r>
        <w:tab/>
      </w:r>
      <w:r>
        <w:fldChar w:fldCharType="begin"/>
      </w:r>
      <w:r>
        <w:instrText xml:space="preserve"> PAGEREF _Toc531692786 \h </w:instrText>
      </w:r>
      <w:r>
        <w:fldChar w:fldCharType="separate"/>
      </w:r>
      <w:r>
        <w:t>63</w:t>
      </w:r>
      <w:r>
        <w:fldChar w:fldCharType="end"/>
      </w:r>
    </w:p>
    <w:p w14:paraId="0E8209B3" w14:textId="2AB17ACD" w:rsidR="006A0965" w:rsidRDefault="006A0965">
      <w:pPr>
        <w:pStyle w:val="TOC2"/>
        <w:tabs>
          <w:tab w:val="right" w:leader="dot" w:pos="8630"/>
        </w:tabs>
        <w:rPr>
          <w:rFonts w:asciiTheme="minorHAnsi" w:hAnsiTheme="minorHAnsi"/>
          <w:b w:val="0"/>
          <w:bCs w:val="0"/>
          <w:noProof/>
          <w:sz w:val="22"/>
          <w:szCs w:val="22"/>
        </w:rPr>
      </w:pPr>
      <w:r w:rsidRPr="00BA07AC">
        <w:rPr>
          <w:rFonts w:cs="Times New Roman"/>
          <w:noProof/>
        </w:rPr>
        <w:t>Attorneys’ Fee Awards</w:t>
      </w:r>
      <w:r>
        <w:rPr>
          <w:noProof/>
        </w:rPr>
        <w:tab/>
      </w:r>
      <w:r>
        <w:rPr>
          <w:noProof/>
        </w:rPr>
        <w:fldChar w:fldCharType="begin"/>
      </w:r>
      <w:r>
        <w:rPr>
          <w:noProof/>
        </w:rPr>
        <w:instrText xml:space="preserve"> PAGEREF _Toc531692787 \h </w:instrText>
      </w:r>
      <w:r>
        <w:rPr>
          <w:noProof/>
        </w:rPr>
      </w:r>
      <w:r>
        <w:rPr>
          <w:noProof/>
        </w:rPr>
        <w:fldChar w:fldCharType="separate"/>
      </w:r>
      <w:r>
        <w:rPr>
          <w:noProof/>
        </w:rPr>
        <w:t>64</w:t>
      </w:r>
      <w:r>
        <w:rPr>
          <w:noProof/>
        </w:rPr>
        <w:fldChar w:fldCharType="end"/>
      </w:r>
    </w:p>
    <w:p w14:paraId="2DBAE415" w14:textId="6B6C2105" w:rsidR="006A0965" w:rsidRDefault="006A0965">
      <w:pPr>
        <w:pStyle w:val="TOC3"/>
        <w:rPr>
          <w:rFonts w:asciiTheme="minorHAnsi" w:hAnsiTheme="minorHAnsi"/>
          <w:sz w:val="22"/>
          <w:szCs w:val="22"/>
        </w:rPr>
      </w:pPr>
      <w:r>
        <w:t>Gust, Inc. v. AlphaCap Ventures, LLC</w:t>
      </w:r>
      <w:r w:rsidRPr="00BA07AC">
        <w:t xml:space="preserve">, 905 F.3d 1321 (Fed. Cir. Sept. 28, 2018) </w:t>
      </w:r>
      <w:r>
        <w:tab/>
      </w:r>
      <w:r>
        <w:fldChar w:fldCharType="begin"/>
      </w:r>
      <w:r>
        <w:instrText xml:space="preserve"> PAGEREF _Toc531692788 \h </w:instrText>
      </w:r>
      <w:r>
        <w:fldChar w:fldCharType="separate"/>
      </w:r>
      <w:r>
        <w:t>64</w:t>
      </w:r>
      <w:r>
        <w:fldChar w:fldCharType="end"/>
      </w:r>
    </w:p>
    <w:p w14:paraId="75CCBB1D" w14:textId="4F7A1780" w:rsidR="006A0965" w:rsidRDefault="006A0965">
      <w:pPr>
        <w:pStyle w:val="TOC3"/>
        <w:rPr>
          <w:rFonts w:asciiTheme="minorHAnsi" w:hAnsiTheme="minorHAnsi"/>
          <w:sz w:val="22"/>
          <w:szCs w:val="22"/>
        </w:rPr>
      </w:pPr>
      <w:r w:rsidRPr="00BA07AC">
        <w:rPr>
          <w:rFonts w:cs="Times New Roman"/>
        </w:rPr>
        <w:t>Inventor Holdings, LLC v. Bed Bath &amp; Beyond, Inc., 876 F.3d 1372 (Fed. Cir. Dec. 8, 2017)</w:t>
      </w:r>
      <w:r>
        <w:tab/>
      </w:r>
      <w:r>
        <w:fldChar w:fldCharType="begin"/>
      </w:r>
      <w:r>
        <w:instrText xml:space="preserve"> PAGEREF _Toc531692789 \h </w:instrText>
      </w:r>
      <w:r>
        <w:fldChar w:fldCharType="separate"/>
      </w:r>
      <w:r>
        <w:t>66</w:t>
      </w:r>
      <w:r>
        <w:fldChar w:fldCharType="end"/>
      </w:r>
    </w:p>
    <w:p w14:paraId="4A333E4C" w14:textId="3DFF11AE" w:rsidR="006A0965" w:rsidRDefault="006A0965">
      <w:pPr>
        <w:pStyle w:val="TOC3"/>
        <w:rPr>
          <w:rFonts w:asciiTheme="minorHAnsi" w:hAnsiTheme="minorHAnsi"/>
          <w:sz w:val="22"/>
          <w:szCs w:val="22"/>
        </w:rPr>
      </w:pPr>
      <w:r w:rsidRPr="00BA07AC">
        <w:rPr>
          <w:rFonts w:cs="Times New Roman"/>
        </w:rPr>
        <w:t>In re Rembrandt Techs. LP Patent Litigation, 899 F.3d 1254 (Fed. Cir. decided July 27, 2018, public opinion issued Aug. 15, 2018)</w:t>
      </w:r>
      <w:r>
        <w:tab/>
      </w:r>
      <w:r>
        <w:fldChar w:fldCharType="begin"/>
      </w:r>
      <w:r>
        <w:instrText xml:space="preserve"> PAGEREF _Toc531692790 \h </w:instrText>
      </w:r>
      <w:r>
        <w:fldChar w:fldCharType="separate"/>
      </w:r>
      <w:r>
        <w:t>67</w:t>
      </w:r>
      <w:r>
        <w:fldChar w:fldCharType="end"/>
      </w:r>
    </w:p>
    <w:p w14:paraId="2AE9BFB4" w14:textId="0488B99C" w:rsidR="006A0965" w:rsidRDefault="006A0965">
      <w:pPr>
        <w:pStyle w:val="TOC3"/>
        <w:rPr>
          <w:rFonts w:asciiTheme="minorHAnsi" w:hAnsiTheme="minorHAnsi"/>
          <w:sz w:val="22"/>
          <w:szCs w:val="22"/>
        </w:rPr>
      </w:pPr>
      <w:r w:rsidRPr="00BA07AC">
        <w:rPr>
          <w:rFonts w:cs="Times New Roman"/>
        </w:rPr>
        <w:t>Stone Basket Innovations, LLC v. Cook Med. LLC, 892 F.3d 1175 (Fed. Cir. June 11, 2018)</w:t>
      </w:r>
      <w:r>
        <w:tab/>
      </w:r>
      <w:r>
        <w:fldChar w:fldCharType="begin"/>
      </w:r>
      <w:r>
        <w:instrText xml:space="preserve"> PAGEREF _Toc531692791 \h </w:instrText>
      </w:r>
      <w:r>
        <w:fldChar w:fldCharType="separate"/>
      </w:r>
      <w:r>
        <w:t>68</w:t>
      </w:r>
      <w:r>
        <w:fldChar w:fldCharType="end"/>
      </w:r>
    </w:p>
    <w:p w14:paraId="646C2AEA" w14:textId="5D33C9C0" w:rsidR="006A0965" w:rsidRDefault="006A0965">
      <w:pPr>
        <w:pStyle w:val="TOC3"/>
        <w:rPr>
          <w:rFonts w:asciiTheme="minorHAnsi" w:hAnsiTheme="minorHAnsi"/>
          <w:sz w:val="22"/>
          <w:szCs w:val="22"/>
        </w:rPr>
      </w:pPr>
      <w:r w:rsidRPr="00BA07AC">
        <w:rPr>
          <w:rFonts w:cs="Times New Roman"/>
        </w:rPr>
        <w:t>NantKwest, Inc. v. Iancu, 898 F.3d 1177 (Fed. Cir. July 27, 2018) (en banc)</w:t>
      </w:r>
      <w:r>
        <w:tab/>
      </w:r>
      <w:r>
        <w:fldChar w:fldCharType="begin"/>
      </w:r>
      <w:r>
        <w:instrText xml:space="preserve"> PAGEREF _Toc531692792 \h </w:instrText>
      </w:r>
      <w:r>
        <w:fldChar w:fldCharType="separate"/>
      </w:r>
      <w:r>
        <w:t>70</w:t>
      </w:r>
      <w:r>
        <w:fldChar w:fldCharType="end"/>
      </w:r>
    </w:p>
    <w:p w14:paraId="24B73AA3" w14:textId="4F23759F" w:rsidR="006A0965" w:rsidRDefault="006A0965">
      <w:pPr>
        <w:pStyle w:val="TOC1"/>
        <w:rPr>
          <w:rFonts w:asciiTheme="minorHAnsi" w:hAnsiTheme="minorHAnsi"/>
          <w:b w:val="0"/>
          <w:bCs w:val="0"/>
          <w:caps w:val="0"/>
          <w:noProof/>
          <w:spacing w:val="0"/>
          <w:sz w:val="22"/>
          <w:szCs w:val="22"/>
        </w:rPr>
      </w:pPr>
      <w:r w:rsidRPr="00BA07AC">
        <w:rPr>
          <w:rFonts w:cs="Times New Roman"/>
          <w:noProof/>
        </w:rPr>
        <w:t>PRACTICE AND PROCEDURE</w:t>
      </w:r>
      <w:r>
        <w:rPr>
          <w:noProof/>
        </w:rPr>
        <w:tab/>
      </w:r>
      <w:r>
        <w:rPr>
          <w:noProof/>
        </w:rPr>
        <w:fldChar w:fldCharType="begin"/>
      </w:r>
      <w:r>
        <w:rPr>
          <w:noProof/>
        </w:rPr>
        <w:instrText xml:space="preserve"> PAGEREF _Toc531692793 \h </w:instrText>
      </w:r>
      <w:r>
        <w:rPr>
          <w:noProof/>
        </w:rPr>
      </w:r>
      <w:r>
        <w:rPr>
          <w:noProof/>
        </w:rPr>
        <w:fldChar w:fldCharType="separate"/>
      </w:r>
      <w:r>
        <w:rPr>
          <w:noProof/>
        </w:rPr>
        <w:t>72</w:t>
      </w:r>
      <w:r>
        <w:rPr>
          <w:noProof/>
        </w:rPr>
        <w:fldChar w:fldCharType="end"/>
      </w:r>
    </w:p>
    <w:p w14:paraId="24513AB6" w14:textId="6FABB8AE" w:rsidR="006A0965" w:rsidRDefault="006A0965">
      <w:pPr>
        <w:pStyle w:val="TOC2"/>
        <w:tabs>
          <w:tab w:val="right" w:leader="dot" w:pos="8630"/>
        </w:tabs>
        <w:rPr>
          <w:rFonts w:asciiTheme="minorHAnsi" w:hAnsiTheme="minorHAnsi"/>
          <w:b w:val="0"/>
          <w:bCs w:val="0"/>
          <w:noProof/>
          <w:sz w:val="22"/>
          <w:szCs w:val="22"/>
        </w:rPr>
      </w:pPr>
      <w:r w:rsidRPr="00BA07AC">
        <w:rPr>
          <w:rFonts w:cs="Times New Roman"/>
          <w:noProof/>
        </w:rPr>
        <w:t>Exclusive Jurisdiction</w:t>
      </w:r>
      <w:r>
        <w:rPr>
          <w:noProof/>
        </w:rPr>
        <w:tab/>
      </w:r>
      <w:r>
        <w:rPr>
          <w:noProof/>
        </w:rPr>
        <w:fldChar w:fldCharType="begin"/>
      </w:r>
      <w:r>
        <w:rPr>
          <w:noProof/>
        </w:rPr>
        <w:instrText xml:space="preserve"> PAGEREF _Toc531692794 \h </w:instrText>
      </w:r>
      <w:r>
        <w:rPr>
          <w:noProof/>
        </w:rPr>
      </w:r>
      <w:r>
        <w:rPr>
          <w:noProof/>
        </w:rPr>
        <w:fldChar w:fldCharType="separate"/>
      </w:r>
      <w:r>
        <w:rPr>
          <w:noProof/>
        </w:rPr>
        <w:t>72</w:t>
      </w:r>
      <w:r>
        <w:rPr>
          <w:noProof/>
        </w:rPr>
        <w:fldChar w:fldCharType="end"/>
      </w:r>
    </w:p>
    <w:p w14:paraId="5B461422" w14:textId="3AFA0E5D" w:rsidR="006A0965" w:rsidRDefault="006A0965">
      <w:pPr>
        <w:pStyle w:val="TOC3"/>
        <w:rPr>
          <w:rFonts w:asciiTheme="minorHAnsi" w:hAnsiTheme="minorHAnsi"/>
          <w:sz w:val="22"/>
          <w:szCs w:val="22"/>
        </w:rPr>
      </w:pPr>
      <w:r w:rsidRPr="00BA07AC">
        <w:rPr>
          <w:rFonts w:cs="Times New Roman"/>
        </w:rPr>
        <w:t>Xitronix Corp. v. KLA-Tencor Corp., 882 F.3d 1075 (Fed. Cir. Feb. 9, 2018), rehearing en banc denied 892 F.3d 1194 (Fed. Cir. June 15, 2018)</w:t>
      </w:r>
      <w:r>
        <w:tab/>
      </w:r>
      <w:r>
        <w:fldChar w:fldCharType="begin"/>
      </w:r>
      <w:r>
        <w:instrText xml:space="preserve"> PAGEREF _Toc531692795 \h </w:instrText>
      </w:r>
      <w:r>
        <w:fldChar w:fldCharType="separate"/>
      </w:r>
      <w:r>
        <w:t>72</w:t>
      </w:r>
      <w:r>
        <w:fldChar w:fldCharType="end"/>
      </w:r>
    </w:p>
    <w:p w14:paraId="2A7F4926" w14:textId="221F3382" w:rsidR="006A0965" w:rsidRDefault="006A0965">
      <w:pPr>
        <w:pStyle w:val="TOC2"/>
        <w:tabs>
          <w:tab w:val="right" w:leader="dot" w:pos="8630"/>
        </w:tabs>
        <w:rPr>
          <w:rFonts w:asciiTheme="minorHAnsi" w:hAnsiTheme="minorHAnsi"/>
          <w:b w:val="0"/>
          <w:bCs w:val="0"/>
          <w:noProof/>
          <w:sz w:val="22"/>
          <w:szCs w:val="22"/>
        </w:rPr>
      </w:pPr>
      <w:r w:rsidRPr="00BA07AC">
        <w:rPr>
          <w:rFonts w:cs="Times New Roman"/>
          <w:noProof/>
        </w:rPr>
        <w:t>Real Party in Interest</w:t>
      </w:r>
      <w:r>
        <w:rPr>
          <w:noProof/>
        </w:rPr>
        <w:tab/>
      </w:r>
      <w:r>
        <w:rPr>
          <w:noProof/>
        </w:rPr>
        <w:fldChar w:fldCharType="begin"/>
      </w:r>
      <w:r>
        <w:rPr>
          <w:noProof/>
        </w:rPr>
        <w:instrText xml:space="preserve"> PAGEREF _Toc531692796 \h </w:instrText>
      </w:r>
      <w:r>
        <w:rPr>
          <w:noProof/>
        </w:rPr>
      </w:r>
      <w:r>
        <w:rPr>
          <w:noProof/>
        </w:rPr>
        <w:fldChar w:fldCharType="separate"/>
      </w:r>
      <w:r>
        <w:rPr>
          <w:noProof/>
        </w:rPr>
        <w:t>73</w:t>
      </w:r>
      <w:r>
        <w:rPr>
          <w:noProof/>
        </w:rPr>
        <w:fldChar w:fldCharType="end"/>
      </w:r>
    </w:p>
    <w:p w14:paraId="702606C0" w14:textId="32E6F028" w:rsidR="006A0965" w:rsidRDefault="006A0965">
      <w:pPr>
        <w:pStyle w:val="TOC3"/>
        <w:rPr>
          <w:rFonts w:asciiTheme="minorHAnsi" w:hAnsiTheme="minorHAnsi"/>
          <w:sz w:val="22"/>
          <w:szCs w:val="22"/>
        </w:rPr>
      </w:pPr>
      <w:r w:rsidRPr="00BA07AC">
        <w:rPr>
          <w:rFonts w:cs="Times New Roman"/>
        </w:rPr>
        <w:t>Applications in Internet Time, LLC v. RPX Corp., 897 F.3d 1336 (Fed. Cir. July 9, 2018)</w:t>
      </w:r>
      <w:r>
        <w:tab/>
      </w:r>
      <w:r>
        <w:fldChar w:fldCharType="begin"/>
      </w:r>
      <w:r>
        <w:instrText xml:space="preserve"> PAGEREF _Toc531692797 \h </w:instrText>
      </w:r>
      <w:r>
        <w:fldChar w:fldCharType="separate"/>
      </w:r>
      <w:r>
        <w:t>73</w:t>
      </w:r>
      <w:r>
        <w:fldChar w:fldCharType="end"/>
      </w:r>
    </w:p>
    <w:p w14:paraId="7DDDECAE" w14:textId="197E4E2D" w:rsidR="006A0965" w:rsidRDefault="006A0965">
      <w:pPr>
        <w:pStyle w:val="TOC2"/>
        <w:tabs>
          <w:tab w:val="right" w:leader="dot" w:pos="8630"/>
        </w:tabs>
        <w:rPr>
          <w:rFonts w:asciiTheme="minorHAnsi" w:hAnsiTheme="minorHAnsi"/>
          <w:b w:val="0"/>
          <w:bCs w:val="0"/>
          <w:noProof/>
          <w:sz w:val="22"/>
          <w:szCs w:val="22"/>
        </w:rPr>
      </w:pPr>
      <w:r w:rsidRPr="00BA07AC">
        <w:rPr>
          <w:rFonts w:cs="Times New Roman"/>
          <w:noProof/>
        </w:rPr>
        <w:t>Sovereign Immunity</w:t>
      </w:r>
      <w:r>
        <w:rPr>
          <w:noProof/>
        </w:rPr>
        <w:tab/>
      </w:r>
      <w:r>
        <w:rPr>
          <w:noProof/>
        </w:rPr>
        <w:fldChar w:fldCharType="begin"/>
      </w:r>
      <w:r>
        <w:rPr>
          <w:noProof/>
        </w:rPr>
        <w:instrText xml:space="preserve"> PAGEREF _Toc531692798 \h </w:instrText>
      </w:r>
      <w:r>
        <w:rPr>
          <w:noProof/>
        </w:rPr>
      </w:r>
      <w:r>
        <w:rPr>
          <w:noProof/>
        </w:rPr>
        <w:fldChar w:fldCharType="separate"/>
      </w:r>
      <w:r>
        <w:rPr>
          <w:noProof/>
        </w:rPr>
        <w:t>76</w:t>
      </w:r>
      <w:r>
        <w:rPr>
          <w:noProof/>
        </w:rPr>
        <w:fldChar w:fldCharType="end"/>
      </w:r>
    </w:p>
    <w:p w14:paraId="45CDD602" w14:textId="3BFBAE16" w:rsidR="006A0965" w:rsidRDefault="006A0965">
      <w:pPr>
        <w:pStyle w:val="TOC3"/>
        <w:rPr>
          <w:rFonts w:asciiTheme="minorHAnsi" w:hAnsiTheme="minorHAnsi"/>
          <w:sz w:val="22"/>
          <w:szCs w:val="22"/>
        </w:rPr>
      </w:pPr>
      <w:r w:rsidRPr="00BA07AC">
        <w:rPr>
          <w:rFonts w:cs="Times New Roman"/>
        </w:rPr>
        <w:t>Saint Regis Mohawk Tribe v. Mylan Pharms. Inc., 896 F.3d 1322 (Fed. Cir. July 20, 2018)</w:t>
      </w:r>
      <w:r>
        <w:tab/>
      </w:r>
      <w:r>
        <w:fldChar w:fldCharType="begin"/>
      </w:r>
      <w:r>
        <w:instrText xml:space="preserve"> PAGEREF _Toc531692799 \h </w:instrText>
      </w:r>
      <w:r>
        <w:fldChar w:fldCharType="separate"/>
      </w:r>
      <w:r>
        <w:t>76</w:t>
      </w:r>
      <w:r>
        <w:fldChar w:fldCharType="end"/>
      </w:r>
    </w:p>
    <w:p w14:paraId="0497DBE1" w14:textId="4582DECD" w:rsidR="006A0965" w:rsidRDefault="006A0965">
      <w:pPr>
        <w:pStyle w:val="TOC2"/>
        <w:tabs>
          <w:tab w:val="right" w:leader="dot" w:pos="8630"/>
        </w:tabs>
        <w:rPr>
          <w:rFonts w:asciiTheme="minorHAnsi" w:hAnsiTheme="minorHAnsi"/>
          <w:b w:val="0"/>
          <w:bCs w:val="0"/>
          <w:noProof/>
          <w:sz w:val="22"/>
          <w:szCs w:val="22"/>
        </w:rPr>
      </w:pPr>
      <w:r w:rsidRPr="00BA07AC">
        <w:rPr>
          <w:rFonts w:cs="Times New Roman"/>
          <w:noProof/>
        </w:rPr>
        <w:t>Piercing the Corporate Veil</w:t>
      </w:r>
      <w:r>
        <w:rPr>
          <w:noProof/>
        </w:rPr>
        <w:tab/>
      </w:r>
      <w:r>
        <w:rPr>
          <w:noProof/>
        </w:rPr>
        <w:fldChar w:fldCharType="begin"/>
      </w:r>
      <w:r>
        <w:rPr>
          <w:noProof/>
        </w:rPr>
        <w:instrText xml:space="preserve"> PAGEREF _Toc531692800 \h </w:instrText>
      </w:r>
      <w:r>
        <w:rPr>
          <w:noProof/>
        </w:rPr>
      </w:r>
      <w:r>
        <w:rPr>
          <w:noProof/>
        </w:rPr>
        <w:fldChar w:fldCharType="separate"/>
      </w:r>
      <w:r>
        <w:rPr>
          <w:noProof/>
        </w:rPr>
        <w:t>77</w:t>
      </w:r>
      <w:r>
        <w:rPr>
          <w:noProof/>
        </w:rPr>
        <w:fldChar w:fldCharType="end"/>
      </w:r>
    </w:p>
    <w:p w14:paraId="50DAEF59" w14:textId="369C8813" w:rsidR="006A0965" w:rsidRDefault="006A0965">
      <w:pPr>
        <w:pStyle w:val="TOC3"/>
        <w:rPr>
          <w:rFonts w:asciiTheme="minorHAnsi" w:hAnsiTheme="minorHAnsi"/>
          <w:sz w:val="22"/>
          <w:szCs w:val="22"/>
        </w:rPr>
      </w:pPr>
      <w:r w:rsidRPr="00BA07AC">
        <w:rPr>
          <w:rFonts w:cs="Times New Roman"/>
        </w:rPr>
        <w:t>Mercasia USA, Ltd. v. Zhu, No. 3:17-CV-718 JD, 2018 WL 3833520 (N.D. Ind. Aug. 13, 2018)</w:t>
      </w:r>
      <w:r>
        <w:tab/>
      </w:r>
      <w:r>
        <w:fldChar w:fldCharType="begin"/>
      </w:r>
      <w:r>
        <w:instrText xml:space="preserve"> PAGEREF _Toc531692801 \h </w:instrText>
      </w:r>
      <w:r>
        <w:fldChar w:fldCharType="separate"/>
      </w:r>
      <w:r>
        <w:t>77</w:t>
      </w:r>
      <w:r>
        <w:fldChar w:fldCharType="end"/>
      </w:r>
    </w:p>
    <w:p w14:paraId="7A1D1467" w14:textId="5CBA02F4" w:rsidR="006A0965" w:rsidRDefault="006A0965">
      <w:pPr>
        <w:pStyle w:val="TOC2"/>
        <w:tabs>
          <w:tab w:val="right" w:leader="dot" w:pos="8630"/>
        </w:tabs>
        <w:rPr>
          <w:rFonts w:asciiTheme="minorHAnsi" w:hAnsiTheme="minorHAnsi"/>
          <w:b w:val="0"/>
          <w:bCs w:val="0"/>
          <w:noProof/>
          <w:sz w:val="22"/>
          <w:szCs w:val="22"/>
        </w:rPr>
      </w:pPr>
      <w:r>
        <w:rPr>
          <w:noProof/>
        </w:rPr>
        <w:t>Venue</w:t>
      </w:r>
      <w:r>
        <w:rPr>
          <w:noProof/>
        </w:rPr>
        <w:tab/>
      </w:r>
      <w:r>
        <w:rPr>
          <w:noProof/>
        </w:rPr>
        <w:fldChar w:fldCharType="begin"/>
      </w:r>
      <w:r>
        <w:rPr>
          <w:noProof/>
        </w:rPr>
        <w:instrText xml:space="preserve"> PAGEREF _Toc531692802 \h </w:instrText>
      </w:r>
      <w:r>
        <w:rPr>
          <w:noProof/>
        </w:rPr>
      </w:r>
      <w:r>
        <w:rPr>
          <w:noProof/>
        </w:rPr>
        <w:fldChar w:fldCharType="separate"/>
      </w:r>
      <w:r>
        <w:rPr>
          <w:noProof/>
        </w:rPr>
        <w:t>78</w:t>
      </w:r>
      <w:r>
        <w:rPr>
          <w:noProof/>
        </w:rPr>
        <w:fldChar w:fldCharType="end"/>
      </w:r>
    </w:p>
    <w:p w14:paraId="48A4A2E9" w14:textId="79F267F1" w:rsidR="006A0965" w:rsidRDefault="006A0965">
      <w:pPr>
        <w:pStyle w:val="TOC3"/>
        <w:rPr>
          <w:rFonts w:asciiTheme="minorHAnsi" w:hAnsiTheme="minorHAnsi"/>
          <w:sz w:val="22"/>
          <w:szCs w:val="22"/>
        </w:rPr>
      </w:pPr>
      <w:r>
        <w:t xml:space="preserve">In re Google Inc., No. 2018-152, 2018 WL 5536478 </w:t>
      </w:r>
      <w:r w:rsidRPr="00BA07AC">
        <w:t>(Fed. Cir. Oct. 29, 2018)</w:t>
      </w:r>
      <w:r>
        <w:tab/>
      </w:r>
      <w:r>
        <w:fldChar w:fldCharType="begin"/>
      </w:r>
      <w:r>
        <w:instrText xml:space="preserve"> PAGEREF _Toc531692803 \h </w:instrText>
      </w:r>
      <w:r>
        <w:fldChar w:fldCharType="separate"/>
      </w:r>
      <w:r>
        <w:t>78</w:t>
      </w:r>
      <w:r>
        <w:fldChar w:fldCharType="end"/>
      </w:r>
    </w:p>
    <w:p w14:paraId="6F0AA945" w14:textId="1027D9A6" w:rsidR="006A0965" w:rsidRDefault="006A0965">
      <w:pPr>
        <w:pStyle w:val="TOC3"/>
        <w:rPr>
          <w:rFonts w:asciiTheme="minorHAnsi" w:hAnsiTheme="minorHAnsi"/>
          <w:sz w:val="22"/>
          <w:szCs w:val="22"/>
        </w:rPr>
      </w:pPr>
      <w:r w:rsidRPr="00BA07AC">
        <w:rPr>
          <w:rFonts w:cs="Times New Roman"/>
        </w:rPr>
        <w:t>In re Micron Technologies Inc., No. 2017-138, 2017 WL 5474215 (Fed. Cir. Nov. 15, 2017)</w:t>
      </w:r>
      <w:r>
        <w:tab/>
      </w:r>
      <w:r>
        <w:fldChar w:fldCharType="begin"/>
      </w:r>
      <w:r>
        <w:instrText xml:space="preserve"> PAGEREF _Toc531692804 \h </w:instrText>
      </w:r>
      <w:r>
        <w:fldChar w:fldCharType="separate"/>
      </w:r>
      <w:r>
        <w:t>80</w:t>
      </w:r>
      <w:r>
        <w:fldChar w:fldCharType="end"/>
      </w:r>
    </w:p>
    <w:p w14:paraId="070CBA19" w14:textId="059BC6BF" w:rsidR="006A0965" w:rsidRDefault="006A0965">
      <w:pPr>
        <w:pStyle w:val="TOC3"/>
        <w:rPr>
          <w:rFonts w:asciiTheme="minorHAnsi" w:hAnsiTheme="minorHAnsi"/>
          <w:sz w:val="22"/>
          <w:szCs w:val="22"/>
        </w:rPr>
      </w:pPr>
      <w:r w:rsidRPr="00BA07AC">
        <w:rPr>
          <w:rFonts w:cs="Times New Roman"/>
        </w:rPr>
        <w:t>In re BigCommerce, Inc., No. 2018-120, 2018 WL 2207265 (Fed. Cir. May 15, 2018)</w:t>
      </w:r>
      <w:r>
        <w:tab/>
      </w:r>
      <w:r>
        <w:fldChar w:fldCharType="begin"/>
      </w:r>
      <w:r>
        <w:instrText xml:space="preserve"> PAGEREF _Toc531692805 \h </w:instrText>
      </w:r>
      <w:r>
        <w:fldChar w:fldCharType="separate"/>
      </w:r>
      <w:r>
        <w:t>81</w:t>
      </w:r>
      <w:r>
        <w:fldChar w:fldCharType="end"/>
      </w:r>
    </w:p>
    <w:p w14:paraId="0E4C18A4" w14:textId="754C9691" w:rsidR="006A0965" w:rsidRDefault="006A0965">
      <w:pPr>
        <w:pStyle w:val="TOC3"/>
        <w:rPr>
          <w:rFonts w:asciiTheme="minorHAnsi" w:hAnsiTheme="minorHAnsi"/>
          <w:sz w:val="22"/>
          <w:szCs w:val="22"/>
        </w:rPr>
      </w:pPr>
      <w:r w:rsidRPr="00BA07AC">
        <w:rPr>
          <w:rFonts w:cs="Times New Roman"/>
        </w:rPr>
        <w:t>In re ZTE (USA) Inc., No. 2018-113, 2018 WL 2187782 (Fed. Cir. May 14, 2018)</w:t>
      </w:r>
      <w:r>
        <w:tab/>
      </w:r>
      <w:r>
        <w:fldChar w:fldCharType="begin"/>
      </w:r>
      <w:r>
        <w:instrText xml:space="preserve"> PAGEREF _Toc531692806 \h </w:instrText>
      </w:r>
      <w:r>
        <w:fldChar w:fldCharType="separate"/>
      </w:r>
      <w:r>
        <w:t>82</w:t>
      </w:r>
      <w:r>
        <w:fldChar w:fldCharType="end"/>
      </w:r>
    </w:p>
    <w:p w14:paraId="185A10F7" w14:textId="45530D36" w:rsidR="006A0965" w:rsidRDefault="006A0965">
      <w:pPr>
        <w:pStyle w:val="TOC3"/>
        <w:rPr>
          <w:rFonts w:asciiTheme="minorHAnsi" w:hAnsiTheme="minorHAnsi"/>
          <w:sz w:val="22"/>
          <w:szCs w:val="22"/>
        </w:rPr>
      </w:pPr>
      <w:r w:rsidRPr="00BA07AC">
        <w:rPr>
          <w:rFonts w:cs="Times New Roman"/>
        </w:rPr>
        <w:t>In re HTC Corp., No. 2018-130, 2018 WL 2123357 (Fed. Cir. May 9, 2018)</w:t>
      </w:r>
      <w:r>
        <w:tab/>
      </w:r>
      <w:r>
        <w:fldChar w:fldCharType="begin"/>
      </w:r>
      <w:r>
        <w:instrText xml:space="preserve"> PAGEREF _Toc531692807 \h </w:instrText>
      </w:r>
      <w:r>
        <w:fldChar w:fldCharType="separate"/>
      </w:r>
      <w:r>
        <w:t>83</w:t>
      </w:r>
      <w:r>
        <w:fldChar w:fldCharType="end"/>
      </w:r>
    </w:p>
    <w:p w14:paraId="52498ED9" w14:textId="21F4BCC5" w:rsidR="006A0965" w:rsidRDefault="006A0965">
      <w:pPr>
        <w:pStyle w:val="TOC2"/>
        <w:tabs>
          <w:tab w:val="right" w:leader="dot" w:pos="8630"/>
        </w:tabs>
        <w:rPr>
          <w:rFonts w:asciiTheme="minorHAnsi" w:hAnsiTheme="minorHAnsi"/>
          <w:b w:val="0"/>
          <w:bCs w:val="0"/>
          <w:noProof/>
          <w:sz w:val="22"/>
          <w:szCs w:val="22"/>
        </w:rPr>
      </w:pPr>
      <w:r w:rsidRPr="00BA07AC">
        <w:rPr>
          <w:rFonts w:cs="Times New Roman"/>
          <w:noProof/>
        </w:rPr>
        <w:t>Privilege</w:t>
      </w:r>
      <w:r>
        <w:rPr>
          <w:noProof/>
        </w:rPr>
        <w:tab/>
      </w:r>
      <w:r>
        <w:rPr>
          <w:noProof/>
        </w:rPr>
        <w:fldChar w:fldCharType="begin"/>
      </w:r>
      <w:r>
        <w:rPr>
          <w:noProof/>
        </w:rPr>
        <w:instrText xml:space="preserve"> PAGEREF _Toc531692808 \h </w:instrText>
      </w:r>
      <w:r>
        <w:rPr>
          <w:noProof/>
        </w:rPr>
      </w:r>
      <w:r>
        <w:rPr>
          <w:noProof/>
        </w:rPr>
        <w:fldChar w:fldCharType="separate"/>
      </w:r>
      <w:r>
        <w:rPr>
          <w:noProof/>
        </w:rPr>
        <w:t>84</w:t>
      </w:r>
      <w:r>
        <w:rPr>
          <w:noProof/>
        </w:rPr>
        <w:fldChar w:fldCharType="end"/>
      </w:r>
    </w:p>
    <w:p w14:paraId="6AFA00BB" w14:textId="102A1385" w:rsidR="006A0965" w:rsidRDefault="006A0965">
      <w:pPr>
        <w:pStyle w:val="TOC3"/>
        <w:rPr>
          <w:rFonts w:asciiTheme="minorHAnsi" w:hAnsiTheme="minorHAnsi"/>
          <w:sz w:val="22"/>
          <w:szCs w:val="22"/>
        </w:rPr>
      </w:pPr>
      <w:r w:rsidRPr="00BA07AC">
        <w:rPr>
          <w:rFonts w:cs="Times New Roman"/>
        </w:rPr>
        <w:t>In re Silver, 540 S.W.3d 530 (Tex. Sup. Ct. Feb. 13, 2018)</w:t>
      </w:r>
      <w:r>
        <w:tab/>
      </w:r>
      <w:r>
        <w:fldChar w:fldCharType="begin"/>
      </w:r>
      <w:r>
        <w:instrText xml:space="preserve"> PAGEREF _Toc531692809 \h </w:instrText>
      </w:r>
      <w:r>
        <w:fldChar w:fldCharType="separate"/>
      </w:r>
      <w:r>
        <w:t>84</w:t>
      </w:r>
      <w:r>
        <w:fldChar w:fldCharType="end"/>
      </w:r>
    </w:p>
    <w:p w14:paraId="13FB0756" w14:textId="1E98A837" w:rsidR="006A0965" w:rsidRDefault="006A0965">
      <w:pPr>
        <w:pStyle w:val="TOC1"/>
        <w:rPr>
          <w:rFonts w:asciiTheme="minorHAnsi" w:hAnsiTheme="minorHAnsi"/>
          <w:b w:val="0"/>
          <w:bCs w:val="0"/>
          <w:caps w:val="0"/>
          <w:noProof/>
          <w:spacing w:val="0"/>
          <w:sz w:val="22"/>
          <w:szCs w:val="22"/>
        </w:rPr>
      </w:pPr>
      <w:r w:rsidRPr="00BA07AC">
        <w:rPr>
          <w:rFonts w:cs="Times New Roman"/>
          <w:noProof/>
        </w:rPr>
        <w:t>PLEADING</w:t>
      </w:r>
      <w:r>
        <w:rPr>
          <w:noProof/>
        </w:rPr>
        <w:tab/>
      </w:r>
      <w:r>
        <w:rPr>
          <w:noProof/>
        </w:rPr>
        <w:fldChar w:fldCharType="begin"/>
      </w:r>
      <w:r>
        <w:rPr>
          <w:noProof/>
        </w:rPr>
        <w:instrText xml:space="preserve"> PAGEREF _Toc531692810 \h </w:instrText>
      </w:r>
      <w:r>
        <w:rPr>
          <w:noProof/>
        </w:rPr>
      </w:r>
      <w:r>
        <w:rPr>
          <w:noProof/>
        </w:rPr>
        <w:fldChar w:fldCharType="separate"/>
      </w:r>
      <w:r>
        <w:rPr>
          <w:noProof/>
        </w:rPr>
        <w:t>86</w:t>
      </w:r>
      <w:r>
        <w:rPr>
          <w:noProof/>
        </w:rPr>
        <w:fldChar w:fldCharType="end"/>
      </w:r>
    </w:p>
    <w:p w14:paraId="20553C65" w14:textId="741F9E76" w:rsidR="006A0965" w:rsidRDefault="006A0965">
      <w:pPr>
        <w:pStyle w:val="TOC2"/>
        <w:tabs>
          <w:tab w:val="right" w:leader="dot" w:pos="8630"/>
        </w:tabs>
        <w:rPr>
          <w:rFonts w:asciiTheme="minorHAnsi" w:hAnsiTheme="minorHAnsi"/>
          <w:b w:val="0"/>
          <w:bCs w:val="0"/>
          <w:noProof/>
          <w:sz w:val="22"/>
          <w:szCs w:val="22"/>
        </w:rPr>
      </w:pPr>
      <w:r>
        <w:rPr>
          <w:noProof/>
        </w:rPr>
        <w:lastRenderedPageBreak/>
        <w:t>Declaratory Judgment Standing</w:t>
      </w:r>
      <w:r>
        <w:rPr>
          <w:noProof/>
        </w:rPr>
        <w:tab/>
      </w:r>
      <w:r>
        <w:rPr>
          <w:noProof/>
        </w:rPr>
        <w:fldChar w:fldCharType="begin"/>
      </w:r>
      <w:r>
        <w:rPr>
          <w:noProof/>
        </w:rPr>
        <w:instrText xml:space="preserve"> PAGEREF _Toc531692811 \h </w:instrText>
      </w:r>
      <w:r>
        <w:rPr>
          <w:noProof/>
        </w:rPr>
      </w:r>
      <w:r>
        <w:rPr>
          <w:noProof/>
        </w:rPr>
        <w:fldChar w:fldCharType="separate"/>
      </w:r>
      <w:r>
        <w:rPr>
          <w:noProof/>
        </w:rPr>
        <w:t>86</w:t>
      </w:r>
      <w:r>
        <w:rPr>
          <w:noProof/>
        </w:rPr>
        <w:fldChar w:fldCharType="end"/>
      </w:r>
    </w:p>
    <w:p w14:paraId="00FAB37B" w14:textId="39B3975E" w:rsidR="006A0965" w:rsidRDefault="006A0965">
      <w:pPr>
        <w:pStyle w:val="TOC3"/>
        <w:rPr>
          <w:rFonts w:asciiTheme="minorHAnsi" w:hAnsiTheme="minorHAnsi"/>
          <w:sz w:val="22"/>
          <w:szCs w:val="22"/>
        </w:rPr>
      </w:pPr>
      <w:r w:rsidRPr="00BA07AC">
        <w:rPr>
          <w:rFonts w:cs="Times New Roman"/>
        </w:rPr>
        <w:t>AIDS Healthcare Foundation, Inc. v. Gilead Sciences, Inc., No. 2016-2425, 2018 WL 2168658 (Fed. Cir. May 11, 2018)</w:t>
      </w:r>
      <w:r>
        <w:tab/>
      </w:r>
      <w:r>
        <w:fldChar w:fldCharType="begin"/>
      </w:r>
      <w:r>
        <w:instrText xml:space="preserve"> PAGEREF _Toc531692812 \h </w:instrText>
      </w:r>
      <w:r>
        <w:fldChar w:fldCharType="separate"/>
      </w:r>
      <w:r>
        <w:t>86</w:t>
      </w:r>
      <w:r>
        <w:fldChar w:fldCharType="end"/>
      </w:r>
    </w:p>
    <w:p w14:paraId="2CC41F6C" w14:textId="3C05A511" w:rsidR="006A0965" w:rsidRDefault="006A0965">
      <w:pPr>
        <w:pStyle w:val="TOC2"/>
        <w:tabs>
          <w:tab w:val="right" w:leader="dot" w:pos="8630"/>
        </w:tabs>
        <w:rPr>
          <w:rFonts w:asciiTheme="minorHAnsi" w:hAnsiTheme="minorHAnsi"/>
          <w:b w:val="0"/>
          <w:bCs w:val="0"/>
          <w:noProof/>
          <w:sz w:val="22"/>
          <w:szCs w:val="22"/>
        </w:rPr>
      </w:pPr>
      <w:r>
        <w:rPr>
          <w:noProof/>
        </w:rPr>
        <w:t>Twombly/Iqbal</w:t>
      </w:r>
      <w:r>
        <w:rPr>
          <w:noProof/>
        </w:rPr>
        <w:tab/>
      </w:r>
      <w:r>
        <w:rPr>
          <w:noProof/>
        </w:rPr>
        <w:fldChar w:fldCharType="begin"/>
      </w:r>
      <w:r>
        <w:rPr>
          <w:noProof/>
        </w:rPr>
        <w:instrText xml:space="preserve"> PAGEREF _Toc531692813 \h </w:instrText>
      </w:r>
      <w:r>
        <w:rPr>
          <w:noProof/>
        </w:rPr>
      </w:r>
      <w:r>
        <w:rPr>
          <w:noProof/>
        </w:rPr>
        <w:fldChar w:fldCharType="separate"/>
      </w:r>
      <w:r>
        <w:rPr>
          <w:noProof/>
        </w:rPr>
        <w:t>87</w:t>
      </w:r>
      <w:r>
        <w:rPr>
          <w:noProof/>
        </w:rPr>
        <w:fldChar w:fldCharType="end"/>
      </w:r>
    </w:p>
    <w:p w14:paraId="7AF62C60" w14:textId="30722AE9" w:rsidR="006A0965" w:rsidRDefault="006A0965">
      <w:pPr>
        <w:pStyle w:val="TOC3"/>
        <w:rPr>
          <w:rFonts w:asciiTheme="minorHAnsi" w:hAnsiTheme="minorHAnsi"/>
          <w:sz w:val="22"/>
          <w:szCs w:val="22"/>
        </w:rPr>
      </w:pPr>
      <w:r w:rsidRPr="00BA07AC">
        <w:rPr>
          <w:rFonts w:cs="Times New Roman"/>
        </w:rPr>
        <w:t>Nalco Co. v. Chem-Mod, LLC, 883 F.3d 1337 (Fed. Cir. Feb. 27, 2018)</w:t>
      </w:r>
      <w:r>
        <w:tab/>
      </w:r>
      <w:r>
        <w:fldChar w:fldCharType="begin"/>
      </w:r>
      <w:r>
        <w:instrText xml:space="preserve"> PAGEREF _Toc531692814 \h </w:instrText>
      </w:r>
      <w:r>
        <w:fldChar w:fldCharType="separate"/>
      </w:r>
      <w:r>
        <w:t>87</w:t>
      </w:r>
      <w:r>
        <w:fldChar w:fldCharType="end"/>
      </w:r>
    </w:p>
    <w:p w14:paraId="511168C8" w14:textId="4E172001" w:rsidR="006A0965" w:rsidRDefault="006A0965">
      <w:pPr>
        <w:pStyle w:val="TOC1"/>
        <w:rPr>
          <w:rFonts w:asciiTheme="minorHAnsi" w:hAnsiTheme="minorHAnsi"/>
          <w:b w:val="0"/>
          <w:bCs w:val="0"/>
          <w:caps w:val="0"/>
          <w:noProof/>
          <w:spacing w:val="0"/>
          <w:sz w:val="22"/>
          <w:szCs w:val="22"/>
        </w:rPr>
      </w:pPr>
      <w:r w:rsidRPr="00BA07AC">
        <w:rPr>
          <w:rFonts w:cs="Times New Roman"/>
          <w:noProof/>
        </w:rPr>
        <w:t>PATENT TRIAL AND APPEAL BOARD</w:t>
      </w:r>
      <w:r>
        <w:rPr>
          <w:noProof/>
        </w:rPr>
        <w:tab/>
      </w:r>
      <w:r>
        <w:rPr>
          <w:noProof/>
        </w:rPr>
        <w:fldChar w:fldCharType="begin"/>
      </w:r>
      <w:r>
        <w:rPr>
          <w:noProof/>
        </w:rPr>
        <w:instrText xml:space="preserve"> PAGEREF _Toc531692815 \h </w:instrText>
      </w:r>
      <w:r>
        <w:rPr>
          <w:noProof/>
        </w:rPr>
      </w:r>
      <w:r>
        <w:rPr>
          <w:noProof/>
        </w:rPr>
        <w:fldChar w:fldCharType="separate"/>
      </w:r>
      <w:r>
        <w:rPr>
          <w:noProof/>
        </w:rPr>
        <w:t>89</w:t>
      </w:r>
      <w:r>
        <w:rPr>
          <w:noProof/>
        </w:rPr>
        <w:fldChar w:fldCharType="end"/>
      </w:r>
    </w:p>
    <w:p w14:paraId="23ED934E" w14:textId="1EF7A391" w:rsidR="006A0965" w:rsidRDefault="006A0965">
      <w:pPr>
        <w:pStyle w:val="TOC3"/>
        <w:rPr>
          <w:rFonts w:asciiTheme="minorHAnsi" w:hAnsiTheme="minorHAnsi"/>
          <w:sz w:val="22"/>
          <w:szCs w:val="22"/>
        </w:rPr>
      </w:pPr>
      <w:r w:rsidRPr="00BA07AC">
        <w:rPr>
          <w:rFonts w:cs="Times New Roman"/>
        </w:rPr>
        <w:t>Oil States Energy Services, LLC v. Greene’s Energy Group, LLC, 2018 WL 1914662 (U.S. Apr. 24, 2018)</w:t>
      </w:r>
      <w:r>
        <w:tab/>
      </w:r>
      <w:r>
        <w:fldChar w:fldCharType="begin"/>
      </w:r>
      <w:r>
        <w:instrText xml:space="preserve"> PAGEREF _Toc531692816 \h </w:instrText>
      </w:r>
      <w:r>
        <w:fldChar w:fldCharType="separate"/>
      </w:r>
      <w:r>
        <w:t>89</w:t>
      </w:r>
      <w:r>
        <w:fldChar w:fldCharType="end"/>
      </w:r>
    </w:p>
    <w:p w14:paraId="6C38D839" w14:textId="3A7C77C3" w:rsidR="006A0965" w:rsidRDefault="006A0965">
      <w:pPr>
        <w:pStyle w:val="TOC3"/>
        <w:rPr>
          <w:rFonts w:asciiTheme="minorHAnsi" w:hAnsiTheme="minorHAnsi"/>
          <w:sz w:val="22"/>
          <w:szCs w:val="22"/>
        </w:rPr>
      </w:pPr>
      <w:r w:rsidRPr="00BA07AC">
        <w:rPr>
          <w:rFonts w:cs="Times New Roman"/>
        </w:rPr>
        <w:t>SAS Institute Inc. v. Iancu, No. 16-969, 2018 WL 1914661 (U.S. Apr. 24, 2018)</w:t>
      </w:r>
      <w:r>
        <w:tab/>
      </w:r>
      <w:r>
        <w:fldChar w:fldCharType="begin"/>
      </w:r>
      <w:r>
        <w:instrText xml:space="preserve"> PAGEREF _Toc531692817 \h </w:instrText>
      </w:r>
      <w:r>
        <w:fldChar w:fldCharType="separate"/>
      </w:r>
      <w:r>
        <w:t>91</w:t>
      </w:r>
      <w:r>
        <w:fldChar w:fldCharType="end"/>
      </w:r>
    </w:p>
    <w:p w14:paraId="5BCBE815" w14:textId="140A08B0" w:rsidR="006A0965" w:rsidRDefault="006A0965">
      <w:pPr>
        <w:pStyle w:val="TOC2"/>
        <w:tabs>
          <w:tab w:val="right" w:leader="dot" w:pos="8630"/>
        </w:tabs>
        <w:rPr>
          <w:rFonts w:asciiTheme="minorHAnsi" w:hAnsiTheme="minorHAnsi"/>
          <w:b w:val="0"/>
          <w:bCs w:val="0"/>
          <w:noProof/>
          <w:sz w:val="22"/>
          <w:szCs w:val="22"/>
        </w:rPr>
      </w:pPr>
      <w:r w:rsidRPr="00BA07AC">
        <w:rPr>
          <w:rFonts w:cs="Times New Roman"/>
          <w:noProof/>
        </w:rPr>
        <w:t>Inter Partes Review Procedure: Interpreting SAS Institute</w:t>
      </w:r>
      <w:r>
        <w:rPr>
          <w:noProof/>
        </w:rPr>
        <w:tab/>
      </w:r>
      <w:r>
        <w:rPr>
          <w:noProof/>
        </w:rPr>
        <w:fldChar w:fldCharType="begin"/>
      </w:r>
      <w:r>
        <w:rPr>
          <w:noProof/>
        </w:rPr>
        <w:instrText xml:space="preserve"> PAGEREF _Toc531692818 \h </w:instrText>
      </w:r>
      <w:r>
        <w:rPr>
          <w:noProof/>
        </w:rPr>
      </w:r>
      <w:r>
        <w:rPr>
          <w:noProof/>
        </w:rPr>
        <w:fldChar w:fldCharType="separate"/>
      </w:r>
      <w:r>
        <w:rPr>
          <w:noProof/>
        </w:rPr>
        <w:t>93</w:t>
      </w:r>
      <w:r>
        <w:rPr>
          <w:noProof/>
        </w:rPr>
        <w:fldChar w:fldCharType="end"/>
      </w:r>
    </w:p>
    <w:p w14:paraId="389364B1" w14:textId="0A0B9916" w:rsidR="006A0965" w:rsidRDefault="006A0965">
      <w:pPr>
        <w:pStyle w:val="TOC3"/>
        <w:rPr>
          <w:rFonts w:asciiTheme="minorHAnsi" w:hAnsiTheme="minorHAnsi"/>
          <w:sz w:val="22"/>
          <w:szCs w:val="22"/>
        </w:rPr>
      </w:pPr>
      <w:r w:rsidRPr="00BA07AC">
        <w:rPr>
          <w:rFonts w:cs="Times New Roman"/>
        </w:rPr>
        <w:t>Adidas AG v. Nike, Inc., 894 F.3d 1256 (Fed. Cir. July 2, 2018)</w:t>
      </w:r>
      <w:r>
        <w:tab/>
      </w:r>
      <w:r>
        <w:fldChar w:fldCharType="begin"/>
      </w:r>
      <w:r>
        <w:instrText xml:space="preserve"> PAGEREF _Toc531692819 \h </w:instrText>
      </w:r>
      <w:r>
        <w:fldChar w:fldCharType="separate"/>
      </w:r>
      <w:r>
        <w:t>93</w:t>
      </w:r>
      <w:r>
        <w:fldChar w:fldCharType="end"/>
      </w:r>
    </w:p>
    <w:p w14:paraId="098AA5D5" w14:textId="148535F9" w:rsidR="006A0965" w:rsidRDefault="006A0965">
      <w:pPr>
        <w:pStyle w:val="TOC3"/>
        <w:rPr>
          <w:rFonts w:asciiTheme="minorHAnsi" w:hAnsiTheme="minorHAnsi"/>
          <w:sz w:val="22"/>
          <w:szCs w:val="22"/>
        </w:rPr>
      </w:pPr>
      <w:r w:rsidRPr="00BA07AC">
        <w:rPr>
          <w:rFonts w:cs="Times New Roman"/>
        </w:rPr>
        <w:t>Alcatel-Lucent USA Inc. v. Oyster Optics, LLC, No. IPR2018-00070, 2018 WL 4191599 (P.T.A.B. Aug. 31, 2018)</w:t>
      </w:r>
      <w:r>
        <w:tab/>
      </w:r>
      <w:r>
        <w:fldChar w:fldCharType="begin"/>
      </w:r>
      <w:r>
        <w:instrText xml:space="preserve"> PAGEREF _Toc531692820 \h </w:instrText>
      </w:r>
      <w:r>
        <w:fldChar w:fldCharType="separate"/>
      </w:r>
      <w:r>
        <w:t>94</w:t>
      </w:r>
      <w:r>
        <w:fldChar w:fldCharType="end"/>
      </w:r>
    </w:p>
    <w:p w14:paraId="27089374" w14:textId="6BE2962F" w:rsidR="006A0965" w:rsidRDefault="006A0965">
      <w:pPr>
        <w:pStyle w:val="TOC2"/>
        <w:tabs>
          <w:tab w:val="right" w:leader="dot" w:pos="8630"/>
        </w:tabs>
        <w:rPr>
          <w:rFonts w:asciiTheme="minorHAnsi" w:hAnsiTheme="minorHAnsi"/>
          <w:b w:val="0"/>
          <w:bCs w:val="0"/>
          <w:noProof/>
          <w:sz w:val="22"/>
          <w:szCs w:val="22"/>
        </w:rPr>
      </w:pPr>
      <w:r w:rsidRPr="00BA07AC">
        <w:rPr>
          <w:rFonts w:cs="Times New Roman"/>
          <w:noProof/>
        </w:rPr>
        <w:t>Inter Partes Review Procedure: Other</w:t>
      </w:r>
      <w:r>
        <w:rPr>
          <w:noProof/>
        </w:rPr>
        <w:tab/>
      </w:r>
      <w:r>
        <w:rPr>
          <w:noProof/>
        </w:rPr>
        <w:fldChar w:fldCharType="begin"/>
      </w:r>
      <w:r>
        <w:rPr>
          <w:noProof/>
        </w:rPr>
        <w:instrText xml:space="preserve"> PAGEREF _Toc531692821 \h </w:instrText>
      </w:r>
      <w:r>
        <w:rPr>
          <w:noProof/>
        </w:rPr>
      </w:r>
      <w:r>
        <w:rPr>
          <w:noProof/>
        </w:rPr>
        <w:fldChar w:fldCharType="separate"/>
      </w:r>
      <w:r>
        <w:rPr>
          <w:noProof/>
        </w:rPr>
        <w:t>94</w:t>
      </w:r>
      <w:r>
        <w:rPr>
          <w:noProof/>
        </w:rPr>
        <w:fldChar w:fldCharType="end"/>
      </w:r>
    </w:p>
    <w:p w14:paraId="0F0D9007" w14:textId="66D2ECAB" w:rsidR="006A0965" w:rsidRDefault="006A0965">
      <w:pPr>
        <w:pStyle w:val="TOC3"/>
        <w:rPr>
          <w:rFonts w:asciiTheme="minorHAnsi" w:hAnsiTheme="minorHAnsi"/>
          <w:sz w:val="22"/>
          <w:szCs w:val="22"/>
        </w:rPr>
      </w:pPr>
      <w:r>
        <w:t>Bennett Regulator Guards, Inc. v. Atlanta Gas Light Co.</w:t>
      </w:r>
      <w:r w:rsidRPr="00BA07AC">
        <w:t>, 905 F.3d 1311 (Fed. Cir. Sept. 28, 2018)</w:t>
      </w:r>
      <w:r>
        <w:tab/>
      </w:r>
      <w:r>
        <w:fldChar w:fldCharType="begin"/>
      </w:r>
      <w:r>
        <w:instrText xml:space="preserve"> PAGEREF _Toc531692822 \h </w:instrText>
      </w:r>
      <w:r>
        <w:fldChar w:fldCharType="separate"/>
      </w:r>
      <w:r>
        <w:t>94</w:t>
      </w:r>
      <w:r>
        <w:fldChar w:fldCharType="end"/>
      </w:r>
    </w:p>
    <w:p w14:paraId="165B0994" w14:textId="5B3E4902" w:rsidR="006A0965" w:rsidRDefault="006A0965">
      <w:pPr>
        <w:pStyle w:val="TOC3"/>
        <w:rPr>
          <w:rFonts w:asciiTheme="minorHAnsi" w:hAnsiTheme="minorHAnsi"/>
          <w:sz w:val="22"/>
          <w:szCs w:val="22"/>
        </w:rPr>
      </w:pPr>
      <w:r w:rsidRPr="00BA07AC">
        <w:rPr>
          <w:rFonts w:cs="Times New Roman"/>
        </w:rPr>
        <w:t>Wi-Fi One, LLC v. Broadcom Corp., 878 F.3d 1364 (Fed. Cir. Jan. 8, 2018) (en banc)</w:t>
      </w:r>
      <w:r>
        <w:tab/>
      </w:r>
      <w:r>
        <w:fldChar w:fldCharType="begin"/>
      </w:r>
      <w:r>
        <w:instrText xml:space="preserve"> PAGEREF _Toc531692823 \h </w:instrText>
      </w:r>
      <w:r>
        <w:fldChar w:fldCharType="separate"/>
      </w:r>
      <w:r>
        <w:t>95</w:t>
      </w:r>
      <w:r>
        <w:fldChar w:fldCharType="end"/>
      </w:r>
    </w:p>
    <w:p w14:paraId="3D8B2C9C" w14:textId="3110F1C1" w:rsidR="006A0965" w:rsidRDefault="006A0965">
      <w:pPr>
        <w:pStyle w:val="TOC3"/>
        <w:rPr>
          <w:rFonts w:asciiTheme="minorHAnsi" w:hAnsiTheme="minorHAnsi"/>
          <w:sz w:val="22"/>
          <w:szCs w:val="22"/>
        </w:rPr>
      </w:pPr>
      <w:r w:rsidRPr="00BA07AC">
        <w:rPr>
          <w:rFonts w:cs="Times New Roman"/>
        </w:rPr>
        <w:t>CRFD Research, Inc. v. Matal, 876 F.3d 1330 (Fed. Cir. Dec. 5, 2017)</w:t>
      </w:r>
      <w:r>
        <w:tab/>
      </w:r>
      <w:r>
        <w:fldChar w:fldCharType="begin"/>
      </w:r>
      <w:r>
        <w:instrText xml:space="preserve"> PAGEREF _Toc531692824 \h </w:instrText>
      </w:r>
      <w:r>
        <w:fldChar w:fldCharType="separate"/>
      </w:r>
      <w:r>
        <w:t>97</w:t>
      </w:r>
      <w:r>
        <w:fldChar w:fldCharType="end"/>
      </w:r>
    </w:p>
    <w:p w14:paraId="1F3B3F34" w14:textId="6E9CAD76" w:rsidR="006A0965" w:rsidRDefault="006A0965">
      <w:pPr>
        <w:pStyle w:val="TOC3"/>
        <w:rPr>
          <w:rFonts w:asciiTheme="minorHAnsi" w:hAnsiTheme="minorHAnsi"/>
          <w:sz w:val="22"/>
          <w:szCs w:val="22"/>
        </w:rPr>
      </w:pPr>
      <w:r w:rsidRPr="00BA07AC">
        <w:rPr>
          <w:rFonts w:cs="Times New Roman"/>
        </w:rPr>
        <w:t>Knowles Electronics LLC v. Iancu, 886 F.3d 1369 (Fed. Cir. Apr. 6, 2018)</w:t>
      </w:r>
      <w:r>
        <w:tab/>
      </w:r>
      <w:r>
        <w:fldChar w:fldCharType="begin"/>
      </w:r>
      <w:r>
        <w:instrText xml:space="preserve"> PAGEREF _Toc531692825 \h </w:instrText>
      </w:r>
      <w:r>
        <w:fldChar w:fldCharType="separate"/>
      </w:r>
      <w:r>
        <w:t>97</w:t>
      </w:r>
      <w:r>
        <w:fldChar w:fldCharType="end"/>
      </w:r>
    </w:p>
    <w:p w14:paraId="3EF48243" w14:textId="0C0267BE" w:rsidR="006A0965" w:rsidRDefault="006A0965">
      <w:pPr>
        <w:pStyle w:val="TOC3"/>
        <w:rPr>
          <w:rFonts w:asciiTheme="minorHAnsi" w:hAnsiTheme="minorHAnsi"/>
          <w:sz w:val="22"/>
          <w:szCs w:val="22"/>
        </w:rPr>
      </w:pPr>
      <w:r w:rsidRPr="00BA07AC">
        <w:rPr>
          <w:rFonts w:cs="Times New Roman"/>
        </w:rPr>
        <w:t>Ericsson Inc. v. Intellectual Ventures I LLC, No. 2017-1521, 2018 WL 4055815 (Fed. Cir. Aug. 27, 2018)</w:t>
      </w:r>
      <w:r>
        <w:tab/>
      </w:r>
      <w:r>
        <w:fldChar w:fldCharType="begin"/>
      </w:r>
      <w:r>
        <w:instrText xml:space="preserve"> PAGEREF _Toc531692826 \h </w:instrText>
      </w:r>
      <w:r>
        <w:fldChar w:fldCharType="separate"/>
      </w:r>
      <w:r>
        <w:t>98</w:t>
      </w:r>
      <w:r>
        <w:fldChar w:fldCharType="end"/>
      </w:r>
    </w:p>
    <w:p w14:paraId="45360C0C" w14:textId="367889B7" w:rsidR="006A0965" w:rsidRDefault="006A0965">
      <w:pPr>
        <w:pStyle w:val="TOC3"/>
        <w:rPr>
          <w:rFonts w:asciiTheme="minorHAnsi" w:hAnsiTheme="minorHAnsi"/>
          <w:sz w:val="22"/>
          <w:szCs w:val="22"/>
        </w:rPr>
      </w:pPr>
      <w:r w:rsidRPr="00BA07AC">
        <w:rPr>
          <w:rFonts w:cs="Times New Roman"/>
        </w:rPr>
        <w:t>In re Hodges, 882 F.3d 1107 (Fed. Cir. Feb. 12, 2018)</w:t>
      </w:r>
      <w:r>
        <w:tab/>
      </w:r>
      <w:r>
        <w:fldChar w:fldCharType="begin"/>
      </w:r>
      <w:r>
        <w:instrText xml:space="preserve"> PAGEREF _Toc531692827 \h </w:instrText>
      </w:r>
      <w:r>
        <w:fldChar w:fldCharType="separate"/>
      </w:r>
      <w:r>
        <w:t>99</w:t>
      </w:r>
      <w:r>
        <w:fldChar w:fldCharType="end"/>
      </w:r>
    </w:p>
    <w:p w14:paraId="4578FBAE" w14:textId="205853EC" w:rsidR="006A0965" w:rsidRDefault="006A0965">
      <w:pPr>
        <w:pStyle w:val="TOC2"/>
        <w:tabs>
          <w:tab w:val="right" w:leader="dot" w:pos="8630"/>
        </w:tabs>
        <w:rPr>
          <w:rFonts w:asciiTheme="minorHAnsi" w:hAnsiTheme="minorHAnsi"/>
          <w:b w:val="0"/>
          <w:bCs w:val="0"/>
          <w:noProof/>
          <w:sz w:val="22"/>
          <w:szCs w:val="22"/>
        </w:rPr>
      </w:pPr>
      <w:r w:rsidRPr="00BA07AC">
        <w:rPr>
          <w:rFonts w:cs="Times New Roman"/>
          <w:noProof/>
        </w:rPr>
        <w:t>Effect of PTAB Ruling</w:t>
      </w:r>
      <w:r>
        <w:rPr>
          <w:noProof/>
        </w:rPr>
        <w:tab/>
      </w:r>
      <w:r>
        <w:rPr>
          <w:noProof/>
        </w:rPr>
        <w:fldChar w:fldCharType="begin"/>
      </w:r>
      <w:r>
        <w:rPr>
          <w:noProof/>
        </w:rPr>
        <w:instrText xml:space="preserve"> PAGEREF _Toc531692828 \h </w:instrText>
      </w:r>
      <w:r>
        <w:rPr>
          <w:noProof/>
        </w:rPr>
      </w:r>
      <w:r>
        <w:rPr>
          <w:noProof/>
        </w:rPr>
        <w:fldChar w:fldCharType="separate"/>
      </w:r>
      <w:r>
        <w:rPr>
          <w:noProof/>
        </w:rPr>
        <w:t>100</w:t>
      </w:r>
      <w:r>
        <w:rPr>
          <w:noProof/>
        </w:rPr>
        <w:fldChar w:fldCharType="end"/>
      </w:r>
    </w:p>
    <w:p w14:paraId="4D5C1B73" w14:textId="140A88BE" w:rsidR="006A0965" w:rsidRDefault="006A0965">
      <w:pPr>
        <w:pStyle w:val="TOC3"/>
        <w:rPr>
          <w:rFonts w:asciiTheme="minorHAnsi" w:hAnsiTheme="minorHAnsi"/>
          <w:sz w:val="22"/>
          <w:szCs w:val="22"/>
        </w:rPr>
      </w:pPr>
      <w:r w:rsidRPr="00BA07AC">
        <w:rPr>
          <w:rFonts w:cs="Times New Roman"/>
        </w:rPr>
        <w:t>Exmark Manufacturing Co. Inc. v. Briggs &amp; Stratton Power Products Group, LLC, No. 2016-2197, 2018 WL 385497 (Fed. Cir. Jan. 12, 2018)</w:t>
      </w:r>
      <w:r>
        <w:tab/>
      </w:r>
      <w:r>
        <w:fldChar w:fldCharType="begin"/>
      </w:r>
      <w:r>
        <w:instrText xml:space="preserve"> PAGEREF _Toc531692829 \h </w:instrText>
      </w:r>
      <w:r>
        <w:fldChar w:fldCharType="separate"/>
      </w:r>
      <w:r>
        <w:t>100</w:t>
      </w:r>
      <w:r>
        <w:fldChar w:fldCharType="end"/>
      </w:r>
    </w:p>
    <w:p w14:paraId="6195F16D" w14:textId="1E3298A0" w:rsidR="006A0965" w:rsidRDefault="006A0965">
      <w:pPr>
        <w:pStyle w:val="TOC2"/>
        <w:tabs>
          <w:tab w:val="right" w:leader="dot" w:pos="8630"/>
        </w:tabs>
        <w:rPr>
          <w:rFonts w:asciiTheme="minorHAnsi" w:hAnsiTheme="minorHAnsi"/>
          <w:b w:val="0"/>
          <w:bCs w:val="0"/>
          <w:noProof/>
          <w:sz w:val="22"/>
          <w:szCs w:val="22"/>
        </w:rPr>
      </w:pPr>
      <w:r w:rsidRPr="00BA07AC">
        <w:rPr>
          <w:rFonts w:cs="Times New Roman"/>
          <w:noProof/>
        </w:rPr>
        <w:t>Standing</w:t>
      </w:r>
      <w:r>
        <w:rPr>
          <w:noProof/>
        </w:rPr>
        <w:tab/>
      </w:r>
      <w:r>
        <w:rPr>
          <w:noProof/>
        </w:rPr>
        <w:fldChar w:fldCharType="begin"/>
      </w:r>
      <w:r>
        <w:rPr>
          <w:noProof/>
        </w:rPr>
        <w:instrText xml:space="preserve"> PAGEREF _Toc531692830 \h </w:instrText>
      </w:r>
      <w:r>
        <w:rPr>
          <w:noProof/>
        </w:rPr>
      </w:r>
      <w:r>
        <w:rPr>
          <w:noProof/>
        </w:rPr>
        <w:fldChar w:fldCharType="separate"/>
      </w:r>
      <w:r>
        <w:rPr>
          <w:noProof/>
        </w:rPr>
        <w:t>101</w:t>
      </w:r>
      <w:r>
        <w:rPr>
          <w:noProof/>
        </w:rPr>
        <w:fldChar w:fldCharType="end"/>
      </w:r>
    </w:p>
    <w:p w14:paraId="505BDCF4" w14:textId="2C879F72" w:rsidR="006A0965" w:rsidRDefault="006A0965">
      <w:pPr>
        <w:pStyle w:val="TOC3"/>
        <w:rPr>
          <w:rFonts w:asciiTheme="minorHAnsi" w:hAnsiTheme="minorHAnsi"/>
          <w:sz w:val="22"/>
          <w:szCs w:val="22"/>
        </w:rPr>
      </w:pPr>
      <w:r w:rsidRPr="00BA07AC">
        <w:rPr>
          <w:rFonts w:cs="Times New Roman"/>
        </w:rPr>
        <w:t>E.I. DuPont de Nemours &amp; Co. v. Synvina C.V., No. 2017-1977, 2018 WL 4390796 (Fed. Cir. Sept. 17, 2018)</w:t>
      </w:r>
      <w:r>
        <w:tab/>
      </w:r>
      <w:r>
        <w:fldChar w:fldCharType="begin"/>
      </w:r>
      <w:r>
        <w:instrText xml:space="preserve"> PAGEREF _Toc531692831 \h </w:instrText>
      </w:r>
      <w:r>
        <w:fldChar w:fldCharType="separate"/>
      </w:r>
      <w:r>
        <w:t>101</w:t>
      </w:r>
      <w:r>
        <w:fldChar w:fldCharType="end"/>
      </w:r>
    </w:p>
    <w:p w14:paraId="6F386E3B" w14:textId="01E1C711" w:rsidR="006A0965" w:rsidRDefault="006A0965">
      <w:pPr>
        <w:pStyle w:val="TOC3"/>
        <w:rPr>
          <w:rFonts w:asciiTheme="minorHAnsi" w:hAnsiTheme="minorHAnsi"/>
          <w:sz w:val="22"/>
          <w:szCs w:val="22"/>
        </w:rPr>
      </w:pPr>
      <w:r w:rsidRPr="00BA07AC">
        <w:rPr>
          <w:rFonts w:cs="Times New Roman"/>
        </w:rPr>
        <w:t>JTEKT Corp. v. GKN Automotive Ltd., 898 F.3d 1217 (Fed. Cir. Aug. 3, 2018)</w:t>
      </w:r>
      <w:r>
        <w:tab/>
      </w:r>
      <w:r>
        <w:fldChar w:fldCharType="begin"/>
      </w:r>
      <w:r>
        <w:instrText xml:space="preserve"> PAGEREF _Toc531692832 \h </w:instrText>
      </w:r>
      <w:r>
        <w:fldChar w:fldCharType="separate"/>
      </w:r>
      <w:r>
        <w:t>102</w:t>
      </w:r>
      <w:r>
        <w:fldChar w:fldCharType="end"/>
      </w:r>
    </w:p>
    <w:p w14:paraId="62E9B55B" w14:textId="7934DFBC" w:rsidR="006A0965" w:rsidRDefault="006A0965">
      <w:pPr>
        <w:pStyle w:val="TOC3"/>
        <w:rPr>
          <w:rFonts w:asciiTheme="minorHAnsi" w:hAnsiTheme="minorHAnsi"/>
          <w:sz w:val="22"/>
          <w:szCs w:val="22"/>
        </w:rPr>
      </w:pPr>
      <w:r>
        <w:t>Return Mail, Inc. v. U.S. Postal Service</w:t>
      </w:r>
      <w:r w:rsidRPr="00BA07AC">
        <w:t>, No. 1-1594, 2018 WL 2364663 (U.S. Oct. 26, 2018)</w:t>
      </w:r>
      <w:r>
        <w:t xml:space="preserve"> </w:t>
      </w:r>
      <w:r>
        <w:tab/>
      </w:r>
      <w:r>
        <w:fldChar w:fldCharType="begin"/>
      </w:r>
      <w:r>
        <w:instrText xml:space="preserve"> PAGEREF _Toc531692833 \h </w:instrText>
      </w:r>
      <w:r>
        <w:fldChar w:fldCharType="separate"/>
      </w:r>
      <w:r>
        <w:t>103</w:t>
      </w:r>
      <w:r>
        <w:fldChar w:fldCharType="end"/>
      </w:r>
    </w:p>
    <w:p w14:paraId="3ADF61DD" w14:textId="7AB6890C" w:rsidR="006A0965" w:rsidRDefault="006A0965">
      <w:pPr>
        <w:pStyle w:val="TOC1"/>
        <w:rPr>
          <w:rFonts w:asciiTheme="minorHAnsi" w:hAnsiTheme="minorHAnsi"/>
          <w:b w:val="0"/>
          <w:bCs w:val="0"/>
          <w:caps w:val="0"/>
          <w:noProof/>
          <w:spacing w:val="0"/>
          <w:sz w:val="22"/>
          <w:szCs w:val="22"/>
        </w:rPr>
      </w:pPr>
      <w:r w:rsidRPr="00BA07AC">
        <w:rPr>
          <w:rFonts w:cs="Times New Roman"/>
          <w:noProof/>
        </w:rPr>
        <w:t>DESIGN PATENTS</w:t>
      </w:r>
      <w:r>
        <w:rPr>
          <w:noProof/>
        </w:rPr>
        <w:tab/>
      </w:r>
      <w:r>
        <w:rPr>
          <w:noProof/>
        </w:rPr>
        <w:fldChar w:fldCharType="begin"/>
      </w:r>
      <w:r>
        <w:rPr>
          <w:noProof/>
        </w:rPr>
        <w:instrText xml:space="preserve"> PAGEREF _Toc531692834 \h </w:instrText>
      </w:r>
      <w:r>
        <w:rPr>
          <w:noProof/>
        </w:rPr>
      </w:r>
      <w:r>
        <w:rPr>
          <w:noProof/>
        </w:rPr>
        <w:fldChar w:fldCharType="separate"/>
      </w:r>
      <w:r>
        <w:rPr>
          <w:noProof/>
        </w:rPr>
        <w:t>104</w:t>
      </w:r>
      <w:r>
        <w:rPr>
          <w:noProof/>
        </w:rPr>
        <w:fldChar w:fldCharType="end"/>
      </w:r>
    </w:p>
    <w:p w14:paraId="26BA3427" w14:textId="7FDBF5C9" w:rsidR="006A0965" w:rsidRDefault="006A0965">
      <w:pPr>
        <w:pStyle w:val="TOC2"/>
        <w:tabs>
          <w:tab w:val="right" w:leader="dot" w:pos="8630"/>
        </w:tabs>
        <w:rPr>
          <w:rFonts w:asciiTheme="minorHAnsi" w:hAnsiTheme="minorHAnsi"/>
          <w:b w:val="0"/>
          <w:bCs w:val="0"/>
          <w:noProof/>
          <w:sz w:val="22"/>
          <w:szCs w:val="22"/>
        </w:rPr>
      </w:pPr>
      <w:r>
        <w:rPr>
          <w:noProof/>
        </w:rPr>
        <w:t>Design Patent Claim Construction</w:t>
      </w:r>
      <w:r>
        <w:rPr>
          <w:noProof/>
        </w:rPr>
        <w:tab/>
      </w:r>
      <w:r>
        <w:rPr>
          <w:noProof/>
        </w:rPr>
        <w:fldChar w:fldCharType="begin"/>
      </w:r>
      <w:r>
        <w:rPr>
          <w:noProof/>
        </w:rPr>
        <w:instrText xml:space="preserve"> PAGEREF _Toc531692835 \h </w:instrText>
      </w:r>
      <w:r>
        <w:rPr>
          <w:noProof/>
        </w:rPr>
      </w:r>
      <w:r>
        <w:rPr>
          <w:noProof/>
        </w:rPr>
        <w:fldChar w:fldCharType="separate"/>
      </w:r>
      <w:r>
        <w:rPr>
          <w:noProof/>
        </w:rPr>
        <w:t>104</w:t>
      </w:r>
      <w:r>
        <w:rPr>
          <w:noProof/>
        </w:rPr>
        <w:fldChar w:fldCharType="end"/>
      </w:r>
    </w:p>
    <w:p w14:paraId="506F7FFA" w14:textId="154850D1" w:rsidR="006A0965" w:rsidRDefault="006A0965">
      <w:pPr>
        <w:pStyle w:val="TOC3"/>
        <w:rPr>
          <w:rFonts w:asciiTheme="minorHAnsi" w:hAnsiTheme="minorHAnsi"/>
          <w:sz w:val="22"/>
          <w:szCs w:val="22"/>
        </w:rPr>
      </w:pPr>
      <w:r w:rsidRPr="00BA07AC">
        <w:rPr>
          <w:rFonts w:cs="Times New Roman"/>
        </w:rPr>
        <w:t>In re Maatita, No. 2017-2013, 2018 WL 3965892 (Fed. Cir. Aug. 20, 2018)</w:t>
      </w:r>
      <w:r>
        <w:tab/>
      </w:r>
      <w:r>
        <w:fldChar w:fldCharType="begin"/>
      </w:r>
      <w:r>
        <w:instrText xml:space="preserve"> PAGEREF _Toc531692836 \h </w:instrText>
      </w:r>
      <w:r>
        <w:fldChar w:fldCharType="separate"/>
      </w:r>
      <w:r>
        <w:t>104</w:t>
      </w:r>
      <w:r>
        <w:fldChar w:fldCharType="end"/>
      </w:r>
    </w:p>
    <w:p w14:paraId="31DAA5AB" w14:textId="373C0EA7" w:rsidR="00087284" w:rsidRPr="00CA2C0A" w:rsidRDefault="0091068D" w:rsidP="00CA2C0A">
      <w:pPr>
        <w:rPr>
          <w:rFonts w:cs="Times New Roman"/>
        </w:rPr>
      </w:pPr>
      <w:r w:rsidRPr="00677ABE">
        <w:rPr>
          <w:rFonts w:cs="Times New Roman"/>
          <w:i/>
        </w:rPr>
        <w:fldChar w:fldCharType="end"/>
      </w:r>
      <w:r w:rsidR="00087284" w:rsidRPr="00677ABE">
        <w:rPr>
          <w:rFonts w:cs="Times New Roman"/>
          <w:b/>
        </w:rPr>
        <w:br w:type="page"/>
      </w:r>
    </w:p>
    <w:p w14:paraId="46BA3165" w14:textId="77777777" w:rsidR="00F20B84" w:rsidRDefault="00347940" w:rsidP="00CA2C0A">
      <w:pPr>
        <w:pStyle w:val="Heading1"/>
        <w:rPr>
          <w:rFonts w:cs="Times New Roman"/>
          <w:szCs w:val="24"/>
        </w:rPr>
      </w:pPr>
      <w:bookmarkStart w:id="7" w:name="_Toc531692713"/>
      <w:r w:rsidRPr="00677ABE">
        <w:rPr>
          <w:rFonts w:cs="Times New Roman"/>
          <w:szCs w:val="24"/>
        </w:rPr>
        <w:lastRenderedPageBreak/>
        <w:t>PATENTABLE SUBJECT MATTER</w:t>
      </w:r>
      <w:bookmarkEnd w:id="7"/>
    </w:p>
    <w:p w14:paraId="6D95537C" w14:textId="3E37E5C9" w:rsidR="006F6DF9" w:rsidRPr="00F20B84" w:rsidRDefault="00DA4D56" w:rsidP="00F20B84">
      <w:pPr>
        <w:pStyle w:val="Heading3"/>
        <w:ind w:firstLine="0"/>
        <w:rPr>
          <w:rFonts w:cs="Times New Roman"/>
          <w:i w:val="0"/>
        </w:rPr>
      </w:pPr>
      <w:bookmarkStart w:id="8" w:name="_Toc516586519"/>
      <w:bookmarkStart w:id="9" w:name="_Toc531692714"/>
      <w:r w:rsidRPr="00677ABE">
        <w:rPr>
          <w:rFonts w:cs="Times New Roman"/>
        </w:rPr>
        <w:t>Core Wireless Licensing S.A.R.L. v. LG Electronics, Inc.</w:t>
      </w:r>
      <w:r w:rsidRPr="00677ABE">
        <w:rPr>
          <w:rFonts w:cs="Times New Roman"/>
          <w:i w:val="0"/>
        </w:rPr>
        <w:t>, 880 F.3d 1356 (Fed. Cir. Jan. 25, 2018)</w:t>
      </w:r>
      <w:bookmarkEnd w:id="8"/>
      <w:bookmarkEnd w:id="9"/>
    </w:p>
    <w:p w14:paraId="0ABF2685" w14:textId="6C15EC4C" w:rsidR="00DA4D56" w:rsidRPr="00677ABE" w:rsidRDefault="00DA4D56" w:rsidP="006F6DF9">
      <w:pPr>
        <w:ind w:firstLine="720"/>
        <w:rPr>
          <w:rFonts w:cs="Times New Roman"/>
        </w:rPr>
      </w:pPr>
      <w:r w:rsidRPr="00677ABE">
        <w:rPr>
          <w:rFonts w:cs="Times New Roman"/>
          <w:lang w:eastAsia="x-none"/>
        </w:rPr>
        <w:t xml:space="preserve">In this </w:t>
      </w:r>
      <w:r w:rsidRPr="00677ABE">
        <w:rPr>
          <w:rFonts w:cs="Times New Roman"/>
        </w:rPr>
        <w:t xml:space="preserve">appeal from the Eastern District of Texas, the Federal Circuit affirmed the district court’s denial of summary judgment that the asserted claims are patent ineligible under </w:t>
      </w:r>
      <w:r w:rsidR="00AC00E6">
        <w:rPr>
          <w:rFonts w:cs="Times New Roman"/>
        </w:rPr>
        <w:t>§ </w:t>
      </w:r>
      <w:r w:rsidRPr="00677ABE">
        <w:rPr>
          <w:rFonts w:cs="Times New Roman"/>
        </w:rPr>
        <w:t>101</w:t>
      </w:r>
      <w:r w:rsidRPr="00677ABE">
        <w:rPr>
          <w:rFonts w:cs="Times New Roman"/>
          <w:lang w:eastAsia="x-none"/>
        </w:rPr>
        <w:t>.</w:t>
      </w:r>
      <w:r w:rsidRPr="00677ABE">
        <w:rPr>
          <w:rStyle w:val="FootnoteReference"/>
          <w:rFonts w:cs="Times New Roman"/>
          <w:lang w:eastAsia="x-none"/>
        </w:rPr>
        <w:footnoteReference w:id="4"/>
      </w:r>
      <w:r w:rsidRPr="00677ABE">
        <w:rPr>
          <w:rFonts w:cs="Times New Roman"/>
          <w:lang w:eastAsia="x-none"/>
        </w:rPr>
        <w:t xml:space="preserve"> </w:t>
      </w:r>
      <w:r w:rsidRPr="00677ABE">
        <w:rPr>
          <w:rFonts w:cs="Times New Roman"/>
        </w:rPr>
        <w:t>The patents at-issue relate to an improved display interface for electronic devices, where the improved interface permits users “to more quickly access desired data stored in, and functions of applications included in, the electronic devices.”</w:t>
      </w:r>
      <w:r w:rsidRPr="00677ABE">
        <w:rPr>
          <w:rStyle w:val="FootnoteReference"/>
          <w:rFonts w:cs="Times New Roman"/>
        </w:rPr>
        <w:footnoteReference w:id="5"/>
      </w:r>
      <w:r w:rsidRPr="00677ABE">
        <w:rPr>
          <w:rFonts w:cs="Times New Roman"/>
        </w:rPr>
        <w:t xml:space="preserve"> More specifically, an application summary window that can be reached directly from the main menu displays the desired data and functions.</w:t>
      </w:r>
      <w:r w:rsidRPr="00677ABE">
        <w:rPr>
          <w:rStyle w:val="FootnoteReference"/>
          <w:rFonts w:cs="Times New Roman"/>
        </w:rPr>
        <w:footnoteReference w:id="6"/>
      </w:r>
    </w:p>
    <w:p w14:paraId="6235690C" w14:textId="58BA5311" w:rsidR="00DA4D56" w:rsidRPr="00677ABE" w:rsidRDefault="00DA4D56" w:rsidP="00CA2C0A">
      <w:pPr>
        <w:rPr>
          <w:rFonts w:cs="Times New Roman"/>
        </w:rPr>
      </w:pPr>
      <w:r w:rsidRPr="00677ABE">
        <w:rPr>
          <w:rFonts w:cs="Times New Roman"/>
          <w:lang w:eastAsia="x-none"/>
        </w:rPr>
        <w:tab/>
        <w:t xml:space="preserve">The Federal Circuit concluded that </w:t>
      </w:r>
      <w:r w:rsidRPr="00677ABE">
        <w:rPr>
          <w:rFonts w:cs="Times New Roman"/>
        </w:rPr>
        <w:t>“[t]he asserted claims in this case are directed to an improved user interface for computing devices, not to the abstract idea of an index.”</w:t>
      </w:r>
      <w:r w:rsidRPr="00677ABE">
        <w:rPr>
          <w:rStyle w:val="FootnoteReference"/>
          <w:rFonts w:cs="Times New Roman"/>
        </w:rPr>
        <w:footnoteReference w:id="7"/>
      </w:r>
      <w:r w:rsidRPr="00677ABE">
        <w:rPr>
          <w:rFonts w:cs="Times New Roman"/>
        </w:rPr>
        <w:t xml:space="preserve"> “[T]hese claims are directed to a particular manner of summarizing and presenting information in electronic devices.”</w:t>
      </w:r>
      <w:r w:rsidRPr="00677ABE">
        <w:rPr>
          <w:rStyle w:val="FootnoteReference"/>
          <w:rFonts w:cs="Times New Roman"/>
        </w:rPr>
        <w:footnoteReference w:id="8"/>
      </w:r>
      <w:r w:rsidRPr="00677ABE">
        <w:rPr>
          <w:rFonts w:cs="Times New Roman"/>
        </w:rPr>
        <w:t xml:space="preserve"> For instance, claim 1 of the </w:t>
      </w:r>
      <w:r w:rsidR="00370148">
        <w:rPr>
          <w:rFonts w:cs="Times New Roman"/>
        </w:rPr>
        <w:t>’4</w:t>
      </w:r>
      <w:r w:rsidRPr="00677ABE">
        <w:rPr>
          <w:rFonts w:cs="Times New Roman"/>
        </w:rPr>
        <w:t>76 patent requires that the application summary window can be reached from the menu, specifies how the summary window must be accessed, “requires the application summary window [to] list a limited set of data,” and recites that the summary window is displayed while the applications are in an unlaunched state.</w:t>
      </w:r>
      <w:r w:rsidRPr="00677ABE">
        <w:rPr>
          <w:rStyle w:val="FootnoteReference"/>
          <w:rFonts w:cs="Times New Roman"/>
        </w:rPr>
        <w:footnoteReference w:id="9"/>
      </w:r>
    </w:p>
    <w:p w14:paraId="271A2EB6" w14:textId="77777777" w:rsidR="00F20B84" w:rsidRDefault="00DA4D56" w:rsidP="00CA2C0A">
      <w:pPr>
        <w:rPr>
          <w:rFonts w:cs="Times New Roman"/>
        </w:rPr>
      </w:pPr>
      <w:r w:rsidRPr="00677ABE">
        <w:rPr>
          <w:rFonts w:cs="Times New Roman"/>
          <w:lang w:eastAsia="x-none"/>
        </w:rPr>
        <w:tab/>
      </w:r>
      <w:r w:rsidRPr="00677ABE">
        <w:rPr>
          <w:rFonts w:cs="Times New Roman"/>
        </w:rPr>
        <w:t>The specification teaches that prior art interfaces made it difficult to find the right data and functionality, particularly on small screens.</w:t>
      </w:r>
      <w:r w:rsidRPr="00677ABE">
        <w:rPr>
          <w:rStyle w:val="FootnoteReference"/>
          <w:rFonts w:cs="Times New Roman"/>
        </w:rPr>
        <w:footnoteReference w:id="10"/>
      </w:r>
      <w:r w:rsidRPr="00677ABE">
        <w:rPr>
          <w:rFonts w:cs="Times New Roman"/>
        </w:rPr>
        <w:t xml:space="preserve"> The disclosed invention reduces this problem by coalescing a limited group of commonly accessed data and functions in a single spot.</w:t>
      </w:r>
      <w:r w:rsidRPr="00677ABE">
        <w:rPr>
          <w:rStyle w:val="FootnoteReference"/>
          <w:rFonts w:cs="Times New Roman"/>
        </w:rPr>
        <w:footnoteReference w:id="11"/>
      </w:r>
      <w:r w:rsidRPr="00677ABE">
        <w:rPr>
          <w:rFonts w:cs="Times New Roman"/>
        </w:rPr>
        <w:t xml:space="preserve"> Moreover, displaying certain data and functions in the summary window permits users to see that data and those functions without opening up the application.</w:t>
      </w:r>
      <w:r w:rsidRPr="00677ABE">
        <w:rPr>
          <w:rStyle w:val="FootnoteReference"/>
          <w:rFonts w:cs="Times New Roman"/>
        </w:rPr>
        <w:footnoteReference w:id="12"/>
      </w:r>
      <w:r w:rsidRPr="00677ABE">
        <w:rPr>
          <w:rFonts w:cs="Times New Roman"/>
        </w:rPr>
        <w:t xml:space="preserve"> Accordingly, “the claims are directed to an improvement in the functioning of computers, particularly those with small screens.”</w:t>
      </w:r>
      <w:r w:rsidRPr="00677ABE">
        <w:rPr>
          <w:rStyle w:val="FootnoteReference"/>
          <w:rFonts w:cs="Times New Roman"/>
        </w:rPr>
        <w:footnoteReference w:id="13"/>
      </w:r>
    </w:p>
    <w:p w14:paraId="5921CCCB" w14:textId="61A47C4F" w:rsidR="006F6DF9" w:rsidRPr="00F20B84" w:rsidRDefault="00DA4D56" w:rsidP="00F20B84">
      <w:pPr>
        <w:pStyle w:val="Heading3"/>
        <w:ind w:firstLine="0"/>
        <w:rPr>
          <w:rFonts w:cs="Times New Roman"/>
          <w:i w:val="0"/>
        </w:rPr>
      </w:pPr>
      <w:bookmarkStart w:id="10" w:name="_Toc516586520"/>
      <w:bookmarkStart w:id="11" w:name="_Toc531692715"/>
      <w:r w:rsidRPr="00677ABE">
        <w:rPr>
          <w:rFonts w:cs="Times New Roman"/>
        </w:rPr>
        <w:t>Finjan, Inc. v. Blue Coat Systems, Inc.</w:t>
      </w:r>
      <w:r w:rsidRPr="00677ABE">
        <w:rPr>
          <w:rFonts w:cs="Times New Roman"/>
          <w:i w:val="0"/>
        </w:rPr>
        <w:t>, No. 2016-2520, 2018 WL 341882 (Fed. Cir. Jan. 10, 2018)</w:t>
      </w:r>
      <w:r w:rsidRPr="00677ABE">
        <w:rPr>
          <w:rStyle w:val="FootnoteReference"/>
          <w:rFonts w:cs="Times New Roman"/>
          <w:i w:val="0"/>
        </w:rPr>
        <w:footnoteReference w:id="14"/>
      </w:r>
      <w:bookmarkEnd w:id="10"/>
      <w:bookmarkEnd w:id="11"/>
    </w:p>
    <w:p w14:paraId="19F41004" w14:textId="2EF6254C" w:rsidR="00DA4D56" w:rsidRPr="00677ABE" w:rsidRDefault="00DA4D56" w:rsidP="006F6DF9">
      <w:pPr>
        <w:ind w:firstLine="720"/>
        <w:rPr>
          <w:rFonts w:cs="Times New Roman"/>
        </w:rPr>
      </w:pPr>
      <w:r w:rsidRPr="00677ABE">
        <w:rPr>
          <w:rFonts w:cs="Times New Roman"/>
        </w:rPr>
        <w:t xml:space="preserve">In this appeal from the Northern District of California, the Federal Circuit affirmed the district court’s finding that the ’844 patent was patent-eligible under </w:t>
      </w:r>
      <w:r w:rsidR="00AC00E6">
        <w:rPr>
          <w:rFonts w:cs="Times New Roman"/>
        </w:rPr>
        <w:t>§ </w:t>
      </w:r>
      <w:r w:rsidRPr="00677ABE">
        <w:rPr>
          <w:rFonts w:cs="Times New Roman"/>
        </w:rPr>
        <w:t>101.</w:t>
      </w:r>
      <w:r w:rsidRPr="00677ABE">
        <w:rPr>
          <w:rStyle w:val="FootnoteReference"/>
          <w:rFonts w:cs="Times New Roman"/>
        </w:rPr>
        <w:footnoteReference w:id="15"/>
      </w:r>
      <w:r w:rsidRPr="00677ABE">
        <w:rPr>
          <w:rFonts w:cs="Times New Roman"/>
        </w:rPr>
        <w:t xml:space="preserve"> </w:t>
      </w:r>
      <w:r w:rsidRPr="00677ABE">
        <w:rPr>
          <w:rFonts w:cs="Times New Roman"/>
        </w:rPr>
        <w:lastRenderedPageBreak/>
        <w:t>The ’844 patent is directed to an improved virus scanning approach that can proactively detect “</w:t>
      </w:r>
      <w:r w:rsidRPr="00677ABE">
        <w:rPr>
          <w:rFonts w:cs="Times New Roman"/>
          <w:i/>
        </w:rPr>
        <w:t>potentially</w:t>
      </w:r>
      <w:r w:rsidRPr="00677ABE">
        <w:rPr>
          <w:rFonts w:cs="Times New Roman"/>
        </w:rPr>
        <w:t xml:space="preserve"> hostile operations” with a “‘behavior-based’ virus scan.”</w:t>
      </w:r>
      <w:r w:rsidRPr="00677ABE">
        <w:rPr>
          <w:rStyle w:val="FootnoteReference"/>
          <w:rFonts w:cs="Times New Roman"/>
        </w:rPr>
        <w:footnoteReference w:id="16"/>
      </w:r>
      <w:r w:rsidRPr="00677ABE">
        <w:rPr>
          <w:rFonts w:cs="Times New Roman"/>
        </w:rPr>
        <w:t xml:space="preserve"> This novel virus scanning approach is unlike prior art systems, which “are limited to recognizing the presence of previously-identified viruses.”</w:t>
      </w:r>
      <w:r w:rsidRPr="00677ABE">
        <w:rPr>
          <w:rStyle w:val="FootnoteReference"/>
          <w:rFonts w:cs="Times New Roman"/>
        </w:rPr>
        <w:footnoteReference w:id="17"/>
      </w:r>
    </w:p>
    <w:p w14:paraId="4317314F" w14:textId="77777777" w:rsidR="00DA4D56" w:rsidRPr="00677ABE" w:rsidRDefault="00DA4D56" w:rsidP="00CA2C0A">
      <w:pPr>
        <w:rPr>
          <w:rFonts w:cs="Times New Roman"/>
        </w:rPr>
      </w:pPr>
      <w:r w:rsidRPr="00677ABE">
        <w:rPr>
          <w:rFonts w:cs="Times New Roman"/>
          <w:lang w:eastAsia="x-none"/>
        </w:rPr>
        <w:tab/>
      </w:r>
      <w:r w:rsidRPr="00677ABE">
        <w:rPr>
          <w:rFonts w:cs="Times New Roman"/>
        </w:rPr>
        <w:t>Although the court has previously found virus screening by itself to be an abstract idea,</w:t>
      </w:r>
      <w:r w:rsidRPr="00677ABE">
        <w:rPr>
          <w:rStyle w:val="FootnoteReference"/>
          <w:rFonts w:cs="Times New Roman"/>
        </w:rPr>
        <w:footnoteReference w:id="18"/>
      </w:r>
      <w:r w:rsidRPr="00677ABE">
        <w:rPr>
          <w:rFonts w:cs="Times New Roman"/>
        </w:rPr>
        <w:t xml:space="preserve"> the court found the asserted claims patent-eligible under </w:t>
      </w:r>
      <w:r w:rsidRPr="00677ABE">
        <w:rPr>
          <w:rFonts w:cs="Times New Roman"/>
          <w:i/>
        </w:rPr>
        <w:t>Alice</w:t>
      </w:r>
      <w:r w:rsidRPr="00677ABE">
        <w:rPr>
          <w:rFonts w:cs="Times New Roman"/>
        </w:rPr>
        <w:t xml:space="preserve"> step one because “the method of claim 1 employs a new kind of file that enables a computer security system to do things it could not do before.”</w:t>
      </w:r>
      <w:r w:rsidRPr="00677ABE">
        <w:rPr>
          <w:rStyle w:val="FootnoteReference"/>
          <w:rFonts w:cs="Times New Roman"/>
        </w:rPr>
        <w:footnoteReference w:id="19"/>
      </w:r>
      <w:r w:rsidRPr="00677ABE">
        <w:rPr>
          <w:rFonts w:cs="Times New Roman"/>
        </w:rPr>
        <w:t xml:space="preserve"> For example, unlike prior art virus scanning approaches, the improved virus scanning approach “can be used to protect against previously unknown viruses” as well as “known viruses that have been cosmetically modified to avoid detection by [prior art] code-matching virus scans.”</w:t>
      </w:r>
      <w:r w:rsidRPr="00677ABE">
        <w:rPr>
          <w:rStyle w:val="FootnoteReference"/>
          <w:rFonts w:cs="Times New Roman"/>
        </w:rPr>
        <w:footnoteReference w:id="20"/>
      </w:r>
      <w:r w:rsidRPr="00677ABE">
        <w:rPr>
          <w:rFonts w:cs="Times New Roman"/>
        </w:rPr>
        <w:t xml:space="preserve"> Moreover, the improved virus scanning approach permits administrators to flexibly apply “different security policies to different users.”</w:t>
      </w:r>
      <w:r w:rsidRPr="00677ABE">
        <w:rPr>
          <w:rStyle w:val="FootnoteReference"/>
          <w:rFonts w:cs="Times New Roman"/>
        </w:rPr>
        <w:footnoteReference w:id="21"/>
      </w:r>
    </w:p>
    <w:p w14:paraId="45AC77A5" w14:textId="77777777" w:rsidR="00F20B84" w:rsidRDefault="00DA4D56" w:rsidP="00CA2C0A">
      <w:pPr>
        <w:rPr>
          <w:rFonts w:cs="Times New Roman"/>
        </w:rPr>
      </w:pPr>
      <w:r w:rsidRPr="00677ABE">
        <w:rPr>
          <w:rFonts w:cs="Times New Roman"/>
          <w:lang w:eastAsia="x-none"/>
        </w:rPr>
        <w:tab/>
      </w:r>
      <w:r w:rsidRPr="00677ABE">
        <w:rPr>
          <w:rFonts w:cs="Times New Roman"/>
        </w:rPr>
        <w:t>Blue Coat argued that even if the claims are directed to a new idea, they are still abstract because “they do not sufficiently describe how to implement that idea.”</w:t>
      </w:r>
      <w:r w:rsidRPr="00677ABE">
        <w:rPr>
          <w:rStyle w:val="FootnoteReference"/>
          <w:rFonts w:cs="Times New Roman"/>
        </w:rPr>
        <w:footnoteReference w:id="22"/>
      </w:r>
      <w:r w:rsidRPr="00677ABE">
        <w:rPr>
          <w:rFonts w:cs="Times New Roman"/>
        </w:rPr>
        <w:t xml:space="preserve"> The court agreed that the cases Blue Coat cited in support of its argument “hearken back to a foundational patent law principle: that a result, even an innovative result, is not itself patentable.”</w:t>
      </w:r>
      <w:r w:rsidRPr="00677ABE">
        <w:rPr>
          <w:rStyle w:val="FootnoteReference"/>
          <w:rFonts w:cs="Times New Roman"/>
        </w:rPr>
        <w:footnoteReference w:id="23"/>
      </w:r>
      <w:r w:rsidRPr="00677ABE">
        <w:rPr>
          <w:rFonts w:cs="Times New Roman"/>
        </w:rPr>
        <w:t xml:space="preserve"> But here, the Court concluded that the claims do not merely recite a result but rather “recite specific steps” to accomplish that result, though it was awfully vague on what those specific steps were.</w:t>
      </w:r>
      <w:r w:rsidRPr="00677ABE">
        <w:rPr>
          <w:rStyle w:val="FootnoteReference"/>
          <w:rFonts w:cs="Times New Roman"/>
        </w:rPr>
        <w:footnoteReference w:id="24"/>
      </w:r>
      <w:r w:rsidRPr="00677ABE">
        <w:rPr>
          <w:rFonts w:cs="Times New Roman"/>
        </w:rPr>
        <w:t xml:space="preserve"> Furthermore, “there is no contention that the only thing disclosed is the result and not an inventive arrangement for accomplishing the result.”</w:t>
      </w:r>
      <w:r w:rsidRPr="00677ABE">
        <w:rPr>
          <w:rStyle w:val="FootnoteReference"/>
          <w:rFonts w:cs="Times New Roman"/>
        </w:rPr>
        <w:footnoteReference w:id="25"/>
      </w:r>
    </w:p>
    <w:p w14:paraId="7FDA0856" w14:textId="6FAA23DA" w:rsidR="006F6DF9" w:rsidRPr="00F20B84" w:rsidRDefault="00FE779D" w:rsidP="00F20B84">
      <w:pPr>
        <w:pStyle w:val="Heading3"/>
        <w:ind w:firstLine="0"/>
        <w:rPr>
          <w:rFonts w:cs="Times New Roman"/>
          <w:i w:val="0"/>
        </w:rPr>
      </w:pPr>
      <w:bookmarkStart w:id="12" w:name="_Toc516586524"/>
      <w:bookmarkStart w:id="13" w:name="_Toc531692716"/>
      <w:r w:rsidRPr="00677ABE">
        <w:rPr>
          <w:rFonts w:cs="Times New Roman"/>
        </w:rPr>
        <w:t>Voter Verified, Inc. v. Election Systems &amp; Software LLC</w:t>
      </w:r>
      <w:r w:rsidRPr="00677ABE">
        <w:rPr>
          <w:rFonts w:cs="Times New Roman"/>
          <w:i w:val="0"/>
        </w:rPr>
        <w:t>, 887 F.3d 1376 (Apr. 20, 2018)</w:t>
      </w:r>
      <w:bookmarkEnd w:id="12"/>
      <w:bookmarkEnd w:id="13"/>
    </w:p>
    <w:p w14:paraId="7A06A471" w14:textId="7638899D" w:rsidR="00FE779D" w:rsidRPr="00677ABE" w:rsidRDefault="00FE779D" w:rsidP="006F6DF9">
      <w:pPr>
        <w:ind w:firstLine="720"/>
        <w:rPr>
          <w:rFonts w:cs="Times New Roman"/>
        </w:rPr>
      </w:pPr>
      <w:r w:rsidRPr="00677ABE">
        <w:rPr>
          <w:rFonts w:cs="Times New Roman"/>
          <w:lang w:eastAsia="x-none"/>
        </w:rPr>
        <w:t xml:space="preserve">In this appeal </w:t>
      </w:r>
      <w:r w:rsidRPr="00677ABE">
        <w:rPr>
          <w:rFonts w:cs="Times New Roman"/>
        </w:rPr>
        <w:t xml:space="preserve">from the Northern District of Florida, the Federal Circuit affirmed the district court’s finding that the </w:t>
      </w:r>
      <w:r w:rsidR="00370148">
        <w:rPr>
          <w:rFonts w:cs="Times New Roman"/>
        </w:rPr>
        <w:t>’4</w:t>
      </w:r>
      <w:r w:rsidRPr="00677ABE">
        <w:rPr>
          <w:rFonts w:cs="Times New Roman"/>
        </w:rPr>
        <w:t xml:space="preserve">49 patent is patent-ineligible under </w:t>
      </w:r>
      <w:r w:rsidR="00AC00E6">
        <w:rPr>
          <w:rFonts w:cs="Times New Roman"/>
        </w:rPr>
        <w:t>§ </w:t>
      </w:r>
      <w:r w:rsidRPr="00677ABE">
        <w:rPr>
          <w:rFonts w:cs="Times New Roman"/>
        </w:rPr>
        <w:t>101</w:t>
      </w:r>
      <w:r w:rsidRPr="00677ABE">
        <w:rPr>
          <w:rFonts w:cs="Times New Roman"/>
          <w:lang w:eastAsia="x-none"/>
        </w:rPr>
        <w:t>.</w:t>
      </w:r>
      <w:r w:rsidRPr="00677ABE">
        <w:rPr>
          <w:rStyle w:val="FootnoteReference"/>
          <w:rFonts w:cs="Times New Roman"/>
          <w:lang w:eastAsia="x-none"/>
        </w:rPr>
        <w:footnoteReference w:id="26"/>
      </w:r>
      <w:r w:rsidRPr="00677ABE">
        <w:rPr>
          <w:rFonts w:cs="Times New Roman"/>
          <w:lang w:eastAsia="x-none"/>
        </w:rPr>
        <w:t xml:space="preserve"> </w:t>
      </w:r>
      <w:r w:rsidRPr="00677ABE">
        <w:rPr>
          <w:rFonts w:cs="Times New Roman"/>
        </w:rPr>
        <w:t xml:space="preserve">The </w:t>
      </w:r>
      <w:r w:rsidR="00370148">
        <w:rPr>
          <w:rFonts w:cs="Times New Roman"/>
        </w:rPr>
        <w:t>’4</w:t>
      </w:r>
      <w:r w:rsidRPr="00677ABE">
        <w:rPr>
          <w:rFonts w:cs="Times New Roman"/>
        </w:rPr>
        <w:t>49 patent is directed to voting methods and systems that auto-verify a voter’s ballot.</w:t>
      </w:r>
      <w:r w:rsidRPr="00677ABE">
        <w:rPr>
          <w:rStyle w:val="FootnoteReference"/>
          <w:rFonts w:cs="Times New Roman"/>
        </w:rPr>
        <w:footnoteReference w:id="27"/>
      </w:r>
      <w:r w:rsidRPr="00677ABE">
        <w:rPr>
          <w:rFonts w:cs="Times New Roman"/>
        </w:rPr>
        <w:t xml:space="preserve"> Voter Verified previously sued Election systems over infringement of the </w:t>
      </w:r>
      <w:r w:rsidR="00370148">
        <w:rPr>
          <w:rFonts w:cs="Times New Roman"/>
        </w:rPr>
        <w:t>’4</w:t>
      </w:r>
      <w:r w:rsidRPr="00677ABE">
        <w:rPr>
          <w:rFonts w:cs="Times New Roman"/>
        </w:rPr>
        <w:t>49 patent in November 2009.</w:t>
      </w:r>
      <w:r w:rsidRPr="00677ABE">
        <w:rPr>
          <w:rStyle w:val="FootnoteReference"/>
          <w:rFonts w:cs="Times New Roman"/>
        </w:rPr>
        <w:footnoteReference w:id="28"/>
      </w:r>
      <w:r w:rsidRPr="00677ABE">
        <w:rPr>
          <w:rFonts w:cs="Times New Roman"/>
        </w:rPr>
        <w:t xml:space="preserve"> The district court determined then that certain claims of the </w:t>
      </w:r>
      <w:r w:rsidR="00370148">
        <w:rPr>
          <w:rFonts w:cs="Times New Roman"/>
        </w:rPr>
        <w:t>’4</w:t>
      </w:r>
      <w:r w:rsidRPr="00677ABE">
        <w:rPr>
          <w:rFonts w:cs="Times New Roman"/>
        </w:rPr>
        <w:t xml:space="preserve">49 patent were not infringed; the court also found that the claims were not invalid under </w:t>
      </w:r>
      <w:r w:rsidR="00AC00E6">
        <w:rPr>
          <w:rFonts w:cs="Times New Roman"/>
        </w:rPr>
        <w:t>§ </w:t>
      </w:r>
      <w:r w:rsidRPr="00677ABE">
        <w:rPr>
          <w:rFonts w:cs="Times New Roman"/>
        </w:rPr>
        <w:t xml:space="preserve">101 because Election Systems failed to present any arguments or evidence regarding </w:t>
      </w:r>
      <w:r w:rsidRPr="00677ABE">
        <w:rPr>
          <w:rFonts w:cs="Times New Roman"/>
        </w:rPr>
        <w:lastRenderedPageBreak/>
        <w:t>invalidity of the claims.</w:t>
      </w:r>
      <w:r w:rsidRPr="00677ABE">
        <w:rPr>
          <w:rStyle w:val="FootnoteReference"/>
          <w:rFonts w:cs="Times New Roman"/>
        </w:rPr>
        <w:footnoteReference w:id="29"/>
      </w:r>
      <w:r w:rsidRPr="00677ABE">
        <w:rPr>
          <w:rFonts w:cs="Times New Roman"/>
        </w:rPr>
        <w:t xml:space="preserve"> On appeal in 2012, the Federal Circuit upheld the validity ruling.</w:t>
      </w:r>
      <w:r w:rsidRPr="00677ABE">
        <w:rPr>
          <w:rStyle w:val="FootnoteReference"/>
          <w:rFonts w:cs="Times New Roman"/>
        </w:rPr>
        <w:footnoteReference w:id="30"/>
      </w:r>
    </w:p>
    <w:p w14:paraId="6BDF7D2E" w14:textId="270AD338" w:rsidR="00FE779D" w:rsidRPr="00677ABE" w:rsidRDefault="00FE779D" w:rsidP="00CA2C0A">
      <w:pPr>
        <w:rPr>
          <w:rFonts w:cs="Times New Roman"/>
        </w:rPr>
      </w:pPr>
      <w:r w:rsidRPr="00677ABE">
        <w:rPr>
          <w:rFonts w:cs="Times New Roman"/>
          <w:lang w:eastAsia="x-none"/>
        </w:rPr>
        <w:tab/>
      </w:r>
      <w:r w:rsidRPr="00677ABE">
        <w:rPr>
          <w:rFonts w:cs="Times New Roman"/>
        </w:rPr>
        <w:t xml:space="preserve">Voter Verified sued Election Systems again, and Election Systems once again argued that the asserted claims are invalid under </w:t>
      </w:r>
      <w:r w:rsidR="00AC00E6">
        <w:rPr>
          <w:rFonts w:cs="Times New Roman"/>
        </w:rPr>
        <w:t>§ </w:t>
      </w:r>
      <w:r w:rsidRPr="00677ABE">
        <w:rPr>
          <w:rFonts w:cs="Times New Roman"/>
        </w:rPr>
        <w:t>101.</w:t>
      </w:r>
      <w:r w:rsidRPr="00677ABE">
        <w:rPr>
          <w:rStyle w:val="FootnoteReference"/>
          <w:rFonts w:cs="Times New Roman"/>
        </w:rPr>
        <w:footnoteReference w:id="31"/>
      </w:r>
      <w:r w:rsidRPr="00677ABE">
        <w:rPr>
          <w:rFonts w:cs="Times New Roman"/>
        </w:rPr>
        <w:t xml:space="preserve"> This time, the Federal Circuit agreed.</w:t>
      </w:r>
      <w:r w:rsidRPr="00677ABE">
        <w:rPr>
          <w:rStyle w:val="FootnoteReference"/>
          <w:rFonts w:cs="Times New Roman"/>
        </w:rPr>
        <w:footnoteReference w:id="32"/>
      </w:r>
    </w:p>
    <w:p w14:paraId="77D250E8" w14:textId="2B0C9056" w:rsidR="00FE779D" w:rsidRPr="00677ABE" w:rsidRDefault="00FE779D" w:rsidP="00CA2C0A">
      <w:pPr>
        <w:rPr>
          <w:rFonts w:cs="Times New Roman"/>
        </w:rPr>
      </w:pPr>
      <w:r w:rsidRPr="00677ABE">
        <w:rPr>
          <w:rFonts w:cs="Times New Roman"/>
          <w:lang w:eastAsia="x-none"/>
        </w:rPr>
        <w:tab/>
      </w:r>
      <w:r w:rsidRPr="00677ABE">
        <w:rPr>
          <w:rFonts w:cs="Times New Roman"/>
          <w:b/>
          <w:lang w:eastAsia="x-none"/>
        </w:rPr>
        <w:t>Issue Preclusion</w:t>
      </w:r>
      <w:r w:rsidRPr="00677ABE">
        <w:rPr>
          <w:rFonts w:cs="Times New Roman"/>
          <w:lang w:eastAsia="x-none"/>
        </w:rPr>
        <w:t xml:space="preserve">: </w:t>
      </w:r>
      <w:r w:rsidRPr="00677ABE">
        <w:rPr>
          <w:rFonts w:cs="Times New Roman"/>
        </w:rPr>
        <w:t xml:space="preserve">The Federal Circuit found that the Supreme Court’s </w:t>
      </w:r>
      <w:r w:rsidRPr="00677ABE">
        <w:rPr>
          <w:rFonts w:cs="Times New Roman"/>
          <w:i/>
        </w:rPr>
        <w:t xml:space="preserve">Alice </w:t>
      </w:r>
      <w:r w:rsidRPr="00677ABE">
        <w:rPr>
          <w:rFonts w:cs="Times New Roman"/>
        </w:rPr>
        <w:t>decision did not constitute a substantial change in law that barred the use of issue preclusion in this case.</w:t>
      </w:r>
      <w:r w:rsidRPr="00677ABE">
        <w:rPr>
          <w:rStyle w:val="FootnoteReference"/>
          <w:rFonts w:cs="Times New Roman"/>
        </w:rPr>
        <w:footnoteReference w:id="33"/>
      </w:r>
      <w:r w:rsidRPr="00677ABE">
        <w:rPr>
          <w:rFonts w:cs="Times New Roman"/>
        </w:rPr>
        <w:t xml:space="preserve"> The court explained that the Supreme Court in </w:t>
      </w:r>
      <w:r w:rsidRPr="00677ABE">
        <w:rPr>
          <w:rFonts w:cs="Times New Roman"/>
          <w:i/>
        </w:rPr>
        <w:t xml:space="preserve">Alice </w:t>
      </w:r>
      <w:r w:rsidRPr="00677ABE">
        <w:rPr>
          <w:rFonts w:cs="Times New Roman"/>
        </w:rPr>
        <w:t xml:space="preserve">simply applied the same two-step framework that was created in </w:t>
      </w:r>
      <w:r w:rsidRPr="00677ABE">
        <w:rPr>
          <w:rFonts w:cs="Times New Roman"/>
          <w:i/>
        </w:rPr>
        <w:t>Mayo</w:t>
      </w:r>
      <w:r w:rsidRPr="00677ABE">
        <w:rPr>
          <w:rFonts w:cs="Times New Roman"/>
        </w:rPr>
        <w:t>.</w:t>
      </w:r>
      <w:r w:rsidRPr="00677ABE">
        <w:rPr>
          <w:rStyle w:val="FootnoteReference"/>
          <w:rFonts w:cs="Times New Roman"/>
        </w:rPr>
        <w:footnoteReference w:id="34"/>
      </w:r>
      <w:r w:rsidRPr="00677ABE">
        <w:rPr>
          <w:rFonts w:cs="Times New Roman"/>
        </w:rPr>
        <w:t xml:space="preserve"> And because the Federal Circuit decided the </w:t>
      </w:r>
      <w:r w:rsidR="00AC00E6">
        <w:rPr>
          <w:rFonts w:cs="Times New Roman"/>
        </w:rPr>
        <w:t>§ </w:t>
      </w:r>
      <w:r w:rsidRPr="00677ABE">
        <w:rPr>
          <w:rFonts w:cs="Times New Roman"/>
        </w:rPr>
        <w:t>101 issue in the first case post-</w:t>
      </w:r>
      <w:r w:rsidRPr="00677ABE">
        <w:rPr>
          <w:rFonts w:cs="Times New Roman"/>
          <w:i/>
        </w:rPr>
        <w:t>Mayo</w:t>
      </w:r>
      <w:r w:rsidRPr="00677ABE">
        <w:rPr>
          <w:rFonts w:cs="Times New Roman"/>
        </w:rPr>
        <w:t xml:space="preserve">, the </w:t>
      </w:r>
      <w:r w:rsidRPr="00677ABE">
        <w:rPr>
          <w:rFonts w:cs="Times New Roman"/>
          <w:i/>
        </w:rPr>
        <w:t xml:space="preserve">Mayo </w:t>
      </w:r>
      <w:r w:rsidRPr="00677ABE">
        <w:rPr>
          <w:rFonts w:cs="Times New Roman"/>
        </w:rPr>
        <w:t>decision was not intervening.</w:t>
      </w:r>
      <w:r w:rsidRPr="00677ABE">
        <w:rPr>
          <w:rStyle w:val="FootnoteReference"/>
          <w:rFonts w:cs="Times New Roman"/>
        </w:rPr>
        <w:footnoteReference w:id="35"/>
      </w:r>
      <w:r w:rsidRPr="00677ABE">
        <w:rPr>
          <w:rFonts w:cs="Times New Roman"/>
        </w:rPr>
        <w:t xml:space="preserve"> Accordingly, there was no substantial change in law between the decision in the first case and the present appeal.</w:t>
      </w:r>
      <w:r w:rsidRPr="00677ABE">
        <w:rPr>
          <w:rStyle w:val="FootnoteReference"/>
          <w:rFonts w:cs="Times New Roman"/>
        </w:rPr>
        <w:footnoteReference w:id="36"/>
      </w:r>
    </w:p>
    <w:p w14:paraId="5A76D695" w14:textId="6CFBF8CC" w:rsidR="00FE779D" w:rsidRPr="00677ABE" w:rsidRDefault="00FE779D" w:rsidP="00CA2C0A">
      <w:pPr>
        <w:rPr>
          <w:rFonts w:cs="Times New Roman"/>
        </w:rPr>
      </w:pPr>
      <w:r w:rsidRPr="00677ABE">
        <w:rPr>
          <w:rFonts w:cs="Times New Roman"/>
          <w:lang w:eastAsia="x-none"/>
        </w:rPr>
        <w:tab/>
      </w:r>
      <w:r w:rsidRPr="00677ABE">
        <w:rPr>
          <w:rFonts w:cs="Times New Roman"/>
        </w:rPr>
        <w:t>Nevertheless, the Federal Circuit determined that issue preclusion did not apply in this case.</w:t>
      </w:r>
      <w:r w:rsidRPr="00677ABE">
        <w:rPr>
          <w:rStyle w:val="FootnoteReference"/>
          <w:rFonts w:cs="Times New Roman"/>
        </w:rPr>
        <w:footnoteReference w:id="37"/>
      </w:r>
      <w:r w:rsidRPr="00677ABE">
        <w:rPr>
          <w:rFonts w:cs="Times New Roman"/>
        </w:rPr>
        <w:t xml:space="preserve"> First, the </w:t>
      </w:r>
      <w:r w:rsidR="00AC00E6">
        <w:rPr>
          <w:rFonts w:cs="Times New Roman"/>
        </w:rPr>
        <w:t>§ </w:t>
      </w:r>
      <w:r w:rsidRPr="00677ABE">
        <w:rPr>
          <w:rFonts w:cs="Times New Roman"/>
        </w:rPr>
        <w:t xml:space="preserve">101 issue was not actually litigated in the first case. It was “barely considered,” and the district court only “disposed of the </w:t>
      </w:r>
      <w:r w:rsidR="00AC00E6">
        <w:rPr>
          <w:rFonts w:cs="Times New Roman"/>
        </w:rPr>
        <w:t>§ </w:t>
      </w:r>
      <w:r w:rsidRPr="00677ABE">
        <w:rPr>
          <w:rFonts w:cs="Times New Roman"/>
        </w:rPr>
        <w:t>101 issue when Election Systems chose not to respond.”</w:t>
      </w:r>
      <w:r w:rsidRPr="00677ABE">
        <w:rPr>
          <w:rStyle w:val="FootnoteReference"/>
          <w:rFonts w:cs="Times New Roman"/>
        </w:rPr>
        <w:footnoteReference w:id="38"/>
      </w:r>
      <w:r w:rsidRPr="00677ABE">
        <w:rPr>
          <w:rFonts w:cs="Times New Roman"/>
        </w:rPr>
        <w:t xml:space="preserve"> Second, the </w:t>
      </w:r>
      <w:r w:rsidR="00AC00E6">
        <w:rPr>
          <w:rFonts w:cs="Times New Roman"/>
        </w:rPr>
        <w:t>§ </w:t>
      </w:r>
      <w:r w:rsidRPr="00677ABE">
        <w:rPr>
          <w:rFonts w:cs="Times New Roman"/>
        </w:rPr>
        <w:t>101 determination was not necessary to the judgment of noninfringement in the first action.</w:t>
      </w:r>
      <w:r w:rsidRPr="00677ABE">
        <w:rPr>
          <w:rStyle w:val="FootnoteReference"/>
          <w:rFonts w:cs="Times New Roman"/>
        </w:rPr>
        <w:footnoteReference w:id="39"/>
      </w:r>
    </w:p>
    <w:p w14:paraId="5849BAED" w14:textId="0F3C2B32" w:rsidR="00F20B84" w:rsidRDefault="00FE779D" w:rsidP="00CA2C0A">
      <w:pPr>
        <w:rPr>
          <w:rFonts w:cs="Times New Roman"/>
          <w:lang w:eastAsia="x-none"/>
        </w:rPr>
      </w:pPr>
      <w:r w:rsidRPr="00677ABE">
        <w:rPr>
          <w:rFonts w:cs="Times New Roman"/>
          <w:lang w:eastAsia="x-none"/>
        </w:rPr>
        <w:tab/>
      </w:r>
      <w:r w:rsidRPr="00677ABE">
        <w:rPr>
          <w:rFonts w:cs="Times New Roman"/>
          <w:b/>
          <w:lang w:eastAsia="x-none"/>
        </w:rPr>
        <w:t>Section 101</w:t>
      </w:r>
      <w:r w:rsidRPr="00677ABE">
        <w:rPr>
          <w:rFonts w:cs="Times New Roman"/>
          <w:lang w:eastAsia="x-none"/>
        </w:rPr>
        <w:t xml:space="preserve">: </w:t>
      </w:r>
      <w:r w:rsidRPr="00677ABE">
        <w:rPr>
          <w:rFonts w:cs="Times New Roman"/>
        </w:rPr>
        <w:t xml:space="preserve">The Federal Circuit ultimately agreed with the district court that the asserted claims are patent-ineligible under </w:t>
      </w:r>
      <w:r w:rsidR="00AC00E6">
        <w:rPr>
          <w:rFonts w:cs="Times New Roman"/>
        </w:rPr>
        <w:t>§ </w:t>
      </w:r>
      <w:r w:rsidRPr="00677ABE">
        <w:rPr>
          <w:rFonts w:cs="Times New Roman"/>
        </w:rPr>
        <w:t>101.</w:t>
      </w:r>
      <w:r w:rsidRPr="00677ABE">
        <w:rPr>
          <w:rStyle w:val="FootnoteReference"/>
          <w:rFonts w:cs="Times New Roman"/>
        </w:rPr>
        <w:footnoteReference w:id="40"/>
      </w:r>
      <w:r w:rsidRPr="00677ABE">
        <w:rPr>
          <w:rFonts w:cs="Times New Roman"/>
        </w:rPr>
        <w:t xml:space="preserve"> Under </w:t>
      </w:r>
      <w:r w:rsidRPr="00677ABE">
        <w:rPr>
          <w:rFonts w:cs="Times New Roman"/>
          <w:i/>
        </w:rPr>
        <w:t xml:space="preserve">Alice </w:t>
      </w:r>
      <w:r w:rsidRPr="00677ABE">
        <w:rPr>
          <w:rFonts w:cs="Times New Roman"/>
        </w:rPr>
        <w:t>step one, the court determined that the claims are “drawn to the [abstract] concept of voting, verifying the vote, and submitting the vote for tabulation. Humans have performed this fundamental activity that forms the basis of our democracy for hundreds of years.”</w:t>
      </w:r>
      <w:r w:rsidRPr="00677ABE">
        <w:rPr>
          <w:rStyle w:val="FootnoteReference"/>
          <w:rFonts w:cs="Times New Roman"/>
        </w:rPr>
        <w:footnoteReference w:id="41"/>
      </w:r>
      <w:r w:rsidRPr="00677ABE">
        <w:rPr>
          <w:rFonts w:cs="Times New Roman"/>
        </w:rPr>
        <w:t xml:space="preserve"> Under </w:t>
      </w:r>
      <w:r w:rsidRPr="00677ABE">
        <w:rPr>
          <w:rFonts w:cs="Times New Roman"/>
          <w:i/>
        </w:rPr>
        <w:t xml:space="preserve">Alice </w:t>
      </w:r>
      <w:r w:rsidRPr="00677ABE">
        <w:rPr>
          <w:rFonts w:cs="Times New Roman"/>
        </w:rPr>
        <w:t>step two, the court found that the claims merely “recite the use of general purpose computers that carry out the abstract idea.”</w:t>
      </w:r>
      <w:r w:rsidRPr="00677ABE">
        <w:rPr>
          <w:rStyle w:val="FootnoteReference"/>
          <w:rFonts w:cs="Times New Roman"/>
        </w:rPr>
        <w:footnoteReference w:id="42"/>
      </w:r>
    </w:p>
    <w:p w14:paraId="6169F28B" w14:textId="473BB2DE" w:rsidR="00F20B84" w:rsidRDefault="00557C91" w:rsidP="00CA2C0A">
      <w:pPr>
        <w:pStyle w:val="Heading3"/>
        <w:ind w:firstLine="0"/>
        <w:rPr>
          <w:rFonts w:cs="Times New Roman"/>
        </w:rPr>
      </w:pPr>
      <w:bookmarkStart w:id="14" w:name="_Toc531692717"/>
      <w:r w:rsidRPr="00677ABE">
        <w:rPr>
          <w:rFonts w:cs="Times New Roman"/>
        </w:rPr>
        <w:t>BSG Tech LLC,</w:t>
      </w:r>
      <w:r w:rsidR="00712C22" w:rsidRPr="00677ABE">
        <w:rPr>
          <w:rFonts w:cs="Times New Roman"/>
        </w:rPr>
        <w:t xml:space="preserve"> v. </w:t>
      </w:r>
      <w:r w:rsidRPr="00677ABE">
        <w:rPr>
          <w:rFonts w:cs="Times New Roman"/>
        </w:rPr>
        <w:t>Buyseasons, Inc.</w:t>
      </w:r>
      <w:r w:rsidR="00C643B7" w:rsidRPr="00677ABE">
        <w:rPr>
          <w:rFonts w:cs="Times New Roman"/>
          <w:i w:val="0"/>
        </w:rPr>
        <w:t>,</w:t>
      </w:r>
      <w:r w:rsidRPr="00677ABE">
        <w:rPr>
          <w:rFonts w:cs="Times New Roman"/>
          <w:i w:val="0"/>
        </w:rPr>
        <w:t xml:space="preserve"> 899 F.3d 1281 (Fed. Cir. </w:t>
      </w:r>
      <w:r w:rsidR="002B3CF9" w:rsidRPr="00677ABE">
        <w:rPr>
          <w:rFonts w:cs="Times New Roman"/>
          <w:i w:val="0"/>
        </w:rPr>
        <w:t>Aug. </w:t>
      </w:r>
      <w:r w:rsidRPr="00677ABE">
        <w:rPr>
          <w:rFonts w:cs="Times New Roman"/>
          <w:i w:val="0"/>
        </w:rPr>
        <w:t>15, 2018)</w:t>
      </w:r>
      <w:bookmarkEnd w:id="14"/>
    </w:p>
    <w:p w14:paraId="0ACE8673" w14:textId="4649ADAE" w:rsidR="00557C91" w:rsidRPr="00677ABE" w:rsidRDefault="00557C91" w:rsidP="006F6DF9">
      <w:pPr>
        <w:ind w:firstLine="720"/>
        <w:rPr>
          <w:rFonts w:cs="Times New Roman"/>
        </w:rPr>
      </w:pPr>
      <w:r w:rsidRPr="00677ABE">
        <w:rPr>
          <w:rFonts w:cs="Times New Roman"/>
        </w:rPr>
        <w:t xml:space="preserve">In this appeal from the Eastern District of Texas, the Federal Circuit affirmed the district court’s finding that BSG’s patents were patent-ineligible under </w:t>
      </w:r>
      <w:r w:rsidR="00AC00E6">
        <w:rPr>
          <w:rFonts w:cs="Times New Roman"/>
        </w:rPr>
        <w:t>§ </w:t>
      </w:r>
      <w:r w:rsidRPr="00677ABE">
        <w:rPr>
          <w:rFonts w:cs="Times New Roman"/>
        </w:rPr>
        <w:t>101</w:t>
      </w:r>
      <w:r w:rsidR="00F565C0" w:rsidRPr="00677ABE">
        <w:rPr>
          <w:rFonts w:cs="Times New Roman"/>
        </w:rPr>
        <w:t>.</w:t>
      </w:r>
      <w:r w:rsidRPr="00677ABE">
        <w:rPr>
          <w:rStyle w:val="FootnoteReference"/>
          <w:rFonts w:cs="Times New Roman"/>
        </w:rPr>
        <w:footnoteReference w:id="43"/>
      </w:r>
      <w:r w:rsidRPr="00677ABE">
        <w:rPr>
          <w:rFonts w:cs="Times New Roman"/>
        </w:rPr>
        <w:t xml:space="preserve"> </w:t>
      </w:r>
      <w:r w:rsidR="003C246A" w:rsidRPr="00677ABE">
        <w:rPr>
          <w:rFonts w:cs="Times New Roman"/>
        </w:rPr>
        <w:lastRenderedPageBreak/>
        <w:t>“[I</w:t>
      </w:r>
      <w:r w:rsidR="00A967B5" w:rsidRPr="00677ABE">
        <w:rPr>
          <w:rFonts w:cs="Times New Roman"/>
        </w:rPr>
        <w:t>mproving]</w:t>
      </w:r>
      <w:r w:rsidR="00C643B7" w:rsidRPr="00677ABE">
        <w:rPr>
          <w:rFonts w:cs="Times New Roman"/>
        </w:rPr>
        <w:t xml:space="preserve"> the</w:t>
      </w:r>
      <w:r w:rsidR="00A967B5" w:rsidRPr="00677ABE">
        <w:rPr>
          <w:rFonts w:cs="Times New Roman"/>
        </w:rPr>
        <w:t xml:space="preserve"> information stored by a database is not equivalent to [improving] the database's functionality.”</w:t>
      </w:r>
      <w:r w:rsidR="00A967B5" w:rsidRPr="00677ABE">
        <w:rPr>
          <w:rStyle w:val="FootnoteReference"/>
          <w:rFonts w:cs="Times New Roman"/>
        </w:rPr>
        <w:footnoteReference w:id="44"/>
      </w:r>
      <w:r w:rsidR="00AC00E6">
        <w:rPr>
          <w:rFonts w:cs="Times New Roman"/>
        </w:rPr>
        <w:t xml:space="preserve"> </w:t>
      </w:r>
    </w:p>
    <w:p w14:paraId="3008A27D" w14:textId="51C3E785" w:rsidR="00557C91" w:rsidRPr="00677ABE" w:rsidRDefault="00557C91" w:rsidP="00CA2C0A">
      <w:pPr>
        <w:ind w:firstLine="720"/>
        <w:rPr>
          <w:rFonts w:cs="Times New Roman"/>
        </w:rPr>
      </w:pPr>
      <w:r w:rsidRPr="00677ABE">
        <w:rPr>
          <w:rFonts w:cs="Times New Roman"/>
        </w:rPr>
        <w:t xml:space="preserve">The case concerned three patents disclosing </w:t>
      </w:r>
      <w:r w:rsidR="00246C26" w:rsidRPr="00677ABE">
        <w:rPr>
          <w:rFonts w:cs="Times New Roman"/>
        </w:rPr>
        <w:t>a database indexing system</w:t>
      </w:r>
      <w:r w:rsidRPr="00677ABE">
        <w:rPr>
          <w:rFonts w:cs="Times New Roman"/>
        </w:rPr>
        <w:t xml:space="preserve"> </w:t>
      </w:r>
      <w:r w:rsidR="00246C26" w:rsidRPr="00677ABE">
        <w:rPr>
          <w:rFonts w:cs="Times New Roman"/>
        </w:rPr>
        <w:t>wherein</w:t>
      </w:r>
      <w:r w:rsidRPr="00677ABE">
        <w:rPr>
          <w:rFonts w:cs="Times New Roman"/>
        </w:rPr>
        <w:t xml:space="preserve"> users set parameters while seeing a summary of </w:t>
      </w:r>
      <w:r w:rsidR="0021426E" w:rsidRPr="00677ABE">
        <w:rPr>
          <w:rFonts w:cs="Times New Roman"/>
        </w:rPr>
        <w:t>parameters</w:t>
      </w:r>
      <w:r w:rsidRPr="00677ABE">
        <w:rPr>
          <w:rFonts w:cs="Times New Roman"/>
        </w:rPr>
        <w:t xml:space="preserve"> used by others.</w:t>
      </w:r>
      <w:r w:rsidRPr="00677ABE">
        <w:rPr>
          <w:rStyle w:val="FootnoteReference"/>
          <w:rFonts w:cs="Times New Roman"/>
        </w:rPr>
        <w:footnoteReference w:id="45"/>
      </w:r>
      <w:r w:rsidRPr="00677ABE">
        <w:rPr>
          <w:rFonts w:cs="Times New Roman"/>
        </w:rPr>
        <w:t xml:space="preserve"> </w:t>
      </w:r>
      <w:r w:rsidR="00716002" w:rsidRPr="00677ABE">
        <w:rPr>
          <w:rFonts w:cs="Times New Roman"/>
        </w:rPr>
        <w:t xml:space="preserve">Applying the </w:t>
      </w:r>
      <w:r w:rsidR="0021426E" w:rsidRPr="00677ABE">
        <w:rPr>
          <w:rFonts w:cs="Times New Roman"/>
        </w:rPr>
        <w:t xml:space="preserve">two-step </w:t>
      </w:r>
      <w:r w:rsidR="0021426E" w:rsidRPr="00677ABE">
        <w:rPr>
          <w:rFonts w:cs="Times New Roman"/>
          <w:i/>
        </w:rPr>
        <w:t xml:space="preserve">Alice </w:t>
      </w:r>
      <w:r w:rsidR="0021426E" w:rsidRPr="00677ABE">
        <w:rPr>
          <w:rFonts w:cs="Times New Roman"/>
        </w:rPr>
        <w:t>test</w:t>
      </w:r>
      <w:r w:rsidR="00716002" w:rsidRPr="00677ABE">
        <w:rPr>
          <w:rFonts w:cs="Times New Roman"/>
        </w:rPr>
        <w:t xml:space="preserve"> for patent eligibility under </w:t>
      </w:r>
      <w:r w:rsidR="00AC00E6">
        <w:rPr>
          <w:rFonts w:cs="Times New Roman"/>
        </w:rPr>
        <w:t>§ </w:t>
      </w:r>
      <w:r w:rsidR="00716002" w:rsidRPr="00677ABE">
        <w:rPr>
          <w:rFonts w:cs="Times New Roman"/>
        </w:rPr>
        <w:t>101,</w:t>
      </w:r>
      <w:r w:rsidR="00716002" w:rsidRPr="00677ABE">
        <w:rPr>
          <w:rStyle w:val="FootnoteReference"/>
          <w:rFonts w:cs="Times New Roman"/>
        </w:rPr>
        <w:t xml:space="preserve"> </w:t>
      </w:r>
      <w:r w:rsidR="0021426E" w:rsidRPr="00677ABE">
        <w:rPr>
          <w:rStyle w:val="FootnoteReference"/>
          <w:rFonts w:cs="Times New Roman"/>
        </w:rPr>
        <w:footnoteReference w:id="46"/>
      </w:r>
      <w:r w:rsidR="0021426E" w:rsidRPr="00677ABE">
        <w:rPr>
          <w:rFonts w:cs="Times New Roman"/>
        </w:rPr>
        <w:t xml:space="preserve"> </w:t>
      </w:r>
      <w:r w:rsidR="00716002" w:rsidRPr="00677ABE">
        <w:rPr>
          <w:rFonts w:cs="Times New Roman"/>
        </w:rPr>
        <w:t>t</w:t>
      </w:r>
      <w:r w:rsidRPr="00677ABE">
        <w:rPr>
          <w:rFonts w:cs="Times New Roman"/>
        </w:rPr>
        <w:t xml:space="preserve">he district court concluded the claims were </w:t>
      </w:r>
      <w:r w:rsidR="00716002" w:rsidRPr="00677ABE">
        <w:rPr>
          <w:rFonts w:cs="Times New Roman"/>
        </w:rPr>
        <w:t xml:space="preserve">first </w:t>
      </w:r>
      <w:r w:rsidRPr="00677ABE">
        <w:rPr>
          <w:rFonts w:cs="Times New Roman"/>
        </w:rPr>
        <w:t>“‘directed to the abstract idea of considering historical usage information while inputting data’ and</w:t>
      </w:r>
      <w:r w:rsidR="00716002" w:rsidRPr="00677ABE">
        <w:rPr>
          <w:rFonts w:cs="Times New Roman"/>
        </w:rPr>
        <w:t>[, second]</w:t>
      </w:r>
      <w:r w:rsidRPr="00677ABE">
        <w:rPr>
          <w:rFonts w:cs="Times New Roman"/>
        </w:rPr>
        <w:t xml:space="preserve"> lacked an inventive concept</w:t>
      </w:r>
      <w:r w:rsidR="00246C26" w:rsidRPr="00677ABE">
        <w:rPr>
          <w:rFonts w:cs="Times New Roman"/>
        </w:rPr>
        <w:t> . . . </w:t>
      </w:r>
      <w:r w:rsidRPr="00677ABE">
        <w:rPr>
          <w:rFonts w:cs="Times New Roman"/>
        </w:rPr>
        <w:t>.”</w:t>
      </w:r>
      <w:r w:rsidRPr="00677ABE">
        <w:rPr>
          <w:rStyle w:val="FootnoteReference"/>
          <w:rFonts w:cs="Times New Roman"/>
        </w:rPr>
        <w:footnoteReference w:id="47"/>
      </w:r>
    </w:p>
    <w:p w14:paraId="64AE21B9" w14:textId="2DBDFA2A" w:rsidR="00200A33" w:rsidRPr="00677ABE" w:rsidRDefault="00557C91" w:rsidP="00CA2C0A">
      <w:pPr>
        <w:ind w:firstLine="720"/>
        <w:rPr>
          <w:rFonts w:cs="Times New Roman"/>
        </w:rPr>
      </w:pPr>
      <w:r w:rsidRPr="00677ABE">
        <w:rPr>
          <w:rFonts w:cs="Times New Roman"/>
        </w:rPr>
        <w:t xml:space="preserve">On appeal, the Federal Circuit affirmed. </w:t>
      </w:r>
      <w:r w:rsidR="005C32AD" w:rsidRPr="00677ABE">
        <w:rPr>
          <w:rFonts w:cs="Times New Roman"/>
        </w:rPr>
        <w:t>T</w:t>
      </w:r>
      <w:r w:rsidRPr="00677ABE">
        <w:rPr>
          <w:rFonts w:cs="Times New Roman"/>
        </w:rPr>
        <w:t>he court found</w:t>
      </w:r>
      <w:r w:rsidR="00C63AC1" w:rsidRPr="00677ABE">
        <w:rPr>
          <w:rFonts w:cs="Times New Roman"/>
        </w:rPr>
        <w:t xml:space="preserve"> at step one</w:t>
      </w:r>
      <w:r w:rsidRPr="00677ABE">
        <w:rPr>
          <w:rFonts w:cs="Times New Roman"/>
        </w:rPr>
        <w:t xml:space="preserve"> </w:t>
      </w:r>
      <w:r w:rsidR="0035783C" w:rsidRPr="00677ABE">
        <w:rPr>
          <w:rFonts w:cs="Times New Roman"/>
        </w:rPr>
        <w:t xml:space="preserve">that </w:t>
      </w:r>
      <w:r w:rsidR="00126E31" w:rsidRPr="00677ABE">
        <w:rPr>
          <w:rFonts w:cs="Times New Roman"/>
        </w:rPr>
        <w:t xml:space="preserve">all three </w:t>
      </w:r>
      <w:r w:rsidR="00A42C32" w:rsidRPr="00677ABE">
        <w:rPr>
          <w:rFonts w:cs="Times New Roman"/>
        </w:rPr>
        <w:t>patents’</w:t>
      </w:r>
      <w:r w:rsidR="00471E92" w:rsidRPr="00677ABE">
        <w:rPr>
          <w:rFonts w:cs="Times New Roman"/>
        </w:rPr>
        <w:t xml:space="preserve"> claims</w:t>
      </w:r>
      <w:r w:rsidR="00126E31" w:rsidRPr="00677ABE">
        <w:rPr>
          <w:rFonts w:cs="Times New Roman"/>
        </w:rPr>
        <w:t xml:space="preserve"> were directed toward ineligible concepts</w:t>
      </w:r>
      <w:r w:rsidRPr="00677ABE">
        <w:rPr>
          <w:rFonts w:cs="Times New Roman"/>
        </w:rPr>
        <w:t>.</w:t>
      </w:r>
      <w:r w:rsidRPr="00677ABE">
        <w:rPr>
          <w:rStyle w:val="FootnoteReference"/>
          <w:rFonts w:cs="Times New Roman"/>
        </w:rPr>
        <w:footnoteReference w:id="48"/>
      </w:r>
      <w:r w:rsidRPr="00677ABE">
        <w:rPr>
          <w:rFonts w:cs="Times New Roman"/>
        </w:rPr>
        <w:t xml:space="preserve"> </w:t>
      </w:r>
      <w:r w:rsidR="00C63AC1" w:rsidRPr="00677ABE">
        <w:rPr>
          <w:rFonts w:cs="Times New Roman"/>
        </w:rPr>
        <w:t>This was so despite features of</w:t>
      </w:r>
      <w:r w:rsidR="009E7ADF" w:rsidRPr="00677ABE">
        <w:rPr>
          <w:rFonts w:cs="Times New Roman"/>
        </w:rPr>
        <w:t xml:space="preserve"> </w:t>
      </w:r>
      <w:r w:rsidR="008D02A8" w:rsidRPr="00677ABE">
        <w:rPr>
          <w:rFonts w:cs="Times New Roman"/>
        </w:rPr>
        <w:t xml:space="preserve">the </w:t>
      </w:r>
      <w:r w:rsidR="00370148">
        <w:rPr>
          <w:rFonts w:cs="Times New Roman"/>
        </w:rPr>
        <w:t>’6</w:t>
      </w:r>
      <w:r w:rsidR="008D02A8" w:rsidRPr="00677ABE">
        <w:rPr>
          <w:rFonts w:cs="Times New Roman"/>
        </w:rPr>
        <w:t xml:space="preserve">99 and </w:t>
      </w:r>
      <w:r w:rsidR="00370148">
        <w:rPr>
          <w:rFonts w:cs="Times New Roman"/>
        </w:rPr>
        <w:t>’2</w:t>
      </w:r>
      <w:r w:rsidR="008D02A8" w:rsidRPr="00677ABE">
        <w:rPr>
          <w:rFonts w:cs="Times New Roman"/>
        </w:rPr>
        <w:t>94 patent</w:t>
      </w:r>
      <w:r w:rsidR="00A42C32" w:rsidRPr="00677ABE">
        <w:rPr>
          <w:rFonts w:cs="Times New Roman"/>
        </w:rPr>
        <w:t xml:space="preserve">s </w:t>
      </w:r>
      <w:r w:rsidR="009E7ADF" w:rsidRPr="00677ABE">
        <w:rPr>
          <w:rFonts w:cs="Times New Roman"/>
        </w:rPr>
        <w:t>that might</w:t>
      </w:r>
      <w:r w:rsidR="00C63AC1" w:rsidRPr="00677ABE">
        <w:rPr>
          <w:rFonts w:cs="Times New Roman"/>
        </w:rPr>
        <w:t xml:space="preserve"> have</w:t>
      </w:r>
      <w:r w:rsidR="009E7ADF" w:rsidRPr="00677ABE">
        <w:rPr>
          <w:rFonts w:cs="Times New Roman"/>
        </w:rPr>
        <w:t xml:space="preserve"> suggest</w:t>
      </w:r>
      <w:r w:rsidR="00C63AC1" w:rsidRPr="00677ABE">
        <w:rPr>
          <w:rFonts w:cs="Times New Roman"/>
        </w:rPr>
        <w:t>ed</w:t>
      </w:r>
      <w:r w:rsidR="009E7ADF" w:rsidRPr="00677ABE">
        <w:rPr>
          <w:rFonts w:cs="Times New Roman"/>
        </w:rPr>
        <w:t xml:space="preserve"> otherwise</w:t>
      </w:r>
      <w:r w:rsidR="0021426E" w:rsidRPr="00677ABE">
        <w:rPr>
          <w:rFonts w:cs="Times New Roman"/>
          <w:color w:val="000000" w:themeColor="text1"/>
        </w:rPr>
        <w:t>.</w:t>
      </w:r>
      <w:r w:rsidR="0035783C" w:rsidRPr="00677ABE">
        <w:rPr>
          <w:rStyle w:val="FootnoteReference"/>
          <w:rFonts w:cs="Times New Roman"/>
          <w:color w:val="000000" w:themeColor="text1"/>
        </w:rPr>
        <w:footnoteReference w:id="49"/>
      </w:r>
      <w:r w:rsidR="0035783C" w:rsidRPr="00677ABE">
        <w:rPr>
          <w:rFonts w:cs="Times New Roman"/>
          <w:color w:val="000000" w:themeColor="text1"/>
        </w:rPr>
        <w:t xml:space="preserve"> </w:t>
      </w:r>
      <w:r w:rsidR="009E7ADF" w:rsidRPr="00677ABE">
        <w:rPr>
          <w:rFonts w:cs="Times New Roman"/>
        </w:rPr>
        <w:t>First,</w:t>
      </w:r>
      <w:r w:rsidR="0067310A" w:rsidRPr="00677ABE">
        <w:rPr>
          <w:rFonts w:cs="Times New Roman"/>
        </w:rPr>
        <w:t xml:space="preserve"> </w:t>
      </w:r>
      <w:r w:rsidR="00C63AC1" w:rsidRPr="00677ABE">
        <w:rPr>
          <w:rFonts w:cs="Times New Roman"/>
        </w:rPr>
        <w:t>the patents were not saved</w:t>
      </w:r>
      <w:r w:rsidR="008352D4" w:rsidRPr="00677ABE">
        <w:rPr>
          <w:rFonts w:cs="Times New Roman"/>
        </w:rPr>
        <w:t xml:space="preserve"> at step one </w:t>
      </w:r>
      <w:r w:rsidR="00BB0A06" w:rsidRPr="00677ABE">
        <w:rPr>
          <w:rFonts w:cs="Times New Roman"/>
        </w:rPr>
        <w:t xml:space="preserve">just </w:t>
      </w:r>
      <w:r w:rsidR="008352D4" w:rsidRPr="00677ABE">
        <w:rPr>
          <w:rFonts w:cs="Times New Roman"/>
        </w:rPr>
        <w:t xml:space="preserve">because </w:t>
      </w:r>
      <w:r w:rsidR="00C63AC1" w:rsidRPr="00677ABE">
        <w:rPr>
          <w:rFonts w:cs="Times New Roman"/>
        </w:rPr>
        <w:t>they required</w:t>
      </w:r>
      <w:r w:rsidR="003E080A" w:rsidRPr="00677ABE">
        <w:rPr>
          <w:rFonts w:cs="Times New Roman"/>
        </w:rPr>
        <w:t xml:space="preserve"> </w:t>
      </w:r>
      <w:r w:rsidR="000304B6" w:rsidRPr="00677ABE">
        <w:rPr>
          <w:rFonts w:cs="Times New Roman"/>
        </w:rPr>
        <w:t>more than a generic computer</w:t>
      </w:r>
      <w:r w:rsidR="00471E92" w:rsidRPr="00677ABE">
        <w:rPr>
          <w:rFonts w:cs="Times New Roman"/>
        </w:rPr>
        <w:t xml:space="preserve"> and generic database</w:t>
      </w:r>
      <w:r w:rsidR="003E080A" w:rsidRPr="00677ABE">
        <w:rPr>
          <w:rFonts w:cs="Times New Roman"/>
        </w:rPr>
        <w:t xml:space="preserve">; they still </w:t>
      </w:r>
      <w:r w:rsidR="00BB0A06" w:rsidRPr="00677ABE">
        <w:rPr>
          <w:rFonts w:cs="Times New Roman"/>
        </w:rPr>
        <w:t xml:space="preserve">used </w:t>
      </w:r>
      <w:r w:rsidR="007E23E1" w:rsidRPr="00677ABE">
        <w:rPr>
          <w:rFonts w:cs="Times New Roman"/>
        </w:rPr>
        <w:t xml:space="preserve">existing </w:t>
      </w:r>
      <w:r w:rsidR="00200A33" w:rsidRPr="00677ABE">
        <w:rPr>
          <w:rFonts w:cs="Times New Roman"/>
        </w:rPr>
        <w:t>machines and software elements</w:t>
      </w:r>
      <w:r w:rsidR="001A14AE" w:rsidRPr="00677ABE">
        <w:rPr>
          <w:rFonts w:cs="Times New Roman"/>
        </w:rPr>
        <w:t xml:space="preserve">, if specialized </w:t>
      </w:r>
      <w:r w:rsidR="007E23E1" w:rsidRPr="00677ABE">
        <w:rPr>
          <w:rFonts w:cs="Times New Roman"/>
        </w:rPr>
        <w:t>ones</w:t>
      </w:r>
      <w:r w:rsidR="001A14AE" w:rsidRPr="00677ABE">
        <w:rPr>
          <w:rFonts w:cs="Times New Roman"/>
        </w:rPr>
        <w:t>,</w:t>
      </w:r>
      <w:r w:rsidR="00BB0A06" w:rsidRPr="00677ABE">
        <w:rPr>
          <w:rFonts w:cs="Times New Roman"/>
        </w:rPr>
        <w:t xml:space="preserve"> to carry out abstract idea</w:t>
      </w:r>
      <w:r w:rsidR="00F167F7" w:rsidRPr="00677ABE">
        <w:rPr>
          <w:rFonts w:cs="Times New Roman"/>
        </w:rPr>
        <w:t>s</w:t>
      </w:r>
      <w:r w:rsidR="008352D4" w:rsidRPr="00677ABE">
        <w:rPr>
          <w:rFonts w:cs="Times New Roman"/>
        </w:rPr>
        <w:t>.</w:t>
      </w:r>
      <w:r w:rsidRPr="00677ABE">
        <w:rPr>
          <w:rStyle w:val="FootnoteReference"/>
          <w:rFonts w:cs="Times New Roman"/>
        </w:rPr>
        <w:footnoteReference w:id="50"/>
      </w:r>
      <w:r w:rsidRPr="00677ABE">
        <w:rPr>
          <w:rFonts w:cs="Times New Roman"/>
        </w:rPr>
        <w:t xml:space="preserve"> </w:t>
      </w:r>
      <w:r w:rsidR="008352D4" w:rsidRPr="00677ABE">
        <w:rPr>
          <w:rFonts w:cs="Times New Roman"/>
        </w:rPr>
        <w:t xml:space="preserve">Second, </w:t>
      </w:r>
      <w:r w:rsidR="00BB0A06" w:rsidRPr="00677ABE">
        <w:rPr>
          <w:rFonts w:cs="Times New Roman"/>
        </w:rPr>
        <w:t>they were</w:t>
      </w:r>
      <w:r w:rsidR="008352D4" w:rsidRPr="00677ABE">
        <w:rPr>
          <w:rFonts w:cs="Times New Roman"/>
        </w:rPr>
        <w:t xml:space="preserve"> not saved at step one</w:t>
      </w:r>
      <w:r w:rsidR="0067310A" w:rsidRPr="00677ABE">
        <w:rPr>
          <w:rFonts w:cs="Times New Roman"/>
        </w:rPr>
        <w:t xml:space="preserve"> </w:t>
      </w:r>
      <w:r w:rsidR="00BB0A06" w:rsidRPr="00677ABE">
        <w:rPr>
          <w:rFonts w:cs="Times New Roman"/>
        </w:rPr>
        <w:t xml:space="preserve">just </w:t>
      </w:r>
      <w:r w:rsidR="000040EC" w:rsidRPr="00677ABE">
        <w:rPr>
          <w:rFonts w:cs="Times New Roman"/>
        </w:rPr>
        <w:t xml:space="preserve">because </w:t>
      </w:r>
      <w:r w:rsidR="00BB0A06" w:rsidRPr="00677ABE">
        <w:rPr>
          <w:rFonts w:cs="Times New Roman"/>
        </w:rPr>
        <w:t>they</w:t>
      </w:r>
      <w:r w:rsidRPr="00677ABE">
        <w:rPr>
          <w:rFonts w:cs="Times New Roman"/>
        </w:rPr>
        <w:t xml:space="preserve"> trivially narrow</w:t>
      </w:r>
      <w:r w:rsidR="00BB0A06" w:rsidRPr="00677ABE">
        <w:rPr>
          <w:rFonts w:cs="Times New Roman"/>
        </w:rPr>
        <w:t>ed</w:t>
      </w:r>
      <w:r w:rsidR="0067310A" w:rsidRPr="00677ABE">
        <w:rPr>
          <w:rFonts w:cs="Times New Roman"/>
        </w:rPr>
        <w:t xml:space="preserve"> </w:t>
      </w:r>
      <w:r w:rsidR="00BB0A06" w:rsidRPr="00677ABE">
        <w:rPr>
          <w:rFonts w:cs="Times New Roman"/>
        </w:rPr>
        <w:t>their claims</w:t>
      </w:r>
      <w:r w:rsidR="001A14AE" w:rsidRPr="00677ABE">
        <w:rPr>
          <w:rFonts w:cs="Times New Roman"/>
        </w:rPr>
        <w:t>;</w:t>
      </w:r>
      <w:r w:rsidR="00AF6F68" w:rsidRPr="00677ABE">
        <w:rPr>
          <w:rFonts w:cs="Times New Roman"/>
        </w:rPr>
        <w:t xml:space="preserve"> the limitation to</w:t>
      </w:r>
      <w:r w:rsidR="00C63AC1" w:rsidRPr="00677ABE">
        <w:rPr>
          <w:rFonts w:cs="Times New Roman"/>
        </w:rPr>
        <w:t xml:space="preserve"> display</w:t>
      </w:r>
      <w:r w:rsidR="008352D4" w:rsidRPr="00677ABE">
        <w:rPr>
          <w:rFonts w:cs="Times New Roman"/>
        </w:rPr>
        <w:t xml:space="preserve"> previously used</w:t>
      </w:r>
      <w:r w:rsidR="009E7ADF" w:rsidRPr="00677ABE">
        <w:rPr>
          <w:rFonts w:cs="Times New Roman"/>
        </w:rPr>
        <w:t xml:space="preserve"> parameters </w:t>
      </w:r>
      <w:r w:rsidR="008352D4" w:rsidRPr="00677ABE">
        <w:rPr>
          <w:rFonts w:cs="Times New Roman"/>
        </w:rPr>
        <w:t>in</w:t>
      </w:r>
      <w:r w:rsidR="009E7ADF" w:rsidRPr="00677ABE">
        <w:rPr>
          <w:rFonts w:cs="Times New Roman"/>
        </w:rPr>
        <w:t xml:space="preserve"> a</w:t>
      </w:r>
      <w:r w:rsidRPr="00677ABE">
        <w:rPr>
          <w:rFonts w:cs="Times New Roman"/>
        </w:rPr>
        <w:t xml:space="preserve"> “summary”</w:t>
      </w:r>
      <w:r w:rsidR="007E23E1" w:rsidRPr="00677ABE">
        <w:rPr>
          <w:rFonts w:cs="Times New Roman"/>
        </w:rPr>
        <w:t xml:space="preserve"> still</w:t>
      </w:r>
      <w:r w:rsidR="001A14AE" w:rsidRPr="00677ABE">
        <w:rPr>
          <w:rFonts w:cs="Times New Roman"/>
        </w:rPr>
        <w:t xml:space="preserve"> </w:t>
      </w:r>
      <w:r w:rsidR="00F95408" w:rsidRPr="00677ABE">
        <w:rPr>
          <w:rFonts w:cs="Times New Roman"/>
        </w:rPr>
        <w:t>applied an abstract idea</w:t>
      </w:r>
      <w:r w:rsidR="00A42C32" w:rsidRPr="00677ABE">
        <w:rPr>
          <w:rFonts w:cs="Times New Roman"/>
        </w:rPr>
        <w:t xml:space="preserve"> fairly broadly</w:t>
      </w:r>
      <w:r w:rsidR="00F95408" w:rsidRPr="00677ABE">
        <w:rPr>
          <w:rFonts w:cs="Times New Roman"/>
        </w:rPr>
        <w:t>.</w:t>
      </w:r>
      <w:r w:rsidRPr="00677ABE">
        <w:rPr>
          <w:rStyle w:val="FootnoteReference"/>
          <w:rFonts w:cs="Times New Roman"/>
        </w:rPr>
        <w:footnoteReference w:id="51"/>
      </w:r>
      <w:r w:rsidRPr="00677ABE">
        <w:rPr>
          <w:rFonts w:cs="Times New Roman"/>
        </w:rPr>
        <w:t xml:space="preserve"> Third, </w:t>
      </w:r>
      <w:r w:rsidR="00F167F7" w:rsidRPr="00677ABE">
        <w:rPr>
          <w:rFonts w:cs="Times New Roman"/>
        </w:rPr>
        <w:t>the patents were not saved at step one just</w:t>
      </w:r>
      <w:r w:rsidR="005B1184" w:rsidRPr="00677ABE">
        <w:rPr>
          <w:rFonts w:cs="Times New Roman"/>
        </w:rPr>
        <w:t xml:space="preserve"> because</w:t>
      </w:r>
      <w:r w:rsidRPr="00677ABE">
        <w:rPr>
          <w:rFonts w:cs="Times New Roman"/>
        </w:rPr>
        <w:t xml:space="preserve"> </w:t>
      </w:r>
      <w:r w:rsidR="00F167F7" w:rsidRPr="00677ABE">
        <w:rPr>
          <w:rFonts w:cs="Times New Roman"/>
        </w:rPr>
        <w:t>they</w:t>
      </w:r>
      <w:r w:rsidRPr="00677ABE">
        <w:rPr>
          <w:rFonts w:cs="Times New Roman"/>
        </w:rPr>
        <w:t xml:space="preserve"> improve</w:t>
      </w:r>
      <w:r w:rsidR="00AF6F68" w:rsidRPr="00677ABE">
        <w:rPr>
          <w:rFonts w:cs="Times New Roman"/>
        </w:rPr>
        <w:t>d</w:t>
      </w:r>
      <w:r w:rsidR="00F167F7" w:rsidRPr="00677ABE">
        <w:rPr>
          <w:rFonts w:cs="Times New Roman"/>
        </w:rPr>
        <w:t xml:space="preserve"> how </w:t>
      </w:r>
      <w:r w:rsidR="00AF6F68" w:rsidRPr="00677ABE">
        <w:rPr>
          <w:rFonts w:cs="Times New Roman"/>
        </w:rPr>
        <w:t>people used an</w:t>
      </w:r>
      <w:r w:rsidRPr="00677ABE">
        <w:rPr>
          <w:rFonts w:cs="Times New Roman"/>
        </w:rPr>
        <w:t xml:space="preserve"> </w:t>
      </w:r>
      <w:r w:rsidR="0091077C" w:rsidRPr="00677ABE">
        <w:rPr>
          <w:rFonts w:cs="Times New Roman"/>
        </w:rPr>
        <w:t>existing</w:t>
      </w:r>
      <w:r w:rsidR="00F167F7" w:rsidRPr="00677ABE">
        <w:rPr>
          <w:rFonts w:cs="Times New Roman"/>
        </w:rPr>
        <w:t xml:space="preserve"> type of</w:t>
      </w:r>
      <w:r w:rsidR="00372BB2" w:rsidRPr="00677ABE">
        <w:rPr>
          <w:rFonts w:cs="Times New Roman"/>
        </w:rPr>
        <w:t xml:space="preserve"> </w:t>
      </w:r>
      <w:r w:rsidRPr="00677ABE">
        <w:rPr>
          <w:rFonts w:cs="Times New Roman"/>
        </w:rPr>
        <w:t>database</w:t>
      </w:r>
      <w:r w:rsidR="00A42C32" w:rsidRPr="00677ABE">
        <w:rPr>
          <w:rFonts w:cs="Times New Roman"/>
        </w:rPr>
        <w:t xml:space="preserve"> (one that allows users to add parameters); they still did not propose an improved structure for databases as such</w:t>
      </w:r>
      <w:r w:rsidRPr="00677ABE">
        <w:rPr>
          <w:rFonts w:cs="Times New Roman"/>
        </w:rPr>
        <w:t>.</w:t>
      </w:r>
      <w:r w:rsidRPr="00677ABE">
        <w:rPr>
          <w:rStyle w:val="FootnoteReference"/>
          <w:rFonts w:cs="Times New Roman"/>
        </w:rPr>
        <w:footnoteReference w:id="52"/>
      </w:r>
      <w:r w:rsidRPr="00677ABE">
        <w:rPr>
          <w:rFonts w:cs="Times New Roman"/>
        </w:rPr>
        <w:t xml:space="preserve"> </w:t>
      </w:r>
    </w:p>
    <w:p w14:paraId="37ACB0CB" w14:textId="65494588" w:rsidR="00F20B84" w:rsidRDefault="00557C91" w:rsidP="00CA2C0A">
      <w:pPr>
        <w:ind w:firstLine="720"/>
        <w:rPr>
          <w:rFonts w:cs="Times New Roman"/>
        </w:rPr>
      </w:pPr>
      <w:r w:rsidRPr="00677ABE">
        <w:rPr>
          <w:rFonts w:cs="Times New Roman"/>
        </w:rPr>
        <w:t xml:space="preserve">The </w:t>
      </w:r>
      <w:r w:rsidR="00370148">
        <w:rPr>
          <w:rFonts w:cs="Times New Roman"/>
        </w:rPr>
        <w:t>’6</w:t>
      </w:r>
      <w:r w:rsidRPr="00677ABE">
        <w:rPr>
          <w:rFonts w:cs="Times New Roman"/>
        </w:rPr>
        <w:t xml:space="preserve">52 patent </w:t>
      </w:r>
      <w:r w:rsidR="0002282A" w:rsidRPr="00677ABE">
        <w:rPr>
          <w:rFonts w:cs="Times New Roman"/>
        </w:rPr>
        <w:t xml:space="preserve">at first </w:t>
      </w:r>
      <w:r w:rsidRPr="00677ABE">
        <w:rPr>
          <w:rFonts w:cs="Times New Roman"/>
        </w:rPr>
        <w:t>seemed to overcome these objections</w:t>
      </w:r>
      <w:r w:rsidR="0065234C" w:rsidRPr="00677ABE">
        <w:rPr>
          <w:rFonts w:cs="Times New Roman"/>
        </w:rPr>
        <w:t>. I</w:t>
      </w:r>
      <w:r w:rsidRPr="00677ABE">
        <w:rPr>
          <w:rFonts w:cs="Times New Roman"/>
        </w:rPr>
        <w:t>t included a limitation that the user-added parameters could not modify the database structure</w:t>
      </w:r>
      <w:r w:rsidR="0065234C" w:rsidRPr="00677ABE">
        <w:rPr>
          <w:rFonts w:cs="Times New Roman"/>
        </w:rPr>
        <w:t xml:space="preserve">, </w:t>
      </w:r>
      <w:r w:rsidR="001E7DB1" w:rsidRPr="00677ABE">
        <w:rPr>
          <w:rFonts w:cs="Times New Roman"/>
        </w:rPr>
        <w:t>which</w:t>
      </w:r>
      <w:r w:rsidR="0065234C" w:rsidRPr="00677ABE">
        <w:rPr>
          <w:rFonts w:cs="Times New Roman"/>
        </w:rPr>
        <w:t xml:space="preserve"> </w:t>
      </w:r>
      <w:r w:rsidR="00591846" w:rsidRPr="00677ABE">
        <w:rPr>
          <w:rFonts w:cs="Times New Roman"/>
        </w:rPr>
        <w:t>might suggest the claim was directed towards disclosing a</w:t>
      </w:r>
      <w:r w:rsidR="00F1044A" w:rsidRPr="00677ABE">
        <w:rPr>
          <w:rFonts w:cs="Times New Roman"/>
        </w:rPr>
        <w:t xml:space="preserve"> new</w:t>
      </w:r>
      <w:r w:rsidR="00591846" w:rsidRPr="00677ABE">
        <w:rPr>
          <w:rFonts w:cs="Times New Roman"/>
        </w:rPr>
        <w:t xml:space="preserve"> type of</w:t>
      </w:r>
      <w:r w:rsidR="0065234C" w:rsidRPr="00677ABE">
        <w:rPr>
          <w:rFonts w:cs="Times New Roman"/>
        </w:rPr>
        <w:t xml:space="preserve"> </w:t>
      </w:r>
      <w:r w:rsidR="00591846" w:rsidRPr="00677ABE">
        <w:rPr>
          <w:rFonts w:cs="Times New Roman"/>
        </w:rPr>
        <w:t>structure</w:t>
      </w:r>
      <w:r w:rsidR="00F1044A" w:rsidRPr="00677ABE">
        <w:rPr>
          <w:rFonts w:cs="Times New Roman"/>
        </w:rPr>
        <w:t xml:space="preserve"> that </w:t>
      </w:r>
      <w:r w:rsidR="00A42C32" w:rsidRPr="00677ABE">
        <w:rPr>
          <w:rFonts w:cs="Times New Roman"/>
        </w:rPr>
        <w:t>could add</w:t>
      </w:r>
      <w:r w:rsidR="00F1044A" w:rsidRPr="00677ABE">
        <w:rPr>
          <w:rFonts w:cs="Times New Roman"/>
        </w:rPr>
        <w:t xml:space="preserve"> parameters without </w:t>
      </w:r>
      <w:r w:rsidR="00A42C32" w:rsidRPr="00677ABE">
        <w:rPr>
          <w:rFonts w:cs="Times New Roman"/>
        </w:rPr>
        <w:t>changing</w:t>
      </w:r>
      <w:r w:rsidR="0002282A" w:rsidRPr="00677ABE">
        <w:rPr>
          <w:rFonts w:cs="Times New Roman"/>
        </w:rPr>
        <w:t xml:space="preserve"> structure</w:t>
      </w:r>
      <w:r w:rsidR="00591846" w:rsidRPr="00677ABE">
        <w:rPr>
          <w:rFonts w:cs="Times New Roman"/>
        </w:rPr>
        <w:t xml:space="preserve">. </w:t>
      </w:r>
      <w:r w:rsidRPr="00677ABE">
        <w:rPr>
          <w:rFonts w:cs="Times New Roman"/>
        </w:rPr>
        <w:t>But the court reasoned such a database was either a subtype already understood (and so a trivial narrowing)</w:t>
      </w:r>
      <w:r w:rsidRPr="00677ABE">
        <w:rPr>
          <w:rStyle w:val="FootnoteReference"/>
          <w:rFonts w:cs="Times New Roman"/>
        </w:rPr>
        <w:footnoteReference w:id="53"/>
      </w:r>
      <w:r w:rsidRPr="00677ABE">
        <w:rPr>
          <w:rFonts w:cs="Times New Roman"/>
        </w:rPr>
        <w:t xml:space="preserve"> or a new type that was not sufficiently specified.</w:t>
      </w:r>
      <w:r w:rsidRPr="00677ABE">
        <w:rPr>
          <w:rStyle w:val="FootnoteReference"/>
          <w:rFonts w:cs="Times New Roman"/>
        </w:rPr>
        <w:footnoteReference w:id="54"/>
      </w:r>
      <w:r w:rsidRPr="00677ABE">
        <w:rPr>
          <w:rFonts w:cs="Times New Roman"/>
        </w:rPr>
        <w:t xml:space="preserve"> Moreover, because BSG alleged all three patents led to the same benefits, the court suggest</w:t>
      </w:r>
      <w:r w:rsidR="00471E92" w:rsidRPr="00677ABE">
        <w:rPr>
          <w:rFonts w:cs="Times New Roman"/>
        </w:rPr>
        <w:t>ed</w:t>
      </w:r>
      <w:r w:rsidRPr="00677ABE">
        <w:rPr>
          <w:rFonts w:cs="Times New Roman"/>
        </w:rPr>
        <w:t xml:space="preserve"> this limitation was</w:t>
      </w:r>
      <w:r w:rsidR="00471E92" w:rsidRPr="00677ABE">
        <w:rPr>
          <w:rFonts w:cs="Times New Roman"/>
        </w:rPr>
        <w:t xml:space="preserve"> either</w:t>
      </w:r>
      <w:r w:rsidRPr="00677ABE">
        <w:rPr>
          <w:rFonts w:cs="Times New Roman"/>
        </w:rPr>
        <w:t xml:space="preserve"> extraneous in the </w:t>
      </w:r>
      <w:r w:rsidR="00370148">
        <w:rPr>
          <w:rFonts w:cs="Times New Roman"/>
        </w:rPr>
        <w:t>’6</w:t>
      </w:r>
      <w:r w:rsidRPr="00677ABE">
        <w:rPr>
          <w:rFonts w:cs="Times New Roman"/>
        </w:rPr>
        <w:t>52 application or</w:t>
      </w:r>
      <w:r w:rsidR="001E7DB1" w:rsidRPr="00677ABE">
        <w:rPr>
          <w:rFonts w:cs="Times New Roman"/>
        </w:rPr>
        <w:t xml:space="preserve"> else</w:t>
      </w:r>
      <w:r w:rsidR="00471E92" w:rsidRPr="00677ABE">
        <w:rPr>
          <w:rFonts w:cs="Times New Roman"/>
        </w:rPr>
        <w:t xml:space="preserve"> </w:t>
      </w:r>
      <w:r w:rsidRPr="00677ABE">
        <w:rPr>
          <w:rFonts w:cs="Times New Roman"/>
        </w:rPr>
        <w:t>implied in the others.</w:t>
      </w:r>
      <w:r w:rsidRPr="00677ABE">
        <w:rPr>
          <w:rStyle w:val="FootnoteReference"/>
          <w:rFonts w:cs="Times New Roman"/>
        </w:rPr>
        <w:footnoteReference w:id="55"/>
      </w:r>
      <w:r w:rsidRPr="00677ABE">
        <w:rPr>
          <w:rFonts w:cs="Times New Roman"/>
        </w:rPr>
        <w:t xml:space="preserve"> </w:t>
      </w:r>
      <w:r w:rsidR="006B1803" w:rsidRPr="00677ABE">
        <w:rPr>
          <w:rFonts w:cs="Times New Roman"/>
        </w:rPr>
        <w:t>A</w:t>
      </w:r>
      <w:r w:rsidR="00471E92" w:rsidRPr="00677ABE">
        <w:rPr>
          <w:rFonts w:cs="Times New Roman"/>
        </w:rPr>
        <w:t xml:space="preserve">ll </w:t>
      </w:r>
      <w:r w:rsidRPr="00677ABE">
        <w:rPr>
          <w:rFonts w:cs="Times New Roman"/>
        </w:rPr>
        <w:t>three</w:t>
      </w:r>
      <w:r w:rsidR="00471E92" w:rsidRPr="00677ABE">
        <w:rPr>
          <w:rFonts w:cs="Times New Roman"/>
        </w:rPr>
        <w:t xml:space="preserve"> patents</w:t>
      </w:r>
      <w:r w:rsidR="0002282A" w:rsidRPr="00677ABE">
        <w:rPr>
          <w:rFonts w:cs="Times New Roman"/>
        </w:rPr>
        <w:t>’ claims</w:t>
      </w:r>
      <w:r w:rsidRPr="00677ABE">
        <w:rPr>
          <w:rFonts w:cs="Times New Roman"/>
        </w:rPr>
        <w:t xml:space="preserve"> </w:t>
      </w:r>
      <w:r w:rsidR="006B1803" w:rsidRPr="00677ABE">
        <w:rPr>
          <w:rFonts w:cs="Times New Roman"/>
        </w:rPr>
        <w:t>thus failed the first step</w:t>
      </w:r>
      <w:r w:rsidRPr="00677ABE">
        <w:rPr>
          <w:rFonts w:cs="Times New Roman"/>
        </w:rPr>
        <w:t>.</w:t>
      </w:r>
      <w:r w:rsidRPr="00677ABE">
        <w:rPr>
          <w:rStyle w:val="FootnoteReference"/>
          <w:rFonts w:cs="Times New Roman"/>
        </w:rPr>
        <w:footnoteReference w:id="56"/>
      </w:r>
      <w:r w:rsidR="00AC00E6">
        <w:rPr>
          <w:rFonts w:cs="Times New Roman"/>
        </w:rPr>
        <w:t xml:space="preserve"> </w:t>
      </w:r>
      <w:r w:rsidRPr="00677ABE">
        <w:rPr>
          <w:rFonts w:cs="Times New Roman"/>
        </w:rPr>
        <w:t xml:space="preserve">At the second </w:t>
      </w:r>
      <w:r w:rsidRPr="00677ABE">
        <w:rPr>
          <w:rFonts w:cs="Times New Roman"/>
          <w:i/>
        </w:rPr>
        <w:t>Alice</w:t>
      </w:r>
      <w:r w:rsidRPr="00677ABE">
        <w:rPr>
          <w:rFonts w:cs="Times New Roman"/>
        </w:rPr>
        <w:t xml:space="preserve"> step, the court found all three </w:t>
      </w:r>
      <w:r w:rsidR="0002282A" w:rsidRPr="00677ABE">
        <w:rPr>
          <w:rFonts w:cs="Times New Roman"/>
        </w:rPr>
        <w:t>applied</w:t>
      </w:r>
      <w:r w:rsidRPr="00677ABE">
        <w:rPr>
          <w:rFonts w:cs="Times New Roman"/>
        </w:rPr>
        <w:t xml:space="preserve"> an abstract idea using conventional techniques</w:t>
      </w:r>
      <w:r w:rsidR="006B1803" w:rsidRPr="00677ABE">
        <w:rPr>
          <w:rFonts w:cs="Times New Roman"/>
        </w:rPr>
        <w:t>—even if the idea to do so was itself unconventional</w:t>
      </w:r>
      <w:r w:rsidR="006B1803" w:rsidRPr="00677ABE">
        <w:rPr>
          <w:rStyle w:val="FootnoteReference"/>
          <w:rFonts w:cs="Times New Roman"/>
        </w:rPr>
        <w:footnoteReference w:id="57"/>
      </w:r>
      <w:r w:rsidR="006B1803" w:rsidRPr="00677ABE">
        <w:rPr>
          <w:rFonts w:cs="Times New Roman"/>
        </w:rPr>
        <w:t>—</w:t>
      </w:r>
      <w:r w:rsidRPr="00677ABE">
        <w:rPr>
          <w:rFonts w:cs="Times New Roman"/>
        </w:rPr>
        <w:t>and so did not supply a</w:t>
      </w:r>
      <w:r w:rsidR="006B1803" w:rsidRPr="00677ABE">
        <w:rPr>
          <w:rFonts w:cs="Times New Roman"/>
        </w:rPr>
        <w:t xml:space="preserve">n </w:t>
      </w:r>
      <w:r w:rsidRPr="00677ABE">
        <w:rPr>
          <w:rFonts w:cs="Times New Roman"/>
        </w:rPr>
        <w:t>inventive concept</w:t>
      </w:r>
      <w:r w:rsidR="00C7161C" w:rsidRPr="00677ABE">
        <w:rPr>
          <w:rFonts w:cs="Times New Roman"/>
        </w:rPr>
        <w:t>.</w:t>
      </w:r>
      <w:r w:rsidRPr="00677ABE">
        <w:rPr>
          <w:rStyle w:val="FootnoteReference"/>
          <w:rFonts w:cs="Times New Roman"/>
        </w:rPr>
        <w:footnoteReference w:id="58"/>
      </w:r>
      <w:r w:rsidRPr="00677ABE">
        <w:rPr>
          <w:rFonts w:cs="Times New Roman"/>
        </w:rPr>
        <w:t xml:space="preserve"> </w:t>
      </w:r>
    </w:p>
    <w:p w14:paraId="2A3A4D97" w14:textId="421FA4B9" w:rsidR="006F6DF9" w:rsidRDefault="00557C91" w:rsidP="00F20B84">
      <w:pPr>
        <w:pStyle w:val="Heading3"/>
        <w:ind w:firstLine="0"/>
        <w:rPr>
          <w:rFonts w:cs="Times New Roman"/>
        </w:rPr>
      </w:pPr>
      <w:bookmarkStart w:id="15" w:name="_Toc531692718"/>
      <w:r w:rsidRPr="00677ABE">
        <w:rPr>
          <w:rFonts w:cs="Times New Roman"/>
        </w:rPr>
        <w:lastRenderedPageBreak/>
        <w:t>SAP Am. Inc.,</w:t>
      </w:r>
      <w:r w:rsidR="00712C22" w:rsidRPr="00677ABE">
        <w:rPr>
          <w:rFonts w:cs="Times New Roman"/>
        </w:rPr>
        <w:t xml:space="preserve"> v. </w:t>
      </w:r>
      <w:r w:rsidRPr="00677ABE">
        <w:rPr>
          <w:rFonts w:cs="Times New Roman"/>
        </w:rPr>
        <w:t>Investpic, LLC</w:t>
      </w:r>
      <w:r w:rsidRPr="00677ABE">
        <w:rPr>
          <w:rFonts w:cs="Times New Roman"/>
          <w:i w:val="0"/>
        </w:rPr>
        <w:t>, 898 F.3</w:t>
      </w:r>
      <w:r w:rsidR="0029023A" w:rsidRPr="00677ABE">
        <w:rPr>
          <w:rFonts w:cs="Times New Roman"/>
          <w:i w:val="0"/>
        </w:rPr>
        <w:t xml:space="preserve">d 1161 (Fed. Cir. </w:t>
      </w:r>
      <w:r w:rsidR="002B3CF9" w:rsidRPr="00677ABE">
        <w:rPr>
          <w:rFonts w:cs="Times New Roman"/>
          <w:i w:val="0"/>
        </w:rPr>
        <w:t>Aug. </w:t>
      </w:r>
      <w:r w:rsidR="0029023A" w:rsidRPr="00677ABE">
        <w:rPr>
          <w:rFonts w:cs="Times New Roman"/>
          <w:i w:val="0"/>
        </w:rPr>
        <w:t>2, 2018)</w:t>
      </w:r>
      <w:bookmarkEnd w:id="15"/>
    </w:p>
    <w:p w14:paraId="396E6C39" w14:textId="04F7E0D1" w:rsidR="00557C91" w:rsidRPr="00677ABE" w:rsidRDefault="00557C91" w:rsidP="006F6DF9">
      <w:pPr>
        <w:ind w:firstLine="720"/>
        <w:rPr>
          <w:rFonts w:cs="Times New Roman"/>
        </w:rPr>
      </w:pPr>
      <w:r w:rsidRPr="00677ABE">
        <w:rPr>
          <w:rFonts w:cs="Times New Roman"/>
        </w:rPr>
        <w:t>In this appeal from the Northern District of Texas, the Federal Circuit affirmed a judgment on the pleadings that Investpic’s patent was invalid under</w:t>
      </w:r>
      <w:r w:rsidR="00A942E6" w:rsidRPr="00677ABE">
        <w:rPr>
          <w:rFonts w:cs="Times New Roman"/>
        </w:rPr>
        <w:t xml:space="preserve"> </w:t>
      </w:r>
      <w:r w:rsidR="00AC00E6">
        <w:rPr>
          <w:rFonts w:cs="Times New Roman"/>
        </w:rPr>
        <w:t>§ </w:t>
      </w:r>
      <w:r w:rsidRPr="00677ABE">
        <w:rPr>
          <w:rFonts w:cs="Times New Roman"/>
        </w:rPr>
        <w:t>101.</w:t>
      </w:r>
      <w:r w:rsidRPr="00677ABE">
        <w:rPr>
          <w:rStyle w:val="FootnoteReference"/>
          <w:rFonts w:cs="Times New Roman"/>
        </w:rPr>
        <w:footnoteReference w:id="59"/>
      </w:r>
      <w:r w:rsidR="0062486E" w:rsidRPr="00677ABE">
        <w:rPr>
          <w:rFonts w:cs="Times New Roman"/>
        </w:rPr>
        <w:t xml:space="preserve"> Once again, the claims did not improve computers as tools, but “use[d] computers as tools.”</w:t>
      </w:r>
      <w:r w:rsidR="0062486E" w:rsidRPr="00677ABE">
        <w:rPr>
          <w:rStyle w:val="FootnoteReference"/>
          <w:rFonts w:cs="Times New Roman"/>
        </w:rPr>
        <w:footnoteReference w:id="60"/>
      </w:r>
    </w:p>
    <w:p w14:paraId="5C3AA75D" w14:textId="0A1BEEFD" w:rsidR="00557C91" w:rsidRPr="00677ABE" w:rsidRDefault="00557C91" w:rsidP="00CA2C0A">
      <w:pPr>
        <w:rPr>
          <w:rFonts w:cs="Times New Roman"/>
        </w:rPr>
      </w:pPr>
      <w:r w:rsidRPr="00677ABE">
        <w:rPr>
          <w:rFonts w:cs="Times New Roman"/>
        </w:rPr>
        <w:tab/>
        <w:t>The case concerned Inves</w:t>
      </w:r>
      <w:r w:rsidR="00573A25" w:rsidRPr="00677ABE">
        <w:rPr>
          <w:rFonts w:cs="Times New Roman"/>
        </w:rPr>
        <w:t xml:space="preserve">tpic’s </w:t>
      </w:r>
      <w:r w:rsidR="00370148">
        <w:rPr>
          <w:rFonts w:cs="Times New Roman"/>
        </w:rPr>
        <w:t>’2</w:t>
      </w:r>
      <w:r w:rsidR="00573A25" w:rsidRPr="00677ABE">
        <w:rPr>
          <w:rFonts w:cs="Times New Roman"/>
        </w:rPr>
        <w:t>91 patent, which claimed</w:t>
      </w:r>
      <w:r w:rsidRPr="00677ABE">
        <w:rPr>
          <w:rFonts w:cs="Times New Roman"/>
        </w:rPr>
        <w:t xml:space="preserve"> </w:t>
      </w:r>
      <w:r w:rsidR="00AE2BE6" w:rsidRPr="00677ABE">
        <w:rPr>
          <w:rFonts w:cs="Times New Roman"/>
        </w:rPr>
        <w:t>an investment analysis system.</w:t>
      </w:r>
      <w:r w:rsidRPr="00677ABE">
        <w:rPr>
          <w:rFonts w:cs="Times New Roman"/>
        </w:rPr>
        <w:t xml:space="preserve"> Whereas many investing websites use a</w:t>
      </w:r>
      <w:r w:rsidR="00573A25" w:rsidRPr="00677ABE">
        <w:rPr>
          <w:rFonts w:cs="Times New Roman"/>
        </w:rPr>
        <w:t xml:space="preserve"> </w:t>
      </w:r>
      <w:r w:rsidRPr="00677ABE">
        <w:rPr>
          <w:rFonts w:cs="Times New Roman"/>
        </w:rPr>
        <w:t xml:space="preserve">normal probability distribution function to advise users, </w:t>
      </w:r>
      <w:r w:rsidR="00AE2BE6" w:rsidRPr="00677ABE">
        <w:rPr>
          <w:rFonts w:cs="Times New Roman"/>
        </w:rPr>
        <w:t>the patent proposed a</w:t>
      </w:r>
      <w:r w:rsidRPr="00677ABE">
        <w:rPr>
          <w:rFonts w:cs="Times New Roman"/>
        </w:rPr>
        <w:t xml:space="preserve"> bootstrapped sampling method.</w:t>
      </w:r>
      <w:r w:rsidRPr="00677ABE">
        <w:rPr>
          <w:rStyle w:val="FootnoteReference"/>
          <w:rFonts w:cs="Times New Roman"/>
        </w:rPr>
        <w:footnoteReference w:id="61"/>
      </w:r>
      <w:r w:rsidR="008504CF" w:rsidRPr="00677ABE">
        <w:rPr>
          <w:rFonts w:cs="Times New Roman"/>
        </w:rPr>
        <w:t xml:space="preserve"> The relevant claims</w:t>
      </w:r>
      <w:r w:rsidR="00573A25" w:rsidRPr="00677ABE">
        <w:rPr>
          <w:rStyle w:val="FootnoteReference"/>
          <w:rFonts w:cs="Times New Roman"/>
        </w:rPr>
        <w:footnoteReference w:id="62"/>
      </w:r>
      <w:r w:rsidRPr="00677ABE">
        <w:rPr>
          <w:rFonts w:cs="Times New Roman"/>
        </w:rPr>
        <w:t xml:space="preserve"> described </w:t>
      </w:r>
      <w:r w:rsidR="0062486E" w:rsidRPr="00677ABE">
        <w:rPr>
          <w:rFonts w:cs="Times New Roman"/>
        </w:rPr>
        <w:t>using</w:t>
      </w:r>
      <w:r w:rsidR="008504CF" w:rsidRPr="00677ABE">
        <w:rPr>
          <w:rFonts w:cs="Times New Roman"/>
        </w:rPr>
        <w:t xml:space="preserve"> </w:t>
      </w:r>
      <w:r w:rsidRPr="00677ABE">
        <w:rPr>
          <w:rFonts w:cs="Times New Roman"/>
        </w:rPr>
        <w:t xml:space="preserve">mathematical and statistical calculations </w:t>
      </w:r>
      <w:r w:rsidR="0062486E" w:rsidRPr="00677ABE">
        <w:rPr>
          <w:rFonts w:cs="Times New Roman"/>
        </w:rPr>
        <w:t>in conjunction with</w:t>
      </w:r>
      <w:r w:rsidR="008504CF" w:rsidRPr="00677ABE">
        <w:rPr>
          <w:rFonts w:cs="Times New Roman"/>
        </w:rPr>
        <w:t xml:space="preserve"> a</w:t>
      </w:r>
      <w:r w:rsidRPr="00677ABE">
        <w:rPr>
          <w:rFonts w:cs="Times New Roman"/>
        </w:rPr>
        <w:t xml:space="preserve">ctivities like </w:t>
      </w:r>
      <w:r w:rsidR="00573A25" w:rsidRPr="00677ABE">
        <w:rPr>
          <w:rFonts w:cs="Times New Roman"/>
        </w:rPr>
        <w:t>using</w:t>
      </w:r>
      <w:r w:rsidRPr="00677ABE">
        <w:rPr>
          <w:rFonts w:cs="Times New Roman"/>
        </w:rPr>
        <w:t xml:space="preserve"> the </w:t>
      </w:r>
      <w:r w:rsidR="00FA2147" w:rsidRPr="00677ABE">
        <w:rPr>
          <w:rFonts w:cs="Times New Roman"/>
        </w:rPr>
        <w:t>Internet</w:t>
      </w:r>
      <w:r w:rsidRPr="00677ABE">
        <w:rPr>
          <w:rFonts w:cs="Times New Roman"/>
        </w:rPr>
        <w:t>.</w:t>
      </w:r>
      <w:r w:rsidRPr="00677ABE">
        <w:rPr>
          <w:rStyle w:val="FootnoteReference"/>
          <w:rFonts w:cs="Times New Roman"/>
        </w:rPr>
        <w:footnoteReference w:id="63"/>
      </w:r>
      <w:r w:rsidR="00573A25" w:rsidRPr="00677ABE">
        <w:rPr>
          <w:rFonts w:cs="Times New Roman"/>
        </w:rPr>
        <w:t xml:space="preserve"> </w:t>
      </w:r>
      <w:r w:rsidR="008504CF" w:rsidRPr="00677ABE">
        <w:rPr>
          <w:rFonts w:cs="Times New Roman"/>
        </w:rPr>
        <w:t>T</w:t>
      </w:r>
      <w:r w:rsidR="00573A25" w:rsidRPr="00677ABE">
        <w:rPr>
          <w:rFonts w:cs="Times New Roman"/>
        </w:rPr>
        <w:t xml:space="preserve">he </w:t>
      </w:r>
      <w:r w:rsidRPr="00677ABE">
        <w:rPr>
          <w:rFonts w:cs="Times New Roman"/>
        </w:rPr>
        <w:t xml:space="preserve">district court held these ineligible under </w:t>
      </w:r>
      <w:r w:rsidR="00AC00E6">
        <w:rPr>
          <w:rFonts w:cs="Times New Roman"/>
        </w:rPr>
        <w:t>§ </w:t>
      </w:r>
      <w:r w:rsidRPr="00677ABE">
        <w:rPr>
          <w:rFonts w:cs="Times New Roman"/>
        </w:rPr>
        <w:t>101</w:t>
      </w:r>
      <w:r w:rsidR="00573A25" w:rsidRPr="00677ABE">
        <w:rPr>
          <w:rFonts w:cs="Times New Roman"/>
        </w:rPr>
        <w:t>.</w:t>
      </w:r>
    </w:p>
    <w:p w14:paraId="6BD5FF32" w14:textId="77777777" w:rsidR="00F20B84" w:rsidRDefault="00557C91" w:rsidP="00CA2C0A">
      <w:pPr>
        <w:rPr>
          <w:rFonts w:cs="Times New Roman"/>
        </w:rPr>
      </w:pPr>
      <w:r w:rsidRPr="00677ABE">
        <w:rPr>
          <w:rFonts w:cs="Times New Roman"/>
        </w:rPr>
        <w:tab/>
        <w:t xml:space="preserve">On appeal, the Federal Circuit affirmed. </w:t>
      </w:r>
      <w:r w:rsidR="00DA1EBC" w:rsidRPr="00677ABE">
        <w:rPr>
          <w:rFonts w:cs="Times New Roman"/>
        </w:rPr>
        <w:t xml:space="preserve">Under </w:t>
      </w:r>
      <w:r w:rsidRPr="00677ABE">
        <w:rPr>
          <w:rFonts w:cs="Times New Roman"/>
        </w:rPr>
        <w:t xml:space="preserve">the two-step </w:t>
      </w:r>
      <w:r w:rsidRPr="00677ABE">
        <w:rPr>
          <w:rFonts w:cs="Times New Roman"/>
          <w:i/>
        </w:rPr>
        <w:t xml:space="preserve">Alice </w:t>
      </w:r>
      <w:r w:rsidRPr="00677ABE">
        <w:rPr>
          <w:rFonts w:cs="Times New Roman"/>
        </w:rPr>
        <w:t>test, the court held the claims were directed towards abstract ideas, and lacked inventive concept.</w:t>
      </w:r>
      <w:r w:rsidRPr="00677ABE">
        <w:rPr>
          <w:rStyle w:val="FootnoteReference"/>
          <w:rFonts w:cs="Times New Roman"/>
        </w:rPr>
        <w:footnoteReference w:id="64"/>
      </w:r>
      <w:r w:rsidRPr="00677ABE">
        <w:rPr>
          <w:rFonts w:cs="Times New Roman"/>
        </w:rPr>
        <w:t xml:space="preserve"> On the first step, the claims were not directed towards “physical-realm improvement</w:t>
      </w:r>
      <w:r w:rsidR="00DA1EBC" w:rsidRPr="00677ABE">
        <w:rPr>
          <w:rFonts w:cs="Times New Roman"/>
        </w:rPr>
        <w:t>”</w:t>
      </w:r>
      <w:r w:rsidR="0062486E" w:rsidRPr="00677ABE">
        <w:rPr>
          <w:rFonts w:cs="Times New Roman"/>
        </w:rPr>
        <w:t>;</w:t>
      </w:r>
      <w:r w:rsidR="00DA1EBC" w:rsidRPr="00677ABE">
        <w:rPr>
          <w:rFonts w:cs="Times New Roman"/>
        </w:rPr>
        <w:t xml:space="preserve"> </w:t>
      </w:r>
      <w:r w:rsidR="00274655" w:rsidRPr="00677ABE">
        <w:rPr>
          <w:rFonts w:cs="Times New Roman"/>
        </w:rPr>
        <w:t>this contrasted with</w:t>
      </w:r>
      <w:r w:rsidR="00DA1EBC" w:rsidRPr="00677ABE">
        <w:rPr>
          <w:rFonts w:cs="Times New Roman"/>
        </w:rPr>
        <w:t xml:space="preserve"> </w:t>
      </w:r>
      <w:r w:rsidRPr="00677ABE">
        <w:rPr>
          <w:rFonts w:cs="Times New Roman"/>
          <w:i/>
        </w:rPr>
        <w:t>McRO, Inc.</w:t>
      </w:r>
      <w:r w:rsidRPr="00677ABE">
        <w:rPr>
          <w:rFonts w:cs="Times New Roman"/>
        </w:rPr>
        <w:t xml:space="preserve">, </w:t>
      </w:r>
      <w:r w:rsidR="00274655" w:rsidRPr="00677ABE">
        <w:rPr>
          <w:rFonts w:cs="Times New Roman"/>
        </w:rPr>
        <w:t xml:space="preserve">for instance, where </w:t>
      </w:r>
      <w:r w:rsidRPr="00677ABE">
        <w:rPr>
          <w:rFonts w:cs="Times New Roman"/>
        </w:rPr>
        <w:t xml:space="preserve">mathematical teachings were aimed at improving </w:t>
      </w:r>
      <w:r w:rsidR="00DA1EBC" w:rsidRPr="00677ABE">
        <w:rPr>
          <w:rFonts w:cs="Times New Roman"/>
        </w:rPr>
        <w:t xml:space="preserve">animated characters’ </w:t>
      </w:r>
      <w:r w:rsidRPr="00677ABE">
        <w:rPr>
          <w:rFonts w:cs="Times New Roman"/>
        </w:rPr>
        <w:t>facial expressions.</w:t>
      </w:r>
      <w:r w:rsidRPr="00677ABE">
        <w:rPr>
          <w:rStyle w:val="FootnoteReference"/>
          <w:rFonts w:cs="Times New Roman"/>
        </w:rPr>
        <w:footnoteReference w:id="65"/>
      </w:r>
      <w:r w:rsidRPr="00677ABE">
        <w:rPr>
          <w:rFonts w:cs="Times New Roman"/>
        </w:rPr>
        <w:t xml:space="preserve"> On the second step, the court held that “an invocation of already-available computers that are not themselves plausibly asserted to be an advance, for use in carrying out improved mathematical calculations” </w:t>
      </w:r>
      <w:r w:rsidR="00274655" w:rsidRPr="00677ABE">
        <w:rPr>
          <w:rFonts w:cs="Times New Roman"/>
        </w:rPr>
        <w:t>does not</w:t>
      </w:r>
      <w:r w:rsidRPr="00677ABE">
        <w:rPr>
          <w:rFonts w:cs="Times New Roman"/>
        </w:rPr>
        <w:t xml:space="preserve"> </w:t>
      </w:r>
      <w:r w:rsidR="00274655" w:rsidRPr="00677ABE">
        <w:rPr>
          <w:rFonts w:cs="Times New Roman"/>
        </w:rPr>
        <w:t>amount to an</w:t>
      </w:r>
      <w:r w:rsidRPr="00677ABE">
        <w:rPr>
          <w:rFonts w:cs="Times New Roman"/>
        </w:rPr>
        <w:t xml:space="preserve"> inventive concept but “to a recitation of what is ‘well-understood, routine, [and] conventional.’”</w:t>
      </w:r>
      <w:r w:rsidRPr="00677ABE">
        <w:rPr>
          <w:rStyle w:val="FootnoteReference"/>
          <w:rFonts w:cs="Times New Roman"/>
        </w:rPr>
        <w:footnoteReference w:id="66"/>
      </w:r>
      <w:r w:rsidR="0062486E" w:rsidRPr="00677ABE">
        <w:rPr>
          <w:rFonts w:cs="Times New Roman"/>
        </w:rPr>
        <w:t xml:space="preserve"> </w:t>
      </w:r>
    </w:p>
    <w:p w14:paraId="5C1A7B22" w14:textId="24108BEF" w:rsidR="006F6DF9" w:rsidRDefault="00557C91" w:rsidP="00F20B84">
      <w:pPr>
        <w:pStyle w:val="Heading3"/>
        <w:ind w:firstLine="0"/>
        <w:rPr>
          <w:rFonts w:cs="Times New Roman"/>
        </w:rPr>
      </w:pPr>
      <w:bookmarkStart w:id="16" w:name="_Toc531692719"/>
      <w:r w:rsidRPr="00677ABE">
        <w:rPr>
          <w:rFonts w:cs="Times New Roman"/>
        </w:rPr>
        <w:t>Interval Licensing LLC</w:t>
      </w:r>
      <w:r w:rsidR="00712C22" w:rsidRPr="00677ABE">
        <w:rPr>
          <w:rFonts w:cs="Times New Roman"/>
        </w:rPr>
        <w:t xml:space="preserve"> v. </w:t>
      </w:r>
      <w:r w:rsidRPr="00677ABE">
        <w:rPr>
          <w:rFonts w:cs="Times New Roman"/>
        </w:rPr>
        <w:t>AOL, Inc.</w:t>
      </w:r>
      <w:r w:rsidRPr="00677ABE">
        <w:rPr>
          <w:rFonts w:cs="Times New Roman"/>
          <w:i w:val="0"/>
        </w:rPr>
        <w:t xml:space="preserve">, 896 F.3d 1335 (Fed. Cir. </w:t>
      </w:r>
      <w:r w:rsidR="002B3CF9" w:rsidRPr="00677ABE">
        <w:rPr>
          <w:rFonts w:cs="Times New Roman"/>
          <w:i w:val="0"/>
        </w:rPr>
        <w:t>July </w:t>
      </w:r>
      <w:r w:rsidRPr="00677ABE">
        <w:rPr>
          <w:rFonts w:cs="Times New Roman"/>
          <w:i w:val="0"/>
        </w:rPr>
        <w:t>20, 2018)</w:t>
      </w:r>
      <w:bookmarkEnd w:id="16"/>
    </w:p>
    <w:p w14:paraId="6504EC0F" w14:textId="22CC337B" w:rsidR="00557C91" w:rsidRPr="00677ABE" w:rsidRDefault="00557C91" w:rsidP="006F6DF9">
      <w:pPr>
        <w:ind w:firstLine="720"/>
        <w:rPr>
          <w:rFonts w:cs="Times New Roman"/>
        </w:rPr>
      </w:pPr>
      <w:r w:rsidRPr="00677ABE">
        <w:rPr>
          <w:rFonts w:cs="Times New Roman"/>
        </w:rPr>
        <w:t xml:space="preserve">In this appeal from the Western District of Washington, the Federal Circuit affirmed the finding that two claims were patent ineligible under </w:t>
      </w:r>
      <w:r w:rsidR="00AC00E6">
        <w:rPr>
          <w:rFonts w:cs="Times New Roman"/>
        </w:rPr>
        <w:t>§ </w:t>
      </w:r>
      <w:r w:rsidRPr="00677ABE">
        <w:rPr>
          <w:rFonts w:cs="Times New Roman"/>
        </w:rPr>
        <w:t>101.</w:t>
      </w:r>
      <w:r w:rsidRPr="00677ABE">
        <w:rPr>
          <w:rStyle w:val="FootnoteReference"/>
          <w:rFonts w:cs="Times New Roman"/>
        </w:rPr>
        <w:footnoteReference w:id="67"/>
      </w:r>
      <w:r w:rsidRPr="00677ABE">
        <w:rPr>
          <w:rFonts w:cs="Times New Roman"/>
        </w:rPr>
        <w:t xml:space="preserve"> </w:t>
      </w:r>
    </w:p>
    <w:p w14:paraId="08E0F716" w14:textId="4D8822FF" w:rsidR="00557C91" w:rsidRPr="00677ABE" w:rsidRDefault="00557C91" w:rsidP="00CA2C0A">
      <w:pPr>
        <w:rPr>
          <w:rFonts w:cs="Times New Roman"/>
        </w:rPr>
      </w:pPr>
      <w:r w:rsidRPr="00677ABE">
        <w:rPr>
          <w:rFonts w:cs="Times New Roman"/>
        </w:rPr>
        <w:tab/>
        <w:t xml:space="preserve">The case concerned Interval’s </w:t>
      </w:r>
      <w:r w:rsidR="00370148">
        <w:rPr>
          <w:rFonts w:cs="Times New Roman"/>
        </w:rPr>
        <w:t>’6</w:t>
      </w:r>
      <w:r w:rsidRPr="00677ABE">
        <w:rPr>
          <w:rFonts w:cs="Times New Roman"/>
        </w:rPr>
        <w:t>52 patent, which covered “an attention manager” for using excess screen capacit</w:t>
      </w:r>
      <w:r w:rsidR="00B713C5" w:rsidRPr="00677ABE">
        <w:rPr>
          <w:rFonts w:cs="Times New Roman"/>
        </w:rPr>
        <w:t>y; it envisioned, for example,</w:t>
      </w:r>
      <w:r w:rsidRPr="00677ABE">
        <w:rPr>
          <w:rFonts w:cs="Times New Roman"/>
        </w:rPr>
        <w:t xml:space="preserve"> screensaver </w:t>
      </w:r>
      <w:r w:rsidR="00B713C5" w:rsidRPr="00677ABE">
        <w:rPr>
          <w:rFonts w:cs="Times New Roman"/>
        </w:rPr>
        <w:t>and</w:t>
      </w:r>
      <w:r w:rsidRPr="00677ABE">
        <w:rPr>
          <w:rFonts w:cs="Times New Roman"/>
        </w:rPr>
        <w:t xml:space="preserve"> wallpaper embodiment</w:t>
      </w:r>
      <w:r w:rsidR="00B713C5" w:rsidRPr="00677ABE">
        <w:rPr>
          <w:rFonts w:cs="Times New Roman"/>
        </w:rPr>
        <w:t>s</w:t>
      </w:r>
      <w:r w:rsidR="009E637A" w:rsidRPr="00677ABE">
        <w:rPr>
          <w:rFonts w:cs="Times New Roman"/>
        </w:rPr>
        <w:t>,</w:t>
      </w:r>
      <w:r w:rsidRPr="00677ABE">
        <w:rPr>
          <w:rStyle w:val="FootnoteReference"/>
          <w:rFonts w:cs="Times New Roman"/>
        </w:rPr>
        <w:footnoteReference w:id="68"/>
      </w:r>
      <w:r w:rsidRPr="00677ABE">
        <w:rPr>
          <w:rFonts w:cs="Times New Roman"/>
        </w:rPr>
        <w:t xml:space="preserve"> </w:t>
      </w:r>
      <w:r w:rsidR="009E637A" w:rsidRPr="00677ABE">
        <w:rPr>
          <w:rFonts w:cs="Times New Roman"/>
        </w:rPr>
        <w:t>where</w:t>
      </w:r>
      <w:r w:rsidRPr="00677ABE">
        <w:rPr>
          <w:rFonts w:cs="Times New Roman"/>
        </w:rPr>
        <w:t xml:space="preserve"> content from nearly any source </w:t>
      </w:r>
      <w:r w:rsidR="009E637A" w:rsidRPr="00677ABE">
        <w:rPr>
          <w:rFonts w:cs="Times New Roman"/>
        </w:rPr>
        <w:t>would be supplied by</w:t>
      </w:r>
      <w:r w:rsidRPr="00677ABE">
        <w:rPr>
          <w:rFonts w:cs="Times New Roman"/>
        </w:rPr>
        <w:t xml:space="preserve"> conventional methods</w:t>
      </w:r>
      <w:r w:rsidRPr="00677ABE">
        <w:rPr>
          <w:rStyle w:val="FootnoteReference"/>
          <w:rFonts w:cs="Times New Roman"/>
        </w:rPr>
        <w:footnoteReference w:id="69"/>
      </w:r>
      <w:r w:rsidRPr="00677ABE">
        <w:rPr>
          <w:rFonts w:cs="Times New Roman"/>
        </w:rPr>
        <w:t xml:space="preserve"> to nearly any device.</w:t>
      </w:r>
      <w:r w:rsidRPr="00677ABE">
        <w:rPr>
          <w:rStyle w:val="FootnoteReference"/>
          <w:rFonts w:cs="Times New Roman"/>
        </w:rPr>
        <w:footnoteReference w:id="70"/>
      </w:r>
      <w:r w:rsidRPr="00677ABE">
        <w:rPr>
          <w:rFonts w:cs="Times New Roman"/>
        </w:rPr>
        <w:t xml:space="preserve"> Applying </w:t>
      </w:r>
      <w:r w:rsidRPr="00677ABE">
        <w:rPr>
          <w:rFonts w:cs="Times New Roman"/>
          <w:i/>
        </w:rPr>
        <w:t>Alice</w:t>
      </w:r>
      <w:r w:rsidRPr="00677ABE">
        <w:rPr>
          <w:rFonts w:cs="Times New Roman"/>
        </w:rPr>
        <w:t>’s two-step test,</w:t>
      </w:r>
      <w:r w:rsidRPr="00677ABE">
        <w:rPr>
          <w:rStyle w:val="FootnoteReference"/>
          <w:rFonts w:cs="Times New Roman"/>
        </w:rPr>
        <w:footnoteReference w:id="71"/>
      </w:r>
      <w:r w:rsidRPr="00677ABE">
        <w:rPr>
          <w:rFonts w:cs="Times New Roman"/>
        </w:rPr>
        <w:t xml:space="preserve"> the district court firs</w:t>
      </w:r>
      <w:r w:rsidR="009E637A" w:rsidRPr="00677ABE">
        <w:rPr>
          <w:rFonts w:cs="Times New Roman"/>
        </w:rPr>
        <w:t xml:space="preserve">t found that these claims were </w:t>
      </w:r>
      <w:r w:rsidRPr="00677ABE">
        <w:rPr>
          <w:rFonts w:cs="Times New Roman"/>
        </w:rPr>
        <w:t xml:space="preserve">directed towards </w:t>
      </w:r>
      <w:r w:rsidR="009E637A" w:rsidRPr="00677ABE">
        <w:rPr>
          <w:rFonts w:cs="Times New Roman"/>
        </w:rPr>
        <w:t>the abstract idea of “</w:t>
      </w:r>
      <w:r w:rsidRPr="00677ABE">
        <w:rPr>
          <w:rFonts w:cs="Times New Roman"/>
        </w:rPr>
        <w:t xml:space="preserve">providing information </w:t>
      </w:r>
      <w:r w:rsidRPr="00677ABE">
        <w:rPr>
          <w:rFonts w:cs="Times New Roman"/>
        </w:rPr>
        <w:lastRenderedPageBreak/>
        <w:t>to a person without interfering with the person's primary activity.”</w:t>
      </w:r>
      <w:r w:rsidRPr="00677ABE">
        <w:rPr>
          <w:rStyle w:val="FootnoteReference"/>
          <w:rFonts w:cs="Times New Roman"/>
        </w:rPr>
        <w:footnoteReference w:id="72"/>
      </w:r>
      <w:r w:rsidRPr="00677ABE">
        <w:rPr>
          <w:rFonts w:cs="Times New Roman"/>
        </w:rPr>
        <w:t xml:space="preserve"> At the second step, the court found these claims did not include an inventive concept and were ineligible.</w:t>
      </w:r>
      <w:r w:rsidRPr="00677ABE">
        <w:rPr>
          <w:rStyle w:val="FootnoteReference"/>
          <w:rFonts w:cs="Times New Roman"/>
        </w:rPr>
        <w:footnoteReference w:id="73"/>
      </w:r>
    </w:p>
    <w:p w14:paraId="3973AF3B" w14:textId="037BE3D9" w:rsidR="00557C91" w:rsidRPr="00677ABE" w:rsidRDefault="00557C91" w:rsidP="00CA2C0A">
      <w:pPr>
        <w:rPr>
          <w:rFonts w:cs="Times New Roman"/>
        </w:rPr>
      </w:pPr>
      <w:r w:rsidRPr="00677ABE">
        <w:rPr>
          <w:rFonts w:cs="Times New Roman"/>
        </w:rPr>
        <w:tab/>
        <w:t xml:space="preserve">On appeal, the Federal Circuit </w:t>
      </w:r>
      <w:r w:rsidR="00F65C3C" w:rsidRPr="00677ABE">
        <w:rPr>
          <w:rFonts w:cs="Times New Roman"/>
        </w:rPr>
        <w:t xml:space="preserve">found the </w:t>
      </w:r>
      <w:r w:rsidRPr="00677ABE">
        <w:rPr>
          <w:rFonts w:cs="Times New Roman"/>
        </w:rPr>
        <w:t xml:space="preserve">claims </w:t>
      </w:r>
      <w:r w:rsidR="00F65C3C" w:rsidRPr="00677ABE">
        <w:rPr>
          <w:rFonts w:cs="Times New Roman"/>
        </w:rPr>
        <w:t>were directed at an ineligible concept—managing attention</w:t>
      </w:r>
      <w:r w:rsidR="00F65C3C" w:rsidRPr="00677ABE">
        <w:rPr>
          <w:rStyle w:val="FootnoteReference"/>
          <w:rFonts w:cs="Times New Roman"/>
        </w:rPr>
        <w:footnoteReference w:id="74"/>
      </w:r>
      <w:r w:rsidR="00F65C3C" w:rsidRPr="00677ABE">
        <w:rPr>
          <w:rFonts w:cs="Times New Roman"/>
        </w:rPr>
        <w:t xml:space="preserve">—and </w:t>
      </w:r>
      <w:r w:rsidRPr="00677ABE">
        <w:rPr>
          <w:rFonts w:cs="Times New Roman"/>
        </w:rPr>
        <w:t>were “so result-based that they amounted to patenting the patent-ineligible concept itself.”</w:t>
      </w:r>
      <w:r w:rsidRPr="00677ABE">
        <w:rPr>
          <w:rStyle w:val="FootnoteReference"/>
          <w:rFonts w:cs="Times New Roman"/>
        </w:rPr>
        <w:footnoteReference w:id="75"/>
      </w:r>
      <w:r w:rsidR="00F65C3C" w:rsidRPr="00677ABE">
        <w:rPr>
          <w:rFonts w:cs="Times New Roman"/>
        </w:rPr>
        <w:t xml:space="preserve"> The claim’s </w:t>
      </w:r>
      <w:r w:rsidRPr="00677ABE">
        <w:rPr>
          <w:rFonts w:cs="Times New Roman"/>
        </w:rPr>
        <w:t xml:space="preserve">limitations were </w:t>
      </w:r>
      <w:r w:rsidR="00FA23F4" w:rsidRPr="00677ABE">
        <w:rPr>
          <w:rFonts w:cs="Times New Roman"/>
        </w:rPr>
        <w:t>also</w:t>
      </w:r>
      <w:r w:rsidR="00F65C3C" w:rsidRPr="00677ABE">
        <w:rPr>
          <w:rFonts w:cs="Times New Roman"/>
        </w:rPr>
        <w:t xml:space="preserve"> </w:t>
      </w:r>
      <w:r w:rsidRPr="00677ABE">
        <w:rPr>
          <w:rFonts w:cs="Times New Roman"/>
        </w:rPr>
        <w:t>“abstract,”</w:t>
      </w:r>
      <w:r w:rsidRPr="00677ABE">
        <w:rPr>
          <w:rStyle w:val="FootnoteReference"/>
          <w:rFonts w:cs="Times New Roman"/>
        </w:rPr>
        <w:footnoteReference w:id="76"/>
      </w:r>
      <w:r w:rsidRPr="00677ABE">
        <w:rPr>
          <w:rFonts w:cs="Times New Roman"/>
        </w:rPr>
        <w:t xml:space="preserve"> and </w:t>
      </w:r>
      <w:r w:rsidR="00F65C3C" w:rsidRPr="00677ABE">
        <w:rPr>
          <w:rFonts w:cs="Times New Roman"/>
        </w:rPr>
        <w:t xml:space="preserve">failed to constrain </w:t>
      </w:r>
      <w:r w:rsidR="00FA23F4" w:rsidRPr="00677ABE">
        <w:rPr>
          <w:rFonts w:cs="Times New Roman"/>
        </w:rPr>
        <w:t>possible</w:t>
      </w:r>
      <w:r w:rsidR="00F65C3C" w:rsidRPr="00677ABE">
        <w:rPr>
          <w:rFonts w:cs="Times New Roman"/>
        </w:rPr>
        <w:t xml:space="preserve"> </w:t>
      </w:r>
      <w:r w:rsidRPr="00677ABE">
        <w:rPr>
          <w:rFonts w:cs="Times New Roman"/>
        </w:rPr>
        <w:t>embodiments.</w:t>
      </w:r>
      <w:r w:rsidRPr="00677ABE">
        <w:rPr>
          <w:rStyle w:val="FootnoteReference"/>
          <w:rFonts w:cs="Times New Roman"/>
        </w:rPr>
        <w:footnoteReference w:id="77"/>
      </w:r>
      <w:r w:rsidRPr="00677ABE">
        <w:rPr>
          <w:rFonts w:cs="Times New Roman"/>
        </w:rPr>
        <w:t xml:space="preserve"> On the second step, the court held the claims lacked an inventive concept</w:t>
      </w:r>
      <w:r w:rsidR="0033420D" w:rsidRPr="00677ABE">
        <w:rPr>
          <w:rFonts w:cs="Times New Roman"/>
        </w:rPr>
        <w:t xml:space="preserve">, </w:t>
      </w:r>
      <w:r w:rsidR="00FA23F4" w:rsidRPr="00677ABE">
        <w:rPr>
          <w:rFonts w:cs="Times New Roman"/>
        </w:rPr>
        <w:t>for</w:t>
      </w:r>
      <w:r w:rsidR="0033420D" w:rsidRPr="00677ABE">
        <w:rPr>
          <w:rFonts w:cs="Times New Roman"/>
        </w:rPr>
        <w:t xml:space="preserve"> </w:t>
      </w:r>
      <w:r w:rsidR="00FA23F4" w:rsidRPr="00677ABE">
        <w:rPr>
          <w:rFonts w:cs="Times New Roman"/>
        </w:rPr>
        <w:t>similar</w:t>
      </w:r>
      <w:r w:rsidR="0033420D" w:rsidRPr="00677ABE">
        <w:rPr>
          <w:rFonts w:cs="Times New Roman"/>
        </w:rPr>
        <w:t xml:space="preserve"> </w:t>
      </w:r>
      <w:r w:rsidR="00FA23F4" w:rsidRPr="00677ABE">
        <w:rPr>
          <w:rFonts w:cs="Times New Roman"/>
        </w:rPr>
        <w:t>reasons</w:t>
      </w:r>
      <w:r w:rsidRPr="00677ABE">
        <w:rPr>
          <w:rFonts w:cs="Times New Roman"/>
        </w:rPr>
        <w:t>.</w:t>
      </w:r>
      <w:r w:rsidRPr="00677ABE">
        <w:rPr>
          <w:rStyle w:val="FootnoteReference"/>
          <w:rFonts w:cs="Times New Roman"/>
        </w:rPr>
        <w:footnoteReference w:id="78"/>
      </w:r>
      <w:r w:rsidR="00AC00E6">
        <w:rPr>
          <w:rFonts w:cs="Times New Roman"/>
        </w:rPr>
        <w:t xml:space="preserve"> </w:t>
      </w:r>
    </w:p>
    <w:p w14:paraId="592A090D" w14:textId="4171682D" w:rsidR="00CC02EB" w:rsidRPr="00677ABE" w:rsidRDefault="00557C91" w:rsidP="00CA2C0A">
      <w:pPr>
        <w:rPr>
          <w:rFonts w:cs="Times New Roman"/>
        </w:rPr>
      </w:pPr>
      <w:r w:rsidRPr="00677ABE">
        <w:rPr>
          <w:rFonts w:cs="Times New Roman"/>
        </w:rPr>
        <w:tab/>
      </w:r>
      <w:r w:rsidR="0033420D" w:rsidRPr="00677ABE">
        <w:rPr>
          <w:rFonts w:cs="Times New Roman"/>
        </w:rPr>
        <w:t xml:space="preserve">Concurring in judgment, </w:t>
      </w:r>
      <w:r w:rsidRPr="00677ABE">
        <w:rPr>
          <w:rFonts w:cs="Times New Roman"/>
        </w:rPr>
        <w:t>Judge Plager</w:t>
      </w:r>
      <w:r w:rsidR="0033420D" w:rsidRPr="00677ABE">
        <w:rPr>
          <w:rFonts w:cs="Times New Roman"/>
        </w:rPr>
        <w:t xml:space="preserve"> nonetheless</w:t>
      </w:r>
      <w:r w:rsidRPr="00677ABE">
        <w:rPr>
          <w:rFonts w:cs="Times New Roman"/>
        </w:rPr>
        <w:t xml:space="preserve"> “dissent[ed] from our court's continued application of this incoherent body of [</w:t>
      </w:r>
      <w:r w:rsidR="00AC00E6">
        <w:rPr>
          <w:rFonts w:cs="Times New Roman"/>
        </w:rPr>
        <w:t>§ </w:t>
      </w:r>
      <w:r w:rsidR="0033420D" w:rsidRPr="00677ABE">
        <w:rPr>
          <w:rFonts w:cs="Times New Roman"/>
        </w:rPr>
        <w:t>101] doctrine.</w:t>
      </w:r>
      <w:r w:rsidRPr="00677ABE">
        <w:rPr>
          <w:rFonts w:cs="Times New Roman"/>
        </w:rPr>
        <w:t>”</w:t>
      </w:r>
      <w:r w:rsidRPr="00677ABE">
        <w:rPr>
          <w:rStyle w:val="FootnoteReference"/>
          <w:rFonts w:cs="Times New Roman"/>
        </w:rPr>
        <w:footnoteReference w:id="79"/>
      </w:r>
      <w:r w:rsidRPr="00677ABE">
        <w:rPr>
          <w:rFonts w:cs="Times New Roman"/>
        </w:rPr>
        <w:t xml:space="preserve"> </w:t>
      </w:r>
      <w:r w:rsidR="0033420D" w:rsidRPr="00677ABE">
        <w:rPr>
          <w:rFonts w:cs="Times New Roman"/>
        </w:rPr>
        <w:t>Judge Plager</w:t>
      </w:r>
      <w:r w:rsidRPr="00677ABE">
        <w:rPr>
          <w:rFonts w:cs="Times New Roman"/>
        </w:rPr>
        <w:t xml:space="preserve"> </w:t>
      </w:r>
      <w:r w:rsidR="00A87FA1" w:rsidRPr="00677ABE">
        <w:rPr>
          <w:rFonts w:cs="Times New Roman"/>
        </w:rPr>
        <w:t>described</w:t>
      </w:r>
      <w:r w:rsidRPr="00677ABE">
        <w:rPr>
          <w:rFonts w:cs="Times New Roman"/>
        </w:rPr>
        <w:t xml:space="preserve"> problems in the doctrine and</w:t>
      </w:r>
      <w:r w:rsidR="00A87FA1" w:rsidRPr="00677ABE">
        <w:rPr>
          <w:rFonts w:cs="Times New Roman"/>
        </w:rPr>
        <w:t xml:space="preserve"> then</w:t>
      </w:r>
      <w:r w:rsidRPr="00677ABE">
        <w:rPr>
          <w:rFonts w:cs="Times New Roman"/>
        </w:rPr>
        <w:t xml:space="preserve"> how to solve them</w:t>
      </w:r>
      <w:r w:rsidR="0033420D" w:rsidRPr="00677ABE">
        <w:rPr>
          <w:rFonts w:cs="Times New Roman"/>
        </w:rPr>
        <w:t xml:space="preserve">. </w:t>
      </w:r>
      <w:r w:rsidR="002527C3" w:rsidRPr="00677ABE">
        <w:rPr>
          <w:rFonts w:cs="Times New Roman"/>
        </w:rPr>
        <w:t>Regarding</w:t>
      </w:r>
      <w:r w:rsidR="00EE657B" w:rsidRPr="00677ABE">
        <w:rPr>
          <w:rFonts w:cs="Times New Roman"/>
        </w:rPr>
        <w:t xml:space="preserve"> </w:t>
      </w:r>
      <w:r w:rsidR="00EE657B" w:rsidRPr="00677ABE">
        <w:rPr>
          <w:rFonts w:cs="Times New Roman"/>
          <w:i/>
        </w:rPr>
        <w:t>Alice</w:t>
      </w:r>
      <w:r w:rsidR="00EE657B" w:rsidRPr="00677ABE">
        <w:rPr>
          <w:rFonts w:cs="Times New Roman"/>
        </w:rPr>
        <w:t xml:space="preserve">’s first step, Judge Plager </w:t>
      </w:r>
      <w:r w:rsidR="002527C3" w:rsidRPr="00677ABE">
        <w:rPr>
          <w:rFonts w:cs="Times New Roman"/>
        </w:rPr>
        <w:t>argued</w:t>
      </w:r>
      <w:r w:rsidR="00EE657B" w:rsidRPr="00677ABE">
        <w:rPr>
          <w:rFonts w:cs="Times New Roman"/>
        </w:rPr>
        <w:t xml:space="preserve"> that</w:t>
      </w:r>
      <w:r w:rsidRPr="00677ABE">
        <w:rPr>
          <w:rFonts w:cs="Times New Roman"/>
        </w:rPr>
        <w:t xml:space="preserve"> the term “[a]bstract ideas,” like the term ‘obscenity,’ may provide a cultural consensus in a given instance</w:t>
      </w:r>
      <w:r w:rsidR="00EE657B" w:rsidRPr="00677ABE">
        <w:rPr>
          <w:rFonts w:cs="Times New Roman"/>
        </w:rPr>
        <w:t>,” but it “</w:t>
      </w:r>
      <w:r w:rsidRPr="00677ABE">
        <w:rPr>
          <w:rFonts w:cs="Times New Roman"/>
        </w:rPr>
        <w:t>fails to provide the kind of specificity and clarity</w:t>
      </w:r>
      <w:r w:rsidR="00EE657B" w:rsidRPr="00677ABE">
        <w:rPr>
          <w:rFonts w:cs="Times New Roman"/>
        </w:rPr>
        <w:t>”</w:t>
      </w:r>
      <w:r w:rsidRPr="00677ABE">
        <w:rPr>
          <w:rFonts w:cs="Times New Roman"/>
        </w:rPr>
        <w:t xml:space="preserve"> </w:t>
      </w:r>
      <w:r w:rsidR="00E4212A" w:rsidRPr="00677ABE">
        <w:rPr>
          <w:rFonts w:cs="Times New Roman"/>
        </w:rPr>
        <w:t xml:space="preserve">necessary </w:t>
      </w:r>
      <w:r w:rsidR="00A87FA1" w:rsidRPr="00677ABE">
        <w:rPr>
          <w:rFonts w:cs="Times New Roman"/>
        </w:rPr>
        <w:t>for</w:t>
      </w:r>
      <w:r w:rsidR="002527C3" w:rsidRPr="00677ABE">
        <w:rPr>
          <w:rFonts w:cs="Times New Roman"/>
        </w:rPr>
        <w:t xml:space="preserve"> jurists and litigants</w:t>
      </w:r>
      <w:r w:rsidRPr="00677ABE">
        <w:rPr>
          <w:rFonts w:cs="Times New Roman"/>
        </w:rPr>
        <w:t>.</w:t>
      </w:r>
      <w:r w:rsidRPr="00677ABE">
        <w:rPr>
          <w:rStyle w:val="FootnoteReference"/>
          <w:rFonts w:cs="Times New Roman"/>
        </w:rPr>
        <w:footnoteReference w:id="80"/>
      </w:r>
      <w:r w:rsidRPr="00677ABE">
        <w:rPr>
          <w:rFonts w:cs="Times New Roman"/>
        </w:rPr>
        <w:t xml:space="preserve"> </w:t>
      </w:r>
      <w:r w:rsidR="002527C3" w:rsidRPr="00677ABE">
        <w:rPr>
          <w:rFonts w:cs="Times New Roman"/>
        </w:rPr>
        <w:t>As for</w:t>
      </w:r>
      <w:r w:rsidRPr="00677ABE">
        <w:rPr>
          <w:rFonts w:cs="Times New Roman"/>
        </w:rPr>
        <w:t xml:space="preserve"> </w:t>
      </w:r>
      <w:r w:rsidRPr="00677ABE">
        <w:rPr>
          <w:rFonts w:cs="Times New Roman"/>
          <w:i/>
        </w:rPr>
        <w:t>Alice</w:t>
      </w:r>
      <w:r w:rsidR="00EE657B" w:rsidRPr="00677ABE">
        <w:rPr>
          <w:rFonts w:cs="Times New Roman"/>
        </w:rPr>
        <w:t>’s second step</w:t>
      </w:r>
      <w:r w:rsidRPr="00677ABE">
        <w:rPr>
          <w:rFonts w:cs="Times New Roman"/>
        </w:rPr>
        <w:t xml:space="preserve">, </w:t>
      </w:r>
      <w:r w:rsidR="00EE657B" w:rsidRPr="00677ABE">
        <w:rPr>
          <w:rFonts w:cs="Times New Roman"/>
        </w:rPr>
        <w:t xml:space="preserve">Judge Plager </w:t>
      </w:r>
      <w:r w:rsidR="00E4212A" w:rsidRPr="00677ABE">
        <w:rPr>
          <w:rFonts w:cs="Times New Roman"/>
        </w:rPr>
        <w:t>argued</w:t>
      </w:r>
      <w:r w:rsidR="00A87FA1" w:rsidRPr="00677ABE">
        <w:rPr>
          <w:rFonts w:cs="Times New Roman"/>
        </w:rPr>
        <w:t xml:space="preserve"> that</w:t>
      </w:r>
      <w:r w:rsidR="00EE657B" w:rsidRPr="00677ABE">
        <w:rPr>
          <w:rFonts w:cs="Times New Roman"/>
        </w:rPr>
        <w:t xml:space="preserve"> </w:t>
      </w:r>
      <w:r w:rsidR="002527C3" w:rsidRPr="00677ABE">
        <w:rPr>
          <w:rFonts w:cs="Times New Roman"/>
        </w:rPr>
        <w:t>judges</w:t>
      </w:r>
      <w:r w:rsidR="00E4212A" w:rsidRPr="00677ABE">
        <w:rPr>
          <w:rFonts w:cs="Times New Roman"/>
        </w:rPr>
        <w:t xml:space="preserve"> </w:t>
      </w:r>
      <w:r w:rsidR="00CC02EB" w:rsidRPr="00677ABE">
        <w:rPr>
          <w:rFonts w:cs="Times New Roman"/>
        </w:rPr>
        <w:t>tasked with finding</w:t>
      </w:r>
      <w:r w:rsidR="00E4212A" w:rsidRPr="00677ABE">
        <w:rPr>
          <w:rFonts w:cs="Times New Roman"/>
        </w:rPr>
        <w:t xml:space="preserve"> an “inventive concept” </w:t>
      </w:r>
      <w:r w:rsidR="00A87FA1" w:rsidRPr="00677ABE">
        <w:rPr>
          <w:rFonts w:cs="Times New Roman"/>
        </w:rPr>
        <w:t>are asked</w:t>
      </w:r>
      <w:r w:rsidR="00E4212A" w:rsidRPr="00677ABE">
        <w:rPr>
          <w:rFonts w:cs="Times New Roman"/>
        </w:rPr>
        <w:t xml:space="preserve"> to “unabstract” what they just found abstract</w:t>
      </w:r>
      <w:r w:rsidR="00D879F5" w:rsidRPr="00677ABE">
        <w:rPr>
          <w:rFonts w:cs="Times New Roman"/>
        </w:rPr>
        <w:t>—</w:t>
      </w:r>
      <w:r w:rsidR="002527C3" w:rsidRPr="00677ABE">
        <w:rPr>
          <w:rFonts w:cs="Times New Roman"/>
        </w:rPr>
        <w:t xml:space="preserve">to </w:t>
      </w:r>
      <w:r w:rsidRPr="00677ABE">
        <w:rPr>
          <w:rFonts w:cs="Times New Roman"/>
        </w:rPr>
        <w:t>examine the</w:t>
      </w:r>
      <w:r w:rsidR="002527C3" w:rsidRPr="00677ABE">
        <w:rPr>
          <w:rFonts w:cs="Times New Roman"/>
        </w:rPr>
        <w:t xml:space="preserve"> same</w:t>
      </w:r>
      <w:r w:rsidRPr="00677ABE">
        <w:rPr>
          <w:rFonts w:cs="Times New Roman"/>
        </w:rPr>
        <w:t xml:space="preserve"> evidence while ho</w:t>
      </w:r>
      <w:r w:rsidR="002527C3" w:rsidRPr="00677ABE">
        <w:rPr>
          <w:rFonts w:cs="Times New Roman"/>
        </w:rPr>
        <w:t xml:space="preserve">ping for a </w:t>
      </w:r>
      <w:r w:rsidR="00D879F5" w:rsidRPr="00677ABE">
        <w:rPr>
          <w:rFonts w:cs="Times New Roman"/>
        </w:rPr>
        <w:t>different</w:t>
      </w:r>
      <w:r w:rsidR="002527C3" w:rsidRPr="00677ABE">
        <w:rPr>
          <w:rFonts w:cs="Times New Roman"/>
        </w:rPr>
        <w:t xml:space="preserve"> result</w:t>
      </w:r>
      <w:r w:rsidRPr="00677ABE">
        <w:rPr>
          <w:rFonts w:cs="Times New Roman"/>
        </w:rPr>
        <w:t>.</w:t>
      </w:r>
      <w:r w:rsidRPr="00677ABE">
        <w:rPr>
          <w:rStyle w:val="FootnoteReference"/>
          <w:rFonts w:cs="Times New Roman"/>
        </w:rPr>
        <w:footnoteReference w:id="81"/>
      </w:r>
      <w:r w:rsidR="002527C3" w:rsidRPr="00677ABE">
        <w:rPr>
          <w:rFonts w:cs="Times New Roman"/>
        </w:rPr>
        <w:t xml:space="preserve"> More than confusing, </w:t>
      </w:r>
      <w:r w:rsidR="00E4212A" w:rsidRPr="00677ABE">
        <w:rPr>
          <w:rFonts w:cs="Times New Roman"/>
        </w:rPr>
        <w:t xml:space="preserve">Judge Plager argued, </w:t>
      </w:r>
      <w:r w:rsidR="00CC02EB" w:rsidRPr="00677ABE">
        <w:rPr>
          <w:rFonts w:cs="Times New Roman"/>
        </w:rPr>
        <w:t xml:space="preserve">the two </w:t>
      </w:r>
      <w:r w:rsidR="00CC02EB" w:rsidRPr="00677ABE">
        <w:rPr>
          <w:rFonts w:cs="Times New Roman"/>
          <w:i/>
        </w:rPr>
        <w:t>Alice</w:t>
      </w:r>
      <w:r w:rsidR="002527C3" w:rsidRPr="00677ABE">
        <w:rPr>
          <w:rFonts w:cs="Times New Roman"/>
        </w:rPr>
        <w:t xml:space="preserve"> steps </w:t>
      </w:r>
      <w:r w:rsidR="00E4212A" w:rsidRPr="00677ABE">
        <w:rPr>
          <w:rFonts w:cs="Times New Roman"/>
        </w:rPr>
        <w:t>are</w:t>
      </w:r>
      <w:r w:rsidR="00D879F5" w:rsidRPr="00677ABE">
        <w:rPr>
          <w:rFonts w:cs="Times New Roman"/>
        </w:rPr>
        <w:t xml:space="preserve"> unnecessary: </w:t>
      </w:r>
      <w:r w:rsidRPr="00677ABE">
        <w:rPr>
          <w:rFonts w:cs="Times New Roman"/>
        </w:rPr>
        <w:t xml:space="preserve">the Patent Act’s other sections address </w:t>
      </w:r>
      <w:r w:rsidR="00CC02EB" w:rsidRPr="00677ABE">
        <w:rPr>
          <w:rFonts w:cs="Times New Roman"/>
        </w:rPr>
        <w:t>the</w:t>
      </w:r>
      <w:r w:rsidRPr="00677ABE">
        <w:rPr>
          <w:rFonts w:cs="Times New Roman"/>
        </w:rPr>
        <w:t xml:space="preserve"> same issues. For instance, the Patent Act’s architects created </w:t>
      </w:r>
      <w:r w:rsidR="00E4212A" w:rsidRPr="00677ABE">
        <w:rPr>
          <w:rFonts w:cs="Times New Roman"/>
        </w:rPr>
        <w:t xml:space="preserve">the </w:t>
      </w:r>
      <w:r w:rsidR="00AC00E6">
        <w:rPr>
          <w:rFonts w:cs="Times New Roman"/>
        </w:rPr>
        <w:t>§ </w:t>
      </w:r>
      <w:r w:rsidR="00E4212A" w:rsidRPr="00677ABE">
        <w:rPr>
          <w:rFonts w:cs="Times New Roman"/>
        </w:rPr>
        <w:t>103</w:t>
      </w:r>
      <w:r w:rsidRPr="00677ABE">
        <w:rPr>
          <w:rFonts w:cs="Times New Roman"/>
        </w:rPr>
        <w:t xml:space="preserve"> obviousness inquiry to do </w:t>
      </w:r>
      <w:r w:rsidR="00060261" w:rsidRPr="00677ABE">
        <w:rPr>
          <w:rFonts w:cs="Times New Roman"/>
        </w:rPr>
        <w:t>the work of an</w:t>
      </w:r>
      <w:r w:rsidR="00E4212A" w:rsidRPr="00677ABE">
        <w:rPr>
          <w:rFonts w:cs="Times New Roman"/>
        </w:rPr>
        <w:t xml:space="preserve"> “inventive concept” test</w:t>
      </w:r>
      <w:r w:rsidR="00D879F5" w:rsidRPr="00677ABE">
        <w:rPr>
          <w:rFonts w:cs="Times New Roman"/>
        </w:rPr>
        <w:t xml:space="preserve"> in a more reliable way</w:t>
      </w:r>
      <w:r w:rsidRPr="00677ABE">
        <w:rPr>
          <w:rFonts w:cs="Times New Roman"/>
        </w:rPr>
        <w:t>.</w:t>
      </w:r>
      <w:r w:rsidRPr="00677ABE">
        <w:rPr>
          <w:rStyle w:val="FootnoteReference"/>
          <w:rFonts w:cs="Times New Roman"/>
        </w:rPr>
        <w:footnoteReference w:id="82"/>
      </w:r>
      <w:r w:rsidRPr="00677ABE">
        <w:rPr>
          <w:rFonts w:cs="Times New Roman"/>
        </w:rPr>
        <w:t xml:space="preserve"> In </w:t>
      </w:r>
      <w:r w:rsidR="00060261" w:rsidRPr="00677ABE">
        <w:rPr>
          <w:rFonts w:cs="Times New Roman"/>
        </w:rPr>
        <w:t xml:space="preserve">short, </w:t>
      </w:r>
      <w:r w:rsidR="00AC00E6">
        <w:rPr>
          <w:rFonts w:cs="Times New Roman"/>
        </w:rPr>
        <w:t>§ </w:t>
      </w:r>
      <w:r w:rsidRPr="00677ABE">
        <w:rPr>
          <w:rFonts w:cs="Times New Roman"/>
        </w:rPr>
        <w:t>101 “defenses [have become] a shortcut way for alleged infringers to try for a quick dismissal”</w:t>
      </w:r>
      <w:r w:rsidR="00060261" w:rsidRPr="00677ABE">
        <w:rPr>
          <w:rFonts w:cs="Times New Roman"/>
        </w:rPr>
        <w:t xml:space="preserve"> </w:t>
      </w:r>
      <w:r w:rsidRPr="00677ABE">
        <w:rPr>
          <w:rFonts w:cs="Times New Roman"/>
        </w:rPr>
        <w:t>while knowing that if they lose they can undertake a “full-dress law suit” on the same questions in “§</w:t>
      </w:r>
      <w:r w:rsidR="00AC00E6">
        <w:rPr>
          <w:rFonts w:cs="Times New Roman"/>
        </w:rPr>
        <w:t>§ </w:t>
      </w:r>
      <w:r w:rsidRPr="00677ABE">
        <w:rPr>
          <w:rFonts w:cs="Times New Roman"/>
        </w:rPr>
        <w:t>102, 103, and 112.”</w:t>
      </w:r>
      <w:r w:rsidRPr="00677ABE">
        <w:rPr>
          <w:rStyle w:val="FootnoteReference"/>
          <w:rFonts w:cs="Times New Roman"/>
        </w:rPr>
        <w:footnoteReference w:id="83"/>
      </w:r>
      <w:r w:rsidR="00060261" w:rsidRPr="00677ABE">
        <w:rPr>
          <w:rFonts w:cs="Times New Roman"/>
        </w:rPr>
        <w:t xml:space="preserve"> </w:t>
      </w:r>
      <w:r w:rsidR="00CC02EB" w:rsidRPr="00677ABE">
        <w:rPr>
          <w:rFonts w:cs="Times New Roman"/>
        </w:rPr>
        <w:t>Of course</w:t>
      </w:r>
      <w:r w:rsidR="00D879F5" w:rsidRPr="00677ABE">
        <w:rPr>
          <w:rFonts w:cs="Times New Roman"/>
        </w:rPr>
        <w:t>,</w:t>
      </w:r>
      <w:r w:rsidR="00060261" w:rsidRPr="00677ABE">
        <w:rPr>
          <w:rFonts w:cs="Times New Roman"/>
        </w:rPr>
        <w:t xml:space="preserve"> </w:t>
      </w:r>
      <w:r w:rsidR="00AC00E6">
        <w:rPr>
          <w:rFonts w:cs="Times New Roman"/>
        </w:rPr>
        <w:t>§ </w:t>
      </w:r>
      <w:r w:rsidR="00060261" w:rsidRPr="00677ABE">
        <w:rPr>
          <w:rFonts w:cs="Times New Roman"/>
        </w:rPr>
        <w:t xml:space="preserve">101 </w:t>
      </w:r>
      <w:r w:rsidR="00D879F5" w:rsidRPr="00677ABE">
        <w:rPr>
          <w:rFonts w:cs="Times New Roman"/>
        </w:rPr>
        <w:t xml:space="preserve">defenses are </w:t>
      </w:r>
      <w:r w:rsidR="00CC02EB" w:rsidRPr="00677ABE">
        <w:rPr>
          <w:rFonts w:cs="Times New Roman"/>
        </w:rPr>
        <w:t xml:space="preserve">often </w:t>
      </w:r>
      <w:r w:rsidR="00D879F5" w:rsidRPr="00677ABE">
        <w:rPr>
          <w:rFonts w:cs="Times New Roman"/>
        </w:rPr>
        <w:t xml:space="preserve">decided and appealed </w:t>
      </w:r>
      <w:r w:rsidR="00060261" w:rsidRPr="00677ABE">
        <w:rPr>
          <w:rFonts w:cs="Times New Roman"/>
        </w:rPr>
        <w:t>on poorly developed records</w:t>
      </w:r>
      <w:r w:rsidR="00D879F5" w:rsidRPr="00677ABE">
        <w:rPr>
          <w:rFonts w:cs="Times New Roman"/>
        </w:rPr>
        <w:t>.</w:t>
      </w:r>
      <w:r w:rsidR="00060261" w:rsidRPr="00677ABE">
        <w:rPr>
          <w:rStyle w:val="FootnoteReference"/>
          <w:rFonts w:cs="Times New Roman"/>
        </w:rPr>
        <w:footnoteReference w:id="84"/>
      </w:r>
      <w:r w:rsidR="00CC02EB" w:rsidRPr="00677ABE">
        <w:rPr>
          <w:rFonts w:cs="Times New Roman"/>
        </w:rPr>
        <w:t xml:space="preserve"> </w:t>
      </w:r>
    </w:p>
    <w:p w14:paraId="62080D3E" w14:textId="7639D28F" w:rsidR="00F20B84" w:rsidRDefault="00557C91" w:rsidP="00CA2C0A">
      <w:pPr>
        <w:ind w:firstLine="720"/>
        <w:rPr>
          <w:rFonts w:cs="Times New Roman"/>
        </w:rPr>
      </w:pPr>
      <w:r w:rsidRPr="00677ABE">
        <w:rPr>
          <w:rFonts w:cs="Times New Roman"/>
        </w:rPr>
        <w:t>As a short-term s</w:t>
      </w:r>
      <w:r w:rsidR="00D879F5" w:rsidRPr="00677ABE">
        <w:rPr>
          <w:rFonts w:cs="Times New Roman"/>
        </w:rPr>
        <w:t>olution, Judge Plager recommended</w:t>
      </w:r>
      <w:r w:rsidRPr="00677ABE">
        <w:rPr>
          <w:rFonts w:cs="Times New Roman"/>
        </w:rPr>
        <w:t xml:space="preserve"> that judges</w:t>
      </w:r>
      <w:r w:rsidR="00A87FA1" w:rsidRPr="00677ABE">
        <w:rPr>
          <w:rFonts w:cs="Times New Roman"/>
        </w:rPr>
        <w:t xml:space="preserve"> first</w:t>
      </w:r>
      <w:r w:rsidRPr="00677ABE">
        <w:rPr>
          <w:rFonts w:cs="Times New Roman"/>
        </w:rPr>
        <w:t xml:space="preserve"> categorize </w:t>
      </w:r>
      <w:r w:rsidR="00AC00E6">
        <w:rPr>
          <w:rFonts w:cs="Times New Roman"/>
        </w:rPr>
        <w:t>§ </w:t>
      </w:r>
      <w:r w:rsidRPr="00677ABE">
        <w:rPr>
          <w:rFonts w:cs="Times New Roman"/>
        </w:rPr>
        <w:t>101 challenges as pertaining to “natural phenomena,” “laws of nature,” or “abstract ideas.”</w:t>
      </w:r>
      <w:r w:rsidRPr="00677ABE">
        <w:rPr>
          <w:rStyle w:val="FootnoteReference"/>
          <w:rFonts w:cs="Times New Roman"/>
        </w:rPr>
        <w:footnoteReference w:id="85"/>
      </w:r>
      <w:r w:rsidRPr="00677ABE">
        <w:rPr>
          <w:rFonts w:cs="Times New Roman"/>
        </w:rPr>
        <w:t xml:space="preserve"> </w:t>
      </w:r>
      <w:r w:rsidR="00CC02EB" w:rsidRPr="00677ABE">
        <w:rPr>
          <w:rFonts w:cs="Times New Roman"/>
        </w:rPr>
        <w:t>Those</w:t>
      </w:r>
      <w:r w:rsidR="00A87FA1" w:rsidRPr="00677ABE">
        <w:rPr>
          <w:rFonts w:cs="Times New Roman"/>
        </w:rPr>
        <w:t xml:space="preserve"> </w:t>
      </w:r>
      <w:r w:rsidR="00AC00E6">
        <w:rPr>
          <w:rFonts w:cs="Times New Roman"/>
        </w:rPr>
        <w:t>§ </w:t>
      </w:r>
      <w:r w:rsidR="00A87FA1" w:rsidRPr="00677ABE">
        <w:rPr>
          <w:rFonts w:cs="Times New Roman"/>
        </w:rPr>
        <w:t xml:space="preserve">101 </w:t>
      </w:r>
      <w:r w:rsidR="00CC02EB" w:rsidRPr="00677ABE">
        <w:rPr>
          <w:rFonts w:cs="Times New Roman"/>
        </w:rPr>
        <w:t>challenges that</w:t>
      </w:r>
      <w:r w:rsidR="00A87FA1" w:rsidRPr="00677ABE">
        <w:rPr>
          <w:rFonts w:cs="Times New Roman"/>
        </w:rPr>
        <w:t xml:space="preserve"> pertain</w:t>
      </w:r>
      <w:r w:rsidRPr="00677ABE">
        <w:rPr>
          <w:rFonts w:cs="Times New Roman"/>
        </w:rPr>
        <w:t xml:space="preserve"> to</w:t>
      </w:r>
      <w:r w:rsidR="00CC02EB" w:rsidRPr="00677ABE">
        <w:rPr>
          <w:rFonts w:cs="Times New Roman"/>
        </w:rPr>
        <w:t xml:space="preserve"> the first two categories might be heard first under </w:t>
      </w:r>
      <w:r w:rsidR="00CC02EB" w:rsidRPr="00677ABE">
        <w:rPr>
          <w:rFonts w:cs="Times New Roman"/>
          <w:i/>
        </w:rPr>
        <w:t>Alice</w:t>
      </w:r>
      <w:r w:rsidR="00CC02EB" w:rsidRPr="00677ABE">
        <w:rPr>
          <w:rFonts w:cs="Times New Roman"/>
        </w:rPr>
        <w:t>; those challenges that pertain to</w:t>
      </w:r>
      <w:r w:rsidRPr="00677ABE">
        <w:rPr>
          <w:rFonts w:cs="Times New Roman"/>
        </w:rPr>
        <w:t xml:space="preserve"> abstract ideas,</w:t>
      </w:r>
      <w:r w:rsidR="00CC02EB" w:rsidRPr="00677ABE">
        <w:rPr>
          <w:rFonts w:cs="Times New Roman"/>
        </w:rPr>
        <w:t xml:space="preserve"> however, might be scheduled for hearing only after</w:t>
      </w:r>
      <w:r w:rsidRPr="00677ABE">
        <w:rPr>
          <w:rFonts w:cs="Times New Roman"/>
        </w:rPr>
        <w:t xml:space="preserve"> arguments on §</w:t>
      </w:r>
      <w:r w:rsidR="00AC00E6">
        <w:rPr>
          <w:rFonts w:cs="Times New Roman"/>
        </w:rPr>
        <w:t>§ </w:t>
      </w:r>
      <w:r w:rsidRPr="00677ABE">
        <w:rPr>
          <w:rFonts w:cs="Times New Roman"/>
        </w:rPr>
        <w:t>102, 103, and 112 issues.</w:t>
      </w:r>
      <w:r w:rsidRPr="00677ABE">
        <w:rPr>
          <w:rStyle w:val="FootnoteReference"/>
          <w:rFonts w:cs="Times New Roman"/>
        </w:rPr>
        <w:footnoteReference w:id="86"/>
      </w:r>
      <w:r w:rsidRPr="00677ABE">
        <w:rPr>
          <w:rFonts w:cs="Times New Roman"/>
        </w:rPr>
        <w:t xml:space="preserve"> As a long-term solution, </w:t>
      </w:r>
      <w:r w:rsidR="00CC02EB" w:rsidRPr="00677ABE">
        <w:rPr>
          <w:rFonts w:cs="Times New Roman"/>
        </w:rPr>
        <w:t>Judge Plager urged</w:t>
      </w:r>
      <w:r w:rsidRPr="00677ABE">
        <w:rPr>
          <w:rFonts w:cs="Times New Roman"/>
        </w:rPr>
        <w:t xml:space="preserve"> the patent bar and judges to get the attention of the Supreme Court or Congress to eliminate the doctrine and adhere to existing statute.</w:t>
      </w:r>
      <w:r w:rsidRPr="00677ABE">
        <w:rPr>
          <w:rStyle w:val="FootnoteReference"/>
          <w:rFonts w:cs="Times New Roman"/>
        </w:rPr>
        <w:footnoteReference w:id="87"/>
      </w:r>
      <w:r w:rsidRPr="00677ABE">
        <w:rPr>
          <w:rFonts w:cs="Times New Roman"/>
        </w:rPr>
        <w:t xml:space="preserve"> </w:t>
      </w:r>
    </w:p>
    <w:p w14:paraId="6CDF9912" w14:textId="70A0DC74" w:rsidR="006F6DF9" w:rsidRPr="00F20B84" w:rsidRDefault="0029023A" w:rsidP="00F20B84">
      <w:pPr>
        <w:pStyle w:val="Heading3"/>
        <w:ind w:firstLine="0"/>
        <w:rPr>
          <w:rFonts w:cs="Times New Roman"/>
          <w:i w:val="0"/>
        </w:rPr>
      </w:pPr>
      <w:bookmarkStart w:id="17" w:name="_Toc531692720"/>
      <w:r w:rsidRPr="00677ABE">
        <w:rPr>
          <w:rFonts w:cs="Times New Roman"/>
        </w:rPr>
        <w:lastRenderedPageBreak/>
        <w:t>Praxair Distrib. Inc.</w:t>
      </w:r>
      <w:r w:rsidR="00712C22" w:rsidRPr="00677ABE">
        <w:rPr>
          <w:rFonts w:cs="Times New Roman"/>
        </w:rPr>
        <w:t xml:space="preserve"> v. </w:t>
      </w:r>
      <w:r w:rsidRPr="00677ABE">
        <w:rPr>
          <w:rFonts w:cs="Times New Roman"/>
        </w:rPr>
        <w:t>Mallinckrodt Hosp. Prods. IP Ltd.</w:t>
      </w:r>
      <w:r w:rsidRPr="00677ABE">
        <w:rPr>
          <w:rFonts w:cs="Times New Roman"/>
          <w:i w:val="0"/>
        </w:rPr>
        <w:t>, 890 F.3d 1024 (Fed. Cir. May 16, 2018)</w:t>
      </w:r>
      <w:bookmarkEnd w:id="17"/>
    </w:p>
    <w:p w14:paraId="21BFA4CA" w14:textId="41F42CE3" w:rsidR="0029023A" w:rsidRPr="00677ABE" w:rsidRDefault="0029023A" w:rsidP="006F6DF9">
      <w:pPr>
        <w:ind w:firstLine="720"/>
        <w:rPr>
          <w:rFonts w:cs="Times New Roman"/>
        </w:rPr>
      </w:pPr>
      <w:r w:rsidRPr="00677ABE">
        <w:rPr>
          <w:rFonts w:cs="Times New Roman"/>
        </w:rPr>
        <w:t xml:space="preserve">In this appeal from the Patent Trial and Appeal Board (“PTAB”), the Federal Circuit held that </w:t>
      </w:r>
      <w:r w:rsidR="00D769AF" w:rsidRPr="00677ABE">
        <w:rPr>
          <w:rFonts w:cs="Times New Roman"/>
        </w:rPr>
        <w:t>“claim limit</w:t>
      </w:r>
      <w:r w:rsidR="00353FF4" w:rsidRPr="00677ABE">
        <w:rPr>
          <w:rFonts w:cs="Times New Roman"/>
        </w:rPr>
        <w:t>ations directed to mental steps</w:t>
      </w:r>
      <w:r w:rsidR="00D769AF" w:rsidRPr="00677ABE">
        <w:rPr>
          <w:rFonts w:cs="Times New Roman"/>
        </w:rPr>
        <w:t>”</w:t>
      </w:r>
      <w:r w:rsidR="00353FF4" w:rsidRPr="00677ABE">
        <w:rPr>
          <w:rFonts w:cs="Times New Roman"/>
        </w:rPr>
        <w:t xml:space="preserve"> may be considered</w:t>
      </w:r>
      <w:r w:rsidRPr="00677ABE">
        <w:rPr>
          <w:rFonts w:cs="Times New Roman"/>
        </w:rPr>
        <w:t xml:space="preserve"> unpatentable printed matter under </w:t>
      </w:r>
      <w:r w:rsidR="00AC00E6">
        <w:rPr>
          <w:rFonts w:cs="Times New Roman"/>
        </w:rPr>
        <w:t>§ </w:t>
      </w:r>
      <w:r w:rsidR="00671DD4" w:rsidRPr="00677ABE">
        <w:rPr>
          <w:rFonts w:cs="Times New Roman"/>
        </w:rPr>
        <w:t>101</w:t>
      </w:r>
      <w:r w:rsidR="00486450" w:rsidRPr="00677ABE">
        <w:rPr>
          <w:rFonts w:cs="Times New Roman"/>
        </w:rPr>
        <w:t xml:space="preserve"> </w:t>
      </w:r>
      <w:r w:rsidR="00BC1152" w:rsidRPr="00677ABE">
        <w:rPr>
          <w:rFonts w:cs="Times New Roman"/>
        </w:rPr>
        <w:t xml:space="preserve">where they lack </w:t>
      </w:r>
      <w:r w:rsidR="003A122D" w:rsidRPr="00677ABE">
        <w:rPr>
          <w:rFonts w:cs="Times New Roman"/>
        </w:rPr>
        <w:t xml:space="preserve">a </w:t>
      </w:r>
      <w:r w:rsidR="00BC1152" w:rsidRPr="00677ABE">
        <w:rPr>
          <w:rFonts w:cs="Times New Roman"/>
        </w:rPr>
        <w:t xml:space="preserve">functional </w:t>
      </w:r>
      <w:r w:rsidR="00BE6F12" w:rsidRPr="00677ABE">
        <w:rPr>
          <w:rFonts w:cs="Times New Roman"/>
        </w:rPr>
        <w:t>relationship</w:t>
      </w:r>
      <w:r w:rsidR="00BC1152" w:rsidRPr="00677ABE">
        <w:rPr>
          <w:rFonts w:cs="Times New Roman"/>
        </w:rPr>
        <w:t xml:space="preserve"> </w:t>
      </w:r>
      <w:r w:rsidR="00BE6F12" w:rsidRPr="00677ABE">
        <w:rPr>
          <w:rFonts w:cs="Times New Roman"/>
        </w:rPr>
        <w:t>to</w:t>
      </w:r>
      <w:r w:rsidR="00BC1152" w:rsidRPr="00677ABE">
        <w:rPr>
          <w:rFonts w:cs="Times New Roman"/>
        </w:rPr>
        <w:t xml:space="preserve"> other limitations</w:t>
      </w:r>
      <w:r w:rsidR="00EB4427" w:rsidRPr="00677ABE">
        <w:rPr>
          <w:rFonts w:cs="Times New Roman"/>
        </w:rPr>
        <w:t>.</w:t>
      </w:r>
      <w:r w:rsidR="00AC00E6">
        <w:rPr>
          <w:rFonts w:cs="Times New Roman"/>
        </w:rPr>
        <w:t xml:space="preserve"> </w:t>
      </w:r>
      <w:r w:rsidR="00EB4427" w:rsidRPr="00677ABE">
        <w:rPr>
          <w:rFonts w:cs="Times New Roman"/>
        </w:rPr>
        <w:t>A</w:t>
      </w:r>
      <w:r w:rsidR="00486450" w:rsidRPr="00677ABE">
        <w:rPr>
          <w:rFonts w:cs="Times New Roman"/>
        </w:rPr>
        <w:t xml:space="preserve">fter </w:t>
      </w:r>
      <w:r w:rsidR="00AD0857" w:rsidRPr="00677ABE">
        <w:rPr>
          <w:rFonts w:cs="Times New Roman"/>
        </w:rPr>
        <w:t xml:space="preserve">striking </w:t>
      </w:r>
      <w:r w:rsidR="00EB4427" w:rsidRPr="00677ABE">
        <w:rPr>
          <w:rFonts w:cs="Times New Roman"/>
        </w:rPr>
        <w:t>the printed matter from the claims</w:t>
      </w:r>
      <w:r w:rsidR="00486450" w:rsidRPr="00677ABE">
        <w:rPr>
          <w:rFonts w:cs="Times New Roman"/>
        </w:rPr>
        <w:t>, the</w:t>
      </w:r>
      <w:r w:rsidR="00353FF4" w:rsidRPr="00677ABE">
        <w:rPr>
          <w:rFonts w:cs="Times New Roman"/>
        </w:rPr>
        <w:t xml:space="preserve"> </w:t>
      </w:r>
      <w:r w:rsidR="00AD0857" w:rsidRPr="00677ABE">
        <w:rPr>
          <w:rFonts w:cs="Times New Roman"/>
        </w:rPr>
        <w:t>remainder was</w:t>
      </w:r>
      <w:r w:rsidRPr="00677ABE">
        <w:rPr>
          <w:rFonts w:cs="Times New Roman"/>
        </w:rPr>
        <w:t xml:space="preserve"> obvious under </w:t>
      </w:r>
      <w:r w:rsidR="00AC00E6">
        <w:rPr>
          <w:rFonts w:cs="Times New Roman"/>
        </w:rPr>
        <w:t>§ </w:t>
      </w:r>
      <w:r w:rsidRPr="00677ABE">
        <w:rPr>
          <w:rFonts w:cs="Times New Roman"/>
        </w:rPr>
        <w:t>103.</w:t>
      </w:r>
      <w:r w:rsidRPr="00677ABE">
        <w:rPr>
          <w:rStyle w:val="FootnoteReference"/>
          <w:rFonts w:cs="Times New Roman"/>
        </w:rPr>
        <w:footnoteReference w:id="88"/>
      </w:r>
    </w:p>
    <w:p w14:paraId="5021A68F" w14:textId="510676DA" w:rsidR="0029023A" w:rsidRPr="00677ABE" w:rsidRDefault="0029023A" w:rsidP="00CA2C0A">
      <w:pPr>
        <w:rPr>
          <w:rFonts w:cs="Times New Roman"/>
        </w:rPr>
      </w:pPr>
      <w:r w:rsidRPr="00677ABE">
        <w:rPr>
          <w:rFonts w:cs="Times New Roman"/>
        </w:rPr>
        <w:tab/>
        <w:t xml:space="preserve">The case concerned the </w:t>
      </w:r>
      <w:r w:rsidR="008D4E5F">
        <w:rPr>
          <w:rFonts w:cs="Times New Roman"/>
        </w:rPr>
        <w:t>’1</w:t>
      </w:r>
      <w:r w:rsidRPr="00677ABE">
        <w:rPr>
          <w:rFonts w:cs="Times New Roman"/>
        </w:rPr>
        <w:t xml:space="preserve">12 patent, which covered methods of providing nitric oxide to treat </w:t>
      </w:r>
      <w:r w:rsidR="00486450" w:rsidRPr="00677ABE">
        <w:rPr>
          <w:rFonts w:cs="Times New Roman"/>
        </w:rPr>
        <w:t>babies</w:t>
      </w:r>
      <w:r w:rsidRPr="00677ABE">
        <w:rPr>
          <w:rFonts w:cs="Times New Roman"/>
        </w:rPr>
        <w:t>.</w:t>
      </w:r>
      <w:r w:rsidRPr="00677ABE">
        <w:rPr>
          <w:rStyle w:val="FootnoteReference"/>
          <w:rFonts w:cs="Times New Roman"/>
        </w:rPr>
        <w:footnoteReference w:id="89"/>
      </w:r>
      <w:r w:rsidRPr="00677ABE">
        <w:rPr>
          <w:rFonts w:cs="Times New Roman"/>
        </w:rPr>
        <w:t xml:space="preserve"> The claims </w:t>
      </w:r>
      <w:r w:rsidR="00486450" w:rsidRPr="00677ABE">
        <w:rPr>
          <w:rFonts w:cs="Times New Roman"/>
        </w:rPr>
        <w:t xml:space="preserve">describe giving “provider information” and </w:t>
      </w:r>
      <w:r w:rsidRPr="00677ABE">
        <w:rPr>
          <w:rFonts w:cs="Times New Roman"/>
        </w:rPr>
        <w:t xml:space="preserve">a cylinder of nitric oxide gas to a provider, who </w:t>
      </w:r>
      <w:r w:rsidR="00486450" w:rsidRPr="00677ABE">
        <w:rPr>
          <w:rFonts w:cs="Times New Roman"/>
        </w:rPr>
        <w:t xml:space="preserve">compares </w:t>
      </w:r>
      <w:r w:rsidR="00380665" w:rsidRPr="00677ABE">
        <w:rPr>
          <w:rFonts w:cs="Times New Roman"/>
        </w:rPr>
        <w:t>her</w:t>
      </w:r>
      <w:r w:rsidR="00486450" w:rsidRPr="00677ABE">
        <w:rPr>
          <w:rFonts w:cs="Times New Roman"/>
        </w:rPr>
        <w:t xml:space="preserve"> observations against </w:t>
      </w:r>
      <w:r w:rsidR="00297173" w:rsidRPr="00677ABE">
        <w:rPr>
          <w:rFonts w:cs="Times New Roman"/>
        </w:rPr>
        <w:t>the information</w:t>
      </w:r>
      <w:r w:rsidR="00486450" w:rsidRPr="00677ABE">
        <w:rPr>
          <w:rFonts w:cs="Times New Roman"/>
        </w:rPr>
        <w:t xml:space="preserve"> to </w:t>
      </w:r>
      <w:r w:rsidRPr="00677ABE">
        <w:rPr>
          <w:rFonts w:cs="Times New Roman"/>
        </w:rPr>
        <w:t xml:space="preserve">decide whether to </w:t>
      </w:r>
      <w:r w:rsidR="00AD0857" w:rsidRPr="00677ABE">
        <w:rPr>
          <w:rFonts w:cs="Times New Roman"/>
        </w:rPr>
        <w:t>treat</w:t>
      </w:r>
      <w:r w:rsidRPr="00677ABE">
        <w:rPr>
          <w:rFonts w:cs="Times New Roman"/>
        </w:rPr>
        <w:t xml:space="preserve"> </w:t>
      </w:r>
      <w:r w:rsidR="00AD0857" w:rsidRPr="00677ABE">
        <w:rPr>
          <w:rFonts w:cs="Times New Roman"/>
        </w:rPr>
        <w:t>with</w:t>
      </w:r>
      <w:r w:rsidRPr="00677ABE">
        <w:rPr>
          <w:rFonts w:cs="Times New Roman"/>
        </w:rPr>
        <w:t xml:space="preserve"> nitric oxide.</w:t>
      </w:r>
      <w:r w:rsidRPr="00677ABE">
        <w:rPr>
          <w:rStyle w:val="FootnoteReference"/>
          <w:rFonts w:cs="Times New Roman"/>
        </w:rPr>
        <w:footnoteReference w:id="90"/>
      </w:r>
      <w:r w:rsidRPr="00677ABE">
        <w:rPr>
          <w:rFonts w:cs="Times New Roman"/>
        </w:rPr>
        <w:t xml:space="preserve"> While Praxair petitioned for inter partes review (“IPR”) on obviousness,</w:t>
      </w:r>
      <w:r w:rsidRPr="00677ABE">
        <w:rPr>
          <w:rStyle w:val="FootnoteReference"/>
          <w:rFonts w:cs="Times New Roman"/>
        </w:rPr>
        <w:footnoteReference w:id="91"/>
      </w:r>
      <w:r w:rsidRPr="00677ABE">
        <w:rPr>
          <w:rFonts w:cs="Times New Roman"/>
        </w:rPr>
        <w:t xml:space="preserve"> the PTAB focused its inquiry </w:t>
      </w:r>
      <w:r w:rsidR="00B71E76" w:rsidRPr="00677ABE">
        <w:rPr>
          <w:rFonts w:cs="Times New Roman"/>
        </w:rPr>
        <w:t>on</w:t>
      </w:r>
      <w:r w:rsidRPr="00677ABE">
        <w:rPr>
          <w:rFonts w:cs="Times New Roman"/>
        </w:rPr>
        <w:t xml:space="preserve"> the printed matter doctrine </w:t>
      </w:r>
      <w:r w:rsidR="008C64F5" w:rsidRPr="00677ABE">
        <w:rPr>
          <w:rFonts w:cs="Times New Roman"/>
        </w:rPr>
        <w:t>and</w:t>
      </w:r>
      <w:r w:rsidRPr="00677ABE">
        <w:rPr>
          <w:rFonts w:cs="Times New Roman"/>
        </w:rPr>
        <w:t xml:space="preserve"> claim construction</w:t>
      </w:r>
      <w:r w:rsidR="000D26DE" w:rsidRPr="00677ABE">
        <w:rPr>
          <w:rFonts w:cs="Times New Roman"/>
        </w:rPr>
        <w:t>, which “overlap” with that inquiry</w:t>
      </w:r>
      <w:r w:rsidRPr="00677ABE">
        <w:rPr>
          <w:rFonts w:cs="Times New Roman"/>
        </w:rPr>
        <w:t>.</w:t>
      </w:r>
      <w:r w:rsidRPr="00677ABE">
        <w:rPr>
          <w:rStyle w:val="FootnoteReference"/>
          <w:rFonts w:cs="Times New Roman"/>
        </w:rPr>
        <w:footnoteReference w:id="92"/>
      </w:r>
      <w:r w:rsidRPr="00677ABE">
        <w:rPr>
          <w:rFonts w:cs="Times New Roman"/>
        </w:rPr>
        <w:t xml:space="preserve"> </w:t>
      </w:r>
      <w:r w:rsidR="006F7014" w:rsidRPr="00677ABE">
        <w:rPr>
          <w:rFonts w:cs="Times New Roman"/>
        </w:rPr>
        <w:t>T</w:t>
      </w:r>
      <w:r w:rsidRPr="00677ABE">
        <w:rPr>
          <w:rFonts w:cs="Times New Roman"/>
        </w:rPr>
        <w:t xml:space="preserve">he PTAB </w:t>
      </w:r>
      <w:r w:rsidR="00E65A89" w:rsidRPr="00677ABE">
        <w:rPr>
          <w:rFonts w:cs="Times New Roman"/>
        </w:rPr>
        <w:t xml:space="preserve">first </w:t>
      </w:r>
      <w:r w:rsidRPr="00677ABE">
        <w:rPr>
          <w:rFonts w:cs="Times New Roman"/>
        </w:rPr>
        <w:t xml:space="preserve">found </w:t>
      </w:r>
      <w:r w:rsidR="00671DD4" w:rsidRPr="00677ABE">
        <w:rPr>
          <w:rFonts w:cs="Times New Roman"/>
        </w:rPr>
        <w:t>that the</w:t>
      </w:r>
      <w:r w:rsidRPr="00677ABE">
        <w:rPr>
          <w:rFonts w:cs="Times New Roman"/>
        </w:rPr>
        <w:t xml:space="preserve"> “provider information” was printed matter</w:t>
      </w:r>
      <w:r w:rsidR="00E65A89" w:rsidRPr="00677ABE">
        <w:rPr>
          <w:rFonts w:cs="Times New Roman"/>
        </w:rPr>
        <w:t>.</w:t>
      </w:r>
      <w:r w:rsidR="00E65A89" w:rsidRPr="00677ABE">
        <w:rPr>
          <w:rStyle w:val="FootnoteReference"/>
          <w:rFonts w:cs="Times New Roman"/>
        </w:rPr>
        <w:footnoteReference w:id="93"/>
      </w:r>
      <w:r w:rsidR="00E65A89" w:rsidRPr="00677ABE">
        <w:rPr>
          <w:rFonts w:cs="Times New Roman"/>
        </w:rPr>
        <w:t xml:space="preserve"> For claims 1-8 and 10-11, the PTAB </w:t>
      </w:r>
      <w:r w:rsidR="00297173" w:rsidRPr="00677ABE">
        <w:rPr>
          <w:rFonts w:cs="Times New Roman"/>
        </w:rPr>
        <w:t xml:space="preserve">next </w:t>
      </w:r>
      <w:r w:rsidR="00E65A89" w:rsidRPr="00677ABE">
        <w:rPr>
          <w:rFonts w:cs="Times New Roman"/>
        </w:rPr>
        <w:t>found that this</w:t>
      </w:r>
      <w:r w:rsidR="008C64F5" w:rsidRPr="00677ABE">
        <w:rPr>
          <w:rFonts w:cs="Times New Roman"/>
        </w:rPr>
        <w:t xml:space="preserve"> printed matter lacked</w:t>
      </w:r>
      <w:r w:rsidRPr="00677ABE">
        <w:rPr>
          <w:rFonts w:cs="Times New Roman"/>
        </w:rPr>
        <w:t xml:space="preserve"> functional relationship </w:t>
      </w:r>
      <w:r w:rsidR="006F7014" w:rsidRPr="00677ABE">
        <w:rPr>
          <w:rFonts w:cs="Times New Roman"/>
        </w:rPr>
        <w:t xml:space="preserve">to </w:t>
      </w:r>
      <w:r w:rsidR="00E65A89" w:rsidRPr="00677ABE">
        <w:rPr>
          <w:rFonts w:cs="Times New Roman"/>
        </w:rPr>
        <w:t xml:space="preserve">the </w:t>
      </w:r>
      <w:r w:rsidR="006F7014" w:rsidRPr="00677ABE">
        <w:rPr>
          <w:rFonts w:cs="Times New Roman"/>
        </w:rPr>
        <w:t>other</w:t>
      </w:r>
      <w:r w:rsidR="00E65A89" w:rsidRPr="00677ABE">
        <w:rPr>
          <w:rFonts w:cs="Times New Roman"/>
        </w:rPr>
        <w:t xml:space="preserve"> </w:t>
      </w:r>
      <w:r w:rsidRPr="00677ABE">
        <w:rPr>
          <w:rFonts w:cs="Times New Roman"/>
        </w:rPr>
        <w:t>limitations</w:t>
      </w:r>
      <w:r w:rsidR="00DB4D38" w:rsidRPr="00677ABE">
        <w:rPr>
          <w:rFonts w:cs="Times New Roman"/>
        </w:rPr>
        <w:t xml:space="preserve">, and struck </w:t>
      </w:r>
      <w:r w:rsidR="00297173" w:rsidRPr="00677ABE">
        <w:rPr>
          <w:rFonts w:cs="Times New Roman"/>
        </w:rPr>
        <w:t>it</w:t>
      </w:r>
      <w:r w:rsidR="004A21BC" w:rsidRPr="00677ABE">
        <w:rPr>
          <w:rFonts w:cs="Times New Roman"/>
        </w:rPr>
        <w:t xml:space="preserve"> as unpatentable</w:t>
      </w:r>
      <w:r w:rsidR="00DB4D38" w:rsidRPr="00677ABE">
        <w:rPr>
          <w:rFonts w:cs="Times New Roman"/>
        </w:rPr>
        <w:t xml:space="preserve">; </w:t>
      </w:r>
      <w:r w:rsidR="0066213D" w:rsidRPr="00677ABE">
        <w:rPr>
          <w:rFonts w:cs="Times New Roman"/>
        </w:rPr>
        <w:t>assessing</w:t>
      </w:r>
      <w:r w:rsidR="006F7014" w:rsidRPr="00677ABE">
        <w:rPr>
          <w:rFonts w:cs="Times New Roman"/>
        </w:rPr>
        <w:t xml:space="preserve"> the</w:t>
      </w:r>
      <w:r w:rsidR="0066213D" w:rsidRPr="00677ABE">
        <w:rPr>
          <w:rFonts w:cs="Times New Roman"/>
        </w:rPr>
        <w:t xml:space="preserve"> remaining </w:t>
      </w:r>
      <w:r w:rsidR="00E65A89" w:rsidRPr="00677ABE">
        <w:rPr>
          <w:rFonts w:cs="Times New Roman"/>
        </w:rPr>
        <w:t>limitations</w:t>
      </w:r>
      <w:r w:rsidR="0066213D" w:rsidRPr="00677ABE">
        <w:rPr>
          <w:rFonts w:cs="Times New Roman"/>
        </w:rPr>
        <w:t>, it</w:t>
      </w:r>
      <w:r w:rsidR="00DB4D38" w:rsidRPr="00677ABE">
        <w:rPr>
          <w:rFonts w:cs="Times New Roman"/>
        </w:rPr>
        <w:t xml:space="preserve"> </w:t>
      </w:r>
      <w:r w:rsidR="006F7014" w:rsidRPr="00677ABE">
        <w:rPr>
          <w:rFonts w:cs="Times New Roman"/>
        </w:rPr>
        <w:t>found them</w:t>
      </w:r>
      <w:r w:rsidRPr="00677ABE">
        <w:rPr>
          <w:rFonts w:cs="Times New Roman"/>
        </w:rPr>
        <w:t xml:space="preserve"> obvious.</w:t>
      </w:r>
      <w:r w:rsidRPr="00677ABE">
        <w:rPr>
          <w:rStyle w:val="FootnoteReference"/>
          <w:rFonts w:cs="Times New Roman"/>
        </w:rPr>
        <w:footnoteReference w:id="94"/>
      </w:r>
      <w:r w:rsidRPr="00677ABE">
        <w:rPr>
          <w:rFonts w:cs="Times New Roman"/>
        </w:rPr>
        <w:t xml:space="preserve"> </w:t>
      </w:r>
      <w:r w:rsidR="00DB4D38" w:rsidRPr="00677ABE">
        <w:rPr>
          <w:rFonts w:cs="Times New Roman"/>
        </w:rPr>
        <w:t>For claim 9, however, the PTAB found this</w:t>
      </w:r>
      <w:r w:rsidR="001539B9" w:rsidRPr="00677ABE">
        <w:rPr>
          <w:rFonts w:cs="Times New Roman"/>
        </w:rPr>
        <w:t xml:space="preserve"> </w:t>
      </w:r>
      <w:r w:rsidR="0066213D" w:rsidRPr="00677ABE">
        <w:rPr>
          <w:rFonts w:cs="Times New Roman"/>
        </w:rPr>
        <w:t>“provider information”</w:t>
      </w:r>
      <w:r w:rsidR="001539B9" w:rsidRPr="00677ABE">
        <w:rPr>
          <w:rFonts w:cs="Times New Roman"/>
        </w:rPr>
        <w:t xml:space="preserve"> did have a functional relationship</w:t>
      </w:r>
      <w:r w:rsidR="00BC1152" w:rsidRPr="00677ABE">
        <w:rPr>
          <w:rFonts w:cs="Times New Roman"/>
        </w:rPr>
        <w:t xml:space="preserve"> to other </w:t>
      </w:r>
      <w:r w:rsidR="004A21BC" w:rsidRPr="00677ABE">
        <w:rPr>
          <w:rFonts w:cs="Times New Roman"/>
        </w:rPr>
        <w:t>limitations. I</w:t>
      </w:r>
      <w:r w:rsidR="00F30399" w:rsidRPr="00677ABE">
        <w:rPr>
          <w:rFonts w:cs="Times New Roman"/>
        </w:rPr>
        <w:t xml:space="preserve">t </w:t>
      </w:r>
      <w:r w:rsidR="00CE72A5" w:rsidRPr="00677ABE">
        <w:rPr>
          <w:rFonts w:cs="Times New Roman"/>
        </w:rPr>
        <w:t xml:space="preserve">had a special </w:t>
      </w:r>
      <w:r w:rsidR="00D477A3" w:rsidRPr="00677ABE">
        <w:rPr>
          <w:rFonts w:cs="Times New Roman"/>
        </w:rPr>
        <w:t xml:space="preserve">limitation </w:t>
      </w:r>
      <w:r w:rsidR="00CE72A5" w:rsidRPr="00677ABE">
        <w:rPr>
          <w:rFonts w:cs="Times New Roman"/>
        </w:rPr>
        <w:t>teaching the</w:t>
      </w:r>
      <w:r w:rsidR="00D477A3" w:rsidRPr="00677ABE">
        <w:rPr>
          <w:rFonts w:cs="Times New Roman"/>
        </w:rPr>
        <w:t xml:space="preserve"> use</w:t>
      </w:r>
      <w:r w:rsidR="00CE72A5" w:rsidRPr="00677ABE">
        <w:rPr>
          <w:rFonts w:cs="Times New Roman"/>
        </w:rPr>
        <w:t xml:space="preserve"> of</w:t>
      </w:r>
      <w:r w:rsidR="00D477A3" w:rsidRPr="00677ABE">
        <w:rPr>
          <w:rFonts w:cs="Times New Roman"/>
        </w:rPr>
        <w:t xml:space="preserve"> information</w:t>
      </w:r>
      <w:r w:rsidR="00F30399" w:rsidRPr="00677ABE">
        <w:rPr>
          <w:rFonts w:cs="Times New Roman"/>
        </w:rPr>
        <w:t xml:space="preserve"> </w:t>
      </w:r>
      <w:r w:rsidRPr="00677ABE">
        <w:rPr>
          <w:rFonts w:cs="Times New Roman"/>
        </w:rPr>
        <w:t>“in accordance wit</w:t>
      </w:r>
      <w:r w:rsidR="00E4338A" w:rsidRPr="00677ABE">
        <w:rPr>
          <w:rFonts w:cs="Times New Roman"/>
        </w:rPr>
        <w:t xml:space="preserve">h” the results of </w:t>
      </w:r>
      <w:r w:rsidR="00CE72A5" w:rsidRPr="00677ABE">
        <w:rPr>
          <w:rFonts w:cs="Times New Roman"/>
        </w:rPr>
        <w:t>an</w:t>
      </w:r>
      <w:r w:rsidR="00E4338A" w:rsidRPr="00677ABE">
        <w:rPr>
          <w:rFonts w:cs="Times New Roman"/>
        </w:rPr>
        <w:t xml:space="preserve"> </w:t>
      </w:r>
      <w:r w:rsidR="001539B9" w:rsidRPr="00677ABE">
        <w:rPr>
          <w:rFonts w:cs="Times New Roman"/>
        </w:rPr>
        <w:t>assessment</w:t>
      </w:r>
      <w:r w:rsidR="00E4338A" w:rsidRPr="00677ABE">
        <w:rPr>
          <w:rFonts w:cs="Times New Roman"/>
        </w:rPr>
        <w:t xml:space="preserve"> from claim 7</w:t>
      </w:r>
      <w:r w:rsidR="00DB4D38" w:rsidRPr="00677ABE">
        <w:rPr>
          <w:rFonts w:cs="Times New Roman"/>
        </w:rPr>
        <w:t>.</w:t>
      </w:r>
      <w:r w:rsidRPr="00677ABE">
        <w:rPr>
          <w:rStyle w:val="FootnoteReference"/>
          <w:rFonts w:cs="Times New Roman"/>
        </w:rPr>
        <w:footnoteReference w:id="95"/>
      </w:r>
      <w:r w:rsidR="00DB4D38" w:rsidRPr="00677ABE">
        <w:rPr>
          <w:rFonts w:cs="Times New Roman"/>
        </w:rPr>
        <w:t xml:space="preserve"> </w:t>
      </w:r>
      <w:r w:rsidR="004A21BC" w:rsidRPr="00677ABE">
        <w:rPr>
          <w:rFonts w:cs="Times New Roman"/>
        </w:rPr>
        <w:t>The PTAB</w:t>
      </w:r>
      <w:r w:rsidR="00D477A3" w:rsidRPr="00677ABE">
        <w:rPr>
          <w:rFonts w:cs="Times New Roman"/>
        </w:rPr>
        <w:t xml:space="preserve"> </w:t>
      </w:r>
      <w:r w:rsidR="00CE72A5" w:rsidRPr="00677ABE">
        <w:rPr>
          <w:rFonts w:cs="Times New Roman"/>
        </w:rPr>
        <w:t>finally</w:t>
      </w:r>
      <w:r w:rsidR="004A21BC" w:rsidRPr="00677ABE">
        <w:rPr>
          <w:rFonts w:cs="Times New Roman"/>
        </w:rPr>
        <w:t xml:space="preserve"> found c</w:t>
      </w:r>
      <w:r w:rsidRPr="00677ABE">
        <w:rPr>
          <w:rFonts w:cs="Times New Roman"/>
        </w:rPr>
        <w:t>laim</w:t>
      </w:r>
      <w:r w:rsidR="00E4338A" w:rsidRPr="00677ABE">
        <w:rPr>
          <w:rFonts w:cs="Times New Roman"/>
        </w:rPr>
        <w:t xml:space="preserve"> 9</w:t>
      </w:r>
      <w:r w:rsidRPr="00677ABE">
        <w:rPr>
          <w:rFonts w:cs="Times New Roman"/>
        </w:rPr>
        <w:t xml:space="preserve"> </w:t>
      </w:r>
      <w:r w:rsidR="00CE72A5" w:rsidRPr="00677ABE">
        <w:rPr>
          <w:rFonts w:cs="Times New Roman"/>
        </w:rPr>
        <w:t xml:space="preserve">nonobvious, reasoning that </w:t>
      </w:r>
      <w:r w:rsidRPr="00677ABE">
        <w:rPr>
          <w:rFonts w:cs="Times New Roman"/>
        </w:rPr>
        <w:t>prior art taught</w:t>
      </w:r>
      <w:r w:rsidR="00DB4D38" w:rsidRPr="00677ABE">
        <w:rPr>
          <w:rFonts w:cs="Times New Roman"/>
        </w:rPr>
        <w:t xml:space="preserve"> away</w:t>
      </w:r>
      <w:r w:rsidRPr="00677ABE">
        <w:rPr>
          <w:rFonts w:cs="Times New Roman"/>
        </w:rPr>
        <w:t>.</w:t>
      </w:r>
      <w:r w:rsidRPr="00677ABE">
        <w:rPr>
          <w:rStyle w:val="FootnoteReference"/>
          <w:rFonts w:cs="Times New Roman"/>
        </w:rPr>
        <w:footnoteReference w:id="96"/>
      </w:r>
      <w:r w:rsidR="00AC00E6">
        <w:rPr>
          <w:rFonts w:cs="Times New Roman"/>
        </w:rPr>
        <w:t xml:space="preserve"> </w:t>
      </w:r>
    </w:p>
    <w:p w14:paraId="35FF993C" w14:textId="1FC4F45A" w:rsidR="0029023A" w:rsidRPr="00677ABE" w:rsidRDefault="0029023A" w:rsidP="00CA2C0A">
      <w:pPr>
        <w:rPr>
          <w:rFonts w:cs="Times New Roman"/>
        </w:rPr>
      </w:pPr>
      <w:r w:rsidRPr="00677ABE">
        <w:rPr>
          <w:rFonts w:cs="Times New Roman"/>
        </w:rPr>
        <w:tab/>
        <w:t xml:space="preserve">On appeal, the Federal Circuit held that the PTAB did not err except </w:t>
      </w:r>
      <w:r w:rsidR="00D477A3" w:rsidRPr="00677ABE">
        <w:rPr>
          <w:rFonts w:cs="Times New Roman"/>
        </w:rPr>
        <w:t>as to</w:t>
      </w:r>
      <w:r w:rsidRPr="00677ABE">
        <w:rPr>
          <w:rFonts w:cs="Times New Roman"/>
        </w:rPr>
        <w:t xml:space="preserve"> claim 9.</w:t>
      </w:r>
      <w:r w:rsidR="00DB4D38" w:rsidRPr="00677ABE">
        <w:rPr>
          <w:rStyle w:val="FootnoteReference"/>
          <w:rFonts w:cs="Times New Roman"/>
        </w:rPr>
        <w:footnoteReference w:id="97"/>
      </w:r>
      <w:r w:rsidRPr="00677ABE">
        <w:rPr>
          <w:rFonts w:cs="Times New Roman"/>
        </w:rPr>
        <w:t xml:space="preserve"> </w:t>
      </w:r>
      <w:r w:rsidR="00775606" w:rsidRPr="00677ABE">
        <w:rPr>
          <w:rFonts w:cs="Times New Roman"/>
        </w:rPr>
        <w:t xml:space="preserve">Regarding claims 1-8 and 10-11—where the provider was asked to </w:t>
      </w:r>
      <w:r w:rsidR="00E600E8" w:rsidRPr="00677ABE">
        <w:rPr>
          <w:rFonts w:cs="Times New Roman"/>
        </w:rPr>
        <w:t>think about what</w:t>
      </w:r>
      <w:r w:rsidR="00775606" w:rsidRPr="00677ABE">
        <w:rPr>
          <w:rFonts w:cs="Times New Roman"/>
        </w:rPr>
        <w:t xml:space="preserve"> she had read</w:t>
      </w:r>
      <w:r w:rsidR="00E600E8" w:rsidRPr="00677ABE">
        <w:rPr>
          <w:rFonts w:cs="Times New Roman"/>
        </w:rPr>
        <w:t xml:space="preserve"> to decide to act</w:t>
      </w:r>
      <w:r w:rsidR="00775606" w:rsidRPr="00677ABE">
        <w:rPr>
          <w:rFonts w:cs="Times New Roman"/>
        </w:rPr>
        <w:t>—“</w:t>
      </w:r>
      <w:r w:rsidR="009126CB" w:rsidRPr="00677ABE">
        <w:rPr>
          <w:rFonts w:cs="Times New Roman"/>
        </w:rPr>
        <w:t>a</w:t>
      </w:r>
      <w:r w:rsidRPr="00677ABE">
        <w:rPr>
          <w:rFonts w:cs="Times New Roman"/>
        </w:rPr>
        <w:t>dding an ineligible mental process</w:t>
      </w:r>
      <w:r w:rsidR="00775606" w:rsidRPr="00677ABE">
        <w:rPr>
          <w:rFonts w:cs="Times New Roman"/>
        </w:rPr>
        <w:t xml:space="preserve"> </w:t>
      </w:r>
      <w:r w:rsidRPr="00677ABE">
        <w:rPr>
          <w:rFonts w:cs="Times New Roman"/>
        </w:rPr>
        <w:t>to ineligible information</w:t>
      </w:r>
      <w:r w:rsidR="000109B7" w:rsidRPr="00677ABE">
        <w:rPr>
          <w:rFonts w:cs="Times New Roman"/>
        </w:rPr>
        <w:t xml:space="preserve"> </w:t>
      </w:r>
      <w:r w:rsidRPr="00677ABE">
        <w:rPr>
          <w:rFonts w:cs="Times New Roman"/>
        </w:rPr>
        <w:t>still leaves the claim limitation directed to [ineligible] printed matter.”</w:t>
      </w:r>
      <w:r w:rsidRPr="00677ABE">
        <w:rPr>
          <w:rStyle w:val="FootnoteReference"/>
          <w:rFonts w:cs="Times New Roman"/>
        </w:rPr>
        <w:footnoteReference w:id="98"/>
      </w:r>
      <w:r w:rsidRPr="00677ABE">
        <w:rPr>
          <w:rFonts w:cs="Times New Roman"/>
        </w:rPr>
        <w:t xml:space="preserve"> </w:t>
      </w:r>
      <w:r w:rsidR="000109B7" w:rsidRPr="00677ABE">
        <w:rPr>
          <w:rFonts w:cs="Times New Roman"/>
        </w:rPr>
        <w:t>Neither a</w:t>
      </w:r>
      <w:r w:rsidR="005506EC" w:rsidRPr="00677ABE">
        <w:rPr>
          <w:rFonts w:cs="Times New Roman"/>
        </w:rPr>
        <w:t xml:space="preserve"> merely </w:t>
      </w:r>
      <w:r w:rsidR="002131FE" w:rsidRPr="00677ABE">
        <w:rPr>
          <w:rFonts w:cs="Times New Roman"/>
        </w:rPr>
        <w:t>typical</w:t>
      </w:r>
      <w:r w:rsidR="00D728D3" w:rsidRPr="00677ABE">
        <w:rPr>
          <w:rFonts w:cs="Times New Roman"/>
        </w:rPr>
        <w:t xml:space="preserve"> functional relationship</w:t>
      </w:r>
      <w:r w:rsidR="002131FE" w:rsidRPr="00677ABE">
        <w:rPr>
          <w:rFonts w:cs="Times New Roman"/>
        </w:rPr>
        <w:t xml:space="preserve"> </w:t>
      </w:r>
      <w:r w:rsidR="000109B7" w:rsidRPr="00677ABE">
        <w:rPr>
          <w:rFonts w:cs="Times New Roman"/>
        </w:rPr>
        <w:t>between</w:t>
      </w:r>
      <w:r w:rsidR="002131FE" w:rsidRPr="00677ABE">
        <w:rPr>
          <w:rFonts w:cs="Times New Roman"/>
        </w:rPr>
        <w:t xml:space="preserve"> a drug</w:t>
      </w:r>
      <w:r w:rsidR="000109B7" w:rsidRPr="00677ABE">
        <w:rPr>
          <w:rFonts w:cs="Times New Roman"/>
        </w:rPr>
        <w:t xml:space="preserve"> and </w:t>
      </w:r>
      <w:r w:rsidR="00E600E8" w:rsidRPr="00677ABE">
        <w:rPr>
          <w:rFonts w:cs="Times New Roman"/>
        </w:rPr>
        <w:t>label-like information</w:t>
      </w:r>
      <w:r w:rsidR="002131FE" w:rsidRPr="00677ABE">
        <w:rPr>
          <w:rFonts w:cs="Times New Roman"/>
        </w:rPr>
        <w:t>,</w:t>
      </w:r>
      <w:r w:rsidRPr="00677ABE">
        <w:rPr>
          <w:rStyle w:val="FootnoteReference"/>
          <w:rFonts w:cs="Times New Roman"/>
        </w:rPr>
        <w:footnoteReference w:id="99"/>
      </w:r>
      <w:r w:rsidR="00D728D3" w:rsidRPr="00677ABE">
        <w:rPr>
          <w:rFonts w:cs="Times New Roman"/>
        </w:rPr>
        <w:t xml:space="preserve"> </w:t>
      </w:r>
      <w:r w:rsidR="00A4352C" w:rsidRPr="00677ABE">
        <w:rPr>
          <w:rFonts w:cs="Times New Roman"/>
        </w:rPr>
        <w:t xml:space="preserve">nor </w:t>
      </w:r>
      <w:r w:rsidR="00E600E8" w:rsidRPr="00677ABE">
        <w:rPr>
          <w:rFonts w:cs="Times New Roman"/>
        </w:rPr>
        <w:t>even especially surprising</w:t>
      </w:r>
      <w:r w:rsidR="005506EC" w:rsidRPr="00677ABE">
        <w:rPr>
          <w:rFonts w:cs="Times New Roman"/>
        </w:rPr>
        <w:t xml:space="preserve"> </w:t>
      </w:r>
      <w:r w:rsidR="000109B7" w:rsidRPr="00677ABE">
        <w:rPr>
          <w:rFonts w:cs="Times New Roman"/>
        </w:rPr>
        <w:t>provider information,</w:t>
      </w:r>
      <w:r w:rsidR="00E600E8" w:rsidRPr="00677ABE">
        <w:rPr>
          <w:rStyle w:val="FootnoteReference"/>
          <w:rFonts w:cs="Times New Roman"/>
        </w:rPr>
        <w:footnoteReference w:id="100"/>
      </w:r>
      <w:r w:rsidR="000109B7" w:rsidRPr="00677ABE">
        <w:rPr>
          <w:rFonts w:cs="Times New Roman"/>
        </w:rPr>
        <w:t xml:space="preserve"> could change this result</w:t>
      </w:r>
      <w:r w:rsidR="00D728D3" w:rsidRPr="00677ABE">
        <w:rPr>
          <w:rFonts w:cs="Times New Roman"/>
        </w:rPr>
        <w:t>.</w:t>
      </w:r>
      <w:r w:rsidRPr="00677ABE">
        <w:rPr>
          <w:rFonts w:cs="Times New Roman"/>
        </w:rPr>
        <w:t xml:space="preserve"> </w:t>
      </w:r>
      <w:r w:rsidR="0013777F" w:rsidRPr="00677ABE">
        <w:rPr>
          <w:rFonts w:cs="Times New Roman"/>
        </w:rPr>
        <w:t>T</w:t>
      </w:r>
      <w:r w:rsidRPr="00677ABE">
        <w:rPr>
          <w:rFonts w:cs="Times New Roman"/>
        </w:rPr>
        <w:t xml:space="preserve">he court agreed claim 9 did </w:t>
      </w:r>
      <w:r w:rsidR="005506EC" w:rsidRPr="00677ABE">
        <w:rPr>
          <w:rFonts w:cs="Times New Roman"/>
        </w:rPr>
        <w:t xml:space="preserve">have </w:t>
      </w:r>
      <w:r w:rsidR="000109B7" w:rsidRPr="00677ABE">
        <w:rPr>
          <w:rFonts w:cs="Times New Roman"/>
        </w:rPr>
        <w:t>a more robust</w:t>
      </w:r>
      <w:r w:rsidR="005506EC" w:rsidRPr="00677ABE">
        <w:rPr>
          <w:rFonts w:cs="Times New Roman"/>
        </w:rPr>
        <w:t xml:space="preserve"> functional relationship</w:t>
      </w:r>
      <w:r w:rsidR="000B16B0" w:rsidRPr="00677ABE">
        <w:rPr>
          <w:rFonts w:cs="Times New Roman"/>
        </w:rPr>
        <w:t xml:space="preserve"> and was not merely printed matter </w:t>
      </w:r>
      <w:r w:rsidR="000109B7" w:rsidRPr="00677ABE">
        <w:rPr>
          <w:rFonts w:cs="Times New Roman"/>
        </w:rPr>
        <w:t xml:space="preserve">because </w:t>
      </w:r>
      <w:r w:rsidR="00EE49E8" w:rsidRPr="00677ABE">
        <w:rPr>
          <w:rFonts w:cs="Times New Roman"/>
        </w:rPr>
        <w:t>it “interrelat[ed] the claimed information regarding correlations” and the “concrete step of discontinuing treatment.</w:t>
      </w:r>
      <w:r w:rsidR="000109B7" w:rsidRPr="00677ABE">
        <w:rPr>
          <w:rFonts w:cs="Times New Roman"/>
        </w:rPr>
        <w:t>”</w:t>
      </w:r>
      <w:r w:rsidR="000A133F" w:rsidRPr="00677ABE">
        <w:rPr>
          <w:rStyle w:val="FootnoteReference"/>
          <w:rFonts w:cs="Times New Roman"/>
        </w:rPr>
        <w:footnoteReference w:id="101"/>
      </w:r>
      <w:r w:rsidR="0013777F" w:rsidRPr="00677ABE">
        <w:rPr>
          <w:rFonts w:cs="Times New Roman"/>
        </w:rPr>
        <w:t xml:space="preserve"> </w:t>
      </w:r>
      <w:r w:rsidR="00EE49E8" w:rsidRPr="00677ABE">
        <w:rPr>
          <w:rFonts w:cs="Times New Roman"/>
        </w:rPr>
        <w:t>H</w:t>
      </w:r>
      <w:r w:rsidR="0013777F" w:rsidRPr="00677ABE">
        <w:rPr>
          <w:rFonts w:cs="Times New Roman"/>
        </w:rPr>
        <w:t>owever,</w:t>
      </w:r>
      <w:r w:rsidRPr="00677ABE">
        <w:rPr>
          <w:rFonts w:cs="Times New Roman"/>
        </w:rPr>
        <w:t xml:space="preserve"> </w:t>
      </w:r>
      <w:r w:rsidR="00120C9E" w:rsidRPr="00677ABE">
        <w:rPr>
          <w:rFonts w:cs="Times New Roman"/>
        </w:rPr>
        <w:t xml:space="preserve">after </w:t>
      </w:r>
      <w:r w:rsidR="00EE49E8" w:rsidRPr="00677ABE">
        <w:rPr>
          <w:rFonts w:cs="Times New Roman"/>
        </w:rPr>
        <w:lastRenderedPageBreak/>
        <w:t>correcting two logical errors made by the PTAB, the Federal Circuit found that claim 9</w:t>
      </w:r>
      <w:r w:rsidR="00120C9E" w:rsidRPr="00677ABE">
        <w:rPr>
          <w:rFonts w:cs="Times New Roman"/>
        </w:rPr>
        <w:t xml:space="preserve"> was obvious and unpatentable</w:t>
      </w:r>
      <w:r w:rsidR="00EE49E8" w:rsidRPr="00677ABE">
        <w:rPr>
          <w:rFonts w:cs="Times New Roman"/>
        </w:rPr>
        <w:t>.</w:t>
      </w:r>
      <w:r w:rsidRPr="00677ABE">
        <w:rPr>
          <w:rStyle w:val="FootnoteReference"/>
          <w:rFonts w:cs="Times New Roman"/>
        </w:rPr>
        <w:footnoteReference w:id="102"/>
      </w:r>
      <w:r w:rsidRPr="00677ABE">
        <w:rPr>
          <w:rFonts w:cs="Times New Roman"/>
        </w:rPr>
        <w:t xml:space="preserve"> </w:t>
      </w:r>
    </w:p>
    <w:p w14:paraId="5C59FD10" w14:textId="29E47034" w:rsidR="00F20B84" w:rsidRDefault="0029023A" w:rsidP="00CA2C0A">
      <w:pPr>
        <w:rPr>
          <w:rFonts w:cs="Times New Roman"/>
        </w:rPr>
      </w:pPr>
      <w:r w:rsidRPr="00677ABE">
        <w:rPr>
          <w:rFonts w:cs="Times New Roman"/>
        </w:rPr>
        <w:t xml:space="preserve">Judge Newman concurred in the result but would have reached </w:t>
      </w:r>
      <w:r w:rsidR="00E83B9A" w:rsidRPr="00677ABE">
        <w:rPr>
          <w:rFonts w:cs="Times New Roman"/>
        </w:rPr>
        <w:t>it</w:t>
      </w:r>
      <w:r w:rsidRPr="00677ABE">
        <w:rPr>
          <w:rFonts w:cs="Times New Roman"/>
        </w:rPr>
        <w:t xml:space="preserve"> with </w:t>
      </w:r>
      <w:r w:rsidR="00822067" w:rsidRPr="00677ABE">
        <w:rPr>
          <w:rFonts w:cs="Times New Roman"/>
        </w:rPr>
        <w:t>a pure</w:t>
      </w:r>
      <w:r w:rsidRPr="00677ABE">
        <w:rPr>
          <w:rFonts w:cs="Times New Roman"/>
        </w:rPr>
        <w:t xml:space="preserve"> </w:t>
      </w:r>
      <w:r w:rsidR="00AC00E6">
        <w:rPr>
          <w:rFonts w:cs="Times New Roman"/>
        </w:rPr>
        <w:t>§ </w:t>
      </w:r>
      <w:r w:rsidRPr="00677ABE">
        <w:rPr>
          <w:rFonts w:cs="Times New Roman"/>
        </w:rPr>
        <w:t>103</w:t>
      </w:r>
      <w:r w:rsidR="00822067" w:rsidRPr="00677ABE">
        <w:rPr>
          <w:rFonts w:cs="Times New Roman"/>
        </w:rPr>
        <w:t xml:space="preserve"> analysis</w:t>
      </w:r>
      <w:r w:rsidRPr="00677ABE">
        <w:rPr>
          <w:rFonts w:cs="Times New Roman"/>
        </w:rPr>
        <w:t>. Judge Newman criticized the majority’s reliance on “a newly created category within section 101”—that mental steps are tantamount to printed matter.</w:t>
      </w:r>
      <w:r w:rsidRPr="00677ABE">
        <w:rPr>
          <w:rStyle w:val="FootnoteReference"/>
          <w:rFonts w:cs="Times New Roman"/>
        </w:rPr>
        <w:footnoteReference w:id="103"/>
      </w:r>
      <w:r w:rsidRPr="00677ABE">
        <w:rPr>
          <w:rFonts w:cs="Times New Roman"/>
        </w:rPr>
        <w:t xml:space="preserve"> She also disagreed with an element-by-element approach to patent eligibility at the claim construction stage, whereby the PTAB and the majority assessed individual claim limitations for eligibility and, upon removing them, reassessed the eligibility of the remaining claim.</w:t>
      </w:r>
      <w:r w:rsidRPr="00677ABE">
        <w:rPr>
          <w:rStyle w:val="FootnoteReference"/>
          <w:rFonts w:cs="Times New Roman"/>
        </w:rPr>
        <w:footnoteReference w:id="104"/>
      </w:r>
    </w:p>
    <w:p w14:paraId="768BA6B5" w14:textId="4C48B910" w:rsidR="006F6DF9" w:rsidRPr="00F20B84" w:rsidRDefault="00FE779D" w:rsidP="00F20B84">
      <w:pPr>
        <w:pStyle w:val="Heading3"/>
        <w:ind w:firstLine="0"/>
        <w:rPr>
          <w:rFonts w:cs="Times New Roman"/>
          <w:i w:val="0"/>
        </w:rPr>
      </w:pPr>
      <w:bookmarkStart w:id="18" w:name="_Toc516586525"/>
      <w:bookmarkStart w:id="19" w:name="_Toc531692721"/>
      <w:r w:rsidRPr="00677ABE">
        <w:rPr>
          <w:rFonts w:cs="Times New Roman"/>
        </w:rPr>
        <w:t>Berkheimer v. HP Inc.</w:t>
      </w:r>
      <w:r w:rsidRPr="00677ABE">
        <w:rPr>
          <w:rFonts w:cs="Times New Roman"/>
          <w:i w:val="0"/>
        </w:rPr>
        <w:t>, 881 F.3d 1360 (Fed. Cir. Feb. 8, 2018)</w:t>
      </w:r>
      <w:bookmarkEnd w:id="18"/>
      <w:bookmarkEnd w:id="19"/>
    </w:p>
    <w:p w14:paraId="364B1B74" w14:textId="19CDA0FC" w:rsidR="00FE779D" w:rsidRPr="00677ABE" w:rsidRDefault="00FE779D" w:rsidP="006F6DF9">
      <w:pPr>
        <w:ind w:firstLine="720"/>
        <w:rPr>
          <w:rFonts w:cs="Times New Roman"/>
        </w:rPr>
      </w:pPr>
      <w:r w:rsidRPr="00677ABE">
        <w:rPr>
          <w:rFonts w:cs="Times New Roman"/>
          <w:lang w:eastAsia="x-none"/>
        </w:rPr>
        <w:t xml:space="preserve">In this appeal </w:t>
      </w:r>
      <w:r w:rsidRPr="00677ABE">
        <w:rPr>
          <w:rFonts w:cs="Times New Roman"/>
        </w:rPr>
        <w:t xml:space="preserve">from the Northern District of Illinois, the Federal Circuit vacated the district court’s grant of summary judgment that certain claims of the ’713 patent were patent ineligible under </w:t>
      </w:r>
      <w:r w:rsidR="00AC00E6">
        <w:rPr>
          <w:rFonts w:cs="Times New Roman"/>
        </w:rPr>
        <w:t>§ </w:t>
      </w:r>
      <w:r w:rsidRPr="00677ABE">
        <w:rPr>
          <w:rFonts w:cs="Times New Roman"/>
        </w:rPr>
        <w:t>101.</w:t>
      </w:r>
      <w:r w:rsidRPr="00677ABE">
        <w:rPr>
          <w:rStyle w:val="FootnoteReference"/>
          <w:rFonts w:cs="Times New Roman"/>
        </w:rPr>
        <w:footnoteReference w:id="105"/>
      </w:r>
      <w:r w:rsidRPr="00677ABE">
        <w:rPr>
          <w:rFonts w:cs="Times New Roman"/>
        </w:rPr>
        <w:t xml:space="preserve"> The court agreed with the district court that the asserted claims are directed to an abstract idea.</w:t>
      </w:r>
      <w:r w:rsidRPr="00677ABE">
        <w:rPr>
          <w:rStyle w:val="FootnoteReference"/>
          <w:rFonts w:cs="Times New Roman"/>
        </w:rPr>
        <w:footnoteReference w:id="106"/>
      </w:r>
      <w:r w:rsidRPr="00677ABE">
        <w:rPr>
          <w:rFonts w:cs="Times New Roman"/>
        </w:rPr>
        <w:t xml:space="preserve"> Turning to </w:t>
      </w:r>
      <w:r w:rsidRPr="00677ABE">
        <w:rPr>
          <w:rFonts w:cs="Times New Roman"/>
          <w:i/>
        </w:rPr>
        <w:t>Alice</w:t>
      </w:r>
      <w:r w:rsidRPr="00677ABE">
        <w:rPr>
          <w:rFonts w:cs="Times New Roman"/>
        </w:rPr>
        <w:t xml:space="preserve"> step two, the court explained that “[l]ike indefiniteness, enablement, or obviousness, whether a claim recites patent eligible subject matter is a question of law which may contain underlying facts.”</w:t>
      </w:r>
      <w:r w:rsidRPr="00677ABE">
        <w:rPr>
          <w:rStyle w:val="FootnoteReference"/>
          <w:rFonts w:cs="Times New Roman"/>
        </w:rPr>
        <w:footnoteReference w:id="107"/>
      </w:r>
      <w:r w:rsidRPr="00677ABE">
        <w:rPr>
          <w:rFonts w:cs="Times New Roman"/>
        </w:rPr>
        <w:t xml:space="preserve"> And “[t]he question of whether a claim element or combination of elements is well-understood, routine and conventional to a skilled artisan in the relevant field is a question of fact” that “must be proven by clear and convincing evidence.”</w:t>
      </w:r>
      <w:r w:rsidRPr="00677ABE">
        <w:rPr>
          <w:rStyle w:val="FootnoteReference"/>
          <w:rFonts w:cs="Times New Roman"/>
        </w:rPr>
        <w:footnoteReference w:id="108"/>
      </w:r>
      <w:r w:rsidRPr="00677ABE">
        <w:rPr>
          <w:rFonts w:cs="Times New Roman"/>
        </w:rPr>
        <w:t xml:space="preserve"> The court opined that “the mere fact that something is disclosed in a piece of prior art, for example, does not mean it was well-understood, routine, and conventional.”</w:t>
      </w:r>
      <w:r w:rsidRPr="00677ABE">
        <w:rPr>
          <w:rStyle w:val="FootnoteReference"/>
          <w:rFonts w:cs="Times New Roman"/>
        </w:rPr>
        <w:footnoteReference w:id="109"/>
      </w:r>
    </w:p>
    <w:p w14:paraId="7A68F16D" w14:textId="77777777" w:rsidR="00FE779D" w:rsidRPr="00677ABE" w:rsidRDefault="00FE779D" w:rsidP="00CA2C0A">
      <w:pPr>
        <w:rPr>
          <w:rFonts w:cs="Times New Roman"/>
        </w:rPr>
      </w:pPr>
      <w:r w:rsidRPr="00677ABE">
        <w:rPr>
          <w:rFonts w:cs="Times New Roman"/>
        </w:rPr>
        <w:tab/>
        <w:t>Here, the patent’s “specification describes an inventive feature that stores parsed data in a purportedly unconventional manner,” which eliminates redundancies and improves system efficiency.</w:t>
      </w:r>
      <w:r w:rsidRPr="00677ABE">
        <w:rPr>
          <w:rStyle w:val="FootnoteReference"/>
          <w:rFonts w:cs="Times New Roman"/>
        </w:rPr>
        <w:footnoteReference w:id="110"/>
      </w:r>
      <w:r w:rsidRPr="00677ABE">
        <w:rPr>
          <w:rFonts w:cs="Times New Roman"/>
        </w:rPr>
        <w:t xml:space="preserve"> These purported “improvements in the specification, to the extent they are captured in the claims, create a factual dispute regarding whether the invention describes well-understood, routine, and conventional activities.” The court ultimately determined that claims 4-7, but not claims 1-3 and 9, were directed to these purported improvements.</w:t>
      </w:r>
      <w:r w:rsidRPr="00677ABE">
        <w:rPr>
          <w:rStyle w:val="FootnoteReference"/>
          <w:rFonts w:cs="Times New Roman"/>
        </w:rPr>
        <w:footnoteReference w:id="111"/>
      </w:r>
      <w:r w:rsidRPr="00677ABE">
        <w:rPr>
          <w:rFonts w:cs="Times New Roman"/>
        </w:rPr>
        <w:t xml:space="preserve"> Accordingly, it was premature to render claims 4-7 patent ineligible.</w:t>
      </w:r>
      <w:r w:rsidRPr="00677ABE">
        <w:rPr>
          <w:rStyle w:val="FootnoteReference"/>
          <w:rFonts w:cs="Times New Roman"/>
        </w:rPr>
        <w:footnoteReference w:id="112"/>
      </w:r>
    </w:p>
    <w:p w14:paraId="2702DCF5" w14:textId="31693DB4" w:rsidR="00FE779D" w:rsidRPr="00677ABE" w:rsidRDefault="00FE779D" w:rsidP="00CA2C0A">
      <w:pPr>
        <w:rPr>
          <w:rFonts w:cs="Times New Roman"/>
        </w:rPr>
      </w:pPr>
      <w:r w:rsidRPr="00677ABE">
        <w:rPr>
          <w:rFonts w:cs="Times New Roman"/>
        </w:rPr>
        <w:tab/>
        <w:t xml:space="preserve">The court made clear that “[a]s our cases demonstrate, not every </w:t>
      </w:r>
      <w:r w:rsidR="00AC00E6">
        <w:rPr>
          <w:rFonts w:cs="Times New Roman"/>
        </w:rPr>
        <w:t>§ </w:t>
      </w:r>
      <w:r w:rsidRPr="00677ABE">
        <w:rPr>
          <w:rFonts w:cs="Times New Roman"/>
        </w:rPr>
        <w:t xml:space="preserve">101 determination contains genuine disputes over the underlying facts material to the </w:t>
      </w:r>
      <w:r w:rsidR="00AC00E6">
        <w:rPr>
          <w:rFonts w:cs="Times New Roman"/>
        </w:rPr>
        <w:t>§ </w:t>
      </w:r>
      <w:r w:rsidRPr="00677ABE">
        <w:rPr>
          <w:rFonts w:cs="Times New Roman"/>
        </w:rPr>
        <w:t xml:space="preserve">101 </w:t>
      </w:r>
      <w:r w:rsidRPr="00677ABE">
        <w:rPr>
          <w:rFonts w:cs="Times New Roman"/>
        </w:rPr>
        <w:lastRenderedPageBreak/>
        <w:t>inquiry.”</w:t>
      </w:r>
      <w:r w:rsidRPr="00677ABE">
        <w:rPr>
          <w:rStyle w:val="FootnoteReference"/>
          <w:rFonts w:cs="Times New Roman"/>
        </w:rPr>
        <w:footnoteReference w:id="113"/>
      </w:r>
      <w:r w:rsidRPr="00677ABE">
        <w:rPr>
          <w:rFonts w:cs="Times New Roman"/>
        </w:rPr>
        <w:t xml:space="preserve"> And “[n]othing in this decision should be viewed as casting doubt on the propriety of those cases.”</w:t>
      </w:r>
      <w:r w:rsidRPr="00677ABE">
        <w:rPr>
          <w:rStyle w:val="FootnoteReference"/>
          <w:rFonts w:cs="Times New Roman"/>
        </w:rPr>
        <w:footnoteReference w:id="114"/>
      </w:r>
    </w:p>
    <w:p w14:paraId="6A1B2D96" w14:textId="77777777" w:rsidR="00F20B84" w:rsidRDefault="00FE779D" w:rsidP="00CA2C0A">
      <w:pPr>
        <w:rPr>
          <w:rFonts w:cs="Times New Roman"/>
        </w:rPr>
      </w:pPr>
      <w:r w:rsidRPr="00677ABE">
        <w:rPr>
          <w:rFonts w:cs="Times New Roman"/>
        </w:rPr>
        <w:tab/>
        <w:t>The case is remanded, presumably for fact-finding at trial, but the court did not indicate who the factfinder should be.</w:t>
      </w:r>
    </w:p>
    <w:p w14:paraId="195AA47C" w14:textId="034E3385" w:rsidR="00FE779D" w:rsidRPr="00677ABE" w:rsidRDefault="00FE779D" w:rsidP="00CA2C0A">
      <w:pPr>
        <w:pStyle w:val="Heading3"/>
        <w:ind w:firstLine="0"/>
        <w:rPr>
          <w:rFonts w:cs="Times New Roman"/>
          <w:i w:val="0"/>
        </w:rPr>
      </w:pPr>
      <w:bookmarkStart w:id="20" w:name="_Toc516586526"/>
      <w:bookmarkStart w:id="21" w:name="_Toc531692722"/>
      <w:r w:rsidRPr="00677ABE">
        <w:rPr>
          <w:rFonts w:cs="Times New Roman"/>
        </w:rPr>
        <w:t>Aatrix Software, Inc. v. Green Shades Software, Inc.</w:t>
      </w:r>
      <w:r w:rsidRPr="00677ABE">
        <w:rPr>
          <w:rFonts w:cs="Times New Roman"/>
          <w:i w:val="0"/>
        </w:rPr>
        <w:t>, 882 F.3d 1121 (Fed. Cir. Feb. 14, 2018)</w:t>
      </w:r>
      <w:bookmarkEnd w:id="20"/>
      <w:bookmarkEnd w:id="21"/>
    </w:p>
    <w:p w14:paraId="4564ED75" w14:textId="62CB5221" w:rsidR="00FE779D" w:rsidRPr="00677ABE" w:rsidRDefault="00FE779D" w:rsidP="00CA2C0A">
      <w:pPr>
        <w:rPr>
          <w:rFonts w:cs="Times New Roman"/>
        </w:rPr>
      </w:pPr>
      <w:r w:rsidRPr="00677ABE">
        <w:rPr>
          <w:rFonts w:cs="Times New Roman"/>
          <w:lang w:eastAsia="x-none"/>
        </w:rPr>
        <w:tab/>
        <w:t xml:space="preserve">In </w:t>
      </w:r>
      <w:r w:rsidRPr="00677ABE">
        <w:rPr>
          <w:rFonts w:cs="Times New Roman"/>
        </w:rPr>
        <w:t xml:space="preserve">this appeal from the Middle District of Florida, a divided Federal Circuit panel reversed the district court’s denial of Aatrix’s motion for leave to file a second amended complaint and vacated the district court’s finding that that the asserted claims of the </w:t>
      </w:r>
      <w:r w:rsidR="00370148">
        <w:rPr>
          <w:rFonts w:cs="Times New Roman"/>
        </w:rPr>
        <w:t>’6</w:t>
      </w:r>
      <w:r w:rsidRPr="00677ABE">
        <w:rPr>
          <w:rFonts w:cs="Times New Roman"/>
        </w:rPr>
        <w:t xml:space="preserve">15 and </w:t>
      </w:r>
      <w:r w:rsidR="00370148">
        <w:rPr>
          <w:rFonts w:cs="Times New Roman"/>
        </w:rPr>
        <w:t>’3</w:t>
      </w:r>
      <w:r w:rsidRPr="00677ABE">
        <w:rPr>
          <w:rFonts w:cs="Times New Roman"/>
        </w:rPr>
        <w:t xml:space="preserve">93 patents were invalid under </w:t>
      </w:r>
      <w:r w:rsidR="00AC00E6">
        <w:rPr>
          <w:rFonts w:cs="Times New Roman"/>
        </w:rPr>
        <w:t>§ </w:t>
      </w:r>
      <w:r w:rsidRPr="00677ABE">
        <w:rPr>
          <w:rFonts w:cs="Times New Roman"/>
        </w:rPr>
        <w:t>101.</w:t>
      </w:r>
      <w:r w:rsidRPr="00677ABE">
        <w:rPr>
          <w:rStyle w:val="FootnoteReference"/>
          <w:rFonts w:cs="Times New Roman"/>
        </w:rPr>
        <w:footnoteReference w:id="115"/>
      </w:r>
    </w:p>
    <w:p w14:paraId="4BF67520" w14:textId="72EC756A" w:rsidR="00FE779D" w:rsidRPr="00677ABE" w:rsidRDefault="00FE779D" w:rsidP="00CA2C0A">
      <w:pPr>
        <w:rPr>
          <w:rFonts w:cs="Times New Roman"/>
        </w:rPr>
      </w:pPr>
      <w:r w:rsidRPr="00677ABE">
        <w:rPr>
          <w:rFonts w:cs="Times New Roman"/>
          <w:lang w:eastAsia="x-none"/>
        </w:rPr>
        <w:tab/>
        <w:t>The patents are directed to systems and methods for designing, creating, and importing data into a viewable form on a computer to permit users to manipulate the form data and create viewable forms and reports.</w:t>
      </w:r>
      <w:r w:rsidRPr="00677ABE">
        <w:rPr>
          <w:rStyle w:val="FootnoteReference"/>
          <w:rFonts w:cs="Times New Roman"/>
          <w:lang w:eastAsia="x-none"/>
        </w:rPr>
        <w:footnoteReference w:id="116"/>
      </w:r>
      <w:r w:rsidRPr="00677ABE">
        <w:rPr>
          <w:rFonts w:cs="Times New Roman"/>
          <w:lang w:eastAsia="x-none"/>
        </w:rPr>
        <w:t xml:space="preserve"> The majority stated that “[w]hile </w:t>
      </w:r>
      <w:r w:rsidRPr="00677ABE">
        <w:rPr>
          <w:rFonts w:cs="Times New Roman"/>
        </w:rPr>
        <w:t xml:space="preserve">the ultimate determination of eligibility under </w:t>
      </w:r>
      <w:r w:rsidR="00AC00E6">
        <w:rPr>
          <w:rFonts w:cs="Times New Roman"/>
        </w:rPr>
        <w:t>§ </w:t>
      </w:r>
      <w:r w:rsidRPr="00677ABE">
        <w:rPr>
          <w:rFonts w:cs="Times New Roman"/>
        </w:rPr>
        <w:t>101 is a question of law, like many legal questions, there can be subsidiary fact questions which must be resolved en route to the ultimate legal determination.”</w:t>
      </w:r>
      <w:r w:rsidRPr="00677ABE">
        <w:rPr>
          <w:rStyle w:val="FootnoteReference"/>
          <w:rFonts w:cs="Times New Roman"/>
        </w:rPr>
        <w:footnoteReference w:id="117"/>
      </w:r>
      <w:r w:rsidRPr="00677ABE">
        <w:rPr>
          <w:rFonts w:cs="Times New Roman"/>
        </w:rPr>
        <w:t xml:space="preserve"> For instance, “[w]hether the claim elements of the claimed combination are well-understood, routine, conventional [under </w:t>
      </w:r>
      <w:r w:rsidRPr="00677ABE">
        <w:rPr>
          <w:rFonts w:cs="Times New Roman"/>
          <w:i/>
        </w:rPr>
        <w:t>Alice</w:t>
      </w:r>
      <w:r w:rsidRPr="00677ABE">
        <w:rPr>
          <w:rFonts w:cs="Times New Roman"/>
        </w:rPr>
        <w:t>/</w:t>
      </w:r>
      <w:r w:rsidRPr="00677ABE">
        <w:rPr>
          <w:rFonts w:cs="Times New Roman"/>
          <w:i/>
        </w:rPr>
        <w:t>Mayo</w:t>
      </w:r>
      <w:r w:rsidRPr="00677ABE">
        <w:rPr>
          <w:rFonts w:cs="Times New Roman"/>
        </w:rPr>
        <w:t xml:space="preserve"> step two] is a question of fact.”</w:t>
      </w:r>
      <w:r w:rsidRPr="00677ABE">
        <w:rPr>
          <w:rStyle w:val="FootnoteReference"/>
          <w:rFonts w:cs="Times New Roman"/>
        </w:rPr>
        <w:footnoteReference w:id="118"/>
      </w:r>
      <w:r w:rsidRPr="00677ABE">
        <w:rPr>
          <w:rFonts w:cs="Times New Roman"/>
        </w:rPr>
        <w:t xml:space="preserve"> Here, the district court erred “when it denied leave to amend without claim construction and in the face of factual allegations, spelled out in the proposed second amended complaint, that, if accepted as true, establish that the claimed combination contains inventive components and improves the workings of the computer.”</w:t>
      </w:r>
      <w:r w:rsidRPr="00677ABE">
        <w:rPr>
          <w:rStyle w:val="FootnoteReference"/>
          <w:rFonts w:cs="Times New Roman"/>
        </w:rPr>
        <w:footnoteReference w:id="119"/>
      </w:r>
      <w:r w:rsidRPr="00677ABE">
        <w:rPr>
          <w:rFonts w:cs="Times New Roman"/>
        </w:rPr>
        <w:t xml:space="preserve"> </w:t>
      </w:r>
    </w:p>
    <w:p w14:paraId="48F81B60" w14:textId="2B8B8AAA" w:rsidR="00FE779D" w:rsidRPr="00677ABE" w:rsidRDefault="00FE779D" w:rsidP="00CA2C0A">
      <w:pPr>
        <w:rPr>
          <w:rFonts w:cs="Times New Roman"/>
        </w:rPr>
      </w:pPr>
      <w:r w:rsidRPr="00677ABE">
        <w:rPr>
          <w:rFonts w:cs="Times New Roman"/>
        </w:rPr>
        <w:t>For example, the proposed second amendment states that the patented inventions “allow[] data to be imported from an end user application without needing to know proprietary database schemas and without having to custom program the form files to work with each outside application.”</w:t>
      </w:r>
      <w:r w:rsidRPr="00677ABE">
        <w:rPr>
          <w:rStyle w:val="FootnoteReference"/>
          <w:rFonts w:cs="Times New Roman"/>
        </w:rPr>
        <w:footnoteReference w:id="120"/>
      </w:r>
      <w:r w:rsidRPr="00677ABE">
        <w:rPr>
          <w:rFonts w:cs="Times New Roman"/>
        </w:rPr>
        <w:t xml:space="preserve"> The inventions also “permit data to be retrieved from a user application and inserted into a form, eliminating the need for hand typing in the values and eliminating the risk of transcription error.”</w:t>
      </w:r>
      <w:r w:rsidRPr="00677ABE">
        <w:rPr>
          <w:rStyle w:val="FootnoteReference"/>
          <w:rFonts w:cs="Times New Roman"/>
        </w:rPr>
        <w:footnoteReference w:id="121"/>
      </w:r>
      <w:r w:rsidRPr="00677ABE">
        <w:rPr>
          <w:rFonts w:cs="Times New Roman"/>
        </w:rPr>
        <w:t xml:space="preserve"> Furthermore, the complaint alleges that the claimed invention “uses less memory, results in faster processing speed, and reduces the risk of thrashing which makes the computer process forms more efficiently.”</w:t>
      </w:r>
      <w:r w:rsidRPr="00677ABE">
        <w:rPr>
          <w:rStyle w:val="FootnoteReference"/>
          <w:rFonts w:cs="Times New Roman"/>
        </w:rPr>
        <w:footnoteReference w:id="122"/>
      </w:r>
      <w:r w:rsidRPr="00677ABE">
        <w:rPr>
          <w:rFonts w:cs="Times New Roman"/>
        </w:rPr>
        <w:t xml:space="preserve"> These allegations “at a minimum raise factual disputes underlying the </w:t>
      </w:r>
      <w:r w:rsidR="00AC00E6">
        <w:rPr>
          <w:rFonts w:cs="Times New Roman"/>
        </w:rPr>
        <w:t>§ </w:t>
      </w:r>
      <w:r w:rsidRPr="00677ABE">
        <w:rPr>
          <w:rFonts w:cs="Times New Roman"/>
        </w:rPr>
        <w:t>101 analysis, such as whether the claim term ‘data file’ constitutes an inventive concept.”</w:t>
      </w:r>
      <w:r w:rsidRPr="00677ABE">
        <w:rPr>
          <w:rStyle w:val="FootnoteReference"/>
          <w:rFonts w:cs="Times New Roman"/>
        </w:rPr>
        <w:footnoteReference w:id="123"/>
      </w:r>
      <w:r w:rsidR="00AC00E6">
        <w:rPr>
          <w:rFonts w:cs="Times New Roman"/>
        </w:rPr>
        <w:t xml:space="preserve"> </w:t>
      </w:r>
      <w:r w:rsidRPr="00677ABE">
        <w:rPr>
          <w:rFonts w:cs="Times New Roman"/>
        </w:rPr>
        <w:t>[The patent was filed in 2002].</w:t>
      </w:r>
    </w:p>
    <w:p w14:paraId="2A550345" w14:textId="6322E35C" w:rsidR="00F20B84" w:rsidRDefault="00FE779D" w:rsidP="00CA2C0A">
      <w:pPr>
        <w:rPr>
          <w:rFonts w:cs="Times New Roman"/>
        </w:rPr>
      </w:pPr>
      <w:r w:rsidRPr="00677ABE">
        <w:rPr>
          <w:rFonts w:cs="Times New Roman"/>
        </w:rPr>
        <w:lastRenderedPageBreak/>
        <w:t>Judge Reyna concurred-in-part and dissented-in-part.</w:t>
      </w:r>
      <w:r w:rsidRPr="00677ABE">
        <w:rPr>
          <w:rStyle w:val="FootnoteReference"/>
          <w:rFonts w:cs="Times New Roman"/>
        </w:rPr>
        <w:footnoteReference w:id="124"/>
      </w:r>
      <w:r w:rsidRPr="00677ABE">
        <w:rPr>
          <w:rFonts w:cs="Times New Roman"/>
        </w:rPr>
        <w:t xml:space="preserve"> Judge Reyna “disagree[d] with the majority’s broad statements on the role of factual evidence in a </w:t>
      </w:r>
      <w:r w:rsidR="00AC00E6">
        <w:rPr>
          <w:rFonts w:cs="Times New Roman"/>
        </w:rPr>
        <w:t>§ </w:t>
      </w:r>
      <w:r w:rsidRPr="00677ABE">
        <w:rPr>
          <w:rFonts w:cs="Times New Roman"/>
        </w:rPr>
        <w:t xml:space="preserve">101 inquiry” because “[o]ur precedent is clear that the </w:t>
      </w:r>
      <w:r w:rsidR="00AC00E6">
        <w:rPr>
          <w:rFonts w:cs="Times New Roman"/>
        </w:rPr>
        <w:t>§ </w:t>
      </w:r>
      <w:r w:rsidRPr="00677ABE">
        <w:rPr>
          <w:rFonts w:cs="Times New Roman"/>
        </w:rPr>
        <w:t>101 inquiry is a legal question.”</w:t>
      </w:r>
      <w:r w:rsidRPr="00677ABE">
        <w:rPr>
          <w:rStyle w:val="FootnoteReference"/>
          <w:rFonts w:cs="Times New Roman"/>
        </w:rPr>
        <w:footnoteReference w:id="125"/>
      </w:r>
      <w:r w:rsidRPr="00677ABE">
        <w:rPr>
          <w:rFonts w:cs="Times New Roman"/>
        </w:rPr>
        <w:t xml:space="preserve"> In Judge Reyna’s view, the problem with the majority’s approach is that it permits “the introduction of an inexhaustible array of extrinsic evidence, such as prior art, publications, other patents, and expert opinion.”</w:t>
      </w:r>
      <w:r w:rsidRPr="00677ABE">
        <w:rPr>
          <w:rStyle w:val="FootnoteReference"/>
          <w:rFonts w:cs="Times New Roman"/>
        </w:rPr>
        <w:footnoteReference w:id="126"/>
      </w:r>
      <w:r w:rsidRPr="00677ABE">
        <w:rPr>
          <w:rFonts w:cs="Times New Roman"/>
        </w:rPr>
        <w:t xml:space="preserve"> Moreover, “[o]ne effect of this approach is that a plaintiff facing a 12(b)(6) motion may simply amend its complaint to allege extrinsic facts that, once alleged, must be taken as true, regardless of its consistency with the intrinsic record.”</w:t>
      </w:r>
      <w:r w:rsidRPr="00677ABE">
        <w:rPr>
          <w:rStyle w:val="FootnoteReference"/>
          <w:rFonts w:cs="Times New Roman"/>
        </w:rPr>
        <w:footnoteReference w:id="127"/>
      </w:r>
      <w:r w:rsidRPr="00677ABE">
        <w:rPr>
          <w:rFonts w:cs="Times New Roman"/>
        </w:rPr>
        <w:t xml:space="preserve"> </w:t>
      </w:r>
    </w:p>
    <w:p w14:paraId="3C3AC3A5" w14:textId="086E3764" w:rsidR="00FF6223" w:rsidRPr="00300BD8" w:rsidRDefault="00FF6223" w:rsidP="00913BF0">
      <w:pPr>
        <w:pStyle w:val="Heading3"/>
        <w:rPr>
          <w:rFonts w:cs="Times New Roman"/>
          <w:color w:val="000000" w:themeColor="text1"/>
        </w:rPr>
      </w:pPr>
      <w:bookmarkStart w:id="22" w:name="_Toc516586527"/>
      <w:r>
        <w:tab/>
      </w:r>
      <w:r w:rsidRPr="00300BD8">
        <w:rPr>
          <w:rFonts w:cs="Times New Roman"/>
          <w:color w:val="000000" w:themeColor="text1"/>
        </w:rPr>
        <w:t xml:space="preserve"> </w:t>
      </w:r>
    </w:p>
    <w:p w14:paraId="67CBF41B" w14:textId="195299D3" w:rsidR="00FE779D" w:rsidRPr="00692758" w:rsidRDefault="00FE779D" w:rsidP="00CA2C0A">
      <w:pPr>
        <w:pStyle w:val="Heading3"/>
        <w:ind w:firstLine="0"/>
        <w:rPr>
          <w:rFonts w:cs="Times New Roman"/>
          <w:i w:val="0"/>
          <w:lang w:val="es-ES"/>
        </w:rPr>
      </w:pPr>
      <w:bookmarkStart w:id="23" w:name="_Toc531692723"/>
      <w:r w:rsidRPr="00692758">
        <w:rPr>
          <w:rFonts w:cs="Times New Roman"/>
          <w:lang w:val="es-ES"/>
        </w:rPr>
        <w:t>Exergen Corp. v. Kaz USA, Inc.</w:t>
      </w:r>
      <w:r w:rsidRPr="00692758">
        <w:rPr>
          <w:rFonts w:cs="Times New Roman"/>
          <w:i w:val="0"/>
          <w:lang w:val="es-ES"/>
        </w:rPr>
        <w:t>, 2018 WL 1193529 (Fed. Cir. Mar. 8, 2018)</w:t>
      </w:r>
      <w:bookmarkEnd w:id="22"/>
      <w:bookmarkEnd w:id="23"/>
    </w:p>
    <w:p w14:paraId="1660B0EA" w14:textId="5D41CA64" w:rsidR="00FE779D" w:rsidRPr="00677ABE" w:rsidRDefault="00FE779D" w:rsidP="00CA2C0A">
      <w:pPr>
        <w:rPr>
          <w:rFonts w:cs="Times New Roman"/>
          <w:lang w:eastAsia="x-none"/>
        </w:rPr>
      </w:pPr>
      <w:r w:rsidRPr="00692758">
        <w:rPr>
          <w:rFonts w:cs="Times New Roman"/>
          <w:lang w:val="es-ES" w:eastAsia="x-none"/>
        </w:rPr>
        <w:tab/>
      </w:r>
      <w:r w:rsidRPr="00677ABE">
        <w:rPr>
          <w:rFonts w:cs="Times New Roman"/>
          <w:lang w:eastAsia="x-none"/>
        </w:rPr>
        <w:t xml:space="preserve">In this nonprecedential decision, a divided Federal Circuit panel affirmed the District of Massachusetts’ determination that the asserted patents were patent-eligible under </w:t>
      </w:r>
      <w:r w:rsidR="00AC00E6">
        <w:rPr>
          <w:rFonts w:cs="Times New Roman"/>
          <w:lang w:eastAsia="x-none"/>
        </w:rPr>
        <w:t>§ </w:t>
      </w:r>
      <w:r w:rsidRPr="00677ABE">
        <w:rPr>
          <w:rFonts w:cs="Times New Roman"/>
          <w:lang w:eastAsia="x-none"/>
        </w:rPr>
        <w:t>101.</w:t>
      </w:r>
      <w:r w:rsidRPr="00677ABE">
        <w:rPr>
          <w:rStyle w:val="FootnoteReference"/>
          <w:rFonts w:cs="Times New Roman"/>
          <w:lang w:eastAsia="x-none"/>
        </w:rPr>
        <w:footnoteReference w:id="128"/>
      </w:r>
      <w:r w:rsidRPr="00677ABE">
        <w:rPr>
          <w:rFonts w:cs="Times New Roman"/>
          <w:lang w:eastAsia="x-none"/>
        </w:rPr>
        <w:t xml:space="preserve"> The patents disclose a body temperature detector that takes temperature readings of a person’s forehead directly above the superficial temporal artery and utilizes that reading to determine the person’s core body temperature.</w:t>
      </w:r>
      <w:r w:rsidRPr="00677ABE">
        <w:rPr>
          <w:rStyle w:val="FootnoteReference"/>
          <w:rFonts w:cs="Times New Roman"/>
          <w:lang w:eastAsia="x-none"/>
        </w:rPr>
        <w:footnoteReference w:id="129"/>
      </w:r>
      <w:r w:rsidRPr="00677ABE">
        <w:rPr>
          <w:rFonts w:cs="Times New Roman"/>
          <w:lang w:eastAsia="x-none"/>
        </w:rPr>
        <w:t xml:space="preserve"> The patents explain that the superficial temporal </w:t>
      </w:r>
      <w:r w:rsidRPr="00677ABE">
        <w:rPr>
          <w:rFonts w:cs="Times New Roman"/>
        </w:rPr>
        <w:t>artery is ideal for taking a person’s temperature due to its accessibility, stable blood flow, and temperature close to that of the heart.</w:t>
      </w:r>
      <w:r w:rsidRPr="00677ABE">
        <w:rPr>
          <w:rStyle w:val="FootnoteReference"/>
          <w:rFonts w:cs="Times New Roman"/>
        </w:rPr>
        <w:footnoteReference w:id="130"/>
      </w:r>
      <w:r w:rsidRPr="00677ABE">
        <w:rPr>
          <w:rFonts w:cs="Times New Roman"/>
        </w:rPr>
        <w:t xml:space="preserve"> </w:t>
      </w:r>
      <w:r w:rsidRPr="00677ABE">
        <w:rPr>
          <w:rFonts w:cs="Times New Roman"/>
          <w:lang w:eastAsia="x-none"/>
        </w:rPr>
        <w:t>The Federal Circuit acknowledged that there was “no dispute . . . that the asserted claims employ a natural law to achieve their purpose,” because the claims were directed to the correlation between a person’s core body temperature and forehead temperature just above the superficial temporal artery.</w:t>
      </w:r>
      <w:r w:rsidRPr="00677ABE">
        <w:rPr>
          <w:rStyle w:val="FootnoteReference"/>
          <w:rFonts w:cs="Times New Roman"/>
          <w:lang w:eastAsia="x-none"/>
        </w:rPr>
        <w:footnoteReference w:id="131"/>
      </w:r>
      <w:r w:rsidRPr="00677ABE">
        <w:rPr>
          <w:rFonts w:cs="Times New Roman"/>
          <w:lang w:eastAsia="x-none"/>
        </w:rPr>
        <w:t xml:space="preserve"> </w:t>
      </w:r>
    </w:p>
    <w:p w14:paraId="166FBEAD" w14:textId="77777777" w:rsidR="00FE779D" w:rsidRPr="00677ABE" w:rsidRDefault="00FE779D" w:rsidP="00CA2C0A">
      <w:pPr>
        <w:rPr>
          <w:rFonts w:cs="Times New Roman"/>
        </w:rPr>
      </w:pPr>
      <w:r w:rsidRPr="00677ABE">
        <w:rPr>
          <w:rFonts w:cs="Times New Roman"/>
        </w:rPr>
        <w:tab/>
        <w:t>The Federal Circuit determined that the district court did not clearly err in determining that the patents included an inventive concept.</w:t>
      </w:r>
      <w:r w:rsidRPr="00677ABE">
        <w:rPr>
          <w:rStyle w:val="FootnoteReference"/>
          <w:rFonts w:cs="Times New Roman"/>
        </w:rPr>
        <w:footnoteReference w:id="132"/>
      </w:r>
      <w:r w:rsidRPr="00677ABE">
        <w:rPr>
          <w:rFonts w:cs="Times New Roman"/>
        </w:rPr>
        <w:t xml:space="preserve"> In addition to the natural law, the claims recited three additional steps: (1) moving while laterally scanning; (2) obtaining a peak temperature reading; and (3) obtaining at least three readings per second.</w:t>
      </w:r>
      <w:r w:rsidRPr="00677ABE">
        <w:rPr>
          <w:rStyle w:val="FootnoteReference"/>
          <w:rFonts w:cs="Times New Roman"/>
        </w:rPr>
        <w:footnoteReference w:id="133"/>
      </w:r>
      <w:r w:rsidRPr="00677ABE">
        <w:rPr>
          <w:rFonts w:cs="Times New Roman"/>
        </w:rPr>
        <w:t xml:space="preserve"> Although all of these additional elements were known in the prior art, “simply being known in the art [is insufficient to] establish that the subject matter was not eligible for patenting.”</w:t>
      </w:r>
      <w:r w:rsidRPr="00677ABE">
        <w:rPr>
          <w:rStyle w:val="FootnoteReference"/>
          <w:rFonts w:cs="Times New Roman"/>
        </w:rPr>
        <w:footnoteReference w:id="134"/>
      </w:r>
      <w:r w:rsidRPr="00677ABE">
        <w:rPr>
          <w:rFonts w:cs="Times New Roman"/>
        </w:rPr>
        <w:t xml:space="preserve"> These claim elements were known in the art to detect hot spots indicating injury or tumors, but not to take human body temperature.</w:t>
      </w:r>
      <w:r w:rsidRPr="00677ABE">
        <w:rPr>
          <w:rStyle w:val="FootnoteReference"/>
          <w:rFonts w:cs="Times New Roman"/>
        </w:rPr>
        <w:footnoteReference w:id="135"/>
      </w:r>
      <w:r w:rsidRPr="00677ABE">
        <w:rPr>
          <w:rFonts w:cs="Times New Roman"/>
        </w:rPr>
        <w:t xml:space="preserve"> “And these [prior art] methods made no use of the newly calculated coefficient for translating </w:t>
      </w:r>
      <w:r w:rsidRPr="00677ABE">
        <w:rPr>
          <w:rFonts w:cs="Times New Roman"/>
        </w:rPr>
        <w:lastRenderedPageBreak/>
        <w:t>measurements taken at the forehead into core body temperature readings.”</w:t>
      </w:r>
      <w:r w:rsidRPr="00677ABE">
        <w:rPr>
          <w:rStyle w:val="FootnoteReference"/>
          <w:rFonts w:cs="Times New Roman"/>
        </w:rPr>
        <w:footnoteReference w:id="136"/>
      </w:r>
      <w:r w:rsidRPr="00677ABE">
        <w:rPr>
          <w:rFonts w:cs="Times New Roman"/>
        </w:rPr>
        <w:t xml:space="preserve"> Accordingly, the district court did not err in determining that the claims transformed a natural law by incorporating the law into an unconventional method of measurement.</w:t>
      </w:r>
      <w:r w:rsidRPr="00677ABE">
        <w:rPr>
          <w:rStyle w:val="FootnoteReference"/>
          <w:rFonts w:cs="Times New Roman"/>
        </w:rPr>
        <w:footnoteReference w:id="137"/>
      </w:r>
    </w:p>
    <w:p w14:paraId="57F2B921" w14:textId="607BCA69" w:rsidR="00FE779D" w:rsidRPr="00677ABE" w:rsidRDefault="00FE779D" w:rsidP="00CA2C0A">
      <w:pPr>
        <w:rPr>
          <w:rFonts w:cs="Times New Roman"/>
        </w:rPr>
      </w:pPr>
      <w:r w:rsidRPr="00677ABE">
        <w:rPr>
          <w:rFonts w:cs="Times New Roman"/>
        </w:rPr>
        <w:tab/>
        <w:t xml:space="preserve">Finally, the Federal Circuit rejected Kaz’s argument that the district court erred in making its </w:t>
      </w:r>
      <w:r w:rsidR="00AC00E6">
        <w:rPr>
          <w:rFonts w:cs="Times New Roman"/>
        </w:rPr>
        <w:t>§ </w:t>
      </w:r>
      <w:r w:rsidRPr="00677ABE">
        <w:rPr>
          <w:rFonts w:cs="Times New Roman"/>
        </w:rPr>
        <w:t>101 determination because Kaz had a Seventh Amendment right to have a jury resolve any underlying factual disputes.</w:t>
      </w:r>
      <w:r w:rsidRPr="00677ABE">
        <w:rPr>
          <w:rStyle w:val="FootnoteReference"/>
          <w:rFonts w:cs="Times New Roman"/>
        </w:rPr>
        <w:footnoteReference w:id="138"/>
      </w:r>
      <w:r w:rsidRPr="00677ABE">
        <w:rPr>
          <w:rFonts w:cs="Times New Roman"/>
        </w:rPr>
        <w:t xml:space="preserve"> The Federal Circuit acknowledged that “[w]hether the Seventh Amendment guarantees of a jury trial on any factual underpinnings of </w:t>
      </w:r>
      <w:r w:rsidR="00AC00E6">
        <w:rPr>
          <w:rFonts w:cs="Times New Roman"/>
        </w:rPr>
        <w:t>§ </w:t>
      </w:r>
      <w:r w:rsidRPr="00677ABE">
        <w:rPr>
          <w:rFonts w:cs="Times New Roman"/>
        </w:rPr>
        <w:t>101 is a question which awaits more in-depth development and briefing than the limited discussion in this case.”</w:t>
      </w:r>
      <w:r w:rsidRPr="00677ABE">
        <w:rPr>
          <w:rStyle w:val="FootnoteReference"/>
          <w:rFonts w:cs="Times New Roman"/>
        </w:rPr>
        <w:footnoteReference w:id="139"/>
      </w:r>
      <w:r w:rsidRPr="00677ABE">
        <w:rPr>
          <w:rFonts w:cs="Times New Roman"/>
        </w:rPr>
        <w:t xml:space="preserve"> But the court need not decide this issue here, because Kaz waived its right to a jury trial.</w:t>
      </w:r>
      <w:r w:rsidRPr="00677ABE">
        <w:rPr>
          <w:rStyle w:val="FootnoteReference"/>
          <w:rFonts w:cs="Times New Roman"/>
        </w:rPr>
        <w:footnoteReference w:id="140"/>
      </w:r>
    </w:p>
    <w:p w14:paraId="1B711D7B" w14:textId="77777777" w:rsidR="00F20B84" w:rsidRDefault="00FE779D" w:rsidP="00CA2C0A">
      <w:pPr>
        <w:rPr>
          <w:rFonts w:cs="Times New Roman"/>
        </w:rPr>
      </w:pPr>
      <w:r w:rsidRPr="00677ABE">
        <w:rPr>
          <w:rFonts w:cs="Times New Roman"/>
        </w:rPr>
        <w:tab/>
        <w:t>Judge Hughes dissented, arguing that “the claimed inventions merely calculate a law of nature that governs the relationship between core body temperature and forehead skin temperature.”</w:t>
      </w:r>
      <w:r w:rsidRPr="00677ABE">
        <w:rPr>
          <w:rStyle w:val="FootnoteReference"/>
          <w:rFonts w:cs="Times New Roman"/>
        </w:rPr>
        <w:footnoteReference w:id="141"/>
      </w:r>
      <w:r w:rsidRPr="00677ABE">
        <w:rPr>
          <w:rFonts w:cs="Times New Roman"/>
        </w:rPr>
        <w:t xml:space="preserve"> Judge Hughes reasoned that temperature-detecting products that meet the temperature detector requirement in the claims “have existed for decades,” which the district court recognized.</w:t>
      </w:r>
      <w:r w:rsidRPr="00677ABE">
        <w:rPr>
          <w:rStyle w:val="FootnoteReference"/>
          <w:rFonts w:cs="Times New Roman"/>
        </w:rPr>
        <w:footnoteReference w:id="142"/>
      </w:r>
      <w:r w:rsidRPr="00677ABE">
        <w:rPr>
          <w:rFonts w:cs="Times New Roman"/>
        </w:rPr>
        <w:t xml:space="preserve"> And the other requirements, such as obtaining peak temperatures and taking multiple measurements per second “are ubiquitous features in the prior art.”</w:t>
      </w:r>
      <w:r w:rsidRPr="00677ABE">
        <w:rPr>
          <w:rStyle w:val="FootnoteReference"/>
          <w:rFonts w:cs="Times New Roman"/>
        </w:rPr>
        <w:footnoteReference w:id="143"/>
      </w:r>
      <w:r w:rsidRPr="00677ABE">
        <w:rPr>
          <w:rFonts w:cs="Times New Roman"/>
        </w:rPr>
        <w:t xml:space="preserve"> Furthermore, “the combination of these elements into a single product was also well-known” and the patents are invalid.</w:t>
      </w:r>
      <w:r w:rsidRPr="00677ABE">
        <w:rPr>
          <w:rStyle w:val="FootnoteReference"/>
          <w:rFonts w:cs="Times New Roman"/>
        </w:rPr>
        <w:footnoteReference w:id="144"/>
      </w:r>
      <w:r w:rsidRPr="00677ABE">
        <w:rPr>
          <w:rFonts w:cs="Times New Roman"/>
        </w:rPr>
        <w:t xml:space="preserve"> In the dissent’s view, “[t]he majority attempts to salvage the district court’s decision by emphasizing the novelty of the heat balance coefficient,” but “a patent-ineligible law of nature cannot be the inventive concept.”</w:t>
      </w:r>
      <w:r w:rsidRPr="00677ABE">
        <w:rPr>
          <w:rStyle w:val="FootnoteReference"/>
          <w:rFonts w:cs="Times New Roman"/>
        </w:rPr>
        <w:footnoteReference w:id="145"/>
      </w:r>
    </w:p>
    <w:p w14:paraId="7031CD90" w14:textId="1A667538" w:rsidR="00913BF0" w:rsidRPr="00300BD8" w:rsidRDefault="00913BF0" w:rsidP="00913BF0">
      <w:pPr>
        <w:pStyle w:val="Heading3"/>
      </w:pPr>
      <w:bookmarkStart w:id="24" w:name="_Toc516586529"/>
      <w:r>
        <w:tab/>
      </w:r>
      <w:bookmarkStart w:id="25" w:name="_Toc531692724"/>
      <w:r w:rsidRPr="00300BD8">
        <w:t>Data Engine Techs. LLC v. Google LLC</w:t>
      </w:r>
      <w:r w:rsidRPr="00FF6223">
        <w:rPr>
          <w:i w:val="0"/>
        </w:rPr>
        <w:t>, 906 F.3d 999 (Fed. Cir. Oct. 9, 2018)</w:t>
      </w:r>
      <w:bookmarkEnd w:id="25"/>
    </w:p>
    <w:p w14:paraId="41A7FB3C" w14:textId="77777777" w:rsidR="00913BF0" w:rsidRPr="00300BD8" w:rsidRDefault="00913BF0" w:rsidP="00913BF0">
      <w:pPr>
        <w:ind w:firstLine="720"/>
        <w:rPr>
          <w:rFonts w:cs="Times New Roman"/>
          <w:color w:val="000000" w:themeColor="text1"/>
        </w:rPr>
      </w:pPr>
      <w:r w:rsidRPr="00300BD8">
        <w:rPr>
          <w:rFonts w:cs="Times New Roman"/>
          <w:color w:val="000000" w:themeColor="text1"/>
        </w:rPr>
        <w:t xml:space="preserve">In this appeal from the District of Delaware, the Federal Circuit reversed in part and affirmed in part, holding that some </w:t>
      </w:r>
      <w:r>
        <w:rPr>
          <w:rFonts w:cs="Times New Roman"/>
          <w:color w:val="000000" w:themeColor="text1"/>
        </w:rPr>
        <w:t xml:space="preserve">spreadsheet-related </w:t>
      </w:r>
      <w:r w:rsidRPr="00300BD8">
        <w:rPr>
          <w:rFonts w:cs="Times New Roman"/>
          <w:color w:val="000000" w:themeColor="text1"/>
        </w:rPr>
        <w:t>claims were patent</w:t>
      </w:r>
      <w:r>
        <w:rPr>
          <w:rFonts w:cs="Times New Roman"/>
          <w:color w:val="000000" w:themeColor="text1"/>
        </w:rPr>
        <w:t>-e</w:t>
      </w:r>
      <w:r w:rsidRPr="00300BD8">
        <w:rPr>
          <w:rFonts w:cs="Times New Roman"/>
          <w:color w:val="000000" w:themeColor="text1"/>
        </w:rPr>
        <w:t>ligible and some ineligible under § 101.</w:t>
      </w:r>
      <w:r w:rsidRPr="00300BD8">
        <w:rPr>
          <w:rStyle w:val="FootnoteReference"/>
          <w:rFonts w:cs="Times New Roman"/>
          <w:color w:val="000000" w:themeColor="text1"/>
        </w:rPr>
        <w:footnoteReference w:id="146"/>
      </w:r>
    </w:p>
    <w:p w14:paraId="645DF241" w14:textId="77777777" w:rsidR="00913BF0" w:rsidRPr="00300BD8" w:rsidRDefault="00913BF0" w:rsidP="00913BF0">
      <w:pPr>
        <w:rPr>
          <w:rFonts w:cs="Times New Roman"/>
          <w:color w:val="000000" w:themeColor="text1"/>
        </w:rPr>
      </w:pPr>
      <w:r w:rsidRPr="00300BD8">
        <w:rPr>
          <w:rFonts w:cs="Times New Roman"/>
          <w:color w:val="000000" w:themeColor="text1"/>
        </w:rPr>
        <w:tab/>
        <w:t xml:space="preserve">The case concerned the </w:t>
      </w:r>
      <w:r>
        <w:rPr>
          <w:rFonts w:cs="Times New Roman"/>
          <w:color w:val="000000" w:themeColor="text1"/>
        </w:rPr>
        <w:t>’</w:t>
      </w:r>
      <w:r w:rsidRPr="00300BD8">
        <w:rPr>
          <w:rFonts w:cs="Times New Roman"/>
          <w:color w:val="000000" w:themeColor="text1"/>
        </w:rPr>
        <w:t xml:space="preserve">259, </w:t>
      </w:r>
      <w:r>
        <w:rPr>
          <w:rFonts w:cs="Times New Roman"/>
          <w:color w:val="000000" w:themeColor="text1"/>
        </w:rPr>
        <w:t>’</w:t>
      </w:r>
      <w:r w:rsidRPr="00300BD8">
        <w:rPr>
          <w:rFonts w:cs="Times New Roman"/>
          <w:color w:val="000000" w:themeColor="text1"/>
        </w:rPr>
        <w:t xml:space="preserve">545, and </w:t>
      </w:r>
      <w:r>
        <w:rPr>
          <w:rFonts w:cs="Times New Roman"/>
          <w:color w:val="000000" w:themeColor="text1"/>
        </w:rPr>
        <w:t>’</w:t>
      </w:r>
      <w:r w:rsidRPr="00300BD8">
        <w:rPr>
          <w:rFonts w:cs="Times New Roman"/>
          <w:color w:val="000000" w:themeColor="text1"/>
        </w:rPr>
        <w:t xml:space="preserve">551 patents, all directed towards using tabs to navigate </w:t>
      </w:r>
      <w:r>
        <w:rPr>
          <w:rFonts w:cs="Times New Roman"/>
          <w:color w:val="000000" w:themeColor="text1"/>
        </w:rPr>
        <w:t>electronic s</w:t>
      </w:r>
      <w:r w:rsidRPr="00300BD8">
        <w:rPr>
          <w:rFonts w:cs="Times New Roman"/>
          <w:color w:val="000000" w:themeColor="text1"/>
        </w:rPr>
        <w:t xml:space="preserve">preadsheets (the “Tab Patents”), as well as the </w:t>
      </w:r>
      <w:r>
        <w:rPr>
          <w:rFonts w:cs="Times New Roman"/>
          <w:color w:val="000000" w:themeColor="text1"/>
        </w:rPr>
        <w:t>’</w:t>
      </w:r>
      <w:r w:rsidRPr="00300BD8">
        <w:rPr>
          <w:rFonts w:cs="Times New Roman"/>
          <w:color w:val="000000" w:themeColor="text1"/>
        </w:rPr>
        <w:t>146 patent, which was directed towards tracking changes in spreadsheets (the “Scenario Patent”).</w:t>
      </w:r>
      <w:r w:rsidRPr="00300BD8">
        <w:rPr>
          <w:rStyle w:val="FootnoteReference"/>
          <w:rFonts w:cs="Times New Roman"/>
          <w:color w:val="000000" w:themeColor="text1"/>
        </w:rPr>
        <w:footnoteReference w:id="147"/>
      </w:r>
      <w:r w:rsidRPr="00300BD8">
        <w:rPr>
          <w:rFonts w:cs="Times New Roman"/>
          <w:color w:val="000000" w:themeColor="text1"/>
        </w:rPr>
        <w:t xml:space="preserve"> </w:t>
      </w:r>
      <w:r>
        <w:rPr>
          <w:rFonts w:cs="Times New Roman"/>
          <w:color w:val="000000" w:themeColor="text1"/>
        </w:rPr>
        <w:t xml:space="preserve">The Tab Patents, claimed in 1992, </w:t>
      </w:r>
      <w:r w:rsidRPr="00300BD8">
        <w:rPr>
          <w:rFonts w:cs="Times New Roman"/>
          <w:color w:val="000000" w:themeColor="text1"/>
        </w:rPr>
        <w:t xml:space="preserve">taught </w:t>
      </w:r>
      <w:r>
        <w:rPr>
          <w:rFonts w:cs="Times New Roman"/>
          <w:color w:val="000000" w:themeColor="text1"/>
        </w:rPr>
        <w:t xml:space="preserve">using </w:t>
      </w:r>
      <w:r w:rsidRPr="00300BD8">
        <w:rPr>
          <w:rFonts w:cs="Times New Roman"/>
          <w:color w:val="000000" w:themeColor="text1"/>
        </w:rPr>
        <w:t>notebook</w:t>
      </w:r>
      <w:r>
        <w:rPr>
          <w:rFonts w:cs="Times New Roman"/>
          <w:color w:val="000000" w:themeColor="text1"/>
        </w:rPr>
        <w:t>-like</w:t>
      </w:r>
      <w:r w:rsidRPr="00300BD8">
        <w:rPr>
          <w:rFonts w:cs="Times New Roman"/>
          <w:color w:val="000000" w:themeColor="text1"/>
        </w:rPr>
        <w:t xml:space="preserve"> tabs </w:t>
      </w:r>
      <w:r>
        <w:rPr>
          <w:rFonts w:cs="Times New Roman"/>
          <w:color w:val="000000" w:themeColor="text1"/>
        </w:rPr>
        <w:t>in spreadsheets previously</w:t>
      </w:r>
      <w:r w:rsidRPr="00300BD8">
        <w:rPr>
          <w:rFonts w:cs="Times New Roman"/>
          <w:color w:val="000000" w:themeColor="text1"/>
        </w:rPr>
        <w:t xml:space="preserve"> navigated only by user commands.</w:t>
      </w:r>
      <w:r w:rsidRPr="00300BD8">
        <w:rPr>
          <w:rStyle w:val="FootnoteReference"/>
          <w:rFonts w:cs="Times New Roman"/>
          <w:color w:val="000000" w:themeColor="text1"/>
        </w:rPr>
        <w:footnoteReference w:id="148"/>
      </w:r>
      <w:r w:rsidRPr="00300BD8">
        <w:rPr>
          <w:rFonts w:cs="Times New Roman"/>
          <w:color w:val="000000" w:themeColor="text1"/>
        </w:rPr>
        <w:t xml:space="preserve"> </w:t>
      </w:r>
      <w:r>
        <w:rPr>
          <w:rFonts w:cs="Times New Roman"/>
          <w:color w:val="000000" w:themeColor="text1"/>
        </w:rPr>
        <w:t>N</w:t>
      </w:r>
      <w:r w:rsidRPr="00300BD8">
        <w:rPr>
          <w:rFonts w:cs="Times New Roman"/>
          <w:color w:val="000000" w:themeColor="text1"/>
        </w:rPr>
        <w:t xml:space="preserve">ow ubiquitous, </w:t>
      </w:r>
      <w:r>
        <w:rPr>
          <w:rFonts w:cs="Times New Roman"/>
          <w:color w:val="000000" w:themeColor="text1"/>
        </w:rPr>
        <w:t xml:space="preserve">the </w:t>
      </w:r>
      <w:r w:rsidRPr="00300BD8">
        <w:rPr>
          <w:rFonts w:cs="Times New Roman"/>
          <w:color w:val="000000" w:themeColor="text1"/>
        </w:rPr>
        <w:t xml:space="preserve">tab system was </w:t>
      </w:r>
      <w:r>
        <w:rPr>
          <w:rFonts w:cs="Times New Roman"/>
          <w:color w:val="000000" w:themeColor="text1"/>
        </w:rPr>
        <w:lastRenderedPageBreak/>
        <w:t xml:space="preserve">then </w:t>
      </w:r>
      <w:r w:rsidRPr="00300BD8">
        <w:rPr>
          <w:rFonts w:cs="Times New Roman"/>
          <w:color w:val="000000" w:themeColor="text1"/>
        </w:rPr>
        <w:t>lauded as solving what “ha[d] long been a major concern</w:t>
      </w:r>
      <w:r>
        <w:rPr>
          <w:rFonts w:cs="Times New Roman"/>
          <w:color w:val="000000" w:themeColor="text1"/>
        </w:rPr>
        <w:t> . . . </w:t>
      </w:r>
      <w:r w:rsidRPr="00300BD8">
        <w:rPr>
          <w:rFonts w:cs="Times New Roman"/>
          <w:color w:val="000000" w:themeColor="text1"/>
        </w:rPr>
        <w:t>.”</w:t>
      </w:r>
      <w:r w:rsidRPr="00300BD8">
        <w:rPr>
          <w:rStyle w:val="FootnoteReference"/>
          <w:rFonts w:cs="Times New Roman"/>
          <w:color w:val="000000" w:themeColor="text1"/>
        </w:rPr>
        <w:footnoteReference w:id="149"/>
      </w:r>
      <w:r w:rsidRPr="00300BD8">
        <w:rPr>
          <w:rFonts w:cs="Times New Roman"/>
          <w:color w:val="000000" w:themeColor="text1"/>
        </w:rPr>
        <w:t xml:space="preserve"> The Scenario Patent, by contrast, claimed a way of tracking changes </w:t>
      </w:r>
      <w:r>
        <w:rPr>
          <w:rFonts w:cs="Times New Roman"/>
          <w:color w:val="000000" w:themeColor="text1"/>
        </w:rPr>
        <w:t xml:space="preserve">across several copies of a spreadsheet </w:t>
      </w:r>
      <w:r w:rsidRPr="00300BD8">
        <w:rPr>
          <w:rFonts w:cs="Times New Roman"/>
          <w:color w:val="000000" w:themeColor="text1"/>
        </w:rPr>
        <w:t xml:space="preserve">to facilitate modeling multiple scenarios </w:t>
      </w:r>
      <w:r>
        <w:rPr>
          <w:rFonts w:cs="Times New Roman"/>
          <w:color w:val="000000" w:themeColor="text1"/>
        </w:rPr>
        <w:t>from</w:t>
      </w:r>
      <w:r w:rsidRPr="00300BD8">
        <w:rPr>
          <w:rFonts w:cs="Times New Roman"/>
          <w:color w:val="000000" w:themeColor="text1"/>
        </w:rPr>
        <w:t xml:space="preserve"> a common baseline.</w:t>
      </w:r>
      <w:r w:rsidRPr="00300BD8">
        <w:rPr>
          <w:rStyle w:val="FootnoteReference"/>
          <w:rFonts w:cs="Times New Roman"/>
          <w:color w:val="000000" w:themeColor="text1"/>
        </w:rPr>
        <w:footnoteReference w:id="150"/>
      </w:r>
      <w:r w:rsidRPr="00300BD8">
        <w:rPr>
          <w:rFonts w:cs="Times New Roman"/>
          <w:color w:val="000000" w:themeColor="text1"/>
        </w:rPr>
        <w:t xml:space="preserve"> The district court found that the Tab Patents directed towards the abstract idea of “using notebook-type tabs to label and organize spreadsheets” and without inventive concept</w:t>
      </w:r>
      <w:r>
        <w:rPr>
          <w:rFonts w:cs="Times New Roman"/>
          <w:color w:val="000000" w:themeColor="text1"/>
        </w:rPr>
        <w:t>.</w:t>
      </w:r>
      <w:r w:rsidRPr="00300BD8">
        <w:rPr>
          <w:rStyle w:val="FootnoteReference"/>
          <w:rFonts w:cs="Times New Roman"/>
          <w:color w:val="000000" w:themeColor="text1"/>
        </w:rPr>
        <w:footnoteReference w:id="151"/>
      </w:r>
      <w:r w:rsidRPr="00300BD8">
        <w:rPr>
          <w:rFonts w:cs="Times New Roman"/>
          <w:color w:val="000000" w:themeColor="text1"/>
        </w:rPr>
        <w:t xml:space="preserve"> </w:t>
      </w:r>
      <w:r>
        <w:rPr>
          <w:rFonts w:cs="Times New Roman"/>
          <w:color w:val="000000" w:themeColor="text1"/>
        </w:rPr>
        <w:t>It</w:t>
      </w:r>
      <w:r w:rsidRPr="00300BD8">
        <w:rPr>
          <w:rFonts w:cs="Times New Roman"/>
          <w:color w:val="000000" w:themeColor="text1"/>
        </w:rPr>
        <w:t xml:space="preserve"> found the Scenario Patent directed towards the abstract concept of “collecting spreadsheet data, recognizing changes to spreadsheet data, and storing information about the changes,” and again without inventive concept.</w:t>
      </w:r>
      <w:r w:rsidRPr="00300BD8">
        <w:rPr>
          <w:rStyle w:val="FootnoteReference"/>
          <w:rFonts w:cs="Times New Roman"/>
          <w:color w:val="000000" w:themeColor="text1"/>
        </w:rPr>
        <w:footnoteReference w:id="152"/>
      </w:r>
    </w:p>
    <w:p w14:paraId="03239011" w14:textId="77777777" w:rsidR="00913BF0" w:rsidRPr="00300BD8" w:rsidRDefault="00913BF0" w:rsidP="00913BF0">
      <w:pPr>
        <w:rPr>
          <w:rFonts w:cs="Times New Roman"/>
          <w:color w:val="000000" w:themeColor="text1"/>
        </w:rPr>
      </w:pPr>
      <w:r w:rsidRPr="00300BD8">
        <w:rPr>
          <w:rFonts w:cs="Times New Roman"/>
          <w:color w:val="000000" w:themeColor="text1"/>
        </w:rPr>
        <w:tab/>
        <w:t>On appeal,</w:t>
      </w:r>
      <w:r w:rsidRPr="00300BD8">
        <w:rPr>
          <w:rStyle w:val="FootnoteReference"/>
          <w:rFonts w:cs="Times New Roman"/>
          <w:color w:val="000000" w:themeColor="text1"/>
        </w:rPr>
        <w:footnoteReference w:id="153"/>
      </w:r>
      <w:r w:rsidRPr="00300BD8">
        <w:rPr>
          <w:rFonts w:cs="Times New Roman"/>
          <w:color w:val="000000" w:themeColor="text1"/>
        </w:rPr>
        <w:t xml:space="preserve"> the Federal Circuit reversed </w:t>
      </w:r>
      <w:r>
        <w:rPr>
          <w:rFonts w:cs="Times New Roman"/>
          <w:color w:val="000000" w:themeColor="text1"/>
        </w:rPr>
        <w:t>to hold</w:t>
      </w:r>
      <w:r w:rsidRPr="00300BD8">
        <w:rPr>
          <w:rFonts w:cs="Times New Roman"/>
          <w:color w:val="000000" w:themeColor="text1"/>
        </w:rPr>
        <w:t xml:space="preserve"> the Tab Patents eligible (except </w:t>
      </w:r>
      <w:r>
        <w:rPr>
          <w:rFonts w:cs="Times New Roman"/>
          <w:color w:val="000000" w:themeColor="text1"/>
        </w:rPr>
        <w:t xml:space="preserve">for </w:t>
      </w:r>
      <w:r w:rsidRPr="00300BD8">
        <w:rPr>
          <w:rFonts w:cs="Times New Roman"/>
          <w:color w:val="000000" w:themeColor="text1"/>
        </w:rPr>
        <w:t>one claim</w:t>
      </w:r>
      <w:r>
        <w:rPr>
          <w:rFonts w:cs="Times New Roman"/>
          <w:color w:val="000000" w:themeColor="text1"/>
        </w:rPr>
        <w:t xml:space="preserve"> therein</w:t>
      </w:r>
      <w:r w:rsidRPr="00300BD8">
        <w:rPr>
          <w:rFonts w:cs="Times New Roman"/>
          <w:color w:val="000000" w:themeColor="text1"/>
        </w:rPr>
        <w:t xml:space="preserve">), </w:t>
      </w:r>
      <w:r>
        <w:rPr>
          <w:rFonts w:cs="Times New Roman"/>
          <w:color w:val="000000" w:themeColor="text1"/>
        </w:rPr>
        <w:t>yet</w:t>
      </w:r>
      <w:r w:rsidRPr="00300BD8">
        <w:rPr>
          <w:rFonts w:cs="Times New Roman"/>
          <w:color w:val="000000" w:themeColor="text1"/>
        </w:rPr>
        <w:t xml:space="preserve"> affirmed </w:t>
      </w:r>
      <w:r>
        <w:rPr>
          <w:rFonts w:cs="Times New Roman"/>
          <w:color w:val="000000" w:themeColor="text1"/>
        </w:rPr>
        <w:t>to hold</w:t>
      </w:r>
      <w:r w:rsidRPr="00300BD8">
        <w:rPr>
          <w:rFonts w:cs="Times New Roman"/>
          <w:color w:val="000000" w:themeColor="text1"/>
        </w:rPr>
        <w:t xml:space="preserve"> the Scenario Patent</w:t>
      </w:r>
      <w:r>
        <w:rPr>
          <w:rFonts w:cs="Times New Roman"/>
          <w:color w:val="000000" w:themeColor="text1"/>
        </w:rPr>
        <w:t xml:space="preserve"> ineligible</w:t>
      </w:r>
      <w:r w:rsidRPr="00300BD8">
        <w:rPr>
          <w:rFonts w:cs="Times New Roman"/>
          <w:color w:val="000000" w:themeColor="text1"/>
        </w:rPr>
        <w:t xml:space="preserve">. Applying </w:t>
      </w:r>
      <w:r w:rsidRPr="00300BD8">
        <w:rPr>
          <w:rFonts w:cs="Times New Roman"/>
          <w:i/>
          <w:color w:val="000000" w:themeColor="text1"/>
        </w:rPr>
        <w:t>Alice</w:t>
      </w:r>
      <w:r w:rsidRPr="00300BD8">
        <w:rPr>
          <w:rFonts w:cs="Times New Roman"/>
          <w:color w:val="000000" w:themeColor="text1"/>
        </w:rPr>
        <w:t>,</w:t>
      </w:r>
      <w:r w:rsidRPr="00300BD8">
        <w:rPr>
          <w:rStyle w:val="FootnoteReference"/>
          <w:rFonts w:cs="Times New Roman"/>
          <w:color w:val="000000" w:themeColor="text1"/>
        </w:rPr>
        <w:footnoteReference w:id="154"/>
      </w:r>
      <w:r w:rsidRPr="00300BD8">
        <w:rPr>
          <w:rFonts w:cs="Times New Roman"/>
          <w:color w:val="000000" w:themeColor="text1"/>
        </w:rPr>
        <w:t xml:space="preserve"> the court found the Tab Patents did not fall within</w:t>
      </w:r>
      <w:r>
        <w:rPr>
          <w:rFonts w:cs="Times New Roman"/>
          <w:color w:val="000000" w:themeColor="text1"/>
        </w:rPr>
        <w:t xml:space="preserve"> the </w:t>
      </w:r>
      <w:r w:rsidRPr="00300BD8">
        <w:rPr>
          <w:rFonts w:cs="Times New Roman"/>
          <w:color w:val="000000" w:themeColor="text1"/>
        </w:rPr>
        <w:t>first pron</w:t>
      </w:r>
      <w:r>
        <w:rPr>
          <w:rFonts w:cs="Times New Roman"/>
          <w:color w:val="000000" w:themeColor="text1"/>
        </w:rPr>
        <w:t>g, as</w:t>
      </w:r>
      <w:r w:rsidRPr="00300BD8">
        <w:rPr>
          <w:rFonts w:cs="Times New Roman"/>
          <w:color w:val="000000" w:themeColor="text1"/>
        </w:rPr>
        <w:t xml:space="preserve"> </w:t>
      </w:r>
      <w:r>
        <w:rPr>
          <w:rFonts w:cs="Times New Roman"/>
          <w:color w:val="000000" w:themeColor="text1"/>
        </w:rPr>
        <w:t xml:space="preserve">they did </w:t>
      </w:r>
      <w:r w:rsidRPr="00300BD8">
        <w:rPr>
          <w:rFonts w:cs="Times New Roman"/>
          <w:color w:val="000000" w:themeColor="text1"/>
        </w:rPr>
        <w:t xml:space="preserve">not claim “the idea of navigating through spreadsheet pages using buttons or a generic method of labeling and organizing spreadsheets,” but a specific implementation </w:t>
      </w:r>
      <w:r>
        <w:rPr>
          <w:rFonts w:cs="Times New Roman"/>
          <w:color w:val="000000" w:themeColor="text1"/>
        </w:rPr>
        <w:t>with</w:t>
      </w:r>
      <w:r w:rsidRPr="00300BD8">
        <w:rPr>
          <w:rFonts w:cs="Times New Roman"/>
          <w:color w:val="000000" w:themeColor="text1"/>
        </w:rPr>
        <w:t xml:space="preserve"> user-definable notebook tabs </w:t>
      </w:r>
      <w:r>
        <w:rPr>
          <w:rFonts w:cs="Times New Roman"/>
          <w:color w:val="000000" w:themeColor="text1"/>
        </w:rPr>
        <w:t>along</w:t>
      </w:r>
      <w:r w:rsidRPr="00300BD8">
        <w:rPr>
          <w:rFonts w:cs="Times New Roman"/>
          <w:color w:val="000000" w:themeColor="text1"/>
        </w:rPr>
        <w:t xml:space="preserve"> one side of a spreadsheet page.</w:t>
      </w:r>
      <w:r w:rsidRPr="00300BD8">
        <w:rPr>
          <w:rStyle w:val="FootnoteReference"/>
          <w:rFonts w:cs="Times New Roman"/>
          <w:color w:val="000000" w:themeColor="text1"/>
        </w:rPr>
        <w:footnoteReference w:id="155"/>
      </w:r>
      <w:r w:rsidRPr="00300BD8">
        <w:rPr>
          <w:rFonts w:cs="Times New Roman"/>
          <w:color w:val="000000" w:themeColor="text1"/>
        </w:rPr>
        <w:t xml:space="preserve"> Google</w:t>
      </w:r>
      <w:r>
        <w:rPr>
          <w:rFonts w:cs="Times New Roman"/>
          <w:color w:val="000000" w:themeColor="text1"/>
        </w:rPr>
        <w:t>’s reliance on</w:t>
      </w:r>
      <w:r w:rsidRPr="00300BD8">
        <w:rPr>
          <w:rFonts w:cs="Times New Roman"/>
          <w:color w:val="000000" w:themeColor="text1"/>
        </w:rPr>
        <w:t xml:space="preserve"> </w:t>
      </w:r>
      <w:r w:rsidRPr="00300BD8">
        <w:rPr>
          <w:rFonts w:cs="Times New Roman"/>
          <w:i/>
          <w:color w:val="000000" w:themeColor="text1"/>
        </w:rPr>
        <w:t>Affinity Labs</w:t>
      </w:r>
      <w:r>
        <w:rPr>
          <w:rFonts w:cs="Times New Roman"/>
          <w:color w:val="000000" w:themeColor="text1"/>
        </w:rPr>
        <w:t>, among other cases,</w:t>
      </w:r>
      <w:r>
        <w:rPr>
          <w:rFonts w:cs="Times New Roman"/>
          <w:i/>
          <w:color w:val="000000" w:themeColor="text1"/>
        </w:rPr>
        <w:t xml:space="preserve"> </w:t>
      </w:r>
      <w:r>
        <w:rPr>
          <w:rFonts w:cs="Times New Roman"/>
          <w:color w:val="000000" w:themeColor="text1"/>
        </w:rPr>
        <w:t>was inapposite.</w:t>
      </w:r>
      <w:r w:rsidRPr="00300BD8">
        <w:rPr>
          <w:rStyle w:val="FootnoteReference"/>
          <w:rFonts w:cs="Times New Roman"/>
          <w:color w:val="000000" w:themeColor="text1"/>
        </w:rPr>
        <w:footnoteReference w:id="156"/>
      </w:r>
      <w:r w:rsidRPr="007A0BB6">
        <w:rPr>
          <w:rFonts w:cs="Times New Roman"/>
          <w:color w:val="000000" w:themeColor="text1"/>
        </w:rPr>
        <w:t xml:space="preserve"> </w:t>
      </w:r>
      <w:r>
        <w:rPr>
          <w:rFonts w:cs="Times New Roman"/>
          <w:color w:val="000000" w:themeColor="text1"/>
        </w:rPr>
        <w:t>In that case</w:t>
      </w:r>
      <w:r w:rsidRPr="00300BD8">
        <w:rPr>
          <w:rFonts w:cs="Times New Roman"/>
          <w:color w:val="000000" w:themeColor="text1"/>
        </w:rPr>
        <w:t xml:space="preserve">, </w:t>
      </w:r>
      <w:r>
        <w:rPr>
          <w:rFonts w:cs="Times New Roman"/>
          <w:color w:val="000000" w:themeColor="text1"/>
        </w:rPr>
        <w:t>the</w:t>
      </w:r>
      <w:r w:rsidRPr="00300BD8">
        <w:rPr>
          <w:rFonts w:cs="Times New Roman"/>
          <w:color w:val="000000" w:themeColor="text1"/>
        </w:rPr>
        <w:t xml:space="preserve"> graphical user interface </w:t>
      </w:r>
      <w:r>
        <w:rPr>
          <w:rFonts w:cs="Times New Roman"/>
          <w:color w:val="000000" w:themeColor="text1"/>
        </w:rPr>
        <w:t>was ineligible because it had</w:t>
      </w:r>
      <w:r w:rsidRPr="00300BD8">
        <w:rPr>
          <w:rFonts w:cs="Times New Roman"/>
          <w:color w:val="000000" w:themeColor="text1"/>
        </w:rPr>
        <w:t xml:space="preserve"> been conventional before the patentee applied</w:t>
      </w:r>
      <w:r>
        <w:rPr>
          <w:rFonts w:cs="Times New Roman"/>
          <w:color w:val="000000" w:themeColor="text1"/>
        </w:rPr>
        <w:t xml:space="preserve"> for coverage</w:t>
      </w:r>
      <w:r w:rsidRPr="00300BD8">
        <w:rPr>
          <w:rFonts w:cs="Times New Roman"/>
          <w:color w:val="000000" w:themeColor="text1"/>
        </w:rPr>
        <w:t>.</w:t>
      </w:r>
      <w:r>
        <w:rPr>
          <w:rStyle w:val="FootnoteReference"/>
          <w:rFonts w:cs="Times New Roman"/>
          <w:color w:val="000000" w:themeColor="text1"/>
        </w:rPr>
        <w:footnoteReference w:id="157"/>
      </w:r>
      <w:r w:rsidRPr="00300BD8">
        <w:rPr>
          <w:rFonts w:cs="Times New Roman"/>
          <w:color w:val="000000" w:themeColor="text1"/>
        </w:rPr>
        <w:t xml:space="preserve"> </w:t>
      </w:r>
      <w:r>
        <w:rPr>
          <w:rFonts w:cs="Times New Roman"/>
          <w:color w:val="000000" w:themeColor="text1"/>
        </w:rPr>
        <w:t>Here, while</w:t>
      </w:r>
      <w:r w:rsidRPr="00300BD8">
        <w:rPr>
          <w:rFonts w:cs="Times New Roman"/>
          <w:color w:val="000000" w:themeColor="text1"/>
        </w:rPr>
        <w:t xml:space="preserve"> notebook tabs had previously existed outside the electronic spreadsheet context</w:t>
      </w:r>
      <w:r>
        <w:rPr>
          <w:rFonts w:cs="Times New Roman"/>
          <w:color w:val="000000" w:themeColor="text1"/>
        </w:rPr>
        <w:t>,</w:t>
      </w:r>
      <w:r w:rsidRPr="00300BD8">
        <w:rPr>
          <w:rFonts w:cs="Times New Roman"/>
          <w:color w:val="000000" w:themeColor="text1"/>
        </w:rPr>
        <w:t xml:space="preserve"> </w:t>
      </w:r>
      <w:r>
        <w:rPr>
          <w:rFonts w:cs="Times New Roman"/>
          <w:color w:val="000000" w:themeColor="text1"/>
        </w:rPr>
        <w:t xml:space="preserve">their application to electronic spreadsheets was not conventional when claimed; any argument that such application was nonetheless not truly novel or nonobvious </w:t>
      </w:r>
      <w:r w:rsidRPr="00300BD8">
        <w:rPr>
          <w:rFonts w:cs="Times New Roman"/>
          <w:color w:val="000000" w:themeColor="text1"/>
        </w:rPr>
        <w:t xml:space="preserve">was </w:t>
      </w:r>
      <w:r>
        <w:rPr>
          <w:rFonts w:cs="Times New Roman"/>
          <w:color w:val="000000" w:themeColor="text1"/>
        </w:rPr>
        <w:t>better left</w:t>
      </w:r>
      <w:r w:rsidRPr="00300BD8">
        <w:rPr>
          <w:rFonts w:cs="Times New Roman"/>
          <w:color w:val="000000" w:themeColor="text1"/>
        </w:rPr>
        <w:t xml:space="preserve"> to </w:t>
      </w:r>
      <w:r>
        <w:rPr>
          <w:rFonts w:cs="Times New Roman"/>
          <w:color w:val="000000" w:themeColor="text1"/>
        </w:rPr>
        <w:t>§§</w:t>
      </w:r>
      <w:r w:rsidRPr="00300BD8">
        <w:rPr>
          <w:rFonts w:cs="Times New Roman"/>
          <w:color w:val="000000" w:themeColor="text1"/>
        </w:rPr>
        <w:t> 102 and</w:t>
      </w:r>
      <w:r>
        <w:rPr>
          <w:rFonts w:cs="Times New Roman"/>
          <w:color w:val="000000" w:themeColor="text1"/>
        </w:rPr>
        <w:t xml:space="preserve"> </w:t>
      </w:r>
      <w:r w:rsidRPr="00300BD8">
        <w:rPr>
          <w:rFonts w:cs="Times New Roman"/>
          <w:color w:val="000000" w:themeColor="text1"/>
        </w:rPr>
        <w:t>103 analyses.</w:t>
      </w:r>
      <w:r w:rsidRPr="00300BD8">
        <w:rPr>
          <w:rStyle w:val="FootnoteReference"/>
          <w:rFonts w:cs="Times New Roman"/>
          <w:color w:val="000000" w:themeColor="text1"/>
        </w:rPr>
        <w:footnoteReference w:id="158"/>
      </w:r>
      <w:r w:rsidRPr="00300BD8">
        <w:rPr>
          <w:rFonts w:cs="Times New Roman"/>
          <w:color w:val="000000" w:themeColor="text1"/>
        </w:rPr>
        <w:t xml:space="preserve"> </w:t>
      </w:r>
      <w:r>
        <w:rPr>
          <w:rFonts w:cs="Times New Roman"/>
          <w:color w:val="000000" w:themeColor="text1"/>
        </w:rPr>
        <w:t>That said, the</w:t>
      </w:r>
      <w:r w:rsidRPr="00300BD8">
        <w:rPr>
          <w:rFonts w:cs="Times New Roman"/>
          <w:color w:val="000000" w:themeColor="text1"/>
        </w:rPr>
        <w:t xml:space="preserve"> court </w:t>
      </w:r>
      <w:r>
        <w:rPr>
          <w:rFonts w:cs="Times New Roman"/>
          <w:color w:val="000000" w:themeColor="text1"/>
        </w:rPr>
        <w:t xml:space="preserve">did appear to </w:t>
      </w:r>
      <w:r w:rsidRPr="00300BD8">
        <w:rPr>
          <w:rFonts w:cs="Times New Roman"/>
          <w:color w:val="000000" w:themeColor="text1"/>
        </w:rPr>
        <w:t xml:space="preserve">buttress its § 101 assessment by alluding to </w:t>
      </w:r>
      <w:r>
        <w:rPr>
          <w:rFonts w:cs="Times New Roman"/>
          <w:color w:val="000000" w:themeColor="text1"/>
        </w:rPr>
        <w:t>§</w:t>
      </w:r>
      <w:r w:rsidRPr="00300BD8">
        <w:rPr>
          <w:rFonts w:cs="Times New Roman"/>
          <w:color w:val="000000" w:themeColor="text1"/>
        </w:rPr>
        <w:t xml:space="preserve">§ 102 and 103 issues (e.g., the tabs </w:t>
      </w:r>
      <w:r w:rsidRPr="00300BD8">
        <w:rPr>
          <w:rFonts w:cs="Times New Roman"/>
          <w:color w:val="000000" w:themeColor="text1"/>
        </w:rPr>
        <w:lastRenderedPageBreak/>
        <w:t>allowed “easy navigation” “for the first time” and were “applauded by the industry”).</w:t>
      </w:r>
      <w:r w:rsidRPr="00300BD8">
        <w:rPr>
          <w:rStyle w:val="FootnoteReference"/>
          <w:rFonts w:cs="Times New Roman"/>
          <w:color w:val="000000" w:themeColor="text1"/>
        </w:rPr>
        <w:footnoteReference w:id="159"/>
      </w:r>
      <w:r w:rsidRPr="00300BD8">
        <w:rPr>
          <w:rFonts w:cs="Times New Roman"/>
          <w:color w:val="000000" w:themeColor="text1"/>
        </w:rPr>
        <w:t xml:space="preserve"> </w:t>
      </w:r>
      <w:r>
        <w:rPr>
          <w:rFonts w:cs="Times New Roman"/>
          <w:color w:val="000000" w:themeColor="text1"/>
        </w:rPr>
        <w:t>One</w:t>
      </w:r>
      <w:r w:rsidRPr="00300BD8">
        <w:rPr>
          <w:rFonts w:cs="Times New Roman"/>
          <w:color w:val="000000" w:themeColor="text1"/>
        </w:rPr>
        <w:t xml:space="preserve"> claim from these Tab Patents was invalidated</w:t>
      </w:r>
      <w:r>
        <w:rPr>
          <w:rFonts w:cs="Times New Roman"/>
          <w:color w:val="000000" w:themeColor="text1"/>
        </w:rPr>
        <w:t>: d</w:t>
      </w:r>
      <w:r w:rsidRPr="00300BD8">
        <w:rPr>
          <w:rFonts w:cs="Times New Roman"/>
          <w:color w:val="000000" w:themeColor="text1"/>
        </w:rPr>
        <w:t xml:space="preserve">irected to a more general concept of naming and saving multiple spreadsheets in one workbook file, </w:t>
      </w:r>
      <w:r>
        <w:rPr>
          <w:rFonts w:cs="Times New Roman"/>
          <w:color w:val="000000" w:themeColor="text1"/>
        </w:rPr>
        <w:t>it lacked</w:t>
      </w:r>
      <w:r w:rsidRPr="00300BD8">
        <w:rPr>
          <w:rFonts w:cs="Times New Roman"/>
          <w:color w:val="000000" w:themeColor="text1"/>
        </w:rPr>
        <w:t xml:space="preserve"> the tabbed implementation</w:t>
      </w:r>
      <w:r>
        <w:rPr>
          <w:rFonts w:cs="Times New Roman"/>
          <w:color w:val="000000" w:themeColor="text1"/>
        </w:rPr>
        <w:t xml:space="preserve"> limitation</w:t>
      </w:r>
      <w:r w:rsidRPr="00300BD8">
        <w:rPr>
          <w:rFonts w:cs="Times New Roman"/>
          <w:color w:val="000000" w:themeColor="text1"/>
        </w:rPr>
        <w:t xml:space="preserve"> that saved the others.</w:t>
      </w:r>
      <w:r w:rsidRPr="00300BD8">
        <w:rPr>
          <w:rStyle w:val="FootnoteReference"/>
          <w:rFonts w:cs="Times New Roman"/>
          <w:color w:val="000000" w:themeColor="text1"/>
        </w:rPr>
        <w:footnoteReference w:id="160"/>
      </w:r>
    </w:p>
    <w:p w14:paraId="065A9799" w14:textId="77777777" w:rsidR="00913BF0" w:rsidRPr="00300BD8" w:rsidRDefault="00913BF0" w:rsidP="00913BF0">
      <w:pPr>
        <w:rPr>
          <w:rFonts w:cs="Times New Roman"/>
          <w:color w:val="000000" w:themeColor="text1"/>
        </w:rPr>
      </w:pPr>
      <w:r w:rsidRPr="00300BD8">
        <w:rPr>
          <w:rFonts w:cs="Times New Roman"/>
          <w:color w:val="000000" w:themeColor="text1"/>
        </w:rPr>
        <w:tab/>
        <w:t xml:space="preserve">As to the Scenario Patent, the court found it patent-ineligible. At </w:t>
      </w:r>
      <w:r w:rsidRPr="00300BD8">
        <w:rPr>
          <w:rFonts w:cs="Times New Roman"/>
          <w:i/>
          <w:color w:val="000000" w:themeColor="text1"/>
        </w:rPr>
        <w:t>Alice</w:t>
      </w:r>
      <w:r w:rsidRPr="00300BD8">
        <w:rPr>
          <w:rFonts w:cs="Times New Roman"/>
          <w:color w:val="000000" w:themeColor="text1"/>
        </w:rPr>
        <w:t xml:space="preserve">’s first step, the claims </w:t>
      </w:r>
      <w:r>
        <w:rPr>
          <w:rFonts w:cs="Times New Roman"/>
          <w:color w:val="000000" w:themeColor="text1"/>
        </w:rPr>
        <w:t xml:space="preserve">were </w:t>
      </w:r>
      <w:r w:rsidRPr="00300BD8">
        <w:rPr>
          <w:rFonts w:cs="Times New Roman"/>
          <w:color w:val="000000" w:themeColor="text1"/>
        </w:rPr>
        <w:t>directed</w:t>
      </w:r>
      <w:r>
        <w:rPr>
          <w:rFonts w:cs="Times New Roman"/>
          <w:color w:val="000000" w:themeColor="text1"/>
        </w:rPr>
        <w:t xml:space="preserve"> </w:t>
      </w:r>
      <w:r w:rsidRPr="00300BD8">
        <w:rPr>
          <w:rFonts w:cs="Times New Roman"/>
          <w:color w:val="000000" w:themeColor="text1"/>
        </w:rPr>
        <w:t>“to the abstract idea of collecting, recognizing, and storing the recognized data in memory.”</w:t>
      </w:r>
      <w:r w:rsidRPr="00300BD8">
        <w:rPr>
          <w:rStyle w:val="FootnoteReference"/>
          <w:rFonts w:cs="Times New Roman"/>
          <w:color w:val="000000" w:themeColor="text1"/>
        </w:rPr>
        <w:footnoteReference w:id="161"/>
      </w:r>
      <w:r w:rsidRPr="00300BD8">
        <w:rPr>
          <w:rFonts w:cs="Times New Roman"/>
          <w:color w:val="000000" w:themeColor="text1"/>
        </w:rPr>
        <w:t xml:space="preserve"> At step two, </w:t>
      </w:r>
      <w:r>
        <w:rPr>
          <w:rFonts w:cs="Times New Roman"/>
          <w:color w:val="000000" w:themeColor="text1"/>
        </w:rPr>
        <w:t>implementing</w:t>
      </w:r>
      <w:r w:rsidRPr="00300BD8">
        <w:rPr>
          <w:rFonts w:cs="Times New Roman"/>
          <w:color w:val="000000" w:themeColor="text1"/>
        </w:rPr>
        <w:t xml:space="preserve"> this concept using conventional methods lacked inventive conceptive to save the claims from ineligibility.</w:t>
      </w:r>
      <w:r w:rsidRPr="00300BD8">
        <w:rPr>
          <w:rStyle w:val="FootnoteReference"/>
          <w:rFonts w:cs="Times New Roman"/>
          <w:color w:val="000000" w:themeColor="text1"/>
        </w:rPr>
        <w:footnoteReference w:id="162"/>
      </w:r>
      <w:r w:rsidRPr="00300BD8">
        <w:rPr>
          <w:rFonts w:cs="Times New Roman"/>
          <w:color w:val="000000" w:themeColor="text1"/>
        </w:rPr>
        <w:t xml:space="preserve"> </w:t>
      </w:r>
    </w:p>
    <w:p w14:paraId="76623E27" w14:textId="1A6B24D7" w:rsidR="00A765D0" w:rsidRPr="00677ABE" w:rsidRDefault="00A765D0" w:rsidP="00CA2C0A">
      <w:pPr>
        <w:pStyle w:val="Heading3"/>
        <w:ind w:firstLine="0"/>
        <w:rPr>
          <w:rFonts w:cs="Times New Roman"/>
          <w:i w:val="0"/>
        </w:rPr>
      </w:pPr>
      <w:bookmarkStart w:id="26" w:name="_Toc531692725"/>
      <w:r w:rsidRPr="00677ABE">
        <w:rPr>
          <w:rFonts w:cs="Times New Roman"/>
        </w:rPr>
        <w:t>Vanda Pharmaceuticals Inc. v. West-Ward Pharmaceuticals International Ltd.</w:t>
      </w:r>
      <w:r w:rsidRPr="00677ABE">
        <w:rPr>
          <w:rFonts w:cs="Times New Roman"/>
          <w:i w:val="0"/>
        </w:rPr>
        <w:t>, 887 F.3d 1117 (Fed. Cir. Apr. 13, 2018)</w:t>
      </w:r>
      <w:bookmarkEnd w:id="24"/>
      <w:bookmarkEnd w:id="26"/>
    </w:p>
    <w:p w14:paraId="31F74DD0" w14:textId="51D3A4E9" w:rsidR="00A765D0" w:rsidRPr="00677ABE" w:rsidRDefault="00A765D0" w:rsidP="00CA2C0A">
      <w:pPr>
        <w:rPr>
          <w:rFonts w:cs="Times New Roman"/>
        </w:rPr>
      </w:pPr>
      <w:r w:rsidRPr="00677ABE">
        <w:rPr>
          <w:rFonts w:cs="Times New Roman"/>
          <w:lang w:eastAsia="x-none"/>
        </w:rPr>
        <w:tab/>
        <w:t xml:space="preserve">In this </w:t>
      </w:r>
      <w:r w:rsidRPr="00677ABE">
        <w:rPr>
          <w:rFonts w:cs="Times New Roman"/>
        </w:rPr>
        <w:t xml:space="preserve">appeal from the District of Delaware, a divided Federal Circuit panel affirmed the district court’s finding that the asserted claims were not invalid under </w:t>
      </w:r>
      <w:r w:rsidR="00AC00E6">
        <w:rPr>
          <w:rFonts w:cs="Times New Roman"/>
        </w:rPr>
        <w:t>§ </w:t>
      </w:r>
      <w:r w:rsidRPr="00677ABE">
        <w:rPr>
          <w:rFonts w:cs="Times New Roman"/>
        </w:rPr>
        <w:t>101</w:t>
      </w:r>
      <w:r w:rsidRPr="00677ABE">
        <w:rPr>
          <w:rFonts w:cs="Times New Roman"/>
          <w:lang w:eastAsia="x-none"/>
        </w:rPr>
        <w:t>.</w:t>
      </w:r>
      <w:r w:rsidRPr="00677ABE">
        <w:rPr>
          <w:rStyle w:val="FootnoteReference"/>
          <w:rFonts w:cs="Times New Roman"/>
          <w:lang w:eastAsia="x-none"/>
        </w:rPr>
        <w:footnoteReference w:id="163"/>
      </w:r>
      <w:r w:rsidRPr="00677ABE">
        <w:rPr>
          <w:rFonts w:cs="Times New Roman"/>
          <w:lang w:eastAsia="x-none"/>
        </w:rPr>
        <w:t xml:space="preserve"> </w:t>
      </w:r>
      <w:r w:rsidRPr="00677ABE">
        <w:rPr>
          <w:rFonts w:cs="Times New Roman"/>
        </w:rPr>
        <w:t xml:space="preserve">The </w:t>
      </w:r>
      <w:r w:rsidR="00370148">
        <w:rPr>
          <w:rFonts w:cs="Times New Roman"/>
        </w:rPr>
        <w:t>’6</w:t>
      </w:r>
      <w:r w:rsidRPr="00677ABE">
        <w:rPr>
          <w:rFonts w:cs="Times New Roman"/>
        </w:rPr>
        <w:t>10 patent is directed to a method of treating schizophrenia, comprising the steps of determining whether a patient is a poor metabolizer of CYP2D6, and then administering a dosage iloperidone that varies depending on whether the patient is a poor CYP2D6 metabolizer.</w:t>
      </w:r>
      <w:r w:rsidRPr="00677ABE">
        <w:rPr>
          <w:rStyle w:val="FootnoteReference"/>
          <w:rFonts w:cs="Times New Roman"/>
        </w:rPr>
        <w:footnoteReference w:id="164"/>
      </w:r>
      <w:r w:rsidR="00AC00E6">
        <w:rPr>
          <w:rFonts w:cs="Times New Roman"/>
        </w:rPr>
        <w:t xml:space="preserve"> </w:t>
      </w:r>
      <w:r w:rsidRPr="00677ABE">
        <w:rPr>
          <w:rFonts w:cs="Times New Roman"/>
        </w:rPr>
        <w:t>Administering the drug was not new, but the discovery of poor metabolizers was.</w:t>
      </w:r>
    </w:p>
    <w:p w14:paraId="7770F0E9" w14:textId="77777777" w:rsidR="00A765D0" w:rsidRPr="00677ABE" w:rsidRDefault="00A765D0" w:rsidP="00CA2C0A">
      <w:pPr>
        <w:rPr>
          <w:rFonts w:cs="Times New Roman"/>
        </w:rPr>
      </w:pPr>
      <w:r w:rsidRPr="00677ABE">
        <w:rPr>
          <w:rFonts w:cs="Times New Roman"/>
          <w:lang w:eastAsia="x-none"/>
        </w:rPr>
        <w:tab/>
        <w:t xml:space="preserve">The court concluded that this case “is not </w:t>
      </w:r>
      <w:r w:rsidRPr="00677ABE">
        <w:rPr>
          <w:rFonts w:cs="Times New Roman"/>
          <w:i/>
          <w:lang w:eastAsia="x-none"/>
        </w:rPr>
        <w:t>Mayo</w:t>
      </w:r>
      <w:r w:rsidRPr="00677ABE">
        <w:rPr>
          <w:rFonts w:cs="Times New Roman"/>
          <w:lang w:eastAsia="x-none"/>
        </w:rPr>
        <w:t>.”</w:t>
      </w:r>
      <w:r w:rsidRPr="00677ABE">
        <w:rPr>
          <w:rStyle w:val="FootnoteReference"/>
          <w:rFonts w:cs="Times New Roman"/>
          <w:lang w:eastAsia="x-none"/>
        </w:rPr>
        <w:footnoteReference w:id="165"/>
      </w:r>
      <w:r w:rsidRPr="00677ABE">
        <w:rPr>
          <w:rFonts w:cs="Times New Roman"/>
          <w:lang w:eastAsia="x-none"/>
        </w:rPr>
        <w:t xml:space="preserve"> </w:t>
      </w:r>
      <w:r w:rsidRPr="00677ABE">
        <w:rPr>
          <w:rFonts w:cs="Times New Roman"/>
        </w:rPr>
        <w:t xml:space="preserve">“[T]he claim in </w:t>
      </w:r>
      <w:r w:rsidRPr="00677ABE">
        <w:rPr>
          <w:rFonts w:cs="Times New Roman"/>
          <w:i/>
        </w:rPr>
        <w:t>Mayo</w:t>
      </w:r>
      <w:r w:rsidRPr="00677ABE">
        <w:rPr>
          <w:rFonts w:cs="Times New Roman"/>
        </w:rPr>
        <w:t xml:space="preserve"> stated that the metabolite level in blood simply ‘indicates’ a need to increase or decrease the dosage, without prescribing a specific dosage regimen or other added steps to take as a result of that indication.”</w:t>
      </w:r>
      <w:r w:rsidRPr="00677ABE">
        <w:rPr>
          <w:rStyle w:val="FootnoteReference"/>
          <w:rFonts w:cs="Times New Roman"/>
        </w:rPr>
        <w:footnoteReference w:id="166"/>
      </w:r>
      <w:r w:rsidRPr="00677ABE">
        <w:rPr>
          <w:rFonts w:cs="Times New Roman"/>
        </w:rPr>
        <w:t xml:space="preserve"> Put differently, the claim in </w:t>
      </w:r>
      <w:r w:rsidRPr="00677ABE">
        <w:rPr>
          <w:rFonts w:cs="Times New Roman"/>
          <w:i/>
        </w:rPr>
        <w:t xml:space="preserve">Mayo </w:t>
      </w:r>
      <w:r w:rsidRPr="00677ABE">
        <w:rPr>
          <w:rFonts w:cs="Times New Roman"/>
        </w:rPr>
        <w:t xml:space="preserve">involved “recognizing . . . a need to increase or decrease a dose” but did not “involve doctors </w:t>
      </w:r>
      <w:r w:rsidRPr="00677ABE">
        <w:rPr>
          <w:rFonts w:cs="Times New Roman"/>
          <w:i/>
        </w:rPr>
        <w:t xml:space="preserve">using </w:t>
      </w:r>
      <w:r w:rsidRPr="00677ABE">
        <w:rPr>
          <w:rFonts w:cs="Times New Roman"/>
        </w:rPr>
        <w:t>the natural relationship.”</w:t>
      </w:r>
      <w:r w:rsidRPr="00677ABE">
        <w:rPr>
          <w:rStyle w:val="FootnoteReference"/>
          <w:rFonts w:cs="Times New Roman"/>
        </w:rPr>
        <w:footnoteReference w:id="167"/>
      </w:r>
      <w:r w:rsidRPr="00677ABE">
        <w:rPr>
          <w:rFonts w:cs="Times New Roman"/>
        </w:rPr>
        <w:t xml:space="preserve"> Conversely, here although the inventors “recognized the relationship between iloperidone, CYP2D6 metabolism, and QTc prolongation,[] that is not what they claimed.”</w:t>
      </w:r>
      <w:r w:rsidRPr="00677ABE">
        <w:rPr>
          <w:rStyle w:val="FootnoteReference"/>
          <w:rFonts w:cs="Times New Roman"/>
        </w:rPr>
        <w:footnoteReference w:id="168"/>
      </w:r>
      <w:r w:rsidRPr="00677ABE">
        <w:rPr>
          <w:rFonts w:cs="Times New Roman"/>
        </w:rPr>
        <w:t xml:space="preserve"> Rather, “[t]hey claimed an application of that relationship” that requires “a treating doctor to administer iloperidone . . . depending on the result of a genotyping assay.”</w:t>
      </w:r>
      <w:r w:rsidRPr="00677ABE">
        <w:rPr>
          <w:rStyle w:val="FootnoteReference"/>
          <w:rFonts w:cs="Times New Roman"/>
        </w:rPr>
        <w:footnoteReference w:id="169"/>
      </w:r>
    </w:p>
    <w:p w14:paraId="4728443D" w14:textId="77777777" w:rsidR="00F20B84" w:rsidRDefault="00A765D0" w:rsidP="00CA2C0A">
      <w:pPr>
        <w:rPr>
          <w:rFonts w:cs="Times New Roman"/>
        </w:rPr>
      </w:pPr>
      <w:r w:rsidRPr="00677ABE">
        <w:rPr>
          <w:rFonts w:cs="Times New Roman"/>
          <w:lang w:eastAsia="x-none"/>
        </w:rPr>
        <w:tab/>
        <w:t>Chief Judge Prost dissented.</w:t>
      </w:r>
      <w:r w:rsidRPr="00677ABE">
        <w:rPr>
          <w:rStyle w:val="FootnoteReference"/>
          <w:rFonts w:cs="Times New Roman"/>
          <w:lang w:eastAsia="x-none"/>
        </w:rPr>
        <w:footnoteReference w:id="170"/>
      </w:r>
      <w:r w:rsidRPr="00677ABE">
        <w:rPr>
          <w:rFonts w:cs="Times New Roman"/>
          <w:lang w:eastAsia="x-none"/>
        </w:rPr>
        <w:t xml:space="preserve"> </w:t>
      </w:r>
      <w:r w:rsidRPr="00677ABE">
        <w:rPr>
          <w:rFonts w:cs="Times New Roman"/>
        </w:rPr>
        <w:t>In her view, the claims “set[] forth a natural relationship—namely, the relationship between the CYP2D6 genotype and the likelihood that a dosage of iloperidone will cause QTc prolongation.”</w:t>
      </w:r>
      <w:r w:rsidRPr="00677ABE">
        <w:rPr>
          <w:rStyle w:val="FootnoteReference"/>
          <w:rFonts w:cs="Times New Roman"/>
        </w:rPr>
        <w:footnoteReference w:id="171"/>
      </w:r>
      <w:r w:rsidRPr="00677ABE">
        <w:rPr>
          <w:rFonts w:cs="Times New Roman"/>
        </w:rPr>
        <w:t xml:space="preserve"> And, like in </w:t>
      </w:r>
      <w:r w:rsidRPr="00677ABE">
        <w:rPr>
          <w:rFonts w:cs="Times New Roman"/>
          <w:i/>
        </w:rPr>
        <w:t>Mayo</w:t>
      </w:r>
      <w:r w:rsidRPr="00677ABE">
        <w:rPr>
          <w:rFonts w:cs="Times New Roman"/>
        </w:rPr>
        <w:t xml:space="preserve">, the claims are “no more than an optimization of an existing treatment of schizophrenia” in </w:t>
      </w:r>
      <w:r w:rsidRPr="00677ABE">
        <w:rPr>
          <w:rFonts w:cs="Times New Roman"/>
        </w:rPr>
        <w:lastRenderedPageBreak/>
        <w:t>view of a discovered natural law.</w:t>
      </w:r>
      <w:r w:rsidRPr="00677ABE">
        <w:rPr>
          <w:rStyle w:val="FootnoteReference"/>
          <w:rFonts w:cs="Times New Roman"/>
        </w:rPr>
        <w:footnoteReference w:id="172"/>
      </w:r>
      <w:r w:rsidRPr="00677ABE">
        <w:rPr>
          <w:rFonts w:cs="Times New Roman"/>
        </w:rPr>
        <w:t xml:space="preserve"> In short, the discovered natural law “is both the means and the ends of this claim” and there is “no distinction from </w:t>
      </w:r>
      <w:r w:rsidRPr="00677ABE">
        <w:rPr>
          <w:rFonts w:cs="Times New Roman"/>
          <w:i/>
        </w:rPr>
        <w:t>Mayo</w:t>
      </w:r>
      <w:r w:rsidRPr="00677ABE">
        <w:rPr>
          <w:rFonts w:cs="Times New Roman"/>
        </w:rPr>
        <w:t>.”</w:t>
      </w:r>
    </w:p>
    <w:p w14:paraId="3873E9EA" w14:textId="71EDC0A1" w:rsidR="009914D5" w:rsidRPr="00300BD8" w:rsidRDefault="009914D5" w:rsidP="009914D5">
      <w:pPr>
        <w:pStyle w:val="Heading3"/>
      </w:pPr>
      <w:r>
        <w:tab/>
      </w:r>
      <w:bookmarkStart w:id="27" w:name="_Toc531692726"/>
      <w:r w:rsidRPr="00300BD8">
        <w:t>Roche Molecular Systs., Inc., v. Cepheid</w:t>
      </w:r>
      <w:r w:rsidRPr="009914D5">
        <w:rPr>
          <w:i w:val="0"/>
        </w:rPr>
        <w:t>, 905 F.3d 1363 (Fed. Cir. Oct. 9, 2018)</w:t>
      </w:r>
      <w:bookmarkEnd w:id="27"/>
    </w:p>
    <w:p w14:paraId="5410983F" w14:textId="77777777" w:rsidR="009914D5" w:rsidRPr="00300BD8" w:rsidRDefault="009914D5" w:rsidP="009914D5">
      <w:pPr>
        <w:rPr>
          <w:rFonts w:cs="Times New Roman"/>
          <w:color w:val="000000" w:themeColor="text1"/>
        </w:rPr>
      </w:pPr>
      <w:r w:rsidRPr="00300BD8">
        <w:rPr>
          <w:rFonts w:cs="Times New Roman"/>
          <w:b/>
          <w:color w:val="000000" w:themeColor="text1"/>
        </w:rPr>
        <w:tab/>
      </w:r>
      <w:r w:rsidRPr="00300BD8">
        <w:rPr>
          <w:rFonts w:cs="Times New Roman"/>
          <w:color w:val="000000" w:themeColor="text1"/>
        </w:rPr>
        <w:t>In this appeal from the Northern District of California, the Federal Circuit held that a patent for the composition of genetic primers and for the method of using them to detect a drug-resistant strain of bacterium causing tuberculosis (“MTB”) was patent-ineligible under § 101.</w:t>
      </w:r>
      <w:r w:rsidRPr="00300BD8">
        <w:rPr>
          <w:rStyle w:val="FootnoteReference"/>
          <w:rFonts w:cs="Times New Roman"/>
          <w:color w:val="000000" w:themeColor="text1"/>
        </w:rPr>
        <w:footnoteReference w:id="173"/>
      </w:r>
    </w:p>
    <w:p w14:paraId="1BAD8BB8" w14:textId="47E2ED12" w:rsidR="009914D5" w:rsidRPr="00300BD8" w:rsidRDefault="009914D5" w:rsidP="009914D5">
      <w:pPr>
        <w:rPr>
          <w:rFonts w:cs="Times New Roman"/>
          <w:color w:val="000000" w:themeColor="text1"/>
        </w:rPr>
      </w:pPr>
      <w:r w:rsidRPr="00300BD8">
        <w:rPr>
          <w:rFonts w:cs="Times New Roman"/>
          <w:color w:val="000000" w:themeColor="text1"/>
        </w:rPr>
        <w:tab/>
        <w:t xml:space="preserve"> Roche’s </w:t>
      </w:r>
      <w:r w:rsidR="00E656C6">
        <w:rPr>
          <w:rFonts w:cs="Times New Roman"/>
          <w:color w:val="000000" w:themeColor="text1"/>
        </w:rPr>
        <w:t>’</w:t>
      </w:r>
      <w:r w:rsidRPr="00300BD8">
        <w:rPr>
          <w:rFonts w:cs="Times New Roman"/>
          <w:color w:val="000000" w:themeColor="text1"/>
        </w:rPr>
        <w:t>723 patent specifically claimed (1) the composition of primers capable of binding onto the newly discovered nucleotide signature of MTB and (2) methods for amplifying the selected sequence using polymerase chain reaction (“PCR”) to detect MTB.</w:t>
      </w:r>
      <w:r w:rsidRPr="00300BD8">
        <w:rPr>
          <w:rStyle w:val="FootnoteReference"/>
          <w:rFonts w:cs="Times New Roman"/>
          <w:color w:val="000000" w:themeColor="text1"/>
        </w:rPr>
        <w:footnoteReference w:id="174"/>
      </w:r>
      <w:r w:rsidRPr="00300BD8">
        <w:rPr>
          <w:rFonts w:cs="Times New Roman"/>
          <w:color w:val="000000" w:themeColor="text1"/>
        </w:rPr>
        <w:t xml:space="preserve"> The </w:t>
      </w:r>
      <w:r w:rsidR="002E3A45">
        <w:rPr>
          <w:rFonts w:cs="Times New Roman"/>
          <w:color w:val="000000" w:themeColor="text1"/>
        </w:rPr>
        <w:t>district court</w:t>
      </w:r>
      <w:r w:rsidRPr="00300BD8">
        <w:rPr>
          <w:rFonts w:cs="Times New Roman"/>
          <w:color w:val="000000" w:themeColor="text1"/>
        </w:rPr>
        <w:t xml:space="preserve"> found the primer claims ineligible </w:t>
      </w:r>
      <w:r w:rsidR="002E3A45">
        <w:rPr>
          <w:rFonts w:cs="Times New Roman"/>
          <w:color w:val="000000" w:themeColor="text1"/>
        </w:rPr>
        <w:t>for containing</w:t>
      </w:r>
      <w:r w:rsidRPr="00300BD8">
        <w:rPr>
          <w:rFonts w:cs="Times New Roman"/>
          <w:color w:val="000000" w:themeColor="text1"/>
        </w:rPr>
        <w:t xml:space="preserve"> “genetic sequences identical to those found in nature,” and the method claims ineligible </w:t>
      </w:r>
      <w:r w:rsidR="002E3A45">
        <w:rPr>
          <w:rFonts w:cs="Times New Roman"/>
          <w:color w:val="000000" w:themeColor="text1"/>
        </w:rPr>
        <w:t>for being directed</w:t>
      </w:r>
      <w:r w:rsidRPr="00300BD8">
        <w:rPr>
          <w:rFonts w:cs="Times New Roman"/>
          <w:color w:val="000000" w:themeColor="text1"/>
        </w:rPr>
        <w:t xml:space="preserve"> to “nonpatentable laws of nature” </w:t>
      </w:r>
      <w:r w:rsidR="002E3A45">
        <w:rPr>
          <w:rFonts w:cs="Times New Roman"/>
          <w:color w:val="000000" w:themeColor="text1"/>
        </w:rPr>
        <w:t>and without</w:t>
      </w:r>
      <w:r w:rsidRPr="00300BD8">
        <w:rPr>
          <w:rFonts w:cs="Times New Roman"/>
          <w:color w:val="000000" w:themeColor="text1"/>
        </w:rPr>
        <w:t xml:space="preserve"> inventive concept </w:t>
      </w:r>
      <w:r w:rsidR="002E3A45">
        <w:rPr>
          <w:rFonts w:cs="Times New Roman"/>
          <w:color w:val="000000" w:themeColor="text1"/>
        </w:rPr>
        <w:t>(</w:t>
      </w:r>
      <w:r w:rsidRPr="00300BD8">
        <w:rPr>
          <w:rFonts w:cs="Times New Roman"/>
          <w:color w:val="000000" w:themeColor="text1"/>
        </w:rPr>
        <w:t>PCR</w:t>
      </w:r>
      <w:r w:rsidR="002E3A45">
        <w:rPr>
          <w:rFonts w:cs="Times New Roman"/>
          <w:color w:val="000000" w:themeColor="text1"/>
        </w:rPr>
        <w:t xml:space="preserve"> is conventional)</w:t>
      </w:r>
      <w:r w:rsidRPr="00300BD8">
        <w:rPr>
          <w:rFonts w:cs="Times New Roman"/>
          <w:color w:val="000000" w:themeColor="text1"/>
        </w:rPr>
        <w:t>.</w:t>
      </w:r>
      <w:r w:rsidRPr="00300BD8">
        <w:rPr>
          <w:rStyle w:val="FootnoteReference"/>
          <w:rFonts w:cs="Times New Roman"/>
          <w:color w:val="000000" w:themeColor="text1"/>
        </w:rPr>
        <w:footnoteReference w:id="175"/>
      </w:r>
    </w:p>
    <w:p w14:paraId="6BD5DBB8" w14:textId="3D9F90A8" w:rsidR="009914D5" w:rsidRPr="00300BD8" w:rsidRDefault="009914D5" w:rsidP="009914D5">
      <w:pPr>
        <w:rPr>
          <w:rFonts w:cs="Times New Roman"/>
          <w:color w:val="000000" w:themeColor="text1"/>
        </w:rPr>
      </w:pPr>
      <w:r w:rsidRPr="00300BD8">
        <w:rPr>
          <w:rFonts w:cs="Times New Roman"/>
          <w:color w:val="000000" w:themeColor="text1"/>
        </w:rPr>
        <w:tab/>
        <w:t>On appeal, the Federal Circuit affirmed the result,</w:t>
      </w:r>
      <w:r w:rsidRPr="00300BD8">
        <w:rPr>
          <w:rStyle w:val="FootnoteReference"/>
          <w:rFonts w:cs="Times New Roman"/>
          <w:color w:val="000000" w:themeColor="text1"/>
        </w:rPr>
        <w:footnoteReference w:id="176"/>
      </w:r>
      <w:r w:rsidRPr="00300BD8">
        <w:rPr>
          <w:rFonts w:cs="Times New Roman"/>
          <w:color w:val="000000" w:themeColor="text1"/>
        </w:rPr>
        <w:t xml:space="preserve"> applying </w:t>
      </w:r>
      <w:r w:rsidRPr="00300BD8">
        <w:rPr>
          <w:rFonts w:cs="Times New Roman"/>
          <w:i/>
          <w:color w:val="000000" w:themeColor="text1"/>
        </w:rPr>
        <w:t>Alice</w:t>
      </w:r>
      <w:r w:rsidRPr="00300BD8">
        <w:rPr>
          <w:rStyle w:val="FootnoteReference"/>
          <w:rFonts w:cs="Times New Roman"/>
          <w:color w:val="000000" w:themeColor="text1"/>
        </w:rPr>
        <w:footnoteReference w:id="177"/>
      </w:r>
      <w:r w:rsidRPr="00300BD8">
        <w:rPr>
          <w:rFonts w:cs="Times New Roman"/>
          <w:i/>
          <w:color w:val="000000" w:themeColor="text1"/>
        </w:rPr>
        <w:t xml:space="preserve"> </w:t>
      </w:r>
      <w:r w:rsidRPr="00300BD8">
        <w:rPr>
          <w:rFonts w:cs="Times New Roman"/>
          <w:color w:val="000000" w:themeColor="text1"/>
        </w:rPr>
        <w:t xml:space="preserve">and relying on </w:t>
      </w:r>
      <w:r w:rsidRPr="00300BD8">
        <w:rPr>
          <w:rFonts w:cs="Times New Roman"/>
          <w:i/>
          <w:color w:val="000000" w:themeColor="text1"/>
        </w:rPr>
        <w:t>BRCA1</w:t>
      </w:r>
      <w:r w:rsidRPr="00300BD8">
        <w:rPr>
          <w:rFonts w:cs="Times New Roman"/>
          <w:color w:val="000000" w:themeColor="text1"/>
        </w:rPr>
        <w:t>.</w:t>
      </w:r>
      <w:r w:rsidRPr="00300BD8">
        <w:rPr>
          <w:rStyle w:val="FootnoteReference"/>
          <w:rFonts w:cs="Times New Roman"/>
          <w:color w:val="000000" w:themeColor="text1"/>
        </w:rPr>
        <w:footnoteReference w:id="178"/>
      </w:r>
      <w:r w:rsidRPr="00300BD8">
        <w:rPr>
          <w:rFonts w:cs="Times New Roman"/>
          <w:color w:val="000000" w:themeColor="text1"/>
        </w:rPr>
        <w:t xml:space="preserve"> </w:t>
      </w:r>
      <w:r w:rsidR="00C85DCE" w:rsidRPr="00300BD8">
        <w:rPr>
          <w:rFonts w:cs="Times New Roman"/>
          <w:color w:val="000000" w:themeColor="text1"/>
        </w:rPr>
        <w:t>I</w:t>
      </w:r>
      <w:r w:rsidR="00C85DCE">
        <w:rPr>
          <w:rFonts w:cs="Times New Roman"/>
          <w:color w:val="000000" w:themeColor="text1"/>
        </w:rPr>
        <w:t>n that case</w:t>
      </w:r>
      <w:r w:rsidR="00C85DCE" w:rsidRPr="00300BD8">
        <w:rPr>
          <w:rFonts w:cs="Times New Roman"/>
          <w:color w:val="000000" w:themeColor="text1"/>
        </w:rPr>
        <w:t xml:space="preserve">, the court had found that </w:t>
      </w:r>
      <w:r w:rsidR="00C85DCE">
        <w:rPr>
          <w:rFonts w:cs="Times New Roman"/>
          <w:color w:val="000000" w:themeColor="text1"/>
        </w:rPr>
        <w:t>adding endpoints</w:t>
      </w:r>
      <w:r w:rsidR="00486965">
        <w:rPr>
          <w:rFonts w:cs="Times New Roman"/>
          <w:color w:val="000000" w:themeColor="text1"/>
        </w:rPr>
        <w:t xml:space="preserve"> </w:t>
      </w:r>
      <w:r w:rsidR="00C85DCE">
        <w:rPr>
          <w:rFonts w:cs="Times New Roman"/>
          <w:color w:val="000000" w:themeColor="text1"/>
        </w:rPr>
        <w:t xml:space="preserve">to </w:t>
      </w:r>
      <w:r w:rsidR="00C85DCE" w:rsidRPr="00300BD8">
        <w:rPr>
          <w:rFonts w:cs="Times New Roman"/>
          <w:color w:val="000000" w:themeColor="text1"/>
        </w:rPr>
        <w:t xml:space="preserve">primers </w:t>
      </w:r>
      <w:r w:rsidR="00C85DCE">
        <w:rPr>
          <w:rFonts w:cs="Times New Roman"/>
          <w:color w:val="000000" w:themeColor="text1"/>
        </w:rPr>
        <w:t>did not save them from ineligibility</w:t>
      </w:r>
      <w:r w:rsidR="00C85DCE" w:rsidRPr="00300BD8">
        <w:rPr>
          <w:rFonts w:cs="Times New Roman"/>
          <w:color w:val="000000" w:themeColor="text1"/>
        </w:rPr>
        <w:t xml:space="preserve"> under </w:t>
      </w:r>
      <w:r w:rsidR="00C85DCE" w:rsidRPr="00300BD8">
        <w:rPr>
          <w:rFonts w:cs="Times New Roman"/>
          <w:i/>
          <w:color w:val="000000" w:themeColor="text1"/>
        </w:rPr>
        <w:t>Myriad</w:t>
      </w:r>
      <w:r w:rsidR="00C85DCE" w:rsidRPr="00300BD8">
        <w:rPr>
          <w:rFonts w:cs="Times New Roman"/>
          <w:color w:val="000000" w:themeColor="text1"/>
        </w:rPr>
        <w:t>.</w:t>
      </w:r>
      <w:r w:rsidR="00C85DCE" w:rsidRPr="00300BD8">
        <w:rPr>
          <w:rStyle w:val="FootnoteReference"/>
          <w:rFonts w:cs="Times New Roman"/>
          <w:color w:val="000000" w:themeColor="text1"/>
        </w:rPr>
        <w:footnoteReference w:id="179"/>
      </w:r>
      <w:r w:rsidR="00C85DCE" w:rsidRPr="00300BD8">
        <w:rPr>
          <w:rFonts w:cs="Times New Roman"/>
          <w:color w:val="000000" w:themeColor="text1"/>
        </w:rPr>
        <w:t xml:space="preserve">. </w:t>
      </w:r>
      <w:r w:rsidR="00C85DCE">
        <w:rPr>
          <w:rFonts w:cs="Times New Roman"/>
          <w:color w:val="000000" w:themeColor="text1"/>
        </w:rPr>
        <w:t>Here</w:t>
      </w:r>
      <w:r w:rsidRPr="00300BD8">
        <w:rPr>
          <w:rFonts w:cs="Times New Roman"/>
          <w:color w:val="000000" w:themeColor="text1"/>
        </w:rPr>
        <w:t xml:space="preserve">, the primers were not “patent-eligible because [their core nucleotide sequence could] be found in nature,” and their common endpoint, a non-naturally occurring 3-prime end with a 3-prime hydroxyl, did not </w:t>
      </w:r>
      <w:r w:rsidR="00486965">
        <w:rPr>
          <w:rFonts w:cs="Times New Roman"/>
          <w:color w:val="000000" w:themeColor="text1"/>
        </w:rPr>
        <w:t>save</w:t>
      </w:r>
      <w:r w:rsidRPr="00300BD8">
        <w:rPr>
          <w:rFonts w:cs="Times New Roman"/>
          <w:color w:val="000000" w:themeColor="text1"/>
        </w:rPr>
        <w:t xml:space="preserve"> them.</w:t>
      </w:r>
      <w:r w:rsidRPr="00300BD8">
        <w:rPr>
          <w:rStyle w:val="FootnoteReference"/>
          <w:rFonts w:cs="Times New Roman"/>
          <w:color w:val="000000" w:themeColor="text1"/>
        </w:rPr>
        <w:footnoteReference w:id="180"/>
      </w:r>
      <w:r w:rsidRPr="00300BD8">
        <w:rPr>
          <w:rFonts w:cs="Times New Roman"/>
          <w:color w:val="000000" w:themeColor="text1"/>
        </w:rPr>
        <w:t xml:space="preserve"> As for the method claims, these were invalid as a diagnostic test directed toward a natural phenomenon and lacking in inventive concept.</w:t>
      </w:r>
      <w:r w:rsidRPr="00300BD8">
        <w:rPr>
          <w:rStyle w:val="FootnoteReference"/>
          <w:rFonts w:cs="Times New Roman"/>
          <w:color w:val="000000" w:themeColor="text1"/>
        </w:rPr>
        <w:footnoteReference w:id="181"/>
      </w:r>
      <w:r w:rsidRPr="00300BD8">
        <w:rPr>
          <w:rFonts w:cs="Times New Roman"/>
          <w:color w:val="000000" w:themeColor="text1"/>
        </w:rPr>
        <w:t xml:space="preserve"> At </w:t>
      </w:r>
      <w:r w:rsidRPr="00300BD8">
        <w:rPr>
          <w:rFonts w:cs="Times New Roman"/>
          <w:i/>
          <w:color w:val="000000" w:themeColor="text1"/>
        </w:rPr>
        <w:t>Alice</w:t>
      </w:r>
      <w:r w:rsidRPr="00300BD8">
        <w:rPr>
          <w:rFonts w:cs="Times New Roman"/>
          <w:color w:val="000000" w:themeColor="text1"/>
        </w:rPr>
        <w:t>’s first step, the diagnostic was directed towards using the “relationship between the signature nucleotides and MTB” that “exists in nature apart from any human action.”</w:t>
      </w:r>
      <w:r w:rsidRPr="00300BD8">
        <w:rPr>
          <w:rStyle w:val="FootnoteReference"/>
          <w:rFonts w:cs="Times New Roman"/>
          <w:color w:val="000000" w:themeColor="text1"/>
        </w:rPr>
        <w:footnoteReference w:id="182"/>
      </w:r>
      <w:r w:rsidRPr="00300BD8">
        <w:rPr>
          <w:rFonts w:cs="Times New Roman"/>
          <w:color w:val="000000" w:themeColor="text1"/>
        </w:rPr>
        <w:t xml:space="preserve"> At </w:t>
      </w:r>
      <w:r w:rsidRPr="00300BD8">
        <w:rPr>
          <w:rFonts w:cs="Times New Roman"/>
          <w:i/>
          <w:color w:val="000000" w:themeColor="text1"/>
        </w:rPr>
        <w:t>Alice</w:t>
      </w:r>
      <w:r w:rsidRPr="00300BD8">
        <w:rPr>
          <w:rFonts w:cs="Times New Roman"/>
          <w:color w:val="000000" w:themeColor="text1"/>
        </w:rPr>
        <w:t xml:space="preserve">’s second step, </w:t>
      </w:r>
      <w:r w:rsidR="00486965">
        <w:rPr>
          <w:rFonts w:cs="Times New Roman"/>
          <w:color w:val="000000" w:themeColor="text1"/>
        </w:rPr>
        <w:t>using</w:t>
      </w:r>
      <w:r w:rsidRPr="00300BD8">
        <w:rPr>
          <w:rFonts w:cs="Times New Roman"/>
          <w:color w:val="000000" w:themeColor="text1"/>
        </w:rPr>
        <w:t xml:space="preserve"> conventional PCR and a mental step to </w:t>
      </w:r>
      <w:r w:rsidR="00486965">
        <w:rPr>
          <w:rFonts w:cs="Times New Roman"/>
          <w:color w:val="000000" w:themeColor="text1"/>
        </w:rPr>
        <w:t>diagnose</w:t>
      </w:r>
      <w:r w:rsidRPr="00300BD8">
        <w:rPr>
          <w:rFonts w:cs="Times New Roman"/>
          <w:color w:val="000000" w:themeColor="text1"/>
        </w:rPr>
        <w:t xml:space="preserve"> lacked inventive concept.</w:t>
      </w:r>
      <w:r w:rsidRPr="00300BD8">
        <w:rPr>
          <w:rStyle w:val="FootnoteReference"/>
          <w:rFonts w:cs="Times New Roman"/>
          <w:color w:val="000000" w:themeColor="text1"/>
        </w:rPr>
        <w:footnoteReference w:id="183"/>
      </w:r>
      <w:r w:rsidRPr="00300BD8">
        <w:rPr>
          <w:rFonts w:cs="Times New Roman"/>
          <w:color w:val="000000" w:themeColor="text1"/>
        </w:rPr>
        <w:t xml:space="preserve"> </w:t>
      </w:r>
    </w:p>
    <w:p w14:paraId="065B25CC" w14:textId="54DDB9E7" w:rsidR="009914D5" w:rsidRPr="00300BD8" w:rsidRDefault="009914D5" w:rsidP="009914D5">
      <w:pPr>
        <w:rPr>
          <w:rFonts w:cs="Times New Roman"/>
          <w:color w:val="000000" w:themeColor="text1"/>
        </w:rPr>
      </w:pPr>
      <w:r w:rsidRPr="00300BD8">
        <w:rPr>
          <w:rFonts w:cs="Times New Roman"/>
          <w:color w:val="000000" w:themeColor="text1"/>
        </w:rPr>
        <w:lastRenderedPageBreak/>
        <w:tab/>
        <w:t xml:space="preserve">Concurring that </w:t>
      </w:r>
      <w:r w:rsidRPr="00300BD8">
        <w:rPr>
          <w:rFonts w:cs="Times New Roman"/>
          <w:i/>
          <w:color w:val="000000" w:themeColor="text1"/>
        </w:rPr>
        <w:t xml:space="preserve">BRCA1 </w:t>
      </w:r>
      <w:r w:rsidRPr="00300BD8">
        <w:rPr>
          <w:rFonts w:cs="Times New Roman"/>
          <w:color w:val="000000" w:themeColor="text1"/>
        </w:rPr>
        <w:t>compelled the result reached, Judge O’Malley wrote separately to urge the Federal Circuit to revisit the patent eligibility of DNA primers.</w:t>
      </w:r>
      <w:r w:rsidRPr="00300BD8">
        <w:rPr>
          <w:rStyle w:val="FootnoteReference"/>
          <w:rFonts w:cs="Times New Roman"/>
          <w:color w:val="000000" w:themeColor="text1"/>
        </w:rPr>
        <w:footnoteReference w:id="184"/>
      </w:r>
      <w:r w:rsidRPr="00300BD8">
        <w:rPr>
          <w:rFonts w:cs="Times New Roman"/>
          <w:color w:val="000000" w:themeColor="text1"/>
        </w:rPr>
        <w:t xml:space="preserve"> Judge O’Malley pointed out that </w:t>
      </w:r>
      <w:r w:rsidRPr="00300BD8">
        <w:rPr>
          <w:rFonts w:cs="Times New Roman"/>
          <w:i/>
          <w:color w:val="000000" w:themeColor="text1"/>
        </w:rPr>
        <w:t>BRCA1</w:t>
      </w:r>
      <w:r w:rsidRPr="00300BD8">
        <w:rPr>
          <w:rFonts w:cs="Times New Roman"/>
          <w:color w:val="000000" w:themeColor="text1"/>
        </w:rPr>
        <w:t xml:space="preserve"> was decided on appeal from a denial of preliminary injunction.</w:t>
      </w:r>
      <w:r w:rsidRPr="00300BD8">
        <w:rPr>
          <w:rStyle w:val="FootnoteReference"/>
          <w:rFonts w:cs="Times New Roman"/>
          <w:color w:val="000000" w:themeColor="text1"/>
        </w:rPr>
        <w:footnoteReference w:id="185"/>
      </w:r>
      <w:r w:rsidRPr="00300BD8">
        <w:rPr>
          <w:rFonts w:cs="Times New Roman"/>
          <w:color w:val="000000" w:themeColor="text1"/>
        </w:rPr>
        <w:t xml:space="preserve"> This meant the </w:t>
      </w:r>
      <w:r w:rsidRPr="00300BD8">
        <w:rPr>
          <w:rFonts w:cs="Times New Roman"/>
          <w:i/>
          <w:color w:val="000000" w:themeColor="text1"/>
        </w:rPr>
        <w:t xml:space="preserve">BRCA1 </w:t>
      </w:r>
      <w:r w:rsidRPr="00300BD8">
        <w:rPr>
          <w:rFonts w:cs="Times New Roman"/>
          <w:color w:val="000000" w:themeColor="text1"/>
        </w:rPr>
        <w:t xml:space="preserve">court </w:t>
      </w:r>
      <w:r w:rsidR="00185404">
        <w:rPr>
          <w:rFonts w:cs="Times New Roman"/>
          <w:color w:val="000000" w:themeColor="text1"/>
        </w:rPr>
        <w:t>had been called</w:t>
      </w:r>
      <w:r w:rsidRPr="00300BD8">
        <w:rPr>
          <w:rFonts w:cs="Times New Roman"/>
          <w:color w:val="000000" w:themeColor="text1"/>
        </w:rPr>
        <w:t xml:space="preserve"> only to decide whether the district court erred in finding a </w:t>
      </w:r>
      <w:r w:rsidRPr="00300BD8">
        <w:rPr>
          <w:rFonts w:cs="Times New Roman"/>
          <w:i/>
          <w:color w:val="000000" w:themeColor="text1"/>
        </w:rPr>
        <w:t>substantial question</w:t>
      </w:r>
      <w:r w:rsidRPr="00300BD8">
        <w:rPr>
          <w:rFonts w:cs="Times New Roman"/>
          <w:color w:val="000000" w:themeColor="text1"/>
        </w:rPr>
        <w:t xml:space="preserve"> as to whether primer patents would be ruled invalid.</w:t>
      </w:r>
      <w:r w:rsidRPr="00300BD8">
        <w:rPr>
          <w:rStyle w:val="FootnoteReference"/>
          <w:rFonts w:cs="Times New Roman"/>
          <w:color w:val="000000" w:themeColor="text1"/>
        </w:rPr>
        <w:footnoteReference w:id="186"/>
      </w:r>
      <w:r w:rsidRPr="00300BD8">
        <w:rPr>
          <w:rFonts w:cs="Times New Roman"/>
          <w:color w:val="000000" w:themeColor="text1"/>
        </w:rPr>
        <w:t xml:space="preserve"> </w:t>
      </w:r>
      <w:r w:rsidR="007E3B4E">
        <w:rPr>
          <w:rFonts w:cs="Times New Roman"/>
          <w:color w:val="000000" w:themeColor="text1"/>
        </w:rPr>
        <w:t>With</w:t>
      </w:r>
      <w:r w:rsidRPr="00300BD8">
        <w:rPr>
          <w:rFonts w:cs="Times New Roman"/>
          <w:color w:val="000000" w:themeColor="text1"/>
        </w:rPr>
        <w:t xml:space="preserve"> that posture, the </w:t>
      </w:r>
      <w:r w:rsidRPr="00300BD8">
        <w:rPr>
          <w:rFonts w:cs="Times New Roman"/>
          <w:i/>
          <w:color w:val="000000" w:themeColor="text1"/>
        </w:rPr>
        <w:t xml:space="preserve">BRCA1 </w:t>
      </w:r>
      <w:r w:rsidRPr="00300BD8">
        <w:rPr>
          <w:rFonts w:cs="Times New Roman"/>
          <w:color w:val="000000" w:themeColor="text1"/>
        </w:rPr>
        <w:t xml:space="preserve">court lacked </w:t>
      </w:r>
      <w:r w:rsidR="00185404">
        <w:rPr>
          <w:rFonts w:cs="Times New Roman"/>
          <w:color w:val="000000" w:themeColor="text1"/>
        </w:rPr>
        <w:t>the</w:t>
      </w:r>
      <w:r w:rsidRPr="00300BD8">
        <w:rPr>
          <w:rFonts w:cs="Times New Roman"/>
          <w:color w:val="000000" w:themeColor="text1"/>
        </w:rPr>
        <w:t xml:space="preserve"> need and </w:t>
      </w:r>
      <w:r w:rsidR="00185404">
        <w:rPr>
          <w:rFonts w:cs="Times New Roman"/>
          <w:color w:val="000000" w:themeColor="text1"/>
        </w:rPr>
        <w:t>the e</w:t>
      </w:r>
      <w:r w:rsidRPr="00300BD8">
        <w:rPr>
          <w:rFonts w:cs="Times New Roman"/>
          <w:color w:val="000000" w:themeColor="text1"/>
        </w:rPr>
        <w:t>vidence to make a sound determination of</w:t>
      </w:r>
      <w:r w:rsidR="00185404">
        <w:rPr>
          <w:rFonts w:cs="Times New Roman"/>
          <w:color w:val="000000" w:themeColor="text1"/>
        </w:rPr>
        <w:t xml:space="preserve"> primer</w:t>
      </w:r>
      <w:r w:rsidRPr="00300BD8">
        <w:rPr>
          <w:rFonts w:cs="Times New Roman"/>
          <w:color w:val="000000" w:themeColor="text1"/>
        </w:rPr>
        <w:t xml:space="preserve"> patent eligibility</w:t>
      </w:r>
      <w:r w:rsidR="00185404">
        <w:rPr>
          <w:rFonts w:cs="Times New Roman"/>
          <w:color w:val="000000" w:themeColor="text1"/>
        </w:rPr>
        <w:t>.</w:t>
      </w:r>
      <w:r w:rsidRPr="00300BD8">
        <w:rPr>
          <w:rStyle w:val="FootnoteReference"/>
          <w:rFonts w:cs="Times New Roman"/>
          <w:color w:val="000000" w:themeColor="text1"/>
        </w:rPr>
        <w:footnoteReference w:id="187"/>
      </w:r>
      <w:r w:rsidRPr="00300BD8">
        <w:rPr>
          <w:rFonts w:cs="Times New Roman"/>
          <w:color w:val="000000" w:themeColor="text1"/>
        </w:rPr>
        <w:t xml:space="preserve"> If </w:t>
      </w:r>
      <w:r w:rsidRPr="00300BD8">
        <w:rPr>
          <w:rFonts w:cs="Times New Roman"/>
          <w:i/>
          <w:color w:val="000000" w:themeColor="text1"/>
        </w:rPr>
        <w:t xml:space="preserve">BRCA1 </w:t>
      </w:r>
      <w:r w:rsidR="007E3B4E">
        <w:rPr>
          <w:rFonts w:cs="Times New Roman"/>
          <w:color w:val="000000" w:themeColor="text1"/>
        </w:rPr>
        <w:t>had been</w:t>
      </w:r>
      <w:r w:rsidRPr="00300BD8">
        <w:rPr>
          <w:rFonts w:cs="Times New Roman"/>
          <w:color w:val="000000" w:themeColor="text1"/>
        </w:rPr>
        <w:t xml:space="preserve"> set aside, the court might have reached a different </w:t>
      </w:r>
      <w:r w:rsidR="00185404">
        <w:rPr>
          <w:rFonts w:cs="Times New Roman"/>
          <w:color w:val="000000" w:themeColor="text1"/>
        </w:rPr>
        <w:t>result here</w:t>
      </w:r>
      <w:r w:rsidRPr="00300BD8">
        <w:rPr>
          <w:rFonts w:cs="Times New Roman"/>
          <w:color w:val="000000" w:themeColor="text1"/>
        </w:rPr>
        <w:t>.</w:t>
      </w:r>
      <w:r w:rsidRPr="00300BD8">
        <w:rPr>
          <w:rStyle w:val="FootnoteReference"/>
          <w:rFonts w:cs="Times New Roman"/>
          <w:color w:val="000000" w:themeColor="text1"/>
        </w:rPr>
        <w:footnoteReference w:id="188"/>
      </w:r>
      <w:r w:rsidRPr="00300BD8">
        <w:rPr>
          <w:rFonts w:cs="Times New Roman"/>
          <w:color w:val="000000" w:themeColor="text1"/>
        </w:rPr>
        <w:t xml:space="preserve"> In </w:t>
      </w:r>
      <w:r w:rsidRPr="00300BD8">
        <w:rPr>
          <w:rFonts w:cs="Times New Roman"/>
          <w:i/>
          <w:color w:val="000000" w:themeColor="text1"/>
        </w:rPr>
        <w:t>Myriad</w:t>
      </w:r>
      <w:r w:rsidRPr="00300BD8">
        <w:rPr>
          <w:rFonts w:cs="Times New Roman"/>
          <w:color w:val="000000" w:themeColor="text1"/>
        </w:rPr>
        <w:t xml:space="preserve">, the Supreme Court </w:t>
      </w:r>
      <w:r w:rsidR="009F1C97">
        <w:rPr>
          <w:rFonts w:cs="Times New Roman"/>
          <w:color w:val="000000" w:themeColor="text1"/>
        </w:rPr>
        <w:t xml:space="preserve">had </w:t>
      </w:r>
      <w:r w:rsidRPr="00300BD8">
        <w:rPr>
          <w:rFonts w:cs="Times New Roman"/>
          <w:color w:val="000000" w:themeColor="text1"/>
        </w:rPr>
        <w:t>found isolated DNA patent-ineligible because such DNA exist</w:t>
      </w:r>
      <w:r w:rsidR="00185404">
        <w:rPr>
          <w:rFonts w:cs="Times New Roman"/>
          <w:color w:val="000000" w:themeColor="text1"/>
        </w:rPr>
        <w:t>s</w:t>
      </w:r>
      <w:r w:rsidRPr="00300BD8">
        <w:rPr>
          <w:rFonts w:cs="Times New Roman"/>
          <w:color w:val="000000" w:themeColor="text1"/>
        </w:rPr>
        <w:t xml:space="preserve"> in nature, but cDNA patent-eligible because</w:t>
      </w:r>
      <w:r w:rsidR="000C67F9">
        <w:rPr>
          <w:rFonts w:cs="Times New Roman"/>
          <w:color w:val="000000" w:themeColor="text1"/>
        </w:rPr>
        <w:t xml:space="preserve"> of non-natural modifications.</w:t>
      </w:r>
      <w:r w:rsidRPr="00300BD8">
        <w:rPr>
          <w:rStyle w:val="FootnoteReference"/>
          <w:rFonts w:cs="Times New Roman"/>
          <w:color w:val="000000" w:themeColor="text1"/>
        </w:rPr>
        <w:footnoteReference w:id="189"/>
      </w:r>
      <w:r w:rsidRPr="00300BD8">
        <w:rPr>
          <w:rFonts w:cs="Times New Roman"/>
          <w:color w:val="000000" w:themeColor="text1"/>
        </w:rPr>
        <w:t xml:space="preserve"> </w:t>
      </w:r>
      <w:r w:rsidR="009F1C97">
        <w:rPr>
          <w:rFonts w:cs="Times New Roman"/>
          <w:color w:val="000000" w:themeColor="text1"/>
        </w:rPr>
        <w:t xml:space="preserve">Yet </w:t>
      </w:r>
      <w:r w:rsidR="007E3B4E">
        <w:rPr>
          <w:rFonts w:cs="Times New Roman"/>
          <w:color w:val="000000" w:themeColor="text1"/>
        </w:rPr>
        <w:t>the</w:t>
      </w:r>
      <w:r w:rsidRPr="00300BD8">
        <w:rPr>
          <w:rFonts w:cs="Times New Roman"/>
          <w:color w:val="000000" w:themeColor="text1"/>
        </w:rPr>
        <w:t xml:space="preserve"> </w:t>
      </w:r>
      <w:r w:rsidRPr="00300BD8">
        <w:rPr>
          <w:rFonts w:cs="Times New Roman"/>
          <w:i/>
          <w:color w:val="000000" w:themeColor="text1"/>
        </w:rPr>
        <w:t>BRCA1</w:t>
      </w:r>
      <w:r w:rsidR="007E3B4E">
        <w:rPr>
          <w:rFonts w:cs="Times New Roman"/>
          <w:color w:val="000000" w:themeColor="text1"/>
        </w:rPr>
        <w:t xml:space="preserve"> decision ruled primers ineligible without explaining whether</w:t>
      </w:r>
      <w:r w:rsidRPr="00300BD8">
        <w:rPr>
          <w:rFonts w:cs="Times New Roman"/>
          <w:color w:val="000000" w:themeColor="text1"/>
        </w:rPr>
        <w:t xml:space="preserve"> </w:t>
      </w:r>
      <w:r w:rsidR="009F1C97">
        <w:rPr>
          <w:rFonts w:cs="Times New Roman"/>
          <w:color w:val="000000" w:themeColor="text1"/>
        </w:rPr>
        <w:t xml:space="preserve">primers </w:t>
      </w:r>
      <w:r w:rsidRPr="00300BD8">
        <w:rPr>
          <w:rFonts w:cs="Times New Roman"/>
          <w:color w:val="000000" w:themeColor="text1"/>
        </w:rPr>
        <w:t>were more like the ineligible DNA or eligible cDNA</w:t>
      </w:r>
      <w:r w:rsidR="00185404">
        <w:rPr>
          <w:rFonts w:cs="Times New Roman"/>
          <w:color w:val="000000" w:themeColor="text1"/>
        </w:rPr>
        <w:t xml:space="preserve"> in </w:t>
      </w:r>
      <w:r w:rsidR="00185404">
        <w:rPr>
          <w:rFonts w:cs="Times New Roman"/>
          <w:i/>
          <w:color w:val="000000" w:themeColor="text1"/>
        </w:rPr>
        <w:t>Myriad</w:t>
      </w:r>
      <w:r w:rsidRPr="00300BD8">
        <w:rPr>
          <w:rFonts w:cs="Times New Roman"/>
          <w:color w:val="000000" w:themeColor="text1"/>
        </w:rPr>
        <w:t>.</w:t>
      </w:r>
      <w:r w:rsidRPr="00300BD8">
        <w:rPr>
          <w:rStyle w:val="FootnoteReference"/>
          <w:rFonts w:cs="Times New Roman"/>
          <w:color w:val="000000" w:themeColor="text1"/>
        </w:rPr>
        <w:footnoteReference w:id="190"/>
      </w:r>
      <w:r w:rsidRPr="00300BD8">
        <w:rPr>
          <w:rFonts w:cs="Times New Roman"/>
          <w:color w:val="000000" w:themeColor="text1"/>
        </w:rPr>
        <w:t xml:space="preserve"> With </w:t>
      </w:r>
      <w:r w:rsidR="005830C5">
        <w:rPr>
          <w:rFonts w:cs="Times New Roman"/>
          <w:color w:val="000000" w:themeColor="text1"/>
        </w:rPr>
        <w:t xml:space="preserve">the </w:t>
      </w:r>
      <w:r w:rsidR="009F1C97">
        <w:rPr>
          <w:rFonts w:cs="Times New Roman"/>
          <w:color w:val="000000" w:themeColor="text1"/>
        </w:rPr>
        <w:t>added</w:t>
      </w:r>
      <w:r w:rsidRPr="00300BD8">
        <w:rPr>
          <w:rFonts w:cs="Times New Roman"/>
          <w:color w:val="000000" w:themeColor="text1"/>
        </w:rPr>
        <w:t xml:space="preserve"> facts </w:t>
      </w:r>
      <w:r w:rsidR="005830C5">
        <w:rPr>
          <w:rFonts w:cs="Times New Roman"/>
          <w:color w:val="000000" w:themeColor="text1"/>
        </w:rPr>
        <w:t>here</w:t>
      </w:r>
      <w:r w:rsidRPr="00300BD8">
        <w:rPr>
          <w:rFonts w:cs="Times New Roman"/>
          <w:color w:val="000000" w:themeColor="text1"/>
        </w:rPr>
        <w:t>,</w:t>
      </w:r>
      <w:r w:rsidRPr="00300BD8">
        <w:rPr>
          <w:rStyle w:val="FootnoteReference"/>
          <w:rFonts w:cs="Times New Roman"/>
          <w:color w:val="000000" w:themeColor="text1"/>
        </w:rPr>
        <w:footnoteReference w:id="191"/>
      </w:r>
      <w:r w:rsidRPr="00300BD8">
        <w:rPr>
          <w:rFonts w:cs="Times New Roman"/>
          <w:color w:val="000000" w:themeColor="text1"/>
        </w:rPr>
        <w:t xml:space="preserve"> Judge O’Malley </w:t>
      </w:r>
      <w:r w:rsidR="009F1C97">
        <w:rPr>
          <w:rFonts w:cs="Times New Roman"/>
          <w:color w:val="000000" w:themeColor="text1"/>
        </w:rPr>
        <w:t>suggest</w:t>
      </w:r>
      <w:r w:rsidR="007E3B4E">
        <w:rPr>
          <w:rFonts w:cs="Times New Roman"/>
          <w:color w:val="000000" w:themeColor="text1"/>
        </w:rPr>
        <w:t xml:space="preserve">ed </w:t>
      </w:r>
      <w:r w:rsidRPr="00300BD8">
        <w:rPr>
          <w:rFonts w:cs="Times New Roman"/>
          <w:color w:val="000000" w:themeColor="text1"/>
        </w:rPr>
        <w:t>primers may</w:t>
      </w:r>
      <w:r w:rsidR="00D06822">
        <w:rPr>
          <w:rFonts w:cs="Times New Roman"/>
          <w:color w:val="000000" w:themeColor="text1"/>
        </w:rPr>
        <w:t xml:space="preserve"> be more like </w:t>
      </w:r>
      <w:r w:rsidR="009F1C97">
        <w:rPr>
          <w:rFonts w:cs="Times New Roman"/>
          <w:color w:val="000000" w:themeColor="text1"/>
        </w:rPr>
        <w:t xml:space="preserve">the </w:t>
      </w:r>
      <w:r w:rsidR="005830C5">
        <w:rPr>
          <w:rFonts w:cs="Times New Roman"/>
          <w:color w:val="000000" w:themeColor="text1"/>
        </w:rPr>
        <w:t xml:space="preserve">patent-eligible </w:t>
      </w:r>
      <w:r w:rsidR="00D06822">
        <w:rPr>
          <w:rFonts w:cs="Times New Roman"/>
          <w:color w:val="000000" w:themeColor="text1"/>
        </w:rPr>
        <w:t>cDNA.</w:t>
      </w:r>
      <w:r w:rsidRPr="00300BD8">
        <w:rPr>
          <w:rFonts w:cs="Times New Roman"/>
          <w:color w:val="000000" w:themeColor="text1"/>
        </w:rPr>
        <w:t xml:space="preserve"> </w:t>
      </w:r>
      <w:r w:rsidRPr="00300BD8">
        <w:rPr>
          <w:rFonts w:cs="Times New Roman"/>
          <w:i/>
          <w:color w:val="000000" w:themeColor="text1"/>
        </w:rPr>
        <w:t>Myriad</w:t>
      </w:r>
      <w:r w:rsidR="00CF5F3A">
        <w:rPr>
          <w:rFonts w:cs="Times New Roman"/>
          <w:color w:val="000000" w:themeColor="text1"/>
        </w:rPr>
        <w:t xml:space="preserve"> teaches that</w:t>
      </w:r>
      <w:r w:rsidRPr="00300BD8">
        <w:rPr>
          <w:rFonts w:cs="Times New Roman"/>
          <w:i/>
          <w:color w:val="000000" w:themeColor="text1"/>
        </w:rPr>
        <w:t xml:space="preserve"> </w:t>
      </w:r>
      <w:r w:rsidRPr="00300BD8">
        <w:rPr>
          <w:rFonts w:cs="Times New Roman"/>
          <w:color w:val="000000" w:themeColor="text1"/>
        </w:rPr>
        <w:t>“although ‘[t]he nucleotide sequence of cDNA</w:t>
      </w:r>
      <w:r w:rsidR="007E3B4E">
        <w:rPr>
          <w:rFonts w:cs="Times New Roman"/>
          <w:color w:val="000000" w:themeColor="text1"/>
        </w:rPr>
        <w:t xml:space="preserve"> is</w:t>
      </w:r>
      <w:r w:rsidRPr="00300BD8">
        <w:rPr>
          <w:rFonts w:cs="Times New Roman"/>
          <w:color w:val="000000" w:themeColor="text1"/>
        </w:rPr>
        <w:t xml:space="preserve"> dictated by nature . . . the lab technician unquestionably creates something new when cDNA is made</w:t>
      </w:r>
      <w:r w:rsidR="007E3B4E">
        <w:rPr>
          <w:rFonts w:cs="Times New Roman"/>
          <w:color w:val="000000" w:themeColor="text1"/>
        </w:rPr>
        <w:t>.’</w:t>
      </w:r>
      <w:r w:rsidRPr="00300BD8">
        <w:rPr>
          <w:rFonts w:cs="Times New Roman"/>
          <w:color w:val="000000" w:themeColor="text1"/>
        </w:rPr>
        <w:t>”</w:t>
      </w:r>
      <w:r w:rsidRPr="00300BD8">
        <w:rPr>
          <w:rStyle w:val="FootnoteReference"/>
          <w:rFonts w:cs="Times New Roman"/>
          <w:color w:val="000000" w:themeColor="text1"/>
        </w:rPr>
        <w:footnoteReference w:id="192"/>
      </w:r>
      <w:r w:rsidR="007E3B4E">
        <w:rPr>
          <w:rFonts w:cs="Times New Roman"/>
          <w:color w:val="000000" w:themeColor="text1"/>
        </w:rPr>
        <w:t xml:space="preserve"> H</w:t>
      </w:r>
      <w:r w:rsidR="009639AE">
        <w:rPr>
          <w:rFonts w:cs="Times New Roman"/>
          <w:color w:val="000000" w:themeColor="text1"/>
        </w:rPr>
        <w:t>er</w:t>
      </w:r>
      <w:r w:rsidR="00141B3D">
        <w:rPr>
          <w:rFonts w:cs="Times New Roman"/>
          <w:color w:val="000000" w:themeColor="text1"/>
        </w:rPr>
        <w:t>e,</w:t>
      </w:r>
      <w:r w:rsidR="009639AE">
        <w:rPr>
          <w:rFonts w:cs="Times New Roman"/>
          <w:color w:val="000000" w:themeColor="text1"/>
        </w:rPr>
        <w:t xml:space="preserve"> </w:t>
      </w:r>
      <w:r w:rsidR="00CF5F3A">
        <w:rPr>
          <w:rFonts w:cs="Times New Roman"/>
          <w:color w:val="000000" w:themeColor="text1"/>
        </w:rPr>
        <w:t xml:space="preserve">while </w:t>
      </w:r>
      <w:r w:rsidR="009639AE" w:rsidRPr="00300BD8">
        <w:rPr>
          <w:rFonts w:cs="Times New Roman"/>
          <w:color w:val="000000" w:themeColor="text1"/>
        </w:rPr>
        <w:t>the primers have a core sequence of nucleotide</w:t>
      </w:r>
      <w:r w:rsidR="00CF5F3A">
        <w:rPr>
          <w:rFonts w:cs="Times New Roman"/>
          <w:color w:val="000000" w:themeColor="text1"/>
        </w:rPr>
        <w:t xml:space="preserve">s </w:t>
      </w:r>
      <w:r w:rsidR="009639AE" w:rsidRPr="00300BD8">
        <w:rPr>
          <w:rFonts w:cs="Times New Roman"/>
          <w:color w:val="000000" w:themeColor="text1"/>
        </w:rPr>
        <w:t xml:space="preserve">dictated by nature, the endpoints </w:t>
      </w:r>
      <w:r w:rsidR="00141B3D">
        <w:rPr>
          <w:rFonts w:cs="Times New Roman"/>
          <w:color w:val="000000" w:themeColor="text1"/>
        </w:rPr>
        <w:t>have a non-natural “structure” and “function” that may</w:t>
      </w:r>
      <w:r w:rsidR="009639AE" w:rsidRPr="00300BD8">
        <w:rPr>
          <w:rFonts w:cs="Times New Roman"/>
          <w:color w:val="000000" w:themeColor="text1"/>
        </w:rPr>
        <w:t xml:space="preserve"> warrant patent-eligibility</w:t>
      </w:r>
      <w:r w:rsidR="00141B3D">
        <w:rPr>
          <w:rFonts w:cs="Times New Roman"/>
          <w:color w:val="000000" w:themeColor="text1"/>
        </w:rPr>
        <w:t>.</w:t>
      </w:r>
      <w:r w:rsidR="00141B3D" w:rsidRPr="00300BD8">
        <w:rPr>
          <w:rStyle w:val="FootnoteReference"/>
          <w:rFonts w:cs="Times New Roman"/>
          <w:color w:val="000000" w:themeColor="text1"/>
        </w:rPr>
        <w:footnoteReference w:id="193"/>
      </w:r>
      <w:r w:rsidR="009639AE" w:rsidRPr="00300BD8">
        <w:rPr>
          <w:rFonts w:cs="Times New Roman"/>
          <w:color w:val="000000" w:themeColor="text1"/>
        </w:rPr>
        <w:t xml:space="preserve"> </w:t>
      </w:r>
      <w:r w:rsidRPr="00300BD8">
        <w:rPr>
          <w:rFonts w:cs="Times New Roman"/>
          <w:color w:val="000000" w:themeColor="text1"/>
        </w:rPr>
        <w:t xml:space="preserve"> </w:t>
      </w:r>
    </w:p>
    <w:p w14:paraId="0381DAE9" w14:textId="6DA227FB" w:rsidR="000B16B0" w:rsidRPr="00677ABE" w:rsidRDefault="000B16B0" w:rsidP="00141B3D">
      <w:pPr>
        <w:tabs>
          <w:tab w:val="left" w:pos="5696"/>
        </w:tabs>
        <w:rPr>
          <w:rFonts w:eastAsiaTheme="majorEastAsia" w:cs="Times New Roman"/>
          <w:b/>
          <w:bCs/>
        </w:rPr>
      </w:pPr>
      <w:r w:rsidRPr="00677ABE">
        <w:rPr>
          <w:rFonts w:cs="Times New Roman"/>
        </w:rPr>
        <w:br w:type="page"/>
      </w:r>
      <w:r w:rsidR="00141B3D">
        <w:rPr>
          <w:rFonts w:cs="Times New Roman"/>
        </w:rPr>
        <w:lastRenderedPageBreak/>
        <w:tab/>
      </w:r>
    </w:p>
    <w:p w14:paraId="08399693" w14:textId="77777777" w:rsidR="00F20B84" w:rsidRDefault="00347940" w:rsidP="00CA2C0A">
      <w:pPr>
        <w:pStyle w:val="Heading1"/>
        <w:rPr>
          <w:rFonts w:cs="Times New Roman"/>
          <w:szCs w:val="24"/>
        </w:rPr>
      </w:pPr>
      <w:bookmarkStart w:id="28" w:name="_Toc531692727"/>
      <w:r w:rsidRPr="00677ABE">
        <w:rPr>
          <w:rFonts w:cs="Times New Roman"/>
          <w:szCs w:val="24"/>
        </w:rPr>
        <w:t>DISCLOSURE</w:t>
      </w:r>
      <w:bookmarkEnd w:id="28"/>
    </w:p>
    <w:p w14:paraId="034B4B2C" w14:textId="77777777" w:rsidR="00F20B84" w:rsidRDefault="00347940" w:rsidP="00CA2C0A">
      <w:pPr>
        <w:pStyle w:val="Heading2"/>
        <w:rPr>
          <w:rFonts w:cs="Times New Roman"/>
          <w:szCs w:val="24"/>
        </w:rPr>
      </w:pPr>
      <w:bookmarkStart w:id="29" w:name="_Toc531692728"/>
      <w:r w:rsidRPr="00677ABE">
        <w:rPr>
          <w:rFonts w:cs="Times New Roman"/>
          <w:szCs w:val="24"/>
        </w:rPr>
        <w:t>Definiteness</w:t>
      </w:r>
      <w:bookmarkEnd w:id="29"/>
    </w:p>
    <w:p w14:paraId="6C9B64CD" w14:textId="7C8B864B" w:rsidR="00E70DAA" w:rsidRPr="00677ABE" w:rsidRDefault="00E70DAA" w:rsidP="00CA2C0A">
      <w:pPr>
        <w:pStyle w:val="Heading3"/>
        <w:ind w:firstLine="0"/>
        <w:rPr>
          <w:rFonts w:cs="Times New Roman"/>
        </w:rPr>
      </w:pPr>
      <w:bookmarkStart w:id="30" w:name="_Toc531692729"/>
      <w:r w:rsidRPr="00677ABE">
        <w:rPr>
          <w:rFonts w:cs="Times New Roman"/>
        </w:rPr>
        <w:t>Intellectual Ventures I LLC v. T-Mobile USA, Inc.</w:t>
      </w:r>
      <w:r w:rsidR="00393CE8" w:rsidRPr="00677ABE">
        <w:rPr>
          <w:rFonts w:cs="Times New Roman"/>
          <w:i w:val="0"/>
        </w:rPr>
        <w:t>, Nos. 2017-2434 &amp;</w:t>
      </w:r>
      <w:r w:rsidRPr="00677ABE">
        <w:rPr>
          <w:rFonts w:cs="Times New Roman"/>
          <w:i w:val="0"/>
        </w:rPr>
        <w:t xml:space="preserve"> 2017-2435, 2018 U.S. App. LEXIS 24997 (Fed. Cir. Sept. 4, 2018)</w:t>
      </w:r>
      <w:bookmarkEnd w:id="30"/>
    </w:p>
    <w:p w14:paraId="1273177E" w14:textId="77777777" w:rsidR="00E70DAA" w:rsidRPr="00677ABE" w:rsidRDefault="00E70DAA" w:rsidP="00CA2C0A">
      <w:pPr>
        <w:rPr>
          <w:rFonts w:cs="Times New Roman"/>
        </w:rPr>
      </w:pPr>
      <w:r w:rsidRPr="00677ABE">
        <w:rPr>
          <w:rFonts w:cs="Times New Roman"/>
        </w:rPr>
        <w:tab/>
        <w:t>In this appeal from the District of Delaware, the Federal Circuit affirmed the district court’s finding of claim indefiniteness (while vacating and remanding the decision on other grounds).</w:t>
      </w:r>
      <w:r w:rsidRPr="00677ABE">
        <w:rPr>
          <w:rStyle w:val="FootnoteReference"/>
          <w:rFonts w:cs="Times New Roman"/>
        </w:rPr>
        <w:footnoteReference w:id="194"/>
      </w:r>
      <w:r w:rsidRPr="00677ABE">
        <w:rPr>
          <w:rFonts w:cs="Times New Roman"/>
        </w:rPr>
        <w:t xml:space="preserve"> </w:t>
      </w:r>
    </w:p>
    <w:p w14:paraId="645906F3" w14:textId="0062C20E" w:rsidR="00E70DAA" w:rsidRPr="00677ABE" w:rsidRDefault="00E70DAA" w:rsidP="00CA2C0A">
      <w:pPr>
        <w:rPr>
          <w:rFonts w:cs="Times New Roman"/>
        </w:rPr>
      </w:pPr>
      <w:r w:rsidRPr="00677ABE">
        <w:rPr>
          <w:rFonts w:cs="Times New Roman"/>
        </w:rPr>
        <w:tab/>
        <w:t xml:space="preserve">The case involved the </w:t>
      </w:r>
      <w:r w:rsidR="00370148">
        <w:rPr>
          <w:rFonts w:cs="Times New Roman"/>
        </w:rPr>
        <w:t>’2</w:t>
      </w:r>
      <w:r w:rsidRPr="00677ABE">
        <w:rPr>
          <w:rFonts w:cs="Times New Roman"/>
        </w:rPr>
        <w:t xml:space="preserve">48 patent describing “an application-aware resource allocator” for meeting software applications’ varied quality of service (“QoS”) requirements for bandwidth over a packet-switched network. </w:t>
      </w:r>
      <w:r w:rsidR="00B50A6F">
        <w:rPr>
          <w:rFonts w:cs="Times New Roman"/>
        </w:rPr>
        <w:t xml:space="preserve">One limitation described </w:t>
      </w:r>
      <w:r w:rsidR="00B50A6F" w:rsidRPr="00677ABE">
        <w:rPr>
          <w:rFonts w:cs="Times New Roman"/>
        </w:rPr>
        <w:t>“allocating means for allocating resources to said IP flow . . . so as to optimize end user application IP QoS requirements of said software application.”</w:t>
      </w:r>
      <w:r w:rsidR="00B50A6F" w:rsidRPr="00677ABE">
        <w:rPr>
          <w:rStyle w:val="FootnoteReference"/>
          <w:rFonts w:cs="Times New Roman"/>
        </w:rPr>
        <w:footnoteReference w:id="195"/>
      </w:r>
      <w:r w:rsidR="00B50A6F">
        <w:rPr>
          <w:rFonts w:cs="Times New Roman"/>
        </w:rPr>
        <w:t xml:space="preserve"> </w:t>
      </w:r>
      <w:r w:rsidRPr="00677ABE">
        <w:rPr>
          <w:rFonts w:cs="Times New Roman"/>
        </w:rPr>
        <w:t xml:space="preserve">T-Mobile argued that </w:t>
      </w:r>
      <w:r w:rsidR="00B50A6F">
        <w:rPr>
          <w:rFonts w:cs="Times New Roman"/>
        </w:rPr>
        <w:t xml:space="preserve">the </w:t>
      </w:r>
      <w:r w:rsidRPr="00677ABE">
        <w:rPr>
          <w:rFonts w:cs="Times New Roman"/>
        </w:rPr>
        <w:t xml:space="preserve">“means for” language in the claim triggered a means-plus-function limitation </w:t>
      </w:r>
      <w:r w:rsidR="00B50A6F">
        <w:rPr>
          <w:rFonts w:cs="Times New Roman"/>
        </w:rPr>
        <w:t>lacking</w:t>
      </w:r>
      <w:r w:rsidR="00B50A6F" w:rsidRPr="00677ABE">
        <w:rPr>
          <w:rFonts w:cs="Times New Roman"/>
        </w:rPr>
        <w:t xml:space="preserve"> </w:t>
      </w:r>
      <w:r w:rsidR="00B50A6F">
        <w:rPr>
          <w:rFonts w:cs="Times New Roman"/>
        </w:rPr>
        <w:t>definite function</w:t>
      </w:r>
      <w:r w:rsidR="00B50A6F" w:rsidRPr="00677ABE">
        <w:rPr>
          <w:rFonts w:cs="Times New Roman"/>
        </w:rPr>
        <w:t xml:space="preserve"> </w:t>
      </w:r>
      <w:r w:rsidRPr="00677ABE">
        <w:rPr>
          <w:rFonts w:cs="Times New Roman"/>
        </w:rPr>
        <w:t xml:space="preserve">and </w:t>
      </w:r>
      <w:r w:rsidR="00B50A6F">
        <w:rPr>
          <w:rFonts w:cs="Times New Roman"/>
        </w:rPr>
        <w:t>corresponding</w:t>
      </w:r>
      <w:r w:rsidRPr="00677ABE">
        <w:rPr>
          <w:rFonts w:cs="Times New Roman"/>
        </w:rPr>
        <w:t xml:space="preserve"> structure</w:t>
      </w:r>
      <w:r w:rsidR="00B50A6F">
        <w:rPr>
          <w:rFonts w:cs="Times New Roman"/>
        </w:rPr>
        <w:t>.</w:t>
      </w:r>
      <w:r w:rsidR="00B50A6F">
        <w:rPr>
          <w:rStyle w:val="FootnoteReference"/>
          <w:rFonts w:cs="Times New Roman"/>
        </w:rPr>
        <w:footnoteReference w:id="196"/>
      </w:r>
      <w:r w:rsidR="00AC00E6">
        <w:rPr>
          <w:rFonts w:cs="Times New Roman"/>
        </w:rPr>
        <w:t xml:space="preserve"> </w:t>
      </w:r>
      <w:r w:rsidRPr="00677ABE">
        <w:rPr>
          <w:rFonts w:cs="Times New Roman"/>
        </w:rPr>
        <w:t>Intellectual Ventures argued the function entailed all that followed “means for,” and proposed corresponding structures; T-Mobile argued and the district court found that “optimize” was an indefinite function—and declined to inquire after structure further.</w:t>
      </w:r>
      <w:r w:rsidRPr="00677ABE">
        <w:rPr>
          <w:rStyle w:val="FootnoteReference"/>
          <w:rFonts w:cs="Times New Roman"/>
        </w:rPr>
        <w:footnoteReference w:id="197"/>
      </w:r>
      <w:r w:rsidRPr="00677ABE">
        <w:rPr>
          <w:rFonts w:cs="Times New Roman"/>
        </w:rPr>
        <w:t xml:space="preserve"> (Because of this and a claim construction question, T-Mobile won on a motion for summary judgment on non-infringement.)</w:t>
      </w:r>
      <w:r w:rsidRPr="00677ABE">
        <w:rPr>
          <w:rStyle w:val="FootnoteReference"/>
          <w:rFonts w:cs="Times New Roman"/>
        </w:rPr>
        <w:footnoteReference w:id="198"/>
      </w:r>
    </w:p>
    <w:p w14:paraId="025E3DDB" w14:textId="2E1DE545" w:rsidR="00F20B84" w:rsidRDefault="00E70DAA" w:rsidP="00CA2C0A">
      <w:pPr>
        <w:rPr>
          <w:rFonts w:cs="Times New Roman"/>
        </w:rPr>
      </w:pPr>
      <w:r w:rsidRPr="00677ABE">
        <w:rPr>
          <w:rFonts w:cs="Times New Roman"/>
        </w:rPr>
        <w:tab/>
        <w:t>On appeal, the Federal Circuit held that it was not error for the district court, when evaluating this means-plus-function claim limitation, to decline to investigate whether sufficient corresponding structure existed for the means once it had found the function was indefinite.</w:t>
      </w:r>
      <w:r w:rsidRPr="00677ABE">
        <w:rPr>
          <w:rStyle w:val="FootnoteReference"/>
          <w:rFonts w:cs="Times New Roman"/>
        </w:rPr>
        <w:footnoteReference w:id="199"/>
      </w:r>
      <w:r w:rsidRPr="00677ABE">
        <w:rPr>
          <w:rFonts w:cs="Times New Roman"/>
        </w:rPr>
        <w:t xml:space="preserve"> The Federal Circuit focused on “QoS requirements” as being “entirely subjective and user-defined” according to the </w:t>
      </w:r>
      <w:r w:rsidR="00370148">
        <w:rPr>
          <w:rFonts w:cs="Times New Roman"/>
        </w:rPr>
        <w:t>’2</w:t>
      </w:r>
      <w:r w:rsidRPr="00677ABE">
        <w:rPr>
          <w:rFonts w:cs="Times New Roman"/>
        </w:rPr>
        <w:t>48 patent’s own language that QoS entailed “a continuum” of possible standards with “the end-user experience [</w:t>
      </w:r>
      <w:r w:rsidR="00473BE1">
        <w:rPr>
          <w:rFonts w:cs="Times New Roman"/>
        </w:rPr>
        <w:t>being</w:t>
      </w:r>
      <w:r w:rsidRPr="00677ABE">
        <w:rPr>
          <w:rFonts w:cs="Times New Roman"/>
        </w:rPr>
        <w:t>] the final arbiter.”</w:t>
      </w:r>
      <w:r w:rsidRPr="00677ABE">
        <w:rPr>
          <w:rStyle w:val="FootnoteReference"/>
          <w:rFonts w:cs="Times New Roman"/>
        </w:rPr>
        <w:footnoteReference w:id="200"/>
      </w:r>
      <w:r w:rsidRPr="00677ABE">
        <w:rPr>
          <w:rFonts w:cs="Times New Roman"/>
        </w:rPr>
        <w:t xml:space="preserve"> This showed, as the district court also found, that there was no way for one of ordinary skill in the art to know when “optimiz[ing] . . . QoS” had been accomplished—much as there was no way for one to satisfy the “aesthetically pleasing” limitation in </w:t>
      </w:r>
      <w:r w:rsidRPr="00677ABE">
        <w:rPr>
          <w:rFonts w:cs="Times New Roman"/>
          <w:i/>
        </w:rPr>
        <w:t>Datamize</w:t>
      </w:r>
      <w:r w:rsidRPr="00677ABE">
        <w:rPr>
          <w:rFonts w:cs="Times New Roman"/>
        </w:rPr>
        <w:t>.</w:t>
      </w:r>
      <w:r w:rsidRPr="00677ABE">
        <w:rPr>
          <w:rStyle w:val="FootnoteReference"/>
          <w:rFonts w:cs="Times New Roman"/>
        </w:rPr>
        <w:footnoteReference w:id="201"/>
      </w:r>
      <w:r w:rsidRPr="00677ABE">
        <w:rPr>
          <w:rFonts w:cs="Times New Roman"/>
        </w:rPr>
        <w:t xml:space="preserve"> </w:t>
      </w:r>
    </w:p>
    <w:p w14:paraId="71CDD86B" w14:textId="3DA1C70E" w:rsidR="00E70DAA" w:rsidRPr="00677ABE" w:rsidRDefault="00E70DAA" w:rsidP="00CA2C0A">
      <w:pPr>
        <w:pStyle w:val="Heading3"/>
        <w:ind w:firstLine="0"/>
        <w:rPr>
          <w:rFonts w:cs="Times New Roman"/>
        </w:rPr>
      </w:pPr>
      <w:bookmarkStart w:id="31" w:name="_Toc531692730"/>
      <w:bookmarkStart w:id="32" w:name="_Toc526093296"/>
      <w:r w:rsidRPr="00677ABE">
        <w:rPr>
          <w:rFonts w:cs="Times New Roman"/>
        </w:rPr>
        <w:lastRenderedPageBreak/>
        <w:t>Diebold Nixdorf, Inc. v. Int’l Trade Comm’n</w:t>
      </w:r>
      <w:r w:rsidRPr="00677ABE">
        <w:rPr>
          <w:rFonts w:cs="Times New Roman"/>
          <w:i w:val="0"/>
        </w:rPr>
        <w:t xml:space="preserve">, </w:t>
      </w:r>
      <w:r w:rsidR="00B45315" w:rsidRPr="00677ABE">
        <w:rPr>
          <w:rFonts w:cs="Times New Roman"/>
          <w:i w:val="0"/>
        </w:rPr>
        <w:t>899 F.3d 1291</w:t>
      </w:r>
      <w:r w:rsidR="00B968C8" w:rsidRPr="00677ABE">
        <w:rPr>
          <w:rFonts w:cs="Times New Roman"/>
          <w:i w:val="0"/>
        </w:rPr>
        <w:t xml:space="preserve"> (Fed. Cir. Aug. 15, 2018)</w:t>
      </w:r>
      <w:bookmarkEnd w:id="31"/>
    </w:p>
    <w:p w14:paraId="3B9BCF2B" w14:textId="17034CB4" w:rsidR="00E70DAA" w:rsidRPr="00677ABE" w:rsidRDefault="00E70DAA" w:rsidP="00CA2C0A">
      <w:pPr>
        <w:rPr>
          <w:rFonts w:cs="Times New Roman"/>
        </w:rPr>
      </w:pPr>
      <w:r w:rsidRPr="00677ABE">
        <w:rPr>
          <w:rFonts w:cs="Times New Roman"/>
        </w:rPr>
        <w:tab/>
        <w:t xml:space="preserve">In this appeal from the International Trade Commission, the Federal Circuit concluded that “cheque standby unit” in the </w:t>
      </w:r>
      <w:r w:rsidR="00370148">
        <w:rPr>
          <w:rFonts w:cs="Times New Roman"/>
        </w:rPr>
        <w:t>’2</w:t>
      </w:r>
      <w:r w:rsidRPr="00677ABE">
        <w:rPr>
          <w:rFonts w:cs="Times New Roman"/>
        </w:rPr>
        <w:t xml:space="preserve">35 patent was a means-plus-function term under 35 U.S.C. </w:t>
      </w:r>
      <w:r w:rsidR="00AC00E6">
        <w:rPr>
          <w:rFonts w:cs="Times New Roman"/>
        </w:rPr>
        <w:t>§ </w:t>
      </w:r>
      <w:r w:rsidR="00334EC2" w:rsidRPr="00677ABE">
        <w:rPr>
          <w:rFonts w:cs="Times New Roman"/>
        </w:rPr>
        <w:t>1</w:t>
      </w:r>
      <w:r w:rsidRPr="00677ABE">
        <w:rPr>
          <w:rFonts w:cs="Times New Roman"/>
        </w:rPr>
        <w:t>12</w:t>
      </w:r>
      <w:r w:rsidR="00334EC2" w:rsidRPr="00677ABE">
        <w:rPr>
          <w:rFonts w:cs="Times New Roman"/>
        </w:rPr>
        <w:t>(f)</w:t>
      </w:r>
      <w:r w:rsidRPr="00677ABE">
        <w:rPr>
          <w:rFonts w:cs="Times New Roman"/>
        </w:rPr>
        <w:t xml:space="preserve"> that lacked corresponding structure in the specification and was therefore indefinite and invalid</w:t>
      </w:r>
      <w:r w:rsidRPr="00677ABE">
        <w:rPr>
          <w:rStyle w:val="FootnoteReference"/>
          <w:rFonts w:cs="Times New Roman"/>
        </w:rPr>
        <w:footnoteReference w:id="202"/>
      </w:r>
      <w:r w:rsidRPr="00677ABE">
        <w:rPr>
          <w:rFonts w:cs="Times New Roman"/>
        </w:rPr>
        <w:t xml:space="preserve"> </w:t>
      </w:r>
      <w:r w:rsidR="00BD05DA" w:rsidRPr="00677ABE">
        <w:rPr>
          <w:rFonts w:cs="Times New Roman"/>
        </w:rPr>
        <w:t>despite expert testimony about the meaning of the term in the industry</w:t>
      </w:r>
      <w:r w:rsidRPr="00677ABE">
        <w:rPr>
          <w:rFonts w:cs="Times New Roman"/>
        </w:rPr>
        <w:t xml:space="preserve">. </w:t>
      </w:r>
    </w:p>
    <w:p w14:paraId="636782E1" w14:textId="04B644EF" w:rsidR="00E70DAA" w:rsidRPr="00677ABE" w:rsidRDefault="00E70DAA" w:rsidP="00CA2C0A">
      <w:pPr>
        <w:rPr>
          <w:rFonts w:cs="Times New Roman"/>
        </w:rPr>
      </w:pPr>
      <w:r w:rsidRPr="00677ABE">
        <w:rPr>
          <w:rFonts w:cs="Times New Roman"/>
        </w:rPr>
        <w:tab/>
        <w:t xml:space="preserve">The case concerned defendant’s alleged infringement of the </w:t>
      </w:r>
      <w:r w:rsidR="00370148">
        <w:rPr>
          <w:rFonts w:cs="Times New Roman"/>
        </w:rPr>
        <w:t>’2</w:t>
      </w:r>
      <w:r w:rsidRPr="00677ABE">
        <w:rPr>
          <w:rFonts w:cs="Times New Roman"/>
        </w:rPr>
        <w:t>35 patent. The patent related to a</w:t>
      </w:r>
      <w:r w:rsidR="00E9682D" w:rsidRPr="00677ABE">
        <w:rPr>
          <w:rFonts w:cs="Times New Roman"/>
        </w:rPr>
        <w:t>utomated teller machines (ATMs)</w:t>
      </w:r>
      <w:r w:rsidRPr="00677ABE">
        <w:rPr>
          <w:rFonts w:cs="Times New Roman"/>
        </w:rPr>
        <w:t>. Defendants argued a claim that included a “cheque standby unit” limitation was invalid for indefiniteness.</w:t>
      </w:r>
      <w:r w:rsidRPr="00677ABE">
        <w:rPr>
          <w:rStyle w:val="FootnoteReference"/>
          <w:rFonts w:cs="Times New Roman"/>
        </w:rPr>
        <w:footnoteReference w:id="203"/>
      </w:r>
      <w:r w:rsidRPr="00677ABE">
        <w:rPr>
          <w:rFonts w:cs="Times New Roman"/>
        </w:rPr>
        <w:t xml:space="preserve"> Crediting plaintiff’s expert, the administrative law judge (“ALJ”) found the “cheque standby unit” was a means-plus-function term for which a person of ordinary skill in the art would find sufficient corresponding structure in the description that it “temporarily stores at least one authentic cheque by holding it in position on the belt.”</w:t>
      </w:r>
      <w:r w:rsidRPr="00677ABE">
        <w:rPr>
          <w:rStyle w:val="FootnoteReference"/>
          <w:rFonts w:cs="Times New Roman"/>
        </w:rPr>
        <w:footnoteReference w:id="204"/>
      </w:r>
      <w:r w:rsidRPr="00677ABE">
        <w:rPr>
          <w:rFonts w:cs="Times New Roman"/>
        </w:rPr>
        <w:t xml:space="preserve"> The Commission reviewed the ALJ’s Initial Decision but not this issue. </w:t>
      </w:r>
    </w:p>
    <w:p w14:paraId="2C17BB12" w14:textId="026D537F" w:rsidR="00F20B84" w:rsidRDefault="00E70DAA" w:rsidP="00CA2C0A">
      <w:pPr>
        <w:rPr>
          <w:rFonts w:cs="Times New Roman"/>
        </w:rPr>
      </w:pPr>
      <w:r w:rsidRPr="00677ABE">
        <w:rPr>
          <w:rFonts w:cs="Times New Roman"/>
        </w:rPr>
        <w:tab/>
        <w:t>On appeal, the Federal Circuit reversed.</w:t>
      </w:r>
      <w:r w:rsidRPr="00677ABE">
        <w:rPr>
          <w:rStyle w:val="FootnoteReference"/>
          <w:rFonts w:cs="Times New Roman"/>
        </w:rPr>
        <w:footnoteReference w:id="205"/>
      </w:r>
      <w:r w:rsidRPr="00677ABE">
        <w:rPr>
          <w:rFonts w:cs="Times New Roman"/>
        </w:rPr>
        <w:t xml:space="preserve"> </w:t>
      </w:r>
      <w:r w:rsidR="00797B6A">
        <w:rPr>
          <w:rFonts w:cs="Times New Roman"/>
        </w:rPr>
        <w:t>T</w:t>
      </w:r>
      <w:r w:rsidRPr="00677ABE">
        <w:rPr>
          <w:rFonts w:cs="Times New Roman"/>
        </w:rPr>
        <w:t xml:space="preserve">he court reached its conclusion for three reasons. First, while the word “means” was not present to invoke </w:t>
      </w:r>
      <w:r w:rsidR="00AC00E6">
        <w:rPr>
          <w:rFonts w:cs="Times New Roman"/>
        </w:rPr>
        <w:t>§ </w:t>
      </w:r>
      <w:r w:rsidRPr="00677ABE">
        <w:rPr>
          <w:rFonts w:cs="Times New Roman"/>
        </w:rPr>
        <w:t>112, para. 6, the challenger showed that “unit” was a nonce word, describing a function rather than a structure.</w:t>
      </w:r>
      <w:r w:rsidR="00E9682D" w:rsidRPr="00677ABE">
        <w:rPr>
          <w:rStyle w:val="FootnoteReference"/>
          <w:rFonts w:cs="Times New Roman"/>
        </w:rPr>
        <w:footnoteReference w:id="206"/>
      </w:r>
      <w:r w:rsidRPr="00677ABE">
        <w:rPr>
          <w:rFonts w:cs="Times New Roman"/>
        </w:rPr>
        <w:t xml:space="preserve"> Indeed, the specification illustrated the “unit” using a plain line that did not distinguish it from the “main transfer path” before and after it.</w:t>
      </w:r>
      <w:r w:rsidRPr="00677ABE">
        <w:rPr>
          <w:rStyle w:val="FootnoteReference"/>
          <w:rFonts w:cs="Times New Roman"/>
        </w:rPr>
        <w:footnoteReference w:id="207"/>
      </w:r>
      <w:r w:rsidRPr="00677ABE">
        <w:rPr>
          <w:rFonts w:cs="Times New Roman"/>
        </w:rPr>
        <w:t xml:space="preserve"> Second, the court found that the extrinsic evidence of the patent-holder’s expert did not defeat the intrinsic evidence of the challenger. The testimony that “cheque standby unit” was </w:t>
      </w:r>
      <w:r w:rsidR="00FA2147" w:rsidRPr="00677ABE">
        <w:rPr>
          <w:rFonts w:cs="Times New Roman"/>
        </w:rPr>
        <w:t>well understood</w:t>
      </w:r>
      <w:r w:rsidRPr="00677ABE">
        <w:rPr>
          <w:rFonts w:cs="Times New Roman"/>
        </w:rPr>
        <w:t xml:space="preserve"> and disclosed adequate structure was undermined by the expert’s failure to “cabin”</w:t>
      </w:r>
      <w:r w:rsidRPr="00677ABE">
        <w:rPr>
          <w:rStyle w:val="FootnoteReference"/>
          <w:rFonts w:cs="Times New Roman"/>
        </w:rPr>
        <w:footnoteReference w:id="208"/>
      </w:r>
      <w:r w:rsidRPr="00677ABE">
        <w:rPr>
          <w:rFonts w:cs="Times New Roman"/>
        </w:rPr>
        <w:t xml:space="preserve"> the corresponding structure, which by </w:t>
      </w:r>
      <w:r w:rsidR="00797B6A">
        <w:rPr>
          <w:rFonts w:cs="Times New Roman"/>
        </w:rPr>
        <w:t>the expert’s</w:t>
      </w:r>
      <w:r w:rsidR="00797B6A" w:rsidRPr="00677ABE">
        <w:rPr>
          <w:rFonts w:cs="Times New Roman"/>
        </w:rPr>
        <w:t xml:space="preserve"> </w:t>
      </w:r>
      <w:r w:rsidRPr="00677ABE">
        <w:rPr>
          <w:rFonts w:cs="Times New Roman"/>
        </w:rPr>
        <w:t>admission could include “a ‘suction cup,’ a ‘trap door,’ [or] a ‘drum.’”</w:t>
      </w:r>
      <w:r w:rsidRPr="00677ABE">
        <w:rPr>
          <w:rStyle w:val="FootnoteReference"/>
          <w:rFonts w:cs="Times New Roman"/>
        </w:rPr>
        <w:footnoteReference w:id="209"/>
      </w:r>
      <w:r w:rsidRPr="00677ABE">
        <w:rPr>
          <w:rFonts w:cs="Times New Roman"/>
        </w:rPr>
        <w:t xml:space="preserve"> The prosecution history also showed the patent-holder “coined” the term in revisions to avoid prior art</w:t>
      </w:r>
      <w:r w:rsidR="002865CF" w:rsidRPr="00677ABE">
        <w:rPr>
          <w:rFonts w:cs="Times New Roman"/>
        </w:rPr>
        <w:t>, suggesting a skilled artisan might need extra clarity to understand this new concept.</w:t>
      </w:r>
      <w:r w:rsidRPr="00677ABE">
        <w:rPr>
          <w:rStyle w:val="FootnoteReference"/>
          <w:rFonts w:cs="Times New Roman"/>
        </w:rPr>
        <w:footnoteReference w:id="210"/>
      </w:r>
      <w:r w:rsidRPr="00677ABE">
        <w:rPr>
          <w:rFonts w:cs="Times New Roman"/>
        </w:rPr>
        <w:t xml:space="preserve"> Finally, given the term was found to recite a function and location, the patent’s specification lacked sufficient corresponding structure—for the same reasons as above—and so was invalid for indefiniteness.</w:t>
      </w:r>
      <w:r w:rsidRPr="00677ABE">
        <w:rPr>
          <w:rStyle w:val="FootnoteReference"/>
          <w:rFonts w:cs="Times New Roman"/>
        </w:rPr>
        <w:footnoteReference w:id="211"/>
      </w:r>
      <w:r w:rsidRPr="00677ABE">
        <w:rPr>
          <w:rFonts w:cs="Times New Roman"/>
        </w:rPr>
        <w:t xml:space="preserve"> </w:t>
      </w:r>
    </w:p>
    <w:p w14:paraId="43A81586" w14:textId="74779EE5" w:rsidR="00512CDF" w:rsidRPr="00677ABE" w:rsidRDefault="00512CDF" w:rsidP="00CA2C0A">
      <w:pPr>
        <w:pStyle w:val="Heading3"/>
        <w:ind w:firstLine="0"/>
        <w:rPr>
          <w:rFonts w:cs="Times New Roman"/>
        </w:rPr>
      </w:pPr>
      <w:bookmarkStart w:id="33" w:name="_Toc531692731"/>
      <w:r w:rsidRPr="00677ABE">
        <w:rPr>
          <w:rFonts w:cs="Times New Roman"/>
        </w:rPr>
        <w:lastRenderedPageBreak/>
        <w:t>Zeroclick, LLC,</w:t>
      </w:r>
      <w:r w:rsidR="00712C22" w:rsidRPr="00677ABE">
        <w:rPr>
          <w:rFonts w:cs="Times New Roman"/>
        </w:rPr>
        <w:t xml:space="preserve"> v. </w:t>
      </w:r>
      <w:r w:rsidRPr="00677ABE">
        <w:rPr>
          <w:rFonts w:cs="Times New Roman"/>
        </w:rPr>
        <w:t>Apple Inc.</w:t>
      </w:r>
      <w:r w:rsidRPr="00677ABE">
        <w:rPr>
          <w:rFonts w:cs="Times New Roman"/>
          <w:i w:val="0"/>
        </w:rPr>
        <w:t>, 891 F.3d 1003 (Fed. Cir. June 1, 2018)</w:t>
      </w:r>
      <w:bookmarkEnd w:id="32"/>
      <w:bookmarkEnd w:id="33"/>
    </w:p>
    <w:p w14:paraId="396C23EE" w14:textId="65124825" w:rsidR="00512CDF" w:rsidRPr="00677ABE" w:rsidRDefault="00512CDF" w:rsidP="00CA2C0A">
      <w:pPr>
        <w:ind w:firstLine="720"/>
        <w:rPr>
          <w:rFonts w:cs="Times New Roman"/>
        </w:rPr>
      </w:pPr>
      <w:r w:rsidRPr="00677ABE">
        <w:rPr>
          <w:rFonts w:cs="Times New Roman"/>
        </w:rPr>
        <w:t>In this appeal from the Northern District of California, the Federal Circuit vacated and remanded the case because the district court failed to adequately support its findings t</w:t>
      </w:r>
      <w:r w:rsidR="00D5105B" w:rsidRPr="00677ABE">
        <w:rPr>
          <w:rFonts w:cs="Times New Roman"/>
        </w:rPr>
        <w:t>hat t</w:t>
      </w:r>
      <w:r w:rsidRPr="00677ABE">
        <w:rPr>
          <w:rFonts w:cs="Times New Roman"/>
        </w:rPr>
        <w:t>he claims recited means-plus-function terms and were indefinite</w:t>
      </w:r>
      <w:r w:rsidR="00D5105B" w:rsidRPr="00677ABE">
        <w:rPr>
          <w:rFonts w:cs="Times New Roman"/>
        </w:rPr>
        <w:t>.</w:t>
      </w:r>
      <w:r w:rsidR="001F4488" w:rsidRPr="00677ABE">
        <w:rPr>
          <w:rStyle w:val="FootnoteReference"/>
          <w:rFonts w:cs="Times New Roman"/>
        </w:rPr>
        <w:footnoteReference w:id="212"/>
      </w:r>
      <w:r w:rsidRPr="00677ABE">
        <w:rPr>
          <w:rFonts w:cs="Times New Roman"/>
        </w:rPr>
        <w:t xml:space="preserve"> </w:t>
      </w:r>
    </w:p>
    <w:p w14:paraId="04AB3DA0" w14:textId="13E3A4CB" w:rsidR="00512CDF" w:rsidRPr="00677ABE" w:rsidRDefault="00512CDF" w:rsidP="00CA2C0A">
      <w:pPr>
        <w:ind w:firstLine="720"/>
        <w:rPr>
          <w:rFonts w:cs="Times New Roman"/>
        </w:rPr>
      </w:pPr>
      <w:r w:rsidRPr="00677ABE">
        <w:rPr>
          <w:rFonts w:cs="Times New Roman"/>
        </w:rPr>
        <w:t xml:space="preserve">The case concerned Zeroclick’s </w:t>
      </w:r>
      <w:r w:rsidR="00370148">
        <w:rPr>
          <w:rFonts w:cs="Times New Roman"/>
        </w:rPr>
        <w:t>’6</w:t>
      </w:r>
      <w:r w:rsidRPr="00677ABE">
        <w:rPr>
          <w:rFonts w:cs="Times New Roman"/>
        </w:rPr>
        <w:t xml:space="preserve">91 </w:t>
      </w:r>
      <w:r w:rsidR="00F93CFA" w:rsidRPr="00677ABE">
        <w:rPr>
          <w:rFonts w:cs="Times New Roman"/>
        </w:rPr>
        <w:t>and</w:t>
      </w:r>
      <w:r w:rsidRPr="00677ABE">
        <w:rPr>
          <w:rFonts w:cs="Times New Roman"/>
        </w:rPr>
        <w:t xml:space="preserve"> </w:t>
      </w:r>
      <w:r w:rsidR="00370148">
        <w:rPr>
          <w:rFonts w:cs="Times New Roman"/>
        </w:rPr>
        <w:t>’4</w:t>
      </w:r>
      <w:r w:rsidRPr="00677ABE">
        <w:rPr>
          <w:rFonts w:cs="Times New Roman"/>
        </w:rPr>
        <w:t>43 patent</w:t>
      </w:r>
      <w:r w:rsidR="00F93CFA" w:rsidRPr="00677ABE">
        <w:rPr>
          <w:rFonts w:cs="Times New Roman"/>
        </w:rPr>
        <w:t>s</w:t>
      </w:r>
      <w:r w:rsidRPr="00677ABE">
        <w:rPr>
          <w:rFonts w:cs="Times New Roman"/>
        </w:rPr>
        <w:t xml:space="preserve">, which Zeroclick alleged Apple had infringed. The </w:t>
      </w:r>
      <w:r w:rsidR="00370148">
        <w:rPr>
          <w:rFonts w:cs="Times New Roman"/>
        </w:rPr>
        <w:t>’6</w:t>
      </w:r>
      <w:r w:rsidRPr="00677ABE">
        <w:rPr>
          <w:rFonts w:cs="Times New Roman"/>
        </w:rPr>
        <w:t xml:space="preserve">91 claims cover a graphical user interface and method of operating it by using two motions with a pointer to accomplish a “click event” with zero clicking; the </w:t>
      </w:r>
      <w:r w:rsidR="00370148">
        <w:rPr>
          <w:rFonts w:cs="Times New Roman"/>
        </w:rPr>
        <w:t>’4</w:t>
      </w:r>
      <w:r w:rsidRPr="00677ABE">
        <w:rPr>
          <w:rFonts w:cs="Times New Roman"/>
        </w:rPr>
        <w:t>43 claim covers a device capable of executing software actioned by touching.</w:t>
      </w:r>
      <w:r w:rsidRPr="00677ABE">
        <w:rPr>
          <w:rStyle w:val="FootnoteReference"/>
          <w:rFonts w:cs="Times New Roman"/>
        </w:rPr>
        <w:footnoteReference w:id="213"/>
      </w:r>
      <w:r w:rsidRPr="00677ABE">
        <w:rPr>
          <w:rFonts w:cs="Times New Roman"/>
        </w:rPr>
        <w:t xml:space="preserve"> The claims did not use the word “means” to trigger the presumption that means-plus-function limitations applied.</w:t>
      </w:r>
      <w:r w:rsidRPr="00677ABE">
        <w:rPr>
          <w:rStyle w:val="FootnoteReference"/>
          <w:rFonts w:cs="Times New Roman"/>
        </w:rPr>
        <w:footnoteReference w:id="214"/>
      </w:r>
      <w:r w:rsidRPr="00677ABE">
        <w:rPr>
          <w:rFonts w:cs="Times New Roman"/>
        </w:rPr>
        <w:t xml:space="preserve"> Still, the district court found that “program” and “user interface code” were generic placeholders for the “means” to perform the functions described in the claims.</w:t>
      </w:r>
      <w:r w:rsidRPr="00677ABE">
        <w:rPr>
          <w:rStyle w:val="FootnoteReference"/>
          <w:rFonts w:cs="Times New Roman"/>
        </w:rPr>
        <w:footnoteReference w:id="215"/>
      </w:r>
      <w:r w:rsidRPr="00677ABE">
        <w:rPr>
          <w:rFonts w:cs="Times New Roman"/>
        </w:rPr>
        <w:t xml:space="preserve"> And, because “the specifications [did] not disclose sufficient structure” for these means, the “claims [were] invalid for indefiniteness.”</w:t>
      </w:r>
      <w:r w:rsidRPr="00677ABE">
        <w:rPr>
          <w:rStyle w:val="FootnoteReference"/>
          <w:rFonts w:cs="Times New Roman"/>
        </w:rPr>
        <w:footnoteReference w:id="216"/>
      </w:r>
      <w:r w:rsidRPr="00677ABE">
        <w:rPr>
          <w:rFonts w:cs="Times New Roman"/>
        </w:rPr>
        <w:t xml:space="preserve"> </w:t>
      </w:r>
    </w:p>
    <w:p w14:paraId="6323B8FC" w14:textId="3728EDB4" w:rsidR="00F20B84" w:rsidRDefault="00512CDF" w:rsidP="00CA2C0A">
      <w:pPr>
        <w:ind w:firstLine="720"/>
        <w:rPr>
          <w:rFonts w:cs="Times New Roman"/>
        </w:rPr>
      </w:pPr>
      <w:r w:rsidRPr="00677ABE">
        <w:rPr>
          <w:rFonts w:cs="Times New Roman"/>
        </w:rPr>
        <w:t xml:space="preserve">On appeal, the Federal Circuit vacated the application of the means-plus-function limitation to these claims because there were three errors in the district court’s determination that “program” and “user interface code” were nonce words. First, the </w:t>
      </w:r>
      <w:r w:rsidR="003A57CB" w:rsidRPr="00677ABE">
        <w:rPr>
          <w:rFonts w:cs="Times New Roman"/>
        </w:rPr>
        <w:t xml:space="preserve">mere </w:t>
      </w:r>
      <w:r w:rsidRPr="00677ABE">
        <w:rPr>
          <w:rFonts w:cs="Times New Roman"/>
        </w:rPr>
        <w:t>presence of functional terms (like “user interface code”) did not create a means-plus-function claim.</w:t>
      </w:r>
      <w:r w:rsidRPr="00677ABE">
        <w:rPr>
          <w:rStyle w:val="FootnoteReference"/>
          <w:rFonts w:cs="Times New Roman"/>
        </w:rPr>
        <w:footnoteReference w:id="217"/>
      </w:r>
      <w:r w:rsidRPr="00677ABE">
        <w:rPr>
          <w:rFonts w:cs="Times New Roman"/>
        </w:rPr>
        <w:t xml:space="preserve"> Second, the context—such as discussions of backward compatibility</w:t>
      </w:r>
      <w:r w:rsidRPr="00677ABE">
        <w:rPr>
          <w:rStyle w:val="FootnoteReference"/>
          <w:rFonts w:cs="Times New Roman"/>
        </w:rPr>
        <w:footnoteReference w:id="218"/>
      </w:r>
      <w:r w:rsidRPr="00677ABE">
        <w:rPr>
          <w:rFonts w:cs="Times New Roman"/>
        </w:rPr>
        <w:t>—showed these were not “black box recitations of structure or abstractions[ but] specific references to conventional graphical user interface programs or code, existing in the prior art” that a person having ordinary skill in the art would understand.</w:t>
      </w:r>
      <w:r w:rsidRPr="00677ABE">
        <w:rPr>
          <w:rStyle w:val="FootnoteReference"/>
          <w:rFonts w:cs="Times New Roman"/>
        </w:rPr>
        <w:footnoteReference w:id="219"/>
      </w:r>
      <w:r w:rsidRPr="00677ABE">
        <w:rPr>
          <w:rFonts w:cs="Times New Roman"/>
        </w:rPr>
        <w:t xml:space="preserve"> Finally, the district court developed no support for the finding that “program” and “user interface code” were common-parlance synonyms for “means.</w:t>
      </w:r>
      <w:r w:rsidR="00797B6A">
        <w:rPr>
          <w:rFonts w:cs="Times New Roman"/>
        </w:rPr>
        <w:t>”</w:t>
      </w:r>
      <w:r w:rsidRPr="00677ABE">
        <w:rPr>
          <w:rStyle w:val="FootnoteReference"/>
          <w:rFonts w:cs="Times New Roman"/>
        </w:rPr>
        <w:footnoteReference w:id="220"/>
      </w:r>
      <w:r w:rsidRPr="00677ABE">
        <w:rPr>
          <w:rFonts w:cs="Times New Roman"/>
        </w:rPr>
        <w:t xml:space="preserve"> </w:t>
      </w:r>
    </w:p>
    <w:p w14:paraId="7E3462AF" w14:textId="77777777" w:rsidR="00F20B84" w:rsidRDefault="00EB1DE0" w:rsidP="00CA2C0A">
      <w:pPr>
        <w:pStyle w:val="Heading2"/>
        <w:rPr>
          <w:rFonts w:cs="Times New Roman"/>
          <w:szCs w:val="24"/>
        </w:rPr>
      </w:pPr>
      <w:bookmarkStart w:id="34" w:name="_Toc531692732"/>
      <w:r w:rsidRPr="00677ABE">
        <w:rPr>
          <w:rFonts w:cs="Times New Roman"/>
          <w:szCs w:val="24"/>
        </w:rPr>
        <w:t xml:space="preserve">Enablement and </w:t>
      </w:r>
      <w:r w:rsidR="00347940" w:rsidRPr="00677ABE">
        <w:rPr>
          <w:rFonts w:cs="Times New Roman"/>
          <w:szCs w:val="24"/>
        </w:rPr>
        <w:t>Written Description</w:t>
      </w:r>
      <w:bookmarkEnd w:id="34"/>
    </w:p>
    <w:p w14:paraId="21C9E73D" w14:textId="6C7C78D5" w:rsidR="00771590" w:rsidRPr="00677ABE" w:rsidRDefault="00BB15E1" w:rsidP="00CA2C0A">
      <w:pPr>
        <w:pStyle w:val="Heading3"/>
        <w:ind w:firstLine="0"/>
        <w:rPr>
          <w:rFonts w:cs="Times New Roman"/>
          <w:i w:val="0"/>
        </w:rPr>
      </w:pPr>
      <w:r w:rsidRPr="00677ABE">
        <w:rPr>
          <w:rFonts w:cs="Times New Roman"/>
        </w:rPr>
        <w:tab/>
      </w:r>
      <w:bookmarkStart w:id="35" w:name="_Toc516586536"/>
      <w:bookmarkStart w:id="36" w:name="_Toc531692733"/>
      <w:r w:rsidR="00771590" w:rsidRPr="00677ABE">
        <w:rPr>
          <w:rFonts w:cs="Times New Roman"/>
        </w:rPr>
        <w:t>Knowles Electronics LLC v. Cirrus Logic, Inc.</w:t>
      </w:r>
      <w:r w:rsidR="00771590" w:rsidRPr="00677ABE">
        <w:rPr>
          <w:rFonts w:cs="Times New Roman"/>
          <w:i w:val="0"/>
        </w:rPr>
        <w:t>, 883 F.3d 1358 (Fed. Cir. Mar. 2, 2018)</w:t>
      </w:r>
      <w:bookmarkEnd w:id="35"/>
      <w:bookmarkEnd w:id="36"/>
    </w:p>
    <w:p w14:paraId="59B8D00C" w14:textId="77777777" w:rsidR="00771590" w:rsidRPr="00677ABE" w:rsidRDefault="00771590" w:rsidP="00CA2C0A">
      <w:pPr>
        <w:rPr>
          <w:rFonts w:cs="Times New Roman"/>
        </w:rPr>
      </w:pPr>
      <w:r w:rsidRPr="00677ABE">
        <w:rPr>
          <w:rFonts w:cs="Times New Roman"/>
          <w:lang w:eastAsia="x-none"/>
        </w:rPr>
        <w:tab/>
      </w:r>
      <w:r w:rsidRPr="00677ABE">
        <w:rPr>
          <w:rFonts w:cs="Times New Roman"/>
        </w:rPr>
        <w:t xml:space="preserve">The Federal Circuit affirmed the PTAB’s </w:t>
      </w:r>
      <w:r w:rsidRPr="00677ABE">
        <w:rPr>
          <w:rFonts w:cs="Times New Roman"/>
          <w:i/>
        </w:rPr>
        <w:t>inter partes</w:t>
      </w:r>
      <w:r w:rsidRPr="00677ABE">
        <w:rPr>
          <w:rFonts w:cs="Times New Roman"/>
        </w:rPr>
        <w:t xml:space="preserve"> reexamination decision rejecting proposed claims 23-27 for lack of an adequate written description.</w:t>
      </w:r>
      <w:r w:rsidRPr="00677ABE">
        <w:rPr>
          <w:rStyle w:val="FootnoteReference"/>
          <w:rFonts w:cs="Times New Roman"/>
        </w:rPr>
        <w:footnoteReference w:id="221"/>
      </w:r>
      <w:r w:rsidRPr="00677ABE">
        <w:rPr>
          <w:rFonts w:cs="Times New Roman"/>
        </w:rPr>
        <w:t xml:space="preserve"> Proposed claims 23-27 recite a MEMS package where the solder pads are “configured to mechanically attach and electrically connect the package to a surface of an external printed circuit board using a solder reflow process.”</w:t>
      </w:r>
      <w:r w:rsidRPr="00677ABE">
        <w:rPr>
          <w:rStyle w:val="FootnoteReference"/>
          <w:rFonts w:cs="Times New Roman"/>
        </w:rPr>
        <w:footnoteReference w:id="222"/>
      </w:r>
      <w:r w:rsidRPr="00677ABE">
        <w:rPr>
          <w:rFonts w:cs="Times New Roman"/>
        </w:rPr>
        <w:t xml:space="preserve"> The PTAB determined that the claims failed to meet the written description requirement because the specification </w:t>
      </w:r>
      <w:r w:rsidRPr="00677ABE">
        <w:rPr>
          <w:rFonts w:cs="Times New Roman"/>
        </w:rPr>
        <w:lastRenderedPageBreak/>
        <w:t xml:space="preserve">disclosed only solder pads capable of being connected to a PCB, but not the claimed solder pads connectable to a board </w:t>
      </w:r>
      <w:r w:rsidRPr="00677ABE">
        <w:rPr>
          <w:rFonts w:cs="Times New Roman"/>
          <w:i/>
        </w:rPr>
        <w:t>by using a reflow process</w:t>
      </w:r>
      <w:r w:rsidRPr="00677ABE">
        <w:rPr>
          <w:rFonts w:cs="Times New Roman"/>
        </w:rPr>
        <w:t>.</w:t>
      </w:r>
      <w:r w:rsidRPr="00677ABE">
        <w:rPr>
          <w:rStyle w:val="FootnoteReference"/>
          <w:rFonts w:cs="Times New Roman"/>
        </w:rPr>
        <w:footnoteReference w:id="223"/>
      </w:r>
      <w:r w:rsidRPr="00677ABE">
        <w:rPr>
          <w:rFonts w:cs="Times New Roman"/>
        </w:rPr>
        <w:t xml:space="preserve"> </w:t>
      </w:r>
    </w:p>
    <w:p w14:paraId="2CA047F0" w14:textId="77777777" w:rsidR="00F20B84" w:rsidRDefault="00771590" w:rsidP="00CA2C0A">
      <w:pPr>
        <w:rPr>
          <w:rFonts w:cs="Times New Roman"/>
          <w:lang w:eastAsia="x-none"/>
        </w:rPr>
      </w:pPr>
      <w:r w:rsidRPr="00677ABE">
        <w:rPr>
          <w:rFonts w:cs="Times New Roman"/>
          <w:lang w:eastAsia="x-none"/>
        </w:rPr>
        <w:tab/>
      </w:r>
      <w:r w:rsidRPr="00677ABE">
        <w:rPr>
          <w:rFonts w:cs="Times New Roman"/>
        </w:rPr>
        <w:t>The Federal Circuit determined that substantial evidence supported the PTAB’s ruling.</w:t>
      </w:r>
      <w:r w:rsidRPr="00677ABE">
        <w:rPr>
          <w:rStyle w:val="FootnoteReference"/>
          <w:rFonts w:cs="Times New Roman"/>
        </w:rPr>
        <w:footnoteReference w:id="224"/>
      </w:r>
      <w:r w:rsidRPr="00677ABE">
        <w:rPr>
          <w:rFonts w:cs="Times New Roman"/>
        </w:rPr>
        <w:t xml:space="preserve"> The specification did not identify the solder reflow process as a means to connect solder pads to a PCB, and “other processes for attaching solder pads were known in the art at the time of the invention.”</w:t>
      </w:r>
      <w:r w:rsidRPr="00677ABE">
        <w:rPr>
          <w:rStyle w:val="FootnoteReference"/>
          <w:rFonts w:cs="Times New Roman"/>
        </w:rPr>
        <w:footnoteReference w:id="225"/>
      </w:r>
      <w:r w:rsidRPr="00677ABE">
        <w:rPr>
          <w:rFonts w:cs="Times New Roman"/>
        </w:rPr>
        <w:t xml:space="preserve"> Knowles contended that a PHOSITA would know that solder pads were intended to be capable of reflow attachment to a PCB.</w:t>
      </w:r>
      <w:r w:rsidRPr="00677ABE">
        <w:rPr>
          <w:rStyle w:val="FootnoteReference"/>
          <w:rFonts w:cs="Times New Roman"/>
        </w:rPr>
        <w:footnoteReference w:id="226"/>
      </w:r>
      <w:r w:rsidRPr="00677ABE">
        <w:rPr>
          <w:rFonts w:cs="Times New Roman"/>
        </w:rPr>
        <w:t xml:space="preserve"> But “Knowles misunderstands the PTAB’s analysis.”</w:t>
      </w:r>
      <w:r w:rsidRPr="00677ABE">
        <w:rPr>
          <w:rStyle w:val="FootnoteReference"/>
          <w:rFonts w:cs="Times New Roman"/>
        </w:rPr>
        <w:footnoteReference w:id="227"/>
      </w:r>
      <w:r w:rsidRPr="00677ABE">
        <w:rPr>
          <w:rFonts w:cs="Times New Roman"/>
        </w:rPr>
        <w:t xml:space="preserve"> The PTAB “acknowledged that solder reflow was a process of connecting a board to a solder pad but found that other processes of connection existed in the prior art.”</w:t>
      </w:r>
      <w:r w:rsidRPr="00677ABE">
        <w:rPr>
          <w:rStyle w:val="FootnoteReference"/>
          <w:rFonts w:cs="Times New Roman"/>
        </w:rPr>
        <w:footnoteReference w:id="228"/>
      </w:r>
      <w:r w:rsidRPr="00677ABE">
        <w:rPr>
          <w:rFonts w:cs="Times New Roman"/>
        </w:rPr>
        <w:t xml:space="preserve"> Thus, the patent’s specification, which merely discussed the broad idea of solder pads connected to a PCB, did not completely disclose the newly claimed species of such pads connectable to a PCB using a reflow process.</w:t>
      </w:r>
      <w:r w:rsidRPr="00677ABE">
        <w:rPr>
          <w:rStyle w:val="FootnoteReference"/>
          <w:rFonts w:cs="Times New Roman"/>
        </w:rPr>
        <w:footnoteReference w:id="229"/>
      </w:r>
      <w:r w:rsidRPr="00677ABE">
        <w:rPr>
          <w:rFonts w:cs="Times New Roman"/>
        </w:rPr>
        <w:t xml:space="preserve"> Because the “parties presented conflicting views of the knowledge of a PHOSITA and disputed whether such a person would have understood solder reflow to be the only (or even the primary) way to connect solder pads in the specification, . . . the PTAB reasonably found that a PHOSITA would not have recognized that the inventor possessed solder pads ‘configured to’ connect to a printed circuit board through a reflow process.”</w:t>
      </w:r>
      <w:r w:rsidRPr="00677ABE">
        <w:rPr>
          <w:rStyle w:val="FootnoteReference"/>
          <w:rFonts w:cs="Times New Roman"/>
        </w:rPr>
        <w:footnoteReference w:id="230"/>
      </w:r>
    </w:p>
    <w:p w14:paraId="1F35F9D9" w14:textId="3ABAD593" w:rsidR="00512CDF" w:rsidRPr="00677ABE" w:rsidRDefault="00512CDF" w:rsidP="00CA2C0A">
      <w:pPr>
        <w:pStyle w:val="Heading3"/>
        <w:ind w:firstLine="0"/>
        <w:rPr>
          <w:rFonts w:cs="Times New Roman"/>
        </w:rPr>
      </w:pPr>
      <w:bookmarkStart w:id="37" w:name="_Toc531692734"/>
      <w:r w:rsidRPr="00677ABE">
        <w:rPr>
          <w:rFonts w:cs="Times New Roman"/>
        </w:rPr>
        <w:t xml:space="preserve">General </w:t>
      </w:r>
      <w:r w:rsidR="001F4488" w:rsidRPr="00677ABE">
        <w:rPr>
          <w:rFonts w:cs="Times New Roman"/>
        </w:rPr>
        <w:t>Hosp.</w:t>
      </w:r>
      <w:r w:rsidRPr="00677ABE">
        <w:rPr>
          <w:rFonts w:cs="Times New Roman"/>
        </w:rPr>
        <w:t xml:space="preserve"> Corp.</w:t>
      </w:r>
      <w:r w:rsidR="00712C22" w:rsidRPr="00677ABE">
        <w:rPr>
          <w:rFonts w:cs="Times New Roman"/>
        </w:rPr>
        <w:t xml:space="preserve"> v. </w:t>
      </w:r>
      <w:r w:rsidRPr="00677ABE">
        <w:rPr>
          <w:rFonts w:cs="Times New Roman"/>
        </w:rPr>
        <w:t xml:space="preserve">Sienna </w:t>
      </w:r>
      <w:r w:rsidR="001F4488" w:rsidRPr="00677ABE">
        <w:rPr>
          <w:rFonts w:cs="Times New Roman"/>
        </w:rPr>
        <w:t>Biopharms.</w:t>
      </w:r>
      <w:r w:rsidRPr="00677ABE">
        <w:rPr>
          <w:rFonts w:cs="Times New Roman"/>
        </w:rPr>
        <w:t xml:space="preserve"> Inc.</w:t>
      </w:r>
      <w:r w:rsidRPr="00677ABE">
        <w:rPr>
          <w:rFonts w:cs="Times New Roman"/>
          <w:i w:val="0"/>
        </w:rPr>
        <w:t>, 888 F.</w:t>
      </w:r>
      <w:r w:rsidR="006A1395" w:rsidRPr="00677ABE">
        <w:rPr>
          <w:rFonts w:cs="Times New Roman"/>
          <w:i w:val="0"/>
        </w:rPr>
        <w:t>3d 1368 (Fed. Cir. May 4, 2018)</w:t>
      </w:r>
      <w:bookmarkEnd w:id="37"/>
    </w:p>
    <w:p w14:paraId="57020835" w14:textId="491FC565" w:rsidR="00512CDF" w:rsidRPr="00677ABE" w:rsidRDefault="00512CDF" w:rsidP="00CA2C0A">
      <w:pPr>
        <w:ind w:firstLine="720"/>
        <w:rPr>
          <w:rFonts w:cs="Times New Roman"/>
        </w:rPr>
      </w:pPr>
      <w:r w:rsidRPr="00677ABE">
        <w:rPr>
          <w:rFonts w:cs="Times New Roman"/>
        </w:rPr>
        <w:t xml:space="preserve">In this appeal from the Patent Trial and Appeal Board (“PTAB”), the Federal Circuit affirmed the PTAB’s finding that the </w:t>
      </w:r>
      <w:r w:rsidR="00370148">
        <w:rPr>
          <w:rFonts w:cs="Times New Roman"/>
        </w:rPr>
        <w:t>’5</w:t>
      </w:r>
      <w:r w:rsidRPr="00677ABE">
        <w:rPr>
          <w:rFonts w:cs="Times New Roman"/>
        </w:rPr>
        <w:t xml:space="preserve">75 patent lacked written description under </w:t>
      </w:r>
      <w:r w:rsidR="00AC00E6">
        <w:rPr>
          <w:rFonts w:cs="Times New Roman"/>
        </w:rPr>
        <w:t>§ </w:t>
      </w:r>
      <w:r w:rsidRPr="00677ABE">
        <w:rPr>
          <w:rFonts w:cs="Times New Roman"/>
        </w:rPr>
        <w:t>112 of the Patent Act</w:t>
      </w:r>
      <w:r w:rsidR="005812B3" w:rsidRPr="00677ABE">
        <w:rPr>
          <w:rFonts w:cs="Times New Roman"/>
        </w:rPr>
        <w:t xml:space="preserve"> because of misalignment </w:t>
      </w:r>
      <w:r w:rsidR="0063345A" w:rsidRPr="00677ABE">
        <w:rPr>
          <w:rFonts w:cs="Times New Roman"/>
        </w:rPr>
        <w:t xml:space="preserve">between the </w:t>
      </w:r>
      <w:r w:rsidR="005812B3" w:rsidRPr="00677ABE">
        <w:rPr>
          <w:rFonts w:cs="Times New Roman"/>
        </w:rPr>
        <w:t>chemical compositions</w:t>
      </w:r>
      <w:r w:rsidR="0063345A" w:rsidRPr="00677ABE">
        <w:rPr>
          <w:rFonts w:cs="Times New Roman"/>
        </w:rPr>
        <w:t xml:space="preserve"> in its specifications</w:t>
      </w:r>
      <w:r w:rsidR="005812B3" w:rsidRPr="00677ABE">
        <w:rPr>
          <w:rFonts w:cs="Times New Roman"/>
        </w:rPr>
        <w:t xml:space="preserve"> and </w:t>
      </w:r>
      <w:r w:rsidR="0063345A" w:rsidRPr="00677ABE">
        <w:rPr>
          <w:rFonts w:cs="Times New Roman"/>
        </w:rPr>
        <w:t>the</w:t>
      </w:r>
      <w:r w:rsidR="005812B3" w:rsidRPr="00677ABE">
        <w:rPr>
          <w:rFonts w:cs="Times New Roman"/>
        </w:rPr>
        <w:t xml:space="preserve"> ranges</w:t>
      </w:r>
      <w:r w:rsidR="0063345A" w:rsidRPr="00677ABE">
        <w:rPr>
          <w:rFonts w:cs="Times New Roman"/>
        </w:rPr>
        <w:t xml:space="preserve"> in its claims</w:t>
      </w:r>
      <w:r w:rsidR="005812B3" w:rsidRPr="00677ABE">
        <w:rPr>
          <w:rFonts w:cs="Times New Roman"/>
        </w:rPr>
        <w:t>.</w:t>
      </w:r>
      <w:r w:rsidRPr="00677ABE">
        <w:rPr>
          <w:rStyle w:val="FootnoteReference"/>
          <w:rFonts w:cs="Times New Roman"/>
        </w:rPr>
        <w:footnoteReference w:id="231"/>
      </w:r>
      <w:r w:rsidRPr="00677ABE">
        <w:rPr>
          <w:rFonts w:cs="Times New Roman"/>
        </w:rPr>
        <w:t xml:space="preserve"> </w:t>
      </w:r>
    </w:p>
    <w:p w14:paraId="0401C694" w14:textId="729E0887" w:rsidR="00512CDF" w:rsidRPr="00677ABE" w:rsidRDefault="00512CDF" w:rsidP="00CA2C0A">
      <w:pPr>
        <w:ind w:firstLine="720"/>
        <w:rPr>
          <w:rFonts w:cs="Times New Roman"/>
        </w:rPr>
      </w:pPr>
      <w:r w:rsidRPr="00677ABE">
        <w:rPr>
          <w:rFonts w:cs="Times New Roman"/>
        </w:rPr>
        <w:t xml:space="preserve">The PTAB proceedings concerned GHC’s </w:t>
      </w:r>
      <w:r w:rsidR="00370148">
        <w:rPr>
          <w:rFonts w:cs="Times New Roman"/>
        </w:rPr>
        <w:t>’5</w:t>
      </w:r>
      <w:r w:rsidRPr="00677ABE">
        <w:rPr>
          <w:rFonts w:cs="Times New Roman"/>
        </w:rPr>
        <w:t>75 patent, which sought to cover a method of applying nanoparticles to hair follicles to damage them and remove hair.</w:t>
      </w:r>
      <w:r w:rsidRPr="00677ABE">
        <w:rPr>
          <w:rStyle w:val="FootnoteReference"/>
          <w:rFonts w:cs="Times New Roman"/>
        </w:rPr>
        <w:footnoteReference w:id="232"/>
      </w:r>
      <w:r w:rsidRPr="00677ABE">
        <w:rPr>
          <w:rFonts w:cs="Times New Roman"/>
        </w:rPr>
        <w:t xml:space="preserve"> Sienna prompted the PTAB to identify an interference with claim 1 of its</w:t>
      </w:r>
      <w:r w:rsidR="004D23A3" w:rsidRPr="00677ABE">
        <w:rPr>
          <w:rFonts w:cs="Times New Roman"/>
        </w:rPr>
        <w:t xml:space="preserve"> ‘941 patent. The PTAB constru</w:t>
      </w:r>
      <w:r w:rsidRPr="00677ABE">
        <w:rPr>
          <w:rFonts w:cs="Times New Roman"/>
        </w:rPr>
        <w:t>ed the GHC application to claim compositions with concentrations of between 5.94 x 10</w:t>
      </w:r>
      <w:r w:rsidRPr="00677ABE">
        <w:rPr>
          <w:rFonts w:cs="Times New Roman"/>
          <w:vertAlign w:val="superscript"/>
        </w:rPr>
        <w:t>11</w:t>
      </w:r>
      <w:r w:rsidRPr="00677ABE">
        <w:rPr>
          <w:rFonts w:cs="Times New Roman"/>
        </w:rPr>
        <w:t xml:space="preserve"> and 7.26 x 10</w:t>
      </w:r>
      <w:r w:rsidRPr="00677ABE">
        <w:rPr>
          <w:rFonts w:cs="Times New Roman"/>
          <w:vertAlign w:val="superscript"/>
        </w:rPr>
        <w:t>11</w:t>
      </w:r>
      <w:r w:rsidRPr="00677ABE">
        <w:rPr>
          <w:rFonts w:cs="Times New Roman"/>
        </w:rPr>
        <w:t xml:space="preserve"> nanoparticles per ml, whereas the Sienna patent claimed concentrations from 10</w:t>
      </w:r>
      <w:r w:rsidRPr="00677ABE">
        <w:rPr>
          <w:rFonts w:cs="Times New Roman"/>
          <w:vertAlign w:val="superscript"/>
        </w:rPr>
        <w:t>9</w:t>
      </w:r>
      <w:r w:rsidRPr="00677ABE">
        <w:rPr>
          <w:rFonts w:cs="Times New Roman"/>
        </w:rPr>
        <w:t> to 10</w:t>
      </w:r>
      <w:r w:rsidRPr="00677ABE">
        <w:rPr>
          <w:rFonts w:cs="Times New Roman"/>
          <w:vertAlign w:val="superscript"/>
        </w:rPr>
        <w:t>23</w:t>
      </w:r>
      <w:r w:rsidRPr="00677ABE">
        <w:rPr>
          <w:rFonts w:cs="Times New Roman"/>
        </w:rPr>
        <w:t xml:space="preserve"> nanoparticles per ml.</w:t>
      </w:r>
      <w:r w:rsidRPr="00677ABE">
        <w:rPr>
          <w:rStyle w:val="FootnoteReference"/>
          <w:rFonts w:cs="Times New Roman"/>
        </w:rPr>
        <w:footnoteReference w:id="233"/>
      </w:r>
      <w:r w:rsidRPr="00677ABE">
        <w:rPr>
          <w:rFonts w:cs="Times New Roman"/>
        </w:rPr>
        <w:t xml:space="preserve"> Undertaking this inquiry, the court soon found GHC’s written description, as understood after expert testimony,</w:t>
      </w:r>
      <w:r w:rsidRPr="00677ABE">
        <w:rPr>
          <w:rStyle w:val="FootnoteReference"/>
          <w:rFonts w:cs="Times New Roman"/>
        </w:rPr>
        <w:footnoteReference w:id="234"/>
      </w:r>
      <w:r w:rsidRPr="00677ABE">
        <w:rPr>
          <w:rFonts w:cs="Times New Roman"/>
        </w:rPr>
        <w:t xml:space="preserve"> </w:t>
      </w:r>
      <w:r w:rsidRPr="00677ABE">
        <w:rPr>
          <w:rFonts w:cs="Times New Roman"/>
        </w:rPr>
        <w:lastRenderedPageBreak/>
        <w:t>failed to disclose a composition that fit within its range.</w:t>
      </w:r>
      <w:r w:rsidRPr="00677ABE">
        <w:rPr>
          <w:rStyle w:val="FootnoteReference"/>
          <w:rFonts w:cs="Times New Roman"/>
        </w:rPr>
        <w:footnoteReference w:id="235"/>
      </w:r>
      <w:r w:rsidRPr="00677ABE">
        <w:rPr>
          <w:rFonts w:cs="Times New Roman"/>
        </w:rPr>
        <w:t xml:space="preserve"> The board found the claims unpatentable under </w:t>
      </w:r>
      <w:r w:rsidR="00AC00E6">
        <w:rPr>
          <w:rFonts w:cs="Times New Roman"/>
        </w:rPr>
        <w:t>§ </w:t>
      </w:r>
      <w:r w:rsidRPr="00677ABE">
        <w:rPr>
          <w:rFonts w:cs="Times New Roman"/>
        </w:rPr>
        <w:t>112.</w:t>
      </w:r>
      <w:r w:rsidRPr="00677ABE">
        <w:rPr>
          <w:rStyle w:val="FootnoteReference"/>
          <w:rFonts w:cs="Times New Roman"/>
        </w:rPr>
        <w:footnoteReference w:id="236"/>
      </w:r>
      <w:r w:rsidRPr="00677ABE">
        <w:rPr>
          <w:rFonts w:cs="Times New Roman"/>
        </w:rPr>
        <w:t xml:space="preserve"> </w:t>
      </w:r>
    </w:p>
    <w:p w14:paraId="0FB9C53F" w14:textId="0CB3D3A7" w:rsidR="00F20B84" w:rsidRDefault="00512CDF" w:rsidP="00CA2C0A">
      <w:pPr>
        <w:ind w:firstLine="720"/>
        <w:rPr>
          <w:rFonts w:cs="Times New Roman"/>
        </w:rPr>
      </w:pPr>
      <w:r w:rsidRPr="00677ABE">
        <w:rPr>
          <w:rFonts w:cs="Times New Roman"/>
        </w:rPr>
        <w:t>The Federal Circuit affirmed.</w:t>
      </w:r>
      <w:r w:rsidRPr="00677ABE">
        <w:rPr>
          <w:rStyle w:val="FootnoteReference"/>
          <w:rFonts w:cs="Times New Roman"/>
        </w:rPr>
        <w:footnoteReference w:id="237"/>
      </w:r>
      <w:r w:rsidRPr="00677ABE">
        <w:rPr>
          <w:rFonts w:cs="Times New Roman"/>
        </w:rPr>
        <w:t xml:space="preserve"> </w:t>
      </w:r>
      <w:r w:rsidR="00EF79DA" w:rsidRPr="00677ABE">
        <w:rPr>
          <w:rFonts w:cs="Times New Roman"/>
        </w:rPr>
        <w:t>First,</w:t>
      </w:r>
      <w:r w:rsidRPr="00677ABE">
        <w:rPr>
          <w:rFonts w:cs="Times New Roman"/>
        </w:rPr>
        <w:t xml:space="preserve"> the seven specific compositions disclosed in GHC’s application were below or above the claimed range of particles per ml—</w:t>
      </w:r>
      <w:r w:rsidR="0063345A" w:rsidRPr="00677ABE">
        <w:rPr>
          <w:rFonts w:cs="Times New Roman"/>
        </w:rPr>
        <w:t xml:space="preserve">and so all </w:t>
      </w:r>
      <w:r w:rsidRPr="00677ABE">
        <w:rPr>
          <w:rFonts w:cs="Times New Roman"/>
        </w:rPr>
        <w:t>insufficient for a written description of the claim.</w:t>
      </w:r>
      <w:r w:rsidRPr="00677ABE">
        <w:rPr>
          <w:rStyle w:val="FootnoteReference"/>
          <w:rFonts w:cs="Times New Roman"/>
        </w:rPr>
        <w:footnoteReference w:id="238"/>
      </w:r>
      <w:r w:rsidRPr="00677ABE">
        <w:rPr>
          <w:rFonts w:cs="Times New Roman"/>
        </w:rPr>
        <w:t xml:space="preserve"> Second, the court pointed out this claimed range was not even original to the application, which </w:t>
      </w:r>
      <w:r w:rsidR="005E6450" w:rsidRPr="00677ABE">
        <w:rPr>
          <w:rFonts w:cs="Times New Roman"/>
        </w:rPr>
        <w:t>had</w:t>
      </w:r>
      <w:r w:rsidRPr="00677ABE">
        <w:rPr>
          <w:rFonts w:cs="Times New Roman"/>
        </w:rPr>
        <w:t xml:space="preserve"> claimed only a range in optical density notation without </w:t>
      </w:r>
      <w:r w:rsidR="00520A51" w:rsidRPr="00677ABE">
        <w:rPr>
          <w:rFonts w:cs="Times New Roman"/>
        </w:rPr>
        <w:t>an upper bound; w</w:t>
      </w:r>
      <w:r w:rsidRPr="00677ABE">
        <w:rPr>
          <w:rFonts w:cs="Times New Roman"/>
        </w:rPr>
        <w:t xml:space="preserve">hile the written descriptions fell within </w:t>
      </w:r>
      <w:r w:rsidR="005E6450" w:rsidRPr="00677ABE">
        <w:rPr>
          <w:rFonts w:cs="Times New Roman"/>
        </w:rPr>
        <w:t>that original range</w:t>
      </w:r>
      <w:r w:rsidRPr="00677ABE">
        <w:rPr>
          <w:rFonts w:cs="Times New Roman"/>
        </w:rPr>
        <w:t xml:space="preserve">, </w:t>
      </w:r>
      <w:r w:rsidR="005E6450" w:rsidRPr="00677ABE">
        <w:rPr>
          <w:rFonts w:cs="Times New Roman"/>
        </w:rPr>
        <w:t>it</w:t>
      </w:r>
      <w:r w:rsidRPr="00677ABE">
        <w:rPr>
          <w:rFonts w:cs="Times New Roman"/>
        </w:rPr>
        <w:t xml:space="preserve"> was overbroad.</w:t>
      </w:r>
      <w:r w:rsidRPr="00677ABE">
        <w:rPr>
          <w:rStyle w:val="FootnoteReference"/>
          <w:rFonts w:cs="Times New Roman"/>
        </w:rPr>
        <w:footnoteReference w:id="239"/>
      </w:r>
      <w:r w:rsidR="00AC00E6">
        <w:rPr>
          <w:rFonts w:cs="Times New Roman"/>
        </w:rPr>
        <w:t xml:space="preserve"> </w:t>
      </w:r>
      <w:r w:rsidRPr="00677ABE">
        <w:rPr>
          <w:rFonts w:cs="Times New Roman"/>
        </w:rPr>
        <w:t xml:space="preserve">Third and finally, even if the range in the specification was assumed to be expanded </w:t>
      </w:r>
      <w:r w:rsidR="005E6450" w:rsidRPr="00677ABE">
        <w:rPr>
          <w:rFonts w:cs="Times New Roman"/>
        </w:rPr>
        <w:t xml:space="preserve">by plus or minus </w:t>
      </w:r>
      <w:r w:rsidRPr="00677ABE">
        <w:rPr>
          <w:rFonts w:cs="Times New Roman"/>
        </w:rPr>
        <w:t>10% by the “about” language used in the claims and arguably applied through text in the specification, this produced only some overlap between the claimed range and the specified range—again failing to rescue the insufficient written descriptions.</w:t>
      </w:r>
      <w:r w:rsidRPr="00677ABE">
        <w:rPr>
          <w:rStyle w:val="FootnoteReference"/>
          <w:rFonts w:cs="Times New Roman"/>
        </w:rPr>
        <w:footnoteReference w:id="240"/>
      </w:r>
      <w:r w:rsidR="00AC00E6">
        <w:rPr>
          <w:rFonts w:cs="Times New Roman"/>
        </w:rPr>
        <w:t xml:space="preserve"> </w:t>
      </w:r>
      <w:r w:rsidR="005E6450" w:rsidRPr="00677ABE">
        <w:rPr>
          <w:rFonts w:cs="Times New Roman"/>
        </w:rPr>
        <w:t xml:space="preserve">In sum, the written description was inadequate whether it specified compositions </w:t>
      </w:r>
      <w:r w:rsidR="004D2DB1" w:rsidRPr="00677ABE">
        <w:rPr>
          <w:rFonts w:cs="Times New Roman"/>
        </w:rPr>
        <w:t xml:space="preserve">with </w:t>
      </w:r>
      <w:r w:rsidR="005E6450" w:rsidRPr="00677ABE">
        <w:rPr>
          <w:rFonts w:cs="Times New Roman"/>
        </w:rPr>
        <w:t xml:space="preserve">concentrations that fell within a claimed range </w:t>
      </w:r>
      <w:r w:rsidR="004D2DB1" w:rsidRPr="00677ABE">
        <w:rPr>
          <w:rFonts w:cs="Times New Roman"/>
        </w:rPr>
        <w:t>having no</w:t>
      </w:r>
      <w:r w:rsidR="005E6450" w:rsidRPr="00677ABE">
        <w:rPr>
          <w:rFonts w:cs="Times New Roman"/>
        </w:rPr>
        <w:t xml:space="preserve"> upper bound, that fell outside a claimed range, and that slightly overlapped the limits of the range.</w:t>
      </w:r>
      <w:r w:rsidR="005E6450" w:rsidRPr="00677ABE">
        <w:rPr>
          <w:rStyle w:val="FootnoteReference"/>
          <w:rFonts w:cs="Times New Roman"/>
        </w:rPr>
        <w:footnoteReference w:id="241"/>
      </w:r>
    </w:p>
    <w:p w14:paraId="5449A61F" w14:textId="1BF48C5E" w:rsidR="00512CDF" w:rsidRPr="00677ABE" w:rsidRDefault="00512CDF" w:rsidP="00CA2C0A">
      <w:pPr>
        <w:pStyle w:val="Heading3"/>
        <w:ind w:firstLine="0"/>
        <w:rPr>
          <w:rFonts w:cs="Times New Roman"/>
          <w:i w:val="0"/>
        </w:rPr>
      </w:pPr>
      <w:bookmarkStart w:id="38" w:name="_Toc531692735"/>
      <w:r w:rsidRPr="00677ABE">
        <w:rPr>
          <w:rFonts w:cs="Times New Roman"/>
        </w:rPr>
        <w:t>Trustees of Boston Univ.</w:t>
      </w:r>
      <w:r w:rsidR="00712C22" w:rsidRPr="00677ABE">
        <w:rPr>
          <w:rFonts w:cs="Times New Roman"/>
        </w:rPr>
        <w:t xml:space="preserve"> v. </w:t>
      </w:r>
      <w:r w:rsidRPr="00677ABE">
        <w:rPr>
          <w:rFonts w:cs="Times New Roman"/>
        </w:rPr>
        <w:t xml:space="preserve">Everlight </w:t>
      </w:r>
      <w:r w:rsidR="00520A51" w:rsidRPr="00677ABE">
        <w:rPr>
          <w:rFonts w:cs="Times New Roman"/>
        </w:rPr>
        <w:t>Elecs.</w:t>
      </w:r>
      <w:r w:rsidRPr="00677ABE">
        <w:rPr>
          <w:rFonts w:cs="Times New Roman"/>
        </w:rPr>
        <w:t xml:space="preserve"> Co.</w:t>
      </w:r>
      <w:r w:rsidRPr="00677ABE">
        <w:rPr>
          <w:rFonts w:cs="Times New Roman"/>
          <w:i w:val="0"/>
        </w:rPr>
        <w:t xml:space="preserve">, 896 F.3d 1357 (Fed. Cir. </w:t>
      </w:r>
      <w:r w:rsidR="002B3CF9" w:rsidRPr="00677ABE">
        <w:rPr>
          <w:rFonts w:cs="Times New Roman"/>
          <w:i w:val="0"/>
        </w:rPr>
        <w:t>July </w:t>
      </w:r>
      <w:r w:rsidRPr="00677ABE">
        <w:rPr>
          <w:rFonts w:cs="Times New Roman"/>
          <w:i w:val="0"/>
        </w:rPr>
        <w:t>25, 2018)</w:t>
      </w:r>
      <w:bookmarkEnd w:id="38"/>
      <w:r w:rsidRPr="00677ABE">
        <w:rPr>
          <w:rFonts w:cs="Times New Roman"/>
          <w:i w:val="0"/>
        </w:rPr>
        <w:t xml:space="preserve"> </w:t>
      </w:r>
    </w:p>
    <w:p w14:paraId="73255367" w14:textId="52496794" w:rsidR="00512CDF" w:rsidRPr="00677ABE" w:rsidRDefault="00512CDF" w:rsidP="00CA2C0A">
      <w:pPr>
        <w:rPr>
          <w:rFonts w:cs="Times New Roman"/>
        </w:rPr>
      </w:pPr>
      <w:r w:rsidRPr="00677ABE">
        <w:rPr>
          <w:rFonts w:cs="Times New Roman"/>
        </w:rPr>
        <w:tab/>
        <w:t>In this appeal from the District of Massachusetts, the Federal Circuit reversed the trial court and held that a patent issued to Boston University (“BU”) was invalid as a matter of law for lack of enablement,</w:t>
      </w:r>
      <w:r w:rsidRPr="00677ABE">
        <w:rPr>
          <w:rStyle w:val="FootnoteReference"/>
          <w:rFonts w:cs="Times New Roman"/>
        </w:rPr>
        <w:footnoteReference w:id="242"/>
      </w:r>
      <w:r w:rsidRPr="00677ABE">
        <w:rPr>
          <w:rFonts w:cs="Times New Roman"/>
        </w:rPr>
        <w:t xml:space="preserve"> even where parties agreed that all but one of the six possible combinations the claim specified (as construed by the trial court) were successfully enabled.</w:t>
      </w:r>
      <w:r w:rsidRPr="00677ABE">
        <w:rPr>
          <w:rStyle w:val="FootnoteReference"/>
          <w:rFonts w:cs="Times New Roman"/>
        </w:rPr>
        <w:footnoteReference w:id="243"/>
      </w:r>
      <w:r w:rsidRPr="00677ABE">
        <w:rPr>
          <w:rFonts w:cs="Times New Roman"/>
        </w:rPr>
        <w:t xml:space="preserve"> </w:t>
      </w:r>
    </w:p>
    <w:p w14:paraId="79FD9C03" w14:textId="3A4F1AA2" w:rsidR="00512CDF" w:rsidRPr="00677ABE" w:rsidRDefault="00512CDF" w:rsidP="00CA2C0A">
      <w:pPr>
        <w:tabs>
          <w:tab w:val="left" w:pos="468"/>
        </w:tabs>
        <w:rPr>
          <w:rFonts w:cs="Times New Roman"/>
        </w:rPr>
      </w:pPr>
      <w:r w:rsidRPr="00677ABE">
        <w:rPr>
          <w:rFonts w:cs="Times New Roman"/>
        </w:rPr>
        <w:tab/>
        <w:t>The case concerned the ‘738 patent, which sought to disclose a process for fabricating a blue light-emitting diode (“LED”) in a way that would correct an otherwise common and problematic “lattice-mismatch” in semiconductors of this type between the crystalline layer of gallium nitride (“GaN”) and its substrate layer. The patent’s only claim tried to the jury was claim 19.</w:t>
      </w:r>
      <w:r w:rsidRPr="00677ABE">
        <w:rPr>
          <w:rStyle w:val="FootnoteReference"/>
          <w:rFonts w:cs="Times New Roman"/>
        </w:rPr>
        <w:footnoteReference w:id="244"/>
      </w:r>
      <w:r w:rsidRPr="00677ABE">
        <w:rPr>
          <w:rFonts w:cs="Times New Roman"/>
        </w:rPr>
        <w:t xml:space="preserve"> It disclosed, in relevant part, “</w:t>
      </w:r>
      <w:r w:rsidRPr="00677ABE">
        <w:rPr>
          <w:rFonts w:cs="Times New Roman"/>
          <w:i/>
        </w:rPr>
        <w:t>a non-single crystalline buffer layer</w:t>
      </w:r>
      <w:r w:rsidRPr="00677ABE">
        <w:rPr>
          <w:rFonts w:cs="Times New Roman"/>
        </w:rPr>
        <w:t xml:space="preserve">” and “a growth layer </w:t>
      </w:r>
      <w:r w:rsidRPr="00677ABE">
        <w:rPr>
          <w:rFonts w:cs="Times New Roman"/>
          <w:i/>
        </w:rPr>
        <w:t>grown on</w:t>
      </w:r>
      <w:r w:rsidRPr="00677ABE">
        <w:rPr>
          <w:rFonts w:cs="Times New Roman"/>
        </w:rPr>
        <w:t xml:space="preserve"> the buffer layer.”</w:t>
      </w:r>
      <w:r w:rsidRPr="00677ABE">
        <w:rPr>
          <w:rStyle w:val="FootnoteReference"/>
          <w:rFonts w:cs="Times New Roman"/>
        </w:rPr>
        <w:footnoteReference w:id="245"/>
      </w:r>
      <w:r w:rsidRPr="00677ABE">
        <w:rPr>
          <w:rFonts w:cs="Times New Roman"/>
        </w:rPr>
        <w:t xml:space="preserve"> The district </w:t>
      </w:r>
      <w:r w:rsidRPr="00677ABE">
        <w:rPr>
          <w:rFonts w:cs="Times New Roman"/>
        </w:rPr>
        <w:lastRenderedPageBreak/>
        <w:t>cour</w:t>
      </w:r>
      <w:r w:rsidR="00E0300F" w:rsidRPr="00677ABE">
        <w:rPr>
          <w:rFonts w:cs="Times New Roman"/>
        </w:rPr>
        <w:t>t constru</w:t>
      </w:r>
      <w:r w:rsidRPr="00677ABE">
        <w:rPr>
          <w:rFonts w:cs="Times New Roman"/>
        </w:rPr>
        <w:t>ed the first term to admit of three types of “non-single crystalline buffer[s],” and the second to admit of two ways a growth layer could “grow[] on” this buffer (directly on or indirectly above).</w:t>
      </w:r>
      <w:r w:rsidRPr="00677ABE">
        <w:rPr>
          <w:rStyle w:val="FootnoteReference"/>
          <w:rFonts w:cs="Times New Roman"/>
        </w:rPr>
        <w:footnoteReference w:id="246"/>
      </w:r>
      <w:r w:rsidRPr="00677ABE">
        <w:rPr>
          <w:rFonts w:cs="Times New Roman"/>
        </w:rPr>
        <w:t xml:space="preserve"> </w:t>
      </w:r>
      <w:r w:rsidR="00FA2147" w:rsidRPr="00677ABE">
        <w:rPr>
          <w:rFonts w:cs="Times New Roman"/>
        </w:rPr>
        <w:t>Thus,</w:t>
      </w:r>
      <w:r w:rsidRPr="00677ABE">
        <w:rPr>
          <w:rFonts w:cs="Times New Roman"/>
        </w:rPr>
        <w:t xml:space="preserve"> the claim specified six combinations. The parties agreed five were enabled.</w:t>
      </w:r>
      <w:r w:rsidRPr="00677ABE">
        <w:rPr>
          <w:rStyle w:val="FootnoteReference"/>
          <w:rFonts w:cs="Times New Roman"/>
        </w:rPr>
        <w:footnoteReference w:id="247"/>
      </w:r>
      <w:r w:rsidRPr="00677ABE">
        <w:rPr>
          <w:rFonts w:cs="Times New Roman"/>
        </w:rPr>
        <w:t xml:space="preserve"> Moreover, they agreed that while these five could be prepared using molecular beam epitaxy (which the appellate court later said the patent’s specification “focuses on”),</w:t>
      </w:r>
      <w:r w:rsidRPr="00677ABE">
        <w:rPr>
          <w:rStyle w:val="FootnoteReference"/>
          <w:rFonts w:cs="Times New Roman"/>
        </w:rPr>
        <w:footnoteReference w:id="248"/>
      </w:r>
      <w:r w:rsidRPr="00677ABE">
        <w:rPr>
          <w:rFonts w:cs="Times New Roman"/>
        </w:rPr>
        <w:t xml:space="preserve"> they agreed the sixth combination was impossible to prepare this way.</w:t>
      </w:r>
      <w:r w:rsidRPr="00677ABE">
        <w:rPr>
          <w:rStyle w:val="FootnoteReference"/>
          <w:rFonts w:cs="Times New Roman"/>
        </w:rPr>
        <w:footnoteReference w:id="249"/>
      </w:r>
      <w:r w:rsidRPr="00677ABE">
        <w:rPr>
          <w:rFonts w:cs="Times New Roman"/>
        </w:rPr>
        <w:t xml:space="preserve"> Nonetheless, the jury determined that defendant failed to show the patent was invalid;</w:t>
      </w:r>
      <w:r w:rsidRPr="00677ABE">
        <w:rPr>
          <w:rStyle w:val="FootnoteReference"/>
          <w:rFonts w:cs="Times New Roman"/>
        </w:rPr>
        <w:footnoteReference w:id="250"/>
      </w:r>
      <w:r w:rsidRPr="00677ABE">
        <w:rPr>
          <w:rFonts w:cs="Times New Roman"/>
        </w:rPr>
        <w:t xml:space="preserve"> the district court denied defendant’s renewed motion for judgment as a matter of law (“JMOL”) that the claim was not enabled under 35 U.S.C. </w:t>
      </w:r>
      <w:r w:rsidR="00AC00E6">
        <w:rPr>
          <w:rFonts w:cs="Times New Roman"/>
        </w:rPr>
        <w:t>§ </w:t>
      </w:r>
      <w:r w:rsidRPr="00677ABE">
        <w:rPr>
          <w:rFonts w:cs="Times New Roman"/>
        </w:rPr>
        <w:t>112 (2006).</w:t>
      </w:r>
      <w:r w:rsidRPr="00677ABE">
        <w:rPr>
          <w:rStyle w:val="FootnoteReference"/>
          <w:rFonts w:cs="Times New Roman"/>
        </w:rPr>
        <w:footnoteReference w:id="251"/>
      </w:r>
      <w:r w:rsidRPr="00677ABE">
        <w:rPr>
          <w:rFonts w:cs="Times New Roman"/>
        </w:rPr>
        <w:t xml:space="preserve"> “[T]he ‘738 patent did not have to enable a device with a monocrystalline growth layer formed directly on [one of the three types of] buffer layer[s], as long as it enabled a device with a monocrystalline growth layer formed </w:t>
      </w:r>
      <w:r w:rsidRPr="00677ABE">
        <w:rPr>
          <w:rFonts w:cs="Times New Roman"/>
          <w:i/>
          <w:iCs/>
        </w:rPr>
        <w:t xml:space="preserve">indirectly </w:t>
      </w:r>
      <w:r w:rsidRPr="00677ABE">
        <w:rPr>
          <w:rFonts w:cs="Times New Roman"/>
        </w:rPr>
        <w:t>on [that same type of buffer layer].”</w:t>
      </w:r>
      <w:r w:rsidRPr="00677ABE">
        <w:rPr>
          <w:rStyle w:val="FootnoteReference"/>
          <w:rFonts w:cs="Times New Roman"/>
        </w:rPr>
        <w:footnoteReference w:id="252"/>
      </w:r>
      <w:r w:rsidR="00AC00E6">
        <w:rPr>
          <w:rFonts w:cs="Times New Roman"/>
        </w:rPr>
        <w:t xml:space="preserve"> </w:t>
      </w:r>
    </w:p>
    <w:p w14:paraId="24B27DDC" w14:textId="0B58C884" w:rsidR="00AA2735" w:rsidRPr="00CA2C0A" w:rsidRDefault="00512CDF" w:rsidP="00CA2C0A">
      <w:pPr>
        <w:autoSpaceDE w:val="0"/>
        <w:autoSpaceDN w:val="0"/>
        <w:adjustRightInd w:val="0"/>
        <w:rPr>
          <w:rFonts w:cs="Times New Roman"/>
        </w:rPr>
      </w:pPr>
      <w:r w:rsidRPr="00677ABE">
        <w:rPr>
          <w:rFonts w:cs="Times New Roman"/>
        </w:rPr>
        <w:tab/>
        <w:t>The Federal Circuit reversed the denial of the motion for JMOL, holding as a matter of law that no reasonable jury could have found as that jury did.</w:t>
      </w:r>
      <w:r w:rsidRPr="00677ABE">
        <w:rPr>
          <w:rStyle w:val="FootnoteReference"/>
          <w:rFonts w:cs="Times New Roman"/>
        </w:rPr>
        <w:footnoteReference w:id="253"/>
      </w:r>
      <w:r w:rsidRPr="00677ABE">
        <w:rPr>
          <w:rFonts w:cs="Times New Roman"/>
        </w:rPr>
        <w:t xml:space="preserve"> The court accepted the district court’s findings that substantial evidence showed growing the crystalline layer epitaxially on the substrate was not possible for the sixth combination, and that there was no substantial evidence—just conclusory expert testimony</w:t>
      </w:r>
      <w:r w:rsidRPr="00677ABE">
        <w:rPr>
          <w:rStyle w:val="FootnoteReference"/>
          <w:rFonts w:cs="Times New Roman"/>
        </w:rPr>
        <w:footnoteReference w:id="254"/>
      </w:r>
      <w:r w:rsidRPr="00677ABE">
        <w:rPr>
          <w:rFonts w:cs="Times New Roman"/>
        </w:rPr>
        <w:t>—that BU’s patent taught a non-epitaxial approach. But the Federal Circuit found that was not enough.</w:t>
      </w:r>
      <w:r w:rsidR="00AC00E6">
        <w:rPr>
          <w:rFonts w:cs="Times New Roman"/>
        </w:rPr>
        <w:t xml:space="preserve"> </w:t>
      </w:r>
      <w:r w:rsidRPr="00677ABE">
        <w:rPr>
          <w:rFonts w:cs="Times New Roman"/>
        </w:rPr>
        <w:t>It held that because “[t]he enablement requirement [must ensure] that the public knowledge is enriched by the patent specification to a degree at least commensurate with the scope of the claims,” the “scope of the claims must be less than or equal to the scope of the enablement.”</w:t>
      </w:r>
      <w:r w:rsidRPr="00677ABE">
        <w:rPr>
          <w:rStyle w:val="FootnoteReference"/>
          <w:rFonts w:cs="Times New Roman"/>
        </w:rPr>
        <w:footnoteReference w:id="255"/>
      </w:r>
      <w:r w:rsidRPr="00677ABE">
        <w:rPr>
          <w:rFonts w:cs="Times New Roman"/>
        </w:rPr>
        <w:t xml:space="preserve"> The claim was drafted to cover six combinations, but only enabled five—and so was invalid.</w:t>
      </w:r>
      <w:r w:rsidR="00AA2735" w:rsidRPr="00677ABE">
        <w:rPr>
          <w:rFonts w:cs="Times New Roman"/>
        </w:rPr>
        <w:br w:type="page"/>
      </w:r>
    </w:p>
    <w:p w14:paraId="3851455C" w14:textId="77777777" w:rsidR="00F20B84" w:rsidRDefault="000060D2" w:rsidP="00CA2C0A">
      <w:pPr>
        <w:pStyle w:val="Heading1"/>
        <w:rPr>
          <w:rFonts w:cs="Times New Roman"/>
          <w:szCs w:val="24"/>
        </w:rPr>
      </w:pPr>
      <w:bookmarkStart w:id="39" w:name="_Toc531692736"/>
      <w:r w:rsidRPr="00677ABE">
        <w:rPr>
          <w:rFonts w:cs="Times New Roman"/>
          <w:szCs w:val="24"/>
        </w:rPr>
        <w:lastRenderedPageBreak/>
        <w:t>SECTION 102</w:t>
      </w:r>
      <w:bookmarkEnd w:id="39"/>
    </w:p>
    <w:p w14:paraId="7A8D8752" w14:textId="1053ED47" w:rsidR="00F874E5" w:rsidRDefault="00F874E5" w:rsidP="00CA2C0A">
      <w:pPr>
        <w:pStyle w:val="Heading2"/>
        <w:rPr>
          <w:rFonts w:cs="Times New Roman"/>
          <w:szCs w:val="24"/>
        </w:rPr>
      </w:pPr>
      <w:bookmarkStart w:id="40" w:name="_Toc531692737"/>
      <w:bookmarkStart w:id="41" w:name="_Toc526093270"/>
      <w:r>
        <w:rPr>
          <w:rFonts w:cs="Times New Roman"/>
          <w:szCs w:val="24"/>
        </w:rPr>
        <w:t>Printed Publication</w:t>
      </w:r>
      <w:bookmarkEnd w:id="40"/>
    </w:p>
    <w:p w14:paraId="07D210C8" w14:textId="4125E548" w:rsidR="00F874E5" w:rsidRPr="00300BD8" w:rsidRDefault="00F874E5" w:rsidP="00F874E5">
      <w:pPr>
        <w:pStyle w:val="Heading3"/>
      </w:pPr>
      <w:r>
        <w:tab/>
      </w:r>
      <w:bookmarkStart w:id="42" w:name="_Toc531692738"/>
      <w:r w:rsidRPr="00300BD8">
        <w:t>GoPro, Inc. v. Contour IP Holding LLC</w:t>
      </w:r>
      <w:r w:rsidRPr="00F874E5">
        <w:rPr>
          <w:i w:val="0"/>
        </w:rPr>
        <w:t>, Nos. 2017-1894, 2017-1936, 2018 WL 5660650 (Fed. Cir. July 27, 2018, modified Nov. 1, 2018)</w:t>
      </w:r>
      <w:bookmarkEnd w:id="42"/>
    </w:p>
    <w:p w14:paraId="77AE0378" w14:textId="07082C8D" w:rsidR="00F874E5" w:rsidRPr="00300BD8" w:rsidRDefault="00F874E5" w:rsidP="00F874E5">
      <w:pPr>
        <w:rPr>
          <w:rFonts w:cs="Times New Roman"/>
          <w:color w:val="000000" w:themeColor="text1"/>
        </w:rPr>
      </w:pPr>
      <w:r w:rsidRPr="00300BD8">
        <w:rPr>
          <w:rFonts w:cs="Times New Roman"/>
          <w:color w:val="000000" w:themeColor="text1"/>
        </w:rPr>
        <w:tab/>
        <w:t>In this appeal from the Patent Trial and Appeal Board (“PTAB”), the Federal Circuit held that GoPro’s sales catalog was a prior-art printed publication under § 102(b),</w:t>
      </w:r>
      <w:r w:rsidRPr="00300BD8">
        <w:rPr>
          <w:rStyle w:val="FootnoteReference"/>
          <w:rFonts w:cs="Times New Roman"/>
          <w:color w:val="000000" w:themeColor="text1"/>
        </w:rPr>
        <w:footnoteReference w:id="256"/>
      </w:r>
      <w:r w:rsidRPr="00300BD8">
        <w:rPr>
          <w:rFonts w:cs="Times New Roman"/>
          <w:color w:val="000000" w:themeColor="text1"/>
        </w:rPr>
        <w:t xml:space="preserve"> and reasserted that “direct availability [of such printed publication</w:t>
      </w:r>
      <w:r w:rsidR="003A4E17">
        <w:rPr>
          <w:rFonts w:cs="Times New Roman"/>
          <w:color w:val="000000" w:themeColor="text1"/>
        </w:rPr>
        <w:t>s</w:t>
      </w:r>
      <w:r w:rsidRPr="00300BD8">
        <w:rPr>
          <w:rFonts w:cs="Times New Roman"/>
          <w:color w:val="000000" w:themeColor="text1"/>
        </w:rPr>
        <w:t>] to an ordinarily skilled artisan is [not] dispositive.”</w:t>
      </w:r>
      <w:r w:rsidRPr="00300BD8">
        <w:rPr>
          <w:rStyle w:val="FootnoteReference"/>
          <w:rFonts w:cs="Times New Roman"/>
          <w:color w:val="000000" w:themeColor="text1"/>
        </w:rPr>
        <w:footnoteReference w:id="257"/>
      </w:r>
    </w:p>
    <w:p w14:paraId="69C818F0" w14:textId="638E0315" w:rsidR="00F874E5" w:rsidRPr="00300BD8" w:rsidRDefault="00F874E5" w:rsidP="00F874E5">
      <w:pPr>
        <w:rPr>
          <w:rFonts w:cs="Times New Roman"/>
          <w:color w:val="000000" w:themeColor="text1"/>
        </w:rPr>
      </w:pPr>
      <w:r w:rsidRPr="00300BD8">
        <w:rPr>
          <w:rFonts w:cs="Times New Roman"/>
          <w:color w:val="000000" w:themeColor="text1"/>
        </w:rPr>
        <w:tab/>
        <w:t xml:space="preserve">The case concerned Contour’s </w:t>
      </w:r>
      <w:r w:rsidR="00E656C6">
        <w:rPr>
          <w:rFonts w:cs="Times New Roman"/>
          <w:color w:val="000000" w:themeColor="text1"/>
        </w:rPr>
        <w:t>’</w:t>
      </w:r>
      <w:r w:rsidRPr="00300BD8">
        <w:rPr>
          <w:rFonts w:cs="Times New Roman"/>
          <w:color w:val="000000" w:themeColor="text1"/>
        </w:rPr>
        <w:t xml:space="preserve">694 and </w:t>
      </w:r>
      <w:r w:rsidR="00E656C6">
        <w:rPr>
          <w:rFonts w:cs="Times New Roman"/>
          <w:color w:val="000000" w:themeColor="text1"/>
        </w:rPr>
        <w:t>’</w:t>
      </w:r>
      <w:r w:rsidRPr="00300BD8">
        <w:rPr>
          <w:rFonts w:cs="Times New Roman"/>
          <w:color w:val="000000" w:themeColor="text1"/>
        </w:rPr>
        <w:t>954 patents, which disclose specifications for transmitting video between a camera and a remote digital device, such as for transmitting point-of-view (“POV”) video from a helmet-mounted camera to a smartphone.</w:t>
      </w:r>
      <w:r w:rsidRPr="00300BD8">
        <w:rPr>
          <w:rStyle w:val="FootnoteReference"/>
          <w:rFonts w:cs="Times New Roman"/>
          <w:color w:val="000000" w:themeColor="text1"/>
        </w:rPr>
        <w:footnoteReference w:id="258"/>
      </w:r>
      <w:r w:rsidRPr="00300BD8">
        <w:rPr>
          <w:rFonts w:cs="Times New Roman"/>
          <w:color w:val="000000" w:themeColor="text1"/>
        </w:rPr>
        <w:t xml:space="preserve"> GoPro challenged the patents as obvious over a sales catalog</w:t>
      </w:r>
      <w:r w:rsidR="003A4E17">
        <w:rPr>
          <w:rFonts w:cs="Times New Roman"/>
          <w:color w:val="000000" w:themeColor="text1"/>
        </w:rPr>
        <w:t xml:space="preserve"> it had</w:t>
      </w:r>
      <w:r w:rsidRPr="00300BD8">
        <w:rPr>
          <w:rFonts w:cs="Times New Roman"/>
          <w:color w:val="000000" w:themeColor="text1"/>
        </w:rPr>
        <w:t xml:space="preserve"> distributed before the critical date at a trade show with over 150 vendors and 1,000 attendees, through its website, by direct mail, and otherwise.</w:t>
      </w:r>
      <w:r w:rsidRPr="00300BD8">
        <w:rPr>
          <w:rStyle w:val="FootnoteReference"/>
          <w:rFonts w:cs="Times New Roman"/>
          <w:color w:val="000000" w:themeColor="text1"/>
        </w:rPr>
        <w:footnoteReference w:id="259"/>
      </w:r>
      <w:r w:rsidRPr="00300BD8">
        <w:rPr>
          <w:rFonts w:cs="Times New Roman"/>
          <w:color w:val="000000" w:themeColor="text1"/>
        </w:rPr>
        <w:t xml:space="preserve"> The PTAB initiated </w:t>
      </w:r>
      <w:r w:rsidRPr="00300BD8">
        <w:rPr>
          <w:rFonts w:cs="Times New Roman"/>
          <w:i/>
          <w:color w:val="000000" w:themeColor="text1"/>
        </w:rPr>
        <w:t>inter partes</w:t>
      </w:r>
      <w:r w:rsidRPr="00300BD8">
        <w:rPr>
          <w:rFonts w:cs="Times New Roman"/>
          <w:color w:val="000000" w:themeColor="text1"/>
        </w:rPr>
        <w:t xml:space="preserve"> review, but found the catalog not a prior-art printed publication.</w:t>
      </w:r>
      <w:r w:rsidRPr="00300BD8">
        <w:rPr>
          <w:rStyle w:val="FootnoteReference"/>
          <w:rFonts w:cs="Times New Roman"/>
          <w:color w:val="000000" w:themeColor="text1"/>
        </w:rPr>
        <w:footnoteReference w:id="260"/>
      </w:r>
      <w:r w:rsidRPr="00300BD8">
        <w:rPr>
          <w:rFonts w:cs="Times New Roman"/>
          <w:color w:val="000000" w:themeColor="text1"/>
        </w:rPr>
        <w:t xml:space="preserve"> The PTAB reasoned that ordinarily skilled artisans using reasonable diligence could not have located the catalog given the trade show was open only to dealers (not the broader public) and oriented towards action sports vehicles (not camera technology).</w:t>
      </w:r>
      <w:r w:rsidRPr="00300BD8">
        <w:rPr>
          <w:rStyle w:val="FootnoteReference"/>
          <w:rFonts w:cs="Times New Roman"/>
          <w:color w:val="000000" w:themeColor="text1"/>
        </w:rPr>
        <w:footnoteReference w:id="261"/>
      </w:r>
    </w:p>
    <w:p w14:paraId="7EC2876B" w14:textId="4DBC3472" w:rsidR="00F874E5" w:rsidRPr="00F874E5" w:rsidRDefault="00F874E5" w:rsidP="00F874E5">
      <w:pPr>
        <w:rPr>
          <w:rFonts w:cs="Times New Roman"/>
          <w:color w:val="000000" w:themeColor="text1"/>
        </w:rPr>
      </w:pPr>
      <w:r w:rsidRPr="00300BD8">
        <w:rPr>
          <w:rFonts w:cs="Times New Roman"/>
          <w:color w:val="000000" w:themeColor="text1"/>
        </w:rPr>
        <w:tab/>
        <w:t xml:space="preserve">On appeal, the Federal Circuit reversed, emphasizing that the test is broader than the PTAB had </w:t>
      </w:r>
      <w:r w:rsidR="000C0995">
        <w:rPr>
          <w:rFonts w:cs="Times New Roman"/>
          <w:color w:val="000000" w:themeColor="text1"/>
        </w:rPr>
        <w:t>viewed it</w:t>
      </w:r>
      <w:r w:rsidRPr="00300BD8">
        <w:rPr>
          <w:rFonts w:cs="Times New Roman"/>
          <w:color w:val="000000" w:themeColor="text1"/>
        </w:rPr>
        <w:t>.</w:t>
      </w:r>
      <w:r w:rsidRPr="00300BD8">
        <w:rPr>
          <w:rStyle w:val="FootnoteReference"/>
          <w:rFonts w:cs="Times New Roman"/>
          <w:color w:val="000000" w:themeColor="text1"/>
        </w:rPr>
        <w:footnoteReference w:id="262"/>
      </w:r>
      <w:r w:rsidRPr="00300BD8">
        <w:rPr>
          <w:rFonts w:cs="Times New Roman"/>
          <w:color w:val="000000" w:themeColor="text1"/>
        </w:rPr>
        <w:t xml:space="preserve"> A reference is publicly accessible if “persons interested and ordinarily skilled in the subject matter or art exercising reasonable diligence[] can locate it.”</w:t>
      </w:r>
      <w:r w:rsidRPr="00300BD8">
        <w:rPr>
          <w:rStyle w:val="FootnoteReference"/>
          <w:rFonts w:cs="Times New Roman"/>
          <w:color w:val="000000" w:themeColor="text1"/>
        </w:rPr>
        <w:footnoteReference w:id="263"/>
      </w:r>
      <w:r w:rsidRPr="00300BD8">
        <w:rPr>
          <w:rFonts w:cs="Times New Roman"/>
          <w:color w:val="000000" w:themeColor="text1"/>
        </w:rPr>
        <w:t xml:space="preserve"> For information shared through a conference or trade show, factors establishing accessibility include not only the event’s target audience—which the PTAB </w:t>
      </w:r>
      <w:r w:rsidR="000C0995">
        <w:rPr>
          <w:rFonts w:cs="Times New Roman"/>
          <w:color w:val="000000" w:themeColor="text1"/>
        </w:rPr>
        <w:t>emphasized</w:t>
      </w:r>
      <w:r w:rsidRPr="00300BD8">
        <w:rPr>
          <w:rFonts w:cs="Times New Roman"/>
          <w:color w:val="000000" w:themeColor="text1"/>
        </w:rPr>
        <w:t>—but also “the nature of the conference or meeting; whether there are restrictions on public disclosure of the information; expectations of confidentiality; and expectations of sharing the information.”</w:t>
      </w:r>
      <w:r w:rsidRPr="00300BD8">
        <w:rPr>
          <w:rStyle w:val="FootnoteReference"/>
          <w:rFonts w:cs="Times New Roman"/>
          <w:color w:val="000000" w:themeColor="text1"/>
        </w:rPr>
        <w:footnoteReference w:id="264"/>
      </w:r>
      <w:r w:rsidRPr="00300BD8">
        <w:rPr>
          <w:rFonts w:cs="Times New Roman"/>
          <w:color w:val="000000" w:themeColor="text1"/>
        </w:rPr>
        <w:t xml:space="preserve"> Here, the court found that the target audience was more closely related to the ordinary artisans than the PTAB allowed, as action sports vehicles are a primary application for POV cameras</w:t>
      </w:r>
      <w:r w:rsidR="000C0995">
        <w:rPr>
          <w:rFonts w:cs="Times New Roman"/>
          <w:color w:val="000000" w:themeColor="text1"/>
        </w:rPr>
        <w:t xml:space="preserve"> (</w:t>
      </w:r>
      <w:r w:rsidRPr="00300BD8">
        <w:rPr>
          <w:rFonts w:cs="Times New Roman"/>
          <w:color w:val="000000" w:themeColor="text1"/>
        </w:rPr>
        <w:t xml:space="preserve">a fact the </w:t>
      </w:r>
      <w:r w:rsidR="00E656C6">
        <w:rPr>
          <w:rFonts w:cs="Times New Roman"/>
          <w:color w:val="000000" w:themeColor="text1"/>
        </w:rPr>
        <w:t>’</w:t>
      </w:r>
      <w:r w:rsidRPr="00300BD8">
        <w:rPr>
          <w:rFonts w:cs="Times New Roman"/>
          <w:color w:val="000000" w:themeColor="text1"/>
        </w:rPr>
        <w:t>954 patent described</w:t>
      </w:r>
      <w:r w:rsidR="000C0995">
        <w:rPr>
          <w:rFonts w:cs="Times New Roman"/>
          <w:color w:val="000000" w:themeColor="text1"/>
        </w:rPr>
        <w:t>)</w:t>
      </w:r>
      <w:r w:rsidRPr="00300BD8">
        <w:rPr>
          <w:rFonts w:cs="Times New Roman"/>
          <w:color w:val="000000" w:themeColor="text1"/>
        </w:rPr>
        <w:t>.</w:t>
      </w:r>
      <w:r w:rsidRPr="00300BD8">
        <w:rPr>
          <w:rStyle w:val="FootnoteReference"/>
          <w:rFonts w:cs="Times New Roman"/>
          <w:color w:val="000000" w:themeColor="text1"/>
        </w:rPr>
        <w:footnoteReference w:id="265"/>
      </w:r>
      <w:r w:rsidRPr="00300BD8">
        <w:rPr>
          <w:rFonts w:cs="Times New Roman"/>
          <w:color w:val="000000" w:themeColor="text1"/>
        </w:rPr>
        <w:t xml:space="preserve"> </w:t>
      </w:r>
      <w:r w:rsidRPr="00300BD8">
        <w:rPr>
          <w:rFonts w:cs="Times New Roman"/>
          <w:color w:val="000000" w:themeColor="text1"/>
        </w:rPr>
        <w:lastRenderedPageBreak/>
        <w:t>Moreover, the GoPro catalog was “disseminated with no restrictions and was intended to reach the general public</w:t>
      </w:r>
      <w:r w:rsidR="0045445A">
        <w:rPr>
          <w:rFonts w:cs="Times New Roman"/>
          <w:color w:val="000000" w:themeColor="text1"/>
        </w:rPr>
        <w:t>.</w:t>
      </w:r>
      <w:r w:rsidRPr="00300BD8">
        <w:rPr>
          <w:rFonts w:cs="Times New Roman"/>
          <w:color w:val="000000" w:themeColor="text1"/>
        </w:rPr>
        <w:t>”</w:t>
      </w:r>
      <w:r w:rsidR="0045445A">
        <w:rPr>
          <w:rStyle w:val="FootnoteReference"/>
          <w:rFonts w:cs="Times New Roman"/>
          <w:color w:val="000000" w:themeColor="text1"/>
        </w:rPr>
        <w:footnoteReference w:id="266"/>
      </w:r>
    </w:p>
    <w:p w14:paraId="19AAEC0B" w14:textId="62373232" w:rsidR="00F20B84" w:rsidRDefault="00450407" w:rsidP="00CA2C0A">
      <w:pPr>
        <w:pStyle w:val="Heading2"/>
        <w:rPr>
          <w:rFonts w:cs="Times New Roman"/>
          <w:szCs w:val="24"/>
        </w:rPr>
      </w:pPr>
      <w:bookmarkStart w:id="43" w:name="_Toc531692739"/>
      <w:r w:rsidRPr="00677ABE">
        <w:rPr>
          <w:rFonts w:cs="Times New Roman"/>
          <w:szCs w:val="24"/>
        </w:rPr>
        <w:t>On-Sale Bar</w:t>
      </w:r>
      <w:bookmarkEnd w:id="43"/>
    </w:p>
    <w:p w14:paraId="6FC1173C" w14:textId="20DEAD4B" w:rsidR="00450407" w:rsidRPr="00692758" w:rsidRDefault="00450407" w:rsidP="00CA2C0A">
      <w:pPr>
        <w:pStyle w:val="Heading3"/>
        <w:ind w:firstLine="0"/>
        <w:rPr>
          <w:rFonts w:cs="Times New Roman"/>
          <w:lang w:val="es-ES"/>
        </w:rPr>
      </w:pPr>
      <w:bookmarkStart w:id="44" w:name="_Toc531692740"/>
      <w:r w:rsidRPr="00677ABE">
        <w:rPr>
          <w:rFonts w:cs="Times New Roman"/>
        </w:rPr>
        <w:t xml:space="preserve">Helsinn Healthcare S.A. v. Teva Pharms. </w:t>
      </w:r>
      <w:r w:rsidRPr="00692758">
        <w:rPr>
          <w:rFonts w:cs="Times New Roman"/>
          <w:lang w:val="es-ES"/>
        </w:rPr>
        <w:t>USA, Inc.</w:t>
      </w:r>
      <w:r w:rsidRPr="00692758">
        <w:rPr>
          <w:rFonts w:cs="Times New Roman"/>
          <w:i w:val="0"/>
          <w:lang w:val="es-ES"/>
        </w:rPr>
        <w:t>, 138 S.Ct. 2678 (June 25, 2018).</w:t>
      </w:r>
      <w:bookmarkEnd w:id="44"/>
    </w:p>
    <w:p w14:paraId="306AD63B" w14:textId="77777777" w:rsidR="004363E1" w:rsidRPr="00677ABE" w:rsidRDefault="004363E1" w:rsidP="00CA2C0A">
      <w:pPr>
        <w:ind w:firstLine="720"/>
        <w:rPr>
          <w:rFonts w:cs="Times New Roman"/>
        </w:rPr>
      </w:pPr>
      <w:r w:rsidRPr="00677ABE">
        <w:rPr>
          <w:rFonts w:cs="Times New Roman"/>
        </w:rPr>
        <w:t>In this appeal from the District of New Jersey, the Federal Circuit held that AIA’s on-sale bar includes publicly available sales that do not fully disclose the details of the invention.</w:t>
      </w:r>
      <w:r w:rsidRPr="00677ABE">
        <w:rPr>
          <w:rStyle w:val="FootnoteReference"/>
          <w:rFonts w:cs="Times New Roman"/>
        </w:rPr>
        <w:footnoteReference w:id="267"/>
      </w:r>
    </w:p>
    <w:p w14:paraId="0DA970C6" w14:textId="3C48F3BB" w:rsidR="004363E1" w:rsidRPr="00677ABE" w:rsidRDefault="004363E1" w:rsidP="00CA2C0A">
      <w:pPr>
        <w:rPr>
          <w:rFonts w:cs="Times New Roman"/>
        </w:rPr>
      </w:pPr>
      <w:r w:rsidRPr="00677ABE">
        <w:rPr>
          <w:rFonts w:cs="Times New Roman"/>
        </w:rPr>
        <w:tab/>
        <w:t>Helsinn owns four patents</w:t>
      </w:r>
      <w:r w:rsidRPr="00677ABE">
        <w:rPr>
          <w:rStyle w:val="FootnoteReference"/>
          <w:rFonts w:cs="Times New Roman"/>
        </w:rPr>
        <w:footnoteReference w:id="268"/>
      </w:r>
      <w:r w:rsidRPr="00677ABE">
        <w:rPr>
          <w:rFonts w:cs="Times New Roman"/>
        </w:rPr>
        <w:t xml:space="preserve"> directed to formulations of the drug palonosetron for reducing chemotherapy-induced nausea.</w:t>
      </w:r>
      <w:r w:rsidRPr="00677ABE">
        <w:rPr>
          <w:rStyle w:val="FootnoteReference"/>
          <w:rFonts w:cs="Times New Roman"/>
        </w:rPr>
        <w:footnoteReference w:id="269"/>
      </w:r>
      <w:r w:rsidR="00AC00E6">
        <w:rPr>
          <w:rFonts w:cs="Times New Roman"/>
        </w:rPr>
        <w:t xml:space="preserve"> </w:t>
      </w:r>
      <w:r w:rsidRPr="00677ABE">
        <w:rPr>
          <w:rFonts w:cs="Times New Roman"/>
        </w:rPr>
        <w:t>The critical date for the on-sale bar is January 30, 2002.</w:t>
      </w:r>
      <w:r w:rsidRPr="00677ABE">
        <w:rPr>
          <w:rStyle w:val="FootnoteReference"/>
          <w:rFonts w:cs="Times New Roman"/>
        </w:rPr>
        <w:footnoteReference w:id="270"/>
      </w:r>
      <w:r w:rsidR="00AC00E6">
        <w:rPr>
          <w:rFonts w:cs="Times New Roman"/>
        </w:rPr>
        <w:t xml:space="preserve"> </w:t>
      </w:r>
      <w:r w:rsidRPr="00677ABE">
        <w:rPr>
          <w:rFonts w:cs="Times New Roman"/>
        </w:rPr>
        <w:t>On April 6, 2001, MGI Pharma, Inc. contracted with Helsinn to purchase and distribute the formulations.</w:t>
      </w:r>
      <w:r w:rsidRPr="00677ABE">
        <w:rPr>
          <w:rStyle w:val="FootnoteReference"/>
          <w:rFonts w:cs="Times New Roman"/>
        </w:rPr>
        <w:footnoteReference w:id="271"/>
      </w:r>
      <w:r w:rsidR="00AC00E6">
        <w:rPr>
          <w:rFonts w:cs="Times New Roman"/>
        </w:rPr>
        <w:t xml:space="preserve"> </w:t>
      </w:r>
      <w:r w:rsidRPr="00677ABE">
        <w:rPr>
          <w:rFonts w:cs="Times New Roman"/>
        </w:rPr>
        <w:t>The details of the transaction were made publicly available through SEC filings, but the filings did not disclose the specific dosage for the formulations.</w:t>
      </w:r>
      <w:r w:rsidRPr="00677ABE">
        <w:rPr>
          <w:rStyle w:val="FootnoteReference"/>
          <w:rFonts w:cs="Times New Roman"/>
        </w:rPr>
        <w:footnoteReference w:id="272"/>
      </w:r>
    </w:p>
    <w:p w14:paraId="38581F84" w14:textId="0E6101F6" w:rsidR="004363E1" w:rsidRPr="00677ABE" w:rsidRDefault="004363E1" w:rsidP="00CA2C0A">
      <w:pPr>
        <w:ind w:firstLine="720"/>
        <w:rPr>
          <w:rFonts w:cs="Times New Roman"/>
        </w:rPr>
      </w:pPr>
      <w:r w:rsidRPr="00677ABE">
        <w:rPr>
          <w:rFonts w:cs="Times New Roman"/>
        </w:rPr>
        <w:t>Helsinn sued Teva, alleging that Teva’s ANDA infringed the patents-in-suit.</w:t>
      </w:r>
      <w:r w:rsidR="00AC00E6">
        <w:rPr>
          <w:rFonts w:cs="Times New Roman"/>
        </w:rPr>
        <w:t xml:space="preserve"> </w:t>
      </w:r>
      <w:r w:rsidRPr="00677ABE">
        <w:rPr>
          <w:rFonts w:cs="Times New Roman"/>
        </w:rPr>
        <w:t>The trial court held that the patents were not invalid under the on-sale bar.</w:t>
      </w:r>
      <w:r w:rsidRPr="00677ABE">
        <w:rPr>
          <w:rStyle w:val="FootnoteReference"/>
          <w:rFonts w:cs="Times New Roman"/>
        </w:rPr>
        <w:footnoteReference w:id="273"/>
      </w:r>
      <w:r w:rsidR="00AC00E6">
        <w:rPr>
          <w:rFonts w:cs="Times New Roman"/>
        </w:rPr>
        <w:t xml:space="preserve"> </w:t>
      </w:r>
      <w:r w:rsidRPr="00677ABE">
        <w:rPr>
          <w:rFonts w:cs="Times New Roman"/>
        </w:rPr>
        <w:t>For the three patents governed by pre-AIA section 102, the court held that “there was a commercial offer for sale before the critical date, but that the invention was not ready for patenting” before that date.</w:t>
      </w:r>
      <w:r w:rsidRPr="00677ABE">
        <w:rPr>
          <w:rStyle w:val="FootnoteReference"/>
          <w:rFonts w:cs="Times New Roman"/>
        </w:rPr>
        <w:footnoteReference w:id="274"/>
      </w:r>
      <w:r w:rsidR="00AC00E6">
        <w:rPr>
          <w:rFonts w:cs="Times New Roman"/>
        </w:rPr>
        <w:t xml:space="preserve"> </w:t>
      </w:r>
      <w:r w:rsidRPr="00677ABE">
        <w:rPr>
          <w:rFonts w:cs="Times New Roman"/>
        </w:rPr>
        <w:t>For the patent governed by the AIA, the court held that there was no commercial offer for sale because the AIA changed the meaning of the on-sale bar to require the sale to publicly disclose the details of the invention.</w:t>
      </w:r>
      <w:r w:rsidRPr="00677ABE">
        <w:rPr>
          <w:rStyle w:val="FootnoteReference"/>
          <w:rFonts w:cs="Times New Roman"/>
        </w:rPr>
        <w:footnoteReference w:id="275"/>
      </w:r>
      <w:r w:rsidR="00AC00E6">
        <w:rPr>
          <w:rFonts w:cs="Times New Roman"/>
        </w:rPr>
        <w:t xml:space="preserve"> </w:t>
      </w:r>
      <w:r w:rsidRPr="00677ABE">
        <w:rPr>
          <w:rFonts w:cs="Times New Roman"/>
        </w:rPr>
        <w:t>The court found that by withholding the dosage, the SEC filings did not fully disclose the invention.</w:t>
      </w:r>
      <w:r w:rsidRPr="00677ABE">
        <w:rPr>
          <w:rStyle w:val="FootnoteReference"/>
          <w:rFonts w:cs="Times New Roman"/>
        </w:rPr>
        <w:footnoteReference w:id="276"/>
      </w:r>
    </w:p>
    <w:p w14:paraId="27BDDEA6" w14:textId="46B260FA" w:rsidR="004363E1" w:rsidRPr="00677ABE" w:rsidRDefault="004363E1" w:rsidP="00CA2C0A">
      <w:pPr>
        <w:ind w:firstLine="720"/>
        <w:rPr>
          <w:rFonts w:cs="Times New Roman"/>
        </w:rPr>
      </w:pPr>
      <w:r w:rsidRPr="00677ABE">
        <w:rPr>
          <w:rFonts w:cs="Times New Roman"/>
        </w:rPr>
        <w:t>The Federal Circuit rejected the trial court’s interpretation of the AIA on-sale bar.</w:t>
      </w:r>
      <w:r w:rsidR="00AC00E6">
        <w:rPr>
          <w:rFonts w:cs="Times New Roman"/>
        </w:rPr>
        <w:t xml:space="preserve"> </w:t>
      </w:r>
      <w:r w:rsidRPr="00677ABE">
        <w:rPr>
          <w:rFonts w:cs="Times New Roman"/>
        </w:rPr>
        <w:t>The pre-AIA section 102 barred the patentability of an invention that was “patented or described in a printed publication in this or a foreign country or in public use or on sale in this country, more than one year prior to the date of the application for patent.”</w:t>
      </w:r>
      <w:r w:rsidRPr="00677ABE">
        <w:rPr>
          <w:rStyle w:val="FootnoteReference"/>
          <w:rFonts w:cs="Times New Roman"/>
        </w:rPr>
        <w:footnoteReference w:id="277"/>
      </w:r>
      <w:r w:rsidR="00AC00E6">
        <w:rPr>
          <w:rFonts w:cs="Times New Roman"/>
        </w:rPr>
        <w:t xml:space="preserve"> </w:t>
      </w:r>
      <w:r w:rsidRPr="00677ABE">
        <w:rPr>
          <w:rFonts w:cs="Times New Roman"/>
        </w:rPr>
        <w:t xml:space="preserve">With the AIA, Congress amended it to read: “patented, described in a printed publication, or in public use, on sale, or </w:t>
      </w:r>
      <w:r w:rsidRPr="00677ABE">
        <w:rPr>
          <w:rFonts w:cs="Times New Roman"/>
          <w:i/>
        </w:rPr>
        <w:t>otherwise available to the public</w:t>
      </w:r>
      <w:r w:rsidRPr="00677ABE">
        <w:rPr>
          <w:rFonts w:cs="Times New Roman"/>
        </w:rPr>
        <w:t xml:space="preserve"> before the effective filing date of the claimed invention.”</w:t>
      </w:r>
      <w:r w:rsidRPr="00677ABE">
        <w:rPr>
          <w:rStyle w:val="FootnoteReference"/>
          <w:rFonts w:cs="Times New Roman"/>
        </w:rPr>
        <w:footnoteReference w:id="278"/>
      </w:r>
      <w:r w:rsidR="00AC00E6">
        <w:rPr>
          <w:rFonts w:cs="Times New Roman"/>
        </w:rPr>
        <w:t xml:space="preserve"> </w:t>
      </w:r>
      <w:r w:rsidRPr="00677ABE">
        <w:rPr>
          <w:rFonts w:cs="Times New Roman"/>
        </w:rPr>
        <w:t xml:space="preserve">Helsinn—and the USPTO as amici—argued that the newly </w:t>
      </w:r>
      <w:r w:rsidRPr="00677ABE">
        <w:rPr>
          <w:rFonts w:cs="Times New Roman"/>
        </w:rPr>
        <w:lastRenderedPageBreak/>
        <w:t>added phrase, “otherwise available to the public,” required that a sale “make the invention available to the public in order to trigger application of the on-sale bar.”</w:t>
      </w:r>
      <w:r w:rsidRPr="00677ABE">
        <w:rPr>
          <w:rStyle w:val="FootnoteReference"/>
          <w:rFonts w:cs="Times New Roman"/>
        </w:rPr>
        <w:footnoteReference w:id="279"/>
      </w:r>
      <w:r w:rsidR="00AC00E6">
        <w:rPr>
          <w:rFonts w:cs="Times New Roman"/>
        </w:rPr>
        <w:t xml:space="preserve"> </w:t>
      </w:r>
    </w:p>
    <w:p w14:paraId="3A135C06" w14:textId="491D0671" w:rsidR="004363E1" w:rsidRPr="00677ABE" w:rsidRDefault="004363E1" w:rsidP="00CA2C0A">
      <w:pPr>
        <w:rPr>
          <w:rFonts w:cs="Times New Roman"/>
        </w:rPr>
      </w:pPr>
      <w:r w:rsidRPr="00677ABE">
        <w:rPr>
          <w:rFonts w:cs="Times New Roman"/>
        </w:rPr>
        <w:t>Despite some legislative history supporting Helsinn’s interpretation, the court rejected it because “[r]requiring such disclosure . . . would work a foundational change in the theory of the statutory on-sale bar.”</w:t>
      </w:r>
      <w:r w:rsidRPr="00677ABE">
        <w:rPr>
          <w:rStyle w:val="FootnoteReference"/>
          <w:rFonts w:cs="Times New Roman"/>
        </w:rPr>
        <w:footnoteReference w:id="280"/>
      </w:r>
      <w:r w:rsidR="00AC00E6">
        <w:rPr>
          <w:rFonts w:cs="Times New Roman"/>
        </w:rPr>
        <w:t xml:space="preserve"> </w:t>
      </w:r>
      <w:r w:rsidRPr="00677ABE">
        <w:rPr>
          <w:rFonts w:cs="Times New Roman"/>
        </w:rPr>
        <w:t>For the court, the act of selling or offering to sell the invention is the key trigger underlying the on-sale bar, not the disclosure of the invention: “[a] primary rationale of the on-sale bar is that “publicly offering a product for sale that embodies the claimed invention places it in the public domain, regardless of when or whether actual delivery occurs.”</w:t>
      </w:r>
      <w:r w:rsidRPr="00677ABE">
        <w:rPr>
          <w:rStyle w:val="FootnoteReference"/>
          <w:rFonts w:cs="Times New Roman"/>
        </w:rPr>
        <w:footnoteReference w:id="281"/>
      </w:r>
      <w:r w:rsidR="00AC00E6">
        <w:rPr>
          <w:rFonts w:cs="Times New Roman"/>
        </w:rPr>
        <w:t xml:space="preserve"> </w:t>
      </w:r>
      <w:r w:rsidRPr="00677ABE">
        <w:rPr>
          <w:rFonts w:cs="Times New Roman"/>
        </w:rPr>
        <w:t>In support, the court argues that prior cases have “applied the on-sale bar even when there is no delivery, when delivery is set after the critical date, or, even when, upon delivery, members of the public could not ascertain the claimed invention.”</w:t>
      </w:r>
      <w:r w:rsidRPr="00677ABE">
        <w:rPr>
          <w:rStyle w:val="FootnoteReference"/>
          <w:rFonts w:cs="Times New Roman"/>
        </w:rPr>
        <w:footnoteReference w:id="282"/>
      </w:r>
      <w:r w:rsidR="00AC00E6">
        <w:rPr>
          <w:rFonts w:cs="Times New Roman"/>
        </w:rPr>
        <w:t xml:space="preserve"> </w:t>
      </w:r>
      <w:r w:rsidRPr="00677ABE">
        <w:rPr>
          <w:rFonts w:cs="Times New Roman"/>
        </w:rPr>
        <w:t>Given this established body of jurisprudence, the court concluded that Congress would not have intended the sweeping change proposed by Helsinn.</w:t>
      </w:r>
      <w:r w:rsidRPr="00677ABE">
        <w:rPr>
          <w:rStyle w:val="FootnoteReference"/>
          <w:rFonts w:cs="Times New Roman"/>
        </w:rPr>
        <w:footnoteReference w:id="283"/>
      </w:r>
    </w:p>
    <w:p w14:paraId="13BE243B" w14:textId="32C279A7" w:rsidR="004363E1" w:rsidRPr="00677ABE" w:rsidRDefault="004363E1" w:rsidP="00CA2C0A">
      <w:pPr>
        <w:rPr>
          <w:rFonts w:cs="Times New Roman"/>
        </w:rPr>
      </w:pPr>
      <w:r w:rsidRPr="00677ABE">
        <w:rPr>
          <w:rFonts w:cs="Times New Roman"/>
        </w:rPr>
        <w:t>The Federal Circuit denied en banc review without dissent in January 2018.</w:t>
      </w:r>
      <w:r w:rsidR="00AC00E6">
        <w:rPr>
          <w:rFonts w:cs="Times New Roman"/>
        </w:rPr>
        <w:t xml:space="preserve"> </w:t>
      </w:r>
      <w:r w:rsidRPr="00677ABE">
        <w:rPr>
          <w:rFonts w:cs="Times New Roman"/>
        </w:rPr>
        <w:t>Judge O’Malley concurred to respond to some of the arguments amici had made in support of rehearing.</w:t>
      </w:r>
    </w:p>
    <w:p w14:paraId="7BDAF60C" w14:textId="33B7C663" w:rsidR="00F20B84" w:rsidRDefault="00450407" w:rsidP="00CA2C0A">
      <w:pPr>
        <w:ind w:firstLine="720"/>
        <w:rPr>
          <w:rFonts w:cs="Times New Roman"/>
        </w:rPr>
      </w:pPr>
      <w:r w:rsidRPr="00677ABE">
        <w:rPr>
          <w:rFonts w:cs="Times New Roman"/>
        </w:rPr>
        <w:t xml:space="preserve">The Supreme Court granted certiorari in this case asking whether the America Invents Act, by changing language in </w:t>
      </w:r>
      <w:r w:rsidR="00AC00E6">
        <w:rPr>
          <w:rFonts w:cs="Times New Roman"/>
        </w:rPr>
        <w:t>§ </w:t>
      </w:r>
      <w:r w:rsidRPr="00677ABE">
        <w:rPr>
          <w:rFonts w:cs="Times New Roman"/>
        </w:rPr>
        <w:t xml:space="preserve">102, materially changed the standard for the on-sale bar to patentability. </w:t>
      </w:r>
      <w:r w:rsidR="004363E1" w:rsidRPr="00677ABE">
        <w:rPr>
          <w:rFonts w:cs="Times New Roman"/>
        </w:rPr>
        <w:t>A decision is expected by June 2019</w:t>
      </w:r>
      <w:r w:rsidR="0058325A" w:rsidRPr="00677ABE">
        <w:rPr>
          <w:rFonts w:cs="Times New Roman"/>
        </w:rPr>
        <w:t>.</w:t>
      </w:r>
    </w:p>
    <w:p w14:paraId="42EF65FF" w14:textId="4D2E14A6" w:rsidR="00500F37" w:rsidRPr="00677ABE" w:rsidRDefault="00500F37" w:rsidP="00CA2C0A">
      <w:pPr>
        <w:pStyle w:val="Heading3"/>
        <w:ind w:firstLine="0"/>
        <w:rPr>
          <w:rFonts w:cs="Times New Roman"/>
          <w:i w:val="0"/>
        </w:rPr>
      </w:pPr>
      <w:bookmarkStart w:id="45" w:name="_Toc516586539"/>
      <w:bookmarkStart w:id="46" w:name="_Toc531692741"/>
      <w:r w:rsidRPr="00677ABE">
        <w:rPr>
          <w:rFonts w:cs="Times New Roman"/>
        </w:rPr>
        <w:t>The Medicines Co. v. Hospira Inc.</w:t>
      </w:r>
      <w:r w:rsidRPr="00677ABE">
        <w:rPr>
          <w:rFonts w:cs="Times New Roman"/>
          <w:i w:val="0"/>
        </w:rPr>
        <w:t>, 881 F.3d 1347 (Fed. Cir. Feb. 6, 2018)</w:t>
      </w:r>
      <w:bookmarkEnd w:id="45"/>
      <w:bookmarkEnd w:id="46"/>
    </w:p>
    <w:p w14:paraId="7528BF13" w14:textId="77777777" w:rsidR="00500F37" w:rsidRPr="00677ABE" w:rsidRDefault="00500F37" w:rsidP="00CA2C0A">
      <w:pPr>
        <w:rPr>
          <w:rFonts w:cs="Times New Roman"/>
        </w:rPr>
      </w:pPr>
      <w:r w:rsidRPr="00677ABE">
        <w:rPr>
          <w:rFonts w:cs="Times New Roman"/>
          <w:lang w:eastAsia="x-none"/>
        </w:rPr>
        <w:tab/>
        <w:t>In this appeal from the District of Delaware, the Federal Circuit reversed the district court’s finding that the Distribution Agreement was not a commercial offer for sale.</w:t>
      </w:r>
      <w:r w:rsidRPr="00677ABE">
        <w:rPr>
          <w:rStyle w:val="FootnoteReference"/>
          <w:rFonts w:cs="Times New Roman"/>
          <w:lang w:eastAsia="x-none"/>
        </w:rPr>
        <w:footnoteReference w:id="284"/>
      </w:r>
      <w:r w:rsidRPr="00677ABE">
        <w:rPr>
          <w:rFonts w:cs="Times New Roman"/>
          <w:lang w:eastAsia="x-none"/>
        </w:rPr>
        <w:t xml:space="preserve"> The district court found that the Distribution Agreement did not constitute a commercial offer for sale because it was merely an agreement.</w:t>
      </w:r>
      <w:r w:rsidRPr="00677ABE">
        <w:rPr>
          <w:rStyle w:val="FootnoteReference"/>
          <w:rFonts w:cs="Times New Roman"/>
          <w:lang w:eastAsia="x-none"/>
        </w:rPr>
        <w:footnoteReference w:id="285"/>
      </w:r>
      <w:r w:rsidRPr="00677ABE">
        <w:rPr>
          <w:rFonts w:cs="Times New Roman"/>
          <w:lang w:eastAsia="x-none"/>
        </w:rPr>
        <w:t xml:space="preserve"> The Federal Circuit disagreed, concluding that </w:t>
      </w:r>
      <w:r w:rsidRPr="00677ABE">
        <w:rPr>
          <w:rFonts w:cs="Times New Roman"/>
        </w:rPr>
        <w:t>“the terms of the Distribution Agreement make clear that the Medicines Company and ICS entered into an agreement to sell and purchase the product.”</w:t>
      </w:r>
      <w:r w:rsidRPr="00677ABE">
        <w:rPr>
          <w:rStyle w:val="FootnoteReference"/>
          <w:rFonts w:cs="Times New Roman"/>
        </w:rPr>
        <w:footnoteReference w:id="286"/>
      </w:r>
      <w:r w:rsidRPr="00677ABE">
        <w:rPr>
          <w:rFonts w:cs="Times New Roman"/>
        </w:rPr>
        <w:t xml:space="preserve"> “Those relevant terms include: a statement that The Medicines Company ‘now desire[d] to sell the Product’ to ICS and ICS ‘desire[d] to purchase and distribute the product,’ the price of the product, the purchase schedule, and the passage of title from The Medicines Company to ICS.”</w:t>
      </w:r>
      <w:r w:rsidRPr="00677ABE">
        <w:rPr>
          <w:rStyle w:val="FootnoteReference"/>
          <w:rFonts w:cs="Times New Roman"/>
        </w:rPr>
        <w:footnoteReference w:id="287"/>
      </w:r>
      <w:r w:rsidRPr="00677ABE">
        <w:rPr>
          <w:rFonts w:cs="Times New Roman"/>
        </w:rPr>
        <w:t xml:space="preserve"> </w:t>
      </w:r>
    </w:p>
    <w:p w14:paraId="134DBCE3" w14:textId="77777777" w:rsidR="00F20B84" w:rsidRDefault="00500F37" w:rsidP="00CA2C0A">
      <w:pPr>
        <w:rPr>
          <w:rFonts w:cs="Times New Roman"/>
        </w:rPr>
      </w:pPr>
      <w:r w:rsidRPr="00677ABE">
        <w:rPr>
          <w:rFonts w:cs="Times New Roman"/>
          <w:lang w:eastAsia="x-none"/>
        </w:rPr>
        <w:tab/>
      </w:r>
      <w:r w:rsidRPr="00677ABE">
        <w:rPr>
          <w:rFonts w:cs="Times New Roman"/>
        </w:rPr>
        <w:t xml:space="preserve">The Medicines Company’s argued that the agreement did not constitute an offer for sale because The Medicines Company reserved the right to reject all purchase orders </w:t>
      </w:r>
      <w:r w:rsidRPr="00677ABE">
        <w:rPr>
          <w:rFonts w:cs="Times New Roman"/>
        </w:rPr>
        <w:lastRenderedPageBreak/>
        <w:t>submitted by ICS.</w:t>
      </w:r>
      <w:r w:rsidRPr="00677ABE">
        <w:rPr>
          <w:rStyle w:val="FootnoteReference"/>
          <w:rFonts w:cs="Times New Roman"/>
        </w:rPr>
        <w:footnoteReference w:id="288"/>
      </w:r>
      <w:r w:rsidRPr="00677ABE">
        <w:rPr>
          <w:rFonts w:cs="Times New Roman"/>
        </w:rPr>
        <w:t xml:space="preserve"> But this argument failed for two reasons.</w:t>
      </w:r>
      <w:r w:rsidRPr="00677ABE">
        <w:rPr>
          <w:rStyle w:val="FootnoteReference"/>
          <w:rFonts w:cs="Times New Roman"/>
        </w:rPr>
        <w:footnoteReference w:id="289"/>
      </w:r>
      <w:r w:rsidRPr="00677ABE">
        <w:rPr>
          <w:rFonts w:cs="Times New Roman"/>
        </w:rPr>
        <w:t xml:space="preserve"> First, as discussed previously, the agreement clearly showed that “The Medicines Company agreed to sell Angiomax to ICS, and ICS agreed to purchase it.”</w:t>
      </w:r>
      <w:r w:rsidRPr="00677ABE">
        <w:rPr>
          <w:rStyle w:val="FootnoteReference"/>
          <w:rFonts w:cs="Times New Roman"/>
        </w:rPr>
        <w:footnoteReference w:id="290"/>
      </w:r>
      <w:r w:rsidRPr="00677ABE">
        <w:rPr>
          <w:rFonts w:cs="Times New Roman"/>
        </w:rPr>
        <w:t xml:space="preserve"> “Second, the Distribution Agreement required The Medicines Company to use ‘commercially reasonable efforts’ to fill the purchase orders,” so the agreement did not actually permit The Medicines Company to reject all purchase orders.</w:t>
      </w:r>
      <w:r w:rsidRPr="00677ABE">
        <w:rPr>
          <w:rStyle w:val="FootnoteReference"/>
          <w:rFonts w:cs="Times New Roman"/>
        </w:rPr>
        <w:footnoteReference w:id="291"/>
      </w:r>
      <w:r w:rsidRPr="00677ABE">
        <w:rPr>
          <w:rFonts w:cs="Times New Roman"/>
        </w:rPr>
        <w:t xml:space="preserve"> The court </w:t>
      </w:r>
      <w:r w:rsidRPr="00677ABE">
        <w:rPr>
          <w:rFonts w:cs="Times New Roman"/>
          <w:lang w:eastAsia="x-none"/>
        </w:rPr>
        <w:t>remanded for the district court to determine whether the offer to sell covered the patented invention.</w:t>
      </w:r>
      <w:r w:rsidRPr="00677ABE">
        <w:rPr>
          <w:rStyle w:val="FootnoteReference"/>
          <w:rFonts w:cs="Times New Roman"/>
          <w:lang w:eastAsia="x-none"/>
        </w:rPr>
        <w:footnoteReference w:id="292"/>
      </w:r>
    </w:p>
    <w:p w14:paraId="3A30A5D6" w14:textId="77777777" w:rsidR="00F20B84" w:rsidRDefault="00500F37" w:rsidP="00CA2C0A">
      <w:pPr>
        <w:pStyle w:val="Heading2"/>
      </w:pPr>
      <w:bookmarkStart w:id="47" w:name="_Toc531692742"/>
      <w:r w:rsidRPr="00677ABE">
        <w:t>Standard of Review</w:t>
      </w:r>
      <w:bookmarkEnd w:id="47"/>
    </w:p>
    <w:p w14:paraId="11244147" w14:textId="2854042B" w:rsidR="00500F37" w:rsidRPr="00677ABE" w:rsidRDefault="00500F37" w:rsidP="00CA2C0A">
      <w:pPr>
        <w:pStyle w:val="Heading3"/>
        <w:ind w:firstLine="0"/>
        <w:rPr>
          <w:rFonts w:cs="Times New Roman"/>
          <w:i w:val="0"/>
        </w:rPr>
      </w:pPr>
      <w:bookmarkStart w:id="48" w:name="_Toc516586540"/>
      <w:bookmarkStart w:id="49" w:name="_Toc531692743"/>
      <w:r w:rsidRPr="00677ABE">
        <w:rPr>
          <w:rFonts w:cs="Times New Roman"/>
        </w:rPr>
        <w:t>Microsoft Corp. v. Biscotti, Inc.</w:t>
      </w:r>
      <w:r w:rsidRPr="00677ABE">
        <w:rPr>
          <w:rFonts w:cs="Times New Roman"/>
          <w:i w:val="0"/>
        </w:rPr>
        <w:t>, 878 F.3d 1052 (Fed. Cir. Dec. 28, 2017)</w:t>
      </w:r>
      <w:bookmarkEnd w:id="48"/>
      <w:bookmarkEnd w:id="49"/>
    </w:p>
    <w:p w14:paraId="36E8EE5A" w14:textId="77777777" w:rsidR="00500F37" w:rsidRPr="00677ABE" w:rsidRDefault="00500F37" w:rsidP="00CA2C0A">
      <w:pPr>
        <w:rPr>
          <w:rFonts w:cs="Times New Roman"/>
          <w:lang w:eastAsia="x-none"/>
        </w:rPr>
      </w:pPr>
      <w:r w:rsidRPr="00677ABE">
        <w:rPr>
          <w:rFonts w:cs="Times New Roman"/>
          <w:lang w:eastAsia="x-none"/>
        </w:rPr>
        <w:tab/>
        <w:t>A divided Federal Circuit panel affirmed the PTAB’s finding that the asserted patent was not anticipated by the prior art.</w:t>
      </w:r>
      <w:r w:rsidRPr="00677ABE">
        <w:rPr>
          <w:rStyle w:val="FootnoteReference"/>
          <w:rFonts w:cs="Times New Roman"/>
          <w:lang w:eastAsia="x-none"/>
        </w:rPr>
        <w:footnoteReference w:id="293"/>
      </w:r>
      <w:r w:rsidRPr="00677ABE">
        <w:rPr>
          <w:rFonts w:cs="Times New Roman"/>
          <w:lang w:eastAsia="x-none"/>
        </w:rPr>
        <w:t xml:space="preserve"> The patent was generally related to a real-time video communication system.</w:t>
      </w:r>
      <w:r w:rsidRPr="00677ABE">
        <w:rPr>
          <w:rStyle w:val="FootnoteReference"/>
          <w:rFonts w:cs="Times New Roman"/>
          <w:lang w:eastAsia="x-none"/>
        </w:rPr>
        <w:footnoteReference w:id="294"/>
      </w:r>
      <w:r w:rsidRPr="00677ABE">
        <w:rPr>
          <w:rFonts w:cs="Times New Roman"/>
          <w:lang w:eastAsia="x-none"/>
        </w:rPr>
        <w:t xml:space="preserve"> The PTAB found that a prior art patent did not anticipate the claims based on its interpretation of various portions of the patent’s specification.</w:t>
      </w:r>
      <w:r w:rsidRPr="00677ABE">
        <w:rPr>
          <w:rStyle w:val="FootnoteReference"/>
          <w:rFonts w:cs="Times New Roman"/>
          <w:lang w:eastAsia="x-none"/>
        </w:rPr>
        <w:footnoteReference w:id="295"/>
      </w:r>
    </w:p>
    <w:p w14:paraId="210CB6F5" w14:textId="77777777" w:rsidR="00500F37" w:rsidRPr="00677ABE" w:rsidRDefault="00500F37" w:rsidP="00CA2C0A">
      <w:pPr>
        <w:rPr>
          <w:rFonts w:cs="Times New Roman"/>
          <w:lang w:eastAsia="x-none"/>
        </w:rPr>
      </w:pPr>
      <w:r w:rsidRPr="00677ABE">
        <w:rPr>
          <w:rFonts w:cs="Times New Roman"/>
          <w:lang w:eastAsia="x-none"/>
        </w:rPr>
        <w:tab/>
        <w:t>In its briefing on appeal, Microsoft challenged the Federal Circuit’s standard of review on anticipation.</w:t>
      </w:r>
      <w:r w:rsidRPr="00677ABE">
        <w:rPr>
          <w:rStyle w:val="FootnoteReference"/>
          <w:rFonts w:cs="Times New Roman"/>
          <w:lang w:eastAsia="x-none"/>
        </w:rPr>
        <w:footnoteReference w:id="296"/>
      </w:r>
      <w:r w:rsidRPr="00677ABE">
        <w:rPr>
          <w:rFonts w:cs="Times New Roman"/>
          <w:lang w:eastAsia="x-none"/>
        </w:rPr>
        <w:t xml:space="preserve"> Microsoft argued that here the PTAB’s anticipation determination was not a finding of fact, which would be reviewed for substantial evidence, but rather a finding of law which was not entitled to deference.</w:t>
      </w:r>
      <w:r w:rsidRPr="00677ABE">
        <w:rPr>
          <w:rStyle w:val="FootnoteReference"/>
          <w:rFonts w:cs="Times New Roman"/>
          <w:lang w:eastAsia="x-none"/>
        </w:rPr>
        <w:footnoteReference w:id="297"/>
      </w:r>
      <w:r w:rsidRPr="00677ABE">
        <w:rPr>
          <w:rFonts w:cs="Times New Roman"/>
          <w:lang w:eastAsia="x-none"/>
        </w:rPr>
        <w:t xml:space="preserve"> Microsoft reasoned that the interpretation of a prior art patent’s specification is an interpretation of a patent’s intrinsic evidence which should be reviewed without deference.</w:t>
      </w:r>
      <w:r w:rsidRPr="00677ABE">
        <w:rPr>
          <w:rStyle w:val="FootnoteReference"/>
          <w:rFonts w:cs="Times New Roman"/>
          <w:lang w:eastAsia="x-none"/>
        </w:rPr>
        <w:footnoteReference w:id="298"/>
      </w:r>
      <w:r w:rsidRPr="00677ABE">
        <w:rPr>
          <w:rFonts w:cs="Times New Roman"/>
          <w:lang w:eastAsia="x-none"/>
        </w:rPr>
        <w:t xml:space="preserve"> In Microsoft’s view, the interpretation of the patent’s specification in this case was analogous to how courts interpret a patent’s specification (and other intrinsic evidence) during claim construction; accordingly, there is “no persuasive reason” that the finding here is a finding of fact while the same finding during claim construction would be a finding of law.</w:t>
      </w:r>
      <w:r w:rsidRPr="00677ABE">
        <w:rPr>
          <w:rStyle w:val="FootnoteReference"/>
          <w:rFonts w:cs="Times New Roman"/>
          <w:lang w:eastAsia="x-none"/>
        </w:rPr>
        <w:footnoteReference w:id="299"/>
      </w:r>
      <w:r w:rsidRPr="00677ABE">
        <w:rPr>
          <w:rFonts w:cs="Times New Roman"/>
          <w:lang w:eastAsia="x-none"/>
        </w:rPr>
        <w:t xml:space="preserve"> In spite of Microsoft’s assertions in its briefing, at oral argument Microsoft stated that it was not in fact challenging the standard of review.</w:t>
      </w:r>
      <w:r w:rsidRPr="00677ABE">
        <w:rPr>
          <w:rStyle w:val="FootnoteReference"/>
          <w:rFonts w:cs="Times New Roman"/>
          <w:lang w:eastAsia="x-none"/>
        </w:rPr>
        <w:footnoteReference w:id="300"/>
      </w:r>
      <w:r w:rsidRPr="00677ABE">
        <w:rPr>
          <w:rFonts w:cs="Times New Roman"/>
          <w:lang w:eastAsia="x-none"/>
        </w:rPr>
        <w:t xml:space="preserve"> The Federal Circuit stated that “[a]lthough Microsoft retreated from challenging our standard of review, we reiterate that anticipation is a question of fact subject to substantial evidence review.”</w:t>
      </w:r>
      <w:r w:rsidRPr="00677ABE">
        <w:rPr>
          <w:rStyle w:val="FootnoteReference"/>
          <w:rFonts w:cs="Times New Roman"/>
          <w:lang w:eastAsia="x-none"/>
        </w:rPr>
        <w:footnoteReference w:id="301"/>
      </w:r>
    </w:p>
    <w:p w14:paraId="7FD39AAF" w14:textId="77777777" w:rsidR="00500F37" w:rsidRPr="00677ABE" w:rsidRDefault="00500F37" w:rsidP="00CA2C0A">
      <w:pPr>
        <w:rPr>
          <w:rFonts w:cs="Times New Roman"/>
          <w:lang w:eastAsia="x-none"/>
        </w:rPr>
      </w:pPr>
      <w:r w:rsidRPr="00677ABE">
        <w:rPr>
          <w:rFonts w:cs="Times New Roman"/>
          <w:lang w:eastAsia="x-none"/>
        </w:rPr>
        <w:lastRenderedPageBreak/>
        <w:tab/>
        <w:t>The Federal Circuit also agreed with the PTAB’s articulation of the standard for anticipation: a prior art reference anticipates a claimed invention if (a) it discloses all elements “arranged as in the claim,”</w:t>
      </w:r>
      <w:r w:rsidRPr="00677ABE">
        <w:rPr>
          <w:rStyle w:val="FootnoteReference"/>
          <w:rFonts w:cs="Times New Roman"/>
          <w:lang w:eastAsia="x-none"/>
        </w:rPr>
        <w:footnoteReference w:id="302"/>
      </w:r>
      <w:r w:rsidRPr="00677ABE">
        <w:rPr>
          <w:rFonts w:cs="Times New Roman"/>
          <w:lang w:eastAsia="x-none"/>
        </w:rPr>
        <w:t xml:space="preserve"> or (b) a PHOSITA reading the reference would “at once envisage” the claimed arrangement or combination.</w:t>
      </w:r>
      <w:r w:rsidRPr="00677ABE">
        <w:rPr>
          <w:rStyle w:val="FootnoteReference"/>
          <w:rFonts w:cs="Times New Roman"/>
          <w:lang w:eastAsia="x-none"/>
        </w:rPr>
        <w:footnoteReference w:id="303"/>
      </w:r>
      <w:r w:rsidRPr="00677ABE">
        <w:rPr>
          <w:rFonts w:cs="Times New Roman"/>
          <w:lang w:eastAsia="x-none"/>
        </w:rPr>
        <w:t xml:space="preserve"> The court made clear that although anticipation is not proven by multiple distinct teachings within a single reference that a PHOSITA may be able to combine, the reference need not spell out every claim limitation if a PHOSITA would “at once envisage” the claimed arrangement or combination.</w:t>
      </w:r>
      <w:r w:rsidRPr="00677ABE">
        <w:rPr>
          <w:rStyle w:val="FootnoteReference"/>
          <w:rFonts w:cs="Times New Roman"/>
          <w:lang w:eastAsia="x-none"/>
        </w:rPr>
        <w:footnoteReference w:id="304"/>
      </w:r>
    </w:p>
    <w:p w14:paraId="73E228ED" w14:textId="77777777" w:rsidR="00500F37" w:rsidRPr="00677ABE" w:rsidRDefault="00500F37" w:rsidP="00CA2C0A">
      <w:pPr>
        <w:rPr>
          <w:rFonts w:cs="Times New Roman"/>
          <w:lang w:eastAsia="x-none"/>
        </w:rPr>
      </w:pPr>
      <w:r w:rsidRPr="00677ABE">
        <w:rPr>
          <w:rFonts w:cs="Times New Roman"/>
          <w:lang w:eastAsia="x-none"/>
        </w:rPr>
        <w:tab/>
        <w:t>Turning to the PTAB’s anticipation ruling, the court found that although both sides made reasonable arguments supporting their interpretation of the prior art patent’s disclosure, the PTAB’s decision was supported by substantial evidence and thus was entitled to deference.</w:t>
      </w:r>
      <w:r w:rsidRPr="00677ABE">
        <w:rPr>
          <w:rStyle w:val="FootnoteReference"/>
          <w:rFonts w:cs="Times New Roman"/>
          <w:lang w:eastAsia="x-none"/>
        </w:rPr>
        <w:footnoteReference w:id="305"/>
      </w:r>
    </w:p>
    <w:p w14:paraId="586D87EA" w14:textId="77777777" w:rsidR="00F20B84" w:rsidRDefault="00500F37" w:rsidP="00CA2C0A">
      <w:pPr>
        <w:rPr>
          <w:rFonts w:cs="Times New Roman"/>
          <w:lang w:eastAsia="x-none"/>
        </w:rPr>
      </w:pPr>
      <w:r w:rsidRPr="00677ABE">
        <w:rPr>
          <w:rFonts w:cs="Times New Roman"/>
          <w:lang w:eastAsia="x-none"/>
        </w:rPr>
        <w:tab/>
        <w:t>Judge Newman dissented.</w:t>
      </w:r>
      <w:r w:rsidRPr="00677ABE">
        <w:rPr>
          <w:rStyle w:val="FootnoteReference"/>
          <w:rFonts w:cs="Times New Roman"/>
          <w:lang w:eastAsia="x-none"/>
        </w:rPr>
        <w:footnoteReference w:id="306"/>
      </w:r>
      <w:r w:rsidRPr="00677ABE">
        <w:rPr>
          <w:rFonts w:cs="Times New Roman"/>
          <w:lang w:eastAsia="x-none"/>
        </w:rPr>
        <w:t xml:space="preserve"> In her view, “every claim clause is shown [in the prior art patent]. Every claim component was previously shown, and performs the same function in the same way in the same combination.”</w:t>
      </w:r>
      <w:r w:rsidRPr="00677ABE">
        <w:rPr>
          <w:rStyle w:val="FootnoteReference"/>
          <w:rFonts w:cs="Times New Roman"/>
          <w:lang w:eastAsia="x-none"/>
        </w:rPr>
        <w:footnoteReference w:id="307"/>
      </w:r>
    </w:p>
    <w:p w14:paraId="1E0C3FB6" w14:textId="77777777" w:rsidR="00F20B84" w:rsidRDefault="00945FC4" w:rsidP="00CA2C0A">
      <w:pPr>
        <w:pStyle w:val="Heading2"/>
        <w:rPr>
          <w:rFonts w:cs="Times New Roman"/>
          <w:szCs w:val="24"/>
        </w:rPr>
      </w:pPr>
      <w:bookmarkStart w:id="50" w:name="_Toc531692744"/>
      <w:r w:rsidRPr="00677ABE">
        <w:rPr>
          <w:rFonts w:cs="Times New Roman"/>
          <w:szCs w:val="24"/>
        </w:rPr>
        <w:t>Experimental Use</w:t>
      </w:r>
      <w:bookmarkEnd w:id="50"/>
      <w:r w:rsidRPr="00677ABE">
        <w:rPr>
          <w:rFonts w:cs="Times New Roman"/>
          <w:szCs w:val="24"/>
        </w:rPr>
        <w:t xml:space="preserve"> </w:t>
      </w:r>
    </w:p>
    <w:p w14:paraId="23C408E8" w14:textId="7D0403A1" w:rsidR="00945FC4" w:rsidRPr="00677ABE" w:rsidRDefault="00945FC4" w:rsidP="00CA2C0A">
      <w:pPr>
        <w:pStyle w:val="Heading3"/>
        <w:ind w:firstLine="0"/>
        <w:rPr>
          <w:rFonts w:cs="Times New Roman"/>
        </w:rPr>
      </w:pPr>
      <w:bookmarkStart w:id="51" w:name="_Toc531692745"/>
      <w:r w:rsidRPr="00677ABE">
        <w:rPr>
          <w:rFonts w:cs="Times New Roman"/>
        </w:rPr>
        <w:t>Polara Eng’g Inc.</w:t>
      </w:r>
      <w:r w:rsidR="00712C22" w:rsidRPr="00677ABE">
        <w:rPr>
          <w:rFonts w:cs="Times New Roman"/>
        </w:rPr>
        <w:t xml:space="preserve"> v. </w:t>
      </w:r>
      <w:r w:rsidRPr="00677ABE">
        <w:rPr>
          <w:rFonts w:cs="Times New Roman"/>
        </w:rPr>
        <w:t>Campbell Co.</w:t>
      </w:r>
      <w:r w:rsidRPr="00677ABE">
        <w:rPr>
          <w:rFonts w:cs="Times New Roman"/>
          <w:i w:val="0"/>
        </w:rPr>
        <w:t xml:space="preserve">, 894 F.3d 1339 (Fed. Cir. </w:t>
      </w:r>
      <w:r w:rsidR="002B3CF9" w:rsidRPr="00677ABE">
        <w:rPr>
          <w:rFonts w:cs="Times New Roman"/>
          <w:i w:val="0"/>
        </w:rPr>
        <w:t>July </w:t>
      </w:r>
      <w:r w:rsidRPr="00677ABE">
        <w:rPr>
          <w:rFonts w:cs="Times New Roman"/>
          <w:i w:val="0"/>
        </w:rPr>
        <w:t>10, 2018)</w:t>
      </w:r>
      <w:bookmarkEnd w:id="41"/>
      <w:bookmarkEnd w:id="51"/>
    </w:p>
    <w:p w14:paraId="511D6208" w14:textId="0F84FDDA" w:rsidR="00945FC4" w:rsidRPr="00677ABE" w:rsidRDefault="00945FC4" w:rsidP="00CA2C0A">
      <w:pPr>
        <w:rPr>
          <w:rFonts w:cs="Times New Roman"/>
        </w:rPr>
      </w:pPr>
      <w:r w:rsidRPr="00677ABE">
        <w:rPr>
          <w:rFonts w:cs="Times New Roman"/>
        </w:rPr>
        <w:tab/>
        <w:t xml:space="preserve">In this appeal from the Central District of California, the Federal Circuit affirmed that Polara’s public use of its invention was experimental and so did not bar its later claims under </w:t>
      </w:r>
      <w:r w:rsidR="00AC00E6">
        <w:rPr>
          <w:rFonts w:cs="Times New Roman"/>
        </w:rPr>
        <w:t>§ </w:t>
      </w:r>
      <w:r w:rsidRPr="00677ABE">
        <w:rPr>
          <w:rFonts w:cs="Times New Roman"/>
        </w:rPr>
        <w:t>102(b),</w:t>
      </w:r>
      <w:r w:rsidRPr="00677ABE">
        <w:rPr>
          <w:rStyle w:val="FootnoteReference"/>
          <w:rFonts w:cs="Times New Roman"/>
        </w:rPr>
        <w:footnoteReference w:id="308"/>
      </w:r>
      <w:r w:rsidRPr="00677ABE">
        <w:rPr>
          <w:rFonts w:cs="Times New Roman"/>
        </w:rPr>
        <w:t xml:space="preserve"> arguably expanding when durability testing qualifies as an experimental use.</w:t>
      </w:r>
    </w:p>
    <w:p w14:paraId="6F46ACD0" w14:textId="3833DF92" w:rsidR="00945FC4" w:rsidRPr="00677ABE" w:rsidRDefault="00945FC4" w:rsidP="00CA2C0A">
      <w:pPr>
        <w:rPr>
          <w:rFonts w:cs="Times New Roman"/>
        </w:rPr>
      </w:pPr>
      <w:r w:rsidRPr="00677ABE">
        <w:rPr>
          <w:rFonts w:cs="Times New Roman"/>
        </w:rPr>
        <w:tab/>
        <w:t xml:space="preserve">Polara sued Campbell for infringing its </w:t>
      </w:r>
      <w:r w:rsidR="00370148">
        <w:rPr>
          <w:rFonts w:cs="Times New Roman"/>
        </w:rPr>
        <w:t>’4</w:t>
      </w:r>
      <w:r w:rsidRPr="00677ABE">
        <w:rPr>
          <w:rFonts w:cs="Times New Roman"/>
        </w:rPr>
        <w:t>76 patent.</w:t>
      </w:r>
      <w:r w:rsidRPr="00677ABE">
        <w:rPr>
          <w:rStyle w:val="FootnoteReference"/>
          <w:rFonts w:cs="Times New Roman"/>
        </w:rPr>
        <w:footnoteReference w:id="309"/>
      </w:r>
      <w:r w:rsidRPr="00677ABE">
        <w:rPr>
          <w:rFonts w:cs="Times New Roman"/>
        </w:rPr>
        <w:t xml:space="preserve"> The patent teaches how two wires can provide both power and digital data to accessible pedestrian signal (APS) systems that “enable both sighted and visually impaired pedestrians to receive information concerning the status of the intersection to be crossed . . . .”</w:t>
      </w:r>
      <w:r w:rsidRPr="00677ABE">
        <w:rPr>
          <w:rStyle w:val="FootnoteReference"/>
          <w:rFonts w:cs="Times New Roman"/>
        </w:rPr>
        <w:footnoteReference w:id="310"/>
      </w:r>
      <w:r w:rsidRPr="00677ABE">
        <w:rPr>
          <w:rFonts w:cs="Times New Roman"/>
        </w:rPr>
        <w:t xml:space="preserve"> (Prior art required eight wires, but typical intersections only have two readily available.</w:t>
      </w:r>
      <w:r w:rsidRPr="00677ABE">
        <w:rPr>
          <w:rStyle w:val="FootnoteReference"/>
          <w:rFonts w:cs="Times New Roman"/>
        </w:rPr>
        <w:footnoteReference w:id="311"/>
      </w:r>
      <w:r w:rsidRPr="00677ABE">
        <w:rPr>
          <w:rFonts w:cs="Times New Roman"/>
        </w:rPr>
        <w:t>) Before the critical date,</w:t>
      </w:r>
      <w:r w:rsidRPr="00677ABE">
        <w:rPr>
          <w:rStyle w:val="FootnoteReference"/>
          <w:rFonts w:cs="Times New Roman"/>
        </w:rPr>
        <w:footnoteReference w:id="312"/>
      </w:r>
      <w:r w:rsidRPr="00677ABE">
        <w:rPr>
          <w:rFonts w:cs="Times New Roman"/>
        </w:rPr>
        <w:t xml:space="preserve"> Polara installed such systems in two public intersections in Fullerton, California, and one in Burnaby, Canada.</w:t>
      </w:r>
      <w:r w:rsidRPr="00677ABE">
        <w:rPr>
          <w:rStyle w:val="FootnoteReference"/>
          <w:rFonts w:cs="Times New Roman"/>
        </w:rPr>
        <w:footnoteReference w:id="313"/>
      </w:r>
      <w:r w:rsidRPr="00677ABE">
        <w:rPr>
          <w:rFonts w:cs="Times New Roman"/>
        </w:rPr>
        <w:t xml:space="preserve"> The warmer and drier Fullerton site was </w:t>
      </w:r>
      <w:r w:rsidRPr="00677ABE">
        <w:rPr>
          <w:rFonts w:cs="Times New Roman"/>
        </w:rPr>
        <w:lastRenderedPageBreak/>
        <w:t>installed and monitored by Polara for no fee and with the agreement of Fullerton, whose staff opened electrical cabinets to enable Polara’s work but was not bound by a confidentiality agreement.</w:t>
      </w:r>
      <w:r w:rsidRPr="00677ABE">
        <w:rPr>
          <w:rStyle w:val="FootnoteReference"/>
          <w:rFonts w:cs="Times New Roman"/>
        </w:rPr>
        <w:footnoteReference w:id="314"/>
      </w:r>
      <w:r w:rsidRPr="00677ABE">
        <w:rPr>
          <w:rFonts w:cs="Times New Roman"/>
        </w:rPr>
        <w:t xml:space="preserve"> The colder and wetter Burnaby site was managed by Burnaby and an electrical company, both bound by confidentiality agreements with Polara.</w:t>
      </w:r>
      <w:r w:rsidRPr="00677ABE">
        <w:rPr>
          <w:rStyle w:val="FootnoteReference"/>
          <w:rFonts w:cs="Times New Roman"/>
        </w:rPr>
        <w:footnoteReference w:id="315"/>
      </w:r>
      <w:r w:rsidRPr="00677ABE">
        <w:rPr>
          <w:rFonts w:cs="Times New Roman"/>
        </w:rPr>
        <w:t xml:space="preserve"> No contemporaneous records were kept for some locations.</w:t>
      </w:r>
      <w:r w:rsidRPr="00677ABE">
        <w:rPr>
          <w:rStyle w:val="FootnoteReference"/>
          <w:rFonts w:cs="Times New Roman"/>
        </w:rPr>
        <w:footnoteReference w:id="316"/>
      </w:r>
      <w:r w:rsidRPr="00677ABE">
        <w:rPr>
          <w:rFonts w:cs="Times New Roman"/>
        </w:rPr>
        <w:t xml:space="preserve"> Despite several of the </w:t>
      </w:r>
      <w:r w:rsidRPr="00677ABE">
        <w:rPr>
          <w:rFonts w:cs="Times New Roman"/>
          <w:i/>
        </w:rPr>
        <w:t xml:space="preserve">Clock Spring </w:t>
      </w:r>
      <w:r w:rsidRPr="00677ABE">
        <w:rPr>
          <w:rFonts w:cs="Times New Roman"/>
        </w:rPr>
        <w:t>factors not being met,</w:t>
      </w:r>
      <w:r w:rsidRPr="00677ABE">
        <w:rPr>
          <w:rStyle w:val="FootnoteReference"/>
          <w:rFonts w:cs="Times New Roman"/>
        </w:rPr>
        <w:footnoteReference w:id="317"/>
      </w:r>
      <w:r w:rsidRPr="00677ABE">
        <w:rPr>
          <w:rFonts w:cs="Times New Roman"/>
        </w:rPr>
        <w:t xml:space="preserve"> a jury found the public uses experimental and negated the public use bar to patentability, and the trial court upheld this result against defendant’s motion for judgment as a matter of law</w:t>
      </w:r>
      <w:r w:rsidR="00797B6A">
        <w:rPr>
          <w:rFonts w:cs="Times New Roman"/>
        </w:rPr>
        <w:t>.</w:t>
      </w:r>
      <w:r w:rsidRPr="00677ABE">
        <w:rPr>
          <w:rStyle w:val="FootnoteReference"/>
          <w:rFonts w:cs="Times New Roman"/>
        </w:rPr>
        <w:footnoteReference w:id="318"/>
      </w:r>
    </w:p>
    <w:p w14:paraId="05609496" w14:textId="4A73C18E" w:rsidR="00945FC4" w:rsidRPr="00677ABE" w:rsidRDefault="00945FC4" w:rsidP="00CA2C0A">
      <w:pPr>
        <w:rPr>
          <w:rFonts w:cs="Times New Roman"/>
        </w:rPr>
      </w:pPr>
      <w:r w:rsidRPr="00677ABE">
        <w:rPr>
          <w:rFonts w:cs="Times New Roman"/>
        </w:rPr>
        <w:tab/>
        <w:t xml:space="preserve">On appeal, the Federal Circuit affirmed. It rejected Campbell’s contention that the experiments here were </w:t>
      </w:r>
      <w:r w:rsidR="00FA2147" w:rsidRPr="00677ABE">
        <w:rPr>
          <w:rFonts w:cs="Times New Roman"/>
        </w:rPr>
        <w:t>neither (1) to test claimed features nor</w:t>
      </w:r>
      <w:r w:rsidRPr="00677ABE">
        <w:rPr>
          <w:rFonts w:cs="Times New Roman"/>
        </w:rPr>
        <w:t xml:space="preserve"> (2) to test their adequacy for a purpose.</w:t>
      </w:r>
      <w:r w:rsidRPr="00677ABE">
        <w:rPr>
          <w:rStyle w:val="FootnoteReference"/>
          <w:rFonts w:cs="Times New Roman"/>
        </w:rPr>
        <w:footnoteReference w:id="319"/>
      </w:r>
      <w:r w:rsidR="00AC00E6">
        <w:rPr>
          <w:rFonts w:cs="Times New Roman"/>
        </w:rPr>
        <w:t xml:space="preserve"> </w:t>
      </w:r>
      <w:r w:rsidRPr="00677ABE">
        <w:rPr>
          <w:rFonts w:cs="Times New Roman"/>
        </w:rPr>
        <w:t>As to the first legal ground for experimental use, the Federal Circuit recognized that the use here indeed tested claimed features because, for instance, early results prompted modifications to the two-wire system to parse data signals from electrical noise.</w:t>
      </w:r>
      <w:r w:rsidRPr="00677ABE">
        <w:rPr>
          <w:rStyle w:val="FootnoteReference"/>
          <w:rFonts w:cs="Times New Roman"/>
        </w:rPr>
        <w:footnoteReference w:id="320"/>
      </w:r>
      <w:r w:rsidRPr="00677ABE">
        <w:rPr>
          <w:rFonts w:cs="Times New Roman"/>
        </w:rPr>
        <w:t xml:space="preserve"> Moreover, confirming that the second legal ground is distinct, the court said that even without evidence of feature-specific testing the use could have been held experimental because the testing concerned the durability and safety of the APS system and therefore its adequacy for its purpose.</w:t>
      </w:r>
      <w:r w:rsidRPr="00677ABE">
        <w:rPr>
          <w:rStyle w:val="FootnoteReference"/>
          <w:rFonts w:cs="Times New Roman"/>
        </w:rPr>
        <w:footnoteReference w:id="321"/>
      </w:r>
      <w:r w:rsidRPr="00677ABE">
        <w:rPr>
          <w:rFonts w:cs="Times New Roman"/>
        </w:rPr>
        <w:t xml:space="preserve"> </w:t>
      </w:r>
    </w:p>
    <w:p w14:paraId="0C0CF5E4" w14:textId="3914B1F7" w:rsidR="00F20B84" w:rsidRDefault="00945FC4">
      <w:pPr>
        <w:ind w:firstLine="720"/>
        <w:rPr>
          <w:rFonts w:cs="Times New Roman"/>
        </w:rPr>
      </w:pPr>
      <w:r w:rsidRPr="00677ABE">
        <w:rPr>
          <w:rFonts w:cs="Times New Roman"/>
          <w:i/>
        </w:rPr>
        <w:t>Polara</w:t>
      </w:r>
      <w:r w:rsidRPr="00677ABE">
        <w:rPr>
          <w:rFonts w:cs="Times New Roman"/>
        </w:rPr>
        <w:t xml:space="preserve"> can be read to support the rule that testing the durability of an otherwise conventional system in which an invention is embedded—even when not specifically testing claimed features—may suffice as an experimental use if the overall system’s durability is necessary to the invention’s purpose.</w:t>
      </w:r>
      <w:r w:rsidRPr="00677ABE">
        <w:rPr>
          <w:rStyle w:val="FootnoteReference"/>
          <w:rFonts w:cs="Times New Roman"/>
        </w:rPr>
        <w:footnoteReference w:id="322"/>
      </w:r>
      <w:r w:rsidRPr="00677ABE">
        <w:rPr>
          <w:rFonts w:cs="Times New Roman"/>
        </w:rPr>
        <w:t xml:space="preserve"> The court reasoned that the facts in </w:t>
      </w:r>
      <w:r w:rsidRPr="00677ABE">
        <w:rPr>
          <w:rFonts w:cs="Times New Roman"/>
          <w:i/>
        </w:rPr>
        <w:t xml:space="preserve">Polara </w:t>
      </w:r>
      <w:r w:rsidRPr="00677ABE">
        <w:rPr>
          <w:rFonts w:cs="Times New Roman"/>
        </w:rPr>
        <w:t xml:space="preserve">have a “striking similarity to the situation in </w:t>
      </w:r>
      <w:r w:rsidRPr="00677ABE">
        <w:rPr>
          <w:rFonts w:cs="Times New Roman"/>
          <w:i/>
        </w:rPr>
        <w:t>City of Elizabeth</w:t>
      </w:r>
      <w:r w:rsidRPr="00677ABE">
        <w:rPr>
          <w:rFonts w:cs="Times New Roman"/>
        </w:rPr>
        <w:t>.”</w:t>
      </w:r>
      <w:r w:rsidRPr="00677ABE">
        <w:rPr>
          <w:rStyle w:val="FootnoteReference"/>
          <w:rFonts w:cs="Times New Roman"/>
        </w:rPr>
        <w:footnoteReference w:id="323"/>
      </w:r>
      <w:r w:rsidRPr="00677ABE">
        <w:rPr>
          <w:rFonts w:cs="Times New Roman"/>
        </w:rPr>
        <w:t xml:space="preserve"> But </w:t>
      </w:r>
      <w:r w:rsidR="00797B6A">
        <w:rPr>
          <w:rFonts w:cs="Times New Roman"/>
        </w:rPr>
        <w:t xml:space="preserve">because </w:t>
      </w:r>
      <w:r w:rsidRPr="00677ABE">
        <w:rPr>
          <w:rFonts w:cs="Times New Roman"/>
        </w:rPr>
        <w:t xml:space="preserve">“durability” in </w:t>
      </w:r>
      <w:r w:rsidRPr="00677ABE">
        <w:rPr>
          <w:rFonts w:cs="Times New Roman"/>
          <w:i/>
        </w:rPr>
        <w:t xml:space="preserve">Polara </w:t>
      </w:r>
      <w:r w:rsidRPr="00677ABE">
        <w:rPr>
          <w:rFonts w:cs="Times New Roman"/>
        </w:rPr>
        <w:t xml:space="preserve">was less closely related to the claimed features and purpose of the invention than in </w:t>
      </w:r>
      <w:r w:rsidRPr="00677ABE">
        <w:rPr>
          <w:rFonts w:cs="Times New Roman"/>
          <w:i/>
        </w:rPr>
        <w:t>City of Elizabeth</w:t>
      </w:r>
      <w:r w:rsidRPr="00677ABE">
        <w:rPr>
          <w:rFonts w:cs="Times New Roman"/>
        </w:rPr>
        <w:t>, it</w:t>
      </w:r>
      <w:r w:rsidRPr="00677ABE">
        <w:rPr>
          <w:rFonts w:cs="Times New Roman"/>
          <w:i/>
        </w:rPr>
        <w:t xml:space="preserve"> </w:t>
      </w:r>
      <w:r w:rsidRPr="00677ABE">
        <w:rPr>
          <w:rFonts w:cs="Times New Roman"/>
        </w:rPr>
        <w:t xml:space="preserve">arguably expands when “durability” qualifies as an experimental use. </w:t>
      </w:r>
    </w:p>
    <w:p w14:paraId="4528A217" w14:textId="77777777" w:rsidR="00F20B84" w:rsidRDefault="00AA2735" w:rsidP="00CA2C0A">
      <w:pPr>
        <w:pStyle w:val="Heading2"/>
        <w:rPr>
          <w:rFonts w:cs="Times New Roman"/>
          <w:szCs w:val="24"/>
        </w:rPr>
      </w:pPr>
      <w:bookmarkStart w:id="52" w:name="_Toc531692746"/>
      <w:r w:rsidRPr="00677ABE">
        <w:rPr>
          <w:rFonts w:cs="Times New Roman"/>
          <w:szCs w:val="24"/>
        </w:rPr>
        <w:t>Priority</w:t>
      </w:r>
      <w:bookmarkEnd w:id="52"/>
    </w:p>
    <w:p w14:paraId="0F00449C" w14:textId="4E6BA9C0" w:rsidR="001C1255" w:rsidRPr="00300BD8" w:rsidRDefault="001C1255" w:rsidP="001C1255">
      <w:pPr>
        <w:pStyle w:val="Heading3"/>
      </w:pPr>
      <w:bookmarkStart w:id="53" w:name="_Toc526093272"/>
      <w:r>
        <w:tab/>
      </w:r>
      <w:bookmarkStart w:id="54" w:name="_Toc531692747"/>
      <w:r w:rsidRPr="00300BD8">
        <w:t>Natural Alternatives Int’l, Inc. v. Iancu</w:t>
      </w:r>
      <w:r w:rsidRPr="001C1255">
        <w:rPr>
          <w:i w:val="0"/>
        </w:rPr>
        <w:t>, 904 F.3d 1375 (Fed. Cir. Oct. 1, 2018)</w:t>
      </w:r>
      <w:bookmarkEnd w:id="54"/>
    </w:p>
    <w:p w14:paraId="0A71EA3E" w14:textId="4C43EDD3" w:rsidR="001C1255" w:rsidRPr="00300BD8" w:rsidRDefault="001C1255" w:rsidP="001C1255">
      <w:pPr>
        <w:rPr>
          <w:rFonts w:cs="Times New Roman"/>
          <w:color w:val="000000" w:themeColor="text1"/>
        </w:rPr>
      </w:pPr>
      <w:r w:rsidRPr="00300BD8">
        <w:rPr>
          <w:rFonts w:cs="Times New Roman"/>
          <w:b/>
          <w:color w:val="000000" w:themeColor="text1"/>
        </w:rPr>
        <w:tab/>
      </w:r>
      <w:r w:rsidRPr="00300BD8">
        <w:rPr>
          <w:rFonts w:cs="Times New Roman"/>
          <w:color w:val="000000" w:themeColor="text1"/>
        </w:rPr>
        <w:t xml:space="preserve">In this appeal from the Patent Trial and Appeal Board (“PTAB”), the Federal Circuit affirmed that a patentee who waives any claim to benefit from the filing date of an </w:t>
      </w:r>
      <w:r w:rsidRPr="00300BD8">
        <w:rPr>
          <w:rFonts w:cs="Times New Roman"/>
          <w:color w:val="000000" w:themeColor="text1"/>
        </w:rPr>
        <w:lastRenderedPageBreak/>
        <w:t>earlier patent application also waives any claim to benefit from that earlier filing date in subsequent applications.</w:t>
      </w:r>
      <w:r w:rsidRPr="00300BD8">
        <w:rPr>
          <w:rStyle w:val="FootnoteReference"/>
          <w:rFonts w:cs="Times New Roman"/>
          <w:b/>
          <w:color w:val="000000" w:themeColor="text1"/>
        </w:rPr>
        <w:t xml:space="preserve"> </w:t>
      </w:r>
      <w:r w:rsidRPr="00300BD8">
        <w:rPr>
          <w:rStyle w:val="FootnoteReference"/>
          <w:rFonts w:cs="Times New Roman"/>
          <w:color w:val="000000" w:themeColor="text1"/>
        </w:rPr>
        <w:footnoteReference w:id="324"/>
      </w:r>
      <w:r w:rsidRPr="00300BD8">
        <w:rPr>
          <w:rFonts w:cs="Times New Roman"/>
          <w:color w:val="000000" w:themeColor="text1"/>
        </w:rPr>
        <w:t xml:space="preserve"> </w:t>
      </w:r>
    </w:p>
    <w:p w14:paraId="4F340E9C" w14:textId="18D4A7F6" w:rsidR="001C1255" w:rsidRPr="00300BD8" w:rsidRDefault="001C1255" w:rsidP="001C1255">
      <w:pPr>
        <w:rPr>
          <w:rFonts w:cs="Times New Roman"/>
          <w:color w:val="000000" w:themeColor="text1"/>
        </w:rPr>
      </w:pPr>
      <w:r w:rsidRPr="00300BD8">
        <w:rPr>
          <w:rFonts w:cs="Times New Roman"/>
          <w:color w:val="000000" w:themeColor="text1"/>
        </w:rPr>
        <w:tab/>
        <w:t xml:space="preserve">The case concerned the </w:t>
      </w:r>
      <w:r w:rsidR="00950EC8">
        <w:rPr>
          <w:rFonts w:cs="Times New Roman"/>
          <w:color w:val="000000" w:themeColor="text1"/>
        </w:rPr>
        <w:t>’</w:t>
      </w:r>
      <w:r w:rsidRPr="00300BD8">
        <w:rPr>
          <w:rFonts w:cs="Times New Roman"/>
          <w:color w:val="000000" w:themeColor="text1"/>
        </w:rPr>
        <w:t>381 patent, the eighth in a chain directed to increasing endurance in athletes.</w:t>
      </w:r>
      <w:r w:rsidRPr="00300BD8">
        <w:rPr>
          <w:rStyle w:val="FootnoteReference"/>
          <w:rFonts w:cs="Times New Roman"/>
          <w:color w:val="000000" w:themeColor="text1"/>
        </w:rPr>
        <w:footnoteReference w:id="325"/>
      </w:r>
      <w:r w:rsidRPr="00300BD8">
        <w:rPr>
          <w:rFonts w:cs="Times New Roman"/>
          <w:color w:val="000000" w:themeColor="text1"/>
        </w:rPr>
        <w:t xml:space="preserve"> Natural Alternatives International (“NAI”) filed the first application in 1997, and claimed the benefit of the earlier filing date in each subsequent application.</w:t>
      </w:r>
      <w:r w:rsidRPr="00300BD8">
        <w:rPr>
          <w:rStyle w:val="FootnoteReference"/>
          <w:rFonts w:cs="Times New Roman"/>
          <w:color w:val="000000" w:themeColor="text1"/>
        </w:rPr>
        <w:footnoteReference w:id="326"/>
      </w:r>
      <w:r w:rsidRPr="00300BD8">
        <w:rPr>
          <w:rFonts w:cs="Times New Roman"/>
          <w:color w:val="000000" w:themeColor="text1"/>
        </w:rPr>
        <w:t xml:space="preserve"> However, just after filing the sixth application, NAI amended the fifth application’s “Cross Reference of Related Applications” to remove any claim to an earlier date.</w:t>
      </w:r>
      <w:r w:rsidR="00332AF4" w:rsidRPr="00332AF4">
        <w:rPr>
          <w:rStyle w:val="FootnoteReference"/>
          <w:rFonts w:cs="Times New Roman"/>
          <w:color w:val="000000" w:themeColor="text1"/>
        </w:rPr>
        <w:t xml:space="preserve"> </w:t>
      </w:r>
      <w:r w:rsidR="00332AF4" w:rsidRPr="00300BD8">
        <w:rPr>
          <w:rStyle w:val="FootnoteReference"/>
          <w:rFonts w:cs="Times New Roman"/>
          <w:color w:val="000000" w:themeColor="text1"/>
        </w:rPr>
        <w:footnoteReference w:id="327"/>
      </w:r>
      <w:r w:rsidRPr="00300BD8">
        <w:rPr>
          <w:rFonts w:cs="Times New Roman"/>
          <w:color w:val="000000" w:themeColor="text1"/>
        </w:rPr>
        <w:t xml:space="preserve"> NAI amended no other patent application, and continued to claim the benefit of each prior application in each subsequent filing.</w:t>
      </w:r>
      <w:r w:rsidRPr="00300BD8">
        <w:rPr>
          <w:rStyle w:val="FootnoteReference"/>
          <w:rFonts w:cs="Times New Roman"/>
          <w:color w:val="000000" w:themeColor="text1"/>
        </w:rPr>
        <w:footnoteReference w:id="328"/>
      </w:r>
      <w:r w:rsidRPr="00300BD8">
        <w:rPr>
          <w:rFonts w:cs="Times New Roman"/>
          <w:color w:val="000000" w:themeColor="text1"/>
        </w:rPr>
        <w:t xml:space="preserve"> When examining the eighth application, the patent examiner reasoned that the fifth application’s waiver broke the priority chain, and found the eighth application obvious over the first patent.</w:t>
      </w:r>
      <w:r w:rsidRPr="00300BD8">
        <w:rPr>
          <w:rStyle w:val="FootnoteReference"/>
          <w:rFonts w:cs="Times New Roman"/>
          <w:color w:val="000000" w:themeColor="text1"/>
        </w:rPr>
        <w:footnoteReference w:id="329"/>
      </w:r>
      <w:r w:rsidRPr="00300BD8">
        <w:rPr>
          <w:rFonts w:cs="Times New Roman"/>
          <w:color w:val="000000" w:themeColor="text1"/>
        </w:rPr>
        <w:t xml:space="preserve"> The PTAB affirmed.</w:t>
      </w:r>
      <w:r w:rsidRPr="00300BD8">
        <w:rPr>
          <w:rStyle w:val="FootnoteReference"/>
          <w:rFonts w:cs="Times New Roman"/>
          <w:color w:val="000000" w:themeColor="text1"/>
        </w:rPr>
        <w:footnoteReference w:id="330"/>
      </w:r>
    </w:p>
    <w:p w14:paraId="435AD73E" w14:textId="1641D579" w:rsidR="001C1255" w:rsidRPr="001C1255" w:rsidRDefault="001C1255" w:rsidP="001C1255">
      <w:pPr>
        <w:rPr>
          <w:rFonts w:cs="Times New Roman"/>
          <w:color w:val="000000" w:themeColor="text1"/>
        </w:rPr>
      </w:pPr>
      <w:r w:rsidRPr="00300BD8">
        <w:rPr>
          <w:rFonts w:cs="Times New Roman"/>
          <w:color w:val="000000" w:themeColor="text1"/>
        </w:rPr>
        <w:tab/>
        <w:t>On appeal, the Federal Circuit affirmed again.</w:t>
      </w:r>
      <w:r w:rsidRPr="00300BD8">
        <w:rPr>
          <w:rStyle w:val="FootnoteReference"/>
          <w:rFonts w:cs="Times New Roman"/>
          <w:color w:val="000000" w:themeColor="text1"/>
        </w:rPr>
        <w:footnoteReference w:id="331"/>
      </w:r>
      <w:r w:rsidRPr="00300BD8">
        <w:rPr>
          <w:rFonts w:cs="Times New Roman"/>
          <w:color w:val="000000" w:themeColor="text1"/>
        </w:rPr>
        <w:t xml:space="preserve"> To gain the benefit of an earlier priority date, an applicant must—among other obligations set out in § 120—make “specific reference” to the earlier filed application.</w:t>
      </w:r>
      <w:r w:rsidRPr="00300BD8">
        <w:rPr>
          <w:rStyle w:val="FootnoteReference"/>
          <w:rFonts w:cs="Times New Roman"/>
          <w:color w:val="000000" w:themeColor="text1"/>
        </w:rPr>
        <w:footnoteReference w:id="332"/>
      </w:r>
      <w:r w:rsidRPr="00300BD8">
        <w:rPr>
          <w:rFonts w:cs="Times New Roman"/>
          <w:color w:val="000000" w:themeColor="text1"/>
        </w:rPr>
        <w:t xml:space="preserve"> The Federal Circuit held that specific reference entails “identifying each earlier-filed application by number and explaining how the applications are related to one another.</w:t>
      </w:r>
      <w:r w:rsidR="00332AF4">
        <w:rPr>
          <w:rFonts w:cs="Times New Roman"/>
          <w:color w:val="000000" w:themeColor="text1"/>
        </w:rPr>
        <w:t>”</w:t>
      </w:r>
      <w:r w:rsidRPr="00300BD8">
        <w:rPr>
          <w:rStyle w:val="FootnoteReference"/>
          <w:rFonts w:cs="Times New Roman"/>
          <w:color w:val="000000" w:themeColor="text1"/>
        </w:rPr>
        <w:footnoteReference w:id="333"/>
      </w:r>
      <w:r w:rsidRPr="00300BD8">
        <w:rPr>
          <w:rFonts w:cs="Times New Roman"/>
          <w:color w:val="000000" w:themeColor="text1"/>
        </w:rPr>
        <w:t xml:space="preserve"> NAI argued it had met this burden by stating the earlier applications</w:t>
      </w:r>
      <w:r w:rsidR="00332AF4">
        <w:rPr>
          <w:rFonts w:cs="Times New Roman"/>
          <w:color w:val="000000" w:themeColor="text1"/>
        </w:rPr>
        <w:t>, with</w:t>
      </w:r>
      <w:r w:rsidRPr="00300BD8">
        <w:rPr>
          <w:rFonts w:cs="Times New Roman"/>
          <w:color w:val="000000" w:themeColor="text1"/>
        </w:rPr>
        <w:t xml:space="preserve"> the waiver pertain</w:t>
      </w:r>
      <w:r w:rsidR="00332AF4">
        <w:rPr>
          <w:rFonts w:cs="Times New Roman"/>
          <w:color w:val="000000" w:themeColor="text1"/>
        </w:rPr>
        <w:t>ing</w:t>
      </w:r>
      <w:r w:rsidRPr="00300BD8">
        <w:rPr>
          <w:rFonts w:cs="Times New Roman"/>
          <w:color w:val="000000" w:themeColor="text1"/>
        </w:rPr>
        <w:t xml:space="preserve"> </w:t>
      </w:r>
      <w:r w:rsidR="00332AF4">
        <w:rPr>
          <w:rFonts w:cs="Times New Roman"/>
          <w:color w:val="000000" w:themeColor="text1"/>
        </w:rPr>
        <w:t>only t</w:t>
      </w:r>
      <w:r w:rsidRPr="00300BD8">
        <w:rPr>
          <w:rFonts w:cs="Times New Roman"/>
          <w:color w:val="000000" w:themeColor="text1"/>
        </w:rPr>
        <w:t xml:space="preserve">o the fifth application and </w:t>
      </w:r>
      <w:r w:rsidR="00332AF4">
        <w:rPr>
          <w:rFonts w:cs="Times New Roman"/>
          <w:color w:val="000000" w:themeColor="text1"/>
        </w:rPr>
        <w:t>with</w:t>
      </w:r>
      <w:r w:rsidRPr="00300BD8">
        <w:rPr>
          <w:rFonts w:cs="Times New Roman"/>
          <w:color w:val="000000" w:themeColor="text1"/>
        </w:rPr>
        <w:t xml:space="preserve"> later applications </w:t>
      </w:r>
      <w:r w:rsidR="00332AF4">
        <w:rPr>
          <w:rFonts w:cs="Times New Roman"/>
          <w:color w:val="000000" w:themeColor="text1"/>
        </w:rPr>
        <w:t>depending not</w:t>
      </w:r>
      <w:r w:rsidRPr="00300BD8">
        <w:rPr>
          <w:rFonts w:cs="Times New Roman"/>
          <w:color w:val="000000" w:themeColor="text1"/>
        </w:rPr>
        <w:t xml:space="preserve"> upon “a single growing chain[, but] multiple fixed chains.”</w:t>
      </w:r>
      <w:r w:rsidRPr="00300BD8">
        <w:rPr>
          <w:rStyle w:val="FootnoteReference"/>
          <w:rFonts w:cs="Times New Roman"/>
          <w:color w:val="000000" w:themeColor="text1"/>
        </w:rPr>
        <w:footnoteReference w:id="334"/>
      </w:r>
      <w:r w:rsidRPr="00300BD8">
        <w:rPr>
          <w:rFonts w:cs="Times New Roman"/>
          <w:color w:val="000000" w:themeColor="text1"/>
        </w:rPr>
        <w:t xml:space="preserve"> While the Manual of Patent Examining Procedure (“MPEP”) appeared to support NAI’s position,</w:t>
      </w:r>
      <w:r w:rsidRPr="00300BD8">
        <w:rPr>
          <w:rStyle w:val="FootnoteReference"/>
          <w:rFonts w:cs="Times New Roman"/>
          <w:color w:val="000000" w:themeColor="text1"/>
        </w:rPr>
        <w:footnoteReference w:id="335"/>
      </w:r>
      <w:r w:rsidRPr="00300BD8">
        <w:rPr>
          <w:rFonts w:cs="Times New Roman"/>
          <w:color w:val="000000" w:themeColor="text1"/>
        </w:rPr>
        <w:t xml:space="preserve"> it was not binding law.</w:t>
      </w:r>
      <w:r w:rsidRPr="00300BD8">
        <w:rPr>
          <w:rStyle w:val="FootnoteReference"/>
          <w:rFonts w:cs="Times New Roman"/>
          <w:color w:val="000000" w:themeColor="text1"/>
        </w:rPr>
        <w:footnoteReference w:id="336"/>
      </w:r>
      <w:r w:rsidRPr="00300BD8">
        <w:rPr>
          <w:rFonts w:cs="Times New Roman"/>
          <w:color w:val="000000" w:themeColor="text1"/>
        </w:rPr>
        <w:t xml:space="preserve"> Supreme Court precedent and longstanding practice was</w:t>
      </w:r>
      <w:r w:rsidR="004C2508">
        <w:rPr>
          <w:rFonts w:cs="Times New Roman"/>
          <w:color w:val="000000" w:themeColor="text1"/>
        </w:rPr>
        <w:t xml:space="preserve">, however, </w:t>
      </w:r>
      <w:r w:rsidRPr="00300BD8">
        <w:rPr>
          <w:rFonts w:cs="Times New Roman"/>
          <w:color w:val="000000" w:themeColor="text1"/>
        </w:rPr>
        <w:t>conclusive: Parent and continuing applications “are to be considered as parts of the same transaction, and both as constituting one continuous application, within the meaning of the law.”</w:t>
      </w:r>
      <w:r w:rsidRPr="00300BD8">
        <w:rPr>
          <w:rStyle w:val="FootnoteReference"/>
          <w:rFonts w:cs="Times New Roman"/>
          <w:color w:val="000000" w:themeColor="text1"/>
        </w:rPr>
        <w:footnoteReference w:id="337"/>
      </w:r>
      <w:r w:rsidRPr="00300BD8">
        <w:rPr>
          <w:rFonts w:cs="Times New Roman"/>
          <w:color w:val="000000" w:themeColor="text1"/>
        </w:rPr>
        <w:t xml:space="preserve"> To hold otherwise would frustrate the Patent Act, which require</w:t>
      </w:r>
      <w:r w:rsidR="004C2508">
        <w:rPr>
          <w:rFonts w:cs="Times New Roman"/>
          <w:color w:val="000000" w:themeColor="text1"/>
        </w:rPr>
        <w:t>s</w:t>
      </w:r>
      <w:r w:rsidRPr="00300BD8">
        <w:rPr>
          <w:rFonts w:cs="Times New Roman"/>
          <w:color w:val="000000" w:themeColor="text1"/>
        </w:rPr>
        <w:t xml:space="preserve"> that the benefit of an earlier filing date come at the cost of an earlier patent expiration.</w:t>
      </w:r>
      <w:r w:rsidRPr="00300BD8">
        <w:rPr>
          <w:rStyle w:val="FootnoteReference"/>
          <w:rFonts w:cs="Times New Roman"/>
          <w:color w:val="000000" w:themeColor="text1"/>
        </w:rPr>
        <w:footnoteReference w:id="338"/>
      </w:r>
    </w:p>
    <w:p w14:paraId="500B4053" w14:textId="193FE5AD" w:rsidR="00945FC4" w:rsidRPr="00677ABE" w:rsidRDefault="00945FC4" w:rsidP="00CA2C0A">
      <w:pPr>
        <w:pStyle w:val="Heading3"/>
        <w:ind w:firstLine="0"/>
        <w:rPr>
          <w:rFonts w:cs="Times New Roman"/>
        </w:rPr>
      </w:pPr>
      <w:bookmarkStart w:id="55" w:name="_Toc531692748"/>
      <w:r w:rsidRPr="00677ABE">
        <w:rPr>
          <w:rFonts w:cs="Times New Roman"/>
        </w:rPr>
        <w:lastRenderedPageBreak/>
        <w:t>Regents of the Univ. of California</w:t>
      </w:r>
      <w:r w:rsidR="00712C22" w:rsidRPr="00677ABE">
        <w:rPr>
          <w:rFonts w:cs="Times New Roman"/>
        </w:rPr>
        <w:t xml:space="preserve"> v. </w:t>
      </w:r>
      <w:r w:rsidRPr="00677ABE">
        <w:rPr>
          <w:rFonts w:cs="Times New Roman"/>
        </w:rPr>
        <w:t>Broad Inst., Inc.</w:t>
      </w:r>
      <w:r w:rsidRPr="00677ABE">
        <w:rPr>
          <w:rFonts w:cs="Times New Roman"/>
          <w:i w:val="0"/>
        </w:rPr>
        <w:t xml:space="preserve">, No. 2017-1907, 2018 WL 4288968 (Fed. Cir. </w:t>
      </w:r>
      <w:r w:rsidR="002B3CF9" w:rsidRPr="00677ABE">
        <w:rPr>
          <w:rFonts w:cs="Times New Roman"/>
          <w:i w:val="0"/>
        </w:rPr>
        <w:t>Sept. </w:t>
      </w:r>
      <w:r w:rsidRPr="00677ABE">
        <w:rPr>
          <w:rFonts w:cs="Times New Roman"/>
          <w:i w:val="0"/>
        </w:rPr>
        <w:t>10, 2018)</w:t>
      </w:r>
      <w:bookmarkEnd w:id="53"/>
      <w:bookmarkEnd w:id="55"/>
    </w:p>
    <w:p w14:paraId="1AE90B79" w14:textId="464A99BD" w:rsidR="00945FC4" w:rsidRPr="00677ABE" w:rsidRDefault="00945FC4" w:rsidP="00CA2C0A">
      <w:pPr>
        <w:outlineLvl w:val="0"/>
        <w:rPr>
          <w:rFonts w:cs="Times New Roman"/>
        </w:rPr>
      </w:pPr>
      <w:r w:rsidRPr="00677ABE">
        <w:rPr>
          <w:rFonts w:cs="Times New Roman"/>
          <w:b/>
        </w:rPr>
        <w:tab/>
      </w:r>
      <w:bookmarkStart w:id="56" w:name="_Toc526093273"/>
      <w:bookmarkStart w:id="57" w:name="_Toc526368123"/>
      <w:r w:rsidRPr="00677ABE">
        <w:rPr>
          <w:rFonts w:cs="Times New Roman"/>
        </w:rPr>
        <w:t xml:space="preserve">In this appeal from the Patent Trial and Appeal Board (“PTAB”), the Federal Circuit affirmed the PTAB’s finding </w:t>
      </w:r>
      <w:r w:rsidR="004B07B6" w:rsidRPr="00677ABE">
        <w:rPr>
          <w:rFonts w:cs="Times New Roman"/>
        </w:rPr>
        <w:t xml:space="preserve">that </w:t>
      </w:r>
      <w:r w:rsidRPr="00677ABE">
        <w:rPr>
          <w:rFonts w:cs="Times New Roman"/>
        </w:rPr>
        <w:t xml:space="preserve">a skilled artisan learning </w:t>
      </w:r>
      <w:r w:rsidR="004B07B6" w:rsidRPr="00677ABE">
        <w:rPr>
          <w:rFonts w:cs="Times New Roman"/>
        </w:rPr>
        <w:t>the University of California’s (“UC”)</w:t>
      </w:r>
      <w:r w:rsidRPr="00677ABE">
        <w:rPr>
          <w:rFonts w:cs="Times New Roman"/>
        </w:rPr>
        <w:t xml:space="preserve"> method would not have had a reasonable expectation of success </w:t>
      </w:r>
      <w:r w:rsidR="00D269E8" w:rsidRPr="00677ABE">
        <w:rPr>
          <w:rFonts w:cs="Times New Roman"/>
        </w:rPr>
        <w:t>that she could apply</w:t>
      </w:r>
      <w:r w:rsidRPr="00677ABE">
        <w:rPr>
          <w:rFonts w:cs="Times New Roman"/>
        </w:rPr>
        <w:t xml:space="preserve"> it as </w:t>
      </w:r>
      <w:r w:rsidR="004B07B6" w:rsidRPr="00677ABE">
        <w:rPr>
          <w:rFonts w:cs="Times New Roman"/>
        </w:rPr>
        <w:t xml:space="preserve">the Broad Institute’s (“Broad”) </w:t>
      </w:r>
      <w:r w:rsidRPr="00677ABE">
        <w:rPr>
          <w:rFonts w:cs="Times New Roman"/>
        </w:rPr>
        <w:t>now teaches</w:t>
      </w:r>
      <w:r w:rsidR="004B07B6" w:rsidRPr="00677ABE">
        <w:rPr>
          <w:rFonts w:cs="Times New Roman"/>
        </w:rPr>
        <w:t xml:space="preserve">, and so </w:t>
      </w:r>
      <w:r w:rsidR="00D269E8" w:rsidRPr="00677ABE">
        <w:rPr>
          <w:rFonts w:cs="Times New Roman"/>
        </w:rPr>
        <w:t>Broad’s patent did not interfere with UC’s</w:t>
      </w:r>
      <w:r w:rsidR="004B07B6" w:rsidRPr="00677ABE">
        <w:rPr>
          <w:rFonts w:cs="Times New Roman"/>
        </w:rPr>
        <w:t>.</w:t>
      </w:r>
      <w:r w:rsidR="004B07B6" w:rsidRPr="00677ABE">
        <w:rPr>
          <w:rStyle w:val="FootnoteReference"/>
          <w:rFonts w:cs="Times New Roman"/>
        </w:rPr>
        <w:footnoteReference w:id="339"/>
      </w:r>
      <w:r w:rsidR="004B07B6" w:rsidRPr="00677ABE">
        <w:rPr>
          <w:rFonts w:cs="Times New Roman"/>
        </w:rPr>
        <w:t xml:space="preserve"> </w:t>
      </w:r>
      <w:r w:rsidR="005407F7" w:rsidRPr="00677ABE">
        <w:rPr>
          <w:rFonts w:cs="Times New Roman"/>
        </w:rPr>
        <w:t>The</w:t>
      </w:r>
      <w:r w:rsidRPr="00677ABE">
        <w:rPr>
          <w:rFonts w:cs="Times New Roman"/>
        </w:rPr>
        <w:t xml:space="preserve"> prospective expectation</w:t>
      </w:r>
      <w:r w:rsidR="005407F7" w:rsidRPr="00677ABE">
        <w:rPr>
          <w:rFonts w:cs="Times New Roman"/>
        </w:rPr>
        <w:t xml:space="preserve"> of success</w:t>
      </w:r>
      <w:r w:rsidRPr="00677ABE">
        <w:rPr>
          <w:rFonts w:cs="Times New Roman"/>
        </w:rPr>
        <w:t xml:space="preserve"> was not disproven by retrospective evidence that five groups besides Broad </w:t>
      </w:r>
      <w:r w:rsidR="00D269E8" w:rsidRPr="00677ABE">
        <w:rPr>
          <w:rFonts w:cs="Times New Roman"/>
        </w:rPr>
        <w:t>had actual success</w:t>
      </w:r>
      <w:r w:rsidRPr="00677ABE">
        <w:rPr>
          <w:rFonts w:cs="Times New Roman"/>
        </w:rPr>
        <w:t>.</w:t>
      </w:r>
      <w:r w:rsidRPr="00677ABE">
        <w:rPr>
          <w:rStyle w:val="FootnoteReference"/>
          <w:rFonts w:cs="Times New Roman"/>
        </w:rPr>
        <w:footnoteReference w:id="340"/>
      </w:r>
      <w:bookmarkEnd w:id="56"/>
      <w:bookmarkEnd w:id="57"/>
    </w:p>
    <w:p w14:paraId="7969F121" w14:textId="2CFB5A87" w:rsidR="00945FC4" w:rsidRPr="00677ABE" w:rsidRDefault="00945FC4" w:rsidP="00CA2C0A">
      <w:pPr>
        <w:outlineLvl w:val="0"/>
        <w:rPr>
          <w:rFonts w:cs="Times New Roman"/>
        </w:rPr>
      </w:pPr>
      <w:r w:rsidRPr="00677ABE">
        <w:rPr>
          <w:rFonts w:cs="Times New Roman"/>
        </w:rPr>
        <w:tab/>
      </w:r>
      <w:bookmarkStart w:id="58" w:name="_Toc526368124"/>
      <w:bookmarkStart w:id="59" w:name="_Toc526093274"/>
      <w:r w:rsidRPr="00677ABE">
        <w:rPr>
          <w:rFonts w:cs="Times New Roman"/>
        </w:rPr>
        <w:t>The case concerned the CRISPR-Cas9 system for cutting DNA sequences.</w:t>
      </w:r>
      <w:r w:rsidRPr="00677ABE">
        <w:rPr>
          <w:rStyle w:val="FootnoteReference"/>
          <w:rFonts w:cs="Times New Roman"/>
        </w:rPr>
        <w:footnoteReference w:id="341"/>
      </w:r>
      <w:r w:rsidRPr="00677ABE">
        <w:rPr>
          <w:rFonts w:cs="Times New Roman"/>
        </w:rPr>
        <w:t xml:space="preserve"> In August 2012, UC researchers published an article explaining its use in vitro on DNA outside of cells.</w:t>
      </w:r>
      <w:r w:rsidRPr="00677ABE">
        <w:rPr>
          <w:rStyle w:val="FootnoteReference"/>
          <w:rFonts w:cs="Times New Roman"/>
        </w:rPr>
        <w:footnoteReference w:id="342"/>
      </w:r>
      <w:r w:rsidRPr="00677ABE">
        <w:rPr>
          <w:rFonts w:cs="Times New Roman"/>
        </w:rPr>
        <w:t xml:space="preserve"> Within months, Broad and five other groups applied </w:t>
      </w:r>
      <w:r w:rsidR="003525FA" w:rsidRPr="00677ABE">
        <w:rPr>
          <w:rFonts w:cs="Times New Roman"/>
        </w:rPr>
        <w:t xml:space="preserve">the method in eukaryotic cells; </w:t>
      </w:r>
      <w:r w:rsidRPr="00677ABE">
        <w:rPr>
          <w:rFonts w:cs="Times New Roman"/>
        </w:rPr>
        <w:t>Broad was first to publish</w:t>
      </w:r>
      <w:r w:rsidR="00D269E8" w:rsidRPr="00677ABE">
        <w:rPr>
          <w:rFonts w:cs="Times New Roman"/>
        </w:rPr>
        <w:t xml:space="preserve"> </w:t>
      </w:r>
      <w:r w:rsidRPr="00677ABE">
        <w:rPr>
          <w:rFonts w:cs="Times New Roman"/>
        </w:rPr>
        <w:t xml:space="preserve">an article explaining the method’s use </w:t>
      </w:r>
      <w:r w:rsidR="00430FA0" w:rsidRPr="00677ABE">
        <w:rPr>
          <w:rFonts w:cs="Times New Roman"/>
        </w:rPr>
        <w:t>in eukaryotes, specifically in</w:t>
      </w:r>
      <w:r w:rsidRPr="00677ABE">
        <w:rPr>
          <w:rFonts w:cs="Times New Roman"/>
        </w:rPr>
        <w:t xml:space="preserve"> human cell</w:t>
      </w:r>
      <w:r w:rsidR="00430FA0" w:rsidRPr="00677ABE">
        <w:rPr>
          <w:rFonts w:cs="Times New Roman"/>
        </w:rPr>
        <w:t>s</w:t>
      </w:r>
      <w:r w:rsidR="00D269E8" w:rsidRPr="00677ABE">
        <w:rPr>
          <w:rFonts w:cs="Times New Roman"/>
        </w:rPr>
        <w:t>, in February 2013</w:t>
      </w:r>
      <w:r w:rsidRPr="00677ABE">
        <w:rPr>
          <w:rFonts w:cs="Times New Roman"/>
        </w:rPr>
        <w:t>.</w:t>
      </w:r>
      <w:r w:rsidRPr="00677ABE">
        <w:rPr>
          <w:rStyle w:val="FootnoteReference"/>
          <w:rFonts w:cs="Times New Roman"/>
        </w:rPr>
        <w:footnoteReference w:id="343"/>
      </w:r>
      <w:r w:rsidRPr="00677ABE">
        <w:rPr>
          <w:rFonts w:cs="Times New Roman"/>
        </w:rPr>
        <w:t xml:space="preserve"> Both UC and Broad applied for patents.</w:t>
      </w:r>
      <w:r w:rsidRPr="00677ABE">
        <w:rPr>
          <w:rStyle w:val="FootnoteReference"/>
          <w:rFonts w:cs="Times New Roman"/>
        </w:rPr>
        <w:footnoteReference w:id="344"/>
      </w:r>
      <w:r w:rsidRPr="00677ABE">
        <w:rPr>
          <w:rFonts w:cs="Times New Roman"/>
        </w:rPr>
        <w:t xml:space="preserve"> While the UC’s generic claims were not limited </w:t>
      </w:r>
      <w:r w:rsidR="00A21DE7" w:rsidRPr="00677ABE">
        <w:rPr>
          <w:rFonts w:cs="Times New Roman"/>
        </w:rPr>
        <w:t>by</w:t>
      </w:r>
      <w:r w:rsidRPr="00677ABE">
        <w:rPr>
          <w:rFonts w:cs="Times New Roman"/>
        </w:rPr>
        <w:t xml:space="preserve"> cell type, Broad’s species claims were limited to eukaryotic cells.</w:t>
      </w:r>
      <w:r w:rsidRPr="00677ABE">
        <w:rPr>
          <w:rStyle w:val="FootnoteReference"/>
          <w:rFonts w:cs="Times New Roman"/>
        </w:rPr>
        <w:footnoteReference w:id="345"/>
      </w:r>
      <w:r w:rsidRPr="00677ABE">
        <w:rPr>
          <w:rFonts w:cs="Times New Roman"/>
        </w:rPr>
        <w:t xml:space="preserve"> The PTAB found that a skilled artisan seeking to apply the UC method to eukaryotes would not have reasonably expected success</w:t>
      </w:r>
      <w:r w:rsidR="004974D5" w:rsidRPr="00677ABE">
        <w:rPr>
          <w:rFonts w:cs="Times New Roman"/>
        </w:rPr>
        <w:t xml:space="preserve">, even though six groups </w:t>
      </w:r>
      <w:r w:rsidR="00685D13" w:rsidRPr="00677ABE">
        <w:rPr>
          <w:rFonts w:cs="Times New Roman"/>
        </w:rPr>
        <w:t>rapidly tried</w:t>
      </w:r>
      <w:r w:rsidR="004974D5" w:rsidRPr="00677ABE">
        <w:rPr>
          <w:rFonts w:cs="Times New Roman"/>
        </w:rPr>
        <w:t xml:space="preserve"> and succeeded;</w:t>
      </w:r>
      <w:r w:rsidR="004974D5" w:rsidRPr="00677ABE">
        <w:rPr>
          <w:rStyle w:val="FootnoteReference"/>
          <w:rFonts w:cs="Times New Roman"/>
        </w:rPr>
        <w:footnoteReference w:id="346"/>
      </w:r>
      <w:r w:rsidRPr="00677ABE">
        <w:rPr>
          <w:rFonts w:cs="Times New Roman"/>
        </w:rPr>
        <w:t xml:space="preserve"> Broad’s teachings </w:t>
      </w:r>
      <w:r w:rsidR="004974D5" w:rsidRPr="00677ABE">
        <w:rPr>
          <w:rFonts w:cs="Times New Roman"/>
        </w:rPr>
        <w:t xml:space="preserve">therefore </w:t>
      </w:r>
      <w:r w:rsidRPr="00677ABE">
        <w:rPr>
          <w:rFonts w:cs="Times New Roman"/>
        </w:rPr>
        <w:t>remained nonobvious over UC’s claims and did not interfere.</w:t>
      </w:r>
      <w:r w:rsidRPr="00677ABE">
        <w:rPr>
          <w:rStyle w:val="FootnoteReference"/>
          <w:rFonts w:cs="Times New Roman"/>
        </w:rPr>
        <w:footnoteReference w:id="347"/>
      </w:r>
      <w:bookmarkEnd w:id="58"/>
      <w:r w:rsidRPr="00677ABE">
        <w:rPr>
          <w:rFonts w:cs="Times New Roman"/>
        </w:rPr>
        <w:t xml:space="preserve"> </w:t>
      </w:r>
      <w:bookmarkEnd w:id="59"/>
    </w:p>
    <w:p w14:paraId="70546676" w14:textId="72505023" w:rsidR="00945FC4" w:rsidRPr="00677ABE" w:rsidRDefault="00945FC4" w:rsidP="00CA2C0A">
      <w:pPr>
        <w:outlineLvl w:val="0"/>
        <w:rPr>
          <w:rFonts w:cs="Times New Roman"/>
        </w:rPr>
      </w:pPr>
      <w:r w:rsidRPr="00677ABE">
        <w:rPr>
          <w:rFonts w:cs="Times New Roman"/>
        </w:rPr>
        <w:tab/>
      </w:r>
      <w:bookmarkStart w:id="60" w:name="_Toc526093275"/>
      <w:bookmarkStart w:id="61" w:name="_Toc526368125"/>
      <w:r w:rsidRPr="00677ABE">
        <w:rPr>
          <w:rFonts w:cs="Times New Roman"/>
        </w:rPr>
        <w:t>On appeal, the Federal Circuit affirmed</w:t>
      </w:r>
      <w:r w:rsidR="009660BA" w:rsidRPr="00677ABE">
        <w:rPr>
          <w:rFonts w:cs="Times New Roman"/>
        </w:rPr>
        <w:t xml:space="preserve"> there had been no reasonable expectation of success.</w:t>
      </w:r>
      <w:r w:rsidRPr="00677ABE">
        <w:rPr>
          <w:rStyle w:val="FootnoteReference"/>
          <w:rFonts w:cs="Times New Roman"/>
        </w:rPr>
        <w:footnoteReference w:id="348"/>
      </w:r>
      <w:r w:rsidRPr="00677ABE">
        <w:rPr>
          <w:rFonts w:cs="Times New Roman"/>
        </w:rPr>
        <w:t xml:space="preserve"> Expert testimony explained that other </w:t>
      </w:r>
      <w:r w:rsidR="00945A30" w:rsidRPr="00677ABE">
        <w:rPr>
          <w:rFonts w:cs="Times New Roman"/>
        </w:rPr>
        <w:t xml:space="preserve">kinds of </w:t>
      </w:r>
      <w:r w:rsidRPr="00677ABE">
        <w:rPr>
          <w:rFonts w:cs="Times New Roman"/>
        </w:rPr>
        <w:t xml:space="preserve">methods developed in prokaryotes had required </w:t>
      </w:r>
      <w:r w:rsidR="00D75220" w:rsidRPr="00677ABE">
        <w:rPr>
          <w:rFonts w:cs="Times New Roman"/>
        </w:rPr>
        <w:t xml:space="preserve">extensive </w:t>
      </w:r>
      <w:r w:rsidRPr="00677ABE">
        <w:rPr>
          <w:rFonts w:cs="Times New Roman"/>
        </w:rPr>
        <w:t>experimentation (</w:t>
      </w:r>
      <w:r w:rsidR="009660BA" w:rsidRPr="00677ABE">
        <w:rPr>
          <w:rFonts w:cs="Times New Roman"/>
        </w:rPr>
        <w:t>even</w:t>
      </w:r>
      <w:r w:rsidRPr="00677ABE">
        <w:rPr>
          <w:rFonts w:cs="Times New Roman"/>
        </w:rPr>
        <w:t xml:space="preserve"> lasting sixteen years) before use in eukaryotes</w:t>
      </w:r>
      <w:r w:rsidR="00945A30" w:rsidRPr="00677ABE">
        <w:rPr>
          <w:rFonts w:cs="Times New Roman"/>
        </w:rPr>
        <w:t>.</w:t>
      </w:r>
      <w:r w:rsidRPr="00677ABE">
        <w:rPr>
          <w:rStyle w:val="FootnoteReference"/>
          <w:rFonts w:cs="Times New Roman"/>
        </w:rPr>
        <w:footnoteReference w:id="349"/>
      </w:r>
      <w:r w:rsidRPr="00677ABE">
        <w:rPr>
          <w:rFonts w:cs="Times New Roman"/>
        </w:rPr>
        <w:t xml:space="preserve"> </w:t>
      </w:r>
      <w:r w:rsidR="002704CC" w:rsidRPr="00677ABE">
        <w:rPr>
          <w:rFonts w:cs="Times New Roman"/>
        </w:rPr>
        <w:t xml:space="preserve">And </w:t>
      </w:r>
      <w:r w:rsidR="009660BA" w:rsidRPr="00677ABE">
        <w:rPr>
          <w:rFonts w:cs="Times New Roman"/>
        </w:rPr>
        <w:t>here</w:t>
      </w:r>
      <w:r w:rsidRPr="00677ABE">
        <w:rPr>
          <w:rFonts w:cs="Times New Roman"/>
        </w:rPr>
        <w:t xml:space="preserve">, specific differences between prokaryotes and eukaryotes made applying CRISPR-Cas9 to eukaryotes </w:t>
      </w:r>
      <w:r w:rsidR="00945A30" w:rsidRPr="00677ABE">
        <w:rPr>
          <w:rFonts w:cs="Times New Roman"/>
        </w:rPr>
        <w:t xml:space="preserve">especially </w:t>
      </w:r>
      <w:r w:rsidRPr="00677ABE">
        <w:rPr>
          <w:rFonts w:cs="Times New Roman"/>
        </w:rPr>
        <w:t>unpredictable.</w:t>
      </w:r>
      <w:r w:rsidRPr="00677ABE">
        <w:rPr>
          <w:rStyle w:val="FootnoteReference"/>
          <w:rFonts w:cs="Times New Roman"/>
        </w:rPr>
        <w:footnoteReference w:id="350"/>
      </w:r>
      <w:r w:rsidRPr="00677ABE">
        <w:rPr>
          <w:rFonts w:cs="Times New Roman"/>
        </w:rPr>
        <w:t xml:space="preserve"> </w:t>
      </w:r>
      <w:r w:rsidR="002704CC" w:rsidRPr="00677ABE">
        <w:rPr>
          <w:rFonts w:cs="Times New Roman"/>
        </w:rPr>
        <w:t>P</w:t>
      </w:r>
      <w:r w:rsidR="00D75220" w:rsidRPr="00677ABE">
        <w:rPr>
          <w:rFonts w:cs="Times New Roman"/>
        </w:rPr>
        <w:t>ublications and c</w:t>
      </w:r>
      <w:r w:rsidRPr="00677ABE">
        <w:rPr>
          <w:rFonts w:cs="Times New Roman"/>
        </w:rPr>
        <w:t>ontemporaneous records showed that skilled artisans believed this ex ante.</w:t>
      </w:r>
      <w:r w:rsidRPr="00677ABE">
        <w:rPr>
          <w:rStyle w:val="FootnoteReference"/>
          <w:rFonts w:cs="Times New Roman"/>
        </w:rPr>
        <w:footnoteReference w:id="351"/>
      </w:r>
      <w:r w:rsidRPr="00677ABE">
        <w:rPr>
          <w:rFonts w:cs="Times New Roman"/>
        </w:rPr>
        <w:t xml:space="preserve"> </w:t>
      </w:r>
      <w:r w:rsidR="009660BA" w:rsidRPr="00677ABE">
        <w:rPr>
          <w:rFonts w:cs="Times New Roman"/>
        </w:rPr>
        <w:t>O</w:t>
      </w:r>
      <w:r w:rsidR="00D75220" w:rsidRPr="00677ABE">
        <w:rPr>
          <w:rFonts w:cs="Times New Roman"/>
        </w:rPr>
        <w:t>ne</w:t>
      </w:r>
      <w:r w:rsidRPr="00677ABE">
        <w:rPr>
          <w:rFonts w:cs="Times New Roman"/>
        </w:rPr>
        <w:t xml:space="preserve"> UC inventor even said “we weren’t sure if CRISPR/Cas9 would work in eukaryotes” given “many frustrations,” and believed getting it to work in human cells would be a “profound </w:t>
      </w:r>
      <w:r w:rsidRPr="00677ABE">
        <w:rPr>
          <w:rFonts w:cs="Times New Roman"/>
        </w:rPr>
        <w:lastRenderedPageBreak/>
        <w:t>discovery.”</w:t>
      </w:r>
      <w:r w:rsidRPr="00677ABE">
        <w:rPr>
          <w:rStyle w:val="FootnoteReference"/>
          <w:rFonts w:cs="Times New Roman"/>
        </w:rPr>
        <w:footnoteReference w:id="352"/>
      </w:r>
      <w:r w:rsidRPr="00677ABE">
        <w:rPr>
          <w:rFonts w:cs="Times New Roman"/>
        </w:rPr>
        <w:t xml:space="preserve"> </w:t>
      </w:r>
      <w:r w:rsidR="00945A30" w:rsidRPr="00677ABE">
        <w:rPr>
          <w:rFonts w:cs="Times New Roman"/>
        </w:rPr>
        <w:t xml:space="preserve">When Broad did succeed, </w:t>
      </w:r>
      <w:r w:rsidR="002704CC" w:rsidRPr="00677ABE">
        <w:rPr>
          <w:rFonts w:cs="Times New Roman"/>
        </w:rPr>
        <w:t xml:space="preserve">others were </w:t>
      </w:r>
      <w:r w:rsidRPr="00677ABE">
        <w:rPr>
          <w:rFonts w:cs="Times New Roman"/>
        </w:rPr>
        <w:t>surprise</w:t>
      </w:r>
      <w:r w:rsidR="002704CC" w:rsidRPr="00677ABE">
        <w:rPr>
          <w:rFonts w:cs="Times New Roman"/>
        </w:rPr>
        <w:t>d</w:t>
      </w:r>
      <w:r w:rsidRPr="00677ABE">
        <w:rPr>
          <w:rFonts w:cs="Times New Roman"/>
        </w:rPr>
        <w:t xml:space="preserve"> and praise</w:t>
      </w:r>
      <w:r w:rsidR="002704CC" w:rsidRPr="00677ABE">
        <w:rPr>
          <w:rFonts w:cs="Times New Roman"/>
        </w:rPr>
        <w:t xml:space="preserve">d </w:t>
      </w:r>
      <w:r w:rsidR="00F40D54">
        <w:rPr>
          <w:rFonts w:cs="Times New Roman"/>
        </w:rPr>
        <w:t>the</w:t>
      </w:r>
      <w:r w:rsidR="002704CC" w:rsidRPr="00677ABE">
        <w:rPr>
          <w:rFonts w:cs="Times New Roman"/>
        </w:rPr>
        <w:t>m</w:t>
      </w:r>
      <w:r w:rsidRPr="00677ABE">
        <w:rPr>
          <w:rFonts w:cs="Times New Roman"/>
        </w:rPr>
        <w:t xml:space="preserve">: a colleague </w:t>
      </w:r>
      <w:r w:rsidR="002704CC" w:rsidRPr="00677ABE">
        <w:rPr>
          <w:rFonts w:cs="Times New Roman"/>
        </w:rPr>
        <w:t>of</w:t>
      </w:r>
      <w:r w:rsidRPr="00677ABE">
        <w:rPr>
          <w:rFonts w:cs="Times New Roman"/>
        </w:rPr>
        <w:t xml:space="preserve"> </w:t>
      </w:r>
      <w:r w:rsidR="00945A30" w:rsidRPr="00677ABE">
        <w:rPr>
          <w:rFonts w:cs="Times New Roman"/>
        </w:rPr>
        <w:t>a</w:t>
      </w:r>
      <w:r w:rsidRPr="00677ABE">
        <w:rPr>
          <w:rFonts w:cs="Times New Roman"/>
        </w:rPr>
        <w:t xml:space="preserve"> UC inventor</w:t>
      </w:r>
      <w:r w:rsidR="002704CC" w:rsidRPr="00677ABE">
        <w:rPr>
          <w:rFonts w:cs="Times New Roman"/>
        </w:rPr>
        <w:t xml:space="preserve"> said</w:t>
      </w:r>
      <w:r w:rsidRPr="00677ABE">
        <w:rPr>
          <w:rFonts w:cs="Times New Roman"/>
        </w:rPr>
        <w:t>, “I hope you’re sitting down,” as “CRISPR is turning out to be absolutely spectacular in [Broad’s] hands.”</w:t>
      </w:r>
      <w:r w:rsidRPr="00677ABE">
        <w:rPr>
          <w:rStyle w:val="FootnoteReference"/>
          <w:rFonts w:cs="Times New Roman"/>
        </w:rPr>
        <w:footnoteReference w:id="353"/>
      </w:r>
      <w:r w:rsidRPr="00677ABE">
        <w:rPr>
          <w:rFonts w:cs="Times New Roman"/>
        </w:rPr>
        <w:t xml:space="preserve"> Finally, </w:t>
      </w:r>
      <w:r w:rsidR="009660BA" w:rsidRPr="00677ABE">
        <w:rPr>
          <w:rFonts w:cs="Times New Roman"/>
        </w:rPr>
        <w:t>the quick</w:t>
      </w:r>
      <w:r w:rsidRPr="00677ABE">
        <w:rPr>
          <w:rFonts w:cs="Times New Roman"/>
        </w:rPr>
        <w:t xml:space="preserve"> success of the six groups showed that skilled artisans were motivated to apply the UC teaching to eukaryotes, </w:t>
      </w:r>
      <w:r w:rsidR="009660BA" w:rsidRPr="00677ABE">
        <w:rPr>
          <w:rFonts w:cs="Times New Roman"/>
        </w:rPr>
        <w:t>but</w:t>
      </w:r>
      <w:r w:rsidRPr="00677ABE">
        <w:rPr>
          <w:rFonts w:cs="Times New Roman"/>
        </w:rPr>
        <w:t xml:space="preserve"> not </w:t>
      </w:r>
      <w:r w:rsidR="009660BA" w:rsidRPr="00677ABE">
        <w:rPr>
          <w:rFonts w:cs="Times New Roman"/>
        </w:rPr>
        <w:t>that</w:t>
      </w:r>
      <w:r w:rsidRPr="00677ABE">
        <w:rPr>
          <w:rFonts w:cs="Times New Roman"/>
        </w:rPr>
        <w:t xml:space="preserve"> they </w:t>
      </w:r>
      <w:r w:rsidR="009660BA" w:rsidRPr="00677ABE">
        <w:rPr>
          <w:rFonts w:cs="Times New Roman"/>
        </w:rPr>
        <w:t>had expected</w:t>
      </w:r>
      <w:r w:rsidRPr="00677ABE">
        <w:rPr>
          <w:rFonts w:cs="Times New Roman"/>
        </w:rPr>
        <w:t xml:space="preserve"> success.</w:t>
      </w:r>
      <w:r w:rsidRPr="00677ABE">
        <w:rPr>
          <w:rStyle w:val="FootnoteReference"/>
          <w:rFonts w:cs="Times New Roman"/>
        </w:rPr>
        <w:footnoteReference w:id="354"/>
      </w:r>
      <w:r w:rsidRPr="00677ABE">
        <w:rPr>
          <w:rFonts w:cs="Times New Roman"/>
        </w:rPr>
        <w:t xml:space="preserve"> The </w:t>
      </w:r>
      <w:r w:rsidR="009660BA" w:rsidRPr="00677ABE">
        <w:rPr>
          <w:rFonts w:cs="Times New Roman"/>
        </w:rPr>
        <w:t>court also found the PTAB had correctly required only a reasonable c</w:t>
      </w:r>
      <w:r w:rsidR="00373F96" w:rsidRPr="00677ABE">
        <w:rPr>
          <w:rFonts w:cs="Times New Roman"/>
        </w:rPr>
        <w:t xml:space="preserve">ertainty of success, and accounted for the person having not only ordinary skill </w:t>
      </w:r>
      <w:r w:rsidR="00FA2147" w:rsidRPr="00677ABE">
        <w:rPr>
          <w:rFonts w:cs="Times New Roman"/>
        </w:rPr>
        <w:t>but also</w:t>
      </w:r>
      <w:r w:rsidR="00373F96" w:rsidRPr="00677ABE">
        <w:rPr>
          <w:rFonts w:cs="Times New Roman"/>
        </w:rPr>
        <w:t xml:space="preserve"> ordinary creativity.</w:t>
      </w:r>
      <w:r w:rsidRPr="00677ABE">
        <w:rPr>
          <w:rStyle w:val="FootnoteReference"/>
          <w:rFonts w:cs="Times New Roman"/>
        </w:rPr>
        <w:footnoteReference w:id="355"/>
      </w:r>
      <w:r w:rsidRPr="00677ABE">
        <w:rPr>
          <w:rFonts w:cs="Times New Roman"/>
        </w:rPr>
        <w:t xml:space="preserve"> In sum, the court held the</w:t>
      </w:r>
      <w:r w:rsidR="00B442BC" w:rsidRPr="00677ABE">
        <w:rPr>
          <w:rFonts w:cs="Times New Roman"/>
        </w:rPr>
        <w:t>re was</w:t>
      </w:r>
      <w:r w:rsidRPr="00677ABE">
        <w:rPr>
          <w:rFonts w:cs="Times New Roman"/>
        </w:rPr>
        <w:t xml:space="preserve"> substantial evidence </w:t>
      </w:r>
      <w:r w:rsidR="00B442BC" w:rsidRPr="00677ABE">
        <w:rPr>
          <w:rFonts w:cs="Times New Roman"/>
        </w:rPr>
        <w:t>to affirm the finding of no interference</w:t>
      </w:r>
      <w:r w:rsidRPr="00677ABE">
        <w:rPr>
          <w:rFonts w:cs="Times New Roman"/>
        </w:rPr>
        <w:t>.</w:t>
      </w:r>
      <w:r w:rsidRPr="00677ABE">
        <w:rPr>
          <w:rStyle w:val="FootnoteReference"/>
          <w:rFonts w:cs="Times New Roman"/>
        </w:rPr>
        <w:footnoteReference w:id="356"/>
      </w:r>
      <w:bookmarkEnd w:id="60"/>
      <w:bookmarkEnd w:id="61"/>
    </w:p>
    <w:p w14:paraId="76CF18DF" w14:textId="77777777" w:rsidR="004203DF" w:rsidRPr="00677ABE" w:rsidRDefault="004203DF" w:rsidP="00CA2C0A">
      <w:pPr>
        <w:rPr>
          <w:rFonts w:eastAsiaTheme="majorEastAsia" w:cs="Times New Roman"/>
          <w:b/>
          <w:bCs/>
        </w:rPr>
      </w:pPr>
      <w:r w:rsidRPr="00677ABE">
        <w:rPr>
          <w:rFonts w:cs="Times New Roman"/>
        </w:rPr>
        <w:br w:type="page"/>
      </w:r>
    </w:p>
    <w:p w14:paraId="05B21EE0" w14:textId="77777777" w:rsidR="00F20B84" w:rsidRDefault="000060D2" w:rsidP="00CA2C0A">
      <w:pPr>
        <w:pStyle w:val="Heading1"/>
        <w:rPr>
          <w:rFonts w:cs="Times New Roman"/>
          <w:szCs w:val="24"/>
        </w:rPr>
      </w:pPr>
      <w:bookmarkStart w:id="62" w:name="_Toc531692749"/>
      <w:r w:rsidRPr="00677ABE">
        <w:rPr>
          <w:rFonts w:cs="Times New Roman"/>
          <w:szCs w:val="24"/>
        </w:rPr>
        <w:lastRenderedPageBreak/>
        <w:t>OBVIOUSNESS</w:t>
      </w:r>
      <w:bookmarkEnd w:id="62"/>
    </w:p>
    <w:p w14:paraId="4142D9C5" w14:textId="42DF2598" w:rsidR="00856AEC" w:rsidRPr="00677ABE" w:rsidRDefault="00856AEC" w:rsidP="00CA2C0A">
      <w:pPr>
        <w:pStyle w:val="Heading3"/>
        <w:ind w:firstLine="0"/>
        <w:rPr>
          <w:rFonts w:cs="Times New Roman"/>
          <w:i w:val="0"/>
        </w:rPr>
      </w:pPr>
      <w:bookmarkStart w:id="63" w:name="_Toc516586542"/>
      <w:bookmarkStart w:id="64" w:name="_Toc531692750"/>
      <w:bookmarkStart w:id="65" w:name="_Toc526093289"/>
      <w:r w:rsidRPr="00677ABE">
        <w:rPr>
          <w:rFonts w:cs="Times New Roman"/>
        </w:rPr>
        <w:t>Droplets, Inc. v. E*Trade Bank</w:t>
      </w:r>
      <w:r w:rsidRPr="00677ABE">
        <w:rPr>
          <w:rFonts w:cs="Times New Roman"/>
          <w:i w:val="0"/>
        </w:rPr>
        <w:t>, 887 F.3d 1309 (Fed. Cir. Apr. 19, 2018)</w:t>
      </w:r>
      <w:bookmarkEnd w:id="63"/>
      <w:bookmarkEnd w:id="64"/>
    </w:p>
    <w:p w14:paraId="3CA934EE" w14:textId="19B6100F" w:rsidR="00856AEC" w:rsidRPr="00677ABE" w:rsidRDefault="00856AEC" w:rsidP="00CA2C0A">
      <w:pPr>
        <w:rPr>
          <w:rFonts w:cs="Times New Roman"/>
        </w:rPr>
      </w:pPr>
      <w:r w:rsidRPr="00677ABE">
        <w:rPr>
          <w:rFonts w:cs="Times New Roman"/>
          <w:lang w:eastAsia="x-none"/>
        </w:rPr>
        <w:tab/>
      </w:r>
      <w:r w:rsidRPr="00677ABE">
        <w:rPr>
          <w:rFonts w:cs="Times New Roman"/>
        </w:rPr>
        <w:t xml:space="preserve">The Federal Circuit affirmed the Board’s finding during inter partes review that the claims of the </w:t>
      </w:r>
      <w:r w:rsidR="008D4E5F">
        <w:rPr>
          <w:rFonts w:cs="Times New Roman"/>
        </w:rPr>
        <w:t>’1</w:t>
      </w:r>
      <w:r w:rsidRPr="00677ABE">
        <w:rPr>
          <w:rFonts w:cs="Times New Roman"/>
        </w:rPr>
        <w:t>15 patent are invalid as obvious</w:t>
      </w:r>
      <w:r w:rsidRPr="00677ABE">
        <w:rPr>
          <w:rFonts w:cs="Times New Roman"/>
          <w:lang w:eastAsia="x-none"/>
        </w:rPr>
        <w:t>.</w:t>
      </w:r>
      <w:r w:rsidRPr="00677ABE">
        <w:rPr>
          <w:rStyle w:val="FootnoteReference"/>
          <w:rFonts w:cs="Times New Roman"/>
          <w:lang w:eastAsia="x-none"/>
        </w:rPr>
        <w:footnoteReference w:id="357"/>
      </w:r>
      <w:r w:rsidRPr="00677ABE">
        <w:rPr>
          <w:rFonts w:cs="Times New Roman"/>
          <w:lang w:eastAsia="x-none"/>
        </w:rPr>
        <w:t xml:space="preserve"> </w:t>
      </w:r>
      <w:r w:rsidRPr="00677ABE">
        <w:rPr>
          <w:rFonts w:cs="Times New Roman"/>
        </w:rPr>
        <w:t xml:space="preserve">The obviousness determination hinged on the </w:t>
      </w:r>
      <w:r w:rsidR="008D4E5F">
        <w:rPr>
          <w:rFonts w:cs="Times New Roman"/>
        </w:rPr>
        <w:t>’1</w:t>
      </w:r>
      <w:r w:rsidRPr="00677ABE">
        <w:rPr>
          <w:rFonts w:cs="Times New Roman"/>
        </w:rPr>
        <w:t>15 patent’s priority date.</w:t>
      </w:r>
      <w:r w:rsidRPr="00677ABE">
        <w:rPr>
          <w:rStyle w:val="FootnoteReference"/>
          <w:rFonts w:cs="Times New Roman"/>
        </w:rPr>
        <w:footnoteReference w:id="358"/>
      </w:r>
      <w:r w:rsidRPr="00677ABE">
        <w:rPr>
          <w:rFonts w:cs="Times New Roman"/>
        </w:rPr>
        <w:t xml:space="preserve"> It was undisputed that the </w:t>
      </w:r>
      <w:r w:rsidR="008D4E5F">
        <w:rPr>
          <w:rFonts w:cs="Times New Roman"/>
        </w:rPr>
        <w:t>’1</w:t>
      </w:r>
      <w:r w:rsidRPr="00677ABE">
        <w:rPr>
          <w:rFonts w:cs="Times New Roman"/>
        </w:rPr>
        <w:t xml:space="preserve">15 patent properly claimed priority from the ’838 patent, which entitled the </w:t>
      </w:r>
      <w:r w:rsidR="008D4E5F">
        <w:rPr>
          <w:rFonts w:cs="Times New Roman"/>
        </w:rPr>
        <w:t>’1</w:t>
      </w:r>
      <w:r w:rsidRPr="00677ABE">
        <w:rPr>
          <w:rFonts w:cs="Times New Roman"/>
        </w:rPr>
        <w:t>15 patent to the benefit of the November 24, 2003 filing date of the ’838 patent.</w:t>
      </w:r>
      <w:r w:rsidRPr="00677ABE">
        <w:rPr>
          <w:rStyle w:val="FootnoteReference"/>
          <w:rFonts w:cs="Times New Roman"/>
        </w:rPr>
        <w:footnoteReference w:id="359"/>
      </w:r>
      <w:r w:rsidRPr="00677ABE">
        <w:rPr>
          <w:rFonts w:cs="Times New Roman"/>
        </w:rPr>
        <w:t xml:space="preserve"> The ’838 patent specification expressly claims priority from the ’917 provisional filed on September 14, 1999, which entitled the ’838 patent to the September 14, 1999 filing date</w:t>
      </w:r>
      <w:r w:rsidR="008951AD">
        <w:rPr>
          <w:rFonts w:cs="Times New Roman"/>
        </w:rPr>
        <w:t>, but the /115 didn’t claim priority to the ‘917 provisional explicitly</w:t>
      </w:r>
      <w:r w:rsidRPr="00677ABE">
        <w:rPr>
          <w:rFonts w:cs="Times New Roman"/>
        </w:rPr>
        <w:t>.</w:t>
      </w:r>
      <w:r w:rsidRPr="00677ABE">
        <w:rPr>
          <w:rStyle w:val="FootnoteReference"/>
          <w:rFonts w:cs="Times New Roman"/>
        </w:rPr>
        <w:footnoteReference w:id="360"/>
      </w:r>
      <w:r w:rsidRPr="00677ABE">
        <w:rPr>
          <w:rFonts w:cs="Times New Roman"/>
        </w:rPr>
        <w:t xml:space="preserve"> Droplets argued that the </w:t>
      </w:r>
      <w:r w:rsidR="008D4E5F">
        <w:rPr>
          <w:rFonts w:cs="Times New Roman"/>
        </w:rPr>
        <w:t>’1</w:t>
      </w:r>
      <w:r w:rsidRPr="00677ABE">
        <w:rPr>
          <w:rFonts w:cs="Times New Roman"/>
        </w:rPr>
        <w:t xml:space="preserve">15 patent was entitled to the ’917 provisional’s filing date because the </w:t>
      </w:r>
      <w:r w:rsidR="008D4E5F">
        <w:rPr>
          <w:rFonts w:cs="Times New Roman"/>
        </w:rPr>
        <w:t>’1</w:t>
      </w:r>
      <w:r w:rsidRPr="00677ABE">
        <w:rPr>
          <w:rFonts w:cs="Times New Roman"/>
        </w:rPr>
        <w:t xml:space="preserve">15 patent incorporated the ’838 patent by reference, and alternatively because the </w:t>
      </w:r>
      <w:r w:rsidR="008D4E5F">
        <w:rPr>
          <w:rFonts w:cs="Times New Roman"/>
        </w:rPr>
        <w:t>’1</w:t>
      </w:r>
      <w:r w:rsidRPr="00677ABE">
        <w:rPr>
          <w:rFonts w:cs="Times New Roman"/>
        </w:rPr>
        <w:t>15 patent incorporated the ’838 patent by reference.</w:t>
      </w:r>
      <w:r w:rsidRPr="00677ABE">
        <w:rPr>
          <w:rStyle w:val="FootnoteReference"/>
          <w:rFonts w:cs="Times New Roman"/>
        </w:rPr>
        <w:footnoteReference w:id="361"/>
      </w:r>
    </w:p>
    <w:p w14:paraId="333388F5" w14:textId="0E31321E" w:rsidR="00F20B84" w:rsidRDefault="00856AEC" w:rsidP="00CA2C0A">
      <w:pPr>
        <w:ind w:firstLine="720"/>
        <w:rPr>
          <w:rFonts w:cs="Times New Roman"/>
        </w:rPr>
      </w:pPr>
      <w:r w:rsidRPr="00677ABE">
        <w:rPr>
          <w:rFonts w:cs="Times New Roman"/>
        </w:rPr>
        <w:t>The Federal Circuit disagreed.</w:t>
      </w:r>
      <w:r w:rsidRPr="00677ABE">
        <w:rPr>
          <w:rStyle w:val="FootnoteReference"/>
          <w:rFonts w:cs="Times New Roman"/>
        </w:rPr>
        <w:footnoteReference w:id="362"/>
      </w:r>
      <w:r w:rsidRPr="00677ABE">
        <w:rPr>
          <w:rFonts w:cs="Times New Roman"/>
        </w:rPr>
        <w:t xml:space="preserve"> The court reasoned that 35 U.S.C. </w:t>
      </w:r>
      <w:r w:rsidR="00AC00E6">
        <w:rPr>
          <w:rFonts w:cs="Times New Roman"/>
        </w:rPr>
        <w:t>§ </w:t>
      </w:r>
      <w:r w:rsidRPr="00677ABE">
        <w:rPr>
          <w:rFonts w:cs="Times New Roman"/>
        </w:rPr>
        <w:t xml:space="preserve">120 (and 35 U.S.C. </w:t>
      </w:r>
      <w:r w:rsidR="00AC00E6">
        <w:rPr>
          <w:rFonts w:cs="Times New Roman"/>
        </w:rPr>
        <w:t>§ </w:t>
      </w:r>
      <w:r w:rsidRPr="00677ABE">
        <w:rPr>
          <w:rFonts w:cs="Times New Roman"/>
        </w:rPr>
        <w:t xml:space="preserve">119(e)(1) for claiming priority to provisional applications) clearly requires the patent application to “‘contain a </w:t>
      </w:r>
      <w:r w:rsidRPr="00677ABE">
        <w:rPr>
          <w:rFonts w:cs="Times New Roman"/>
          <w:i/>
        </w:rPr>
        <w:t>specific</w:t>
      </w:r>
      <w:r w:rsidRPr="00677ABE">
        <w:rPr>
          <w:rFonts w:cs="Times New Roman"/>
        </w:rPr>
        <w:t xml:space="preserve"> reference to the earlier filed application’ to which it purports to claim priority.”</w:t>
      </w:r>
      <w:r w:rsidRPr="00677ABE">
        <w:rPr>
          <w:rStyle w:val="FootnoteReference"/>
          <w:rFonts w:cs="Times New Roman"/>
        </w:rPr>
        <w:footnoteReference w:id="363"/>
      </w:r>
      <w:r w:rsidRPr="00677ABE">
        <w:rPr>
          <w:rFonts w:cs="Times New Roman"/>
        </w:rPr>
        <w:t xml:space="preserve"> Moreover, </w:t>
      </w:r>
      <w:r w:rsidR="00AC00E6">
        <w:rPr>
          <w:rFonts w:cs="Times New Roman"/>
        </w:rPr>
        <w:t>§ </w:t>
      </w:r>
      <w:r w:rsidRPr="00677ABE">
        <w:rPr>
          <w:rFonts w:cs="Times New Roman"/>
        </w:rPr>
        <w:t>120’s “‘specific reference’ requirement does not contemplate incorporation by reference.”</w:t>
      </w:r>
      <w:r w:rsidRPr="00677ABE">
        <w:rPr>
          <w:rStyle w:val="FootnoteReference"/>
          <w:rFonts w:cs="Times New Roman"/>
        </w:rPr>
        <w:footnoteReference w:id="364"/>
      </w:r>
    </w:p>
    <w:p w14:paraId="3EF84AEC" w14:textId="1D572502" w:rsidR="00A0380E" w:rsidRPr="00677ABE" w:rsidRDefault="00A0380E" w:rsidP="00CA2C0A">
      <w:pPr>
        <w:pStyle w:val="Heading3"/>
        <w:ind w:firstLine="0"/>
        <w:rPr>
          <w:rFonts w:cs="Times New Roman"/>
        </w:rPr>
      </w:pPr>
      <w:bookmarkStart w:id="66" w:name="_Toc531692751"/>
      <w:r w:rsidRPr="00677ABE">
        <w:rPr>
          <w:rFonts w:cs="Times New Roman"/>
        </w:rPr>
        <w:t>Acorda Therapeutics, Inc. v. Roxane Labs., Inc.</w:t>
      </w:r>
      <w:r w:rsidRPr="00677ABE">
        <w:rPr>
          <w:rFonts w:cs="Times New Roman"/>
          <w:i w:val="0"/>
        </w:rPr>
        <w:t>, Nos. 2017-2078 &amp; 2017-2134, 2018 WL 4288982 (Fed. Cir. Sept. 10, 2018)</w:t>
      </w:r>
      <w:bookmarkEnd w:id="66"/>
    </w:p>
    <w:p w14:paraId="18D254AC" w14:textId="729A5851" w:rsidR="00A0380E" w:rsidRPr="00677ABE" w:rsidRDefault="00A0380E" w:rsidP="00CA2C0A">
      <w:pPr>
        <w:outlineLvl w:val="0"/>
        <w:rPr>
          <w:rFonts w:cs="Times New Roman"/>
        </w:rPr>
      </w:pPr>
      <w:r w:rsidRPr="00677ABE">
        <w:rPr>
          <w:rFonts w:cs="Times New Roman"/>
          <w:b/>
        </w:rPr>
        <w:tab/>
      </w:r>
      <w:bookmarkStart w:id="67" w:name="_Toc526093276"/>
      <w:bookmarkStart w:id="68" w:name="_Toc526368126"/>
      <w:r w:rsidRPr="00677ABE">
        <w:rPr>
          <w:rFonts w:cs="Times New Roman"/>
        </w:rPr>
        <w:t>In this appeal from the District of Delaware, the Federal Circuit affirmed that a species patent was obvious over a blocking genus patent despite evidence the species patent proved a commercial success; on the facts here, the blocking patent and not intrinsic difficulty explained why inventors had not pursued the species earlier.</w:t>
      </w:r>
      <w:r w:rsidRPr="00677ABE">
        <w:rPr>
          <w:rStyle w:val="FootnoteReference"/>
          <w:rFonts w:cs="Times New Roman"/>
        </w:rPr>
        <w:footnoteReference w:id="365"/>
      </w:r>
      <w:bookmarkEnd w:id="67"/>
      <w:bookmarkEnd w:id="68"/>
      <w:r w:rsidR="00AC00E6">
        <w:rPr>
          <w:rFonts w:cs="Times New Roman"/>
        </w:rPr>
        <w:t xml:space="preserve"> </w:t>
      </w:r>
    </w:p>
    <w:p w14:paraId="58070FDE" w14:textId="77777777" w:rsidR="00A0380E" w:rsidRPr="00677ABE" w:rsidRDefault="00A0380E" w:rsidP="00CA2C0A">
      <w:pPr>
        <w:outlineLvl w:val="0"/>
        <w:rPr>
          <w:rFonts w:cs="Times New Roman"/>
        </w:rPr>
      </w:pPr>
      <w:r w:rsidRPr="00677ABE">
        <w:rPr>
          <w:rFonts w:cs="Times New Roman"/>
        </w:rPr>
        <w:tab/>
      </w:r>
      <w:bookmarkStart w:id="69" w:name="_Toc526093277"/>
      <w:bookmarkStart w:id="70" w:name="_Toc526368127"/>
      <w:r w:rsidRPr="00677ABE">
        <w:rPr>
          <w:rFonts w:cs="Times New Roman"/>
        </w:rPr>
        <w:t>The case concerned an expiring genus patent and a new species patent related to treating multiple sclerosis, both of which Acorda had the exclusive right to use; infringers challenged the species patent as obvious.</w:t>
      </w:r>
      <w:r w:rsidRPr="00677ABE">
        <w:rPr>
          <w:rStyle w:val="FootnoteReference"/>
          <w:rFonts w:cs="Times New Roman"/>
        </w:rPr>
        <w:footnoteReference w:id="366"/>
      </w:r>
      <w:r w:rsidRPr="00677ABE">
        <w:rPr>
          <w:rFonts w:cs="Times New Roman"/>
        </w:rPr>
        <w:t xml:space="preserve"> Later commercial success suggests others should have been motivated to do what the inventor later taught, and one explanation for their failure to act may be nonobviousness; here, however, the district court found the </w:t>
      </w:r>
      <w:r w:rsidRPr="00677ABE">
        <w:rPr>
          <w:rFonts w:cs="Times New Roman"/>
        </w:rPr>
        <w:lastRenderedPageBreak/>
        <w:t>existence of the blocking patent provided an alternative explanation, and weighed the commercial success less heavily as evidence of nonobvious.</w:t>
      </w:r>
      <w:r w:rsidRPr="00677ABE">
        <w:rPr>
          <w:rStyle w:val="FootnoteReference"/>
          <w:rFonts w:cs="Times New Roman"/>
        </w:rPr>
        <w:footnoteReference w:id="367"/>
      </w:r>
      <w:bookmarkEnd w:id="69"/>
      <w:r w:rsidRPr="00677ABE">
        <w:rPr>
          <w:rFonts w:cs="Times New Roman"/>
        </w:rPr>
        <w:t xml:space="preserve"> The patent was invalid.</w:t>
      </w:r>
      <w:bookmarkEnd w:id="70"/>
      <w:r w:rsidRPr="00677ABE">
        <w:rPr>
          <w:rFonts w:cs="Times New Roman"/>
        </w:rPr>
        <w:t xml:space="preserve"> </w:t>
      </w:r>
    </w:p>
    <w:p w14:paraId="148E1736" w14:textId="77777777" w:rsidR="004203DF" w:rsidRPr="00677ABE" w:rsidRDefault="00A0380E" w:rsidP="00CA2C0A">
      <w:pPr>
        <w:outlineLvl w:val="0"/>
        <w:rPr>
          <w:rFonts w:cs="Times New Roman"/>
        </w:rPr>
      </w:pPr>
      <w:r w:rsidRPr="00677ABE">
        <w:rPr>
          <w:rFonts w:cs="Times New Roman"/>
        </w:rPr>
        <w:tab/>
      </w:r>
      <w:bookmarkStart w:id="71" w:name="_Toc526093278"/>
      <w:bookmarkStart w:id="72" w:name="_Toc526368128"/>
      <w:r w:rsidRPr="00677ABE">
        <w:rPr>
          <w:rFonts w:cs="Times New Roman"/>
        </w:rPr>
        <w:t xml:space="preserve">On appeal, the Federal Circuit affirmed. The court summarized its holdings in </w:t>
      </w:r>
      <w:r w:rsidRPr="00677ABE">
        <w:rPr>
          <w:rFonts w:cs="Times New Roman"/>
          <w:i/>
        </w:rPr>
        <w:t xml:space="preserve">Merck I </w:t>
      </w:r>
      <w:r w:rsidRPr="00677ABE">
        <w:rPr>
          <w:rFonts w:cs="Times New Roman"/>
        </w:rPr>
        <w:t>(commercial success does not evidence nonobviousness where a blocking patent exists)</w:t>
      </w:r>
      <w:r w:rsidRPr="00677ABE">
        <w:rPr>
          <w:rStyle w:val="FootnoteReference"/>
          <w:rFonts w:cs="Times New Roman"/>
        </w:rPr>
        <w:footnoteReference w:id="368"/>
      </w:r>
      <w:r w:rsidRPr="00677ABE">
        <w:rPr>
          <w:rFonts w:cs="Times New Roman"/>
        </w:rPr>
        <w:t xml:space="preserve"> and </w:t>
      </w:r>
      <w:r w:rsidRPr="00677ABE">
        <w:rPr>
          <w:rFonts w:cs="Times New Roman"/>
          <w:i/>
        </w:rPr>
        <w:t xml:space="preserve">Merck II </w:t>
      </w:r>
      <w:r w:rsidRPr="00677ABE">
        <w:rPr>
          <w:rFonts w:cs="Times New Roman"/>
        </w:rPr>
        <w:t>(commercial success may evidence nonobviousness even where a blocking patent exists).</w:t>
      </w:r>
      <w:r w:rsidRPr="00677ABE">
        <w:rPr>
          <w:rStyle w:val="FootnoteReference"/>
          <w:rFonts w:cs="Times New Roman"/>
        </w:rPr>
        <w:footnoteReference w:id="369"/>
      </w:r>
      <w:r w:rsidRPr="00677ABE">
        <w:rPr>
          <w:rFonts w:cs="Times New Roman"/>
        </w:rPr>
        <w:t xml:space="preserve"> To guide courts making the “fact-specific inquiry” into whether a “blocking patent [did] or [did] not deter innovation in the blocked space,”</w:t>
      </w:r>
      <w:r w:rsidRPr="00677ABE">
        <w:rPr>
          <w:rStyle w:val="FootnoteReference"/>
          <w:rFonts w:cs="Times New Roman"/>
        </w:rPr>
        <w:footnoteReference w:id="370"/>
      </w:r>
      <w:r w:rsidRPr="00677ABE">
        <w:rPr>
          <w:rFonts w:cs="Times New Roman"/>
        </w:rPr>
        <w:t xml:space="preserve"> the Federal Circuit listed</w:t>
      </w:r>
      <w:r w:rsidR="004203DF" w:rsidRPr="00677ABE">
        <w:rPr>
          <w:rFonts w:cs="Times New Roman"/>
        </w:rPr>
        <w:t xml:space="preserve"> a number of</w:t>
      </w:r>
      <w:r w:rsidRPr="00677ABE">
        <w:rPr>
          <w:rFonts w:cs="Times New Roman"/>
        </w:rPr>
        <w:t xml:space="preserve"> factors</w:t>
      </w:r>
      <w:r w:rsidR="004203DF" w:rsidRPr="00677ABE">
        <w:rPr>
          <w:rFonts w:cs="Times New Roman"/>
        </w:rPr>
        <w:t xml:space="preserve"> to consider:</w:t>
      </w:r>
    </w:p>
    <w:p w14:paraId="3DDC7C89" w14:textId="77777777" w:rsidR="004203DF" w:rsidRPr="00677ABE" w:rsidRDefault="004203DF" w:rsidP="00CA2C0A">
      <w:pPr>
        <w:ind w:left="720" w:right="720"/>
        <w:outlineLvl w:val="0"/>
        <w:rPr>
          <w:rFonts w:cs="Times New Roman"/>
        </w:rPr>
      </w:pPr>
      <w:r w:rsidRPr="00677ABE">
        <w:rPr>
          <w:rFonts w:cs="Times New Roman"/>
        </w:rPr>
        <w:t>whether the blocking patent can be successfully challenged . . . [;] the costliness of the project; the risk of research failure; the nature of improvements that might arise from the project, and whether such improvements will be entirely covered by the blocking patent; the size of the market opportunities anticipated for such improvements; the costs of arriving at the improvements and getting them to market; the risk of losing the invention race to a blocking-patent owner or licensee; the risk that the blocking-patent owner (making its own economic calculations, perhaps in light of its own other products or research activities) will altogether refuse to grant a license to the improvement or will demand so large a share of profits that the whole project is not worthwhile for the potential innovator—all evaluated in light of other investment opportunities.”</w:t>
      </w:r>
      <w:r w:rsidR="00A0380E" w:rsidRPr="00677ABE">
        <w:rPr>
          <w:rStyle w:val="FootnoteReference"/>
          <w:rFonts w:cs="Times New Roman"/>
        </w:rPr>
        <w:footnoteReference w:id="371"/>
      </w:r>
      <w:r w:rsidR="00A0380E" w:rsidRPr="00677ABE">
        <w:rPr>
          <w:rFonts w:cs="Times New Roman"/>
        </w:rPr>
        <w:t xml:space="preserve"> </w:t>
      </w:r>
      <w:bookmarkStart w:id="73" w:name="_Toc526093280"/>
      <w:bookmarkEnd w:id="71"/>
    </w:p>
    <w:p w14:paraId="21F89922" w14:textId="6A4D9866" w:rsidR="00A0380E" w:rsidRPr="00677ABE" w:rsidRDefault="00A0380E" w:rsidP="00CA2C0A">
      <w:pPr>
        <w:outlineLvl w:val="0"/>
        <w:rPr>
          <w:rFonts w:cs="Times New Roman"/>
        </w:rPr>
      </w:pPr>
      <w:r w:rsidRPr="00677ABE">
        <w:rPr>
          <w:rFonts w:cs="Times New Roman"/>
        </w:rPr>
        <w:t>Applying several here, the court found important that Acorda had sought the genus license</w:t>
      </w:r>
      <w:r w:rsidRPr="00677ABE">
        <w:rPr>
          <w:rStyle w:val="FootnoteReference"/>
          <w:rFonts w:cs="Times New Roman"/>
        </w:rPr>
        <w:footnoteReference w:id="372"/>
      </w:r>
      <w:r w:rsidRPr="00677ABE">
        <w:rPr>
          <w:rFonts w:cs="Times New Roman"/>
        </w:rPr>
        <w:t xml:space="preserve"> and did not sublicense it to others,</w:t>
      </w:r>
      <w:r w:rsidRPr="00677ABE">
        <w:rPr>
          <w:rStyle w:val="FootnoteReference"/>
          <w:rFonts w:cs="Times New Roman"/>
        </w:rPr>
        <w:footnoteReference w:id="373"/>
      </w:r>
      <w:r w:rsidRPr="00677ABE">
        <w:rPr>
          <w:rFonts w:cs="Times New Roman"/>
        </w:rPr>
        <w:t xml:space="preserve"> and that others tried but failed to design around the genus patent.</w:t>
      </w:r>
      <w:r w:rsidRPr="00677ABE">
        <w:rPr>
          <w:rStyle w:val="FootnoteReference"/>
          <w:rFonts w:cs="Times New Roman"/>
        </w:rPr>
        <w:footnoteReference w:id="374"/>
      </w:r>
      <w:r w:rsidRPr="00677ABE">
        <w:rPr>
          <w:rFonts w:cs="Times New Roman"/>
        </w:rPr>
        <w:t xml:space="preserve"> The FDA’s safe harbor to develop and submit applications for new drugs that use others’ patents did not change inventors’ calculus because marketing any new drug would still expose the inventor to suit.</w:t>
      </w:r>
      <w:r w:rsidRPr="00677ABE">
        <w:rPr>
          <w:rStyle w:val="FootnoteReference"/>
          <w:rFonts w:cs="Times New Roman"/>
        </w:rPr>
        <w:footnoteReference w:id="375"/>
      </w:r>
      <w:r w:rsidRPr="00677ABE">
        <w:rPr>
          <w:rFonts w:cs="Times New Roman"/>
        </w:rPr>
        <w:t xml:space="preserve"> Taking those all into account, the Federal Circuit found no error in the district court’s opinion, which “is best read not as invoking a categorical rule, but as drawing conclusions on the limited factual record . . . .”</w:t>
      </w:r>
      <w:r w:rsidRPr="00677ABE">
        <w:rPr>
          <w:rStyle w:val="FootnoteReference"/>
          <w:rFonts w:cs="Times New Roman"/>
        </w:rPr>
        <w:footnoteReference w:id="376"/>
      </w:r>
      <w:bookmarkEnd w:id="72"/>
      <w:bookmarkEnd w:id="73"/>
      <w:r w:rsidRPr="00677ABE">
        <w:rPr>
          <w:rFonts w:cs="Times New Roman"/>
        </w:rPr>
        <w:t xml:space="preserve"> </w:t>
      </w:r>
    </w:p>
    <w:p w14:paraId="0AC8F20C" w14:textId="77777777" w:rsidR="00F20B84" w:rsidRDefault="00A0380E" w:rsidP="00CA2C0A">
      <w:pPr>
        <w:outlineLvl w:val="0"/>
        <w:rPr>
          <w:rFonts w:cs="Times New Roman"/>
        </w:rPr>
      </w:pPr>
      <w:r w:rsidRPr="00677ABE">
        <w:rPr>
          <w:rFonts w:cs="Times New Roman"/>
        </w:rPr>
        <w:tab/>
      </w:r>
      <w:bookmarkStart w:id="74" w:name="_Toc526368129"/>
      <w:bookmarkStart w:id="75" w:name="_Toc526093281"/>
      <w:r w:rsidRPr="00677ABE">
        <w:rPr>
          <w:rFonts w:cs="Times New Roman"/>
        </w:rPr>
        <w:t>Judge Newman dissented, stating that the majority was wrong to attribute the evidence of eventual commercial success to the existence of the blocking patent and not to nonobviousness.</w:t>
      </w:r>
      <w:r w:rsidRPr="00677ABE">
        <w:rPr>
          <w:rStyle w:val="FootnoteReference"/>
          <w:rFonts w:cs="Times New Roman"/>
        </w:rPr>
        <w:footnoteReference w:id="377"/>
      </w:r>
      <w:r w:rsidRPr="00677ABE">
        <w:rPr>
          <w:rFonts w:cs="Times New Roman"/>
        </w:rPr>
        <w:t xml:space="preserve"> Judge Newman would have expected innovators to use the safe harbor and related rights to research on patented subject matter.</w:t>
      </w:r>
      <w:r w:rsidRPr="00677ABE">
        <w:rPr>
          <w:rStyle w:val="FootnoteReference"/>
          <w:rFonts w:cs="Times New Roman"/>
        </w:rPr>
        <w:footnoteReference w:id="378"/>
      </w:r>
      <w:r w:rsidRPr="00677ABE">
        <w:rPr>
          <w:rFonts w:cs="Times New Roman"/>
        </w:rPr>
        <w:t xml:space="preserve"> Judge Newman also challenged the relevant measure of success; she would have measured commercial </w:t>
      </w:r>
      <w:r w:rsidRPr="00677ABE">
        <w:rPr>
          <w:rFonts w:cs="Times New Roman"/>
        </w:rPr>
        <w:lastRenderedPageBreak/>
        <w:t>performance “against the products available for the same purpose” and “not against infringing copies of the patented product.”</w:t>
      </w:r>
      <w:r w:rsidRPr="00677ABE">
        <w:rPr>
          <w:rStyle w:val="FootnoteReference"/>
          <w:rFonts w:cs="Times New Roman"/>
        </w:rPr>
        <w:footnoteReference w:id="379"/>
      </w:r>
      <w:bookmarkEnd w:id="74"/>
      <w:r w:rsidRPr="00677ABE">
        <w:rPr>
          <w:rFonts w:cs="Times New Roman"/>
        </w:rPr>
        <w:t xml:space="preserve"> </w:t>
      </w:r>
      <w:bookmarkEnd w:id="75"/>
    </w:p>
    <w:p w14:paraId="758A561F" w14:textId="77777777" w:rsidR="00F20B84" w:rsidRDefault="0046504E" w:rsidP="00CA2C0A">
      <w:pPr>
        <w:pStyle w:val="Heading2"/>
      </w:pPr>
      <w:bookmarkStart w:id="76" w:name="_Toc531692752"/>
      <w:r w:rsidRPr="00677ABE">
        <w:t>PTAB Burdens</w:t>
      </w:r>
      <w:bookmarkEnd w:id="76"/>
    </w:p>
    <w:p w14:paraId="559D9184" w14:textId="59FA61E4" w:rsidR="00695AB7" w:rsidRPr="00677ABE" w:rsidRDefault="00695AB7" w:rsidP="00CA2C0A">
      <w:pPr>
        <w:pStyle w:val="Heading3"/>
        <w:ind w:firstLine="0"/>
        <w:rPr>
          <w:rFonts w:cs="Times New Roman"/>
        </w:rPr>
      </w:pPr>
      <w:bookmarkStart w:id="77" w:name="_Toc531692753"/>
      <w:r w:rsidRPr="00677ABE">
        <w:rPr>
          <w:rFonts w:cs="Times New Roman"/>
        </w:rPr>
        <w:t>E.I. DuPont de Nemours &amp; Co. v. Synvina C.V.</w:t>
      </w:r>
      <w:r w:rsidRPr="00677ABE">
        <w:rPr>
          <w:rFonts w:cs="Times New Roman"/>
          <w:i w:val="0"/>
        </w:rPr>
        <w:t>, No. 2017-1977, 2018 WL 4390796 (Fed. Cir. Sept. 17, 2018)</w:t>
      </w:r>
      <w:bookmarkEnd w:id="77"/>
      <w:r w:rsidRPr="00677ABE">
        <w:rPr>
          <w:rFonts w:cs="Times New Roman"/>
          <w:i w:val="0"/>
        </w:rPr>
        <w:t xml:space="preserve"> </w:t>
      </w:r>
    </w:p>
    <w:p w14:paraId="0BC35B7F" w14:textId="5336024C" w:rsidR="00695AB7" w:rsidRPr="00677ABE" w:rsidRDefault="00695AB7" w:rsidP="00CA2C0A">
      <w:pPr>
        <w:outlineLvl w:val="0"/>
        <w:rPr>
          <w:rFonts w:cs="Times New Roman"/>
          <w:color w:val="000000" w:themeColor="text1"/>
        </w:rPr>
      </w:pPr>
      <w:r w:rsidRPr="00677ABE">
        <w:rPr>
          <w:rFonts w:cs="Times New Roman"/>
          <w:b/>
          <w:color w:val="000000" w:themeColor="text1"/>
        </w:rPr>
        <w:tab/>
      </w:r>
      <w:bookmarkStart w:id="78" w:name="_Toc526368148"/>
      <w:r w:rsidRPr="00677ABE">
        <w:rPr>
          <w:rFonts w:cs="Times New Roman"/>
          <w:color w:val="000000" w:themeColor="text1"/>
        </w:rPr>
        <w:t>In this appeal from the Patent Trial and Appeal Board (“PTAB”), the Federal Circuit reversed the PTAB’s finding that a patent was not invalid for obviousness.</w:t>
      </w:r>
      <w:r w:rsidRPr="00677ABE">
        <w:rPr>
          <w:rStyle w:val="FootnoteReference"/>
          <w:rFonts w:cs="Times New Roman"/>
          <w:color w:val="000000" w:themeColor="text1"/>
        </w:rPr>
        <w:footnoteReference w:id="380"/>
      </w:r>
      <w:r w:rsidRPr="00677ABE">
        <w:rPr>
          <w:rFonts w:cs="Times New Roman"/>
          <w:color w:val="000000" w:themeColor="text1"/>
        </w:rPr>
        <w:t xml:space="preserve"> In so doing, the Federal Circuit extended to </w:t>
      </w:r>
      <w:r w:rsidRPr="00677ABE">
        <w:rPr>
          <w:rFonts w:cs="Times New Roman"/>
          <w:i/>
          <w:color w:val="000000" w:themeColor="text1"/>
        </w:rPr>
        <w:t xml:space="preserve">inter partes </w:t>
      </w:r>
      <w:r w:rsidRPr="00677ABE">
        <w:rPr>
          <w:rFonts w:cs="Times New Roman"/>
          <w:color w:val="000000" w:themeColor="text1"/>
        </w:rPr>
        <w:t>review (“IPR”) the rule from district court adjudications that</w:t>
      </w:r>
      <w:bookmarkEnd w:id="78"/>
      <w:r w:rsidRPr="00677ABE">
        <w:rPr>
          <w:rFonts w:cs="Times New Roman"/>
          <w:color w:val="000000" w:themeColor="text1"/>
        </w:rPr>
        <w:t xml:space="preserve"> </w:t>
      </w:r>
    </w:p>
    <w:p w14:paraId="6099CF08" w14:textId="77777777" w:rsidR="00695AB7" w:rsidRPr="00677ABE" w:rsidRDefault="00695AB7" w:rsidP="00CA2C0A">
      <w:pPr>
        <w:ind w:left="720"/>
        <w:outlineLvl w:val="0"/>
        <w:rPr>
          <w:rFonts w:cs="Times New Roman"/>
          <w:color w:val="000000" w:themeColor="text1"/>
        </w:rPr>
      </w:pPr>
      <w:bookmarkStart w:id="79" w:name="_Toc526368149"/>
      <w:r w:rsidRPr="00677ABE">
        <w:rPr>
          <w:rFonts w:cs="Times New Roman"/>
          <w:color w:val="000000" w:themeColor="text1"/>
        </w:rPr>
        <w:t>“where there is a range disclosed in the prior art, and the claimed invention falls within that range, the burden of production falls upon the patentee to come forward with evidence” of teaching away, unexpected results or criticality, or other pertinent objective indicia indicating that the overlapping range would not have been obvious in light of that prior art.</w:t>
      </w:r>
      <w:r w:rsidRPr="00677ABE">
        <w:rPr>
          <w:rStyle w:val="FootnoteReference"/>
          <w:rFonts w:cs="Times New Roman"/>
          <w:color w:val="000000" w:themeColor="text1"/>
        </w:rPr>
        <w:footnoteReference w:id="381"/>
      </w:r>
      <w:bookmarkEnd w:id="79"/>
      <w:r w:rsidRPr="00677ABE">
        <w:rPr>
          <w:rFonts w:cs="Times New Roman"/>
          <w:color w:val="000000" w:themeColor="text1"/>
        </w:rPr>
        <w:t xml:space="preserve"> </w:t>
      </w:r>
    </w:p>
    <w:p w14:paraId="07A85315" w14:textId="423E5CA7" w:rsidR="00695AB7" w:rsidRPr="00677ABE" w:rsidRDefault="00695AB7" w:rsidP="00CA2C0A">
      <w:pPr>
        <w:outlineLvl w:val="0"/>
        <w:rPr>
          <w:rFonts w:cs="Times New Roman"/>
          <w:color w:val="000000" w:themeColor="text1"/>
        </w:rPr>
      </w:pPr>
      <w:bookmarkStart w:id="80" w:name="_Toc526368150"/>
      <w:r w:rsidRPr="00677ABE">
        <w:rPr>
          <w:rFonts w:cs="Times New Roman"/>
          <w:color w:val="000000" w:themeColor="text1"/>
        </w:rPr>
        <w:t>The case concerned the ‘921 reference, which disclosed reaction conditions for oxidizing one particular chemical (or its derivatives) to form another chemical recognized as a potential “building block[]” in the green chemical industry.</w:t>
      </w:r>
      <w:r w:rsidRPr="00677ABE">
        <w:rPr>
          <w:rStyle w:val="FootnoteReference"/>
          <w:rFonts w:cs="Times New Roman"/>
          <w:color w:val="000000" w:themeColor="text1"/>
        </w:rPr>
        <w:footnoteReference w:id="382"/>
      </w:r>
      <w:r w:rsidRPr="00677ABE">
        <w:rPr>
          <w:rFonts w:cs="Times New Roman"/>
          <w:color w:val="000000" w:themeColor="text1"/>
        </w:rPr>
        <w:t xml:space="preserve"> Prior art addressed the same reaction but disclosed different conditions, including pressure ranges that overlapped with those in ‘921.</w:t>
      </w:r>
      <w:r w:rsidRPr="00677ABE">
        <w:rPr>
          <w:rStyle w:val="FootnoteReference"/>
          <w:rFonts w:cs="Times New Roman"/>
          <w:color w:val="000000" w:themeColor="text1"/>
        </w:rPr>
        <w:footnoteReference w:id="383"/>
      </w:r>
      <w:r w:rsidRPr="00677ABE">
        <w:rPr>
          <w:rFonts w:cs="Times New Roman"/>
          <w:color w:val="000000" w:themeColor="text1"/>
        </w:rPr>
        <w:t xml:space="preserve"> DuPont petitioned for IPR on obviousness.</w:t>
      </w:r>
      <w:r w:rsidRPr="00677ABE">
        <w:rPr>
          <w:rStyle w:val="FootnoteReference"/>
          <w:rFonts w:cs="Times New Roman"/>
          <w:color w:val="000000" w:themeColor="text1"/>
        </w:rPr>
        <w:footnoteReference w:id="384"/>
      </w:r>
      <w:r w:rsidRPr="00677ABE">
        <w:rPr>
          <w:rFonts w:cs="Times New Roman"/>
          <w:color w:val="000000" w:themeColor="text1"/>
        </w:rPr>
        <w:t xml:space="preserve"> In particular, DuPont asserted that the patentee should bear the burden of disproving obviousness because of the overlapping ranges. The PTAB cited </w:t>
      </w:r>
      <w:r w:rsidRPr="00677ABE">
        <w:rPr>
          <w:rFonts w:cs="Times New Roman"/>
          <w:i/>
          <w:color w:val="000000" w:themeColor="text1"/>
        </w:rPr>
        <w:t>Dynamic Drinkware</w:t>
      </w:r>
      <w:r w:rsidRPr="00677ABE">
        <w:rPr>
          <w:rStyle w:val="FootnoteReference"/>
          <w:rFonts w:cs="Times New Roman"/>
          <w:color w:val="000000" w:themeColor="text1"/>
        </w:rPr>
        <w:footnoteReference w:id="385"/>
      </w:r>
      <w:r w:rsidRPr="00677ABE">
        <w:rPr>
          <w:rFonts w:cs="Times New Roman"/>
          <w:color w:val="000000" w:themeColor="text1"/>
        </w:rPr>
        <w:t xml:space="preserve"> and </w:t>
      </w:r>
      <w:r w:rsidRPr="00677ABE">
        <w:rPr>
          <w:rFonts w:cs="Times New Roman"/>
          <w:i/>
          <w:color w:val="000000" w:themeColor="text1"/>
        </w:rPr>
        <w:t>Magnum Oil</w:t>
      </w:r>
      <w:r w:rsidRPr="00677ABE">
        <w:rPr>
          <w:rStyle w:val="FootnoteReference"/>
          <w:rFonts w:cs="Times New Roman"/>
          <w:color w:val="000000" w:themeColor="text1"/>
        </w:rPr>
        <w:footnoteReference w:id="386"/>
      </w:r>
      <w:r w:rsidRPr="00677ABE">
        <w:rPr>
          <w:rFonts w:cs="Times New Roman"/>
          <w:color w:val="000000" w:themeColor="text1"/>
        </w:rPr>
        <w:t xml:space="preserve"> as holding that no burden shifting could occur in IPR, and decided the patent was not obvious.</w:t>
      </w:r>
      <w:r w:rsidRPr="00677ABE">
        <w:rPr>
          <w:rStyle w:val="FootnoteReference"/>
          <w:rFonts w:cs="Times New Roman"/>
          <w:color w:val="000000" w:themeColor="text1"/>
        </w:rPr>
        <w:footnoteReference w:id="387"/>
      </w:r>
      <w:bookmarkEnd w:id="80"/>
      <w:r w:rsidR="00AC00E6">
        <w:rPr>
          <w:rFonts w:cs="Times New Roman"/>
          <w:color w:val="000000" w:themeColor="text1"/>
        </w:rPr>
        <w:t xml:space="preserve"> </w:t>
      </w:r>
    </w:p>
    <w:p w14:paraId="2089475D" w14:textId="77777777" w:rsidR="00F20B84" w:rsidRDefault="00695AB7" w:rsidP="00CA2C0A">
      <w:pPr>
        <w:outlineLvl w:val="0"/>
        <w:rPr>
          <w:rFonts w:cs="Times New Roman"/>
          <w:color w:val="000000" w:themeColor="text1"/>
        </w:rPr>
      </w:pPr>
      <w:r w:rsidRPr="00677ABE">
        <w:rPr>
          <w:rFonts w:cs="Times New Roman"/>
          <w:color w:val="000000" w:themeColor="text1"/>
        </w:rPr>
        <w:tab/>
      </w:r>
      <w:bookmarkStart w:id="81" w:name="_Toc526368151"/>
      <w:r w:rsidRPr="00677ABE">
        <w:rPr>
          <w:rFonts w:cs="Times New Roman"/>
          <w:color w:val="000000" w:themeColor="text1"/>
        </w:rPr>
        <w:t>On appeal, the Federal Circuit reversed.</w:t>
      </w:r>
      <w:r w:rsidRPr="00677ABE">
        <w:rPr>
          <w:rStyle w:val="FootnoteReference"/>
          <w:rFonts w:cs="Times New Roman"/>
          <w:color w:val="000000" w:themeColor="text1"/>
        </w:rPr>
        <w:footnoteReference w:id="388"/>
      </w:r>
      <w:r w:rsidRPr="00677ABE">
        <w:rPr>
          <w:rFonts w:cs="Times New Roman"/>
          <w:color w:val="000000" w:themeColor="text1"/>
        </w:rPr>
        <w:t xml:space="preserve"> The Federal Circuit clarified that even if its precedent disfavored burden shifting in IPR, the practical burden shifting DuPont urged did not require actual burden shifting.</w:t>
      </w:r>
      <w:r w:rsidRPr="00677ABE">
        <w:rPr>
          <w:rStyle w:val="FootnoteReference"/>
          <w:rFonts w:cs="Times New Roman"/>
          <w:color w:val="000000" w:themeColor="text1"/>
        </w:rPr>
        <w:footnoteReference w:id="389"/>
      </w:r>
      <w:r w:rsidRPr="00677ABE">
        <w:rPr>
          <w:rFonts w:cs="Times New Roman"/>
          <w:color w:val="000000" w:themeColor="text1"/>
        </w:rPr>
        <w:t xml:space="preserve"> The patent challenger always bears the burden of showing obviousness, but this burden is initially met when the challenger presents prior art disclosing a range that overlaps with the patented range because, </w:t>
      </w:r>
      <w:r w:rsidRPr="00677ABE">
        <w:rPr>
          <w:rFonts w:cs="Times New Roman"/>
          <w:color w:val="000000" w:themeColor="text1"/>
        </w:rPr>
        <w:lastRenderedPageBreak/>
        <w:t>“absent a reason to conclude otherwise, a fact finder is justified in concluding that a disclosed range does just that—discloses the entire range.”</w:t>
      </w:r>
      <w:r w:rsidRPr="00677ABE">
        <w:rPr>
          <w:rStyle w:val="FootnoteReference"/>
          <w:rFonts w:cs="Times New Roman"/>
          <w:color w:val="000000" w:themeColor="text1"/>
        </w:rPr>
        <w:footnoteReference w:id="390"/>
      </w:r>
      <w:r w:rsidRPr="00677ABE">
        <w:rPr>
          <w:rFonts w:cs="Times New Roman"/>
          <w:color w:val="000000" w:themeColor="text1"/>
        </w:rPr>
        <w:t xml:space="preserve"> To forestall that result, then, as a practical matter, the patentee must provide the reason not to conclude the entire range is disclosed.</w:t>
      </w:r>
      <w:r w:rsidRPr="00677ABE">
        <w:rPr>
          <w:rStyle w:val="FootnoteReference"/>
          <w:rFonts w:cs="Times New Roman"/>
          <w:color w:val="000000" w:themeColor="text1"/>
        </w:rPr>
        <w:footnoteReference w:id="391"/>
      </w:r>
      <w:r w:rsidRPr="00677ABE">
        <w:rPr>
          <w:rFonts w:cs="Times New Roman"/>
          <w:color w:val="000000" w:themeColor="text1"/>
        </w:rPr>
        <w:t xml:space="preserve"> Applying this analysis, the Federal Circuit reversed; there was no reason not to conclude the patented conditions were not already disclosed.</w:t>
      </w:r>
      <w:r w:rsidRPr="00677ABE">
        <w:rPr>
          <w:rStyle w:val="FootnoteReference"/>
          <w:rFonts w:cs="Times New Roman"/>
          <w:color w:val="000000" w:themeColor="text1"/>
        </w:rPr>
        <w:footnoteReference w:id="392"/>
      </w:r>
      <w:bookmarkEnd w:id="81"/>
    </w:p>
    <w:p w14:paraId="6574B953" w14:textId="5716CB7C" w:rsidR="0046504E" w:rsidRPr="00677ABE" w:rsidRDefault="0046504E" w:rsidP="00CA2C0A">
      <w:pPr>
        <w:pStyle w:val="Heading3"/>
        <w:ind w:firstLine="0"/>
        <w:rPr>
          <w:rFonts w:cs="Times New Roman"/>
          <w:i w:val="0"/>
        </w:rPr>
      </w:pPr>
      <w:bookmarkStart w:id="82" w:name="_Toc516586545"/>
      <w:bookmarkStart w:id="83" w:name="_Toc531692754"/>
      <w:r w:rsidRPr="00677ABE">
        <w:rPr>
          <w:rFonts w:cs="Times New Roman"/>
        </w:rPr>
        <w:t>DSS Technology Management, Inc. v. Apple Inc.</w:t>
      </w:r>
      <w:r w:rsidRPr="00677ABE">
        <w:rPr>
          <w:rFonts w:cs="Times New Roman"/>
          <w:i w:val="0"/>
        </w:rPr>
        <w:t>, No. 2016-2523, 2018 WL 1439893 (Fed. Cir. Mar. 23, 2018)</w:t>
      </w:r>
      <w:bookmarkEnd w:id="82"/>
      <w:bookmarkEnd w:id="83"/>
    </w:p>
    <w:p w14:paraId="49F698B1" w14:textId="67BCDCDF" w:rsidR="0046504E" w:rsidRPr="00677ABE" w:rsidRDefault="0046504E" w:rsidP="00CA2C0A">
      <w:pPr>
        <w:rPr>
          <w:rFonts w:cs="Times New Roman"/>
        </w:rPr>
      </w:pPr>
      <w:r w:rsidRPr="00677ABE">
        <w:rPr>
          <w:rFonts w:cs="Times New Roman"/>
          <w:lang w:eastAsia="x-none"/>
        </w:rPr>
        <w:tab/>
      </w:r>
      <w:r w:rsidRPr="00677ABE">
        <w:rPr>
          <w:rFonts w:cs="Times New Roman"/>
        </w:rPr>
        <w:t xml:space="preserve">A divided Federal Circuit panel reversed the PTAB’s finding that certain claims of the </w:t>
      </w:r>
      <w:r w:rsidR="00370148">
        <w:rPr>
          <w:rFonts w:cs="Times New Roman"/>
        </w:rPr>
        <w:t>’2</w:t>
      </w:r>
      <w:r w:rsidRPr="00677ABE">
        <w:rPr>
          <w:rFonts w:cs="Times New Roman"/>
        </w:rPr>
        <w:t>90 patent invalid as obvious because “the Board did not provide a sufficient explanation for its conclusions, and because we cannot glean any such explanation from the record.”</w:t>
      </w:r>
      <w:r w:rsidRPr="00677ABE">
        <w:rPr>
          <w:rStyle w:val="FootnoteReference"/>
          <w:rFonts w:cs="Times New Roman"/>
        </w:rPr>
        <w:footnoteReference w:id="393"/>
      </w:r>
    </w:p>
    <w:p w14:paraId="144C9B97" w14:textId="53725723" w:rsidR="0046504E" w:rsidRPr="00677ABE" w:rsidRDefault="0046504E" w:rsidP="00CA2C0A">
      <w:pPr>
        <w:rPr>
          <w:rFonts w:cs="Times New Roman"/>
        </w:rPr>
      </w:pPr>
      <w:r w:rsidRPr="00677ABE">
        <w:rPr>
          <w:rFonts w:cs="Times New Roman"/>
          <w:lang w:eastAsia="x-none"/>
        </w:rPr>
        <w:tab/>
        <w:t xml:space="preserve">The Board determined that it would have been obvious to modify the base station transmitter in the Natarajan reference to be </w:t>
      </w:r>
      <w:r w:rsidRPr="00677ABE">
        <w:rPr>
          <w:rFonts w:cs="Times New Roman"/>
        </w:rPr>
        <w:t xml:space="preserve">“energized in low duty cycle RF bursts” as claimed by the </w:t>
      </w:r>
      <w:r w:rsidR="00370148">
        <w:rPr>
          <w:rFonts w:cs="Times New Roman"/>
        </w:rPr>
        <w:t>’2</w:t>
      </w:r>
      <w:r w:rsidRPr="00677ABE">
        <w:rPr>
          <w:rFonts w:cs="Times New Roman"/>
        </w:rPr>
        <w:t>90 patent, because to do so would have taken only “ordinary creativity.”</w:t>
      </w:r>
      <w:r w:rsidRPr="00677ABE">
        <w:rPr>
          <w:rStyle w:val="FootnoteReference"/>
          <w:rFonts w:cs="Times New Roman"/>
        </w:rPr>
        <w:footnoteReference w:id="394"/>
      </w:r>
      <w:r w:rsidRPr="00677ABE">
        <w:rPr>
          <w:rFonts w:cs="Times New Roman"/>
        </w:rPr>
        <w:t xml:space="preserve"> Likening the Board’s use of “ordinary creativity” with “common sense,” the Federal Circuit cautioned that that “we have invoked common sense to fill in a </w:t>
      </w:r>
      <w:r w:rsidRPr="00677ABE">
        <w:rPr>
          <w:rFonts w:cs="Times New Roman"/>
          <w:i/>
        </w:rPr>
        <w:t xml:space="preserve">missing </w:t>
      </w:r>
      <w:r w:rsidRPr="00677ABE">
        <w:rPr>
          <w:rFonts w:cs="Times New Roman"/>
        </w:rPr>
        <w:t>limitation only when ‘the limitation in question was unusually simple and the technology particularly straightforward.’”</w:t>
      </w:r>
      <w:r w:rsidRPr="00677ABE">
        <w:rPr>
          <w:rStyle w:val="FootnoteReference"/>
          <w:rFonts w:cs="Times New Roman"/>
        </w:rPr>
        <w:footnoteReference w:id="395"/>
      </w:r>
      <w:r w:rsidRPr="00677ABE">
        <w:rPr>
          <w:rFonts w:cs="Times New Roman"/>
        </w:rPr>
        <w:t xml:space="preserve"> And when common sense is used to supply a claim limitation, the court must conduct a “searching inquiry” for a reasoned basis for resorting to common sense.</w:t>
      </w:r>
      <w:r w:rsidRPr="00677ABE">
        <w:rPr>
          <w:rStyle w:val="FootnoteReference"/>
          <w:rFonts w:cs="Times New Roman"/>
        </w:rPr>
        <w:footnoteReference w:id="396"/>
      </w:r>
      <w:r w:rsidRPr="00677ABE">
        <w:rPr>
          <w:rFonts w:cs="Times New Roman"/>
        </w:rPr>
        <w:t xml:space="preserve"> </w:t>
      </w:r>
    </w:p>
    <w:p w14:paraId="59F9A8CD" w14:textId="77777777" w:rsidR="0046504E" w:rsidRPr="00677ABE" w:rsidRDefault="0046504E" w:rsidP="00CA2C0A">
      <w:pPr>
        <w:rPr>
          <w:rFonts w:cs="Times New Roman"/>
        </w:rPr>
      </w:pPr>
      <w:r w:rsidRPr="00677ABE">
        <w:rPr>
          <w:rFonts w:cs="Times New Roman"/>
          <w:lang w:eastAsia="x-none"/>
        </w:rPr>
        <w:tab/>
      </w:r>
      <w:r w:rsidRPr="00677ABE">
        <w:rPr>
          <w:rFonts w:cs="Times New Roman"/>
        </w:rPr>
        <w:t>The court found that the limitation at issue is not unusually simple or particularly straightforward.</w:t>
      </w:r>
      <w:r w:rsidRPr="00677ABE">
        <w:rPr>
          <w:rStyle w:val="FootnoteReference"/>
          <w:rFonts w:cs="Times New Roman"/>
        </w:rPr>
        <w:footnoteReference w:id="397"/>
      </w:r>
      <w:r w:rsidRPr="00677ABE">
        <w:rPr>
          <w:rFonts w:cs="Times New Roman"/>
        </w:rPr>
        <w:t xml:space="preserve"> The court reasoned that the “bulk” of the patent’s specification is devoted to “the complex communications protocol that enables the claimed ‘low duty cycle’ mode of operation.”</w:t>
      </w:r>
      <w:r w:rsidRPr="00677ABE">
        <w:rPr>
          <w:rStyle w:val="FootnoteReference"/>
          <w:rFonts w:cs="Times New Roman"/>
        </w:rPr>
        <w:footnoteReference w:id="398"/>
      </w:r>
      <w:r w:rsidRPr="00677ABE">
        <w:rPr>
          <w:rFonts w:cs="Times New Roman"/>
        </w:rPr>
        <w:t xml:space="preserve"> The missing limitation “plays a major role in the subject matter claimed.”</w:t>
      </w:r>
      <w:r w:rsidRPr="00677ABE">
        <w:rPr>
          <w:rStyle w:val="FootnoteReference"/>
          <w:rFonts w:cs="Times New Roman"/>
        </w:rPr>
        <w:footnoteReference w:id="399"/>
      </w:r>
    </w:p>
    <w:p w14:paraId="59CD9C1C" w14:textId="77777777" w:rsidR="0046504E" w:rsidRPr="00677ABE" w:rsidRDefault="0046504E" w:rsidP="00CA2C0A">
      <w:pPr>
        <w:rPr>
          <w:rFonts w:cs="Times New Roman"/>
        </w:rPr>
      </w:pPr>
      <w:r w:rsidRPr="00677ABE">
        <w:rPr>
          <w:rFonts w:cs="Times New Roman"/>
          <w:lang w:eastAsia="x-none"/>
        </w:rPr>
        <w:tab/>
      </w:r>
      <w:r w:rsidRPr="00677ABE">
        <w:rPr>
          <w:rFonts w:cs="Times New Roman"/>
        </w:rPr>
        <w:t xml:space="preserve">The Federal Circuit determined that the Board’s decisions did “not satisfy the standard set forth in </w:t>
      </w:r>
      <w:r w:rsidRPr="00677ABE">
        <w:rPr>
          <w:rFonts w:cs="Times New Roman"/>
          <w:i/>
        </w:rPr>
        <w:t>Arendi</w:t>
      </w:r>
      <w:r w:rsidRPr="00677ABE">
        <w:rPr>
          <w:rFonts w:cs="Times New Roman"/>
        </w:rPr>
        <w:t>.”</w:t>
      </w:r>
      <w:r w:rsidRPr="00677ABE">
        <w:rPr>
          <w:rStyle w:val="FootnoteReference"/>
          <w:rFonts w:cs="Times New Roman"/>
        </w:rPr>
        <w:footnoteReference w:id="400"/>
      </w:r>
      <w:r w:rsidRPr="00677ABE">
        <w:rPr>
          <w:rFonts w:cs="Times New Roman"/>
        </w:rPr>
        <w:t xml:space="preserve"> The Board’s analysis “is contained in a single paragraph,” and the conclusory reference to “ordinary creativity” is not enough to satisfy the </w:t>
      </w:r>
      <w:r w:rsidRPr="00677ABE">
        <w:rPr>
          <w:rFonts w:cs="Times New Roman"/>
          <w:i/>
        </w:rPr>
        <w:t>Arendi</w:t>
      </w:r>
      <w:r w:rsidRPr="00677ABE">
        <w:rPr>
          <w:rFonts w:cs="Times New Roman"/>
        </w:rPr>
        <w:t xml:space="preserve"> standard.</w:t>
      </w:r>
      <w:r w:rsidRPr="00677ABE">
        <w:rPr>
          <w:rStyle w:val="FootnoteReference"/>
          <w:rFonts w:cs="Times New Roman"/>
        </w:rPr>
        <w:footnoteReference w:id="401"/>
      </w:r>
      <w:r w:rsidRPr="00677ABE">
        <w:rPr>
          <w:rFonts w:cs="Times New Roman"/>
        </w:rPr>
        <w:t xml:space="preserve"> Although the Board parenthetically noted a declaration from </w:t>
      </w:r>
      <w:r w:rsidRPr="00677ABE">
        <w:rPr>
          <w:rFonts w:cs="Times New Roman"/>
        </w:rPr>
        <w:lastRenderedPageBreak/>
        <w:t>Apple’s expert, that declaration too was conclusory and unspecific.</w:t>
      </w:r>
      <w:r w:rsidRPr="00677ABE">
        <w:rPr>
          <w:rStyle w:val="FootnoteReference"/>
          <w:rFonts w:cs="Times New Roman"/>
        </w:rPr>
        <w:footnoteReference w:id="402"/>
      </w:r>
      <w:r w:rsidRPr="00677ABE">
        <w:rPr>
          <w:rFonts w:cs="Times New Roman"/>
        </w:rPr>
        <w:t xml:space="preserve"> And although the Board spent eight pages discussing each party’s arguments, only one paragraph of the Board’s summary of Apple’s arguments is relevant to the Board’s obviousness conclusion.</w:t>
      </w:r>
      <w:r w:rsidRPr="00677ABE">
        <w:rPr>
          <w:rStyle w:val="FootnoteReference"/>
          <w:rFonts w:cs="Times New Roman"/>
        </w:rPr>
        <w:footnoteReference w:id="403"/>
      </w:r>
      <w:r w:rsidRPr="00677ABE">
        <w:rPr>
          <w:rFonts w:cs="Times New Roman"/>
        </w:rPr>
        <w:t xml:space="preserve"> Accordingly, the Federal Circuit reversed the Board’s ruling.</w:t>
      </w:r>
      <w:r w:rsidRPr="00677ABE">
        <w:rPr>
          <w:rStyle w:val="FootnoteReference"/>
          <w:rFonts w:cs="Times New Roman"/>
        </w:rPr>
        <w:footnoteReference w:id="404"/>
      </w:r>
    </w:p>
    <w:p w14:paraId="494BCDEE" w14:textId="77777777" w:rsidR="00F20B84" w:rsidRDefault="0046504E" w:rsidP="00CA2C0A">
      <w:pPr>
        <w:rPr>
          <w:rFonts w:cs="Times New Roman"/>
        </w:rPr>
      </w:pPr>
      <w:r w:rsidRPr="00677ABE">
        <w:rPr>
          <w:rFonts w:cs="Times New Roman"/>
          <w:lang w:eastAsia="x-none"/>
        </w:rPr>
        <w:tab/>
        <w:t>Judge Newman dissented.</w:t>
      </w:r>
      <w:r w:rsidRPr="00677ABE">
        <w:rPr>
          <w:rStyle w:val="FootnoteReference"/>
          <w:rFonts w:cs="Times New Roman"/>
          <w:lang w:eastAsia="x-none"/>
        </w:rPr>
        <w:footnoteReference w:id="405"/>
      </w:r>
      <w:r w:rsidRPr="00677ABE">
        <w:rPr>
          <w:rFonts w:cs="Times New Roman"/>
          <w:lang w:eastAsia="x-none"/>
        </w:rPr>
        <w:t xml:space="preserve"> In her view, the PTAB’s </w:t>
      </w:r>
      <w:r w:rsidRPr="00677ABE">
        <w:rPr>
          <w:rFonts w:cs="Times New Roman"/>
        </w:rPr>
        <w:t>explanation was sufficient, and even if it were not, “[t]he appropriate action is either (1) to remand for additional explanation, or (2) to decide this question of law,” not to “grant final judgment for the opponent.”</w:t>
      </w:r>
      <w:r w:rsidRPr="00677ABE">
        <w:rPr>
          <w:rStyle w:val="FootnoteReference"/>
          <w:rFonts w:cs="Times New Roman"/>
        </w:rPr>
        <w:footnoteReference w:id="406"/>
      </w:r>
      <w:r w:rsidRPr="00677ABE">
        <w:rPr>
          <w:rFonts w:cs="Times New Roman"/>
        </w:rPr>
        <w:t xml:space="preserve"> The PTAB properly acknowledged and adopted Apple’s cited evidence and expert’s views in its obviousness determination, and substantial evidence was cited and explained in the PTAB’s opinion in support of the conclusion.</w:t>
      </w:r>
      <w:r w:rsidRPr="00677ABE">
        <w:rPr>
          <w:rStyle w:val="FootnoteReference"/>
          <w:rFonts w:cs="Times New Roman"/>
        </w:rPr>
        <w:footnoteReference w:id="407"/>
      </w:r>
      <w:r w:rsidRPr="00677ABE">
        <w:rPr>
          <w:rFonts w:cs="Times New Roman"/>
        </w:rPr>
        <w:t xml:space="preserve"> “That the PTAB framed its analysis in terms of the parties’ arguments and evidence does not render its decision-making </w:t>
      </w:r>
      <w:r w:rsidRPr="00677ABE">
        <w:rPr>
          <w:rFonts w:cs="Times New Roman"/>
          <w:i/>
        </w:rPr>
        <w:t>de facto</w:t>
      </w:r>
      <w:r w:rsidRPr="00677ABE">
        <w:rPr>
          <w:rFonts w:cs="Times New Roman"/>
        </w:rPr>
        <w:t xml:space="preserve"> inadequate.”</w:t>
      </w:r>
      <w:r w:rsidRPr="00677ABE">
        <w:rPr>
          <w:rStyle w:val="FootnoteReference"/>
          <w:rFonts w:cs="Times New Roman"/>
        </w:rPr>
        <w:footnoteReference w:id="408"/>
      </w:r>
      <w:r w:rsidRPr="00677ABE">
        <w:rPr>
          <w:rFonts w:cs="Times New Roman"/>
        </w:rPr>
        <w:t xml:space="preserve"> Finally, Judge Newman argued that reversal is not an appropriate remedy when the Board’s analysis is deficient; rather, the court should have “return[ed] the matter to the PTAB for better explanation.”</w:t>
      </w:r>
      <w:r w:rsidRPr="00677ABE">
        <w:rPr>
          <w:rStyle w:val="FootnoteReference"/>
          <w:rFonts w:cs="Times New Roman"/>
        </w:rPr>
        <w:footnoteReference w:id="409"/>
      </w:r>
    </w:p>
    <w:p w14:paraId="2547237C" w14:textId="77777777" w:rsidR="00F20B84" w:rsidRDefault="00D538B5" w:rsidP="00CA2C0A">
      <w:pPr>
        <w:pStyle w:val="Heading2"/>
      </w:pPr>
      <w:bookmarkStart w:id="84" w:name="_Toc531692755"/>
      <w:r w:rsidRPr="00677ABE">
        <w:t>Obviousness and Inherency</w:t>
      </w:r>
      <w:bookmarkEnd w:id="84"/>
    </w:p>
    <w:p w14:paraId="48A144A2" w14:textId="54D49D3C" w:rsidR="009D5D38" w:rsidRPr="00300BD8" w:rsidRDefault="009D5D38" w:rsidP="009D5D38">
      <w:pPr>
        <w:pStyle w:val="Heading3"/>
      </w:pPr>
      <w:bookmarkStart w:id="85" w:name="_Toc516586550"/>
      <w:r>
        <w:tab/>
      </w:r>
      <w:bookmarkStart w:id="86" w:name="_Toc531692756"/>
      <w:r w:rsidRPr="00300BD8">
        <w:t>In re Copaxone Consolidated Cases</w:t>
      </w:r>
      <w:r w:rsidRPr="009D5D38">
        <w:rPr>
          <w:i w:val="0"/>
        </w:rPr>
        <w:t>, No. 2017-1575, 2018 U.S. App. LEXIS 28751 (Fed. Cir. Oct. 12, 2018)</w:t>
      </w:r>
      <w:bookmarkEnd w:id="86"/>
    </w:p>
    <w:p w14:paraId="4CEE53B2" w14:textId="3BEDEDB7" w:rsidR="009D5D38" w:rsidRPr="00300BD8" w:rsidRDefault="009D5D38" w:rsidP="009D5D38">
      <w:pPr>
        <w:ind w:firstLine="720"/>
        <w:rPr>
          <w:rFonts w:cs="Times New Roman"/>
          <w:color w:val="000000" w:themeColor="text1"/>
        </w:rPr>
      </w:pPr>
      <w:r w:rsidRPr="00300BD8">
        <w:rPr>
          <w:rFonts w:cs="Times New Roman"/>
          <w:color w:val="000000" w:themeColor="text1"/>
        </w:rPr>
        <w:t>In this appeal from the District Court of Delaware, the Federal Circuit held a treatment regimen invalid for obviousness over a prior regimen and other prior art,</w:t>
      </w:r>
      <w:r w:rsidRPr="00300BD8">
        <w:rPr>
          <w:rStyle w:val="FootnoteReference"/>
          <w:rFonts w:cs="Times New Roman"/>
          <w:color w:val="000000" w:themeColor="text1"/>
        </w:rPr>
        <w:footnoteReference w:id="410"/>
      </w:r>
      <w:r w:rsidRPr="00300BD8">
        <w:rPr>
          <w:rFonts w:cs="Times New Roman"/>
          <w:color w:val="000000" w:themeColor="text1"/>
        </w:rPr>
        <w:t xml:space="preserve"> reaffirming that the practical constraints of drug development, FDA approval, and patient acceptance limit the options a person having ordinary skill in the art would attempt, and so affect the obviousness inquiry.</w:t>
      </w:r>
      <w:r w:rsidRPr="00300BD8">
        <w:rPr>
          <w:rStyle w:val="FootnoteReference"/>
          <w:rFonts w:cs="Times New Roman"/>
          <w:color w:val="000000" w:themeColor="text1"/>
        </w:rPr>
        <w:footnoteReference w:id="411"/>
      </w:r>
      <w:r w:rsidRPr="00300BD8">
        <w:rPr>
          <w:rFonts w:cs="Times New Roman"/>
          <w:color w:val="000000" w:themeColor="text1"/>
        </w:rPr>
        <w:t xml:space="preserve">  </w:t>
      </w:r>
    </w:p>
    <w:p w14:paraId="6E0DB1FF" w14:textId="0C2D1DBD" w:rsidR="009D5D38" w:rsidRPr="00300BD8" w:rsidRDefault="009D5D38" w:rsidP="009D5D38">
      <w:pPr>
        <w:ind w:firstLine="720"/>
        <w:rPr>
          <w:rFonts w:cs="Times New Roman"/>
          <w:color w:val="000000" w:themeColor="text1"/>
        </w:rPr>
      </w:pPr>
      <w:r w:rsidRPr="00300BD8">
        <w:rPr>
          <w:rFonts w:cs="Times New Roman"/>
          <w:color w:val="000000" w:themeColor="text1"/>
        </w:rPr>
        <w:t>The case concerned severa</w:t>
      </w:r>
      <w:r w:rsidR="002A08D5">
        <w:rPr>
          <w:rFonts w:cs="Times New Roman"/>
          <w:color w:val="000000" w:themeColor="text1"/>
        </w:rPr>
        <w:t>l patents that describe Copaxone</w:t>
      </w:r>
      <w:r w:rsidRPr="00300BD8">
        <w:rPr>
          <w:rFonts w:cs="Times New Roman"/>
          <w:color w:val="000000" w:themeColor="text1"/>
        </w:rPr>
        <w:t>, a treatment for relapsing-remitting multiple sclerosis. The treatment is to be taken three times per week, each time using a syringe prefilled with a single 40mg/ML dose of glatiramer acetate (“GA”) (the entire treatment being abbreviated “40mg GA 3x/week”).</w:t>
      </w:r>
      <w:r w:rsidRPr="00300BD8">
        <w:rPr>
          <w:rStyle w:val="FootnoteReference"/>
          <w:rFonts w:cs="Times New Roman"/>
          <w:color w:val="000000" w:themeColor="text1"/>
        </w:rPr>
        <w:footnoteReference w:id="412"/>
      </w:r>
      <w:r w:rsidRPr="00300BD8">
        <w:rPr>
          <w:rFonts w:cs="Times New Roman"/>
          <w:color w:val="000000" w:themeColor="text1"/>
        </w:rPr>
        <w:t xml:space="preserve"> The priority date was in 2009. The prior art included an orphan drug using a 20mg daily injection approved in 1996 (20mg GA 7x/week).</w:t>
      </w:r>
      <w:r w:rsidRPr="00300BD8">
        <w:rPr>
          <w:rStyle w:val="FootnoteReference"/>
          <w:rFonts w:cs="Times New Roman"/>
          <w:color w:val="000000" w:themeColor="text1"/>
        </w:rPr>
        <w:footnoteReference w:id="413"/>
      </w:r>
      <w:r w:rsidRPr="00300BD8">
        <w:rPr>
          <w:rFonts w:cs="Times New Roman"/>
          <w:color w:val="000000" w:themeColor="text1"/>
        </w:rPr>
        <w:t xml:space="preserve"> </w:t>
      </w:r>
      <w:r w:rsidR="003F6D76">
        <w:rPr>
          <w:rFonts w:cs="Times New Roman"/>
          <w:color w:val="000000" w:themeColor="text1"/>
        </w:rPr>
        <w:t>That orphan</w:t>
      </w:r>
      <w:r w:rsidRPr="00300BD8">
        <w:rPr>
          <w:rFonts w:cs="Times New Roman"/>
          <w:color w:val="000000" w:themeColor="text1"/>
        </w:rPr>
        <w:t xml:space="preserve"> drug’s dosing was not determined according to conventionally rigorous methods, yet because the most common reason for </w:t>
      </w:r>
      <w:r w:rsidRPr="00300BD8">
        <w:rPr>
          <w:rFonts w:cs="Times New Roman"/>
          <w:color w:val="000000" w:themeColor="text1"/>
        </w:rPr>
        <w:lastRenderedPageBreak/>
        <w:t>patient dropout was “injection site reaction,” a researcher and the FDA urged further research into the frequency and amount of dosing.</w:t>
      </w:r>
      <w:r w:rsidRPr="00300BD8">
        <w:rPr>
          <w:rStyle w:val="FootnoteReference"/>
          <w:rFonts w:cs="Times New Roman"/>
          <w:color w:val="000000" w:themeColor="text1"/>
        </w:rPr>
        <w:footnoteReference w:id="414"/>
      </w:r>
      <w:r w:rsidRPr="00300BD8">
        <w:rPr>
          <w:rFonts w:cs="Times New Roman"/>
          <w:color w:val="000000" w:themeColor="text1"/>
        </w:rPr>
        <w:t xml:space="preserve"> </w:t>
      </w:r>
      <w:r w:rsidR="003F6D76">
        <w:rPr>
          <w:rFonts w:cs="Times New Roman"/>
          <w:color w:val="000000" w:themeColor="text1"/>
        </w:rPr>
        <w:t>Heeding</w:t>
      </w:r>
      <w:r w:rsidRPr="00300BD8">
        <w:rPr>
          <w:rFonts w:cs="Times New Roman"/>
          <w:color w:val="000000" w:themeColor="text1"/>
        </w:rPr>
        <w:t xml:space="preserve"> </w:t>
      </w:r>
      <w:r w:rsidR="003F6D76">
        <w:rPr>
          <w:rFonts w:cs="Times New Roman"/>
          <w:color w:val="000000" w:themeColor="text1"/>
        </w:rPr>
        <w:t>the</w:t>
      </w:r>
      <w:r w:rsidRPr="00300BD8">
        <w:rPr>
          <w:rFonts w:cs="Times New Roman"/>
          <w:color w:val="000000" w:themeColor="text1"/>
        </w:rPr>
        <w:t xml:space="preserve"> call, a 2002 study researched the frequency of dosing: it dosed at 20mg every</w:t>
      </w:r>
      <w:r w:rsidR="003F6D76">
        <w:rPr>
          <w:rFonts w:cs="Times New Roman"/>
          <w:color w:val="000000" w:themeColor="text1"/>
        </w:rPr>
        <w:t>-</w:t>
      </w:r>
      <w:r w:rsidRPr="00300BD8">
        <w:rPr>
          <w:rFonts w:cs="Times New Roman"/>
          <w:color w:val="000000" w:themeColor="text1"/>
        </w:rPr>
        <w:t>other day (20mg GA 3.5x/week), showing similar benefits and fewer dropouts compared to the 1996 regime (20mg GA 7x/week).</w:t>
      </w:r>
      <w:r w:rsidRPr="00300BD8">
        <w:rPr>
          <w:rStyle w:val="FootnoteReference"/>
          <w:rFonts w:cs="Times New Roman"/>
          <w:color w:val="000000" w:themeColor="text1"/>
        </w:rPr>
        <w:footnoteReference w:id="415"/>
      </w:r>
      <w:r w:rsidRPr="00300BD8">
        <w:rPr>
          <w:rFonts w:cs="Times New Roman"/>
          <w:color w:val="000000" w:themeColor="text1"/>
        </w:rPr>
        <w:t xml:space="preserve"> A 2007 study evaluated a change in amount: it dosed at 40mg daily (40mg GA 7x/week), </w:t>
      </w:r>
      <w:r w:rsidR="003F6D76">
        <w:rPr>
          <w:rFonts w:cs="Times New Roman"/>
          <w:color w:val="000000" w:themeColor="text1"/>
        </w:rPr>
        <w:t>showing</w:t>
      </w:r>
      <w:r w:rsidRPr="00300BD8">
        <w:rPr>
          <w:rFonts w:cs="Times New Roman"/>
          <w:color w:val="000000" w:themeColor="text1"/>
        </w:rPr>
        <w:t xml:space="preserve"> increased benefits without increased side effects compared to the 1996 regime (20mg GA 7x/week).</w:t>
      </w:r>
      <w:r w:rsidRPr="00300BD8">
        <w:rPr>
          <w:rStyle w:val="FootnoteReference"/>
          <w:rFonts w:cs="Times New Roman"/>
          <w:color w:val="000000" w:themeColor="text1"/>
        </w:rPr>
        <w:footnoteReference w:id="416"/>
      </w:r>
      <w:r w:rsidRPr="00300BD8">
        <w:rPr>
          <w:rFonts w:cs="Times New Roman"/>
          <w:color w:val="000000" w:themeColor="text1"/>
        </w:rPr>
        <w:t xml:space="preserve"> Other prior art studies commented on and solidified these findings, including the drug maker’s (“Teva’s”) own Pinchasi reference—which combined less frequent injections with higher amounts of dosing (40mg GA x3.5/week).</w:t>
      </w:r>
      <w:r w:rsidRPr="00300BD8">
        <w:rPr>
          <w:rStyle w:val="FootnoteReference"/>
          <w:rFonts w:cs="Times New Roman"/>
          <w:color w:val="000000" w:themeColor="text1"/>
        </w:rPr>
        <w:footnoteReference w:id="417"/>
      </w:r>
      <w:r w:rsidRPr="00300BD8">
        <w:rPr>
          <w:rFonts w:cs="Times New Roman"/>
          <w:color w:val="000000" w:themeColor="text1"/>
        </w:rPr>
        <w:t xml:space="preserve"> Teva finally chose 40mg GA x3/week for its C</w:t>
      </w:r>
      <w:r w:rsidR="00851295">
        <w:rPr>
          <w:rFonts w:cs="Times New Roman"/>
          <w:color w:val="000000" w:themeColor="text1"/>
        </w:rPr>
        <w:t>opaxone</w:t>
      </w:r>
      <w:r w:rsidRPr="00300BD8">
        <w:rPr>
          <w:rFonts w:cs="Times New Roman"/>
          <w:color w:val="000000" w:themeColor="text1"/>
        </w:rPr>
        <w:t xml:space="preserve"> trial, ostensibly motivated to further reduce adverse reactions to injections</w:t>
      </w:r>
      <w:r w:rsidRPr="00300BD8">
        <w:rPr>
          <w:rStyle w:val="FootnoteReference"/>
          <w:rFonts w:cs="Times New Roman"/>
          <w:color w:val="000000" w:themeColor="text1"/>
        </w:rPr>
        <w:footnoteReference w:id="418"/>
      </w:r>
      <w:r w:rsidRPr="00300BD8">
        <w:rPr>
          <w:rFonts w:cs="Times New Roman"/>
          <w:color w:val="000000" w:themeColor="text1"/>
        </w:rPr>
        <w:t xml:space="preserve"> while roughly equating the weekly </w:t>
      </w:r>
      <w:r w:rsidR="002D7B67">
        <w:rPr>
          <w:rFonts w:cs="Times New Roman"/>
          <w:color w:val="000000" w:themeColor="text1"/>
        </w:rPr>
        <w:t>total dose</w:t>
      </w:r>
      <w:r w:rsidRPr="00300BD8">
        <w:rPr>
          <w:rFonts w:cs="Times New Roman"/>
          <w:color w:val="000000" w:themeColor="text1"/>
        </w:rPr>
        <w:t xml:space="preserve"> of</w:t>
      </w:r>
      <w:r w:rsidR="002D7B67">
        <w:rPr>
          <w:rFonts w:cs="Times New Roman"/>
          <w:color w:val="000000" w:themeColor="text1"/>
        </w:rPr>
        <w:t xml:space="preserve"> the 1996 regimen (</w:t>
      </w:r>
      <w:r w:rsidRPr="00300BD8">
        <w:rPr>
          <w:rFonts w:cs="Times New Roman"/>
          <w:color w:val="000000" w:themeColor="text1"/>
        </w:rPr>
        <w:t>20mg GA x7/week</w:t>
      </w:r>
      <w:r w:rsidR="002D7B67">
        <w:rPr>
          <w:rFonts w:cs="Times New Roman"/>
          <w:color w:val="000000" w:themeColor="text1"/>
        </w:rPr>
        <w:t>)</w:t>
      </w:r>
      <w:r w:rsidRPr="00300BD8">
        <w:rPr>
          <w:rFonts w:cs="Times New Roman"/>
          <w:color w:val="000000" w:themeColor="text1"/>
        </w:rPr>
        <w:t>.</w:t>
      </w:r>
      <w:r w:rsidRPr="00300BD8">
        <w:rPr>
          <w:rStyle w:val="FootnoteReference"/>
          <w:rFonts w:cs="Times New Roman"/>
          <w:color w:val="000000" w:themeColor="text1"/>
        </w:rPr>
        <w:footnoteReference w:id="419"/>
      </w:r>
      <w:r w:rsidRPr="00300BD8">
        <w:rPr>
          <w:rFonts w:cs="Times New Roman"/>
          <w:color w:val="000000" w:themeColor="text1"/>
        </w:rPr>
        <w:t xml:space="preserve"> </w:t>
      </w:r>
    </w:p>
    <w:p w14:paraId="1E7277C7" w14:textId="6DAF3EF5" w:rsidR="009D5D38" w:rsidRPr="00300BD8" w:rsidRDefault="009D5D38" w:rsidP="009D5D38">
      <w:pPr>
        <w:ind w:firstLine="720"/>
        <w:rPr>
          <w:rFonts w:cs="Times New Roman"/>
          <w:color w:val="000000" w:themeColor="text1"/>
        </w:rPr>
      </w:pPr>
      <w:r w:rsidRPr="00300BD8">
        <w:rPr>
          <w:rFonts w:cs="Times New Roman"/>
          <w:color w:val="000000" w:themeColor="text1"/>
        </w:rPr>
        <w:t>Distilling this record, the District Court of Delaware found that ordinarily skilled artisans “would have been motivated to pursue less frequent dosing with a reasonable probability of success,” and that in particular the Pinchasi reference differed from the claimed art only by one dose every two weeks.</w:t>
      </w:r>
      <w:r w:rsidRPr="00300BD8">
        <w:rPr>
          <w:rStyle w:val="FootnoteReference"/>
          <w:rFonts w:cs="Times New Roman"/>
          <w:color w:val="000000" w:themeColor="text1"/>
        </w:rPr>
        <w:footnoteReference w:id="420"/>
      </w:r>
      <w:r w:rsidRPr="00300BD8">
        <w:rPr>
          <w:rFonts w:cs="Times New Roman"/>
          <w:color w:val="000000" w:themeColor="text1"/>
        </w:rPr>
        <w:t xml:space="preserve"> The claims were invalid</w:t>
      </w:r>
      <w:r w:rsidR="002D7B67">
        <w:rPr>
          <w:rFonts w:cs="Times New Roman"/>
          <w:color w:val="000000" w:themeColor="text1"/>
        </w:rPr>
        <w:t xml:space="preserve"> as obvious</w:t>
      </w:r>
      <w:r w:rsidRPr="00300BD8">
        <w:rPr>
          <w:rFonts w:cs="Times New Roman"/>
          <w:color w:val="000000" w:themeColor="text1"/>
        </w:rPr>
        <w:t>.</w:t>
      </w:r>
      <w:r w:rsidRPr="00300BD8">
        <w:rPr>
          <w:rStyle w:val="FootnoteReference"/>
          <w:rFonts w:cs="Times New Roman"/>
          <w:color w:val="000000" w:themeColor="text1"/>
        </w:rPr>
        <w:footnoteReference w:id="421"/>
      </w:r>
      <w:r w:rsidRPr="00300BD8">
        <w:rPr>
          <w:rFonts w:cs="Times New Roman"/>
          <w:color w:val="000000" w:themeColor="text1"/>
        </w:rPr>
        <w:t xml:space="preserve"> </w:t>
      </w:r>
    </w:p>
    <w:p w14:paraId="2869D5C0" w14:textId="4ADC04F9" w:rsidR="009D5D38" w:rsidRPr="00300BD8" w:rsidRDefault="009D5D38" w:rsidP="009D5D38">
      <w:pPr>
        <w:ind w:firstLine="720"/>
        <w:rPr>
          <w:rFonts w:cs="Times New Roman"/>
          <w:color w:val="000000" w:themeColor="text1"/>
        </w:rPr>
      </w:pPr>
      <w:r w:rsidRPr="00300BD8">
        <w:rPr>
          <w:rFonts w:cs="Times New Roman"/>
          <w:color w:val="000000" w:themeColor="text1"/>
        </w:rPr>
        <w:t xml:space="preserve">On appeal, the Federal Circuit affirmed. Teva argued that the district court </w:t>
      </w:r>
      <w:r w:rsidR="002D7B67">
        <w:rPr>
          <w:rFonts w:cs="Times New Roman"/>
          <w:color w:val="000000" w:themeColor="text1"/>
        </w:rPr>
        <w:t xml:space="preserve">had </w:t>
      </w:r>
      <w:r w:rsidRPr="00300BD8">
        <w:rPr>
          <w:rFonts w:cs="Times New Roman"/>
          <w:color w:val="000000" w:themeColor="text1"/>
        </w:rPr>
        <w:t>inappropriately limited analysis to combinations from among “two dosing options (40mg and 20mg), two regimens (1x/week and 3x/week), and one form (injections).”</w:t>
      </w:r>
      <w:r w:rsidRPr="00300BD8">
        <w:rPr>
          <w:rStyle w:val="FootnoteReference"/>
          <w:rFonts w:cs="Times New Roman"/>
          <w:color w:val="000000" w:themeColor="text1"/>
        </w:rPr>
        <w:footnoteReference w:id="422"/>
      </w:r>
      <w:r w:rsidRPr="00300BD8">
        <w:rPr>
          <w:rFonts w:cs="Times New Roman"/>
          <w:color w:val="000000" w:themeColor="text1"/>
        </w:rPr>
        <w:t xml:space="preserve"> The district court disagreed. The literature and the practical realities of drug development and delivery (including FDA approval and patient acceptance) limited the combinations to a small number.</w:t>
      </w:r>
      <w:r w:rsidRPr="00300BD8">
        <w:rPr>
          <w:rStyle w:val="FootnoteReference"/>
          <w:rFonts w:cs="Times New Roman"/>
          <w:color w:val="000000" w:themeColor="text1"/>
        </w:rPr>
        <w:footnoteReference w:id="423"/>
      </w:r>
      <w:r w:rsidRPr="00300BD8">
        <w:rPr>
          <w:rFonts w:cs="Times New Roman"/>
          <w:color w:val="000000" w:themeColor="text1"/>
        </w:rPr>
        <w:t xml:space="preserve"> And among the options, 40mg was obviously preferred to 20mg, and fewer injections on fixed days of the week were obviously preferred to more injections on shifting days (as every-other-day regimes require).</w:t>
      </w:r>
      <w:r w:rsidRPr="00300BD8">
        <w:rPr>
          <w:rStyle w:val="FootnoteReference"/>
          <w:rFonts w:cs="Times New Roman"/>
          <w:color w:val="000000" w:themeColor="text1"/>
        </w:rPr>
        <w:footnoteReference w:id="424"/>
      </w:r>
      <w:r w:rsidRPr="00300BD8">
        <w:rPr>
          <w:rStyle w:val="FootnoteReference"/>
          <w:rFonts w:cs="Times New Roman"/>
          <w:color w:val="000000" w:themeColor="text1"/>
        </w:rPr>
        <w:t xml:space="preserve"> </w:t>
      </w:r>
      <w:r w:rsidRPr="00300BD8">
        <w:rPr>
          <w:rFonts w:cs="Times New Roman"/>
          <w:color w:val="000000" w:themeColor="text1"/>
        </w:rPr>
        <w:t xml:space="preserve">The dose of 40mg and the thrice-weekly schedule were each obvious to try independently, and the combination of both </w:t>
      </w:r>
      <w:r w:rsidRPr="00300BD8">
        <w:rPr>
          <w:rFonts w:cs="Times New Roman"/>
          <w:color w:val="000000" w:themeColor="text1"/>
        </w:rPr>
        <w:lastRenderedPageBreak/>
        <w:t>was also obvious.</w:t>
      </w:r>
      <w:r w:rsidRPr="00300BD8">
        <w:rPr>
          <w:rStyle w:val="FootnoteReference"/>
          <w:rFonts w:cs="Times New Roman"/>
          <w:color w:val="000000" w:themeColor="text1"/>
        </w:rPr>
        <w:footnoteReference w:id="425"/>
      </w:r>
      <w:r w:rsidRPr="00300BD8">
        <w:rPr>
          <w:rFonts w:cs="Times New Roman"/>
          <w:color w:val="000000" w:themeColor="text1"/>
        </w:rPr>
        <w:t xml:space="preserve"> Also, by 2005, ordinarily skilled artisans knew oral delivery of this drug was ineffective, leaving subcutaneous delivery preferred.</w:t>
      </w:r>
      <w:r w:rsidRPr="00300BD8">
        <w:rPr>
          <w:rStyle w:val="FootnoteReference"/>
          <w:rFonts w:cs="Times New Roman"/>
          <w:color w:val="000000" w:themeColor="text1"/>
        </w:rPr>
        <w:footnoteReference w:id="426"/>
      </w:r>
      <w:r w:rsidRPr="00300BD8">
        <w:rPr>
          <w:rFonts w:cs="Times New Roman"/>
          <w:color w:val="000000" w:themeColor="text1"/>
        </w:rPr>
        <w:t xml:space="preserve"> </w:t>
      </w:r>
    </w:p>
    <w:p w14:paraId="7F39F306" w14:textId="06A2D142" w:rsidR="009D5D38" w:rsidRPr="00300BD8" w:rsidRDefault="009D5D38" w:rsidP="009D5D38">
      <w:pPr>
        <w:ind w:firstLine="720"/>
        <w:rPr>
          <w:rFonts w:cs="Times New Roman"/>
          <w:color w:val="000000" w:themeColor="text1"/>
        </w:rPr>
      </w:pPr>
      <w:r w:rsidRPr="00300BD8">
        <w:rPr>
          <w:rFonts w:cs="Times New Roman"/>
          <w:color w:val="000000" w:themeColor="text1"/>
        </w:rPr>
        <w:t>Teva</w:t>
      </w:r>
      <w:r w:rsidR="00BA22A2">
        <w:rPr>
          <w:rFonts w:cs="Times New Roman"/>
          <w:color w:val="000000" w:themeColor="text1"/>
        </w:rPr>
        <w:t xml:space="preserve"> also</w:t>
      </w:r>
      <w:r w:rsidRPr="00300BD8">
        <w:rPr>
          <w:rFonts w:cs="Times New Roman"/>
          <w:color w:val="000000" w:themeColor="text1"/>
        </w:rPr>
        <w:t xml:space="preserve"> argued that because the pharmacokinetic and pharmacodynamic (“pk/pd”) profiles of this orphan drug remain unknown, any particular regimen by definition would be a nonobvious one.</w:t>
      </w:r>
      <w:r w:rsidRPr="00300BD8">
        <w:rPr>
          <w:rStyle w:val="FootnoteReference"/>
          <w:rFonts w:cs="Times New Roman"/>
          <w:color w:val="000000" w:themeColor="text1"/>
        </w:rPr>
        <w:footnoteReference w:id="427"/>
      </w:r>
      <w:r w:rsidRPr="00300BD8">
        <w:rPr>
          <w:rFonts w:cs="Times New Roman"/>
          <w:color w:val="000000" w:themeColor="text1"/>
        </w:rPr>
        <w:t xml:space="preserve"> But as a matter of fact, Teva itself, in its 1996 application to the FDA, stated that pk/pd studies “would be of limited value.”</w:t>
      </w:r>
      <w:r w:rsidRPr="00300BD8">
        <w:rPr>
          <w:rStyle w:val="FootnoteReference"/>
          <w:rFonts w:cs="Times New Roman"/>
          <w:color w:val="000000" w:themeColor="text1"/>
        </w:rPr>
        <w:footnoteReference w:id="428"/>
      </w:r>
      <w:r w:rsidRPr="00300BD8">
        <w:rPr>
          <w:rFonts w:cs="Times New Roman"/>
          <w:color w:val="000000" w:themeColor="text1"/>
        </w:rPr>
        <w:t xml:space="preserve"> And as a matter of law, no precedent precluded a finding of obviousness where pk/pd profiles were unknown.</w:t>
      </w:r>
      <w:r w:rsidRPr="00300BD8">
        <w:rPr>
          <w:rStyle w:val="FootnoteReference"/>
          <w:rFonts w:cs="Times New Roman"/>
          <w:color w:val="000000" w:themeColor="text1"/>
        </w:rPr>
        <w:footnoteReference w:id="429"/>
      </w:r>
      <w:r w:rsidRPr="00300BD8">
        <w:rPr>
          <w:rFonts w:cs="Times New Roman"/>
          <w:color w:val="000000" w:themeColor="text1"/>
        </w:rPr>
        <w:t xml:space="preserve"> </w:t>
      </w:r>
    </w:p>
    <w:p w14:paraId="2FFE44C7" w14:textId="512812B9" w:rsidR="009D5D38" w:rsidRPr="009D5D38" w:rsidRDefault="00BA22A2" w:rsidP="009D5D38">
      <w:pPr>
        <w:ind w:firstLine="720"/>
        <w:rPr>
          <w:rFonts w:cs="Times New Roman"/>
          <w:color w:val="000000" w:themeColor="text1"/>
        </w:rPr>
      </w:pPr>
      <w:r>
        <w:rPr>
          <w:rFonts w:cs="Times New Roman"/>
          <w:color w:val="000000" w:themeColor="text1"/>
        </w:rPr>
        <w:t>Finally</w:t>
      </w:r>
      <w:r w:rsidR="009D5D38" w:rsidRPr="00300BD8">
        <w:rPr>
          <w:rFonts w:cs="Times New Roman"/>
          <w:color w:val="000000" w:themeColor="text1"/>
        </w:rPr>
        <w:t>, Teva argued that certain claims were limited by the requirement of improved patient tolerance.</w:t>
      </w:r>
      <w:r w:rsidR="009D5D38" w:rsidRPr="00300BD8">
        <w:rPr>
          <w:rStyle w:val="FootnoteReference"/>
          <w:rFonts w:cs="Times New Roman"/>
          <w:color w:val="000000" w:themeColor="text1"/>
        </w:rPr>
        <w:footnoteReference w:id="430"/>
      </w:r>
      <w:r w:rsidR="009D5D38" w:rsidRPr="00300BD8">
        <w:rPr>
          <w:rFonts w:cs="Times New Roman"/>
          <w:color w:val="000000" w:themeColor="text1"/>
        </w:rPr>
        <w:t xml:space="preserve"> The court found this additional limitation did not make the claims any less obvious</w:t>
      </w:r>
      <w:r w:rsidR="00EF0EEC">
        <w:rPr>
          <w:rFonts w:cs="Times New Roman"/>
          <w:color w:val="000000" w:themeColor="text1"/>
        </w:rPr>
        <w:t xml:space="preserve">. </w:t>
      </w:r>
      <w:r w:rsidR="009D5D38" w:rsidRPr="00300BD8">
        <w:rPr>
          <w:rFonts w:cs="Times New Roman"/>
          <w:color w:val="000000" w:themeColor="text1"/>
        </w:rPr>
        <w:t xml:space="preserve">The district court </w:t>
      </w:r>
      <w:r w:rsidR="00EF0EEC">
        <w:rPr>
          <w:rFonts w:cs="Times New Roman"/>
          <w:color w:val="000000" w:themeColor="text1"/>
        </w:rPr>
        <w:t xml:space="preserve">had </w:t>
      </w:r>
      <w:r w:rsidR="009D5D38" w:rsidRPr="00300BD8">
        <w:rPr>
          <w:rFonts w:cs="Times New Roman"/>
          <w:color w:val="000000" w:themeColor="text1"/>
        </w:rPr>
        <w:t>relied on the prior art, on Teva’s expert’s admissions at trial, and the “common sense” understanding that fewer injections would lead to fewer problems tolerating injections.</w:t>
      </w:r>
      <w:r w:rsidR="009D5D38" w:rsidRPr="00300BD8">
        <w:rPr>
          <w:rStyle w:val="FootnoteReference"/>
          <w:rFonts w:cs="Times New Roman"/>
          <w:color w:val="000000" w:themeColor="text1"/>
        </w:rPr>
        <w:footnoteReference w:id="431"/>
      </w:r>
      <w:r w:rsidR="009D5D38" w:rsidRPr="00300BD8">
        <w:rPr>
          <w:rFonts w:cs="Times New Roman"/>
          <w:color w:val="000000" w:themeColor="text1"/>
        </w:rPr>
        <w:t xml:space="preserve"> Teva also argued the same point with respect to claim limitations requiring reduced frequency and severity of injection site reactions.</w:t>
      </w:r>
      <w:r w:rsidR="009D5D38" w:rsidRPr="00300BD8">
        <w:rPr>
          <w:rStyle w:val="FootnoteReference"/>
          <w:rFonts w:cs="Times New Roman"/>
          <w:color w:val="000000" w:themeColor="text1"/>
        </w:rPr>
        <w:footnoteReference w:id="432"/>
      </w:r>
      <w:r w:rsidR="009D5D38" w:rsidRPr="00300BD8">
        <w:rPr>
          <w:rFonts w:cs="Times New Roman"/>
          <w:color w:val="000000" w:themeColor="text1"/>
        </w:rPr>
        <w:t xml:space="preserve"> Here, too, an ordinarily skilled artisan would have reasonably expected both outcomes to result from reduced frequency of injection, as Teva’s expert admitted.</w:t>
      </w:r>
      <w:r w:rsidR="009D5D38" w:rsidRPr="00300BD8">
        <w:rPr>
          <w:rStyle w:val="FootnoteReference"/>
          <w:rFonts w:cs="Times New Roman"/>
          <w:color w:val="000000" w:themeColor="text1"/>
        </w:rPr>
        <w:footnoteReference w:id="433"/>
      </w:r>
    </w:p>
    <w:p w14:paraId="06043BF8" w14:textId="5107B6D7" w:rsidR="00D538B5" w:rsidRPr="00677ABE" w:rsidRDefault="00D538B5" w:rsidP="00CA2C0A">
      <w:pPr>
        <w:pStyle w:val="Heading3"/>
        <w:ind w:firstLine="0"/>
        <w:rPr>
          <w:rFonts w:cs="Times New Roman"/>
          <w:i w:val="0"/>
        </w:rPr>
      </w:pPr>
      <w:bookmarkStart w:id="87" w:name="_Toc531692757"/>
      <w:r w:rsidRPr="00677ABE">
        <w:rPr>
          <w:rFonts w:cs="Times New Roman"/>
        </w:rPr>
        <w:t>Monsanto Technology LLC v. E.I. DuPont de Nemours &amp; Co.</w:t>
      </w:r>
      <w:r w:rsidRPr="00677ABE">
        <w:rPr>
          <w:rFonts w:cs="Times New Roman"/>
          <w:i w:val="0"/>
        </w:rPr>
        <w:t>, 878 F.3d 1336 (Fed. Cir. Jan. 5, 2018)</w:t>
      </w:r>
      <w:bookmarkEnd w:id="85"/>
      <w:bookmarkEnd w:id="87"/>
    </w:p>
    <w:p w14:paraId="6B7D4E37" w14:textId="77777777" w:rsidR="00D538B5" w:rsidRPr="00677ABE" w:rsidRDefault="00D538B5" w:rsidP="00CA2C0A">
      <w:pPr>
        <w:rPr>
          <w:rFonts w:cs="Times New Roman"/>
        </w:rPr>
      </w:pPr>
      <w:r w:rsidRPr="00677ABE">
        <w:rPr>
          <w:rFonts w:cs="Times New Roman"/>
          <w:lang w:eastAsia="x-none"/>
        </w:rPr>
        <w:tab/>
      </w:r>
      <w:r w:rsidRPr="00677ABE">
        <w:rPr>
          <w:rFonts w:cs="Times New Roman"/>
        </w:rPr>
        <w:t>The Federal Circuit affirmed the PTAB’s finding during inter partes review that certain claims of the challenged patent were anticipated by Booth and that another claim was obvious in view of Booth.</w:t>
      </w:r>
      <w:r w:rsidRPr="00677ABE">
        <w:rPr>
          <w:rStyle w:val="FootnoteReference"/>
          <w:rFonts w:cs="Times New Roman"/>
        </w:rPr>
        <w:footnoteReference w:id="434"/>
      </w:r>
      <w:r w:rsidRPr="00677ABE">
        <w:rPr>
          <w:rFonts w:cs="Times New Roman"/>
        </w:rPr>
        <w:t xml:space="preserve"> DuPont argued that the Booth reference inherently anticipated some of the challenged claims and submitted two declarations (“Kinney Declarations”) from one of Booth’s named inventors in support of its inherency argument.</w:t>
      </w:r>
      <w:r w:rsidRPr="00677ABE">
        <w:rPr>
          <w:rStyle w:val="FootnoteReference"/>
          <w:rFonts w:cs="Times New Roman"/>
        </w:rPr>
        <w:footnoteReference w:id="435"/>
      </w:r>
      <w:r w:rsidRPr="00677ABE">
        <w:rPr>
          <w:rFonts w:cs="Times New Roman"/>
        </w:rPr>
        <w:t xml:space="preserve"> Relying in part on the Kinney Declarations, the PTAB agreed.</w:t>
      </w:r>
      <w:r w:rsidRPr="00677ABE">
        <w:rPr>
          <w:rStyle w:val="FootnoteReference"/>
          <w:rFonts w:cs="Times New Roman"/>
        </w:rPr>
        <w:footnoteReference w:id="436"/>
      </w:r>
    </w:p>
    <w:p w14:paraId="412E8BDE" w14:textId="77777777" w:rsidR="00D538B5" w:rsidRPr="00677ABE" w:rsidRDefault="00D538B5" w:rsidP="00CA2C0A">
      <w:pPr>
        <w:rPr>
          <w:rFonts w:cs="Times New Roman"/>
        </w:rPr>
      </w:pPr>
      <w:r w:rsidRPr="00677ABE">
        <w:rPr>
          <w:rFonts w:cs="Times New Roman"/>
          <w:lang w:eastAsia="x-none"/>
        </w:rPr>
        <w:lastRenderedPageBreak/>
        <w:tab/>
      </w:r>
      <w:r w:rsidRPr="00677ABE">
        <w:rPr>
          <w:rFonts w:cs="Times New Roman"/>
        </w:rPr>
        <w:t>On appeal, Monsanto argued that by relying on the Kinney Declarations, the PTAB impermissibly considered “non-prior art data” and “secret data.”</w:t>
      </w:r>
      <w:r w:rsidRPr="00677ABE">
        <w:rPr>
          <w:rStyle w:val="FootnoteReference"/>
          <w:rFonts w:cs="Times New Roman"/>
        </w:rPr>
        <w:footnoteReference w:id="437"/>
      </w:r>
      <w:r w:rsidRPr="00677ABE">
        <w:rPr>
          <w:rFonts w:cs="Times New Roman"/>
        </w:rPr>
        <w:t xml:space="preserve"> The Federal Circuit disagreed.</w:t>
      </w:r>
      <w:r w:rsidRPr="00677ABE">
        <w:rPr>
          <w:rStyle w:val="FootnoteReference"/>
          <w:rFonts w:cs="Times New Roman"/>
        </w:rPr>
        <w:footnoteReference w:id="438"/>
      </w:r>
    </w:p>
    <w:p w14:paraId="010207CE" w14:textId="77777777" w:rsidR="00F20B84" w:rsidRDefault="00D538B5" w:rsidP="00CA2C0A">
      <w:pPr>
        <w:rPr>
          <w:rFonts w:cs="Times New Roman"/>
        </w:rPr>
      </w:pPr>
      <w:r w:rsidRPr="00677ABE">
        <w:rPr>
          <w:rFonts w:cs="Times New Roman"/>
          <w:lang w:eastAsia="x-none"/>
        </w:rPr>
        <w:tab/>
      </w:r>
      <w:r w:rsidRPr="00677ABE">
        <w:rPr>
          <w:rFonts w:cs="Times New Roman"/>
        </w:rPr>
        <w:t>The Federal Circuit reasoned that “Monsanto confuses prior art with extrinsic evidence used to support what is ‘necessarily present’ in a prior art’s teaching.”</w:t>
      </w:r>
      <w:r w:rsidRPr="00677ABE">
        <w:rPr>
          <w:rStyle w:val="FootnoteReference"/>
          <w:rFonts w:cs="Times New Roman"/>
        </w:rPr>
        <w:footnoteReference w:id="439"/>
      </w:r>
      <w:r w:rsidRPr="00677ABE">
        <w:rPr>
          <w:rFonts w:cs="Times New Roman"/>
        </w:rPr>
        <w:t xml:space="preserve"> The Kinney Declarations “do not expand the meaning of Booth or serve as prior art: they [only] demonstrate what is inherent in Booth.”</w:t>
      </w:r>
      <w:r w:rsidRPr="00677ABE">
        <w:rPr>
          <w:rStyle w:val="FootnoteReference"/>
          <w:rFonts w:cs="Times New Roman"/>
        </w:rPr>
        <w:footnoteReference w:id="440"/>
      </w:r>
      <w:r w:rsidRPr="00677ABE">
        <w:rPr>
          <w:rFonts w:cs="Times New Roman"/>
        </w:rPr>
        <w:t xml:space="preserve"> In addition, the Kinney Declarations are not improper “secret data” merely because they were unpublished.</w:t>
      </w:r>
      <w:r w:rsidRPr="00677ABE">
        <w:rPr>
          <w:rStyle w:val="FootnoteReference"/>
          <w:rFonts w:cs="Times New Roman"/>
        </w:rPr>
        <w:footnoteReference w:id="441"/>
      </w:r>
      <w:r w:rsidRPr="00677ABE">
        <w:rPr>
          <w:rFonts w:cs="Times New Roman"/>
        </w:rPr>
        <w:t xml:space="preserve"> The court reiterated that the declarations “were offered in support of the prior art already of record, Booth, for purposes of anticipation.”</w:t>
      </w:r>
      <w:r w:rsidRPr="00677ABE">
        <w:rPr>
          <w:rStyle w:val="FootnoteReference"/>
          <w:rFonts w:cs="Times New Roman"/>
        </w:rPr>
        <w:footnoteReference w:id="442"/>
      </w:r>
      <w:r w:rsidRPr="00677ABE">
        <w:rPr>
          <w:rFonts w:cs="Times New Roman"/>
        </w:rPr>
        <w:t xml:space="preserve"> The Federal Circuit affirmed the PTAB’s obviousness decision on similar grounds, finding that the extrinsic evidence can similarly “support the finding of obviousness” to the extent the extrinsic evidence sheds light on what was inherently disclosed in Booth.</w:t>
      </w:r>
      <w:r w:rsidRPr="00677ABE">
        <w:rPr>
          <w:rStyle w:val="FootnoteReference"/>
          <w:rFonts w:cs="Times New Roman"/>
        </w:rPr>
        <w:footnoteReference w:id="443"/>
      </w:r>
    </w:p>
    <w:p w14:paraId="743013A7" w14:textId="3529006C" w:rsidR="00A9597F" w:rsidRPr="00677ABE" w:rsidRDefault="00A9597F" w:rsidP="00CA2C0A">
      <w:pPr>
        <w:pStyle w:val="Heading3"/>
        <w:ind w:firstLine="0"/>
        <w:rPr>
          <w:rFonts w:cs="Times New Roman"/>
        </w:rPr>
      </w:pPr>
      <w:bookmarkStart w:id="88" w:name="_Toc531692758"/>
      <w:r w:rsidRPr="00677ABE">
        <w:rPr>
          <w:rFonts w:cs="Times New Roman"/>
        </w:rPr>
        <w:t>Endo Pharms. Sols. Inc.</w:t>
      </w:r>
      <w:r w:rsidR="00712C22" w:rsidRPr="00677ABE">
        <w:rPr>
          <w:rFonts w:cs="Times New Roman"/>
        </w:rPr>
        <w:t xml:space="preserve"> v. </w:t>
      </w:r>
      <w:r w:rsidRPr="00677ABE">
        <w:rPr>
          <w:rFonts w:cs="Times New Roman"/>
        </w:rPr>
        <w:t>Custopharm Inc.</w:t>
      </w:r>
      <w:r w:rsidRPr="00677ABE">
        <w:rPr>
          <w:rFonts w:cs="Times New Roman"/>
          <w:i w:val="0"/>
        </w:rPr>
        <w:t xml:space="preserve">, 894 F.3d 1374 (Fed. Cir. </w:t>
      </w:r>
      <w:r w:rsidR="002B3CF9" w:rsidRPr="00677ABE">
        <w:rPr>
          <w:rFonts w:cs="Times New Roman"/>
          <w:i w:val="0"/>
        </w:rPr>
        <w:t>July </w:t>
      </w:r>
      <w:r w:rsidRPr="00677ABE">
        <w:rPr>
          <w:rFonts w:cs="Times New Roman"/>
          <w:i w:val="0"/>
        </w:rPr>
        <w:t>13, 2018)</w:t>
      </w:r>
      <w:bookmarkEnd w:id="65"/>
      <w:bookmarkEnd w:id="88"/>
    </w:p>
    <w:p w14:paraId="02324F8E" w14:textId="1F043070" w:rsidR="00A9597F" w:rsidRPr="00677ABE" w:rsidRDefault="00A9597F" w:rsidP="00CA2C0A">
      <w:pPr>
        <w:outlineLvl w:val="0"/>
        <w:rPr>
          <w:rFonts w:cs="Times New Roman"/>
        </w:rPr>
      </w:pPr>
      <w:r w:rsidRPr="00677ABE">
        <w:rPr>
          <w:rFonts w:cs="Times New Roman"/>
          <w:b/>
        </w:rPr>
        <w:tab/>
      </w:r>
      <w:bookmarkStart w:id="89" w:name="_Toc526093290"/>
      <w:bookmarkStart w:id="90" w:name="_Toc526368130"/>
      <w:r w:rsidRPr="00677ABE">
        <w:rPr>
          <w:rFonts w:cs="Times New Roman"/>
        </w:rPr>
        <w:t>In this appeal from the District of Delaware, the Federal Circuit affirmed the patent was not obvious over prior art, emphasizing that the challenger bore the burden of showing a limitation inhered in prior art.</w:t>
      </w:r>
      <w:bookmarkEnd w:id="89"/>
      <w:r w:rsidR="00215307" w:rsidRPr="00677ABE">
        <w:rPr>
          <w:rStyle w:val="FootnoteReference"/>
          <w:rFonts w:cs="Times New Roman"/>
        </w:rPr>
        <w:footnoteReference w:id="444"/>
      </w:r>
      <w:bookmarkEnd w:id="90"/>
      <w:r w:rsidRPr="00677ABE">
        <w:rPr>
          <w:rFonts w:cs="Times New Roman"/>
        </w:rPr>
        <w:t xml:space="preserve"> </w:t>
      </w:r>
    </w:p>
    <w:p w14:paraId="5F22AEA9" w14:textId="47B18CA6" w:rsidR="00A9597F" w:rsidRPr="00677ABE" w:rsidRDefault="00A9597F" w:rsidP="00CA2C0A">
      <w:pPr>
        <w:outlineLvl w:val="0"/>
        <w:rPr>
          <w:rFonts w:cs="Times New Roman"/>
        </w:rPr>
      </w:pPr>
      <w:r w:rsidRPr="00677ABE">
        <w:rPr>
          <w:rFonts w:cs="Times New Roman"/>
        </w:rPr>
        <w:tab/>
      </w:r>
      <w:bookmarkStart w:id="91" w:name="_Toc526093291"/>
      <w:bookmarkStart w:id="92" w:name="_Toc526368131"/>
      <w:r w:rsidRPr="00677ABE">
        <w:rPr>
          <w:rFonts w:cs="Times New Roman"/>
        </w:rPr>
        <w:t xml:space="preserve">The case concerned claim 2 of the </w:t>
      </w:r>
      <w:r w:rsidR="00370148">
        <w:rPr>
          <w:rFonts w:cs="Times New Roman"/>
        </w:rPr>
        <w:t>’6</w:t>
      </w:r>
      <w:r w:rsidRPr="00677ABE">
        <w:rPr>
          <w:rFonts w:cs="Times New Roman"/>
        </w:rPr>
        <w:t xml:space="preserve">40 patent and claim 18 of the </w:t>
      </w:r>
      <w:r w:rsidR="00370148">
        <w:rPr>
          <w:rFonts w:cs="Times New Roman"/>
        </w:rPr>
        <w:t>’3</w:t>
      </w:r>
      <w:r w:rsidRPr="00677ABE">
        <w:rPr>
          <w:rFonts w:cs="Times New Roman"/>
        </w:rPr>
        <w:t>95 pat</w:t>
      </w:r>
      <w:r w:rsidR="006E4E4B" w:rsidRPr="00677ABE">
        <w:rPr>
          <w:rFonts w:cs="Times New Roman"/>
        </w:rPr>
        <w:t>ent,</w:t>
      </w:r>
      <w:r w:rsidRPr="00677ABE">
        <w:rPr>
          <w:rFonts w:cs="Times New Roman"/>
        </w:rPr>
        <w:t xml:space="preserve"> </w:t>
      </w:r>
      <w:r w:rsidR="006E4E4B" w:rsidRPr="00677ABE">
        <w:rPr>
          <w:rFonts w:cs="Times New Roman"/>
        </w:rPr>
        <w:t>which</w:t>
      </w:r>
      <w:r w:rsidRPr="00677ABE">
        <w:rPr>
          <w:rFonts w:cs="Times New Roman"/>
        </w:rPr>
        <w:t xml:space="preserve"> covered a dosage and method of injecting testosterone undecanoate (“TU”) to treat men with low testosterone.</w:t>
      </w:r>
      <w:r w:rsidRPr="00677ABE">
        <w:rPr>
          <w:rStyle w:val="FootnoteReference"/>
          <w:rFonts w:cs="Times New Roman"/>
        </w:rPr>
        <w:footnoteReference w:id="445"/>
      </w:r>
      <w:r w:rsidRPr="00677ABE">
        <w:rPr>
          <w:rFonts w:cs="Times New Roman"/>
        </w:rPr>
        <w:t xml:space="preserve"> Among three key advances was the drug-delivery vehicle: castor oil and a co-solvent, where the castor oil is 42% or less by volume.</w:t>
      </w:r>
      <w:r w:rsidRPr="00677ABE">
        <w:rPr>
          <w:rStyle w:val="FootnoteReference"/>
          <w:rFonts w:cs="Times New Roman"/>
        </w:rPr>
        <w:footnoteReference w:id="446"/>
      </w:r>
      <w:r w:rsidRPr="00677ABE">
        <w:rPr>
          <w:rFonts w:cs="Times New Roman"/>
        </w:rPr>
        <w:t xml:space="preserve"> </w:t>
      </w:r>
      <w:r w:rsidR="00432312" w:rsidRPr="00677ABE">
        <w:rPr>
          <w:rFonts w:cs="Times New Roman"/>
        </w:rPr>
        <w:t xml:space="preserve">Generic drugmaker </w:t>
      </w:r>
      <w:r w:rsidRPr="00677ABE">
        <w:rPr>
          <w:rFonts w:cs="Times New Roman"/>
        </w:rPr>
        <w:t xml:space="preserve">Custopharm argued that all three advances were obvious over prior art, and in particular that the </w:t>
      </w:r>
      <w:r w:rsidR="00432312" w:rsidRPr="00677ABE">
        <w:rPr>
          <w:rFonts w:cs="Times New Roman"/>
        </w:rPr>
        <w:t xml:space="preserve">castor oil </w:t>
      </w:r>
      <w:r w:rsidRPr="00677ABE">
        <w:rPr>
          <w:rFonts w:cs="Times New Roman"/>
        </w:rPr>
        <w:t>vehicle was an inherent limitation of the prior art. Indeed, the vehicle used in several pre-critical date studies fell within the formula later claimed, though the studies’ authors made this known only after the patent issued.</w:t>
      </w:r>
      <w:r w:rsidRPr="00677ABE">
        <w:rPr>
          <w:rStyle w:val="FootnoteReference"/>
          <w:rFonts w:cs="Times New Roman"/>
        </w:rPr>
        <w:footnoteReference w:id="447"/>
      </w:r>
      <w:r w:rsidRPr="00677ABE">
        <w:rPr>
          <w:rFonts w:cs="Times New Roman"/>
        </w:rPr>
        <w:t xml:space="preserve"> Custopharm</w:t>
      </w:r>
      <w:r w:rsidR="00432312" w:rsidRPr="00677ABE">
        <w:rPr>
          <w:rFonts w:cs="Times New Roman"/>
        </w:rPr>
        <w:t xml:space="preserve"> bore the burden of provi</w:t>
      </w:r>
      <w:r w:rsidR="00B90CD7" w:rsidRPr="00677ABE">
        <w:rPr>
          <w:rFonts w:cs="Times New Roman"/>
        </w:rPr>
        <w:t xml:space="preserve">ng no other vehicle could have been used by the studies; it did not, and so </w:t>
      </w:r>
      <w:r w:rsidRPr="00677ABE">
        <w:rPr>
          <w:rFonts w:cs="Times New Roman"/>
        </w:rPr>
        <w:t>the court found the vehicle was not “necessarily present” in the study.</w:t>
      </w:r>
      <w:r w:rsidRPr="00677ABE">
        <w:rPr>
          <w:rStyle w:val="FootnoteReference"/>
          <w:rFonts w:cs="Times New Roman"/>
        </w:rPr>
        <w:footnoteReference w:id="448"/>
      </w:r>
      <w:bookmarkEnd w:id="91"/>
      <w:bookmarkEnd w:id="92"/>
      <w:r w:rsidR="00AC00E6">
        <w:rPr>
          <w:rFonts w:cs="Times New Roman"/>
        </w:rPr>
        <w:t xml:space="preserve"> </w:t>
      </w:r>
    </w:p>
    <w:p w14:paraId="72A0ABA6" w14:textId="49E0877A" w:rsidR="00F20B84" w:rsidRDefault="00A9597F" w:rsidP="00CA2C0A">
      <w:pPr>
        <w:outlineLvl w:val="0"/>
        <w:rPr>
          <w:rFonts w:cs="Times New Roman"/>
        </w:rPr>
      </w:pPr>
      <w:r w:rsidRPr="00677ABE">
        <w:rPr>
          <w:rFonts w:cs="Times New Roman"/>
        </w:rPr>
        <w:tab/>
      </w:r>
      <w:bookmarkStart w:id="93" w:name="_Toc526093292"/>
      <w:bookmarkStart w:id="94" w:name="_Toc526368132"/>
      <w:r w:rsidRPr="00677ABE">
        <w:rPr>
          <w:rFonts w:cs="Times New Roman"/>
        </w:rPr>
        <w:t>On appea</w:t>
      </w:r>
      <w:r w:rsidR="00B90CD7" w:rsidRPr="00677ABE">
        <w:rPr>
          <w:rFonts w:cs="Times New Roman"/>
        </w:rPr>
        <w:t>l, the Federal Circuit affirmed</w:t>
      </w:r>
      <w:r w:rsidRPr="00677ABE">
        <w:rPr>
          <w:rFonts w:cs="Times New Roman"/>
        </w:rPr>
        <w:t xml:space="preserve"> all three advances were not obvious,</w:t>
      </w:r>
      <w:r w:rsidRPr="00677ABE">
        <w:rPr>
          <w:rStyle w:val="FootnoteReference"/>
          <w:rFonts w:cs="Times New Roman"/>
        </w:rPr>
        <w:footnoteReference w:id="449"/>
      </w:r>
      <w:r w:rsidRPr="00677ABE">
        <w:rPr>
          <w:rFonts w:cs="Times New Roman"/>
        </w:rPr>
        <w:t xml:space="preserve"> </w:t>
      </w:r>
      <w:r w:rsidR="00B90CD7" w:rsidRPr="00677ABE">
        <w:rPr>
          <w:rFonts w:cs="Times New Roman"/>
        </w:rPr>
        <w:t xml:space="preserve">and that </w:t>
      </w:r>
      <w:r w:rsidR="00212F03" w:rsidRPr="00677ABE">
        <w:rPr>
          <w:rFonts w:cs="Times New Roman"/>
        </w:rPr>
        <w:t>prior art did not inherently disclose the</w:t>
      </w:r>
      <w:r w:rsidRPr="00677ABE">
        <w:rPr>
          <w:rFonts w:cs="Times New Roman"/>
        </w:rPr>
        <w:t xml:space="preserve"> vehicle</w:t>
      </w:r>
      <w:r w:rsidR="00545A8C" w:rsidRPr="00677ABE">
        <w:rPr>
          <w:rFonts w:cs="Times New Roman"/>
        </w:rPr>
        <w:t>.</w:t>
      </w:r>
      <w:r w:rsidR="00545A8C" w:rsidRPr="00677ABE">
        <w:rPr>
          <w:rStyle w:val="FootnoteReference"/>
          <w:rFonts w:cs="Times New Roman"/>
        </w:rPr>
        <w:footnoteReference w:id="450"/>
      </w:r>
      <w:r w:rsidR="00AC00E6">
        <w:rPr>
          <w:rFonts w:cs="Times New Roman"/>
        </w:rPr>
        <w:t xml:space="preserve"> </w:t>
      </w:r>
      <w:r w:rsidRPr="00677ABE">
        <w:rPr>
          <w:rFonts w:cs="Times New Roman"/>
        </w:rPr>
        <w:t xml:space="preserve">Custopharm failed to show a </w:t>
      </w:r>
      <w:r w:rsidRPr="00677ABE">
        <w:rPr>
          <w:rFonts w:cs="Times New Roman"/>
        </w:rPr>
        <w:lastRenderedPageBreak/>
        <w:t>skilled artisan could deduce the vehicle from the pharmokinetic performance detailed in the</w:t>
      </w:r>
      <w:r w:rsidR="008A5415" w:rsidRPr="00677ABE">
        <w:rPr>
          <w:rFonts w:cs="Times New Roman"/>
        </w:rPr>
        <w:t xml:space="preserve"> studies.</w:t>
      </w:r>
      <w:r w:rsidR="00AC00E6">
        <w:rPr>
          <w:rFonts w:cs="Times New Roman"/>
        </w:rPr>
        <w:t xml:space="preserve"> </w:t>
      </w:r>
      <w:r w:rsidR="008A5415" w:rsidRPr="00677ABE">
        <w:rPr>
          <w:rFonts w:cs="Times New Roman"/>
        </w:rPr>
        <w:t>[That has not traditionally been the test for inherency, however].</w:t>
      </w:r>
      <w:r w:rsidR="00AC00E6">
        <w:rPr>
          <w:rFonts w:cs="Times New Roman"/>
        </w:rPr>
        <w:t xml:space="preserve"> </w:t>
      </w:r>
      <w:r w:rsidR="008A5415" w:rsidRPr="00677ABE">
        <w:rPr>
          <w:rFonts w:cs="Times New Roman"/>
        </w:rPr>
        <w:t>W</w:t>
      </w:r>
      <w:r w:rsidR="00212F03" w:rsidRPr="00677ABE">
        <w:rPr>
          <w:rFonts w:cs="Times New Roman"/>
        </w:rPr>
        <w:t>hile</w:t>
      </w:r>
      <w:r w:rsidRPr="00677ABE">
        <w:rPr>
          <w:rFonts w:cs="Times New Roman"/>
        </w:rPr>
        <w:t xml:space="preserve"> Endo had failed to show </w:t>
      </w:r>
      <w:r w:rsidR="008A5415" w:rsidRPr="00677ABE">
        <w:rPr>
          <w:rFonts w:cs="Times New Roman"/>
        </w:rPr>
        <w:t xml:space="preserve">any other vehicle sufficed, </w:t>
      </w:r>
      <w:r w:rsidR="00212F03" w:rsidRPr="00677ABE">
        <w:rPr>
          <w:rFonts w:cs="Times New Roman"/>
        </w:rPr>
        <w:t>Custopharm bore the burden of disproving other potential vehicles</w:t>
      </w:r>
      <w:r w:rsidR="008A5415" w:rsidRPr="00677ABE">
        <w:rPr>
          <w:rFonts w:cs="Times New Roman"/>
        </w:rPr>
        <w:t xml:space="preserve"> – a seemingly impossible burden</w:t>
      </w:r>
      <w:r w:rsidRPr="00677ABE">
        <w:rPr>
          <w:rFonts w:cs="Times New Roman"/>
        </w:rPr>
        <w:t>.</w:t>
      </w:r>
      <w:r w:rsidRPr="00677ABE">
        <w:rPr>
          <w:rStyle w:val="FootnoteReference"/>
          <w:rFonts w:cs="Times New Roman"/>
        </w:rPr>
        <w:footnoteReference w:id="451"/>
      </w:r>
      <w:bookmarkEnd w:id="93"/>
      <w:r w:rsidRPr="00677ABE">
        <w:rPr>
          <w:rFonts w:cs="Times New Roman"/>
        </w:rPr>
        <w:t xml:space="preserve"> </w:t>
      </w:r>
      <w:bookmarkEnd w:id="94"/>
    </w:p>
    <w:p w14:paraId="498DDB26" w14:textId="77777777" w:rsidR="00F20B84" w:rsidRDefault="00110781" w:rsidP="00CA2C0A">
      <w:pPr>
        <w:pStyle w:val="Heading2"/>
      </w:pPr>
      <w:bookmarkStart w:id="95" w:name="_Toc531692759"/>
      <w:r w:rsidRPr="00677ABE">
        <w:t>Motivation to Combine</w:t>
      </w:r>
      <w:bookmarkEnd w:id="95"/>
    </w:p>
    <w:p w14:paraId="1A5FE9EC" w14:textId="621D2774" w:rsidR="00110781" w:rsidRPr="00677ABE" w:rsidRDefault="00110781" w:rsidP="00CA2C0A">
      <w:pPr>
        <w:pStyle w:val="Heading3"/>
        <w:ind w:firstLine="0"/>
        <w:rPr>
          <w:rFonts w:cs="Times New Roman"/>
          <w:i w:val="0"/>
        </w:rPr>
      </w:pPr>
      <w:bookmarkStart w:id="96" w:name="_Toc516586554"/>
      <w:bookmarkStart w:id="97" w:name="_Toc531692760"/>
      <w:bookmarkStart w:id="98" w:name="_Toc526093284"/>
      <w:r w:rsidRPr="00677ABE">
        <w:rPr>
          <w:rFonts w:cs="Times New Roman"/>
        </w:rPr>
        <w:t>Arctic Cat Inc. v. Bombardier Recreational Products Inc.</w:t>
      </w:r>
      <w:r w:rsidRPr="00677ABE">
        <w:rPr>
          <w:rFonts w:cs="Times New Roman"/>
          <w:i w:val="0"/>
        </w:rPr>
        <w:t>, 876 F.3d 1350 (Fed. Cir. Dec. 7, 2017)</w:t>
      </w:r>
      <w:bookmarkEnd w:id="96"/>
      <w:bookmarkEnd w:id="97"/>
    </w:p>
    <w:p w14:paraId="6C9DBB14" w14:textId="77777777" w:rsidR="00110781" w:rsidRPr="00677ABE" w:rsidRDefault="00110781" w:rsidP="00CA2C0A">
      <w:pPr>
        <w:rPr>
          <w:rFonts w:cs="Times New Roman"/>
        </w:rPr>
      </w:pPr>
      <w:r w:rsidRPr="00677ABE">
        <w:rPr>
          <w:rFonts w:cs="Times New Roman"/>
          <w:lang w:eastAsia="x-none"/>
        </w:rPr>
        <w:tab/>
        <w:t>In this appeal from the District of Florida, the Federal Circuit affirmed the district court’s denial of judgment as a matter of law as to obviousness.</w:t>
      </w:r>
      <w:r w:rsidRPr="00677ABE">
        <w:rPr>
          <w:rStyle w:val="FootnoteReference"/>
          <w:rFonts w:cs="Times New Roman"/>
          <w:lang w:eastAsia="x-none"/>
        </w:rPr>
        <w:footnoteReference w:id="452"/>
      </w:r>
      <w:r w:rsidRPr="00677ABE">
        <w:rPr>
          <w:rFonts w:cs="Times New Roman"/>
          <w:lang w:eastAsia="x-none"/>
        </w:rPr>
        <w:t xml:space="preserve"> The patents </w:t>
      </w:r>
      <w:r w:rsidRPr="00677ABE">
        <w:rPr>
          <w:rFonts w:cs="Times New Roman"/>
        </w:rPr>
        <w:t>at-issue disclose a thrust steering system for personal watercraft (PWC) propelled by jet stream.</w:t>
      </w:r>
      <w:r w:rsidRPr="00677ABE">
        <w:rPr>
          <w:rStyle w:val="FootnoteReference"/>
          <w:rFonts w:cs="Times New Roman"/>
        </w:rPr>
        <w:footnoteReference w:id="453"/>
      </w:r>
      <w:r w:rsidRPr="00677ABE">
        <w:rPr>
          <w:rFonts w:cs="Times New Roman"/>
        </w:rPr>
        <w:t xml:space="preserve"> PWC systems counterintuitively require thrust to turn.</w:t>
      </w:r>
      <w:r w:rsidRPr="00677ABE">
        <w:rPr>
          <w:rStyle w:val="FootnoteReference"/>
          <w:rFonts w:cs="Times New Roman"/>
        </w:rPr>
        <w:footnoteReference w:id="454"/>
      </w:r>
      <w:r w:rsidRPr="00677ABE">
        <w:rPr>
          <w:rFonts w:cs="Times New Roman"/>
        </w:rPr>
        <w:t xml:space="preserve"> Many drivers have difficulty avoiding obstacles, however, because they tend to slow down before turning.</w:t>
      </w:r>
      <w:r w:rsidRPr="00677ABE">
        <w:rPr>
          <w:rStyle w:val="FootnoteReference"/>
          <w:rFonts w:cs="Times New Roman"/>
        </w:rPr>
        <w:footnoteReference w:id="455"/>
      </w:r>
      <w:r w:rsidRPr="00677ABE">
        <w:rPr>
          <w:rFonts w:cs="Times New Roman"/>
        </w:rPr>
        <w:t xml:space="preserve"> The patents attempt to overcome this issue by automatically providing thrust when riders turn the steering system.</w:t>
      </w:r>
      <w:r w:rsidRPr="00677ABE">
        <w:rPr>
          <w:rStyle w:val="FootnoteReference"/>
          <w:rFonts w:cs="Times New Roman"/>
        </w:rPr>
        <w:footnoteReference w:id="456"/>
      </w:r>
    </w:p>
    <w:p w14:paraId="7A1EDEE1" w14:textId="77777777" w:rsidR="00110781" w:rsidRPr="00677ABE" w:rsidRDefault="00110781" w:rsidP="00CA2C0A">
      <w:pPr>
        <w:rPr>
          <w:rFonts w:cs="Times New Roman"/>
        </w:rPr>
      </w:pPr>
      <w:r w:rsidRPr="00677ABE">
        <w:rPr>
          <w:rFonts w:cs="Times New Roman"/>
          <w:lang w:eastAsia="x-none"/>
        </w:rPr>
        <w:tab/>
      </w:r>
      <w:r w:rsidRPr="00677ABE">
        <w:rPr>
          <w:rFonts w:cs="Times New Roman"/>
        </w:rPr>
        <w:t>BRP argued on appeal that a reasonable jury could only have concluded that a PHOSITA would have been motivated to combine a PWC with BRP’s off-throttle thrust reapplication system in its 1997 Challenger Jet Boat (a multi-person watercraft propelled by jet stream).</w:t>
      </w:r>
      <w:r w:rsidRPr="00677ABE">
        <w:rPr>
          <w:rStyle w:val="FootnoteReference"/>
          <w:rFonts w:cs="Times New Roman"/>
        </w:rPr>
        <w:footnoteReference w:id="457"/>
      </w:r>
      <w:r w:rsidRPr="00677ABE">
        <w:rPr>
          <w:rFonts w:cs="Times New Roman"/>
        </w:rPr>
        <w:t xml:space="preserve"> BRP relied on two prior art reports that both suggested using the Challenger system in a PWC to address the off-throttle steering problem.</w:t>
      </w:r>
      <w:r w:rsidRPr="00677ABE">
        <w:rPr>
          <w:rStyle w:val="FootnoteReference"/>
          <w:rFonts w:cs="Times New Roman"/>
        </w:rPr>
        <w:footnoteReference w:id="458"/>
      </w:r>
      <w:r w:rsidRPr="00677ABE">
        <w:rPr>
          <w:rFonts w:cs="Times New Roman"/>
        </w:rPr>
        <w:t xml:space="preserve"> These reports identified the Challenger system as one of four solutions to the problem of off-throttle steering.</w:t>
      </w:r>
      <w:r w:rsidRPr="00677ABE">
        <w:rPr>
          <w:rStyle w:val="FootnoteReference"/>
          <w:rFonts w:cs="Times New Roman"/>
        </w:rPr>
        <w:footnoteReference w:id="459"/>
      </w:r>
      <w:r w:rsidRPr="00677ABE">
        <w:rPr>
          <w:rFonts w:cs="Times New Roman"/>
        </w:rPr>
        <w:t xml:space="preserve"> BRP argued that the Challenger system was thus one of a finite number of identified and particular solutions.</w:t>
      </w:r>
      <w:r w:rsidRPr="00677ABE">
        <w:rPr>
          <w:rStyle w:val="FootnoteReference"/>
          <w:rFonts w:cs="Times New Roman"/>
        </w:rPr>
        <w:footnoteReference w:id="460"/>
      </w:r>
    </w:p>
    <w:p w14:paraId="0D595E3E" w14:textId="77777777" w:rsidR="00110781" w:rsidRPr="00677ABE" w:rsidRDefault="00110781" w:rsidP="00CA2C0A">
      <w:pPr>
        <w:rPr>
          <w:rFonts w:cs="Times New Roman"/>
        </w:rPr>
      </w:pPr>
      <w:r w:rsidRPr="00677ABE">
        <w:rPr>
          <w:rFonts w:cs="Times New Roman"/>
          <w:lang w:eastAsia="x-none"/>
        </w:rPr>
        <w:tab/>
      </w:r>
      <w:r w:rsidRPr="00677ABE">
        <w:rPr>
          <w:rFonts w:cs="Times New Roman"/>
        </w:rPr>
        <w:t>The Federal Circuit disagreed, determining that substantial evidence supported the jury’s verdict that there was no motivation to combine the Challenger system with a PWC system.</w:t>
      </w:r>
      <w:r w:rsidRPr="00677ABE">
        <w:rPr>
          <w:rStyle w:val="FootnoteReference"/>
          <w:rFonts w:cs="Times New Roman"/>
        </w:rPr>
        <w:footnoteReference w:id="461"/>
      </w:r>
      <w:r w:rsidRPr="00677ABE">
        <w:rPr>
          <w:rFonts w:cs="Times New Roman"/>
        </w:rPr>
        <w:t xml:space="preserve"> The court reasoned that although the reports identified the combination of the Challenger system with a PWC, the reports warned that the system may impose additional new hazards such as inadvertent activation near other boats or swimmers.</w:t>
      </w:r>
      <w:r w:rsidRPr="00677ABE">
        <w:rPr>
          <w:rStyle w:val="FootnoteReference"/>
          <w:rFonts w:cs="Times New Roman"/>
        </w:rPr>
        <w:footnoteReference w:id="462"/>
      </w:r>
      <w:r w:rsidRPr="00677ABE">
        <w:rPr>
          <w:rFonts w:cs="Times New Roman"/>
        </w:rPr>
        <w:t xml:space="preserve"> Moreover, although the reports only identified four possible solutions, a reasonable jury could have determined that more than four solutions existed.</w:t>
      </w:r>
      <w:r w:rsidRPr="00677ABE">
        <w:rPr>
          <w:rStyle w:val="FootnoteReference"/>
          <w:rFonts w:cs="Times New Roman"/>
        </w:rPr>
        <w:footnoteReference w:id="463"/>
      </w:r>
      <w:r w:rsidRPr="00677ABE">
        <w:rPr>
          <w:rFonts w:cs="Times New Roman"/>
        </w:rPr>
        <w:t xml:space="preserve"> For example, Arctic Cat’s </w:t>
      </w:r>
      <w:r w:rsidRPr="00677ABE">
        <w:rPr>
          <w:rFonts w:cs="Times New Roman"/>
        </w:rPr>
        <w:lastRenderedPageBreak/>
        <w:t>expert testified that there were “various fins” and “a variety of things tried over a course of a number of years” to solve the problem.</w:t>
      </w:r>
      <w:r w:rsidRPr="00677ABE">
        <w:rPr>
          <w:rStyle w:val="FootnoteReference"/>
          <w:rFonts w:cs="Times New Roman"/>
        </w:rPr>
        <w:footnoteReference w:id="464"/>
      </w:r>
    </w:p>
    <w:p w14:paraId="63883B7E" w14:textId="77777777" w:rsidR="00F20B84" w:rsidRDefault="00110781" w:rsidP="00CA2C0A">
      <w:pPr>
        <w:ind w:firstLine="720"/>
        <w:rPr>
          <w:rFonts w:cs="Times New Roman"/>
          <w:lang w:eastAsia="x-none"/>
        </w:rPr>
      </w:pPr>
      <w:r w:rsidRPr="00677ABE">
        <w:rPr>
          <w:rFonts w:cs="Times New Roman"/>
          <w:lang w:eastAsia="x-none"/>
        </w:rPr>
        <w:t>The Federal Circuit further explained that secondary considerations supported the jury’s verdict.</w:t>
      </w:r>
      <w:r w:rsidRPr="00677ABE">
        <w:rPr>
          <w:rStyle w:val="FootnoteReference"/>
          <w:rFonts w:cs="Times New Roman"/>
          <w:lang w:eastAsia="x-none"/>
        </w:rPr>
        <w:footnoteReference w:id="465"/>
      </w:r>
      <w:r w:rsidRPr="00677ABE">
        <w:rPr>
          <w:rFonts w:cs="Times New Roman"/>
          <w:lang w:eastAsia="x-none"/>
        </w:rPr>
        <w:t xml:space="preserve"> The court determined that the following “constitute[d] substantial evidence to support the jury’s presumed factual finding that the claimed invention received praise” from industry: (a) an Arctic Cat press release </w:t>
      </w:r>
      <w:r w:rsidRPr="00677ABE">
        <w:rPr>
          <w:rFonts w:cs="Times New Roman"/>
        </w:rPr>
        <w:t>where the chief of the U.S. Coast Guard’s Office of Boating Safety claimed that the claimed invention is “one of the most impressive innovations I’ve seen all year;” and (b) testimony from one of the inventors of the patents at-issue indicating that people were impressed at a prototype demonstration.</w:t>
      </w:r>
      <w:r w:rsidRPr="00677ABE">
        <w:rPr>
          <w:rStyle w:val="FootnoteReference"/>
          <w:rFonts w:cs="Times New Roman"/>
        </w:rPr>
        <w:footnoteReference w:id="466"/>
      </w:r>
      <w:r w:rsidRPr="00677ABE">
        <w:rPr>
          <w:rFonts w:cs="Times New Roman"/>
        </w:rPr>
        <w:t xml:space="preserve"> Furthermore, the court concluded that substantial evidence supported the jury’s presumed finding about long-felt need because Arctic Cat was the first to develop a </w:t>
      </w:r>
      <w:r w:rsidRPr="00677ABE">
        <w:rPr>
          <w:rFonts w:cs="Times New Roman"/>
          <w:i/>
        </w:rPr>
        <w:t>PWC</w:t>
      </w:r>
      <w:r w:rsidRPr="00677ABE">
        <w:rPr>
          <w:rFonts w:cs="Times New Roman"/>
        </w:rPr>
        <w:t xml:space="preserve"> that minimized off-throttle thrust reapplication.</w:t>
      </w:r>
      <w:r w:rsidRPr="00677ABE">
        <w:rPr>
          <w:rStyle w:val="FootnoteReference"/>
          <w:rFonts w:cs="Times New Roman"/>
        </w:rPr>
        <w:footnoteReference w:id="467"/>
      </w:r>
    </w:p>
    <w:p w14:paraId="4487A9BD" w14:textId="77777777" w:rsidR="00F20B84" w:rsidRDefault="00143C3F" w:rsidP="00CA2C0A">
      <w:pPr>
        <w:pStyle w:val="Heading2"/>
        <w:rPr>
          <w:rFonts w:cs="Times New Roman"/>
          <w:szCs w:val="24"/>
        </w:rPr>
      </w:pPr>
      <w:bookmarkStart w:id="99" w:name="_Toc516586556"/>
      <w:bookmarkStart w:id="100" w:name="_Toc531692761"/>
      <w:bookmarkStart w:id="101" w:name="_Toc516586558"/>
      <w:r w:rsidRPr="00677ABE">
        <w:rPr>
          <w:rFonts w:cs="Times New Roman"/>
          <w:szCs w:val="24"/>
        </w:rPr>
        <w:t>Secondary Considerations</w:t>
      </w:r>
      <w:bookmarkEnd w:id="99"/>
      <w:bookmarkEnd w:id="100"/>
    </w:p>
    <w:p w14:paraId="4C381CCD" w14:textId="70E60CD8" w:rsidR="00143C3F" w:rsidRPr="00677ABE" w:rsidRDefault="00143C3F" w:rsidP="00CA2C0A">
      <w:pPr>
        <w:pStyle w:val="Heading3"/>
        <w:ind w:firstLine="0"/>
        <w:rPr>
          <w:rFonts w:cs="Times New Roman"/>
          <w:i w:val="0"/>
        </w:rPr>
      </w:pPr>
      <w:bookmarkStart w:id="102" w:name="_Toc516586557"/>
      <w:bookmarkStart w:id="103" w:name="_Toc531692762"/>
      <w:r w:rsidRPr="00677ABE">
        <w:rPr>
          <w:rFonts w:cs="Times New Roman"/>
        </w:rPr>
        <w:t>American Innotek, Inc. v. United States</w:t>
      </w:r>
      <w:r w:rsidRPr="00677ABE">
        <w:rPr>
          <w:rFonts w:cs="Times New Roman"/>
          <w:i w:val="0"/>
        </w:rPr>
        <w:t>, 706 Fed. Appx. 686 (Fed. Cir. Dec. 19, 2017)</w:t>
      </w:r>
      <w:bookmarkEnd w:id="102"/>
      <w:bookmarkEnd w:id="103"/>
    </w:p>
    <w:p w14:paraId="21647E81" w14:textId="77777777" w:rsidR="00F20B84" w:rsidRDefault="00143C3F" w:rsidP="00CA2C0A">
      <w:pPr>
        <w:rPr>
          <w:rFonts w:cs="Times New Roman"/>
          <w:lang w:eastAsia="x-none"/>
        </w:rPr>
      </w:pPr>
      <w:r w:rsidRPr="00677ABE">
        <w:rPr>
          <w:rFonts w:cs="Times New Roman"/>
          <w:lang w:eastAsia="x-none"/>
        </w:rPr>
        <w:tab/>
        <w:t>In this appeal from the Court of Federal Claims, the Federal Circuit affirmed the judgment of the Court of Federal Claims that the asserted claims were obvious.</w:t>
      </w:r>
      <w:r w:rsidRPr="00677ABE">
        <w:rPr>
          <w:rStyle w:val="FootnoteReference"/>
          <w:rFonts w:cs="Times New Roman"/>
          <w:lang w:eastAsia="x-none"/>
        </w:rPr>
        <w:footnoteReference w:id="468"/>
      </w:r>
      <w:r w:rsidRPr="00677ABE">
        <w:rPr>
          <w:rFonts w:cs="Times New Roman"/>
          <w:lang w:eastAsia="x-none"/>
        </w:rPr>
        <w:t xml:space="preserve"> The Federal Circuit took issue, however, with the Court of Federal Claims’ suggestion of “the existence of a categorical rule that objective indicia, no matter how indicate of non-obviousness they are, ‘cannot overcome a strong showing of obviousness based on combinations of prior art applied according to the prior art’s expected function.’”</w:t>
      </w:r>
      <w:r w:rsidRPr="00677ABE">
        <w:rPr>
          <w:rStyle w:val="FootnoteReference"/>
          <w:rFonts w:cs="Times New Roman"/>
          <w:lang w:eastAsia="x-none"/>
        </w:rPr>
        <w:footnoteReference w:id="469"/>
      </w:r>
      <w:r w:rsidRPr="00677ABE">
        <w:rPr>
          <w:rFonts w:cs="Times New Roman"/>
          <w:lang w:eastAsia="x-none"/>
        </w:rPr>
        <w:t xml:space="preserve"> “That goes too far,” the Federal Circuit said.</w:t>
      </w:r>
      <w:r w:rsidRPr="00677ABE">
        <w:rPr>
          <w:rStyle w:val="FootnoteReference"/>
          <w:rFonts w:cs="Times New Roman"/>
          <w:lang w:eastAsia="x-none"/>
        </w:rPr>
        <w:footnoteReference w:id="470"/>
      </w:r>
      <w:r w:rsidRPr="00677ABE">
        <w:rPr>
          <w:rFonts w:cs="Times New Roman"/>
          <w:lang w:eastAsia="x-none"/>
        </w:rPr>
        <w:t xml:space="preserve"> “Objective indicia of nonobviousness must be considered in every case where present.”</w:t>
      </w:r>
      <w:r w:rsidRPr="00677ABE">
        <w:rPr>
          <w:rStyle w:val="FootnoteReference"/>
          <w:rFonts w:cs="Times New Roman"/>
          <w:lang w:eastAsia="x-none"/>
        </w:rPr>
        <w:footnoteReference w:id="471"/>
      </w:r>
    </w:p>
    <w:p w14:paraId="240D17EE" w14:textId="77777777" w:rsidR="00F20B84" w:rsidRDefault="00393BAD" w:rsidP="00CA2C0A">
      <w:pPr>
        <w:pStyle w:val="Heading2"/>
        <w:rPr>
          <w:rFonts w:cs="Times New Roman"/>
          <w:szCs w:val="24"/>
        </w:rPr>
      </w:pPr>
      <w:bookmarkStart w:id="104" w:name="_Toc531692763"/>
      <w:r w:rsidRPr="00677ABE">
        <w:rPr>
          <w:rFonts w:cs="Times New Roman"/>
          <w:szCs w:val="24"/>
        </w:rPr>
        <w:t>Obviousness-Type Double Patenting</w:t>
      </w:r>
      <w:bookmarkEnd w:id="101"/>
      <w:bookmarkEnd w:id="104"/>
    </w:p>
    <w:p w14:paraId="3EF03D50" w14:textId="2755DD07" w:rsidR="00393BAD" w:rsidRPr="00677ABE" w:rsidRDefault="00393BAD" w:rsidP="00CA2C0A">
      <w:pPr>
        <w:pStyle w:val="Heading3"/>
        <w:ind w:firstLine="0"/>
        <w:rPr>
          <w:rFonts w:cs="Times New Roman"/>
          <w:i w:val="0"/>
        </w:rPr>
      </w:pPr>
      <w:bookmarkStart w:id="105" w:name="_Toc516586559"/>
      <w:bookmarkStart w:id="106" w:name="_Toc531692764"/>
      <w:r w:rsidRPr="00677ABE">
        <w:rPr>
          <w:rFonts w:cs="Times New Roman"/>
        </w:rPr>
        <w:t>In re Janssen Biotech, Inc.</w:t>
      </w:r>
      <w:r w:rsidRPr="00677ABE">
        <w:rPr>
          <w:rFonts w:cs="Times New Roman"/>
          <w:i w:val="0"/>
        </w:rPr>
        <w:t>, No. 2017-1257, 2018 WL 503335 (Fed. Cir. Jan. 23, 2018)</w:t>
      </w:r>
      <w:bookmarkEnd w:id="105"/>
      <w:bookmarkEnd w:id="106"/>
    </w:p>
    <w:p w14:paraId="216D0154" w14:textId="114F4F07" w:rsidR="00393BAD" w:rsidRPr="00677ABE" w:rsidRDefault="00393BAD" w:rsidP="00CA2C0A">
      <w:pPr>
        <w:rPr>
          <w:rFonts w:cs="Times New Roman"/>
        </w:rPr>
      </w:pPr>
      <w:r w:rsidRPr="00677ABE">
        <w:rPr>
          <w:rFonts w:cs="Times New Roman"/>
          <w:lang w:eastAsia="x-none"/>
        </w:rPr>
        <w:tab/>
        <w:t xml:space="preserve">The Federal Circuit affirmed the PTAB’s determination on reexamination that certain claims of the </w:t>
      </w:r>
      <w:r w:rsidR="00370148">
        <w:rPr>
          <w:rFonts w:cs="Times New Roman"/>
          <w:lang w:eastAsia="x-none"/>
        </w:rPr>
        <w:t>’4</w:t>
      </w:r>
      <w:r w:rsidRPr="00677ABE">
        <w:rPr>
          <w:rFonts w:cs="Times New Roman"/>
          <w:lang w:eastAsia="x-none"/>
        </w:rPr>
        <w:t>71 patent were unpatentable under the doctrine of obviousness-type double patenting.</w:t>
      </w:r>
      <w:r w:rsidRPr="00677ABE">
        <w:rPr>
          <w:rStyle w:val="FootnoteReference"/>
          <w:rFonts w:cs="Times New Roman"/>
          <w:lang w:eastAsia="x-none"/>
        </w:rPr>
        <w:footnoteReference w:id="472"/>
      </w:r>
      <w:r w:rsidRPr="00677ABE">
        <w:rPr>
          <w:rFonts w:cs="Times New Roman"/>
          <w:lang w:eastAsia="x-none"/>
        </w:rPr>
        <w:t xml:space="preserve"> </w:t>
      </w:r>
      <w:r w:rsidRPr="00677ABE">
        <w:rPr>
          <w:rFonts w:cs="Times New Roman"/>
        </w:rPr>
        <w:t xml:space="preserve">Janssen’s ’093 application, which eventually became the </w:t>
      </w:r>
      <w:r w:rsidR="00370148">
        <w:rPr>
          <w:rFonts w:cs="Times New Roman"/>
        </w:rPr>
        <w:t>’4</w:t>
      </w:r>
      <w:r w:rsidRPr="00677ABE">
        <w:rPr>
          <w:rFonts w:cs="Times New Roman"/>
        </w:rPr>
        <w:t xml:space="preserve">71 patent, was a continuation-in-part (CIP) of Janssen’s previous </w:t>
      </w:r>
      <w:r w:rsidR="00370148">
        <w:rPr>
          <w:rFonts w:cs="Times New Roman"/>
        </w:rPr>
        <w:t>’4</w:t>
      </w:r>
      <w:r w:rsidRPr="00677ABE">
        <w:rPr>
          <w:rFonts w:cs="Times New Roman"/>
        </w:rPr>
        <w:t xml:space="preserve">13 and </w:t>
      </w:r>
      <w:r w:rsidR="00370148">
        <w:rPr>
          <w:rFonts w:cs="Times New Roman"/>
        </w:rPr>
        <w:t>’4</w:t>
      </w:r>
      <w:r w:rsidRPr="00677ABE">
        <w:rPr>
          <w:rFonts w:cs="Times New Roman"/>
        </w:rPr>
        <w:t xml:space="preserve">06 </w:t>
      </w:r>
      <w:r w:rsidRPr="00677ABE">
        <w:rPr>
          <w:rFonts w:cs="Times New Roman"/>
        </w:rPr>
        <w:lastRenderedPageBreak/>
        <w:t>applications.</w:t>
      </w:r>
      <w:r w:rsidRPr="00677ABE">
        <w:rPr>
          <w:rStyle w:val="FootnoteReference"/>
          <w:rFonts w:cs="Times New Roman"/>
        </w:rPr>
        <w:footnoteReference w:id="473"/>
      </w:r>
      <w:r w:rsidRPr="00677ABE">
        <w:rPr>
          <w:rFonts w:cs="Times New Roman"/>
        </w:rPr>
        <w:t xml:space="preserve"> Although the resulting claims of the </w:t>
      </w:r>
      <w:r w:rsidR="00370148">
        <w:rPr>
          <w:rFonts w:cs="Times New Roman"/>
        </w:rPr>
        <w:t>’4</w:t>
      </w:r>
      <w:r w:rsidRPr="00677ABE">
        <w:rPr>
          <w:rFonts w:cs="Times New Roman"/>
        </w:rPr>
        <w:t xml:space="preserve">71 patent only related to the </w:t>
      </w:r>
      <w:r w:rsidR="00370148">
        <w:rPr>
          <w:rFonts w:cs="Times New Roman"/>
        </w:rPr>
        <w:t>’4</w:t>
      </w:r>
      <w:r w:rsidRPr="00677ABE">
        <w:rPr>
          <w:rFonts w:cs="Times New Roman"/>
        </w:rPr>
        <w:t xml:space="preserve">13 application, the </w:t>
      </w:r>
      <w:r w:rsidR="00370148">
        <w:rPr>
          <w:rFonts w:cs="Times New Roman"/>
        </w:rPr>
        <w:t>’4</w:t>
      </w:r>
      <w:r w:rsidRPr="00677ABE">
        <w:rPr>
          <w:rFonts w:cs="Times New Roman"/>
        </w:rPr>
        <w:t xml:space="preserve">71 patent disclosed subject matter from both the </w:t>
      </w:r>
      <w:r w:rsidR="00370148">
        <w:rPr>
          <w:rFonts w:cs="Times New Roman"/>
        </w:rPr>
        <w:t>’4</w:t>
      </w:r>
      <w:r w:rsidRPr="00677ABE">
        <w:rPr>
          <w:rFonts w:cs="Times New Roman"/>
        </w:rPr>
        <w:t xml:space="preserve">13 and </w:t>
      </w:r>
      <w:r w:rsidR="00370148">
        <w:rPr>
          <w:rFonts w:cs="Times New Roman"/>
        </w:rPr>
        <w:t>’4</w:t>
      </w:r>
      <w:r w:rsidRPr="00677ABE">
        <w:rPr>
          <w:rFonts w:cs="Times New Roman"/>
        </w:rPr>
        <w:t xml:space="preserve">06 applications, and more than thirty issued patents claimed priority to the </w:t>
      </w:r>
      <w:r w:rsidR="00370148">
        <w:rPr>
          <w:rFonts w:cs="Times New Roman"/>
        </w:rPr>
        <w:t>’4</w:t>
      </w:r>
      <w:r w:rsidRPr="00677ABE">
        <w:rPr>
          <w:rFonts w:cs="Times New Roman"/>
        </w:rPr>
        <w:t>71 patent.</w:t>
      </w:r>
      <w:r w:rsidRPr="00677ABE">
        <w:rPr>
          <w:rStyle w:val="FootnoteReference"/>
          <w:rFonts w:cs="Times New Roman"/>
        </w:rPr>
        <w:footnoteReference w:id="474"/>
      </w:r>
      <w:r w:rsidRPr="00677ABE">
        <w:rPr>
          <w:rFonts w:cs="Times New Roman"/>
        </w:rPr>
        <w:t xml:space="preserve"> </w:t>
      </w:r>
    </w:p>
    <w:p w14:paraId="6DD8B021" w14:textId="44D48394" w:rsidR="00393BAD" w:rsidRPr="00677ABE" w:rsidRDefault="00393BAD" w:rsidP="00CA2C0A">
      <w:pPr>
        <w:rPr>
          <w:rFonts w:cs="Times New Roman"/>
        </w:rPr>
      </w:pPr>
      <w:r w:rsidRPr="00677ABE">
        <w:rPr>
          <w:rFonts w:cs="Times New Roman"/>
          <w:lang w:eastAsia="x-none"/>
        </w:rPr>
        <w:tab/>
      </w:r>
      <w:r w:rsidRPr="00677ABE">
        <w:rPr>
          <w:rFonts w:cs="Times New Roman"/>
        </w:rPr>
        <w:t xml:space="preserve">The Board instituted reexamination of the </w:t>
      </w:r>
      <w:r w:rsidR="00370148">
        <w:rPr>
          <w:rFonts w:cs="Times New Roman"/>
        </w:rPr>
        <w:t>’4</w:t>
      </w:r>
      <w:r w:rsidRPr="00677ABE">
        <w:rPr>
          <w:rFonts w:cs="Times New Roman"/>
        </w:rPr>
        <w:t>71 patent on double patenting grounds.</w:t>
      </w:r>
      <w:r w:rsidRPr="00677ABE">
        <w:rPr>
          <w:rStyle w:val="FootnoteReference"/>
          <w:rFonts w:cs="Times New Roman"/>
        </w:rPr>
        <w:footnoteReference w:id="475"/>
      </w:r>
      <w:r w:rsidRPr="00677ABE">
        <w:rPr>
          <w:rFonts w:cs="Times New Roman"/>
        </w:rPr>
        <w:t xml:space="preserve"> During the reexamination, Janssen requested that the </w:t>
      </w:r>
      <w:r w:rsidR="00370148">
        <w:rPr>
          <w:rFonts w:cs="Times New Roman"/>
        </w:rPr>
        <w:t>’4</w:t>
      </w:r>
      <w:r w:rsidRPr="00677ABE">
        <w:rPr>
          <w:rFonts w:cs="Times New Roman"/>
        </w:rPr>
        <w:t xml:space="preserve">71 patent be amended to (1) delete the benefit claim to the </w:t>
      </w:r>
      <w:r w:rsidR="00370148">
        <w:rPr>
          <w:rFonts w:cs="Times New Roman"/>
        </w:rPr>
        <w:t>’4</w:t>
      </w:r>
      <w:r w:rsidRPr="00677ABE">
        <w:rPr>
          <w:rFonts w:cs="Times New Roman"/>
        </w:rPr>
        <w:t xml:space="preserve">06 application, (2) delete the portions of the </w:t>
      </w:r>
      <w:r w:rsidR="00370148">
        <w:rPr>
          <w:rFonts w:cs="Times New Roman"/>
        </w:rPr>
        <w:t>’4</w:t>
      </w:r>
      <w:r w:rsidRPr="00677ABE">
        <w:rPr>
          <w:rFonts w:cs="Times New Roman"/>
        </w:rPr>
        <w:t xml:space="preserve">71 patent that were only present in the </w:t>
      </w:r>
      <w:r w:rsidR="00370148">
        <w:rPr>
          <w:rFonts w:cs="Times New Roman"/>
        </w:rPr>
        <w:t>’4</w:t>
      </w:r>
      <w:r w:rsidRPr="00677ABE">
        <w:rPr>
          <w:rFonts w:cs="Times New Roman"/>
        </w:rPr>
        <w:t xml:space="preserve">06 application, and (3) designate the </w:t>
      </w:r>
      <w:r w:rsidR="00370148">
        <w:rPr>
          <w:rFonts w:cs="Times New Roman"/>
        </w:rPr>
        <w:t>’4</w:t>
      </w:r>
      <w:r w:rsidRPr="00677ABE">
        <w:rPr>
          <w:rFonts w:cs="Times New Roman"/>
        </w:rPr>
        <w:t xml:space="preserve">71 patent as a divisional of the </w:t>
      </w:r>
      <w:r w:rsidR="00370148">
        <w:rPr>
          <w:rFonts w:cs="Times New Roman"/>
        </w:rPr>
        <w:t>’4</w:t>
      </w:r>
      <w:r w:rsidRPr="00677ABE">
        <w:rPr>
          <w:rFonts w:cs="Times New Roman"/>
        </w:rPr>
        <w:t>13 application rather than a CIP.</w:t>
      </w:r>
      <w:r w:rsidRPr="00677ABE">
        <w:rPr>
          <w:rStyle w:val="FootnoteReference"/>
          <w:rFonts w:cs="Times New Roman"/>
        </w:rPr>
        <w:footnoteReference w:id="476"/>
      </w:r>
      <w:r w:rsidRPr="00677ABE">
        <w:rPr>
          <w:rFonts w:cs="Times New Roman"/>
        </w:rPr>
        <w:t xml:space="preserve"> The Board ultimately affirmed the double patenting rejections, reasoning that the safe harbor provision of </w:t>
      </w:r>
      <w:r w:rsidR="00AC00E6">
        <w:rPr>
          <w:rFonts w:cs="Times New Roman"/>
        </w:rPr>
        <w:t>§ </w:t>
      </w:r>
      <w:r w:rsidRPr="00677ABE">
        <w:rPr>
          <w:rFonts w:cs="Times New Roman"/>
        </w:rPr>
        <w:t>121 does not apply in this case.</w:t>
      </w:r>
      <w:r w:rsidRPr="00677ABE">
        <w:rPr>
          <w:rStyle w:val="FootnoteReference"/>
          <w:rFonts w:cs="Times New Roman"/>
        </w:rPr>
        <w:footnoteReference w:id="477"/>
      </w:r>
      <w:r w:rsidRPr="00677ABE">
        <w:rPr>
          <w:rFonts w:cs="Times New Roman"/>
        </w:rPr>
        <w:t xml:space="preserve"> The Federal Circuit affirmed.</w:t>
      </w:r>
      <w:r w:rsidRPr="00677ABE">
        <w:rPr>
          <w:rStyle w:val="FootnoteReference"/>
          <w:rFonts w:cs="Times New Roman"/>
        </w:rPr>
        <w:footnoteReference w:id="478"/>
      </w:r>
    </w:p>
    <w:p w14:paraId="2CE9E02B" w14:textId="596E84EC" w:rsidR="00393BAD" w:rsidRPr="00677ABE" w:rsidRDefault="00393BAD" w:rsidP="00CA2C0A">
      <w:pPr>
        <w:rPr>
          <w:rFonts w:cs="Times New Roman"/>
          <w:lang w:eastAsia="x-none"/>
        </w:rPr>
      </w:pPr>
      <w:r w:rsidRPr="00677ABE">
        <w:rPr>
          <w:rFonts w:cs="Times New Roman"/>
          <w:lang w:eastAsia="x-none"/>
        </w:rPr>
        <w:tab/>
        <w:t xml:space="preserve">The court explained that the </w:t>
      </w:r>
      <w:r w:rsidR="00AC00E6">
        <w:rPr>
          <w:rFonts w:cs="Times New Roman"/>
          <w:lang w:eastAsia="x-none"/>
        </w:rPr>
        <w:t>§ </w:t>
      </w:r>
      <w:r w:rsidRPr="00677ABE">
        <w:rPr>
          <w:rFonts w:cs="Times New Roman"/>
          <w:lang w:eastAsia="x-none"/>
        </w:rPr>
        <w:t>121 safe harbor protects only divisional applications and patents issued on such applications, but not CIP applications.</w:t>
      </w:r>
      <w:r w:rsidRPr="00677ABE">
        <w:rPr>
          <w:rStyle w:val="FootnoteReference"/>
          <w:rFonts w:cs="Times New Roman"/>
          <w:lang w:eastAsia="x-none"/>
        </w:rPr>
        <w:footnoteReference w:id="479"/>
      </w:r>
      <w:r w:rsidRPr="00677ABE">
        <w:rPr>
          <w:rFonts w:cs="Times New Roman"/>
          <w:lang w:eastAsia="x-none"/>
        </w:rPr>
        <w:t xml:space="preserve"> The court ruled that “even assuming Janssen’s amendments made during reexamination were to become effective by way of a reexamination certificate,”</w:t>
      </w:r>
      <w:r w:rsidRPr="00677ABE">
        <w:rPr>
          <w:rStyle w:val="FootnoteReference"/>
          <w:rFonts w:cs="Times New Roman"/>
          <w:lang w:eastAsia="x-none"/>
        </w:rPr>
        <w:footnoteReference w:id="480"/>
      </w:r>
      <w:r w:rsidRPr="00677ABE">
        <w:rPr>
          <w:rFonts w:cs="Times New Roman"/>
          <w:lang w:eastAsia="x-none"/>
        </w:rPr>
        <w:t xml:space="preserve"> a party cannot “retroactively bring the challenged patent within the scope of the </w:t>
      </w:r>
      <w:r w:rsidR="00AC00E6">
        <w:rPr>
          <w:rFonts w:cs="Times New Roman"/>
          <w:lang w:eastAsia="x-none"/>
        </w:rPr>
        <w:t>§ </w:t>
      </w:r>
      <w:r w:rsidRPr="00677ABE">
        <w:rPr>
          <w:rFonts w:cs="Times New Roman"/>
          <w:lang w:eastAsia="x-none"/>
        </w:rPr>
        <w:t>121 safe harbor by amending the CIP application during a reexamination proceeding to redesignate it as a divisional application.”</w:t>
      </w:r>
      <w:r w:rsidRPr="00677ABE">
        <w:rPr>
          <w:rStyle w:val="FootnoteReference"/>
          <w:rFonts w:cs="Times New Roman"/>
          <w:lang w:eastAsia="x-none"/>
        </w:rPr>
        <w:footnoteReference w:id="481"/>
      </w:r>
      <w:r w:rsidRPr="00677ABE">
        <w:rPr>
          <w:rFonts w:cs="Times New Roman"/>
          <w:lang w:eastAsia="x-none"/>
        </w:rPr>
        <w:t xml:space="preserve"> </w:t>
      </w:r>
    </w:p>
    <w:p w14:paraId="2349A6F7" w14:textId="6FBCB00E" w:rsidR="00393BAD" w:rsidRPr="00677ABE" w:rsidRDefault="00393BAD" w:rsidP="00CA2C0A">
      <w:pPr>
        <w:rPr>
          <w:rFonts w:cs="Times New Roman"/>
          <w:lang w:eastAsia="x-none"/>
        </w:rPr>
      </w:pPr>
      <w:r w:rsidRPr="00677ABE">
        <w:rPr>
          <w:rFonts w:cs="Times New Roman"/>
          <w:lang w:eastAsia="x-none"/>
        </w:rPr>
        <w:t xml:space="preserve">The court determined that the case at hand was functionally equivalent to </w:t>
      </w:r>
      <w:r w:rsidRPr="00677ABE">
        <w:rPr>
          <w:rFonts w:cs="Times New Roman"/>
          <w:i/>
          <w:lang w:eastAsia="x-none"/>
        </w:rPr>
        <w:t>G.D. Searle LLC v. Lupin Pharm., Inc.</w:t>
      </w:r>
      <w:r w:rsidRPr="00677ABE">
        <w:rPr>
          <w:rFonts w:cs="Times New Roman"/>
          <w:lang w:eastAsia="x-none"/>
        </w:rPr>
        <w:t>,</w:t>
      </w:r>
      <w:r w:rsidRPr="00677ABE">
        <w:rPr>
          <w:rStyle w:val="FootnoteReference"/>
          <w:rFonts w:cs="Times New Roman"/>
          <w:lang w:eastAsia="x-none"/>
        </w:rPr>
        <w:footnoteReference w:id="482"/>
      </w:r>
      <w:r w:rsidRPr="00677ABE">
        <w:rPr>
          <w:rFonts w:cs="Times New Roman"/>
          <w:lang w:eastAsia="x-none"/>
        </w:rPr>
        <w:t xml:space="preserve"> where the court determined that patent owners could not take advantage of the </w:t>
      </w:r>
      <w:r w:rsidR="00AC00E6">
        <w:rPr>
          <w:rFonts w:cs="Times New Roman"/>
          <w:lang w:eastAsia="x-none"/>
        </w:rPr>
        <w:t>§ </w:t>
      </w:r>
      <w:r w:rsidRPr="00677ABE">
        <w:rPr>
          <w:rFonts w:cs="Times New Roman"/>
          <w:lang w:eastAsia="x-none"/>
        </w:rPr>
        <w:t>121 safe harbor by redesignating a CIP application as a divisional application during a reissue proceeding.</w:t>
      </w:r>
      <w:r w:rsidRPr="00677ABE">
        <w:rPr>
          <w:rStyle w:val="FootnoteReference"/>
          <w:rFonts w:cs="Times New Roman"/>
          <w:lang w:eastAsia="x-none"/>
        </w:rPr>
        <w:footnoteReference w:id="483"/>
      </w:r>
      <w:r w:rsidRPr="00677ABE">
        <w:rPr>
          <w:rFonts w:cs="Times New Roman"/>
          <w:lang w:eastAsia="x-none"/>
        </w:rPr>
        <w:t xml:space="preserve"> </w:t>
      </w:r>
      <w:r w:rsidRPr="00677ABE">
        <w:rPr>
          <w:rFonts w:cs="Times New Roman"/>
        </w:rPr>
        <w:t xml:space="preserve">“Here, following the reasoning in </w:t>
      </w:r>
      <w:r w:rsidRPr="00677ABE">
        <w:rPr>
          <w:rFonts w:cs="Times New Roman"/>
          <w:i/>
        </w:rPr>
        <w:t>Searle</w:t>
      </w:r>
      <w:r w:rsidRPr="00677ABE">
        <w:rPr>
          <w:rFonts w:cs="Times New Roman"/>
        </w:rPr>
        <w:t xml:space="preserve">, once the </w:t>
      </w:r>
      <w:r w:rsidR="00370148">
        <w:rPr>
          <w:rFonts w:cs="Times New Roman"/>
        </w:rPr>
        <w:t>’4</w:t>
      </w:r>
      <w:r w:rsidRPr="00677ABE">
        <w:rPr>
          <w:rFonts w:cs="Times New Roman"/>
        </w:rPr>
        <w:t xml:space="preserve">71 patent issued on the ’093 application—which, like the application in </w:t>
      </w:r>
      <w:r w:rsidRPr="00677ABE">
        <w:rPr>
          <w:rFonts w:cs="Times New Roman"/>
          <w:i/>
        </w:rPr>
        <w:t>Searle</w:t>
      </w:r>
      <w:r w:rsidRPr="00677ABE">
        <w:rPr>
          <w:rFonts w:cs="Times New Roman"/>
        </w:rPr>
        <w:t xml:space="preserve">, at the time of issuance included new matter not disclosed in the original application and so was a properly designated CIP—the </w:t>
      </w:r>
      <w:r w:rsidR="00370148">
        <w:rPr>
          <w:rFonts w:cs="Times New Roman"/>
        </w:rPr>
        <w:t>’4</w:t>
      </w:r>
      <w:r w:rsidRPr="00677ABE">
        <w:rPr>
          <w:rFonts w:cs="Times New Roman"/>
        </w:rPr>
        <w:t>71 patent was barred from safe-harbor protections.”</w:t>
      </w:r>
      <w:r w:rsidRPr="00677ABE">
        <w:rPr>
          <w:rStyle w:val="FootnoteReference"/>
          <w:rFonts w:cs="Times New Roman"/>
        </w:rPr>
        <w:footnoteReference w:id="484"/>
      </w:r>
    </w:p>
    <w:p w14:paraId="5B97274C" w14:textId="214296A1" w:rsidR="00393BAD" w:rsidRPr="00677ABE" w:rsidRDefault="00393BAD" w:rsidP="00CA2C0A">
      <w:pPr>
        <w:rPr>
          <w:rFonts w:cs="Times New Roman"/>
          <w:lang w:eastAsia="x-none"/>
        </w:rPr>
      </w:pPr>
      <w:r w:rsidRPr="00677ABE">
        <w:rPr>
          <w:rFonts w:cs="Times New Roman"/>
          <w:lang w:eastAsia="x-none"/>
        </w:rPr>
        <w:tab/>
      </w:r>
      <w:r w:rsidRPr="00677ABE">
        <w:rPr>
          <w:rFonts w:cs="Times New Roman"/>
        </w:rPr>
        <w:t xml:space="preserve">Janssen argued that because none of the </w:t>
      </w:r>
      <w:r w:rsidR="00370148">
        <w:rPr>
          <w:rFonts w:cs="Times New Roman"/>
        </w:rPr>
        <w:t>’4</w:t>
      </w:r>
      <w:r w:rsidRPr="00677ABE">
        <w:rPr>
          <w:rFonts w:cs="Times New Roman"/>
        </w:rPr>
        <w:t>71 patent’s issued claims ever depended on the new subject matter of the ’093 application, Janssen “never enjoyed, at the public’s expense, any benefit” from filing the application as a CIP rather than a divisional.</w:t>
      </w:r>
      <w:r w:rsidRPr="00677ABE">
        <w:rPr>
          <w:rStyle w:val="FootnoteReference"/>
          <w:rFonts w:cs="Times New Roman"/>
        </w:rPr>
        <w:footnoteReference w:id="485"/>
      </w:r>
      <w:r w:rsidRPr="00677ABE">
        <w:rPr>
          <w:rFonts w:cs="Times New Roman"/>
        </w:rPr>
        <w:t xml:space="preserve"> The Federal Circuit first disagreed with Janssen’s statement, finding that “Janssen </w:t>
      </w:r>
      <w:r w:rsidRPr="00677ABE">
        <w:rPr>
          <w:rFonts w:cs="Times New Roman"/>
          <w:i/>
        </w:rPr>
        <w:t>had</w:t>
      </w:r>
      <w:r w:rsidRPr="00677ABE">
        <w:rPr>
          <w:rFonts w:cs="Times New Roman"/>
        </w:rPr>
        <w:t xml:space="preserve"> benefitted because more than thirty patents issued to Janssen claiming priority to the </w:t>
      </w:r>
      <w:r w:rsidR="00370148">
        <w:rPr>
          <w:rFonts w:cs="Times New Roman"/>
        </w:rPr>
        <w:t>’4</w:t>
      </w:r>
      <w:r w:rsidRPr="00677ABE">
        <w:rPr>
          <w:rFonts w:cs="Times New Roman"/>
        </w:rPr>
        <w:t>71 patent,” and “[d]etermining whether any of those patents rely on the deleted subject matter for support cannot be accomplished without reopening examination of each patent.”</w:t>
      </w:r>
      <w:r w:rsidRPr="00677ABE">
        <w:rPr>
          <w:rStyle w:val="FootnoteReference"/>
          <w:rFonts w:cs="Times New Roman"/>
        </w:rPr>
        <w:footnoteReference w:id="486"/>
      </w:r>
      <w:r w:rsidRPr="00677ABE">
        <w:rPr>
          <w:rFonts w:cs="Times New Roman"/>
        </w:rPr>
        <w:t xml:space="preserve"> The Federal Circuit next explained that “[e]ven if Janssen </w:t>
      </w:r>
      <w:r w:rsidRPr="00677ABE">
        <w:rPr>
          <w:rFonts w:cs="Times New Roman"/>
        </w:rPr>
        <w:lastRenderedPageBreak/>
        <w:t>did not benefit from the period in which the application was designated as a CIP, we nonetheless find no reason . . . to permit Janssen now, by amendment, to acquire the benefit of the safe harbor.”</w:t>
      </w:r>
      <w:r w:rsidRPr="00677ABE">
        <w:rPr>
          <w:rStyle w:val="FootnoteReference"/>
          <w:rFonts w:cs="Times New Roman"/>
        </w:rPr>
        <w:footnoteReference w:id="487"/>
      </w:r>
      <w:r w:rsidRPr="00677ABE">
        <w:rPr>
          <w:rFonts w:cs="Times New Roman"/>
        </w:rPr>
        <w:t xml:space="preserve"> Indeed, “Janssen voluntarily and deliberately filed an application properly designated as a CIP.”</w:t>
      </w:r>
      <w:r w:rsidRPr="00677ABE">
        <w:rPr>
          <w:rStyle w:val="FootnoteReference"/>
          <w:rFonts w:cs="Times New Roman"/>
        </w:rPr>
        <w:footnoteReference w:id="488"/>
      </w:r>
      <w:r w:rsidRPr="00677ABE">
        <w:rPr>
          <w:rFonts w:cs="Times New Roman"/>
        </w:rPr>
        <w:t xml:space="preserve"> Importantly, the Federal Circuit made clear that it did “not decide [in this case] whether such filing practices and amendments made prior to issuance—wherein an application is designated as a divisional application by the time the challenged patent issues on that application—would be sufficient to bring the challenged patent within the scope of the safe-harbor protections.”</w:t>
      </w:r>
      <w:r w:rsidRPr="00677ABE">
        <w:rPr>
          <w:rStyle w:val="FootnoteReference"/>
          <w:rFonts w:cs="Times New Roman"/>
        </w:rPr>
        <w:footnoteReference w:id="489"/>
      </w:r>
    </w:p>
    <w:p w14:paraId="5030A30A" w14:textId="77777777" w:rsidR="00F20B84" w:rsidRDefault="00393BAD" w:rsidP="00CA2C0A">
      <w:pPr>
        <w:rPr>
          <w:rFonts w:cs="Times New Roman"/>
        </w:rPr>
      </w:pPr>
      <w:r w:rsidRPr="00677ABE">
        <w:rPr>
          <w:rFonts w:cs="Times New Roman"/>
          <w:lang w:eastAsia="x-none"/>
        </w:rPr>
        <w:tab/>
      </w:r>
      <w:r w:rsidRPr="00677ABE">
        <w:rPr>
          <w:rFonts w:cs="Times New Roman"/>
        </w:rPr>
        <w:t>The Federal Circuit further determined that Janssen was not entitled to a two-way test for obviousness-type double patenting.</w:t>
      </w:r>
      <w:r w:rsidRPr="00677ABE">
        <w:rPr>
          <w:rStyle w:val="FootnoteReference"/>
          <w:rFonts w:cs="Times New Roman"/>
        </w:rPr>
        <w:footnoteReference w:id="490"/>
      </w:r>
      <w:r w:rsidRPr="00677ABE">
        <w:rPr>
          <w:rFonts w:cs="Times New Roman"/>
        </w:rPr>
        <w:t xml:space="preserve"> The court determined that the two-way test is “only appropriate where (1) a second-filed application issues prior to a first-filed application, and (2) ‘the PTO is solely responsible for the delay’ in the issuance of the first-filed application.”</w:t>
      </w:r>
      <w:r w:rsidRPr="00677ABE">
        <w:rPr>
          <w:rStyle w:val="FootnoteReference"/>
          <w:rFonts w:cs="Times New Roman"/>
        </w:rPr>
        <w:footnoteReference w:id="491"/>
      </w:r>
      <w:r w:rsidRPr="00677ABE">
        <w:rPr>
          <w:rFonts w:cs="Times New Roman"/>
        </w:rPr>
        <w:t xml:space="preserve"> The Federal Circuit determined that neither of these two requirements were present here, and therefore the two-part test did not apply.</w:t>
      </w:r>
      <w:r w:rsidRPr="00677ABE">
        <w:rPr>
          <w:rStyle w:val="FootnoteReference"/>
          <w:rFonts w:cs="Times New Roman"/>
        </w:rPr>
        <w:footnoteReference w:id="492"/>
      </w:r>
    </w:p>
    <w:p w14:paraId="1A08ED6C" w14:textId="255BDCC1" w:rsidR="00AC6721" w:rsidRPr="00677ABE" w:rsidRDefault="00AC6721" w:rsidP="00CA2C0A">
      <w:pPr>
        <w:pStyle w:val="Heading3"/>
        <w:ind w:firstLine="0"/>
        <w:rPr>
          <w:rFonts w:cs="Times New Roman"/>
        </w:rPr>
      </w:pPr>
      <w:bookmarkStart w:id="107" w:name="_Toc531692765"/>
      <w:r w:rsidRPr="00677ABE">
        <w:rPr>
          <w:rFonts w:cs="Times New Roman"/>
        </w:rPr>
        <w:t>UCB, Inc. v. Accord Healthcare, Inc.</w:t>
      </w:r>
      <w:r w:rsidRPr="00677ABE">
        <w:rPr>
          <w:rFonts w:cs="Times New Roman"/>
          <w:i w:val="0"/>
        </w:rPr>
        <w:t>, 890 F.3d 1313 (Fed. Cir. May 23, 2018)</w:t>
      </w:r>
      <w:bookmarkEnd w:id="98"/>
      <w:bookmarkEnd w:id="107"/>
    </w:p>
    <w:p w14:paraId="1D35385D" w14:textId="4F7E352A" w:rsidR="00AC6721" w:rsidRPr="00677ABE" w:rsidRDefault="00AC6721" w:rsidP="00CA2C0A">
      <w:pPr>
        <w:outlineLvl w:val="0"/>
        <w:rPr>
          <w:rFonts w:cs="Times New Roman"/>
        </w:rPr>
      </w:pPr>
      <w:r w:rsidRPr="00677ABE">
        <w:rPr>
          <w:rFonts w:cs="Times New Roman"/>
        </w:rPr>
        <w:tab/>
      </w:r>
      <w:bookmarkStart w:id="108" w:name="_Toc526093285"/>
      <w:bookmarkStart w:id="109" w:name="_Toc526368133"/>
      <w:r w:rsidRPr="00677ABE">
        <w:rPr>
          <w:rFonts w:cs="Times New Roman"/>
        </w:rPr>
        <w:t xml:space="preserve">In this appeal from the District of Delaware, the Federal Circuit affirmed that a species patent was not invalid for obviousness nor for obviousness-type </w:t>
      </w:r>
      <w:r w:rsidR="00FA2147" w:rsidRPr="00677ABE">
        <w:rPr>
          <w:rFonts w:cs="Times New Roman"/>
        </w:rPr>
        <w:t>double patenting</w:t>
      </w:r>
      <w:r w:rsidRPr="00677ABE">
        <w:rPr>
          <w:rFonts w:cs="Times New Roman"/>
        </w:rPr>
        <w:t xml:space="preserve"> over a genus patent, even where other references each showed a different attribute of the eventually patented species.</w:t>
      </w:r>
      <w:r w:rsidRPr="00677ABE">
        <w:rPr>
          <w:rStyle w:val="FootnoteReference"/>
          <w:rFonts w:cs="Times New Roman"/>
        </w:rPr>
        <w:footnoteReference w:id="493"/>
      </w:r>
      <w:bookmarkEnd w:id="108"/>
      <w:bookmarkEnd w:id="109"/>
      <w:r w:rsidRPr="00677ABE">
        <w:rPr>
          <w:rFonts w:cs="Times New Roman"/>
        </w:rPr>
        <w:t xml:space="preserve"> </w:t>
      </w:r>
    </w:p>
    <w:p w14:paraId="1DC00B86" w14:textId="6FFDE00A" w:rsidR="00AC6721" w:rsidRPr="00677ABE" w:rsidRDefault="00AC6721" w:rsidP="00CA2C0A">
      <w:pPr>
        <w:outlineLvl w:val="0"/>
        <w:rPr>
          <w:rFonts w:cs="Times New Roman"/>
        </w:rPr>
      </w:pPr>
      <w:r w:rsidRPr="00677ABE">
        <w:rPr>
          <w:rFonts w:cs="Times New Roman"/>
        </w:rPr>
        <w:tab/>
      </w:r>
      <w:bookmarkStart w:id="110" w:name="_Toc526093286"/>
      <w:bookmarkStart w:id="111" w:name="_Toc526368134"/>
      <w:r w:rsidRPr="00677ABE">
        <w:rPr>
          <w:rFonts w:cs="Times New Roman"/>
        </w:rPr>
        <w:t xml:space="preserve">The case concerned the </w:t>
      </w:r>
      <w:r w:rsidR="00370148">
        <w:rPr>
          <w:rFonts w:cs="Times New Roman"/>
        </w:rPr>
        <w:t>’5</w:t>
      </w:r>
      <w:r w:rsidRPr="00677ABE">
        <w:rPr>
          <w:rFonts w:cs="Times New Roman"/>
        </w:rPr>
        <w:t>51 patent, which discloses an epilepsy treatment using lacosamide, a species of functionalized amino acids (“FAAs”).</w:t>
      </w:r>
      <w:r w:rsidRPr="00677ABE">
        <w:rPr>
          <w:rStyle w:val="FootnoteReference"/>
          <w:rFonts w:cs="Times New Roman"/>
        </w:rPr>
        <w:footnoteReference w:id="494"/>
      </w:r>
      <w:r w:rsidRPr="00677ABE">
        <w:rPr>
          <w:rFonts w:cs="Times New Roman"/>
        </w:rPr>
        <w:t xml:space="preserve"> An earlier ‘729 patent had already disclosed the genus’s use as an anticonvulsant and defined its common structure.</w:t>
      </w:r>
      <w:r w:rsidRPr="00677ABE">
        <w:rPr>
          <w:rStyle w:val="FootnoteReference"/>
          <w:rFonts w:cs="Times New Roman"/>
        </w:rPr>
        <w:footnoteReference w:id="495"/>
      </w:r>
      <w:r w:rsidRPr="00677ABE">
        <w:rPr>
          <w:rFonts w:cs="Times New Roman"/>
        </w:rPr>
        <w:t xml:space="preserve"> Four variables in the genus specify a species: three molecules in positions R, R1, and R3, and an orientation (either R, S, or a mixture of both).</w:t>
      </w:r>
      <w:r w:rsidRPr="00677ABE">
        <w:rPr>
          <w:rStyle w:val="FootnoteReference"/>
          <w:rFonts w:cs="Times New Roman"/>
        </w:rPr>
        <w:footnoteReference w:id="496"/>
      </w:r>
      <w:r w:rsidRPr="00677ABE">
        <w:rPr>
          <w:rFonts w:cs="Times New Roman"/>
        </w:rPr>
        <w:t xml:space="preserve"> Prior references and a continuation patent, </w:t>
      </w:r>
      <w:r w:rsidR="00370148">
        <w:rPr>
          <w:rFonts w:cs="Times New Roman"/>
        </w:rPr>
        <w:t>’3</w:t>
      </w:r>
      <w:r w:rsidRPr="00677ABE">
        <w:rPr>
          <w:rFonts w:cs="Times New Roman"/>
        </w:rPr>
        <w:t xml:space="preserve">01, variously “plugged in” values—but none chose more than three of the four values that the </w:t>
      </w:r>
      <w:r w:rsidR="00370148">
        <w:rPr>
          <w:rFonts w:cs="Times New Roman"/>
        </w:rPr>
        <w:t>’5</w:t>
      </w:r>
      <w:r w:rsidRPr="00677ABE">
        <w:rPr>
          <w:rFonts w:cs="Times New Roman"/>
        </w:rPr>
        <w:t>51 taught created an efficacious combination.</w:t>
      </w:r>
      <w:r w:rsidRPr="00677ABE">
        <w:rPr>
          <w:rStyle w:val="FootnoteReference"/>
          <w:rFonts w:cs="Times New Roman"/>
        </w:rPr>
        <w:footnoteReference w:id="497"/>
      </w:r>
      <w:r w:rsidRPr="00677ABE">
        <w:rPr>
          <w:rFonts w:cs="Times New Roman"/>
        </w:rPr>
        <w:t xml:space="preserve"> The district court found the </w:t>
      </w:r>
      <w:r w:rsidR="00370148">
        <w:rPr>
          <w:rFonts w:cs="Times New Roman"/>
        </w:rPr>
        <w:t>’5</w:t>
      </w:r>
      <w:r w:rsidRPr="00677ABE">
        <w:rPr>
          <w:rFonts w:cs="Times New Roman"/>
        </w:rPr>
        <w:t xml:space="preserve">51 patent was not invalid for obviousness-type double patenting because, among other reasons, even these instances of prior art failed to provide specific </w:t>
      </w:r>
      <w:r w:rsidRPr="00677ABE">
        <w:rPr>
          <w:rFonts w:cs="Times New Roman"/>
        </w:rPr>
        <w:lastRenderedPageBreak/>
        <w:t>data on the effect of using or not using the particular value each used</w:t>
      </w:r>
      <w:r w:rsidRPr="00677ABE">
        <w:rPr>
          <w:rStyle w:val="FootnoteReference"/>
          <w:rFonts w:cs="Times New Roman"/>
        </w:rPr>
        <w:footnoteReference w:id="498"/>
      </w:r>
      <w:r w:rsidRPr="00677ABE">
        <w:rPr>
          <w:rFonts w:cs="Times New Roman"/>
        </w:rPr>
        <w:t xml:space="preserve"> and because each failed to motivate further modification to obtain the other values each did not use.</w:t>
      </w:r>
      <w:r w:rsidRPr="00677ABE">
        <w:rPr>
          <w:rStyle w:val="FootnoteReference"/>
          <w:rFonts w:cs="Times New Roman"/>
        </w:rPr>
        <w:footnoteReference w:id="499"/>
      </w:r>
      <w:r w:rsidRPr="00677ABE">
        <w:rPr>
          <w:rFonts w:cs="Times New Roman"/>
        </w:rPr>
        <w:t xml:space="preserve"> For similar reasons—and because no compound across the references could even be selected as a “lead compound”—the district court found the </w:t>
      </w:r>
      <w:r w:rsidR="00370148">
        <w:rPr>
          <w:rFonts w:cs="Times New Roman"/>
        </w:rPr>
        <w:t>’5</w:t>
      </w:r>
      <w:r w:rsidRPr="00677ABE">
        <w:rPr>
          <w:rFonts w:cs="Times New Roman"/>
        </w:rPr>
        <w:t>51 patent not invalid for obviousness, either.</w:t>
      </w:r>
      <w:r w:rsidRPr="00677ABE">
        <w:rPr>
          <w:rStyle w:val="FootnoteReference"/>
          <w:rFonts w:cs="Times New Roman"/>
        </w:rPr>
        <w:footnoteReference w:id="500"/>
      </w:r>
      <w:bookmarkEnd w:id="110"/>
      <w:bookmarkEnd w:id="111"/>
    </w:p>
    <w:p w14:paraId="6B86CEF2" w14:textId="14321ABF" w:rsidR="00AC6721" w:rsidRPr="00677ABE" w:rsidRDefault="00AC6721" w:rsidP="00CA2C0A">
      <w:pPr>
        <w:outlineLvl w:val="0"/>
        <w:rPr>
          <w:rFonts w:cs="Times New Roman"/>
        </w:rPr>
      </w:pPr>
      <w:r w:rsidRPr="00677ABE">
        <w:rPr>
          <w:rFonts w:cs="Times New Roman"/>
        </w:rPr>
        <w:tab/>
      </w:r>
      <w:bookmarkStart w:id="112" w:name="_Toc526093287"/>
      <w:bookmarkStart w:id="113" w:name="_Toc526368135"/>
      <w:r w:rsidRPr="00677ABE">
        <w:rPr>
          <w:rFonts w:cs="Times New Roman"/>
        </w:rPr>
        <w:t>On appeal, the Federal Circuit affirmed.</w:t>
      </w:r>
      <w:r w:rsidRPr="00677ABE">
        <w:rPr>
          <w:rStyle w:val="FootnoteReference"/>
          <w:rFonts w:cs="Times New Roman"/>
        </w:rPr>
        <w:footnoteReference w:id="501"/>
      </w:r>
      <w:r w:rsidRPr="00677ABE">
        <w:rPr>
          <w:rFonts w:cs="Times New Roman"/>
        </w:rPr>
        <w:t xml:space="preserve"> The Federal Circuit clarified that the test for obviousness-type </w:t>
      </w:r>
      <w:r w:rsidR="00FA2147" w:rsidRPr="00677ABE">
        <w:rPr>
          <w:rFonts w:cs="Times New Roman"/>
        </w:rPr>
        <w:t>double patenting</w:t>
      </w:r>
      <w:r w:rsidRPr="00677ABE">
        <w:rPr>
          <w:rFonts w:cs="Times New Roman"/>
        </w:rPr>
        <w:t xml:space="preserve"> should, as the district had observed, construe the two patents’ claims, and evaluate their differences in context.</w:t>
      </w:r>
      <w:r w:rsidRPr="00677ABE">
        <w:rPr>
          <w:rStyle w:val="FootnoteReference"/>
          <w:rFonts w:cs="Times New Roman"/>
        </w:rPr>
        <w:footnoteReference w:id="502"/>
      </w:r>
      <w:r w:rsidRPr="00677ABE">
        <w:rPr>
          <w:rFonts w:cs="Times New Roman"/>
        </w:rPr>
        <w:t xml:space="preserve"> Here, the court held there was substantial evidence that a skilled artisan seeing the prior references would not have had a reasonable chance of obtaining a more efficacious anti-convulsant by modifying the previously disclosed compounds towards what the </w:t>
      </w:r>
      <w:r w:rsidR="00370148">
        <w:rPr>
          <w:rFonts w:cs="Times New Roman"/>
        </w:rPr>
        <w:t>’5</w:t>
      </w:r>
      <w:r w:rsidRPr="00677ABE">
        <w:rPr>
          <w:rFonts w:cs="Times New Roman"/>
        </w:rPr>
        <w:t>51 later disclosed.</w:t>
      </w:r>
      <w:r w:rsidRPr="00677ABE">
        <w:rPr>
          <w:rStyle w:val="FootnoteReference"/>
          <w:rFonts w:cs="Times New Roman"/>
        </w:rPr>
        <w:footnoteReference w:id="503"/>
      </w:r>
      <w:r w:rsidR="00AC00E6">
        <w:rPr>
          <w:rFonts w:cs="Times New Roman"/>
        </w:rPr>
        <w:t xml:space="preserve"> </w:t>
      </w:r>
      <w:r w:rsidRPr="00677ABE">
        <w:rPr>
          <w:rFonts w:cs="Times New Roman"/>
        </w:rPr>
        <w:t xml:space="preserve">In so holding, the court rejected appellant’s argument that because </w:t>
      </w:r>
      <w:r w:rsidR="00370148">
        <w:rPr>
          <w:rFonts w:cs="Times New Roman"/>
        </w:rPr>
        <w:t>’5</w:t>
      </w:r>
      <w:r w:rsidRPr="00677ABE">
        <w:rPr>
          <w:rFonts w:cs="Times New Roman"/>
        </w:rPr>
        <w:t xml:space="preserve">51 was an enabled species of </w:t>
      </w:r>
      <w:r w:rsidR="00370148">
        <w:rPr>
          <w:rFonts w:cs="Times New Roman"/>
        </w:rPr>
        <w:t>’3</w:t>
      </w:r>
      <w:r w:rsidRPr="00677ABE">
        <w:rPr>
          <w:rFonts w:cs="Times New Roman"/>
        </w:rPr>
        <w:t>01 it was necessarily obvious-type double-patenting, as “such a result would have a chilling effect on genus claiming . . . .”</w:t>
      </w:r>
      <w:r w:rsidRPr="00677ABE">
        <w:rPr>
          <w:rStyle w:val="FootnoteReference"/>
          <w:rFonts w:cs="Times New Roman"/>
        </w:rPr>
        <w:footnoteReference w:id="504"/>
      </w:r>
      <w:r w:rsidR="009C5358" w:rsidRPr="00677ABE">
        <w:rPr>
          <w:rFonts w:cs="Times New Roman"/>
        </w:rPr>
        <w:t xml:space="preserve"> The court similarly ass</w:t>
      </w:r>
      <w:r w:rsidRPr="00677ABE">
        <w:rPr>
          <w:rFonts w:cs="Times New Roman"/>
        </w:rPr>
        <w:t>essed the district court’s obviousness findings. First, the Federal Circuit clarified that “a lead compound analysis is not required in analyzing obviousness of a chemical compound when, in the inventing process, there was no lead compound.”</w:t>
      </w:r>
      <w:r w:rsidRPr="00677ABE">
        <w:rPr>
          <w:rStyle w:val="FootnoteReference"/>
          <w:rFonts w:cs="Times New Roman"/>
        </w:rPr>
        <w:footnoteReference w:id="505"/>
      </w:r>
      <w:r w:rsidRPr="00677ABE">
        <w:rPr>
          <w:rFonts w:cs="Times New Roman"/>
        </w:rPr>
        <w:t>In this case, not even the prior art compound closest to the ultimate species (the 107e compound) would have appeared to be an obvious lead compound to a skilled artisan.</w:t>
      </w:r>
      <w:r w:rsidRPr="00677ABE">
        <w:rPr>
          <w:rStyle w:val="FootnoteReference"/>
          <w:rFonts w:cs="Times New Roman"/>
        </w:rPr>
        <w:footnoteReference w:id="506"/>
      </w:r>
      <w:bookmarkEnd w:id="112"/>
      <w:r w:rsidRPr="00677ABE">
        <w:rPr>
          <w:rFonts w:cs="Times New Roman"/>
        </w:rPr>
        <w:t xml:space="preserve"> The patent was not invalid.</w:t>
      </w:r>
      <w:bookmarkEnd w:id="113"/>
    </w:p>
    <w:p w14:paraId="2DBE0DC1" w14:textId="567ED27D" w:rsidR="00AC6721" w:rsidRPr="00677ABE" w:rsidRDefault="00AC6721" w:rsidP="00CA2C0A">
      <w:pPr>
        <w:outlineLvl w:val="0"/>
        <w:rPr>
          <w:rFonts w:cs="Times New Roman"/>
        </w:rPr>
      </w:pPr>
      <w:r w:rsidRPr="00677ABE">
        <w:rPr>
          <w:rFonts w:cs="Times New Roman"/>
        </w:rPr>
        <w:tab/>
      </w:r>
      <w:bookmarkStart w:id="114" w:name="_Toc526093288"/>
      <w:bookmarkStart w:id="115" w:name="_Toc526368136"/>
      <w:r w:rsidRPr="00677ABE">
        <w:rPr>
          <w:rFonts w:cs="Times New Roman"/>
        </w:rPr>
        <w:t xml:space="preserve">In dissent, Chief Judge Prost wrote that </w:t>
      </w:r>
      <w:r w:rsidR="005625DA" w:rsidRPr="00677ABE">
        <w:rPr>
          <w:rFonts w:cs="Times New Roman"/>
        </w:rPr>
        <w:t>s</w:t>
      </w:r>
      <w:r w:rsidRPr="00677ABE">
        <w:rPr>
          <w:rFonts w:cs="Times New Roman"/>
        </w:rPr>
        <w:t xml:space="preserve">he would have seen what prior art failed to state as evidence the prior art already understood much of what the species patent later taught. In his view, one study that kept R and R1 constant while modifying R3 did not fail to provide evidence that these R and R1 values were efficacious, but rather proceeded from the knowledge they were effective (the same person who did this study later patented </w:t>
      </w:r>
      <w:r w:rsidR="00370148">
        <w:rPr>
          <w:rFonts w:cs="Times New Roman"/>
        </w:rPr>
        <w:t>’5</w:t>
      </w:r>
      <w:r w:rsidRPr="00677ABE">
        <w:rPr>
          <w:rFonts w:cs="Times New Roman"/>
        </w:rPr>
        <w:t>51).</w:t>
      </w:r>
      <w:r w:rsidRPr="00677ABE">
        <w:rPr>
          <w:rStyle w:val="FootnoteReference"/>
          <w:rFonts w:cs="Times New Roman"/>
        </w:rPr>
        <w:footnoteReference w:id="507"/>
      </w:r>
      <w:r w:rsidRPr="00677ABE">
        <w:rPr>
          <w:rFonts w:cs="Times New Roman"/>
        </w:rPr>
        <w:t xml:space="preserve"> Seen this way, the reference that included three of the four correct values should have provided a skilled artisan reasonable chance of success landing upon the fourth value and the combination </w:t>
      </w:r>
      <w:r w:rsidR="00370148">
        <w:rPr>
          <w:rFonts w:cs="Times New Roman"/>
        </w:rPr>
        <w:t>’5</w:t>
      </w:r>
      <w:r w:rsidRPr="00677ABE">
        <w:rPr>
          <w:rFonts w:cs="Times New Roman"/>
        </w:rPr>
        <w:t>51 later taught.</w:t>
      </w:r>
      <w:r w:rsidRPr="00677ABE">
        <w:rPr>
          <w:rStyle w:val="FootnoteReference"/>
          <w:rFonts w:cs="Times New Roman"/>
        </w:rPr>
        <w:footnoteReference w:id="508"/>
      </w:r>
      <w:r w:rsidRPr="00677ABE">
        <w:rPr>
          <w:rFonts w:cs="Times New Roman"/>
        </w:rPr>
        <w:t xml:space="preserve"> The majority rejected Chief Judge Prost’s approach as “reweigh[ing] the evidence, mak[ing] credibility findings, [and] find[ing] facts” beyond what was argued and found below.</w:t>
      </w:r>
      <w:r w:rsidRPr="00677ABE">
        <w:rPr>
          <w:rStyle w:val="FootnoteReference"/>
          <w:rFonts w:cs="Times New Roman"/>
        </w:rPr>
        <w:footnoteReference w:id="509"/>
      </w:r>
      <w:bookmarkEnd w:id="114"/>
      <w:bookmarkEnd w:id="115"/>
    </w:p>
    <w:p w14:paraId="4F71188F" w14:textId="77777777" w:rsidR="005625DA" w:rsidRPr="00677ABE" w:rsidRDefault="005625DA" w:rsidP="00CA2C0A">
      <w:pPr>
        <w:rPr>
          <w:rFonts w:eastAsiaTheme="majorEastAsia" w:cs="Times New Roman"/>
          <w:b/>
          <w:bCs/>
        </w:rPr>
      </w:pPr>
      <w:r w:rsidRPr="00677ABE">
        <w:rPr>
          <w:rFonts w:cs="Times New Roman"/>
        </w:rPr>
        <w:br w:type="page"/>
      </w:r>
    </w:p>
    <w:p w14:paraId="0FC11937" w14:textId="77777777" w:rsidR="00F20B84" w:rsidRDefault="000060D2" w:rsidP="00CA2C0A">
      <w:pPr>
        <w:pStyle w:val="Heading1"/>
        <w:rPr>
          <w:rFonts w:cs="Times New Roman"/>
          <w:szCs w:val="24"/>
        </w:rPr>
      </w:pPr>
      <w:bookmarkStart w:id="116" w:name="_Toc531692766"/>
      <w:r w:rsidRPr="00677ABE">
        <w:rPr>
          <w:rFonts w:cs="Times New Roman"/>
          <w:szCs w:val="24"/>
        </w:rPr>
        <w:lastRenderedPageBreak/>
        <w:t>CLAIM CONSTRUCTION</w:t>
      </w:r>
      <w:bookmarkEnd w:id="116"/>
    </w:p>
    <w:p w14:paraId="736E1B55" w14:textId="74EBA90C" w:rsidR="00995AB5" w:rsidRPr="00677ABE" w:rsidRDefault="00995AB5" w:rsidP="00CA2C0A">
      <w:pPr>
        <w:pStyle w:val="Heading3"/>
        <w:ind w:firstLine="0"/>
        <w:rPr>
          <w:rFonts w:cs="Times New Roman"/>
          <w:i w:val="0"/>
        </w:rPr>
      </w:pPr>
      <w:bookmarkStart w:id="117" w:name="_Toc516586566"/>
      <w:bookmarkStart w:id="118" w:name="_Toc531692767"/>
      <w:r w:rsidRPr="00677ABE">
        <w:rPr>
          <w:rFonts w:cs="Times New Roman"/>
        </w:rPr>
        <w:t>In re Nordt Dev. Co., LLC</w:t>
      </w:r>
      <w:r w:rsidRPr="00677ABE">
        <w:rPr>
          <w:rFonts w:cs="Times New Roman"/>
          <w:i w:val="0"/>
        </w:rPr>
        <w:t>, 881 F.3d 1371 (Fed. Cir. Feb. 8, 2018)</w:t>
      </w:r>
      <w:bookmarkEnd w:id="117"/>
      <w:bookmarkEnd w:id="118"/>
    </w:p>
    <w:p w14:paraId="621B9286" w14:textId="77777777" w:rsidR="00995AB5" w:rsidRPr="00677ABE" w:rsidRDefault="00995AB5" w:rsidP="00CA2C0A">
      <w:pPr>
        <w:rPr>
          <w:rFonts w:cs="Times New Roman"/>
        </w:rPr>
      </w:pPr>
      <w:r w:rsidRPr="00677ABE">
        <w:rPr>
          <w:rFonts w:cs="Times New Roman"/>
          <w:lang w:eastAsia="x-none"/>
        </w:rPr>
        <w:tab/>
      </w:r>
      <w:r w:rsidRPr="00677ABE">
        <w:rPr>
          <w:rFonts w:cs="Times New Roman"/>
        </w:rPr>
        <w:t>The Federal Circuit disagreed with the PTAB’s claim construction of “injection molded” as a process limitation with no patentable weight and accordingly vacated the Board’s finding of anticipation and remanded the case.</w:t>
      </w:r>
      <w:r w:rsidRPr="00677ABE">
        <w:rPr>
          <w:rStyle w:val="FootnoteReference"/>
          <w:rFonts w:cs="Times New Roman"/>
        </w:rPr>
        <w:footnoteReference w:id="510"/>
      </w:r>
      <w:r w:rsidRPr="00677ABE">
        <w:rPr>
          <w:rFonts w:cs="Times New Roman"/>
        </w:rPr>
        <w:t xml:space="preserve"> </w:t>
      </w:r>
    </w:p>
    <w:p w14:paraId="56D10841" w14:textId="77777777" w:rsidR="00995AB5" w:rsidRPr="00677ABE" w:rsidRDefault="00995AB5" w:rsidP="00CA2C0A">
      <w:pPr>
        <w:rPr>
          <w:rFonts w:cs="Times New Roman"/>
        </w:rPr>
      </w:pPr>
      <w:r w:rsidRPr="00677ABE">
        <w:rPr>
          <w:rFonts w:cs="Times New Roman"/>
          <w:lang w:eastAsia="x-none"/>
        </w:rPr>
        <w:tab/>
      </w:r>
      <w:r w:rsidRPr="00677ABE">
        <w:rPr>
          <w:rFonts w:cs="Times New Roman"/>
        </w:rPr>
        <w:t>The ’865 application is directed to an injection molded knee brace that is elastic to permit and assist people in flexing their knee.</w:t>
      </w:r>
      <w:r w:rsidRPr="00677ABE">
        <w:rPr>
          <w:rStyle w:val="FootnoteReference"/>
          <w:rFonts w:cs="Times New Roman"/>
        </w:rPr>
        <w:footnoteReference w:id="511"/>
      </w:r>
      <w:r w:rsidRPr="00677ABE">
        <w:rPr>
          <w:rFonts w:cs="Times New Roman"/>
        </w:rPr>
        <w:t xml:space="preserve"> The court explained that “when considering the patentability of product claims that contain process limitations, claim scope is generally based on the product itself, not the process.”</w:t>
      </w:r>
      <w:r w:rsidRPr="00677ABE">
        <w:rPr>
          <w:rStyle w:val="FootnoteReference"/>
          <w:rFonts w:cs="Times New Roman"/>
        </w:rPr>
        <w:footnoteReference w:id="512"/>
      </w:r>
      <w:r w:rsidRPr="00677ABE">
        <w:rPr>
          <w:rFonts w:cs="Times New Roman"/>
        </w:rPr>
        <w:t xml:space="preserve"> But “[i]f the process limitation connotes specific structure and may be considered a structural limitation, that structure should be considered.”</w:t>
      </w:r>
      <w:r w:rsidRPr="00677ABE">
        <w:rPr>
          <w:rStyle w:val="FootnoteReference"/>
          <w:rFonts w:cs="Times New Roman"/>
        </w:rPr>
        <w:footnoteReference w:id="513"/>
      </w:r>
      <w:r w:rsidRPr="00677ABE">
        <w:rPr>
          <w:rFonts w:cs="Times New Roman"/>
        </w:rPr>
        <w:t xml:space="preserve"> In fact, “words of limitation that can connote with equal force a structural characteristic of the product or a process of manufacture are commonly and by default interpreted in their structural sense, unless the patentee has demonstrated otherwise.”</w:t>
      </w:r>
      <w:r w:rsidRPr="00677ABE">
        <w:rPr>
          <w:rStyle w:val="FootnoteReference"/>
          <w:rFonts w:cs="Times New Roman"/>
        </w:rPr>
        <w:footnoteReference w:id="514"/>
      </w:r>
    </w:p>
    <w:p w14:paraId="212D1837" w14:textId="77777777" w:rsidR="00F20B84" w:rsidRDefault="00995AB5" w:rsidP="00CA2C0A">
      <w:pPr>
        <w:rPr>
          <w:rFonts w:cs="Times New Roman"/>
          <w:lang w:eastAsia="x-none"/>
        </w:rPr>
      </w:pPr>
      <w:r w:rsidRPr="00677ABE">
        <w:rPr>
          <w:rFonts w:cs="Times New Roman"/>
          <w:lang w:eastAsia="x-none"/>
        </w:rPr>
        <w:tab/>
        <w:t xml:space="preserve">In this case, </w:t>
      </w:r>
      <w:r w:rsidRPr="00677ABE">
        <w:rPr>
          <w:rFonts w:cs="Times New Roman"/>
        </w:rPr>
        <w:t>contrary to the Board’s determination, the claim term is structural.</w:t>
      </w:r>
      <w:r w:rsidRPr="00677ABE">
        <w:rPr>
          <w:rStyle w:val="FootnoteReference"/>
          <w:rFonts w:cs="Times New Roman"/>
        </w:rPr>
        <w:footnoteReference w:id="515"/>
      </w:r>
      <w:r w:rsidRPr="00677ABE">
        <w:rPr>
          <w:rFonts w:cs="Times New Roman"/>
        </w:rPr>
        <w:t xml:space="preserve"> The term injection molded connotes structure because “‘there are clear structural differences’ between a knee brace made with fabric components and [the prior art] knee brace made with injection-molded components” that the PTAB determined anticipated the claims.</w:t>
      </w:r>
      <w:r w:rsidRPr="00677ABE">
        <w:rPr>
          <w:rStyle w:val="FootnoteReference"/>
          <w:rFonts w:cs="Times New Roman"/>
        </w:rPr>
        <w:footnoteReference w:id="516"/>
      </w:r>
      <w:r w:rsidRPr="00677ABE">
        <w:rPr>
          <w:rFonts w:cs="Times New Roman"/>
        </w:rPr>
        <w:t xml:space="preserve"> For instance, an injection molded parts are “integrally formed from elastomeric materials.”</w:t>
      </w:r>
      <w:r w:rsidRPr="00677ABE">
        <w:rPr>
          <w:rStyle w:val="FootnoteReference"/>
          <w:rFonts w:cs="Times New Roman"/>
        </w:rPr>
        <w:footnoteReference w:id="517"/>
      </w:r>
    </w:p>
    <w:p w14:paraId="1A456C7B" w14:textId="7DF0FD29" w:rsidR="00C6052B" w:rsidRPr="00677ABE" w:rsidRDefault="00C6052B" w:rsidP="00CA2C0A">
      <w:pPr>
        <w:pStyle w:val="Heading3"/>
        <w:ind w:firstLine="0"/>
        <w:rPr>
          <w:rFonts w:cs="Times New Roman"/>
        </w:rPr>
      </w:pPr>
      <w:bookmarkStart w:id="119" w:name="_Toc531692768"/>
      <w:r w:rsidRPr="00677ABE">
        <w:rPr>
          <w:rFonts w:cs="Times New Roman"/>
        </w:rPr>
        <w:t>Blackbird Tech LLC</w:t>
      </w:r>
      <w:r w:rsidR="00712C22" w:rsidRPr="00677ABE">
        <w:rPr>
          <w:rFonts w:cs="Times New Roman"/>
        </w:rPr>
        <w:t xml:space="preserve"> v. </w:t>
      </w:r>
      <w:r w:rsidRPr="00677ABE">
        <w:rPr>
          <w:rFonts w:cs="Times New Roman"/>
        </w:rPr>
        <w:t xml:space="preserve">ELB </w:t>
      </w:r>
      <w:r w:rsidR="009C5358" w:rsidRPr="00677ABE">
        <w:rPr>
          <w:rFonts w:cs="Times New Roman"/>
        </w:rPr>
        <w:t>Elecs.</w:t>
      </w:r>
      <w:r w:rsidRPr="00677ABE">
        <w:rPr>
          <w:rFonts w:cs="Times New Roman"/>
        </w:rPr>
        <w:t>, Inc.</w:t>
      </w:r>
      <w:r w:rsidRPr="00677ABE">
        <w:rPr>
          <w:rFonts w:cs="Times New Roman"/>
          <w:i w:val="0"/>
        </w:rPr>
        <w:t xml:space="preserve">, 895 F.3d 1374, (Fed. Cir. </w:t>
      </w:r>
      <w:r w:rsidR="002B3CF9" w:rsidRPr="00677ABE">
        <w:rPr>
          <w:rFonts w:cs="Times New Roman"/>
          <w:i w:val="0"/>
        </w:rPr>
        <w:t>July </w:t>
      </w:r>
      <w:r w:rsidR="001F2160" w:rsidRPr="00677ABE">
        <w:rPr>
          <w:rFonts w:cs="Times New Roman"/>
          <w:i w:val="0"/>
        </w:rPr>
        <w:t>16, 2018)</w:t>
      </w:r>
      <w:bookmarkEnd w:id="119"/>
    </w:p>
    <w:p w14:paraId="0BA325F0" w14:textId="55A69E21" w:rsidR="00C6052B" w:rsidRPr="00677ABE" w:rsidRDefault="00C6052B" w:rsidP="00CA2C0A">
      <w:pPr>
        <w:ind w:firstLine="720"/>
        <w:rPr>
          <w:rFonts w:cs="Times New Roman"/>
        </w:rPr>
      </w:pPr>
      <w:r w:rsidRPr="00677ABE">
        <w:rPr>
          <w:rFonts w:cs="Times New Roman"/>
        </w:rPr>
        <w:t>In this appeal from the District Court of Delaware, the Federal Circuit held the district court had erred in constructing “attachment surface</w:t>
      </w:r>
      <w:r w:rsidR="00D33AC6" w:rsidRPr="00677ABE">
        <w:rPr>
          <w:rFonts w:cs="Times New Roman"/>
        </w:rPr>
        <w:t>,</w:t>
      </w:r>
      <w:r w:rsidRPr="00677ABE">
        <w:rPr>
          <w:rFonts w:cs="Times New Roman"/>
        </w:rPr>
        <w:t>” vacated the district court’s resulting non-infringement finding</w:t>
      </w:r>
      <w:r w:rsidR="00D33AC6" w:rsidRPr="00677ABE">
        <w:rPr>
          <w:rFonts w:cs="Times New Roman"/>
        </w:rPr>
        <w:t>,</w:t>
      </w:r>
      <w:r w:rsidRPr="00677ABE">
        <w:rPr>
          <w:rFonts w:cs="Times New Roman"/>
        </w:rPr>
        <w:t xml:space="preserve"> and remanded the case.</w:t>
      </w:r>
      <w:r w:rsidRPr="00677ABE">
        <w:rPr>
          <w:rStyle w:val="FootnoteReference"/>
          <w:rFonts w:cs="Times New Roman"/>
        </w:rPr>
        <w:footnoteReference w:id="518"/>
      </w:r>
    </w:p>
    <w:p w14:paraId="0CF32302" w14:textId="77777777" w:rsidR="00C6052B" w:rsidRPr="00677ABE" w:rsidRDefault="00C6052B" w:rsidP="00CA2C0A">
      <w:pPr>
        <w:ind w:firstLine="720"/>
        <w:rPr>
          <w:rFonts w:cs="Times New Roman"/>
        </w:rPr>
      </w:pPr>
      <w:r w:rsidRPr="00677ABE">
        <w:rPr>
          <w:rFonts w:cs="Times New Roman"/>
        </w:rPr>
        <w:t>The case concerned Blackbird’s ‘747 patent—which included apparatus and method claims related to an LED lighting apparatus that could be used in older fixtures—and specifically its claim 12. “Blackbird proposed construing [claim 12’s] ‘attachment surface’ as ‘layer of the housing to which the illumination surface is secured,’ and Defendants proposed ‘layer of the housing that is secured to the ballast cover and to which the illumination surface is secured.’”</w:t>
      </w:r>
      <w:r w:rsidRPr="00677ABE">
        <w:rPr>
          <w:rStyle w:val="FootnoteReference"/>
          <w:rFonts w:cs="Times New Roman"/>
        </w:rPr>
        <w:footnoteReference w:id="519"/>
      </w:r>
      <w:r w:rsidRPr="00677ABE">
        <w:rPr>
          <w:rFonts w:cs="Times New Roman"/>
        </w:rPr>
        <w:t xml:space="preserve"> The district court found “layer of the </w:t>
      </w:r>
      <w:r w:rsidRPr="00677ABE">
        <w:rPr>
          <w:rFonts w:cs="Times New Roman"/>
        </w:rPr>
        <w:lastRenderedPageBreak/>
        <w:t>housing that is secured to the ballast cover” to be correct, which led to a swift agreement of noninfringement, and Blackbird’s appeal.</w:t>
      </w:r>
      <w:r w:rsidRPr="00677ABE">
        <w:rPr>
          <w:rStyle w:val="FootnoteReference"/>
          <w:rFonts w:cs="Times New Roman"/>
        </w:rPr>
        <w:footnoteReference w:id="520"/>
      </w:r>
    </w:p>
    <w:p w14:paraId="6692CDC1" w14:textId="470FF3E6" w:rsidR="00C6052B" w:rsidRPr="00677ABE" w:rsidRDefault="00C6052B" w:rsidP="00CA2C0A">
      <w:pPr>
        <w:ind w:firstLine="720"/>
        <w:rPr>
          <w:rFonts w:cs="Times New Roman"/>
        </w:rPr>
      </w:pPr>
      <w:r w:rsidRPr="00677ABE">
        <w:rPr>
          <w:rFonts w:cs="Times New Roman"/>
        </w:rPr>
        <w:t>The Federal Circuit hel</w:t>
      </w:r>
      <w:r w:rsidR="00D33AC6" w:rsidRPr="00677ABE">
        <w:rPr>
          <w:rFonts w:cs="Times New Roman"/>
        </w:rPr>
        <w:t>d the district court erred,</w:t>
      </w:r>
      <w:r w:rsidR="00D33AC6" w:rsidRPr="00677ABE">
        <w:rPr>
          <w:rStyle w:val="FootnoteReference"/>
          <w:rFonts w:cs="Times New Roman"/>
        </w:rPr>
        <w:footnoteReference w:id="521"/>
      </w:r>
      <w:r w:rsidR="00D33AC6" w:rsidRPr="00677ABE">
        <w:rPr>
          <w:rFonts w:cs="Times New Roman"/>
        </w:rPr>
        <w:t xml:space="preserve"> and </w:t>
      </w:r>
      <w:r w:rsidRPr="00677ABE">
        <w:rPr>
          <w:rFonts w:cs="Times New Roman"/>
        </w:rPr>
        <w:t>adopted Blackbird’s construction of “layer of the housing to which the illumination surface is secured.”</w:t>
      </w:r>
      <w:r w:rsidRPr="00677ABE">
        <w:rPr>
          <w:rStyle w:val="FootnoteReference"/>
          <w:rFonts w:cs="Times New Roman"/>
        </w:rPr>
        <w:footnoteReference w:id="522"/>
      </w:r>
      <w:r w:rsidRPr="00677ABE">
        <w:rPr>
          <w:rFonts w:cs="Times New Roman"/>
        </w:rPr>
        <w:t xml:space="preserve"> First, the court held that fastener limitations in the embodiment—related to attaching the attachment surface to the existing fixture’s ballast cover—should not be imported into the claim,</w:t>
      </w:r>
      <w:r w:rsidRPr="00677ABE">
        <w:rPr>
          <w:rStyle w:val="FootnoteReference"/>
          <w:rFonts w:cs="Times New Roman"/>
        </w:rPr>
        <w:footnoteReference w:id="523"/>
      </w:r>
      <w:r w:rsidRPr="00677ABE">
        <w:rPr>
          <w:rFonts w:cs="Times New Roman"/>
        </w:rPr>
        <w:t xml:space="preserve"> especially because the specification included alternative fastening approaches,</w:t>
      </w:r>
      <w:r w:rsidRPr="00677ABE">
        <w:rPr>
          <w:rStyle w:val="FootnoteReference"/>
          <w:rFonts w:cs="Times New Roman"/>
        </w:rPr>
        <w:footnoteReference w:id="524"/>
      </w:r>
      <w:r w:rsidRPr="00677ABE">
        <w:rPr>
          <w:rFonts w:cs="Times New Roman"/>
        </w:rPr>
        <w:t xml:space="preserve"> and no party argued the fastening method was important to the claimed invention.</w:t>
      </w:r>
      <w:r w:rsidRPr="00677ABE">
        <w:rPr>
          <w:rStyle w:val="FootnoteReference"/>
          <w:rFonts w:cs="Times New Roman"/>
        </w:rPr>
        <w:footnoteReference w:id="525"/>
      </w:r>
      <w:r w:rsidR="00AC00E6">
        <w:rPr>
          <w:rFonts w:cs="Times New Roman"/>
        </w:rPr>
        <w:t xml:space="preserve"> </w:t>
      </w:r>
      <w:r w:rsidRPr="00677ABE">
        <w:rPr>
          <w:rFonts w:cs="Times New Roman"/>
        </w:rPr>
        <w:t xml:space="preserve">Second, the court </w:t>
      </w:r>
      <w:r w:rsidR="008866B4" w:rsidRPr="00677ABE">
        <w:rPr>
          <w:rFonts w:cs="Times New Roman"/>
        </w:rPr>
        <w:t>found</w:t>
      </w:r>
      <w:r w:rsidRPr="00677ABE">
        <w:rPr>
          <w:rFonts w:cs="Times New Roman"/>
        </w:rPr>
        <w:t xml:space="preserve"> that the prosecution history showed the “applicant expressly eliminated from the claim a fastening mechanism that secures the attachment surface to the ballast cover and replaced it with a fastening mechanism that secures the attachment surface to the illumination surface,” and that </w:t>
      </w:r>
      <w:r w:rsidR="008866B4" w:rsidRPr="00677ABE">
        <w:rPr>
          <w:rFonts w:cs="Times New Roman"/>
        </w:rPr>
        <w:t>a</w:t>
      </w:r>
      <w:r w:rsidRPr="00677ABE">
        <w:rPr>
          <w:rFonts w:cs="Times New Roman"/>
        </w:rPr>
        <w:t xml:space="preserve"> </w:t>
      </w:r>
      <w:r w:rsidR="008866B4" w:rsidRPr="00677ABE">
        <w:rPr>
          <w:rFonts w:cs="Times New Roman"/>
        </w:rPr>
        <w:t>person having ordinary skill in the art</w:t>
      </w:r>
      <w:r w:rsidRPr="00677ABE">
        <w:rPr>
          <w:rFonts w:cs="Times New Roman"/>
        </w:rPr>
        <w:t xml:space="preserve"> would understand this supported the district court’s construction.</w:t>
      </w:r>
      <w:r w:rsidRPr="00677ABE">
        <w:rPr>
          <w:rStyle w:val="FootnoteReference"/>
          <w:rFonts w:cs="Times New Roman"/>
        </w:rPr>
        <w:footnoteReference w:id="526"/>
      </w:r>
      <w:r w:rsidRPr="00677ABE">
        <w:rPr>
          <w:rFonts w:cs="Times New Roman"/>
        </w:rPr>
        <w:t xml:space="preserve"> Finally, the court rejected the arg</w:t>
      </w:r>
      <w:r w:rsidR="00DE2951" w:rsidRPr="00677ABE">
        <w:rPr>
          <w:rFonts w:cs="Times New Roman"/>
        </w:rPr>
        <w:t>ument that claim 12’s preamble—</w:t>
      </w:r>
      <w:r w:rsidRPr="00677ABE">
        <w:rPr>
          <w:rFonts w:cs="Times New Roman"/>
        </w:rPr>
        <w:t>which announced “[a]n energy-efficient lighting apparatus for retrofit with an existing light</w:t>
      </w:r>
      <w:r w:rsidR="00DE2951" w:rsidRPr="00677ABE">
        <w:rPr>
          <w:rFonts w:cs="Times New Roman"/>
        </w:rPr>
        <w:t xml:space="preserve"> fixture having a ballast cover”—</w:t>
      </w:r>
      <w:r w:rsidRPr="00677ABE">
        <w:rPr>
          <w:rFonts w:cs="Times New Roman"/>
        </w:rPr>
        <w:t>required reading in the limi</w:t>
      </w:r>
      <w:r w:rsidR="00B21006" w:rsidRPr="00677ABE">
        <w:rPr>
          <w:rFonts w:cs="Times New Roman"/>
        </w:rPr>
        <w:t>ta</w:t>
      </w:r>
      <w:r w:rsidR="00970D62" w:rsidRPr="00677ABE">
        <w:rPr>
          <w:rFonts w:cs="Times New Roman"/>
        </w:rPr>
        <w:t>tions on the attachment layer.</w:t>
      </w:r>
      <w:r w:rsidR="00AC00E6">
        <w:rPr>
          <w:rFonts w:cs="Times New Roman"/>
        </w:rPr>
        <w:t xml:space="preserve"> </w:t>
      </w:r>
      <w:r w:rsidR="00970D62" w:rsidRPr="00677ABE">
        <w:rPr>
          <w:rFonts w:cs="Times New Roman"/>
        </w:rPr>
        <w:t>T</w:t>
      </w:r>
      <w:r w:rsidR="00B21006" w:rsidRPr="00677ABE">
        <w:rPr>
          <w:rFonts w:cs="Times New Roman"/>
        </w:rPr>
        <w:t xml:space="preserve">he </w:t>
      </w:r>
      <w:r w:rsidRPr="00677ABE">
        <w:rPr>
          <w:rFonts w:cs="Times New Roman"/>
        </w:rPr>
        <w:t xml:space="preserve">claim was </w:t>
      </w:r>
      <w:r w:rsidR="00171A76" w:rsidRPr="00677ABE">
        <w:rPr>
          <w:rFonts w:cs="Times New Roman"/>
        </w:rPr>
        <w:t>a self-complete</w:t>
      </w:r>
      <w:r w:rsidRPr="00677ABE">
        <w:rPr>
          <w:rFonts w:cs="Times New Roman"/>
        </w:rPr>
        <w:t xml:space="preserve"> apparatus </w:t>
      </w:r>
      <w:r w:rsidR="00B21006" w:rsidRPr="00677ABE">
        <w:rPr>
          <w:rFonts w:cs="Times New Roman"/>
        </w:rPr>
        <w:t xml:space="preserve">claim </w:t>
      </w:r>
      <w:r w:rsidR="00171A76" w:rsidRPr="00677ABE">
        <w:rPr>
          <w:rFonts w:cs="Times New Roman"/>
        </w:rPr>
        <w:t>that was not narrowed by its method of installation</w:t>
      </w:r>
      <w:r w:rsidRPr="00677ABE">
        <w:rPr>
          <w:rFonts w:cs="Times New Roman"/>
        </w:rPr>
        <w:t>.</w:t>
      </w:r>
      <w:r w:rsidRPr="00677ABE">
        <w:rPr>
          <w:rStyle w:val="FootnoteReference"/>
          <w:rFonts w:cs="Times New Roman"/>
        </w:rPr>
        <w:footnoteReference w:id="527"/>
      </w:r>
      <w:r w:rsidRPr="00677ABE">
        <w:rPr>
          <w:rFonts w:cs="Times New Roman"/>
        </w:rPr>
        <w:t xml:space="preserve"> </w:t>
      </w:r>
    </w:p>
    <w:p w14:paraId="52FEC7FD" w14:textId="77777777" w:rsidR="00690EF1" w:rsidRDefault="00171A76" w:rsidP="00CA2C0A">
      <w:pPr>
        <w:ind w:firstLine="720"/>
        <w:rPr>
          <w:rFonts w:cs="Times New Roman"/>
          <w:color w:val="000000" w:themeColor="text1"/>
        </w:rPr>
      </w:pPr>
      <w:r w:rsidRPr="00677ABE">
        <w:rPr>
          <w:rFonts w:cs="Times New Roman"/>
        </w:rPr>
        <w:t>Judge Reyna</w:t>
      </w:r>
      <w:r w:rsidR="00C6052B" w:rsidRPr="00677ABE">
        <w:rPr>
          <w:rFonts w:cs="Times New Roman"/>
        </w:rPr>
        <w:t xml:space="preserve"> dissent</w:t>
      </w:r>
      <w:r w:rsidRPr="00677ABE">
        <w:rPr>
          <w:rFonts w:cs="Times New Roman"/>
        </w:rPr>
        <w:t>ed,</w:t>
      </w:r>
      <w:r w:rsidR="00C6052B" w:rsidRPr="00677ABE">
        <w:rPr>
          <w:rStyle w:val="FootnoteReference"/>
          <w:rFonts w:cs="Times New Roman"/>
        </w:rPr>
        <w:footnoteReference w:id="528"/>
      </w:r>
      <w:r w:rsidR="00C6052B" w:rsidRPr="00677ABE">
        <w:rPr>
          <w:rFonts w:cs="Times New Roman"/>
        </w:rPr>
        <w:t xml:space="preserve"> </w:t>
      </w:r>
      <w:r w:rsidRPr="00677ABE">
        <w:rPr>
          <w:rFonts w:cs="Times New Roman"/>
        </w:rPr>
        <w:t>reasoning that</w:t>
      </w:r>
      <w:r w:rsidR="00C6052B" w:rsidRPr="00677ABE">
        <w:rPr>
          <w:rFonts w:cs="Times New Roman"/>
        </w:rPr>
        <w:t xml:space="preserve"> the district court’s construction better consisted with the invention’s intended function (retrofitting),</w:t>
      </w:r>
      <w:r w:rsidR="00C6052B" w:rsidRPr="00677ABE">
        <w:rPr>
          <w:rStyle w:val="FootnoteReference"/>
          <w:rFonts w:cs="Times New Roman"/>
        </w:rPr>
        <w:footnoteReference w:id="529"/>
      </w:r>
      <w:r w:rsidR="00C6052B" w:rsidRPr="00677ABE">
        <w:rPr>
          <w:rFonts w:cs="Times New Roman"/>
        </w:rPr>
        <w:t xml:space="preserve"> the structure of the claims (“attachment layer” was only included in claims related to retrofitting),</w:t>
      </w:r>
      <w:r w:rsidR="00C6052B" w:rsidRPr="00677ABE">
        <w:rPr>
          <w:rStyle w:val="FootnoteReference"/>
          <w:rFonts w:cs="Times New Roman"/>
        </w:rPr>
        <w:footnoteReference w:id="530"/>
      </w:r>
      <w:r w:rsidR="00C6052B" w:rsidRPr="00677ABE">
        <w:rPr>
          <w:rFonts w:cs="Times New Roman"/>
        </w:rPr>
        <w:t xml:space="preserve"> and the invention t</w:t>
      </w:r>
      <w:r w:rsidRPr="00677ABE">
        <w:rPr>
          <w:rFonts w:cs="Times New Roman"/>
        </w:rPr>
        <w:t>hat t</w:t>
      </w:r>
      <w:r w:rsidR="00C6052B" w:rsidRPr="00677ABE">
        <w:rPr>
          <w:rFonts w:cs="Times New Roman"/>
        </w:rPr>
        <w:t>he inventor possessed (likely one with an attachment layer appropriate to retrofitting).</w:t>
      </w:r>
      <w:r w:rsidR="00C6052B" w:rsidRPr="00677ABE">
        <w:rPr>
          <w:rStyle w:val="FootnoteReference"/>
          <w:rFonts w:cs="Times New Roman"/>
        </w:rPr>
        <w:footnoteReference w:id="531"/>
      </w:r>
      <w:r w:rsidR="00C6052B" w:rsidRPr="00677ABE">
        <w:rPr>
          <w:rFonts w:cs="Times New Roman"/>
        </w:rPr>
        <w:t xml:space="preserve"> The majority’s </w:t>
      </w:r>
      <w:r w:rsidR="00C6052B" w:rsidRPr="00677ABE">
        <w:rPr>
          <w:rFonts w:cs="Times New Roman"/>
          <w:color w:val="000000" w:themeColor="text1"/>
        </w:rPr>
        <w:t>construction, Judge Reyna contended, risked rendering the patent invalid.</w:t>
      </w:r>
      <w:r w:rsidR="00C6052B" w:rsidRPr="00677ABE">
        <w:rPr>
          <w:rStyle w:val="FootnoteReference"/>
          <w:rFonts w:cs="Times New Roman"/>
          <w:color w:val="000000" w:themeColor="text1"/>
        </w:rPr>
        <w:footnoteReference w:id="532"/>
      </w:r>
      <w:r w:rsidR="00C6052B" w:rsidRPr="00677ABE">
        <w:rPr>
          <w:rFonts w:cs="Times New Roman"/>
          <w:color w:val="000000" w:themeColor="text1"/>
        </w:rPr>
        <w:t xml:space="preserve"> For instance, the retrofitting method claim 29 (not otherwise in dispute) relied upon the term “attachment surface” to do work that the majority’s construction would not accomplish, leaving the method unenabled.</w:t>
      </w:r>
      <w:r w:rsidR="00C6052B" w:rsidRPr="00677ABE">
        <w:rPr>
          <w:rStyle w:val="FootnoteReference"/>
          <w:rFonts w:cs="Times New Roman"/>
          <w:color w:val="000000" w:themeColor="text1"/>
        </w:rPr>
        <w:footnoteReference w:id="533"/>
      </w:r>
      <w:r w:rsidR="00C6052B" w:rsidRPr="00677ABE">
        <w:rPr>
          <w:rFonts w:cs="Times New Roman"/>
          <w:color w:val="000000" w:themeColor="text1"/>
        </w:rPr>
        <w:t xml:space="preserve"> Judge Reyna would have downplayed “ambiguities created by ongoing negotiations” in the prosecution history.</w:t>
      </w:r>
      <w:r w:rsidR="00C6052B" w:rsidRPr="00677ABE">
        <w:rPr>
          <w:rStyle w:val="FootnoteReference"/>
          <w:rFonts w:cs="Times New Roman"/>
          <w:color w:val="000000" w:themeColor="text1"/>
        </w:rPr>
        <w:footnoteReference w:id="534"/>
      </w:r>
      <w:r w:rsidR="00C6052B" w:rsidRPr="00677ABE">
        <w:rPr>
          <w:rFonts w:cs="Times New Roman"/>
          <w:color w:val="000000" w:themeColor="text1"/>
        </w:rPr>
        <w:t xml:space="preserve"> </w:t>
      </w:r>
    </w:p>
    <w:p w14:paraId="263BB9F5" w14:textId="134B254E" w:rsidR="00295B73" w:rsidRPr="00690EF1" w:rsidRDefault="00295B73" w:rsidP="00CA2C0A">
      <w:pPr>
        <w:ind w:firstLine="720"/>
        <w:rPr>
          <w:rFonts w:cs="Times New Roman"/>
          <w:color w:val="000000" w:themeColor="text1"/>
        </w:rPr>
      </w:pPr>
      <w:r>
        <w:rPr>
          <w:rFonts w:cs="Times New Roman"/>
        </w:rPr>
        <w:br w:type="page"/>
      </w:r>
    </w:p>
    <w:p w14:paraId="4E6BAA7C" w14:textId="77777777" w:rsidR="00F20B84" w:rsidRDefault="000060D2" w:rsidP="00CA2C0A">
      <w:pPr>
        <w:pStyle w:val="Heading1"/>
        <w:rPr>
          <w:rFonts w:cs="Times New Roman"/>
          <w:szCs w:val="24"/>
        </w:rPr>
      </w:pPr>
      <w:bookmarkStart w:id="120" w:name="_Toc531692769"/>
      <w:r w:rsidRPr="00677ABE">
        <w:rPr>
          <w:rFonts w:cs="Times New Roman"/>
          <w:szCs w:val="24"/>
        </w:rPr>
        <w:lastRenderedPageBreak/>
        <w:t>INFRINGEMENT</w:t>
      </w:r>
      <w:bookmarkEnd w:id="120"/>
    </w:p>
    <w:p w14:paraId="03D31355" w14:textId="77777777" w:rsidR="00F20B84" w:rsidRDefault="00BF11E8" w:rsidP="00CA2C0A">
      <w:pPr>
        <w:pStyle w:val="Heading2"/>
        <w:rPr>
          <w:rFonts w:cs="Times New Roman"/>
          <w:szCs w:val="24"/>
        </w:rPr>
      </w:pPr>
      <w:bookmarkStart w:id="121" w:name="_Toc531692770"/>
      <w:r w:rsidRPr="00677ABE">
        <w:rPr>
          <w:rFonts w:cs="Times New Roman"/>
          <w:szCs w:val="24"/>
        </w:rPr>
        <w:t>Divided</w:t>
      </w:r>
      <w:r w:rsidR="000060D2" w:rsidRPr="00677ABE">
        <w:rPr>
          <w:rFonts w:cs="Times New Roman"/>
          <w:szCs w:val="24"/>
        </w:rPr>
        <w:t xml:space="preserve"> Infringement</w:t>
      </w:r>
      <w:bookmarkEnd w:id="121"/>
    </w:p>
    <w:p w14:paraId="18ED24E7" w14:textId="1378293F" w:rsidR="00BF11E8" w:rsidRPr="00677ABE" w:rsidRDefault="00BF11E8" w:rsidP="00CA2C0A">
      <w:pPr>
        <w:pStyle w:val="Heading3"/>
        <w:ind w:firstLine="0"/>
        <w:rPr>
          <w:rFonts w:cs="Times New Roman"/>
          <w:i w:val="0"/>
        </w:rPr>
      </w:pPr>
      <w:bookmarkStart w:id="122" w:name="_Toc516586570"/>
      <w:bookmarkStart w:id="123" w:name="_Toc531692771"/>
      <w:r w:rsidRPr="00677ABE">
        <w:rPr>
          <w:rFonts w:cs="Times New Roman"/>
        </w:rPr>
        <w:t>Travel Sentry, Inc. v. Tropp</w:t>
      </w:r>
      <w:r w:rsidRPr="00677ABE">
        <w:rPr>
          <w:rFonts w:cs="Times New Roman"/>
          <w:i w:val="0"/>
        </w:rPr>
        <w:t>, 877 F.3d 1370 (Fed. Cir. Dec. 19, 2017)</w:t>
      </w:r>
      <w:bookmarkEnd w:id="122"/>
      <w:bookmarkEnd w:id="123"/>
    </w:p>
    <w:p w14:paraId="5CAD7B0C" w14:textId="77777777" w:rsidR="00BF11E8" w:rsidRPr="00677ABE" w:rsidRDefault="00BF11E8" w:rsidP="00CA2C0A">
      <w:pPr>
        <w:rPr>
          <w:rFonts w:cs="Times New Roman"/>
          <w:lang w:eastAsia="x-none"/>
        </w:rPr>
      </w:pPr>
      <w:r w:rsidRPr="00677ABE">
        <w:rPr>
          <w:rFonts w:cs="Times New Roman"/>
          <w:lang w:eastAsia="x-none"/>
        </w:rPr>
        <w:tab/>
        <w:t>In this appeal from the Eastern District of New York, the Federal Circuit vacated the district court’s entry of summary judgment of noninfringement, concluding that there are “genuine disputes of material fact regarding whether Travel Sentry directs or controls the performance of certain steps of the claimed methods.”</w:t>
      </w:r>
      <w:r w:rsidRPr="00677ABE">
        <w:rPr>
          <w:rStyle w:val="FootnoteReference"/>
          <w:rFonts w:cs="Times New Roman"/>
          <w:lang w:eastAsia="x-none"/>
        </w:rPr>
        <w:footnoteReference w:id="535"/>
      </w:r>
      <w:r w:rsidRPr="00677ABE">
        <w:rPr>
          <w:rFonts w:cs="Times New Roman"/>
          <w:lang w:eastAsia="x-none"/>
        </w:rPr>
        <w:t xml:space="preserve"> The claims at-issue are generally directed to a method of improving Congressionally mandated airline baggage inspections by TSA, where airline passengers can utilize an identifiable special lock for which TSA has a master passkey.</w:t>
      </w:r>
      <w:r w:rsidRPr="00677ABE">
        <w:rPr>
          <w:rStyle w:val="FootnoteReference"/>
          <w:rFonts w:cs="Times New Roman"/>
          <w:lang w:eastAsia="x-none"/>
        </w:rPr>
        <w:footnoteReference w:id="536"/>
      </w:r>
      <w:r w:rsidRPr="00677ABE">
        <w:rPr>
          <w:rFonts w:cs="Times New Roman"/>
          <w:lang w:eastAsia="x-none"/>
        </w:rPr>
        <w:t xml:space="preserve"> The method claims require action by two separate entities: (a) first, the method claim requires that some entity make the identifiable special lock available to consumers; and (b) second, the method requires that TSA identify such locks and use a master passkey to open the baggage.</w:t>
      </w:r>
      <w:r w:rsidRPr="00677ABE">
        <w:rPr>
          <w:rStyle w:val="FootnoteReference"/>
          <w:rFonts w:cs="Times New Roman"/>
          <w:lang w:eastAsia="x-none"/>
        </w:rPr>
        <w:footnoteReference w:id="537"/>
      </w:r>
    </w:p>
    <w:p w14:paraId="06565FFE" w14:textId="77777777" w:rsidR="00BF11E8" w:rsidRPr="00677ABE" w:rsidRDefault="00BF11E8" w:rsidP="00CA2C0A">
      <w:pPr>
        <w:rPr>
          <w:rFonts w:cs="Times New Roman"/>
          <w:lang w:eastAsia="x-none"/>
        </w:rPr>
      </w:pPr>
      <w:r w:rsidRPr="00677ABE">
        <w:rPr>
          <w:rFonts w:cs="Times New Roman"/>
          <w:lang w:eastAsia="x-none"/>
        </w:rPr>
        <w:tab/>
        <w:t>The Federal Circuit determined that a reasonable jury could conclude TSA’s performance of the final method steps is attributable to Travel Sentry.</w:t>
      </w:r>
      <w:r w:rsidRPr="00677ABE">
        <w:rPr>
          <w:rStyle w:val="FootnoteReference"/>
          <w:rFonts w:cs="Times New Roman"/>
          <w:lang w:eastAsia="x-none"/>
        </w:rPr>
        <w:footnoteReference w:id="538"/>
      </w:r>
      <w:r w:rsidRPr="00677ABE">
        <w:rPr>
          <w:rFonts w:cs="Times New Roman"/>
          <w:lang w:eastAsia="x-none"/>
        </w:rPr>
        <w:t xml:space="preserve"> The court noted a “common thread” among this case, </w:t>
      </w:r>
      <w:r w:rsidRPr="00677ABE">
        <w:rPr>
          <w:rFonts w:cs="Times New Roman"/>
          <w:i/>
          <w:lang w:eastAsia="x-none"/>
        </w:rPr>
        <w:t>Akamai V</w:t>
      </w:r>
      <w:r w:rsidRPr="00677ABE">
        <w:rPr>
          <w:rFonts w:cs="Times New Roman"/>
          <w:lang w:eastAsia="x-none"/>
        </w:rPr>
        <w:t>,</w:t>
      </w:r>
      <w:r w:rsidRPr="00677ABE">
        <w:rPr>
          <w:rStyle w:val="FootnoteReference"/>
          <w:rFonts w:cs="Times New Roman"/>
          <w:lang w:eastAsia="x-none"/>
        </w:rPr>
        <w:footnoteReference w:id="539"/>
      </w:r>
      <w:r w:rsidRPr="00677ABE">
        <w:rPr>
          <w:rFonts w:cs="Times New Roman"/>
          <w:lang w:eastAsia="x-none"/>
        </w:rPr>
        <w:t xml:space="preserve"> and </w:t>
      </w:r>
      <w:r w:rsidRPr="00677ABE">
        <w:rPr>
          <w:rFonts w:cs="Times New Roman"/>
          <w:i/>
          <w:lang w:eastAsia="x-none"/>
        </w:rPr>
        <w:t>Eli Lilly</w:t>
      </w:r>
      <w:r w:rsidRPr="00677ABE">
        <w:rPr>
          <w:rStyle w:val="FootnoteReference"/>
          <w:rFonts w:cs="Times New Roman"/>
          <w:i/>
          <w:lang w:eastAsia="x-none"/>
        </w:rPr>
        <w:footnoteReference w:id="540"/>
      </w:r>
      <w:r w:rsidRPr="00677ABE">
        <w:rPr>
          <w:rFonts w:cs="Times New Roman"/>
          <w:lang w:eastAsia="x-none"/>
        </w:rPr>
        <w:t>: “evidence that a third party hoping to obtain access to certain benefits can only do so if it performs certain steps identified by the defendant, and does so under the terms prescribed by the defendant.”</w:t>
      </w:r>
      <w:r w:rsidRPr="00677ABE">
        <w:rPr>
          <w:rStyle w:val="FootnoteReference"/>
          <w:rFonts w:cs="Times New Roman"/>
          <w:lang w:eastAsia="x-none"/>
        </w:rPr>
        <w:footnoteReference w:id="541"/>
      </w:r>
    </w:p>
    <w:p w14:paraId="3AAD4494" w14:textId="77777777" w:rsidR="00BF11E8" w:rsidRPr="00677ABE" w:rsidRDefault="00BF11E8" w:rsidP="00CA2C0A">
      <w:pPr>
        <w:rPr>
          <w:rFonts w:cs="Times New Roman"/>
          <w:lang w:eastAsia="x-none"/>
        </w:rPr>
      </w:pPr>
      <w:r w:rsidRPr="00677ABE">
        <w:rPr>
          <w:rFonts w:cs="Times New Roman"/>
          <w:lang w:eastAsia="x-none"/>
        </w:rPr>
        <w:tab/>
      </w:r>
      <w:r w:rsidRPr="00677ABE">
        <w:rPr>
          <w:rFonts w:cs="Times New Roman"/>
          <w:b/>
          <w:lang w:eastAsia="x-none"/>
        </w:rPr>
        <w:t>Akamai V Prong One</w:t>
      </w:r>
      <w:r w:rsidRPr="00677ABE">
        <w:rPr>
          <w:rFonts w:cs="Times New Roman"/>
          <w:lang w:eastAsia="x-none"/>
        </w:rPr>
        <w:t>: Travel Sentry and TSA entered into a Memorandum of Understanding (MOU),</w:t>
      </w:r>
      <w:r w:rsidRPr="00677ABE">
        <w:rPr>
          <w:rStyle w:val="FootnoteReference"/>
          <w:rFonts w:cs="Times New Roman"/>
          <w:lang w:eastAsia="x-none"/>
        </w:rPr>
        <w:footnoteReference w:id="542"/>
      </w:r>
      <w:r w:rsidRPr="00677ABE">
        <w:rPr>
          <w:rFonts w:cs="Times New Roman"/>
          <w:lang w:eastAsia="x-none"/>
        </w:rPr>
        <w:t xml:space="preserve"> under which TSA “agreed to make good faith efforts to ‘distribute the passkeys and information provided by Travel Sentry on the use of the passkeys,’ to ‘use the passkeys to open checked baggage secured with Travel Sentry certified locks whenever practicable,’ and to have its employees ‘relock Travel Sentry locks after bags are inspected.’”</w:t>
      </w:r>
      <w:r w:rsidRPr="00677ABE">
        <w:rPr>
          <w:rStyle w:val="FootnoteReference"/>
          <w:rFonts w:cs="Times New Roman"/>
          <w:lang w:eastAsia="x-none"/>
        </w:rPr>
        <w:footnoteReference w:id="543"/>
      </w:r>
      <w:r w:rsidRPr="00677ABE">
        <w:rPr>
          <w:rFonts w:cs="Times New Roman"/>
          <w:lang w:eastAsia="x-none"/>
        </w:rPr>
        <w:t xml:space="preserve"> The court determined that the simple “fact that TSA entered into the MOU with Travel Sentry implies that TSA believed it would receive </w:t>
      </w:r>
      <w:r w:rsidRPr="00677ABE">
        <w:rPr>
          <w:rFonts w:cs="Times New Roman"/>
          <w:i/>
          <w:lang w:eastAsia="x-none"/>
        </w:rPr>
        <w:t xml:space="preserve">some </w:t>
      </w:r>
      <w:r w:rsidRPr="00677ABE">
        <w:rPr>
          <w:rFonts w:cs="Times New Roman"/>
          <w:lang w:eastAsia="x-none"/>
        </w:rPr>
        <w:t>[tangible or intangible] benefit[s] from the arrangement” such as “a reduction in the number of claims submitted by aggrieved travelers,” “promotion of the public’s perception of the agency,” and increased efficiency.</w:t>
      </w:r>
      <w:r w:rsidRPr="00677ABE">
        <w:rPr>
          <w:rStyle w:val="FootnoteReference"/>
          <w:rFonts w:cs="Times New Roman"/>
          <w:lang w:eastAsia="x-none"/>
        </w:rPr>
        <w:footnoteReference w:id="544"/>
      </w:r>
    </w:p>
    <w:p w14:paraId="242CA92D" w14:textId="77777777" w:rsidR="00BF11E8" w:rsidRPr="00677ABE" w:rsidRDefault="00BF11E8" w:rsidP="00CA2C0A">
      <w:pPr>
        <w:rPr>
          <w:rFonts w:cs="Times New Roman"/>
          <w:lang w:eastAsia="x-none"/>
        </w:rPr>
      </w:pPr>
      <w:r w:rsidRPr="00677ABE">
        <w:rPr>
          <w:rFonts w:cs="Times New Roman"/>
          <w:lang w:eastAsia="x-none"/>
        </w:rPr>
        <w:tab/>
        <w:t>With those possible benefits in mind, it was clear to the court that a reasonable jury could conclude that Travel Sentry “conditions” TSA’s receipt of these potential benefits on TSA’s performance of the claim steps.</w:t>
      </w:r>
      <w:r w:rsidRPr="00677ABE">
        <w:rPr>
          <w:rStyle w:val="FootnoteReference"/>
          <w:rFonts w:cs="Times New Roman"/>
          <w:lang w:eastAsia="x-none"/>
        </w:rPr>
        <w:footnoteReference w:id="545"/>
      </w:r>
      <w:r w:rsidRPr="00677ABE">
        <w:rPr>
          <w:rFonts w:cs="Times New Roman"/>
          <w:lang w:eastAsia="x-none"/>
        </w:rPr>
        <w:t xml:space="preserve"> Indeed, the relevant activity in the </w:t>
      </w:r>
      <w:r w:rsidRPr="00677ABE">
        <w:rPr>
          <w:rFonts w:cs="Times New Roman"/>
          <w:lang w:eastAsia="x-none"/>
        </w:rPr>
        <w:lastRenderedPageBreak/>
        <w:t>MOU “is coextensive with the final two claim steps,” because “whatever benefits flow to TSA from [this agreement] can only be realized if TSA performs the final two claim steps.”</w:t>
      </w:r>
      <w:r w:rsidRPr="00677ABE">
        <w:rPr>
          <w:rStyle w:val="FootnoteReference"/>
          <w:rFonts w:cs="Times New Roman"/>
          <w:lang w:eastAsia="x-none"/>
        </w:rPr>
        <w:footnoteReference w:id="546"/>
      </w:r>
    </w:p>
    <w:p w14:paraId="6062DACB" w14:textId="77777777" w:rsidR="00BF11E8" w:rsidRPr="00677ABE" w:rsidRDefault="00BF11E8" w:rsidP="00CA2C0A">
      <w:pPr>
        <w:rPr>
          <w:rFonts w:cs="Times New Roman"/>
          <w:lang w:eastAsia="x-none"/>
        </w:rPr>
      </w:pPr>
      <w:r w:rsidRPr="00677ABE">
        <w:rPr>
          <w:rFonts w:cs="Times New Roman"/>
          <w:lang w:eastAsia="x-none"/>
        </w:rPr>
        <w:tab/>
      </w:r>
      <w:r w:rsidRPr="00677ABE">
        <w:rPr>
          <w:rFonts w:cs="Times New Roman"/>
          <w:b/>
          <w:lang w:eastAsia="x-none"/>
        </w:rPr>
        <w:t>Akamai V Prong Two</w:t>
      </w:r>
      <w:r w:rsidRPr="00677ABE">
        <w:rPr>
          <w:rFonts w:cs="Times New Roman"/>
          <w:lang w:eastAsia="x-none"/>
        </w:rPr>
        <w:t>: The Federal Circuit also concluded that a reasonable jury could find that Travel Sentry established the manner or timing of TSA’s performance.</w:t>
      </w:r>
      <w:r w:rsidRPr="00677ABE">
        <w:rPr>
          <w:rStyle w:val="FootnoteReference"/>
          <w:rFonts w:cs="Times New Roman"/>
          <w:lang w:eastAsia="x-none"/>
        </w:rPr>
        <w:footnoteReference w:id="547"/>
      </w:r>
      <w:r w:rsidRPr="00677ABE">
        <w:rPr>
          <w:rFonts w:cs="Times New Roman"/>
          <w:lang w:eastAsia="x-none"/>
        </w:rPr>
        <w:t xml:space="preserve"> Although Travel Sentry did not supervise TSA’s performance of the method steps, “in order for TSA to receive the benefits that flow from inspecting luggage with Travel Sentry’s[] locks, it must use the [master passkeys] that Travel Sentry distributed . . . to open those locks, pursuant to the MOU.”</w:t>
      </w:r>
      <w:r w:rsidRPr="00677ABE">
        <w:rPr>
          <w:rStyle w:val="FootnoteReference"/>
          <w:rFonts w:cs="Times New Roman"/>
          <w:lang w:eastAsia="x-none"/>
        </w:rPr>
        <w:footnoteReference w:id="548"/>
      </w:r>
      <w:r w:rsidRPr="00677ABE">
        <w:rPr>
          <w:rFonts w:cs="Times New Roman"/>
          <w:lang w:eastAsia="x-none"/>
        </w:rPr>
        <w:t xml:space="preserve"> Put differently, TSA only obtains the benefits its seeks if it “participate[s in] the very activity identified in the claim steps.”</w:t>
      </w:r>
      <w:r w:rsidRPr="00677ABE">
        <w:rPr>
          <w:rStyle w:val="FootnoteReference"/>
          <w:rFonts w:cs="Times New Roman"/>
          <w:lang w:eastAsia="x-none"/>
        </w:rPr>
        <w:footnoteReference w:id="549"/>
      </w:r>
    </w:p>
    <w:p w14:paraId="4B708778" w14:textId="77777777" w:rsidR="00BF11E8" w:rsidRPr="00677ABE" w:rsidRDefault="00BF11E8" w:rsidP="00CA2C0A">
      <w:pPr>
        <w:rPr>
          <w:rFonts w:cs="Times New Roman"/>
          <w:lang w:eastAsia="x-none"/>
        </w:rPr>
      </w:pPr>
      <w:r w:rsidRPr="00677ABE">
        <w:rPr>
          <w:rFonts w:cs="Times New Roman"/>
          <w:lang w:eastAsia="x-none"/>
        </w:rPr>
        <w:tab/>
      </w:r>
      <w:r w:rsidRPr="00677ABE">
        <w:rPr>
          <w:rFonts w:cs="Times New Roman"/>
          <w:b/>
          <w:lang w:eastAsia="x-none"/>
        </w:rPr>
        <w:t>Importance of context</w:t>
      </w:r>
      <w:r w:rsidRPr="00677ABE">
        <w:rPr>
          <w:rFonts w:cs="Times New Roman"/>
          <w:lang w:eastAsia="x-none"/>
        </w:rPr>
        <w:t xml:space="preserve">: The court concluded by noting that because “Travel Sentry ‘has the right and ability to stop or limit’ TSA’s ability to practice the final two claim steps—and thus receive the benefits that flow from practicing those steps,” the context of this case is similar to the context in </w:t>
      </w:r>
      <w:r w:rsidRPr="00677ABE">
        <w:rPr>
          <w:rFonts w:cs="Times New Roman"/>
          <w:i/>
          <w:lang w:eastAsia="x-none"/>
        </w:rPr>
        <w:t>Grokster</w:t>
      </w:r>
      <w:r w:rsidRPr="00677ABE">
        <w:rPr>
          <w:rFonts w:cs="Times New Roman"/>
          <w:lang w:eastAsia="x-none"/>
        </w:rPr>
        <w:t>,</w:t>
      </w:r>
      <w:r w:rsidRPr="00677ABE">
        <w:rPr>
          <w:rStyle w:val="FootnoteReference"/>
          <w:rFonts w:cs="Times New Roman"/>
          <w:lang w:eastAsia="x-none"/>
        </w:rPr>
        <w:footnoteReference w:id="550"/>
      </w:r>
      <w:r w:rsidRPr="00677ABE">
        <w:rPr>
          <w:rFonts w:cs="Times New Roman"/>
          <w:lang w:eastAsia="x-none"/>
        </w:rPr>
        <w:t xml:space="preserve"> which supports a finding of infringement.</w:t>
      </w:r>
      <w:r w:rsidRPr="00677ABE">
        <w:rPr>
          <w:rStyle w:val="FootnoteReference"/>
          <w:rFonts w:cs="Times New Roman"/>
          <w:lang w:eastAsia="x-none"/>
        </w:rPr>
        <w:footnoteReference w:id="551"/>
      </w:r>
    </w:p>
    <w:p w14:paraId="6BBDB367" w14:textId="77777777" w:rsidR="002551F9" w:rsidRPr="00677ABE" w:rsidRDefault="002551F9" w:rsidP="00CA2C0A">
      <w:pPr>
        <w:rPr>
          <w:rFonts w:eastAsiaTheme="majorEastAsia" w:cs="Times New Roman"/>
          <w:b/>
          <w:bCs/>
        </w:rPr>
      </w:pPr>
      <w:r w:rsidRPr="00677ABE">
        <w:rPr>
          <w:rFonts w:cs="Times New Roman"/>
        </w:rPr>
        <w:br w:type="page"/>
      </w:r>
    </w:p>
    <w:p w14:paraId="3C68935A" w14:textId="77777777" w:rsidR="00F20B84" w:rsidRDefault="007D0629" w:rsidP="00CA2C0A">
      <w:pPr>
        <w:pStyle w:val="Heading1"/>
        <w:rPr>
          <w:rFonts w:cs="Times New Roman"/>
          <w:szCs w:val="24"/>
        </w:rPr>
      </w:pPr>
      <w:bookmarkStart w:id="124" w:name="_Toc531692772"/>
      <w:r w:rsidRPr="00677ABE">
        <w:rPr>
          <w:rFonts w:cs="Times New Roman"/>
          <w:szCs w:val="24"/>
        </w:rPr>
        <w:lastRenderedPageBreak/>
        <w:t>DEFENSES</w:t>
      </w:r>
      <w:bookmarkEnd w:id="124"/>
    </w:p>
    <w:p w14:paraId="2C1342B4" w14:textId="77777777" w:rsidR="00F20B84" w:rsidRDefault="00D34D6A" w:rsidP="00CA2C0A">
      <w:pPr>
        <w:pStyle w:val="Heading2"/>
        <w:rPr>
          <w:rFonts w:cs="Times New Roman"/>
          <w:szCs w:val="24"/>
        </w:rPr>
      </w:pPr>
      <w:bookmarkStart w:id="125" w:name="_Toc531692773"/>
      <w:r w:rsidRPr="00677ABE">
        <w:rPr>
          <w:rFonts w:cs="Times New Roman"/>
          <w:szCs w:val="24"/>
        </w:rPr>
        <w:t xml:space="preserve">Implied </w:t>
      </w:r>
      <w:r w:rsidR="001C4E9C" w:rsidRPr="00677ABE">
        <w:rPr>
          <w:rFonts w:cs="Times New Roman"/>
          <w:szCs w:val="24"/>
        </w:rPr>
        <w:t>Waiver and Standard-Setting Organizations</w:t>
      </w:r>
      <w:bookmarkEnd w:id="125"/>
    </w:p>
    <w:p w14:paraId="5EEFEA45" w14:textId="12E9BD63" w:rsidR="001C4E9C" w:rsidRPr="00677ABE" w:rsidRDefault="001C4E9C" w:rsidP="00CA2C0A">
      <w:pPr>
        <w:pStyle w:val="Heading3"/>
        <w:ind w:firstLine="0"/>
        <w:rPr>
          <w:rFonts w:cs="Times New Roman"/>
        </w:rPr>
      </w:pPr>
      <w:bookmarkStart w:id="126" w:name="_Toc526093252"/>
      <w:bookmarkStart w:id="127" w:name="_Toc531692774"/>
      <w:r w:rsidRPr="00677ABE">
        <w:rPr>
          <w:rFonts w:cs="Times New Roman"/>
        </w:rPr>
        <w:t>Core Wireless Licensing S.A.R.L.</w:t>
      </w:r>
      <w:r w:rsidR="00712C22" w:rsidRPr="00677ABE">
        <w:rPr>
          <w:rFonts w:cs="Times New Roman"/>
        </w:rPr>
        <w:t xml:space="preserve"> v. </w:t>
      </w:r>
      <w:r w:rsidRPr="00677ABE">
        <w:rPr>
          <w:rFonts w:cs="Times New Roman"/>
        </w:rPr>
        <w:t>Apple Inc.</w:t>
      </w:r>
      <w:r w:rsidRPr="00677ABE">
        <w:rPr>
          <w:rFonts w:cs="Times New Roman"/>
          <w:i w:val="0"/>
        </w:rPr>
        <w:t xml:space="preserve">, 899 F.3d 1356 (Fed. Cir. </w:t>
      </w:r>
      <w:r w:rsidR="002B3CF9" w:rsidRPr="00677ABE">
        <w:rPr>
          <w:rFonts w:cs="Times New Roman"/>
          <w:i w:val="0"/>
        </w:rPr>
        <w:t>Aug. </w:t>
      </w:r>
      <w:r w:rsidRPr="00677ABE">
        <w:rPr>
          <w:rFonts w:cs="Times New Roman"/>
          <w:i w:val="0"/>
        </w:rPr>
        <w:t>16, 2018)</w:t>
      </w:r>
      <w:bookmarkEnd w:id="126"/>
      <w:bookmarkEnd w:id="127"/>
    </w:p>
    <w:p w14:paraId="27A29480" w14:textId="36DBDDCF" w:rsidR="001C4E9C" w:rsidRPr="00677ABE" w:rsidRDefault="001C4E9C" w:rsidP="00CA2C0A">
      <w:pPr>
        <w:ind w:firstLine="720"/>
        <w:outlineLvl w:val="0"/>
        <w:rPr>
          <w:rFonts w:cs="Times New Roman"/>
        </w:rPr>
      </w:pPr>
      <w:bookmarkStart w:id="128" w:name="_Toc526093253"/>
      <w:bookmarkStart w:id="129" w:name="_Toc526368137"/>
      <w:r w:rsidRPr="00677ABE">
        <w:rPr>
          <w:rFonts w:cs="Times New Roman"/>
        </w:rPr>
        <w:t xml:space="preserve">In this appeal from the Northern District of California, the Federal Circuit vacated the district court’s finding that a patent was not unenforceable </w:t>
      </w:r>
      <w:r w:rsidR="00C05315" w:rsidRPr="00677ABE">
        <w:rPr>
          <w:rFonts w:cs="Times New Roman"/>
        </w:rPr>
        <w:t>for implied waiver</w:t>
      </w:r>
      <w:r w:rsidR="00800049" w:rsidRPr="00677ABE">
        <w:rPr>
          <w:rFonts w:cs="Times New Roman"/>
        </w:rPr>
        <w:t xml:space="preserve"> </w:t>
      </w:r>
      <w:r w:rsidRPr="00677ABE">
        <w:rPr>
          <w:rFonts w:cs="Times New Roman"/>
        </w:rPr>
        <w:t>and remanded for further proceedings.</w:t>
      </w:r>
      <w:r w:rsidR="003D5EB8" w:rsidRPr="00677ABE">
        <w:rPr>
          <w:rStyle w:val="FootnoteReference"/>
          <w:rFonts w:cs="Times New Roman"/>
        </w:rPr>
        <w:footnoteReference w:id="552"/>
      </w:r>
      <w:r w:rsidRPr="00677ABE">
        <w:rPr>
          <w:rFonts w:cs="Times New Roman"/>
        </w:rPr>
        <w:t xml:space="preserve"> </w:t>
      </w:r>
      <w:bookmarkEnd w:id="128"/>
      <w:r w:rsidR="00DF6FBF" w:rsidRPr="00677ABE">
        <w:rPr>
          <w:rFonts w:cs="Times New Roman"/>
        </w:rPr>
        <w:t>Equitable relief may be appropriate i</w:t>
      </w:r>
      <w:r w:rsidR="00800049" w:rsidRPr="00677ABE">
        <w:rPr>
          <w:rFonts w:cs="Times New Roman"/>
        </w:rPr>
        <w:t>n the standard-setting context</w:t>
      </w:r>
      <w:r w:rsidR="00DF6FBF" w:rsidRPr="00677ABE">
        <w:rPr>
          <w:rFonts w:cs="Times New Roman"/>
        </w:rPr>
        <w:t>, just as in the inequitable conduct setting</w:t>
      </w:r>
      <w:r w:rsidR="00DF132B" w:rsidRPr="00677ABE">
        <w:rPr>
          <w:rFonts w:cs="Times New Roman"/>
        </w:rPr>
        <w:t xml:space="preserve"> under </w:t>
      </w:r>
      <w:r w:rsidR="00DF132B" w:rsidRPr="00677ABE">
        <w:rPr>
          <w:rFonts w:cs="Times New Roman"/>
          <w:i/>
        </w:rPr>
        <w:t>Therasense</w:t>
      </w:r>
      <w:r w:rsidR="00DF6FBF" w:rsidRPr="00677ABE">
        <w:rPr>
          <w:rFonts w:cs="Times New Roman"/>
        </w:rPr>
        <w:t>,</w:t>
      </w:r>
      <w:r w:rsidR="00800049" w:rsidRPr="00677ABE">
        <w:rPr>
          <w:rFonts w:cs="Times New Roman"/>
        </w:rPr>
        <w:t xml:space="preserve"> </w:t>
      </w:r>
      <w:r w:rsidR="00DF6FBF" w:rsidRPr="00677ABE">
        <w:rPr>
          <w:rFonts w:cs="Times New Roman"/>
        </w:rPr>
        <w:t xml:space="preserve">where there is </w:t>
      </w:r>
      <w:r w:rsidR="00800049" w:rsidRPr="00677ABE">
        <w:rPr>
          <w:rFonts w:cs="Times New Roman"/>
        </w:rPr>
        <w:t xml:space="preserve">either a) a material unfair benefit or b) </w:t>
      </w:r>
      <w:r w:rsidR="00D34D6A" w:rsidRPr="00677ABE">
        <w:rPr>
          <w:rFonts w:cs="Times New Roman"/>
        </w:rPr>
        <w:t>“</w:t>
      </w:r>
      <w:r w:rsidR="00800049" w:rsidRPr="00677ABE">
        <w:rPr>
          <w:rFonts w:cs="Times New Roman"/>
        </w:rPr>
        <w:t>affirmative egregious misconduct” that warrants rendering the entire patent unenforceable.</w:t>
      </w:r>
      <w:r w:rsidR="00800049" w:rsidRPr="00677ABE">
        <w:rPr>
          <w:rStyle w:val="FootnoteReference"/>
          <w:rFonts w:cs="Times New Roman"/>
        </w:rPr>
        <w:footnoteReference w:id="553"/>
      </w:r>
      <w:bookmarkEnd w:id="129"/>
    </w:p>
    <w:p w14:paraId="2327C84C" w14:textId="601D1BE6" w:rsidR="001C4E9C" w:rsidRPr="00677ABE" w:rsidRDefault="001C4E9C" w:rsidP="00CA2C0A">
      <w:pPr>
        <w:ind w:firstLine="720"/>
        <w:outlineLvl w:val="0"/>
        <w:rPr>
          <w:rFonts w:cs="Times New Roman"/>
        </w:rPr>
      </w:pPr>
      <w:bookmarkStart w:id="130" w:name="_Toc526093254"/>
      <w:bookmarkStart w:id="131" w:name="_Toc526368138"/>
      <w:r w:rsidRPr="00677ABE">
        <w:rPr>
          <w:rFonts w:cs="Times New Roman"/>
        </w:rPr>
        <w:t xml:space="preserve">This aspect of the case concerned the </w:t>
      </w:r>
      <w:r w:rsidR="008D4E5F">
        <w:rPr>
          <w:rFonts w:cs="Times New Roman"/>
        </w:rPr>
        <w:t>’1</w:t>
      </w:r>
      <w:r w:rsidRPr="00677ABE">
        <w:rPr>
          <w:rFonts w:cs="Times New Roman"/>
        </w:rPr>
        <w:t xml:space="preserve">51 patent, which discloses </w:t>
      </w:r>
      <w:r w:rsidR="005931DE" w:rsidRPr="00677ABE">
        <w:rPr>
          <w:rFonts w:cs="Times New Roman"/>
        </w:rPr>
        <w:t xml:space="preserve">improved </w:t>
      </w:r>
      <w:r w:rsidRPr="00677ABE">
        <w:rPr>
          <w:rFonts w:cs="Times New Roman"/>
        </w:rPr>
        <w:t>methods for synchronizing mobile devices with base stations.</w:t>
      </w:r>
      <w:r w:rsidRPr="00677ABE">
        <w:rPr>
          <w:rStyle w:val="FootnoteReference"/>
          <w:rFonts w:cs="Times New Roman"/>
        </w:rPr>
        <w:footnoteReference w:id="554"/>
      </w:r>
      <w:r w:rsidRPr="00677ABE">
        <w:rPr>
          <w:rFonts w:cs="Times New Roman"/>
        </w:rPr>
        <w:t xml:space="preserve"> The original patent owner, Nokia, proposed</w:t>
      </w:r>
      <w:r w:rsidR="00A40859" w:rsidRPr="00677ABE">
        <w:rPr>
          <w:rFonts w:cs="Times New Roman"/>
        </w:rPr>
        <w:t xml:space="preserve"> </w:t>
      </w:r>
      <w:r w:rsidR="005931DE" w:rsidRPr="00677ABE">
        <w:rPr>
          <w:rFonts w:cs="Times New Roman"/>
        </w:rPr>
        <w:t>incorporating</w:t>
      </w:r>
      <w:r w:rsidRPr="00677ABE">
        <w:rPr>
          <w:rFonts w:cs="Times New Roman"/>
        </w:rPr>
        <w:t xml:space="preserve"> its improvement into a standard of the European Telecommunications Standards Institute (“ETSI”).</w:t>
      </w:r>
      <w:r w:rsidRPr="00677ABE">
        <w:rPr>
          <w:rStyle w:val="FootnoteReference"/>
          <w:rFonts w:cs="Times New Roman"/>
        </w:rPr>
        <w:footnoteReference w:id="555"/>
      </w:r>
      <w:r w:rsidRPr="00677ABE">
        <w:rPr>
          <w:rFonts w:cs="Times New Roman"/>
        </w:rPr>
        <w:t xml:space="preserve"> ETSI policy required members to timely disclose any </w:t>
      </w:r>
      <w:r w:rsidR="002551F9" w:rsidRPr="00677ABE">
        <w:rPr>
          <w:rFonts w:cs="Times New Roman"/>
        </w:rPr>
        <w:t>IP</w:t>
      </w:r>
      <w:r w:rsidRPr="00677ABE">
        <w:rPr>
          <w:rFonts w:cs="Times New Roman"/>
        </w:rPr>
        <w:t>—including patent applications but excluding trade secrets “or the like”—that might become essential i</w:t>
      </w:r>
      <w:r w:rsidR="00FF1222" w:rsidRPr="00677ABE">
        <w:rPr>
          <w:rFonts w:cs="Times New Roman"/>
        </w:rPr>
        <w:t xml:space="preserve">f </w:t>
      </w:r>
      <w:r w:rsidR="00DF132B" w:rsidRPr="00677ABE">
        <w:rPr>
          <w:rFonts w:cs="Times New Roman"/>
        </w:rPr>
        <w:t>a member’s proposal</w:t>
      </w:r>
      <w:r w:rsidR="00FF1222" w:rsidRPr="00677ABE">
        <w:rPr>
          <w:rFonts w:cs="Times New Roman"/>
        </w:rPr>
        <w:t xml:space="preserve"> </w:t>
      </w:r>
      <w:r w:rsidRPr="00677ABE">
        <w:rPr>
          <w:rFonts w:cs="Times New Roman"/>
        </w:rPr>
        <w:t>were adopted.</w:t>
      </w:r>
      <w:r w:rsidRPr="00677ABE">
        <w:rPr>
          <w:rStyle w:val="FootnoteReference"/>
          <w:rFonts w:cs="Times New Roman"/>
        </w:rPr>
        <w:footnoteReference w:id="556"/>
      </w:r>
      <w:r w:rsidRPr="00677ABE">
        <w:rPr>
          <w:rFonts w:cs="Times New Roman"/>
        </w:rPr>
        <w:t xml:space="preserve"> At the time, Nokia had applied for but not received a U.S. patent (and owned a still-confidential Finnish patent).</w:t>
      </w:r>
      <w:r w:rsidRPr="00677ABE">
        <w:rPr>
          <w:rStyle w:val="FootnoteReference"/>
          <w:rFonts w:cs="Times New Roman"/>
        </w:rPr>
        <w:footnoteReference w:id="557"/>
      </w:r>
      <w:r w:rsidRPr="00677ABE">
        <w:rPr>
          <w:rFonts w:cs="Times New Roman"/>
        </w:rPr>
        <w:t xml:space="preserve"> The Nokia proposal was not adopted, but an Ericsson proposal </w:t>
      </w:r>
      <w:r w:rsidR="00FF1222" w:rsidRPr="00677ABE">
        <w:rPr>
          <w:rFonts w:cs="Times New Roman"/>
        </w:rPr>
        <w:t xml:space="preserve">that made </w:t>
      </w:r>
      <w:r w:rsidR="00D127A8" w:rsidRPr="00677ABE">
        <w:rPr>
          <w:rFonts w:cs="Times New Roman"/>
        </w:rPr>
        <w:t xml:space="preserve">using </w:t>
      </w:r>
      <w:r w:rsidR="00DF132B" w:rsidRPr="00677ABE">
        <w:rPr>
          <w:rFonts w:cs="Times New Roman"/>
        </w:rPr>
        <w:t>the Nokia solution</w:t>
      </w:r>
      <w:r w:rsidR="00FF1222" w:rsidRPr="00677ABE">
        <w:rPr>
          <w:rFonts w:cs="Times New Roman"/>
        </w:rPr>
        <w:t xml:space="preserve"> optional </w:t>
      </w:r>
      <w:r w:rsidRPr="00677ABE">
        <w:rPr>
          <w:rFonts w:cs="Times New Roman"/>
        </w:rPr>
        <w:t>was adopted;</w:t>
      </w:r>
      <w:r w:rsidRPr="00677ABE">
        <w:rPr>
          <w:rStyle w:val="FootnoteReference"/>
          <w:rFonts w:cs="Times New Roman"/>
        </w:rPr>
        <w:footnoteReference w:id="558"/>
      </w:r>
      <w:r w:rsidRPr="00677ABE">
        <w:rPr>
          <w:rFonts w:cs="Times New Roman"/>
        </w:rPr>
        <w:t xml:space="preserve"> Nokia disclosed its U.S. patent when it issued, four years later.</w:t>
      </w:r>
      <w:r w:rsidRPr="00677ABE">
        <w:rPr>
          <w:rStyle w:val="FootnoteReference"/>
          <w:rFonts w:cs="Times New Roman"/>
        </w:rPr>
        <w:footnoteReference w:id="559"/>
      </w:r>
      <w:r w:rsidRPr="00677ABE">
        <w:rPr>
          <w:rFonts w:cs="Times New Roman"/>
        </w:rPr>
        <w:t xml:space="preserve"> Under </w:t>
      </w:r>
      <w:r w:rsidRPr="00677ABE">
        <w:rPr>
          <w:rFonts w:cs="Times New Roman"/>
          <w:i/>
        </w:rPr>
        <w:t>Hynix</w:t>
      </w:r>
      <w:r w:rsidRPr="00677ABE">
        <w:rPr>
          <w:rFonts w:cs="Times New Roman"/>
        </w:rPr>
        <w:t xml:space="preserve">, an implied waiver exists where a patentee’s </w:t>
      </w:r>
      <w:r w:rsidR="00D34D6A" w:rsidRPr="00677ABE">
        <w:rPr>
          <w:rFonts w:cs="Times New Roman"/>
        </w:rPr>
        <w:t>“</w:t>
      </w:r>
      <w:r w:rsidRPr="00677ABE">
        <w:rPr>
          <w:rFonts w:cs="Times New Roman"/>
        </w:rPr>
        <w:t>conduct was so inconsistent with an intent to enforce its rights as to induce a reasonable belief that su</w:t>
      </w:r>
      <w:r w:rsidR="00D34D6A" w:rsidRPr="00677ABE">
        <w:rPr>
          <w:rFonts w:cs="Times New Roman"/>
        </w:rPr>
        <w:t>ch right has been relinquished.</w:t>
      </w:r>
      <w:r w:rsidRPr="00677ABE">
        <w:rPr>
          <w:rFonts w:cs="Times New Roman"/>
        </w:rPr>
        <w:t>”</w:t>
      </w:r>
      <w:r w:rsidRPr="00677ABE">
        <w:rPr>
          <w:rStyle w:val="FootnoteReference"/>
          <w:rFonts w:cs="Times New Roman"/>
        </w:rPr>
        <w:footnoteReference w:id="560"/>
      </w:r>
      <w:r w:rsidRPr="00677ABE">
        <w:rPr>
          <w:rFonts w:cs="Times New Roman"/>
        </w:rPr>
        <w:t xml:space="preserve"> This may occur in standards-setting where the patentee (a) owes a duty to disclose the patent and (b) breaches that duty.</w:t>
      </w:r>
      <w:r w:rsidRPr="00677ABE">
        <w:rPr>
          <w:rStyle w:val="FootnoteReference"/>
          <w:rFonts w:cs="Times New Roman"/>
        </w:rPr>
        <w:footnoteReference w:id="561"/>
      </w:r>
      <w:r w:rsidRPr="00677ABE">
        <w:rPr>
          <w:rFonts w:cs="Times New Roman"/>
        </w:rPr>
        <w:t xml:space="preserve"> The district court</w:t>
      </w:r>
      <w:r w:rsidR="00E378BC" w:rsidRPr="00677ABE">
        <w:rPr>
          <w:rFonts w:cs="Times New Roman"/>
        </w:rPr>
        <w:t xml:space="preserve"> made three key findings: </w:t>
      </w:r>
      <w:r w:rsidRPr="00677ABE">
        <w:rPr>
          <w:rFonts w:cs="Times New Roman"/>
        </w:rPr>
        <w:t>(1) the standard was</w:t>
      </w:r>
      <w:r w:rsidR="00E378BC" w:rsidRPr="00677ABE">
        <w:rPr>
          <w:rFonts w:cs="Times New Roman"/>
        </w:rPr>
        <w:t xml:space="preserve"> never adopted, </w:t>
      </w:r>
      <w:r w:rsidRPr="00677ABE">
        <w:rPr>
          <w:rFonts w:cs="Times New Roman"/>
        </w:rPr>
        <w:t>(2)</w:t>
      </w:r>
      <w:r w:rsidR="00D536F2" w:rsidRPr="00677ABE">
        <w:rPr>
          <w:rFonts w:cs="Times New Roman"/>
        </w:rPr>
        <w:t xml:space="preserve"> Nokia</w:t>
      </w:r>
      <w:r w:rsidR="00DF132B" w:rsidRPr="00677ABE">
        <w:rPr>
          <w:rFonts w:cs="Times New Roman"/>
        </w:rPr>
        <w:t xml:space="preserve">’s U.S. patent issued only after the </w:t>
      </w:r>
      <w:r w:rsidR="00E378BC" w:rsidRPr="00677ABE">
        <w:rPr>
          <w:rFonts w:cs="Times New Roman"/>
        </w:rPr>
        <w:t>standard</w:t>
      </w:r>
      <w:r w:rsidR="00DF132B" w:rsidRPr="00677ABE">
        <w:rPr>
          <w:rFonts w:cs="Times New Roman"/>
        </w:rPr>
        <w:t xml:space="preserve"> was rejected</w:t>
      </w:r>
      <w:r w:rsidR="00E378BC" w:rsidRPr="00677ABE">
        <w:rPr>
          <w:rFonts w:cs="Times New Roman"/>
        </w:rPr>
        <w:t>,</w:t>
      </w:r>
      <w:r w:rsidR="00D536F2" w:rsidRPr="00677ABE">
        <w:rPr>
          <w:rStyle w:val="FootnoteReference"/>
          <w:rFonts w:cs="Times New Roman"/>
        </w:rPr>
        <w:footnoteReference w:id="562"/>
      </w:r>
      <w:r w:rsidR="00D536F2" w:rsidRPr="00677ABE">
        <w:rPr>
          <w:rFonts w:cs="Times New Roman"/>
        </w:rPr>
        <w:t xml:space="preserve"> </w:t>
      </w:r>
      <w:r w:rsidRPr="00677ABE">
        <w:rPr>
          <w:rFonts w:cs="Times New Roman"/>
        </w:rPr>
        <w:t>and (3) the other ETSI members did not view No</w:t>
      </w:r>
      <w:r w:rsidR="00FF1222" w:rsidRPr="00677ABE">
        <w:rPr>
          <w:rFonts w:cs="Times New Roman"/>
        </w:rPr>
        <w:t>kia as having waived its rights</w:t>
      </w:r>
      <w:r w:rsidRPr="00677ABE">
        <w:rPr>
          <w:rFonts w:cs="Times New Roman"/>
        </w:rPr>
        <w:t>.</w:t>
      </w:r>
      <w:r w:rsidRPr="00677ABE">
        <w:rPr>
          <w:rStyle w:val="FootnoteReference"/>
          <w:rFonts w:cs="Times New Roman"/>
        </w:rPr>
        <w:footnoteReference w:id="563"/>
      </w:r>
      <w:r w:rsidRPr="00677ABE">
        <w:rPr>
          <w:rFonts w:cs="Times New Roman"/>
        </w:rPr>
        <w:t xml:space="preserve"> </w:t>
      </w:r>
      <w:r w:rsidR="00E378BC" w:rsidRPr="00677ABE">
        <w:rPr>
          <w:rFonts w:cs="Times New Roman"/>
        </w:rPr>
        <w:t>Whether the court read</w:t>
      </w:r>
      <w:r w:rsidR="00EF6D7F" w:rsidRPr="00677ABE">
        <w:rPr>
          <w:rFonts w:cs="Times New Roman"/>
        </w:rPr>
        <w:t xml:space="preserve"> these facts to suggest </w:t>
      </w:r>
      <w:r w:rsidR="00F81E67" w:rsidRPr="00677ABE">
        <w:rPr>
          <w:rFonts w:cs="Times New Roman"/>
        </w:rPr>
        <w:t xml:space="preserve">Nokia did not </w:t>
      </w:r>
      <w:r w:rsidR="000C6A1E" w:rsidRPr="00677ABE">
        <w:rPr>
          <w:rFonts w:cs="Times New Roman"/>
        </w:rPr>
        <w:t>breach its</w:t>
      </w:r>
      <w:r w:rsidR="00EF6D7F" w:rsidRPr="00677ABE">
        <w:rPr>
          <w:rFonts w:cs="Times New Roman"/>
        </w:rPr>
        <w:t xml:space="preserve"> duty, or to suggest </w:t>
      </w:r>
      <w:r w:rsidR="00F81E67" w:rsidRPr="00677ABE">
        <w:rPr>
          <w:rFonts w:cs="Times New Roman"/>
        </w:rPr>
        <w:t xml:space="preserve">Nokia received no </w:t>
      </w:r>
      <w:r w:rsidR="005931DE" w:rsidRPr="00677ABE">
        <w:rPr>
          <w:rFonts w:cs="Times New Roman"/>
        </w:rPr>
        <w:t>unfair gain,</w:t>
      </w:r>
      <w:r w:rsidR="00EF6D7F" w:rsidRPr="00677ABE">
        <w:rPr>
          <w:rFonts w:cs="Times New Roman"/>
        </w:rPr>
        <w:t xml:space="preserve"> t</w:t>
      </w:r>
      <w:r w:rsidR="007008BE" w:rsidRPr="00677ABE">
        <w:rPr>
          <w:rFonts w:cs="Times New Roman"/>
        </w:rPr>
        <w:t xml:space="preserve">he court </w:t>
      </w:r>
      <w:r w:rsidR="000C6A1E" w:rsidRPr="00677ABE">
        <w:rPr>
          <w:rFonts w:cs="Times New Roman"/>
        </w:rPr>
        <w:t>in any case ruled</w:t>
      </w:r>
      <w:r w:rsidRPr="00677ABE">
        <w:rPr>
          <w:rFonts w:cs="Times New Roman"/>
        </w:rPr>
        <w:t xml:space="preserve"> the patent </w:t>
      </w:r>
      <w:r w:rsidR="000C6A1E" w:rsidRPr="00677ABE">
        <w:rPr>
          <w:rFonts w:cs="Times New Roman"/>
        </w:rPr>
        <w:t xml:space="preserve">was </w:t>
      </w:r>
      <w:r w:rsidRPr="00677ABE">
        <w:rPr>
          <w:rFonts w:cs="Times New Roman"/>
        </w:rPr>
        <w:t>enforceable.</w:t>
      </w:r>
      <w:bookmarkEnd w:id="130"/>
      <w:r w:rsidR="005931DE" w:rsidRPr="00677ABE">
        <w:rPr>
          <w:rStyle w:val="FootnoteReference"/>
          <w:rFonts w:cs="Times New Roman"/>
        </w:rPr>
        <w:footnoteReference w:id="564"/>
      </w:r>
      <w:bookmarkEnd w:id="131"/>
    </w:p>
    <w:p w14:paraId="6E2356DE" w14:textId="77777777" w:rsidR="00F20B84" w:rsidRDefault="001C4E9C" w:rsidP="00CA2C0A">
      <w:pPr>
        <w:ind w:firstLine="720"/>
        <w:outlineLvl w:val="0"/>
        <w:rPr>
          <w:rFonts w:cs="Times New Roman"/>
          <w:b/>
          <w:color w:val="FF0000"/>
        </w:rPr>
      </w:pPr>
      <w:bookmarkStart w:id="132" w:name="_Toc526093255"/>
      <w:bookmarkStart w:id="133" w:name="_Toc526368139"/>
      <w:r w:rsidRPr="00677ABE">
        <w:rPr>
          <w:rFonts w:cs="Times New Roman"/>
        </w:rPr>
        <w:lastRenderedPageBreak/>
        <w:t>On appeal, the Federal Circuit vacated this finding</w:t>
      </w:r>
      <w:r w:rsidR="000C6A1E" w:rsidRPr="00677ABE">
        <w:rPr>
          <w:rFonts w:cs="Times New Roman"/>
        </w:rPr>
        <w:t xml:space="preserve"> and remanded</w:t>
      </w:r>
      <w:r w:rsidRPr="00677ABE">
        <w:rPr>
          <w:rFonts w:cs="Times New Roman"/>
        </w:rPr>
        <w:t xml:space="preserve">. Unpersuaded </w:t>
      </w:r>
      <w:r w:rsidR="000C6A1E" w:rsidRPr="00677ABE">
        <w:rPr>
          <w:rFonts w:cs="Times New Roman"/>
        </w:rPr>
        <w:t>that (1) and (2) suggested no breach of duty,</w:t>
      </w:r>
      <w:r w:rsidRPr="00677ABE">
        <w:rPr>
          <w:rFonts w:cs="Times New Roman"/>
        </w:rPr>
        <w:t xml:space="preserve"> the Federal Circuit cited unrebutted testimony that the ETSI policy created a duty to disclose upon </w:t>
      </w:r>
      <w:r w:rsidR="00DB76FE" w:rsidRPr="00677ABE">
        <w:rPr>
          <w:rFonts w:cs="Times New Roman"/>
        </w:rPr>
        <w:t>merely proposing a standard</w:t>
      </w:r>
      <w:r w:rsidRPr="00677ABE">
        <w:rPr>
          <w:rFonts w:cs="Times New Roman"/>
        </w:rPr>
        <w:t>, even when only holding a patent application.</w:t>
      </w:r>
      <w:r w:rsidRPr="00677ABE">
        <w:rPr>
          <w:rStyle w:val="FootnoteReference"/>
          <w:rFonts w:cs="Times New Roman"/>
        </w:rPr>
        <w:footnoteReference w:id="565"/>
      </w:r>
      <w:r w:rsidRPr="00677ABE">
        <w:rPr>
          <w:rFonts w:cs="Times New Roman"/>
        </w:rPr>
        <w:t xml:space="preserve"> (</w:t>
      </w:r>
      <w:r w:rsidR="0013659B" w:rsidRPr="00677ABE">
        <w:rPr>
          <w:rFonts w:cs="Times New Roman"/>
        </w:rPr>
        <w:t>O</w:t>
      </w:r>
      <w:r w:rsidRPr="00677ABE">
        <w:rPr>
          <w:rFonts w:cs="Times New Roman"/>
        </w:rPr>
        <w:t xml:space="preserve">ther arguments </w:t>
      </w:r>
      <w:r w:rsidR="004D232B" w:rsidRPr="00677ABE">
        <w:rPr>
          <w:rFonts w:cs="Times New Roman"/>
        </w:rPr>
        <w:t>about</w:t>
      </w:r>
      <w:r w:rsidRPr="00677ABE">
        <w:rPr>
          <w:rFonts w:cs="Times New Roman"/>
        </w:rPr>
        <w:t xml:space="preserve"> ETSI policy</w:t>
      </w:r>
      <w:r w:rsidR="0013659B" w:rsidRPr="00677ABE">
        <w:rPr>
          <w:rFonts w:cs="Times New Roman"/>
        </w:rPr>
        <w:t xml:space="preserve"> did not change this result</w:t>
      </w:r>
      <w:r w:rsidRPr="00677ABE">
        <w:rPr>
          <w:rFonts w:cs="Times New Roman"/>
        </w:rPr>
        <w:t>.)</w:t>
      </w:r>
      <w:r w:rsidR="004D232B" w:rsidRPr="00677ABE">
        <w:rPr>
          <w:rStyle w:val="FootnoteReference"/>
          <w:rFonts w:cs="Times New Roman"/>
        </w:rPr>
        <w:footnoteReference w:id="566"/>
      </w:r>
      <w:r w:rsidRPr="00677ABE">
        <w:rPr>
          <w:rFonts w:cs="Times New Roman"/>
        </w:rPr>
        <w:t xml:space="preserve"> </w:t>
      </w:r>
      <w:r w:rsidR="000362B9" w:rsidRPr="00677ABE">
        <w:rPr>
          <w:rFonts w:cs="Times New Roman"/>
        </w:rPr>
        <w:t>As to point</w:t>
      </w:r>
      <w:r w:rsidRPr="00677ABE">
        <w:rPr>
          <w:rFonts w:cs="Times New Roman"/>
        </w:rPr>
        <w:t xml:space="preserve"> (3), the court held “there is no requirement under the implied waiver doctrine that a third party must interpret the patentee’s conduct as constituting a waiver of its rights to enforce the patent; such analysis is more relevant to equitable estoppel.”</w:t>
      </w:r>
      <w:r w:rsidRPr="00677ABE">
        <w:rPr>
          <w:rStyle w:val="FootnoteReference"/>
          <w:rFonts w:cs="Times New Roman"/>
        </w:rPr>
        <w:footnoteReference w:id="567"/>
      </w:r>
      <w:bookmarkEnd w:id="132"/>
      <w:r w:rsidRPr="00677ABE">
        <w:rPr>
          <w:rFonts w:cs="Times New Roman"/>
        </w:rPr>
        <w:t xml:space="preserve"> </w:t>
      </w:r>
      <w:r w:rsidR="000362B9" w:rsidRPr="00677ABE">
        <w:rPr>
          <w:rFonts w:cs="Times New Roman"/>
        </w:rPr>
        <w:t xml:space="preserve">The Federal Circuit acknowledged that the lower court may have understood these points correctly and yet decided </w:t>
      </w:r>
      <w:r w:rsidR="00321D83" w:rsidRPr="00677ABE">
        <w:rPr>
          <w:rFonts w:cs="Times New Roman"/>
        </w:rPr>
        <w:t xml:space="preserve">that </w:t>
      </w:r>
      <w:r w:rsidR="003C444D" w:rsidRPr="00677ABE">
        <w:rPr>
          <w:rFonts w:cs="Times New Roman"/>
        </w:rPr>
        <w:t>no equitable relief was warranted</w:t>
      </w:r>
      <w:r w:rsidR="00DB76FE" w:rsidRPr="00677ABE">
        <w:rPr>
          <w:rFonts w:cs="Times New Roman"/>
        </w:rPr>
        <w:t>.</w:t>
      </w:r>
      <w:r w:rsidR="00DB76FE" w:rsidRPr="00677ABE">
        <w:rPr>
          <w:rStyle w:val="FootnoteReference"/>
          <w:rFonts w:cs="Times New Roman"/>
        </w:rPr>
        <w:footnoteReference w:id="568"/>
      </w:r>
      <w:r w:rsidR="003C444D" w:rsidRPr="00677ABE">
        <w:rPr>
          <w:rFonts w:cs="Times New Roman"/>
        </w:rPr>
        <w:t xml:space="preserve"> </w:t>
      </w:r>
      <w:r w:rsidR="00DB76FE" w:rsidRPr="00677ABE">
        <w:rPr>
          <w:rFonts w:cs="Times New Roman"/>
        </w:rPr>
        <w:t xml:space="preserve">Still, the lower court needed to make clearer findings as to </w:t>
      </w:r>
      <w:r w:rsidR="003C444D" w:rsidRPr="00677ABE">
        <w:rPr>
          <w:rFonts w:cs="Times New Roman"/>
        </w:rPr>
        <w:t xml:space="preserve">(a) </w:t>
      </w:r>
      <w:r w:rsidR="00DB76FE" w:rsidRPr="00677ABE">
        <w:rPr>
          <w:rFonts w:cs="Times New Roman"/>
        </w:rPr>
        <w:t xml:space="preserve">whether </w:t>
      </w:r>
      <w:r w:rsidR="00321D83" w:rsidRPr="00677ABE">
        <w:rPr>
          <w:rFonts w:cs="Times New Roman"/>
        </w:rPr>
        <w:t xml:space="preserve">Nokia gained </w:t>
      </w:r>
      <w:r w:rsidR="00DB76FE" w:rsidRPr="00677ABE">
        <w:rPr>
          <w:rFonts w:cs="Times New Roman"/>
        </w:rPr>
        <w:t>an</w:t>
      </w:r>
      <w:r w:rsidR="000362B9" w:rsidRPr="00677ABE">
        <w:rPr>
          <w:rFonts w:cs="Times New Roman"/>
        </w:rPr>
        <w:t xml:space="preserve"> unfair benefit</w:t>
      </w:r>
      <w:r w:rsidR="003C444D" w:rsidRPr="00677ABE">
        <w:rPr>
          <w:rFonts w:cs="Times New Roman"/>
        </w:rPr>
        <w:t xml:space="preserve"> (</w:t>
      </w:r>
      <w:r w:rsidR="00DB76FE" w:rsidRPr="00677ABE">
        <w:rPr>
          <w:rFonts w:cs="Times New Roman"/>
        </w:rPr>
        <w:t>given</w:t>
      </w:r>
      <w:r w:rsidR="00321D83" w:rsidRPr="00677ABE">
        <w:rPr>
          <w:rFonts w:cs="Times New Roman"/>
        </w:rPr>
        <w:t xml:space="preserve"> its method was not adopted</w:t>
      </w:r>
      <w:r w:rsidR="00DB76FE" w:rsidRPr="00677ABE">
        <w:rPr>
          <w:rFonts w:cs="Times New Roman"/>
        </w:rPr>
        <w:t xml:space="preserve"> as a requirement but as an option</w:t>
      </w:r>
      <w:r w:rsidR="003C444D" w:rsidRPr="00677ABE">
        <w:rPr>
          <w:rFonts w:cs="Times New Roman"/>
        </w:rPr>
        <w:t xml:space="preserve">) </w:t>
      </w:r>
      <w:r w:rsidR="00DB76FE" w:rsidRPr="00677ABE">
        <w:rPr>
          <w:rFonts w:cs="Times New Roman"/>
        </w:rPr>
        <w:t xml:space="preserve">and </w:t>
      </w:r>
      <w:r w:rsidR="003C444D" w:rsidRPr="00677ABE">
        <w:rPr>
          <w:rFonts w:cs="Times New Roman"/>
        </w:rPr>
        <w:t>(b)</w:t>
      </w:r>
      <w:r w:rsidR="00DB76FE" w:rsidRPr="00677ABE">
        <w:rPr>
          <w:rFonts w:cs="Times New Roman"/>
        </w:rPr>
        <w:t xml:space="preserve"> whether</w:t>
      </w:r>
      <w:r w:rsidR="000362B9" w:rsidRPr="00677ABE">
        <w:rPr>
          <w:rFonts w:cs="Times New Roman"/>
        </w:rPr>
        <w:t xml:space="preserve"> </w:t>
      </w:r>
      <w:r w:rsidR="003C444D" w:rsidRPr="00677ABE">
        <w:rPr>
          <w:rFonts w:cs="Times New Roman"/>
        </w:rPr>
        <w:t>Nokia’s actions amount</w:t>
      </w:r>
      <w:r w:rsidR="006B430D" w:rsidRPr="00677ABE">
        <w:rPr>
          <w:rFonts w:cs="Times New Roman"/>
        </w:rPr>
        <w:t>ed</w:t>
      </w:r>
      <w:r w:rsidR="003C444D" w:rsidRPr="00677ABE">
        <w:rPr>
          <w:rFonts w:cs="Times New Roman"/>
        </w:rPr>
        <w:t xml:space="preserve"> to “egregious misconduct”</w:t>
      </w:r>
      <w:bookmarkStart w:id="134" w:name="_Toc526093256"/>
      <w:r w:rsidR="006B430D" w:rsidRPr="00677ABE">
        <w:rPr>
          <w:rFonts w:cs="Times New Roman"/>
        </w:rPr>
        <w:t>; if either were true, equitable relief could be appropriate.</w:t>
      </w:r>
      <w:r w:rsidRPr="00677ABE">
        <w:rPr>
          <w:rStyle w:val="FootnoteReference"/>
          <w:rFonts w:cs="Times New Roman"/>
        </w:rPr>
        <w:footnoteReference w:id="569"/>
      </w:r>
      <w:bookmarkEnd w:id="133"/>
      <w:bookmarkEnd w:id="134"/>
    </w:p>
    <w:p w14:paraId="124842D8" w14:textId="77777777" w:rsidR="00F20B84" w:rsidRDefault="001A5E2A" w:rsidP="00CA2C0A">
      <w:pPr>
        <w:pStyle w:val="Heading2"/>
        <w:rPr>
          <w:rFonts w:cs="Times New Roman"/>
          <w:szCs w:val="24"/>
        </w:rPr>
      </w:pPr>
      <w:bookmarkStart w:id="135" w:name="_Toc531692775"/>
      <w:r w:rsidRPr="00677ABE">
        <w:rPr>
          <w:rFonts w:cs="Times New Roman"/>
          <w:szCs w:val="24"/>
        </w:rPr>
        <w:t>Prosecution</w:t>
      </w:r>
      <w:r w:rsidR="00C6052B" w:rsidRPr="00677ABE">
        <w:rPr>
          <w:rFonts w:cs="Times New Roman"/>
          <w:szCs w:val="24"/>
        </w:rPr>
        <w:t xml:space="preserve"> History Estoppel</w:t>
      </w:r>
      <w:bookmarkEnd w:id="135"/>
      <w:r w:rsidR="00C6052B" w:rsidRPr="00677ABE">
        <w:rPr>
          <w:rFonts w:cs="Times New Roman"/>
          <w:szCs w:val="24"/>
        </w:rPr>
        <w:t xml:space="preserve"> </w:t>
      </w:r>
    </w:p>
    <w:p w14:paraId="775C6A46" w14:textId="5CC87BF5" w:rsidR="00C6052B" w:rsidRPr="00677ABE" w:rsidRDefault="00C6052B" w:rsidP="00CA2C0A">
      <w:pPr>
        <w:pStyle w:val="Heading3"/>
        <w:ind w:firstLine="0"/>
        <w:rPr>
          <w:rFonts w:cs="Times New Roman"/>
        </w:rPr>
      </w:pPr>
      <w:bookmarkStart w:id="136" w:name="_Toc531692776"/>
      <w:r w:rsidRPr="00677ABE">
        <w:rPr>
          <w:rFonts w:cs="Times New Roman"/>
        </w:rPr>
        <w:t>Power Integrations, Inc.</w:t>
      </w:r>
      <w:r w:rsidR="00712C22" w:rsidRPr="00677ABE">
        <w:rPr>
          <w:rFonts w:cs="Times New Roman"/>
        </w:rPr>
        <w:t xml:space="preserve"> v. </w:t>
      </w:r>
      <w:r w:rsidRPr="00677ABE">
        <w:rPr>
          <w:rFonts w:cs="Times New Roman"/>
        </w:rPr>
        <w:t>Fairchild Semiconductor Int’l, Inc.</w:t>
      </w:r>
      <w:r w:rsidRPr="00677ABE">
        <w:rPr>
          <w:rFonts w:cs="Times New Roman"/>
          <w:i w:val="0"/>
        </w:rPr>
        <w:t xml:space="preserve">, </w:t>
      </w:r>
      <w:r w:rsidR="00D6387E" w:rsidRPr="00677ABE">
        <w:rPr>
          <w:rFonts w:cs="Times New Roman"/>
          <w:i w:val="0"/>
        </w:rPr>
        <w:t>Nos. 2016-2691 &amp;</w:t>
      </w:r>
      <w:r w:rsidRPr="00677ABE">
        <w:rPr>
          <w:rFonts w:cs="Times New Roman"/>
          <w:i w:val="0"/>
        </w:rPr>
        <w:t xml:space="preserve"> 2017-1875, 2018 WL 4501536 (Fed. Cir. </w:t>
      </w:r>
      <w:r w:rsidR="002B3CF9" w:rsidRPr="00677ABE">
        <w:rPr>
          <w:rFonts w:cs="Times New Roman"/>
          <w:i w:val="0"/>
        </w:rPr>
        <w:t>July </w:t>
      </w:r>
      <w:r w:rsidRPr="00677ABE">
        <w:rPr>
          <w:rFonts w:cs="Times New Roman"/>
          <w:i w:val="0"/>
        </w:rPr>
        <w:t xml:space="preserve">3, 2018, modified </w:t>
      </w:r>
      <w:r w:rsidR="002B3CF9" w:rsidRPr="00677ABE">
        <w:rPr>
          <w:rFonts w:cs="Times New Roman"/>
          <w:i w:val="0"/>
        </w:rPr>
        <w:t>Sept. </w:t>
      </w:r>
      <w:r w:rsidR="007D14EA" w:rsidRPr="00677ABE">
        <w:rPr>
          <w:rFonts w:cs="Times New Roman"/>
          <w:i w:val="0"/>
        </w:rPr>
        <w:t>20, 2018)</w:t>
      </w:r>
      <w:bookmarkEnd w:id="136"/>
      <w:r w:rsidRPr="00677ABE">
        <w:rPr>
          <w:rFonts w:cs="Times New Roman"/>
          <w:i w:val="0"/>
        </w:rPr>
        <w:t xml:space="preserve"> </w:t>
      </w:r>
    </w:p>
    <w:p w14:paraId="35254599" w14:textId="544F5DF5" w:rsidR="00C6052B" w:rsidRPr="00677ABE" w:rsidRDefault="00C6052B" w:rsidP="00CA2C0A">
      <w:pPr>
        <w:ind w:firstLine="720"/>
        <w:rPr>
          <w:rFonts w:cs="Times New Roman"/>
          <w:b/>
        </w:rPr>
      </w:pPr>
      <w:r w:rsidRPr="00677ABE">
        <w:rPr>
          <w:rFonts w:cs="Times New Roman"/>
        </w:rPr>
        <w:t>In this appeal from the Northern District of California, the Federal Circu</w:t>
      </w:r>
      <w:r w:rsidR="002551F9" w:rsidRPr="00677ABE">
        <w:rPr>
          <w:rFonts w:cs="Times New Roman"/>
        </w:rPr>
        <w:t>it affirmed a finding that prosecution</w:t>
      </w:r>
      <w:r w:rsidRPr="00677ABE">
        <w:rPr>
          <w:rFonts w:cs="Times New Roman"/>
        </w:rPr>
        <w:t xml:space="preserve"> history estoppel did not apply.</w:t>
      </w:r>
      <w:r w:rsidRPr="00677ABE">
        <w:rPr>
          <w:rStyle w:val="FootnoteReference"/>
          <w:rFonts w:cs="Times New Roman"/>
        </w:rPr>
        <w:footnoteReference w:id="570"/>
      </w:r>
    </w:p>
    <w:p w14:paraId="71EBDC04" w14:textId="77777777" w:rsidR="00C6052B" w:rsidRPr="00677ABE" w:rsidRDefault="00C6052B" w:rsidP="00CA2C0A">
      <w:pPr>
        <w:rPr>
          <w:rFonts w:cs="Times New Roman"/>
        </w:rPr>
      </w:pPr>
      <w:r w:rsidRPr="00677ABE">
        <w:rPr>
          <w:rFonts w:cs="Times New Roman"/>
        </w:rPr>
        <w:t>The case concerned the ‘908 patent, which disclosed a power supply controller.</w:t>
      </w:r>
      <w:r w:rsidRPr="00677ABE">
        <w:rPr>
          <w:rStyle w:val="FootnoteReference"/>
          <w:rFonts w:cs="Times New Roman"/>
        </w:rPr>
        <w:footnoteReference w:id="571"/>
      </w:r>
      <w:r w:rsidRPr="00677ABE">
        <w:rPr>
          <w:rFonts w:cs="Times New Roman"/>
        </w:rPr>
        <w:t xml:space="preserve"> Whereas it used a value of current as a signal to limit current, the infringed product used a value of voltage. </w:t>
      </w:r>
      <w:r w:rsidRPr="00677ABE">
        <w:rPr>
          <w:rStyle w:val="FootnoteReference"/>
          <w:rFonts w:cs="Times New Roman"/>
        </w:rPr>
        <w:footnoteReference w:id="572"/>
      </w:r>
      <w:r w:rsidRPr="00677ABE">
        <w:rPr>
          <w:rFonts w:cs="Times New Roman"/>
        </w:rPr>
        <w:t>The patent owner argued the doctrine of equivalents applied because, as Ohm’s Law states, current simply equals voltage divided by resistance.</w:t>
      </w:r>
      <w:r w:rsidRPr="00677ABE">
        <w:rPr>
          <w:rStyle w:val="FootnoteReference"/>
          <w:rFonts w:cs="Times New Roman"/>
        </w:rPr>
        <w:footnoteReference w:id="573"/>
      </w:r>
      <w:r w:rsidRPr="00677ABE">
        <w:rPr>
          <w:rFonts w:cs="Times New Roman"/>
        </w:rPr>
        <w:t xml:space="preserve"> The defendant argued that this argument should be estopped by the prosecution history of the ‘971 patent, which was the parent patent for the ‘908 patent.</w:t>
      </w:r>
      <w:r w:rsidRPr="00677ABE">
        <w:rPr>
          <w:rStyle w:val="FootnoteReference"/>
          <w:rFonts w:cs="Times New Roman"/>
        </w:rPr>
        <w:footnoteReference w:id="574"/>
      </w:r>
      <w:r w:rsidRPr="00677ABE">
        <w:rPr>
          <w:rFonts w:cs="Times New Roman"/>
        </w:rPr>
        <w:t xml:space="preserve"> There, the plaintiff had argued that the prior art monitored “</w:t>
      </w:r>
      <w:r w:rsidRPr="00677ABE">
        <w:rPr>
          <w:rFonts w:cs="Times New Roman"/>
          <w:i/>
        </w:rPr>
        <w:t>voltage</w:t>
      </w:r>
      <w:r w:rsidRPr="00677ABE">
        <w:rPr>
          <w:rFonts w:cs="Times New Roman"/>
        </w:rPr>
        <w:t xml:space="preserve"> rather than current.”</w:t>
      </w:r>
      <w:r w:rsidRPr="00677ABE">
        <w:rPr>
          <w:rStyle w:val="FootnoteReference"/>
          <w:rFonts w:cs="Times New Roman"/>
        </w:rPr>
        <w:footnoteReference w:id="575"/>
      </w:r>
      <w:r w:rsidRPr="00677ABE">
        <w:rPr>
          <w:rFonts w:cs="Times New Roman"/>
        </w:rPr>
        <w:t xml:space="preserve"> The court nonetheless found infringement.</w:t>
      </w:r>
      <w:r w:rsidRPr="00677ABE">
        <w:rPr>
          <w:rStyle w:val="FootnoteReference"/>
          <w:rFonts w:cs="Times New Roman"/>
        </w:rPr>
        <w:footnoteReference w:id="576"/>
      </w:r>
    </w:p>
    <w:p w14:paraId="1CD9B119" w14:textId="77777777" w:rsidR="00F20B84" w:rsidRDefault="00C6052B" w:rsidP="00CA2C0A">
      <w:pPr>
        <w:rPr>
          <w:rFonts w:cs="Times New Roman"/>
        </w:rPr>
      </w:pPr>
      <w:r w:rsidRPr="00677ABE">
        <w:rPr>
          <w:rFonts w:cs="Times New Roman"/>
        </w:rPr>
        <w:tab/>
        <w:t xml:space="preserve">On appeal, the Federal Circuit affirmed. Typically, if a reasonable competitor believes a “patentee surrender[ed] certain subject matter during prosecution, the patentee is then barred from using the doctrine of equivalents to recover . . . on that same subject </w:t>
      </w:r>
      <w:r w:rsidRPr="00677ABE">
        <w:rPr>
          <w:rFonts w:cs="Times New Roman"/>
        </w:rPr>
        <w:lastRenderedPageBreak/>
        <w:t>matter.”</w:t>
      </w:r>
      <w:r w:rsidRPr="00677ABE">
        <w:rPr>
          <w:rStyle w:val="FootnoteReference"/>
          <w:rFonts w:cs="Times New Roman"/>
        </w:rPr>
        <w:footnoteReference w:id="577"/>
      </w:r>
      <w:r w:rsidRPr="00677ABE">
        <w:rPr>
          <w:rFonts w:cs="Times New Roman"/>
        </w:rPr>
        <w:t xml:space="preserve"> Similar terms in a patent and its parent may nonetheless be construed differently depending on language and context.</w:t>
      </w:r>
      <w:r w:rsidRPr="00677ABE">
        <w:rPr>
          <w:rStyle w:val="FootnoteReference"/>
          <w:rFonts w:cs="Times New Roman"/>
        </w:rPr>
        <w:footnoteReference w:id="578"/>
      </w:r>
      <w:r w:rsidRPr="00677ABE">
        <w:rPr>
          <w:rFonts w:cs="Times New Roman"/>
        </w:rPr>
        <w:t xml:space="preserve"> Here, the court determined the two had different functions and that ‘971 specifically distinguished voltage from current, whereas ‘908 claim did not.</w:t>
      </w:r>
      <w:r w:rsidRPr="00677ABE">
        <w:rPr>
          <w:rStyle w:val="FootnoteReference"/>
          <w:rFonts w:cs="Times New Roman"/>
        </w:rPr>
        <w:footnoteReference w:id="579"/>
      </w:r>
      <w:r w:rsidRPr="00677ABE">
        <w:rPr>
          <w:rFonts w:cs="Times New Roman"/>
        </w:rPr>
        <w:t xml:space="preserve"> The district court was correct.</w:t>
      </w:r>
      <w:r w:rsidRPr="00677ABE">
        <w:rPr>
          <w:rStyle w:val="FootnoteReference"/>
          <w:rFonts w:cs="Times New Roman"/>
        </w:rPr>
        <w:footnoteReference w:id="580"/>
      </w:r>
    </w:p>
    <w:p w14:paraId="4F24DCAC" w14:textId="77777777" w:rsidR="00F20B84" w:rsidRDefault="007D0629" w:rsidP="00CA2C0A">
      <w:pPr>
        <w:pStyle w:val="Heading2"/>
        <w:rPr>
          <w:rFonts w:cs="Times New Roman"/>
          <w:szCs w:val="24"/>
        </w:rPr>
      </w:pPr>
      <w:bookmarkStart w:id="137" w:name="_Toc531692777"/>
      <w:r w:rsidRPr="00677ABE">
        <w:rPr>
          <w:rFonts w:cs="Times New Roman"/>
          <w:szCs w:val="24"/>
        </w:rPr>
        <w:t>Inequitable Conduct</w:t>
      </w:r>
      <w:bookmarkEnd w:id="137"/>
    </w:p>
    <w:p w14:paraId="6DA8E0EB" w14:textId="666BC301" w:rsidR="001A5E2A" w:rsidRPr="00677ABE" w:rsidRDefault="001A5E2A" w:rsidP="00CA2C0A">
      <w:pPr>
        <w:pStyle w:val="Heading3"/>
        <w:ind w:firstLine="0"/>
        <w:rPr>
          <w:rFonts w:cs="Times New Roman"/>
          <w:i w:val="0"/>
        </w:rPr>
      </w:pPr>
      <w:bookmarkStart w:id="138" w:name="_Toc516586576"/>
      <w:bookmarkStart w:id="139" w:name="_Toc531692778"/>
      <w:r w:rsidRPr="00677ABE">
        <w:rPr>
          <w:rFonts w:cs="Times New Roman"/>
        </w:rPr>
        <w:t>Gilead Sciences, Inc. v. Merck &amp; Co., Inc.</w:t>
      </w:r>
      <w:r w:rsidRPr="00677ABE">
        <w:rPr>
          <w:rFonts w:cs="Times New Roman"/>
          <w:i w:val="0"/>
        </w:rPr>
        <w:t>, 888 F.3d 1231 (Fed. Cir. Apr. 25, 2018)</w:t>
      </w:r>
      <w:bookmarkEnd w:id="138"/>
      <w:bookmarkEnd w:id="139"/>
    </w:p>
    <w:p w14:paraId="02C987FE" w14:textId="77777777" w:rsidR="001A5E2A" w:rsidRPr="00677ABE" w:rsidRDefault="001A5E2A" w:rsidP="00CA2C0A">
      <w:pPr>
        <w:rPr>
          <w:rFonts w:cs="Times New Roman"/>
          <w:lang w:eastAsia="x-none"/>
        </w:rPr>
      </w:pPr>
      <w:r w:rsidRPr="00677ABE">
        <w:rPr>
          <w:rFonts w:cs="Times New Roman"/>
          <w:lang w:eastAsia="x-none"/>
        </w:rPr>
        <w:tab/>
      </w:r>
      <w:bookmarkStart w:id="140" w:name="_Hlk515095949"/>
      <w:r w:rsidRPr="00677ABE">
        <w:rPr>
          <w:rFonts w:cs="Times New Roman"/>
          <w:lang w:eastAsia="x-none"/>
        </w:rPr>
        <w:t xml:space="preserve">In this </w:t>
      </w:r>
      <w:r w:rsidRPr="00677ABE">
        <w:rPr>
          <w:rFonts w:cs="Times New Roman"/>
        </w:rPr>
        <w:t>appeal from the Northern District of California, the Federal Circuit affirmed the district court’s determination that Merck’s patents were unenforceable based on unclean hands</w:t>
      </w:r>
      <w:r w:rsidRPr="00677ABE">
        <w:rPr>
          <w:rFonts w:cs="Times New Roman"/>
          <w:lang w:eastAsia="x-none"/>
        </w:rPr>
        <w:t>.</w:t>
      </w:r>
      <w:r w:rsidRPr="00677ABE">
        <w:rPr>
          <w:rStyle w:val="FootnoteReference"/>
          <w:rFonts w:cs="Times New Roman"/>
          <w:lang w:eastAsia="x-none"/>
        </w:rPr>
        <w:footnoteReference w:id="581"/>
      </w:r>
      <w:r w:rsidRPr="00677ABE">
        <w:rPr>
          <w:rFonts w:cs="Times New Roman"/>
          <w:lang w:eastAsia="x-none"/>
        </w:rPr>
        <w:t xml:space="preserve"> The court reasoned that the district court found, with adequate evidentiary support, various forms of prelitigation business conduct attributable to Merck.</w:t>
      </w:r>
      <w:r w:rsidRPr="00677ABE">
        <w:rPr>
          <w:rStyle w:val="FootnoteReference"/>
          <w:rFonts w:cs="Times New Roman"/>
          <w:lang w:eastAsia="x-none"/>
        </w:rPr>
        <w:footnoteReference w:id="582"/>
      </w:r>
      <w:r w:rsidRPr="00677ABE">
        <w:rPr>
          <w:rFonts w:cs="Times New Roman"/>
          <w:lang w:eastAsia="x-none"/>
        </w:rPr>
        <w:t xml:space="preserve"> </w:t>
      </w:r>
    </w:p>
    <w:p w14:paraId="0872CF0D" w14:textId="6A5C4B42" w:rsidR="001A5E2A" w:rsidRPr="00677ABE" w:rsidRDefault="001A5E2A" w:rsidP="00CA2C0A">
      <w:pPr>
        <w:ind w:firstLine="720"/>
        <w:rPr>
          <w:rFonts w:cs="Times New Roman"/>
        </w:rPr>
      </w:pPr>
      <w:r w:rsidRPr="00677ABE">
        <w:rPr>
          <w:rFonts w:cs="Times New Roman"/>
          <w:b/>
          <w:lang w:eastAsia="x-none"/>
        </w:rPr>
        <w:t>“Firewall” violation</w:t>
      </w:r>
      <w:r w:rsidRPr="00677ABE">
        <w:rPr>
          <w:rFonts w:cs="Times New Roman"/>
          <w:lang w:eastAsia="x-none"/>
        </w:rPr>
        <w:t>: First, Merck’s “</w:t>
      </w:r>
      <w:r w:rsidRPr="00677ABE">
        <w:rPr>
          <w:rFonts w:cs="Times New Roman"/>
        </w:rPr>
        <w:t>Dr. Durette</w:t>
      </w:r>
      <w:r w:rsidR="00D21FBC">
        <w:rPr>
          <w:rFonts w:cs="Times New Roman"/>
        </w:rPr>
        <w:t xml:space="preserve"> [the patent prosecutor]</w:t>
      </w:r>
      <w:r w:rsidRPr="00677ABE">
        <w:rPr>
          <w:rFonts w:cs="Times New Roman"/>
        </w:rPr>
        <w:t xml:space="preserve"> learned of Pharmasset’s PSI-6130 structure by participating, at Merck’s behest, in a conference call with Pharmasset representatives, violating a clear ‘firewall’ understanding between Pharmasset and Merck that call participants not be involved in related Merck patent prosecutions.”</w:t>
      </w:r>
      <w:r w:rsidRPr="00677ABE">
        <w:rPr>
          <w:rStyle w:val="FootnoteReference"/>
          <w:rFonts w:cs="Times New Roman"/>
        </w:rPr>
        <w:footnoteReference w:id="583"/>
      </w:r>
      <w:r w:rsidRPr="00677ABE">
        <w:rPr>
          <w:rFonts w:cs="Times New Roman"/>
        </w:rPr>
        <w:t xml:space="preserve"> Dr. Durette continued to prosecute Merck’s patents after the call, which included amending Merck’s application that ultimately became the issued </w:t>
      </w:r>
      <w:r w:rsidR="00370148">
        <w:rPr>
          <w:rFonts w:cs="Times New Roman"/>
        </w:rPr>
        <w:t>’4</w:t>
      </w:r>
      <w:r w:rsidRPr="00677ABE">
        <w:rPr>
          <w:rFonts w:cs="Times New Roman"/>
        </w:rPr>
        <w:t>99 patent “by canceling the broad genus claims and substituting claims that narrowed the scope to a subgenus focused on the key features of PSI-6130.”</w:t>
      </w:r>
      <w:r w:rsidRPr="00677ABE">
        <w:rPr>
          <w:rStyle w:val="FootnoteReference"/>
          <w:rFonts w:cs="Times New Roman"/>
        </w:rPr>
        <w:footnoteReference w:id="584"/>
      </w:r>
      <w:r w:rsidRPr="00677ABE">
        <w:rPr>
          <w:rFonts w:cs="Times New Roman"/>
        </w:rPr>
        <w:t xml:space="preserve"> </w:t>
      </w:r>
      <w:bookmarkStart w:id="141" w:name="_Hlk515045137"/>
      <w:r w:rsidRPr="00677ABE">
        <w:rPr>
          <w:rFonts w:cs="Times New Roman"/>
        </w:rPr>
        <w:t>The district court did not clearly err in determining that Dr. Durette would not have written the claims to cover PSI-6130 had it not been for his improper participation in the earlier phone call.</w:t>
      </w:r>
      <w:bookmarkEnd w:id="141"/>
      <w:r w:rsidRPr="00677ABE">
        <w:rPr>
          <w:rStyle w:val="FootnoteReference"/>
          <w:rFonts w:cs="Times New Roman"/>
        </w:rPr>
        <w:footnoteReference w:id="585"/>
      </w:r>
      <w:r w:rsidRPr="00677ABE">
        <w:rPr>
          <w:rFonts w:cs="Times New Roman"/>
        </w:rPr>
        <w:t xml:space="preserve"> Dr. Durete’s improperly acquired knowledge of PSI-6130 “influenced Merck’s filing of narrowed claims,” and this conduct “violat[ed] clear standards of probity in the circumstances, that led to the acquisition of the less risky </w:t>
      </w:r>
      <w:r w:rsidR="00370148">
        <w:rPr>
          <w:rFonts w:cs="Times New Roman"/>
        </w:rPr>
        <w:t>’4</w:t>
      </w:r>
      <w:r w:rsidRPr="00677ABE">
        <w:rPr>
          <w:rFonts w:cs="Times New Roman"/>
        </w:rPr>
        <w:t>99 patent and, thus, was immediately and necessarily related to the equity of giving Merck the relief of patent enforcement it seeks in this litigation.”</w:t>
      </w:r>
      <w:r w:rsidRPr="00677ABE">
        <w:rPr>
          <w:rStyle w:val="FootnoteReference"/>
          <w:rFonts w:cs="Times New Roman"/>
        </w:rPr>
        <w:footnoteReference w:id="586"/>
      </w:r>
    </w:p>
    <w:p w14:paraId="377DECE8" w14:textId="77777777" w:rsidR="001A5E2A" w:rsidRPr="00677ABE" w:rsidRDefault="001A5E2A" w:rsidP="00CA2C0A">
      <w:pPr>
        <w:rPr>
          <w:rFonts w:cs="Times New Roman"/>
        </w:rPr>
      </w:pPr>
      <w:r w:rsidRPr="00677ABE">
        <w:rPr>
          <w:rFonts w:cs="Times New Roman"/>
          <w:lang w:eastAsia="x-none"/>
        </w:rPr>
        <w:tab/>
        <w:t>Merck argued that the misconduct was not the “but for” cause of the claim amendments because they were not made until after Pharmasset’s patent application disclosing PSI-6130 was published.</w:t>
      </w:r>
      <w:r w:rsidRPr="00677ABE">
        <w:rPr>
          <w:rStyle w:val="FootnoteReference"/>
          <w:rFonts w:cs="Times New Roman"/>
          <w:lang w:eastAsia="x-none"/>
        </w:rPr>
        <w:footnoteReference w:id="587"/>
      </w:r>
      <w:r w:rsidRPr="00677ABE">
        <w:rPr>
          <w:rFonts w:cs="Times New Roman"/>
          <w:lang w:eastAsia="x-none"/>
        </w:rPr>
        <w:t xml:space="preserve"> But Dr. Durette’s testimony at his deposition “is capable of being read as suggesting that [Pharmasset’s published a]pplication alone </w:t>
      </w:r>
      <w:r w:rsidRPr="00677ABE">
        <w:rPr>
          <w:rFonts w:cs="Times New Roman"/>
          <w:lang w:eastAsia="x-none"/>
        </w:rPr>
        <w:lastRenderedPageBreak/>
        <w:t>would not have led him to amend the claims.”</w:t>
      </w:r>
      <w:r w:rsidRPr="00677ABE">
        <w:rPr>
          <w:rStyle w:val="FootnoteReference"/>
          <w:rFonts w:cs="Times New Roman"/>
          <w:lang w:eastAsia="x-none"/>
        </w:rPr>
        <w:footnoteReference w:id="588"/>
      </w:r>
      <w:r w:rsidRPr="00677ABE">
        <w:rPr>
          <w:rFonts w:cs="Times New Roman"/>
          <w:lang w:eastAsia="x-none"/>
        </w:rPr>
        <w:t xml:space="preserve"> </w:t>
      </w:r>
      <w:r w:rsidRPr="00677ABE">
        <w:rPr>
          <w:rFonts w:cs="Times New Roman"/>
        </w:rPr>
        <w:t>“The timing of Merck’s February 2005 amendment, which occurred just one month after the structure of PSI-6130 was published in January 2005, [further] supports the inference, as the district court put it, that Merck was deliberately ‘wait[ing].’”</w:t>
      </w:r>
      <w:r w:rsidRPr="00677ABE">
        <w:rPr>
          <w:rStyle w:val="FootnoteReference"/>
          <w:rFonts w:cs="Times New Roman"/>
        </w:rPr>
        <w:footnoteReference w:id="589"/>
      </w:r>
      <w:r w:rsidRPr="00677ABE">
        <w:rPr>
          <w:rFonts w:cs="Times New Roman"/>
        </w:rPr>
        <w:t xml:space="preserve"> Furthermore, although Merck stressed that even the pre-February 2005 claims included</w:t>
      </w:r>
      <w:r w:rsidRPr="00677ABE">
        <w:rPr>
          <w:rFonts w:cs="Times New Roman"/>
          <w:i/>
        </w:rPr>
        <w:t xml:space="preserve"> </w:t>
      </w:r>
      <w:r w:rsidRPr="00677ABE">
        <w:rPr>
          <w:rFonts w:cs="Times New Roman"/>
        </w:rPr>
        <w:t>PSI-6130 and similar structures, the narrowing amendment that would not have occurred but for the misconduct still advantageously expedited prosecution and provided for reduced risk of claim rejection or future invalidation.</w:t>
      </w:r>
      <w:r w:rsidRPr="00677ABE">
        <w:rPr>
          <w:rStyle w:val="FootnoteReference"/>
          <w:rFonts w:cs="Times New Roman"/>
        </w:rPr>
        <w:footnoteReference w:id="590"/>
      </w:r>
      <w:r w:rsidRPr="00677ABE">
        <w:rPr>
          <w:rFonts w:cs="Times New Roman"/>
        </w:rPr>
        <w:t xml:space="preserve"> </w:t>
      </w:r>
    </w:p>
    <w:p w14:paraId="74F6602D" w14:textId="77777777" w:rsidR="001A5E2A" w:rsidRPr="00677ABE" w:rsidRDefault="001A5E2A" w:rsidP="00CA2C0A">
      <w:pPr>
        <w:rPr>
          <w:rFonts w:cs="Times New Roman"/>
        </w:rPr>
      </w:pPr>
      <w:r w:rsidRPr="00677ABE">
        <w:rPr>
          <w:rFonts w:cs="Times New Roman"/>
          <w:lang w:eastAsia="x-none"/>
        </w:rPr>
        <w:tab/>
      </w:r>
      <w:r w:rsidRPr="00677ABE">
        <w:rPr>
          <w:rFonts w:cs="Times New Roman"/>
          <w:b/>
          <w:lang w:eastAsia="x-none"/>
        </w:rPr>
        <w:t>Litigation misconduct</w:t>
      </w:r>
      <w:r w:rsidRPr="00677ABE">
        <w:rPr>
          <w:rFonts w:cs="Times New Roman"/>
          <w:lang w:eastAsia="x-none"/>
        </w:rPr>
        <w:t xml:space="preserve">: The district court also found, with adequate evidentiary support, two forms of litigation misconduct: (1) during his deposition, Dr. Durette intentionally lied when he said that he did not participate in the phone call (this was later conceded to be false); and (2) both in the deposition and at trial, Dr. Durette </w:t>
      </w:r>
      <w:bookmarkStart w:id="142" w:name="_Hlk515044503"/>
      <w:r w:rsidRPr="00677ABE">
        <w:rPr>
          <w:rFonts w:cs="Times New Roman"/>
        </w:rPr>
        <w:t>“gave testimony about the role the January 2005 Clark application played in Dr. Durette’s filing of the February 2005 amendment that the court found so incredible as to be intentionally false.”</w:t>
      </w:r>
      <w:bookmarkEnd w:id="142"/>
      <w:r w:rsidRPr="00677ABE">
        <w:rPr>
          <w:rStyle w:val="FootnoteReference"/>
          <w:rFonts w:cs="Times New Roman"/>
        </w:rPr>
        <w:footnoteReference w:id="591"/>
      </w:r>
      <w:r w:rsidRPr="00677ABE">
        <w:rPr>
          <w:rFonts w:cs="Times New Roman"/>
        </w:rPr>
        <w:t xml:space="preserve"> These intentional testimonial falsehoods constitute misconduct that can support a determination of unclean hands because the testimony is relevant to the issues in the case and “had an immediate and necessary relation to the equity of the patent-enforcement relief Merck seeks in this litigation.”</w:t>
      </w:r>
      <w:r w:rsidRPr="00677ABE">
        <w:rPr>
          <w:rStyle w:val="FootnoteReference"/>
          <w:rFonts w:cs="Times New Roman"/>
        </w:rPr>
        <w:footnoteReference w:id="592"/>
      </w:r>
    </w:p>
    <w:p w14:paraId="32831AB9" w14:textId="67FBF904" w:rsidR="00F20B84" w:rsidRDefault="001A5E2A" w:rsidP="00CA2C0A">
      <w:pPr>
        <w:rPr>
          <w:rFonts w:cs="Times New Roman"/>
        </w:rPr>
      </w:pPr>
      <w:r w:rsidRPr="00677ABE">
        <w:rPr>
          <w:rFonts w:cs="Times New Roman"/>
          <w:lang w:eastAsia="x-none"/>
        </w:rPr>
        <w:tab/>
      </w:r>
      <w:r w:rsidRPr="00677ABE">
        <w:rPr>
          <w:rFonts w:cs="Times New Roman"/>
          <w:b/>
          <w:lang w:eastAsia="x-none"/>
        </w:rPr>
        <w:t>’712 patent</w:t>
      </w:r>
      <w:r w:rsidRPr="00677ABE">
        <w:rPr>
          <w:rFonts w:cs="Times New Roman"/>
          <w:lang w:eastAsia="x-none"/>
        </w:rPr>
        <w:t>: Although a closer call, the Federal Circuit found that the district court also did not abuse its discretion in concluding that the unclean hands defense extends to the ’712 patent as well.</w:t>
      </w:r>
      <w:r w:rsidRPr="00677ABE">
        <w:rPr>
          <w:rStyle w:val="FootnoteReference"/>
          <w:rFonts w:cs="Times New Roman"/>
          <w:lang w:eastAsia="x-none"/>
        </w:rPr>
        <w:footnoteReference w:id="593"/>
      </w:r>
      <w:r w:rsidRPr="00677ABE">
        <w:rPr>
          <w:rFonts w:cs="Times New Roman"/>
          <w:lang w:eastAsia="x-none"/>
        </w:rPr>
        <w:t xml:space="preserve"> Dr. Durette filed the application that became the ’712 patent after breaching the firewall agreement by listening in on the phone call.</w:t>
      </w:r>
      <w:r w:rsidRPr="00677ABE">
        <w:rPr>
          <w:rStyle w:val="FootnoteReference"/>
          <w:rFonts w:cs="Times New Roman"/>
          <w:lang w:eastAsia="x-none"/>
        </w:rPr>
        <w:footnoteReference w:id="594"/>
      </w:r>
      <w:r w:rsidRPr="00677ABE">
        <w:rPr>
          <w:rFonts w:cs="Times New Roman"/>
          <w:lang w:eastAsia="x-none"/>
        </w:rPr>
        <w:t xml:space="preserve"> The court highlighted the close connection between the </w:t>
      </w:r>
      <w:r w:rsidR="00370148">
        <w:rPr>
          <w:rFonts w:cs="Times New Roman"/>
        </w:rPr>
        <w:t>’4</w:t>
      </w:r>
      <w:r w:rsidRPr="00677ABE">
        <w:rPr>
          <w:rFonts w:cs="Times New Roman"/>
        </w:rPr>
        <w:t>99 and ’712 patents, such as how they shared the same specification.</w:t>
      </w:r>
      <w:r w:rsidRPr="00677ABE">
        <w:rPr>
          <w:rStyle w:val="FootnoteReference"/>
          <w:rFonts w:cs="Times New Roman"/>
        </w:rPr>
        <w:footnoteReference w:id="595"/>
      </w:r>
      <w:r w:rsidRPr="00677ABE">
        <w:rPr>
          <w:rFonts w:cs="Times New Roman"/>
        </w:rPr>
        <w:t xml:space="preserve"> Most importantly, the district court reasonably concluded that Merck’s litigation misconduct “infect[ed] the entire lawsuit, including the unenforceability of the ’712 patent.”</w:t>
      </w:r>
      <w:r w:rsidRPr="00677ABE">
        <w:rPr>
          <w:rStyle w:val="FootnoteReference"/>
          <w:rFonts w:cs="Times New Roman"/>
        </w:rPr>
        <w:footnoteReference w:id="596"/>
      </w:r>
      <w:r w:rsidRPr="00677ABE">
        <w:rPr>
          <w:rFonts w:cs="Times New Roman"/>
        </w:rPr>
        <w:t xml:space="preserve"> More specifically, Dr. Durette’s untruthful testimony was directed at Merck’s validity arguments, which were “largely the same for the two patents.”</w:t>
      </w:r>
      <w:r w:rsidRPr="00677ABE">
        <w:rPr>
          <w:rStyle w:val="FootnoteReference"/>
          <w:rFonts w:cs="Times New Roman"/>
        </w:rPr>
        <w:footnoteReference w:id="597"/>
      </w:r>
    </w:p>
    <w:p w14:paraId="143E3860" w14:textId="54328E1F" w:rsidR="009D61FE" w:rsidRPr="00677ABE" w:rsidRDefault="009D61FE" w:rsidP="00CA2C0A">
      <w:pPr>
        <w:pStyle w:val="Heading3"/>
        <w:ind w:firstLine="0"/>
        <w:rPr>
          <w:rFonts w:cs="Times New Roman"/>
        </w:rPr>
      </w:pPr>
      <w:bookmarkStart w:id="143" w:name="_Toc531692779"/>
      <w:bookmarkEnd w:id="140"/>
      <w:r w:rsidRPr="00677ABE">
        <w:rPr>
          <w:rFonts w:cs="Times New Roman"/>
        </w:rPr>
        <w:t>Energy Heating, LLC</w:t>
      </w:r>
      <w:r w:rsidR="00712C22" w:rsidRPr="00677ABE">
        <w:rPr>
          <w:rFonts w:cs="Times New Roman"/>
        </w:rPr>
        <w:t xml:space="preserve"> v. </w:t>
      </w:r>
      <w:r w:rsidRPr="00677ABE">
        <w:rPr>
          <w:rFonts w:cs="Times New Roman"/>
        </w:rPr>
        <w:t>Heat On-The-Fly, LLC</w:t>
      </w:r>
      <w:r w:rsidRPr="00677ABE">
        <w:rPr>
          <w:rFonts w:cs="Times New Roman"/>
          <w:i w:val="0"/>
        </w:rPr>
        <w:t>, 889 F.3d 1291 (Fed. Cir. May 4, 2018)</w:t>
      </w:r>
      <w:bookmarkEnd w:id="143"/>
    </w:p>
    <w:p w14:paraId="1641BA8B" w14:textId="77777777" w:rsidR="009D61FE" w:rsidRPr="00677ABE" w:rsidRDefault="009D61FE" w:rsidP="00CA2C0A">
      <w:pPr>
        <w:rPr>
          <w:rFonts w:cs="Times New Roman"/>
        </w:rPr>
      </w:pPr>
      <w:r w:rsidRPr="00677ABE">
        <w:rPr>
          <w:rFonts w:cs="Times New Roman"/>
          <w:b/>
        </w:rPr>
        <w:tab/>
      </w:r>
      <w:r w:rsidRPr="00677ABE">
        <w:rPr>
          <w:rFonts w:cs="Times New Roman"/>
        </w:rPr>
        <w:t>In this appeal from the District of North Dakota, the Federal Circuit affirmed the district court’s declaratory judgment that Heat On-The-Fly’s patent was unenforceable due to inequitable conduct,</w:t>
      </w:r>
      <w:r w:rsidRPr="00677ABE">
        <w:rPr>
          <w:rStyle w:val="FootnoteReference"/>
          <w:rFonts w:cs="Times New Roman"/>
        </w:rPr>
        <w:footnoteReference w:id="598"/>
      </w:r>
      <w:r w:rsidRPr="00677ABE">
        <w:rPr>
          <w:rFonts w:cs="Times New Roman"/>
        </w:rPr>
        <w:t xml:space="preserve"> despite the PTO having granted a continuation patent related to the same invention </w:t>
      </w:r>
      <w:r w:rsidRPr="00677ABE">
        <w:rPr>
          <w:rFonts w:cs="Times New Roman"/>
          <w:i/>
        </w:rPr>
        <w:t xml:space="preserve">after </w:t>
      </w:r>
      <w:r w:rsidRPr="00677ABE">
        <w:rPr>
          <w:rFonts w:cs="Times New Roman"/>
        </w:rPr>
        <w:t>the withheld information had been disclosed.</w:t>
      </w:r>
      <w:r w:rsidRPr="00677ABE">
        <w:rPr>
          <w:rStyle w:val="FootnoteReference"/>
          <w:rFonts w:cs="Times New Roman"/>
        </w:rPr>
        <w:footnoteReference w:id="599"/>
      </w:r>
    </w:p>
    <w:p w14:paraId="729E133A" w14:textId="4D0CD23B" w:rsidR="009D61FE" w:rsidRPr="00677ABE" w:rsidRDefault="009D61FE" w:rsidP="00CA2C0A">
      <w:pPr>
        <w:rPr>
          <w:rFonts w:cs="Times New Roman"/>
        </w:rPr>
      </w:pPr>
      <w:r w:rsidRPr="00677ABE">
        <w:rPr>
          <w:rFonts w:cs="Times New Roman"/>
        </w:rPr>
        <w:tab/>
        <w:t>The case concerned the ‘993 patent, a “method and apparatus for the continuous preparation of heated water flow [that is, on-the-fly,] for use in hydraulic fracturing,” or “frac[k]ing.”</w:t>
      </w:r>
      <w:r w:rsidRPr="00677ABE">
        <w:rPr>
          <w:rStyle w:val="FootnoteReference"/>
          <w:rFonts w:cs="Times New Roman"/>
        </w:rPr>
        <w:footnoteReference w:id="600"/>
      </w:r>
      <w:r w:rsidRPr="00677ABE">
        <w:rPr>
          <w:rFonts w:cs="Times New Roman"/>
        </w:rPr>
        <w:t xml:space="preserve"> Before the critical date, Heat-On-The-Fly (“HOTF”) used this system in at least 61 frack jobs for which it collected over $1.8 million in fees</w:t>
      </w:r>
      <w:r w:rsidRPr="00677ABE">
        <w:rPr>
          <w:rStyle w:val="FootnoteReference"/>
          <w:rFonts w:cs="Times New Roman"/>
        </w:rPr>
        <w:footnoteReference w:id="601"/>
      </w:r>
      <w:r w:rsidRPr="00677ABE">
        <w:rPr>
          <w:rFonts w:cs="Times New Roman"/>
        </w:rPr>
        <w:t>—without requiring those receiving the services to abide by confidentiality agreements and without recording test results related to the patent’s claimed limitations. HOTF did not dispute that it knew of the public-use and on-sale bars before filing its patent application; nonetheless, the company did not disclose these 61 uses to the Patent and Trademark Office (“PTO”).</w:t>
      </w:r>
      <w:r w:rsidRPr="00677ABE">
        <w:rPr>
          <w:rStyle w:val="FootnoteReference"/>
          <w:rFonts w:cs="Times New Roman"/>
        </w:rPr>
        <w:footnoteReference w:id="602"/>
      </w:r>
      <w:r w:rsidRPr="00677ABE">
        <w:rPr>
          <w:rFonts w:cs="Times New Roman"/>
        </w:rPr>
        <w:t xml:space="preserve"> Energy Heating sought a declaratory judgment that the ‘993 patent was unenforceable for inequitable conduct, invalid as obvious, and not infringed.</w:t>
      </w:r>
      <w:r w:rsidRPr="00677ABE">
        <w:rPr>
          <w:rStyle w:val="FootnoteReference"/>
          <w:rFonts w:cs="Times New Roman"/>
        </w:rPr>
        <w:footnoteReference w:id="603"/>
      </w:r>
      <w:r w:rsidRPr="00677ABE">
        <w:rPr>
          <w:rFonts w:cs="Times New Roman"/>
        </w:rPr>
        <w:t xml:space="preserve"> The district court found that the failure to disclose the 61 jobs constituted a withholding of material information with intent to deceive the PTO—that is, inequitable conduct.</w:t>
      </w:r>
      <w:r w:rsidRPr="00677ABE">
        <w:rPr>
          <w:rStyle w:val="FootnoteReference"/>
          <w:rFonts w:cs="Times New Roman"/>
        </w:rPr>
        <w:footnoteReference w:id="604"/>
      </w:r>
      <w:r w:rsidRPr="00677ABE">
        <w:rPr>
          <w:rFonts w:cs="Times New Roman"/>
        </w:rPr>
        <w:t xml:space="preserve"> After the district court’s judgment, the PTO nonetheless granted a continuation patent related to the same invention.</w:t>
      </w:r>
      <w:r w:rsidRPr="00677ABE">
        <w:rPr>
          <w:rStyle w:val="FootnoteReference"/>
          <w:rFonts w:cs="Times New Roman"/>
        </w:rPr>
        <w:footnoteReference w:id="605"/>
      </w:r>
    </w:p>
    <w:p w14:paraId="2C2B08B5" w14:textId="60814963" w:rsidR="00295B73" w:rsidRDefault="009D61FE" w:rsidP="00CA2C0A">
      <w:pPr>
        <w:rPr>
          <w:rFonts w:cs="Times New Roman"/>
        </w:rPr>
      </w:pPr>
      <w:r w:rsidRPr="00677ABE">
        <w:rPr>
          <w:rFonts w:cs="Times New Roman"/>
        </w:rPr>
        <w:tab/>
        <w:t>On appeal, the Federal Circuit affirmed this outcome against HOTF’s three theories of the district court’s abuse of discretion.</w:t>
      </w:r>
      <w:r w:rsidRPr="00677ABE">
        <w:rPr>
          <w:rStyle w:val="FootnoteReference"/>
          <w:rFonts w:cs="Times New Roman"/>
        </w:rPr>
        <w:footnoteReference w:id="606"/>
      </w:r>
      <w:r w:rsidR="00AC00E6">
        <w:rPr>
          <w:rFonts w:cs="Times New Roman"/>
        </w:rPr>
        <w:t xml:space="preserve"> </w:t>
      </w:r>
      <w:r w:rsidRPr="00677ABE">
        <w:rPr>
          <w:rFonts w:cs="Times New Roman"/>
        </w:rPr>
        <w:t>HOTF’s first theory was that the 61 jobs had been experimental and so had not triggered the on-sale or public use bars; the appellate court held the district court had not erred in finding that the experimentation HOTF alleged did not relate to the features claimed nor to overall workability.</w:t>
      </w:r>
      <w:r w:rsidRPr="00677ABE">
        <w:rPr>
          <w:rStyle w:val="FootnoteReference"/>
          <w:rFonts w:cs="Times New Roman"/>
        </w:rPr>
        <w:footnoteReference w:id="607"/>
      </w:r>
      <w:r w:rsidRPr="00677ABE">
        <w:rPr>
          <w:rFonts w:cs="Times New Roman"/>
        </w:rPr>
        <w:t xml:space="preserve"> HOTF’s second theory was that the PTO’s granting of a continuation patent after the disclosure of the 61 frack jobs disproved the materiality and intent of having withheld them previously, as would be required for inequitable conduct under </w:t>
      </w:r>
      <w:r w:rsidRPr="00677ABE">
        <w:rPr>
          <w:rFonts w:cs="Times New Roman"/>
          <w:i/>
        </w:rPr>
        <w:t>Therasense</w:t>
      </w:r>
      <w:r w:rsidRPr="00677ABE">
        <w:rPr>
          <w:rFonts w:cs="Times New Roman"/>
        </w:rPr>
        <w:t>.</w:t>
      </w:r>
      <w:r w:rsidRPr="00677ABE">
        <w:rPr>
          <w:rStyle w:val="FootnoteReference"/>
          <w:rFonts w:cs="Times New Roman"/>
        </w:rPr>
        <w:footnoteReference w:id="608"/>
      </w:r>
      <w:r w:rsidRPr="00677ABE">
        <w:rPr>
          <w:rFonts w:cs="Times New Roman"/>
        </w:rPr>
        <w:t xml:space="preserve"> The Federal Circuit held that the district court’s decision not to consider the existence of the continuation patent was not error because it was granted after the district court’s judgment and because its claims were materially different from the ‘993 claims—indeed, the continuation patent covered the very features HOTF said were tested in the 61 frack jobs but the court found not claimed in the original application.</w:t>
      </w:r>
      <w:r w:rsidRPr="00677ABE">
        <w:rPr>
          <w:rStyle w:val="FootnoteReference"/>
          <w:rFonts w:cs="Times New Roman"/>
        </w:rPr>
        <w:footnoteReference w:id="609"/>
      </w:r>
      <w:r w:rsidRPr="00677ABE">
        <w:rPr>
          <w:rFonts w:cs="Times New Roman"/>
        </w:rPr>
        <w:t xml:space="preserve"> Finally, HOTF argued there was no clear and convincing evidence of intent to deceive; the Federal Circuit held the district court did not abuse its discretion when it found that the single most reasonable interpretation of the withholding of the 61 frack jobs was specific intent to deceive the PTO.</w:t>
      </w:r>
      <w:r w:rsidRPr="00677ABE">
        <w:rPr>
          <w:rStyle w:val="FootnoteReference"/>
          <w:rFonts w:cs="Times New Roman"/>
        </w:rPr>
        <w:footnoteReference w:id="610"/>
      </w:r>
      <w:r w:rsidRPr="00677ABE">
        <w:rPr>
          <w:rFonts w:cs="Times New Roman"/>
        </w:rPr>
        <w:t xml:space="preserve"> More pointedly, the court acted within its discretion in declining to hear late-presented evidence that counsel to HOTF had been aware of the 61 jobs and advised not to disclose them; earlier in the case, HOTF had invoked attorney-client privilege to bar discovery, despite being on notice that inequitable conduct would be at issue, and HOTF </w:t>
      </w:r>
      <w:r w:rsidRPr="00677ABE">
        <w:rPr>
          <w:rFonts w:cs="Times New Roman"/>
          <w:iCs/>
        </w:rPr>
        <w:t>“[could not] have it both ways.”</w:t>
      </w:r>
      <w:r w:rsidRPr="00677ABE">
        <w:rPr>
          <w:rStyle w:val="FootnoteReference"/>
          <w:rFonts w:cs="Times New Roman"/>
        </w:rPr>
        <w:footnoteReference w:id="611"/>
      </w:r>
      <w:r w:rsidRPr="00677ABE">
        <w:rPr>
          <w:rStyle w:val="FootnoteReference"/>
          <w:rFonts w:cs="Times New Roman"/>
        </w:rPr>
        <w:t xml:space="preserve"> </w:t>
      </w:r>
    </w:p>
    <w:p w14:paraId="19C55DE3" w14:textId="77777777" w:rsidR="00295B73" w:rsidRDefault="00295B73" w:rsidP="00CA2C0A">
      <w:pPr>
        <w:rPr>
          <w:rFonts w:cs="Times New Roman"/>
        </w:rPr>
      </w:pPr>
      <w:r>
        <w:rPr>
          <w:rFonts w:cs="Times New Roman"/>
        </w:rPr>
        <w:br w:type="page"/>
      </w:r>
    </w:p>
    <w:p w14:paraId="545B5616" w14:textId="77777777" w:rsidR="00F20B84" w:rsidRDefault="007D0629" w:rsidP="00CA2C0A">
      <w:pPr>
        <w:pStyle w:val="Heading1"/>
        <w:rPr>
          <w:rFonts w:cs="Times New Roman"/>
          <w:szCs w:val="24"/>
        </w:rPr>
      </w:pPr>
      <w:bookmarkStart w:id="144" w:name="_Toc531692780"/>
      <w:r w:rsidRPr="00677ABE">
        <w:rPr>
          <w:rFonts w:cs="Times New Roman"/>
          <w:szCs w:val="24"/>
        </w:rPr>
        <w:t>REMEDIES</w:t>
      </w:r>
      <w:bookmarkEnd w:id="144"/>
    </w:p>
    <w:p w14:paraId="2C35179A" w14:textId="77777777" w:rsidR="00F20B84" w:rsidRDefault="007D0629" w:rsidP="00CA2C0A">
      <w:pPr>
        <w:pStyle w:val="Heading2"/>
        <w:rPr>
          <w:rFonts w:cs="Times New Roman"/>
          <w:szCs w:val="24"/>
        </w:rPr>
      </w:pPr>
      <w:bookmarkStart w:id="145" w:name="_Toc531692781"/>
      <w:r w:rsidRPr="00677ABE">
        <w:rPr>
          <w:rFonts w:cs="Times New Roman"/>
          <w:szCs w:val="24"/>
        </w:rPr>
        <w:t>Damages</w:t>
      </w:r>
      <w:bookmarkEnd w:id="145"/>
    </w:p>
    <w:p w14:paraId="4ADA9D70" w14:textId="4F027451" w:rsidR="00736CFC" w:rsidRPr="00677ABE" w:rsidRDefault="00736CFC" w:rsidP="00CA2C0A">
      <w:pPr>
        <w:pStyle w:val="Heading3"/>
        <w:ind w:firstLine="0"/>
        <w:rPr>
          <w:rFonts w:cs="Times New Roman"/>
          <w:i w:val="0"/>
        </w:rPr>
      </w:pPr>
      <w:bookmarkStart w:id="146" w:name="_Toc516586583"/>
      <w:bookmarkStart w:id="147" w:name="_Toc531692782"/>
      <w:r w:rsidRPr="00677ABE">
        <w:rPr>
          <w:rFonts w:cs="Times New Roman"/>
        </w:rPr>
        <w:t>Promega Corp. v. Life Techs. Corp.</w:t>
      </w:r>
      <w:r w:rsidRPr="00677ABE">
        <w:rPr>
          <w:rFonts w:cs="Times New Roman"/>
          <w:i w:val="0"/>
        </w:rPr>
        <w:t>, 2013-1011, 2017 WL 5242434 (Fed. Cir. Nov. 13, 2017)</w:t>
      </w:r>
      <w:bookmarkEnd w:id="146"/>
      <w:bookmarkEnd w:id="147"/>
    </w:p>
    <w:p w14:paraId="3FD6A143" w14:textId="77777777" w:rsidR="00736CFC" w:rsidRPr="00677ABE" w:rsidRDefault="00736CFC" w:rsidP="00CA2C0A">
      <w:pPr>
        <w:rPr>
          <w:rFonts w:cs="Times New Roman"/>
          <w:lang w:eastAsia="x-none"/>
        </w:rPr>
      </w:pPr>
      <w:r w:rsidRPr="00677ABE">
        <w:rPr>
          <w:rFonts w:cs="Times New Roman"/>
          <w:lang w:eastAsia="x-none"/>
        </w:rPr>
        <w:tab/>
        <w:t xml:space="preserve">On remand after the Supreme Court’s decision in </w:t>
      </w:r>
      <w:r w:rsidRPr="00677ABE">
        <w:rPr>
          <w:rFonts w:cs="Times New Roman"/>
          <w:i/>
          <w:lang w:eastAsia="x-none"/>
        </w:rPr>
        <w:t>Life Techs. Corp. v. Promega Corp.</w:t>
      </w:r>
      <w:r w:rsidRPr="00677ABE">
        <w:rPr>
          <w:rFonts w:cs="Times New Roman"/>
          <w:lang w:eastAsia="x-none"/>
        </w:rPr>
        <w:t>, 137 S. Ct. 734 (2017), the Federal Circuit affirmed the district court’s original finding that Promega waived its right to a damages award by deliberately adhering to a single damages theory that was rejected by the Supreme Court.</w:t>
      </w:r>
      <w:r w:rsidRPr="00677ABE">
        <w:rPr>
          <w:rStyle w:val="FootnoteReference"/>
          <w:rFonts w:cs="Times New Roman"/>
          <w:lang w:eastAsia="x-none"/>
        </w:rPr>
        <w:footnoteReference w:id="612"/>
      </w:r>
      <w:r w:rsidRPr="00677ABE">
        <w:rPr>
          <w:rFonts w:cs="Times New Roman"/>
          <w:lang w:eastAsia="x-none"/>
        </w:rPr>
        <w:t xml:space="preserve"> </w:t>
      </w:r>
    </w:p>
    <w:p w14:paraId="27F55D6F" w14:textId="77777777" w:rsidR="00736CFC" w:rsidRPr="00677ABE" w:rsidRDefault="00736CFC" w:rsidP="00CA2C0A">
      <w:pPr>
        <w:rPr>
          <w:rFonts w:cs="Times New Roman"/>
          <w:lang w:eastAsia="x-none"/>
        </w:rPr>
      </w:pPr>
      <w:r w:rsidRPr="00677ABE">
        <w:rPr>
          <w:rFonts w:cs="Times New Roman"/>
          <w:lang w:eastAsia="x-none"/>
        </w:rPr>
        <w:t>Life sold five-component genetic testing kits, which were assembled in the United Kingdom and included one component obtained from the United States.</w:t>
      </w:r>
      <w:r w:rsidRPr="00677ABE">
        <w:rPr>
          <w:rStyle w:val="FootnoteReference"/>
          <w:rFonts w:cs="Times New Roman"/>
          <w:lang w:eastAsia="x-none"/>
        </w:rPr>
        <w:footnoteReference w:id="613"/>
      </w:r>
      <w:r w:rsidRPr="00677ABE">
        <w:rPr>
          <w:rFonts w:cs="Times New Roman"/>
          <w:lang w:eastAsia="x-none"/>
        </w:rPr>
        <w:t xml:space="preserve"> Promega sued Life for infringement of its patents on genetic testing kits.</w:t>
      </w:r>
      <w:r w:rsidRPr="00677ABE">
        <w:rPr>
          <w:rStyle w:val="FootnoteReference"/>
          <w:rFonts w:cs="Times New Roman"/>
          <w:lang w:eastAsia="x-none"/>
        </w:rPr>
        <w:footnoteReference w:id="614"/>
      </w:r>
      <w:r w:rsidRPr="00677ABE">
        <w:rPr>
          <w:rFonts w:cs="Times New Roman"/>
          <w:lang w:eastAsia="x-none"/>
        </w:rPr>
        <w:t xml:space="preserve"> At trial, “Promega did not proffer evidence or elicit testimony intended to prove a specific amount of domestic, foreign, or any other subset of total sales. Instead, Promega relied only on the stipulated worldwide sales figure as a potential damages base.”</w:t>
      </w:r>
      <w:r w:rsidRPr="00677ABE">
        <w:rPr>
          <w:rStyle w:val="FootnoteReference"/>
          <w:rFonts w:cs="Times New Roman"/>
          <w:lang w:eastAsia="x-none"/>
        </w:rPr>
        <w:footnoteReference w:id="615"/>
      </w:r>
      <w:r w:rsidRPr="00677ABE">
        <w:rPr>
          <w:rFonts w:cs="Times New Roman"/>
          <w:lang w:eastAsia="x-none"/>
        </w:rPr>
        <w:t xml:space="preserve"> Although the Federal Circuit originally affirmed a jury verdict in favor of Promega for damages based on worldwide sales,</w:t>
      </w:r>
      <w:r w:rsidRPr="00677ABE">
        <w:rPr>
          <w:rStyle w:val="FootnoteReference"/>
          <w:rFonts w:cs="Times New Roman"/>
          <w:lang w:eastAsia="x-none"/>
        </w:rPr>
        <w:footnoteReference w:id="616"/>
      </w:r>
      <w:r w:rsidRPr="00677ABE">
        <w:rPr>
          <w:rFonts w:cs="Times New Roman"/>
          <w:lang w:eastAsia="x-none"/>
        </w:rPr>
        <w:t xml:space="preserve"> the Supreme Court found that not all of Life’s worldwide sales were infringing, because incorporating a single component obtained from the United States was itself insufficient to establish liability for patent infringement.</w:t>
      </w:r>
      <w:r w:rsidRPr="00677ABE">
        <w:rPr>
          <w:rStyle w:val="FootnoteReference"/>
          <w:rFonts w:cs="Times New Roman"/>
          <w:lang w:eastAsia="x-none"/>
        </w:rPr>
        <w:footnoteReference w:id="617"/>
      </w:r>
    </w:p>
    <w:p w14:paraId="595B835E" w14:textId="1CCEDE30" w:rsidR="00F20B84" w:rsidRDefault="00736CFC" w:rsidP="00CA2C0A">
      <w:pPr>
        <w:rPr>
          <w:rFonts w:cs="Times New Roman"/>
          <w:lang w:eastAsia="x-none"/>
        </w:rPr>
      </w:pPr>
      <w:r w:rsidRPr="00677ABE">
        <w:rPr>
          <w:rFonts w:cs="Times New Roman"/>
          <w:lang w:eastAsia="x-none"/>
        </w:rPr>
        <w:tab/>
        <w:t>In light of the Supreme Court’s ruling, the Federal Circuit affirmed the district court’s original JMOL finding that Promega waived any valid measure of damages.</w:t>
      </w:r>
      <w:r w:rsidRPr="00677ABE">
        <w:rPr>
          <w:rStyle w:val="FootnoteReference"/>
          <w:rFonts w:cs="Times New Roman"/>
          <w:lang w:eastAsia="x-none"/>
        </w:rPr>
        <w:footnoteReference w:id="618"/>
      </w:r>
      <w:r w:rsidRPr="00677ABE">
        <w:rPr>
          <w:rFonts w:cs="Times New Roman"/>
          <w:lang w:eastAsia="x-none"/>
        </w:rPr>
        <w:t xml:space="preserve"> The court reasoned that Promega adopted an “all-or-nothing” damages strategy based on worldwide sales even after the district court “informed Promega that it needed to put forward evidence separately proving the amount of infringing acts under </w:t>
      </w:r>
      <w:r w:rsidR="00AC00E6">
        <w:rPr>
          <w:rFonts w:cs="Times New Roman"/>
          <w:lang w:eastAsia="x-none"/>
        </w:rPr>
        <w:t>§ </w:t>
      </w:r>
      <w:r w:rsidRPr="00677ABE">
        <w:rPr>
          <w:rFonts w:cs="Times New Roman"/>
          <w:lang w:eastAsia="x-none"/>
        </w:rPr>
        <w:t xml:space="preserve">271(a) and </w:t>
      </w:r>
      <w:r w:rsidR="00AC00E6">
        <w:rPr>
          <w:rFonts w:cs="Times New Roman"/>
          <w:lang w:eastAsia="x-none"/>
        </w:rPr>
        <w:t>§ </w:t>
      </w:r>
      <w:r w:rsidRPr="00677ABE">
        <w:rPr>
          <w:rFonts w:cs="Times New Roman"/>
          <w:lang w:eastAsia="x-none"/>
        </w:rPr>
        <w:t>271(f)(1).”</w:t>
      </w:r>
      <w:r w:rsidRPr="00677ABE">
        <w:rPr>
          <w:rStyle w:val="FootnoteReference"/>
          <w:rFonts w:cs="Times New Roman"/>
          <w:lang w:eastAsia="x-none"/>
        </w:rPr>
        <w:footnoteReference w:id="619"/>
      </w:r>
      <w:r w:rsidRPr="00677ABE">
        <w:rPr>
          <w:rFonts w:cs="Times New Roman"/>
          <w:lang w:eastAsia="x-none"/>
        </w:rPr>
        <w:t xml:space="preserve"> Although it was undisputed that some of Life’s sales were infringing, “Promega’s deliberate strategy to adhere to a single [invalid] damages theory had the effect of winnowing out from the case any argument about damages based on a figure other than worldwide sales.”</w:t>
      </w:r>
      <w:r w:rsidRPr="00677ABE">
        <w:rPr>
          <w:rStyle w:val="FootnoteReference"/>
          <w:rFonts w:cs="Times New Roman"/>
          <w:lang w:eastAsia="x-none"/>
        </w:rPr>
        <w:footnoteReference w:id="620"/>
      </w:r>
      <w:r w:rsidRPr="00677ABE">
        <w:rPr>
          <w:rFonts w:cs="Times New Roman"/>
          <w:lang w:eastAsia="x-none"/>
        </w:rPr>
        <w:t xml:space="preserve"> Put differently, “when a plaintiff deliberately takes a risk by relying at trial exclusively on a damages theory that ultimately proves unsuccessful” and offers no “alternative case for damages, a district court does not abuse its discretion by declining to give that plaintiff ” another chance to prove damages based on a theory it declined to assert in the first lawsuit.</w:t>
      </w:r>
      <w:r w:rsidRPr="00677ABE">
        <w:rPr>
          <w:rStyle w:val="FootnoteReference"/>
          <w:rFonts w:cs="Times New Roman"/>
          <w:lang w:eastAsia="x-none"/>
        </w:rPr>
        <w:footnoteReference w:id="621"/>
      </w:r>
    </w:p>
    <w:p w14:paraId="3B1816CE" w14:textId="0BD73010" w:rsidR="00736CFC" w:rsidRPr="00677ABE" w:rsidRDefault="00736CFC" w:rsidP="00CA2C0A">
      <w:pPr>
        <w:pStyle w:val="Heading3"/>
        <w:ind w:firstLine="0"/>
        <w:rPr>
          <w:rFonts w:cs="Times New Roman"/>
          <w:i w:val="0"/>
        </w:rPr>
      </w:pPr>
      <w:bookmarkStart w:id="148" w:name="_Toc516586584"/>
      <w:bookmarkStart w:id="149" w:name="_Toc531692783"/>
      <w:r w:rsidRPr="00677ABE">
        <w:rPr>
          <w:rFonts w:cs="Times New Roman"/>
        </w:rPr>
        <w:t>Finjan, Inc. v. Blue Coat Systems, Inc.</w:t>
      </w:r>
      <w:r w:rsidRPr="00677ABE">
        <w:rPr>
          <w:rFonts w:cs="Times New Roman"/>
          <w:i w:val="0"/>
        </w:rPr>
        <w:t>, No. 2016-2520, 2018 WL 341882 (Fed. Cir. Jan. 10, 2018)</w:t>
      </w:r>
      <w:r w:rsidRPr="00677ABE">
        <w:rPr>
          <w:rStyle w:val="FootnoteReference"/>
          <w:rFonts w:cs="Times New Roman"/>
          <w:i w:val="0"/>
        </w:rPr>
        <w:footnoteReference w:id="622"/>
      </w:r>
      <w:bookmarkEnd w:id="148"/>
      <w:bookmarkEnd w:id="149"/>
    </w:p>
    <w:p w14:paraId="262FA358" w14:textId="77777777" w:rsidR="00736CFC" w:rsidRPr="00677ABE" w:rsidRDefault="00736CFC" w:rsidP="00CA2C0A">
      <w:pPr>
        <w:rPr>
          <w:rFonts w:cs="Times New Roman"/>
          <w:lang w:eastAsia="x-none"/>
        </w:rPr>
      </w:pPr>
      <w:r w:rsidRPr="00677ABE">
        <w:rPr>
          <w:rFonts w:cs="Times New Roman"/>
          <w:lang w:eastAsia="x-none"/>
        </w:rPr>
        <w:tab/>
        <w:t>In this appeal from the Northern District of California, the Federal Circuit reversed the district court’s reasonable royalty reward on the ’844 patent, because Finjan failed to apportion damages to only the infringing technology.</w:t>
      </w:r>
      <w:r w:rsidRPr="00677ABE">
        <w:rPr>
          <w:rStyle w:val="FootnoteReference"/>
          <w:rFonts w:cs="Times New Roman"/>
          <w:lang w:eastAsia="x-none"/>
        </w:rPr>
        <w:footnoteReference w:id="623"/>
      </w:r>
      <w:r w:rsidRPr="00677ABE">
        <w:rPr>
          <w:rFonts w:cs="Times New Roman"/>
          <w:lang w:eastAsia="x-none"/>
        </w:rPr>
        <w:t xml:space="preserve"> DRTR is the portion of the infringing product that contains the infringing functionality.</w:t>
      </w:r>
      <w:r w:rsidRPr="00677ABE">
        <w:rPr>
          <w:rStyle w:val="FootnoteReference"/>
          <w:rFonts w:cs="Times New Roman"/>
          <w:lang w:eastAsia="x-none"/>
        </w:rPr>
        <w:footnoteReference w:id="624"/>
      </w:r>
      <w:r w:rsidRPr="00677ABE">
        <w:rPr>
          <w:rFonts w:cs="Times New Roman"/>
          <w:lang w:eastAsia="x-none"/>
        </w:rPr>
        <w:t xml:space="preserve"> Importantly, “all of the infringing functionality occurs in DRTR, but some DRTR functions infringe and some do not.”</w:t>
      </w:r>
      <w:r w:rsidRPr="00677ABE">
        <w:rPr>
          <w:rStyle w:val="FootnoteReference"/>
          <w:rFonts w:cs="Times New Roman"/>
          <w:lang w:eastAsia="x-none"/>
        </w:rPr>
        <w:footnoteReference w:id="625"/>
      </w:r>
    </w:p>
    <w:p w14:paraId="0C9A3DE4" w14:textId="77777777" w:rsidR="00736CFC" w:rsidRPr="00677ABE" w:rsidRDefault="00736CFC" w:rsidP="00CA2C0A">
      <w:pPr>
        <w:ind w:firstLine="720"/>
        <w:rPr>
          <w:rFonts w:cs="Times New Roman"/>
          <w:lang w:eastAsia="x-none"/>
        </w:rPr>
      </w:pPr>
      <w:r w:rsidRPr="00677ABE">
        <w:rPr>
          <w:rFonts w:cs="Times New Roman"/>
          <w:lang w:eastAsia="x-none"/>
        </w:rPr>
        <w:t>“Finjan attempted to tie the royalty base to the incremental value of the infringement by multiplying WebPulse’s total number of users by the percentage of web traffic that passes through DRTR.”</w:t>
      </w:r>
      <w:r w:rsidRPr="00677ABE">
        <w:rPr>
          <w:rStyle w:val="FootnoteReference"/>
          <w:rFonts w:cs="Times New Roman"/>
          <w:lang w:eastAsia="x-none"/>
        </w:rPr>
        <w:footnoteReference w:id="626"/>
      </w:r>
      <w:r w:rsidRPr="00677ABE">
        <w:rPr>
          <w:rFonts w:cs="Times New Roman"/>
          <w:lang w:eastAsia="x-none"/>
        </w:rPr>
        <w:t xml:space="preserve"> Finjan erred in failing to perform any further apportionment of the royalty base, however, to account for the fact that DRTR also performs noninfringing functions.</w:t>
      </w:r>
      <w:r w:rsidRPr="00677ABE">
        <w:rPr>
          <w:rStyle w:val="FootnoteReference"/>
          <w:rFonts w:cs="Times New Roman"/>
          <w:lang w:eastAsia="x-none"/>
        </w:rPr>
        <w:footnoteReference w:id="627"/>
      </w:r>
      <w:r w:rsidRPr="00677ABE">
        <w:rPr>
          <w:rFonts w:cs="Times New Roman"/>
          <w:lang w:eastAsia="x-none"/>
        </w:rPr>
        <w:t xml:space="preserve"> </w:t>
      </w:r>
    </w:p>
    <w:p w14:paraId="1444FBEB" w14:textId="77777777" w:rsidR="00736CFC" w:rsidRPr="00677ABE" w:rsidRDefault="00736CFC" w:rsidP="00CA2C0A">
      <w:pPr>
        <w:ind w:firstLine="720"/>
        <w:rPr>
          <w:rFonts w:cs="Times New Roman"/>
        </w:rPr>
      </w:pPr>
      <w:r w:rsidRPr="00677ABE">
        <w:rPr>
          <w:rFonts w:cs="Times New Roman"/>
        </w:rPr>
        <w:t>Finjan argued that further apportionment is unnecessary because DRTR is the “smallest, identifiable technical component” associated with the invention.</w:t>
      </w:r>
      <w:r w:rsidRPr="00677ABE">
        <w:rPr>
          <w:rStyle w:val="FootnoteReference"/>
          <w:rFonts w:cs="Times New Roman"/>
        </w:rPr>
        <w:footnoteReference w:id="628"/>
      </w:r>
      <w:r w:rsidRPr="00677ABE">
        <w:rPr>
          <w:rFonts w:cs="Times New Roman"/>
        </w:rPr>
        <w:t xml:space="preserve"> But the mere “fact that Finjan has established a royalty base based on the ‘smallest, identifiable technical component’ does not insulate them from the ‘essential requirement’ that the ‘ultimate reasonable royalty award must be based on the incremental value that the patented invention adds to the end product.’”</w:t>
      </w:r>
      <w:r w:rsidRPr="00677ABE">
        <w:rPr>
          <w:rStyle w:val="FootnoteReference"/>
          <w:rFonts w:cs="Times New Roman"/>
        </w:rPr>
        <w:footnoteReference w:id="629"/>
      </w:r>
      <w:r w:rsidRPr="00677ABE">
        <w:rPr>
          <w:rFonts w:cs="Times New Roman"/>
        </w:rPr>
        <w:t xml:space="preserve"> Indeed, “if the smallest salable unit—or smallest identifiable technical component—contains non-infringing features, additional apportionment is still required.”</w:t>
      </w:r>
      <w:r w:rsidRPr="00677ABE">
        <w:rPr>
          <w:rStyle w:val="FootnoteReference"/>
          <w:rFonts w:cs="Times New Roman"/>
        </w:rPr>
        <w:footnoteReference w:id="630"/>
      </w:r>
    </w:p>
    <w:p w14:paraId="358120AB" w14:textId="4295523D" w:rsidR="00736CFC" w:rsidRPr="00677ABE" w:rsidRDefault="00736CFC" w:rsidP="00CA2C0A">
      <w:pPr>
        <w:ind w:firstLine="720"/>
        <w:rPr>
          <w:rFonts w:cs="Times New Roman"/>
        </w:rPr>
      </w:pPr>
      <w:r w:rsidRPr="00677ABE">
        <w:rPr>
          <w:rFonts w:cs="Times New Roman"/>
          <w:lang w:eastAsia="x-none"/>
        </w:rPr>
        <w:t>Blue Coat also argued that there was no basis for Finjan’s “$8-per-user royalty rate” that was multiplied by the royalty base.</w:t>
      </w:r>
      <w:r w:rsidRPr="00677ABE">
        <w:rPr>
          <w:rStyle w:val="FootnoteReference"/>
          <w:rFonts w:cs="Times New Roman"/>
          <w:lang w:eastAsia="x-none"/>
        </w:rPr>
        <w:footnoteReference w:id="631"/>
      </w:r>
      <w:r w:rsidRPr="00677ABE">
        <w:rPr>
          <w:rFonts w:cs="Times New Roman"/>
          <w:lang w:eastAsia="x-none"/>
        </w:rPr>
        <w:t xml:space="preserve"> The Federal Circuit agreed.</w:t>
      </w:r>
      <w:r w:rsidRPr="00677ABE">
        <w:rPr>
          <w:rStyle w:val="FootnoteReference"/>
          <w:rFonts w:cs="Times New Roman"/>
          <w:lang w:eastAsia="x-none"/>
        </w:rPr>
        <w:footnoteReference w:id="632"/>
      </w:r>
      <w:r w:rsidRPr="00677ABE">
        <w:rPr>
          <w:rFonts w:cs="Times New Roman"/>
          <w:lang w:eastAsia="x-none"/>
        </w:rPr>
        <w:t xml:space="preserve"> The $8 value was based on a 2008 verdict obtained by Finjan against Secure Computing.</w:t>
      </w:r>
      <w:r w:rsidRPr="00677ABE">
        <w:rPr>
          <w:rStyle w:val="FootnoteReference"/>
          <w:rFonts w:cs="Times New Roman"/>
          <w:lang w:eastAsia="x-none"/>
        </w:rPr>
        <w:footnoteReference w:id="633"/>
      </w:r>
      <w:r w:rsidRPr="00677ABE">
        <w:rPr>
          <w:rFonts w:cs="Times New Roman"/>
          <w:lang w:eastAsia="x-none"/>
        </w:rPr>
        <w:t xml:space="preserve"> However, that case </w:t>
      </w:r>
      <w:r w:rsidRPr="00677ABE">
        <w:rPr>
          <w:rFonts w:cs="Times New Roman"/>
        </w:rPr>
        <w:t>did not involve the ’844 patent, there was no evidence showing that the patents in the two cases are economically or technologically comparable, and there was no evidence to support the “conclusory statement” that the royalty rate in that case would even correspond to an $8-per-user fee.</w:t>
      </w:r>
      <w:r w:rsidRPr="00677ABE">
        <w:rPr>
          <w:rStyle w:val="FootnoteReference"/>
          <w:rFonts w:cs="Times New Roman"/>
        </w:rPr>
        <w:footnoteReference w:id="634"/>
      </w:r>
      <w:r w:rsidRPr="00677ABE">
        <w:rPr>
          <w:rFonts w:cs="Times New Roman"/>
        </w:rPr>
        <w:t xml:space="preserve"> “In short, the $8-per-user fee appears to have been plucked from thin air and, as such, cannot be the basis for a reasonable royalty calculation.”</w:t>
      </w:r>
      <w:r w:rsidRPr="00677ABE">
        <w:rPr>
          <w:rStyle w:val="FootnoteReference"/>
          <w:rFonts w:cs="Times New Roman"/>
        </w:rPr>
        <w:footnoteReference w:id="635"/>
      </w:r>
      <w:r w:rsidR="00AC00E6">
        <w:rPr>
          <w:rFonts w:cs="Times New Roman"/>
        </w:rPr>
        <w:t xml:space="preserve"> </w:t>
      </w:r>
    </w:p>
    <w:p w14:paraId="6B8A4C9C" w14:textId="77777777" w:rsidR="00F20B84" w:rsidRDefault="00736CFC" w:rsidP="00CA2C0A">
      <w:pPr>
        <w:ind w:firstLine="720"/>
        <w:rPr>
          <w:rFonts w:cs="Times New Roman"/>
        </w:rPr>
      </w:pPr>
      <w:r w:rsidRPr="00677ABE">
        <w:rPr>
          <w:rFonts w:cs="Times New Roman"/>
        </w:rPr>
        <w:t>The court vacated the jury verdict and remanded for further proceedings while noting that given Finjan’s failure to present any other theory, the district court could decide it was too late to generate new damages evidence, in which case there might be no damages award at all.</w:t>
      </w:r>
    </w:p>
    <w:p w14:paraId="1AED4670" w14:textId="26CB97C6" w:rsidR="00736CFC" w:rsidRPr="00677ABE" w:rsidRDefault="00736CFC" w:rsidP="00CA2C0A">
      <w:pPr>
        <w:pStyle w:val="Heading3"/>
        <w:ind w:firstLine="0"/>
        <w:rPr>
          <w:rFonts w:cs="Times New Roman"/>
          <w:i w:val="0"/>
        </w:rPr>
      </w:pPr>
      <w:bookmarkStart w:id="150" w:name="_Toc516586585"/>
      <w:bookmarkStart w:id="151" w:name="_Toc531692784"/>
      <w:r w:rsidRPr="00677ABE">
        <w:rPr>
          <w:rFonts w:cs="Times New Roman"/>
        </w:rPr>
        <w:t>Exmark Manufacturing Co. Inc. v. Briggs &amp; Stratton Power Products Group, LLC</w:t>
      </w:r>
      <w:r w:rsidRPr="00677ABE">
        <w:rPr>
          <w:rFonts w:cs="Times New Roman"/>
          <w:i w:val="0"/>
        </w:rPr>
        <w:t>, No. 2016-2197, 2018 WL 385497 (Fed. Cir. Jan. 12, 2018)</w:t>
      </w:r>
      <w:bookmarkEnd w:id="150"/>
      <w:bookmarkEnd w:id="151"/>
    </w:p>
    <w:p w14:paraId="1BB40763" w14:textId="77777777" w:rsidR="00736CFC" w:rsidRPr="00677ABE" w:rsidRDefault="00736CFC" w:rsidP="00CA2C0A">
      <w:pPr>
        <w:rPr>
          <w:rFonts w:cs="Times New Roman"/>
          <w:lang w:eastAsia="x-none"/>
        </w:rPr>
      </w:pPr>
      <w:r w:rsidRPr="00677ABE">
        <w:rPr>
          <w:rFonts w:cs="Times New Roman"/>
          <w:lang w:eastAsia="x-none"/>
        </w:rPr>
        <w:tab/>
        <w:t>In this appeal from the District of Nebraska, the Federal Circuit vacated the jury’s damages award and remanded for a new trial on damages.</w:t>
      </w:r>
      <w:r w:rsidRPr="00677ABE">
        <w:rPr>
          <w:rStyle w:val="FootnoteReference"/>
          <w:rFonts w:cs="Times New Roman"/>
          <w:lang w:eastAsia="x-none"/>
        </w:rPr>
        <w:footnoteReference w:id="636"/>
      </w:r>
    </w:p>
    <w:p w14:paraId="648C2C7E" w14:textId="77777777" w:rsidR="00736CFC" w:rsidRPr="00677ABE" w:rsidRDefault="00736CFC" w:rsidP="00CA2C0A">
      <w:pPr>
        <w:rPr>
          <w:rFonts w:cs="Times New Roman"/>
        </w:rPr>
      </w:pPr>
      <w:r w:rsidRPr="00677ABE">
        <w:rPr>
          <w:rFonts w:cs="Times New Roman"/>
          <w:lang w:eastAsia="x-none"/>
        </w:rPr>
        <w:tab/>
      </w:r>
      <w:r w:rsidRPr="00677ABE">
        <w:rPr>
          <w:rFonts w:cs="Times New Roman"/>
          <w:b/>
          <w:lang w:eastAsia="x-none"/>
        </w:rPr>
        <w:t>Royalty Base</w:t>
      </w:r>
      <w:r w:rsidRPr="00677ABE">
        <w:rPr>
          <w:rFonts w:cs="Times New Roman"/>
          <w:lang w:eastAsia="x-none"/>
        </w:rPr>
        <w:t xml:space="preserve">: </w:t>
      </w:r>
      <w:r w:rsidRPr="00677ABE">
        <w:rPr>
          <w:rFonts w:cs="Times New Roman"/>
        </w:rPr>
        <w:t>Although the asserted claim is broadly directed to a lawn mower, the patented invention is clearly directed to an improvement in the mower’s flow control baffle.</w:t>
      </w:r>
      <w:r w:rsidRPr="00677ABE">
        <w:rPr>
          <w:rStyle w:val="FootnoteReference"/>
          <w:rFonts w:cs="Times New Roman"/>
        </w:rPr>
        <w:footnoteReference w:id="637"/>
      </w:r>
      <w:r w:rsidRPr="00677ABE">
        <w:rPr>
          <w:rFonts w:cs="Times New Roman"/>
        </w:rPr>
        <w:t xml:space="preserve"> Briggs argued “that Exmark’s expert should have apportioned the value of the baffle from the other features of the mower through the royalty </w:t>
      </w:r>
      <w:r w:rsidRPr="00677ABE">
        <w:rPr>
          <w:rFonts w:cs="Times New Roman"/>
          <w:i/>
        </w:rPr>
        <w:t>base</w:t>
      </w:r>
      <w:r w:rsidRPr="00677ABE">
        <w:rPr>
          <w:rFonts w:cs="Times New Roman"/>
        </w:rPr>
        <w:t xml:space="preserve"> rather than the royalty </w:t>
      </w:r>
      <w:r w:rsidRPr="00677ABE">
        <w:rPr>
          <w:rFonts w:cs="Times New Roman"/>
          <w:i/>
        </w:rPr>
        <w:t>rate</w:t>
      </w:r>
      <w:r w:rsidRPr="00677ABE">
        <w:rPr>
          <w:rFonts w:cs="Times New Roman"/>
        </w:rPr>
        <w:t>.”</w:t>
      </w:r>
      <w:r w:rsidRPr="00677ABE">
        <w:rPr>
          <w:rStyle w:val="FootnoteReference"/>
          <w:rFonts w:cs="Times New Roman"/>
        </w:rPr>
        <w:footnoteReference w:id="638"/>
      </w:r>
      <w:r w:rsidRPr="00677ABE">
        <w:rPr>
          <w:rFonts w:cs="Times New Roman"/>
        </w:rPr>
        <w:t xml:space="preserve"> The Federal Circuit disagreed, finding that “[s]o long as Exmark adequately and reliably apportions between the improved and conventional features of the accused mower, using the accused mower as a royalty base and apportioning through the royalty rate is an acceptable methodology.”</w:t>
      </w:r>
      <w:r w:rsidRPr="00677ABE">
        <w:rPr>
          <w:rStyle w:val="FootnoteReference"/>
          <w:rFonts w:cs="Times New Roman"/>
        </w:rPr>
        <w:footnoteReference w:id="639"/>
      </w:r>
      <w:r w:rsidRPr="00677ABE">
        <w:rPr>
          <w:rFonts w:cs="Times New Roman"/>
        </w:rPr>
        <w:t xml:space="preserve"> The court noted that “[u]sing the accused lawn mower sales as the royalty base is particularly appropriate in this case because the asserted claim is . . . directed to the lawn mower as a whole.”</w:t>
      </w:r>
      <w:r w:rsidRPr="00677ABE">
        <w:rPr>
          <w:rStyle w:val="FootnoteReference"/>
          <w:rFonts w:cs="Times New Roman"/>
        </w:rPr>
        <w:footnoteReference w:id="640"/>
      </w:r>
      <w:r w:rsidRPr="00677ABE">
        <w:rPr>
          <w:rFonts w:cs="Times New Roman"/>
        </w:rPr>
        <w:t xml:space="preserve"> Moreover, using the accused lawn mower sales as the royalty based is consistent with the realities of a hypothetical negotiation, because the lawn mower is the actual commercial product.</w:t>
      </w:r>
      <w:r w:rsidRPr="00677ABE">
        <w:rPr>
          <w:rStyle w:val="FootnoteReference"/>
          <w:rFonts w:cs="Times New Roman"/>
        </w:rPr>
        <w:footnoteReference w:id="641"/>
      </w:r>
    </w:p>
    <w:p w14:paraId="7093BB35" w14:textId="77777777" w:rsidR="00736CFC" w:rsidRPr="00677ABE" w:rsidRDefault="00736CFC" w:rsidP="00CA2C0A">
      <w:pPr>
        <w:rPr>
          <w:rFonts w:cs="Times New Roman"/>
        </w:rPr>
      </w:pPr>
      <w:r w:rsidRPr="00677ABE">
        <w:rPr>
          <w:rFonts w:cs="Times New Roman"/>
          <w:lang w:eastAsia="x-none"/>
        </w:rPr>
        <w:tab/>
      </w:r>
      <w:r w:rsidRPr="00677ABE">
        <w:rPr>
          <w:rFonts w:cs="Times New Roman"/>
          <w:b/>
          <w:lang w:eastAsia="x-none"/>
        </w:rPr>
        <w:t>Exmark’s Damages Expert’s Opinion</w:t>
      </w:r>
      <w:r w:rsidRPr="00677ABE">
        <w:rPr>
          <w:rFonts w:cs="Times New Roman"/>
          <w:lang w:eastAsia="x-none"/>
        </w:rPr>
        <w:t>: The Federal Circuit held that the district court erred by not excluding Exmark’s damages expert’s opinion because the expert simply “plucked the 5% royalty rate out of nowhere.”</w:t>
      </w:r>
      <w:r w:rsidRPr="00677ABE">
        <w:rPr>
          <w:rStyle w:val="FootnoteReference"/>
          <w:rFonts w:cs="Times New Roman"/>
          <w:lang w:eastAsia="x-none"/>
        </w:rPr>
        <w:footnoteReference w:id="642"/>
      </w:r>
      <w:r w:rsidRPr="00677ABE">
        <w:rPr>
          <w:rFonts w:cs="Times New Roman"/>
          <w:lang w:eastAsia="x-none"/>
        </w:rPr>
        <w:t xml:space="preserve"> Exmark’s expert determined “with little explanation” that the appropriate royalty rate was 5%.</w:t>
      </w:r>
      <w:r w:rsidRPr="00677ABE">
        <w:rPr>
          <w:rStyle w:val="FootnoteReference"/>
          <w:rFonts w:cs="Times New Roman"/>
          <w:lang w:eastAsia="x-none"/>
        </w:rPr>
        <w:footnoteReference w:id="643"/>
      </w:r>
      <w:r w:rsidRPr="00677ABE">
        <w:rPr>
          <w:rFonts w:cs="Times New Roman"/>
          <w:lang w:eastAsia="x-none"/>
        </w:rPr>
        <w:t xml:space="preserve"> </w:t>
      </w:r>
      <w:r w:rsidRPr="00677ABE">
        <w:rPr>
          <w:rFonts w:cs="Times New Roman"/>
        </w:rPr>
        <w:t xml:space="preserve">The expert did not tie the </w:t>
      </w:r>
      <w:r w:rsidRPr="00677ABE">
        <w:rPr>
          <w:rFonts w:cs="Times New Roman"/>
          <w:i/>
        </w:rPr>
        <w:t>Georgia-Pacific</w:t>
      </w:r>
      <w:r w:rsidRPr="00677ABE">
        <w:rPr>
          <w:rFonts w:cs="Times New Roman"/>
        </w:rPr>
        <w:t xml:space="preserve"> factors to the 5% royalty rate or explain how the royalty rate was calculated.</w:t>
      </w:r>
      <w:r w:rsidRPr="00677ABE">
        <w:rPr>
          <w:rStyle w:val="FootnoteReference"/>
          <w:rFonts w:cs="Times New Roman"/>
        </w:rPr>
        <w:footnoteReference w:id="644"/>
      </w:r>
      <w:r w:rsidRPr="00677ABE">
        <w:rPr>
          <w:rFonts w:cs="Times New Roman"/>
        </w:rPr>
        <w:t xml:space="preserve"> Rather, the expert only described the advantages of the patented invention and how those advantages were relevant to the ninth and tenth </w:t>
      </w:r>
      <w:r w:rsidRPr="00677ABE">
        <w:rPr>
          <w:rFonts w:cs="Times New Roman"/>
          <w:i/>
        </w:rPr>
        <w:t>Georgia-Pacific</w:t>
      </w:r>
      <w:r w:rsidRPr="00677ABE">
        <w:rPr>
          <w:rFonts w:cs="Times New Roman"/>
        </w:rPr>
        <w:t xml:space="preserve"> factors.</w:t>
      </w:r>
      <w:r w:rsidRPr="00677ABE">
        <w:rPr>
          <w:rStyle w:val="FootnoteReference"/>
          <w:rFonts w:cs="Times New Roman"/>
        </w:rPr>
        <w:footnoteReference w:id="645"/>
      </w:r>
      <w:r w:rsidRPr="00677ABE">
        <w:rPr>
          <w:rFonts w:cs="Times New Roman"/>
        </w:rPr>
        <w:t xml:space="preserve"> But “[t]his told the jury nothing more than that the patented technology was important and commercially successful.”</w:t>
      </w:r>
      <w:r w:rsidRPr="00677ABE">
        <w:rPr>
          <w:rStyle w:val="FootnoteReference"/>
          <w:rFonts w:cs="Times New Roman"/>
        </w:rPr>
        <w:footnoteReference w:id="646"/>
      </w:r>
    </w:p>
    <w:p w14:paraId="6E81CD7F" w14:textId="77777777" w:rsidR="00736CFC" w:rsidRPr="00677ABE" w:rsidRDefault="00736CFC" w:rsidP="00CA2C0A">
      <w:pPr>
        <w:rPr>
          <w:rFonts w:cs="Times New Roman"/>
        </w:rPr>
      </w:pPr>
      <w:r w:rsidRPr="00677ABE">
        <w:rPr>
          <w:rFonts w:cs="Times New Roman"/>
          <w:lang w:eastAsia="x-none"/>
        </w:rPr>
        <w:tab/>
        <w:t xml:space="preserve">Yet another </w:t>
      </w:r>
      <w:r w:rsidRPr="00677ABE">
        <w:rPr>
          <w:rFonts w:cs="Times New Roman"/>
        </w:rPr>
        <w:t>problem was that the expert simply ignored the defendants’ relevant patented technology and “opin[ed] without support that [their patented technology] do[es] not relate to the quality of cut, which [is] ‘paramount’ to selling mowers.”</w:t>
      </w:r>
      <w:r w:rsidRPr="00677ABE">
        <w:rPr>
          <w:rStyle w:val="FootnoteReference"/>
          <w:rFonts w:cs="Times New Roman"/>
        </w:rPr>
        <w:footnoteReference w:id="647"/>
      </w:r>
      <w:r w:rsidRPr="00677ABE">
        <w:rPr>
          <w:rFonts w:cs="Times New Roman"/>
        </w:rPr>
        <w:t xml:space="preserve"> The court was “skeptical that other patented components of the mower bear no relation to the overall value of the accused mowers.”</w:t>
      </w:r>
      <w:r w:rsidRPr="00677ABE">
        <w:rPr>
          <w:rStyle w:val="FootnoteReference"/>
          <w:rFonts w:cs="Times New Roman"/>
        </w:rPr>
        <w:footnoteReference w:id="648"/>
      </w:r>
      <w:r w:rsidRPr="00677ABE">
        <w:rPr>
          <w:rFonts w:cs="Times New Roman"/>
        </w:rPr>
        <w:t xml:space="preserve"> But “[e]ven assuming, however, that they do not, the expert was required to support her opinion to that effect with sound economic reasoning.”</w:t>
      </w:r>
      <w:r w:rsidRPr="00677ABE">
        <w:rPr>
          <w:rStyle w:val="FootnoteReference"/>
          <w:rFonts w:cs="Times New Roman"/>
        </w:rPr>
        <w:footnoteReference w:id="649"/>
      </w:r>
    </w:p>
    <w:p w14:paraId="1AE9B40A" w14:textId="77777777" w:rsidR="00F20B84" w:rsidRDefault="00736CFC" w:rsidP="00CA2C0A">
      <w:pPr>
        <w:rPr>
          <w:rFonts w:cs="Times New Roman"/>
          <w:lang w:eastAsia="x-none"/>
        </w:rPr>
      </w:pPr>
      <w:r w:rsidRPr="00677ABE">
        <w:rPr>
          <w:rFonts w:cs="Times New Roman"/>
          <w:lang w:eastAsia="x-none"/>
        </w:rPr>
        <w:tab/>
        <w:t xml:space="preserve">The Federal Circuit also held that </w:t>
      </w:r>
      <w:r w:rsidRPr="00677ABE">
        <w:rPr>
          <w:rFonts w:cs="Times New Roman"/>
        </w:rPr>
        <w:t>“the district court abused its discretion by holding that prior art is relevant to damages only to the extent the prior art was commercialized,” because uncommercialized prior art is material to determining to what extent the asserted patent provides utility over the prior art</w:t>
      </w:r>
      <w:r w:rsidRPr="00677ABE">
        <w:rPr>
          <w:rFonts w:cs="Times New Roman"/>
          <w:lang w:eastAsia="x-none"/>
        </w:rPr>
        <w:t>.</w:t>
      </w:r>
      <w:r w:rsidRPr="00677ABE">
        <w:rPr>
          <w:rStyle w:val="FootnoteReference"/>
          <w:rFonts w:cs="Times New Roman"/>
          <w:lang w:eastAsia="x-none"/>
        </w:rPr>
        <w:footnoteReference w:id="650"/>
      </w:r>
      <w:r w:rsidRPr="00677ABE">
        <w:rPr>
          <w:rFonts w:cs="Times New Roman"/>
          <w:lang w:eastAsia="x-none"/>
        </w:rPr>
        <w:t xml:space="preserve"> </w:t>
      </w:r>
    </w:p>
    <w:p w14:paraId="0F211A8F" w14:textId="33A9FA07" w:rsidR="005721AA" w:rsidRPr="00677ABE" w:rsidRDefault="005721AA" w:rsidP="00CA2C0A">
      <w:pPr>
        <w:pStyle w:val="Heading3"/>
        <w:ind w:firstLine="0"/>
        <w:rPr>
          <w:rFonts w:cs="Times New Roman"/>
        </w:rPr>
      </w:pPr>
      <w:bookmarkStart w:id="152" w:name="_Toc531692785"/>
      <w:r w:rsidRPr="00677ABE">
        <w:rPr>
          <w:rFonts w:cs="Times New Roman"/>
        </w:rPr>
        <w:t>Power Integrations, Inc.</w:t>
      </w:r>
      <w:r w:rsidR="00712C22" w:rsidRPr="00677ABE">
        <w:rPr>
          <w:rFonts w:cs="Times New Roman"/>
        </w:rPr>
        <w:t xml:space="preserve"> v. </w:t>
      </w:r>
      <w:r w:rsidRPr="00677ABE">
        <w:rPr>
          <w:rFonts w:cs="Times New Roman"/>
        </w:rPr>
        <w:t>Fairchild Semiconductor Int’l, Inc.</w:t>
      </w:r>
      <w:r w:rsidRPr="00677ABE">
        <w:rPr>
          <w:rFonts w:cs="Times New Roman"/>
          <w:i w:val="0"/>
        </w:rPr>
        <w:t xml:space="preserve">, </w:t>
      </w:r>
      <w:r w:rsidR="007B7CE1" w:rsidRPr="00677ABE">
        <w:rPr>
          <w:rFonts w:cs="Times New Roman"/>
          <w:i w:val="0"/>
        </w:rPr>
        <w:t>Nos. 2016-2691 &amp;</w:t>
      </w:r>
      <w:r w:rsidRPr="00677ABE">
        <w:rPr>
          <w:rFonts w:cs="Times New Roman"/>
          <w:i w:val="0"/>
        </w:rPr>
        <w:t xml:space="preserve"> 2017-1875, 2018 WL 4501536 (Fed. Cir. </w:t>
      </w:r>
      <w:r w:rsidR="002B3CF9" w:rsidRPr="00677ABE">
        <w:rPr>
          <w:rFonts w:cs="Times New Roman"/>
          <w:i w:val="0"/>
        </w:rPr>
        <w:t>July </w:t>
      </w:r>
      <w:r w:rsidRPr="00677ABE">
        <w:rPr>
          <w:rFonts w:cs="Times New Roman"/>
          <w:i w:val="0"/>
        </w:rPr>
        <w:t xml:space="preserve">3, 2018, modified </w:t>
      </w:r>
      <w:r w:rsidR="002B3CF9" w:rsidRPr="00677ABE">
        <w:rPr>
          <w:rFonts w:cs="Times New Roman"/>
          <w:i w:val="0"/>
        </w:rPr>
        <w:t>Sept. </w:t>
      </w:r>
      <w:r w:rsidRPr="00677ABE">
        <w:rPr>
          <w:rFonts w:cs="Times New Roman"/>
          <w:i w:val="0"/>
        </w:rPr>
        <w:t>20</w:t>
      </w:r>
      <w:r w:rsidR="007D6127" w:rsidRPr="00677ABE">
        <w:rPr>
          <w:rFonts w:cs="Times New Roman"/>
          <w:i w:val="0"/>
        </w:rPr>
        <w:t>, 2018)</w:t>
      </w:r>
      <w:bookmarkEnd w:id="152"/>
      <w:r w:rsidRPr="00677ABE">
        <w:rPr>
          <w:rFonts w:cs="Times New Roman"/>
          <w:i w:val="0"/>
        </w:rPr>
        <w:t xml:space="preserve"> </w:t>
      </w:r>
    </w:p>
    <w:p w14:paraId="3EAF8D3C" w14:textId="7B810E56" w:rsidR="005721AA" w:rsidRPr="00677ABE" w:rsidRDefault="005721AA" w:rsidP="00CA2C0A">
      <w:pPr>
        <w:rPr>
          <w:rFonts w:cs="Times New Roman"/>
        </w:rPr>
      </w:pPr>
      <w:r w:rsidRPr="00677ABE">
        <w:rPr>
          <w:rFonts w:cs="Times New Roman"/>
        </w:rPr>
        <w:tab/>
        <w:t xml:space="preserve">In this appeal from the Northern District of California, the Federal Circuit affirmed infringement but vacated the </w:t>
      </w:r>
      <w:r w:rsidR="007D6127" w:rsidRPr="00677ABE">
        <w:rPr>
          <w:rFonts w:cs="Times New Roman"/>
        </w:rPr>
        <w:t xml:space="preserve">awarded </w:t>
      </w:r>
      <w:r w:rsidRPr="00677ABE">
        <w:rPr>
          <w:rFonts w:cs="Times New Roman"/>
        </w:rPr>
        <w:t>damages, holding the entire market value rule could not be used because Power Integrations failed to show that the patented feature was the sole driver of demand for the device.</w:t>
      </w:r>
      <w:r w:rsidRPr="00677ABE">
        <w:rPr>
          <w:rStyle w:val="FootnoteReference"/>
          <w:rFonts w:cs="Times New Roman"/>
        </w:rPr>
        <w:footnoteReference w:id="651"/>
      </w:r>
    </w:p>
    <w:p w14:paraId="6FCA1594" w14:textId="210FFAF2" w:rsidR="005721AA" w:rsidRPr="00677ABE" w:rsidRDefault="005721AA" w:rsidP="00CA2C0A">
      <w:pPr>
        <w:rPr>
          <w:rFonts w:cs="Times New Roman"/>
        </w:rPr>
      </w:pPr>
      <w:r w:rsidRPr="00677ABE">
        <w:rPr>
          <w:rFonts w:cs="Times New Roman"/>
        </w:rPr>
        <w:tab/>
        <w:t>At trial, Power Integrations showed Fairchild infringed a patent related to DC power-switching regulators.</w:t>
      </w:r>
      <w:r w:rsidRPr="00677ABE">
        <w:rPr>
          <w:rStyle w:val="FootnoteReference"/>
          <w:rFonts w:cs="Times New Roman"/>
          <w:color w:val="000000" w:themeColor="text1"/>
        </w:rPr>
        <w:footnoteReference w:id="652"/>
      </w:r>
      <w:r w:rsidRPr="00677ABE">
        <w:rPr>
          <w:rFonts w:cs="Times New Roman"/>
        </w:rPr>
        <w:t xml:space="preserve"> At the damages phase,</w:t>
      </w:r>
      <w:r w:rsidRPr="00677ABE">
        <w:rPr>
          <w:rStyle w:val="FootnoteReference"/>
          <w:rFonts w:cs="Times New Roman"/>
        </w:rPr>
        <w:footnoteReference w:id="653"/>
      </w:r>
      <w:r w:rsidRPr="00677ABE">
        <w:rPr>
          <w:rFonts w:cs="Times New Roman"/>
        </w:rPr>
        <w:t xml:space="preserve"> the jury awarded a reasonable royalty of $139.8 million based on the entire market value rule.</w:t>
      </w:r>
      <w:r w:rsidRPr="00677ABE">
        <w:rPr>
          <w:rStyle w:val="FootnoteReference"/>
          <w:rFonts w:cs="Times New Roman"/>
        </w:rPr>
        <w:footnoteReference w:id="654"/>
      </w:r>
    </w:p>
    <w:p w14:paraId="03A0AE2A" w14:textId="77777777" w:rsidR="00F20B84" w:rsidRDefault="005721AA" w:rsidP="00CA2C0A">
      <w:pPr>
        <w:rPr>
          <w:rFonts w:cs="Times New Roman"/>
        </w:rPr>
      </w:pPr>
      <w:r w:rsidRPr="00677ABE">
        <w:rPr>
          <w:rFonts w:cs="Times New Roman"/>
        </w:rPr>
        <w:tab/>
        <w:t xml:space="preserve">On appeal, the Federal Circuit </w:t>
      </w:r>
      <w:r w:rsidR="004D077B" w:rsidRPr="00677ABE">
        <w:rPr>
          <w:rFonts w:cs="Times New Roman"/>
        </w:rPr>
        <w:t>held the district court had erred in using the entire market value rule.</w:t>
      </w:r>
      <w:r w:rsidR="004D077B" w:rsidRPr="00677ABE">
        <w:rPr>
          <w:rStyle w:val="FootnoteReference"/>
          <w:rFonts w:cs="Times New Roman"/>
        </w:rPr>
        <w:footnoteReference w:id="655"/>
      </w:r>
      <w:r w:rsidR="00BC1480" w:rsidRPr="00677ABE">
        <w:rPr>
          <w:rFonts w:cs="Times New Roman"/>
        </w:rPr>
        <w:t xml:space="preserve"> </w:t>
      </w:r>
      <w:r w:rsidRPr="00677ABE">
        <w:rPr>
          <w:rFonts w:cs="Times New Roman"/>
          <w:color w:val="000000" w:themeColor="text1"/>
        </w:rPr>
        <w:t>Generally, a reasonable royalty must be apportioned to cover only the patented component, even where smaller than the smallest saleable unit.</w:t>
      </w:r>
      <w:r w:rsidRPr="00677ABE">
        <w:rPr>
          <w:rStyle w:val="FootnoteReference"/>
          <w:rFonts w:cs="Times New Roman"/>
          <w:color w:val="000000" w:themeColor="text1"/>
        </w:rPr>
        <w:footnoteReference w:id="656"/>
      </w:r>
      <w:r w:rsidRPr="00677ABE">
        <w:rPr>
          <w:rFonts w:cs="Times New Roman"/>
          <w:color w:val="000000" w:themeColor="text1"/>
        </w:rPr>
        <w:t xml:space="preserve"> </w:t>
      </w:r>
      <w:r w:rsidRPr="00677ABE">
        <w:rPr>
          <w:rFonts w:cs="Times New Roman"/>
        </w:rPr>
        <w:t>An alternative award under the “entire market value rule is appropriate only when the patented feature is the sole driver of customer demand or substantially creates the value of the component parts.”</w:t>
      </w:r>
      <w:r w:rsidRPr="00677ABE">
        <w:rPr>
          <w:rStyle w:val="FootnoteReference"/>
          <w:rFonts w:cs="Times New Roman"/>
        </w:rPr>
        <w:footnoteReference w:id="657"/>
      </w:r>
      <w:r w:rsidRPr="00677ABE">
        <w:rPr>
          <w:rFonts w:cs="Times New Roman"/>
        </w:rPr>
        <w:t xml:space="preserve"> </w:t>
      </w:r>
      <w:r w:rsidR="004D077B" w:rsidRPr="00677ABE">
        <w:rPr>
          <w:rFonts w:cs="Times New Roman"/>
        </w:rPr>
        <w:t>“[T]</w:t>
      </w:r>
      <w:r w:rsidRPr="00677ABE">
        <w:rPr>
          <w:rFonts w:cs="Times New Roman"/>
        </w:rPr>
        <w:t xml:space="preserve">he patentee must prove that </w:t>
      </w:r>
      <w:r w:rsidR="004D077B" w:rsidRPr="00677ABE">
        <w:rPr>
          <w:rFonts w:cs="Times New Roman"/>
        </w:rPr>
        <w:t>[other valuable]</w:t>
      </w:r>
      <w:r w:rsidRPr="00677ABE">
        <w:rPr>
          <w:rFonts w:cs="Times New Roman"/>
        </w:rPr>
        <w:t xml:space="preserve"> features do not cause consumers to purchase the product.”</w:t>
      </w:r>
      <w:r w:rsidRPr="00677ABE">
        <w:rPr>
          <w:rStyle w:val="FootnoteReference"/>
          <w:rFonts w:cs="Times New Roman"/>
        </w:rPr>
        <w:footnoteReference w:id="658"/>
      </w:r>
      <w:r w:rsidRPr="00677ABE">
        <w:rPr>
          <w:rFonts w:cs="Times New Roman"/>
        </w:rPr>
        <w:t xml:space="preserve"> Here, the parties stipulated that other valuable features existed, but Power Integrations did not show that these features did not drive demand—indeed, it previously had won damages related to another feature in the same device.</w:t>
      </w:r>
      <w:r w:rsidRPr="00677ABE">
        <w:rPr>
          <w:rStyle w:val="FootnoteReference"/>
          <w:rFonts w:cs="Times New Roman"/>
        </w:rPr>
        <w:footnoteReference w:id="659"/>
      </w:r>
      <w:r w:rsidRPr="00677ABE">
        <w:rPr>
          <w:rFonts w:cs="Times New Roman"/>
        </w:rPr>
        <w:t xml:space="preserve"> </w:t>
      </w:r>
      <w:r w:rsidR="004D077B" w:rsidRPr="00677ABE">
        <w:rPr>
          <w:rFonts w:cs="Times New Roman"/>
        </w:rPr>
        <w:t>T</w:t>
      </w:r>
      <w:r w:rsidRPr="00677ABE">
        <w:rPr>
          <w:rFonts w:cs="Times New Roman"/>
        </w:rPr>
        <w:t>he</w:t>
      </w:r>
      <w:r w:rsidR="004D077B" w:rsidRPr="00677ABE">
        <w:rPr>
          <w:rFonts w:cs="Times New Roman"/>
        </w:rPr>
        <w:t xml:space="preserve"> court vacated the damage award and remanded.</w:t>
      </w:r>
      <w:r w:rsidRPr="00677ABE">
        <w:rPr>
          <w:rFonts w:cs="Times New Roman"/>
        </w:rPr>
        <w:t xml:space="preserve"> </w:t>
      </w:r>
    </w:p>
    <w:p w14:paraId="17D81601" w14:textId="12ACA0C7" w:rsidR="00187DAE" w:rsidRPr="00677ABE" w:rsidRDefault="00187DAE" w:rsidP="00CA2C0A">
      <w:pPr>
        <w:pStyle w:val="Heading3"/>
        <w:tabs>
          <w:tab w:val="left" w:pos="600"/>
        </w:tabs>
        <w:ind w:firstLine="0"/>
        <w:rPr>
          <w:rFonts w:cs="Times New Roman"/>
          <w:i w:val="0"/>
        </w:rPr>
      </w:pPr>
      <w:bookmarkStart w:id="153" w:name="_Toc531692786"/>
      <w:r w:rsidRPr="00677ABE">
        <w:rPr>
          <w:rFonts w:cs="Times New Roman"/>
        </w:rPr>
        <w:t>WesternGeco LLC v. Ion Geophysical Corp.</w:t>
      </w:r>
      <w:r w:rsidRPr="00677ABE">
        <w:rPr>
          <w:rFonts w:cs="Times New Roman"/>
          <w:i w:val="0"/>
        </w:rPr>
        <w:t>, 138 S.Ct. 2129 (June 22, 2018)</w:t>
      </w:r>
      <w:bookmarkEnd w:id="153"/>
    </w:p>
    <w:p w14:paraId="0325D713" w14:textId="65C5395B" w:rsidR="00187DAE" w:rsidRPr="00677ABE" w:rsidRDefault="00187DAE" w:rsidP="00CA2C0A">
      <w:pPr>
        <w:ind w:firstLine="720"/>
        <w:rPr>
          <w:rFonts w:cs="Times New Roman"/>
        </w:rPr>
      </w:pPr>
      <w:r w:rsidRPr="00677ABE">
        <w:rPr>
          <w:rFonts w:cs="Times New Roman"/>
        </w:rPr>
        <w:t xml:space="preserve">In this appeal from the Federal Circuit, the Supreme Court held that a patent owner who proves that a U.S. exporter of components infringed under </w:t>
      </w:r>
      <w:r w:rsidR="00AC00E6">
        <w:rPr>
          <w:rFonts w:cs="Times New Roman"/>
        </w:rPr>
        <w:t>§ </w:t>
      </w:r>
      <w:r w:rsidRPr="00677ABE">
        <w:rPr>
          <w:rFonts w:cs="Times New Roman"/>
        </w:rPr>
        <w:t>271(f)(2) can collect lost foreign profits—including on uses</w:t>
      </w:r>
      <w:r w:rsidR="00BC1480" w:rsidRPr="00677ABE">
        <w:rPr>
          <w:rFonts w:cs="Times New Roman"/>
        </w:rPr>
        <w:t xml:space="preserve"> outside the U.S.</w:t>
      </w:r>
      <w:r w:rsidRPr="00677ABE">
        <w:rPr>
          <w:rFonts w:cs="Times New Roman"/>
        </w:rPr>
        <w:t xml:space="preserve">—as part of her damages under </w:t>
      </w:r>
      <w:r w:rsidR="00AC00E6">
        <w:rPr>
          <w:rFonts w:cs="Times New Roman"/>
        </w:rPr>
        <w:t>§ </w:t>
      </w:r>
      <w:r w:rsidRPr="00677ABE">
        <w:rPr>
          <w:rFonts w:cs="Times New Roman"/>
        </w:rPr>
        <w:t>284.</w:t>
      </w:r>
      <w:r w:rsidRPr="00677ABE">
        <w:rPr>
          <w:rStyle w:val="FootnoteReference"/>
          <w:rFonts w:cs="Times New Roman"/>
        </w:rPr>
        <w:footnoteReference w:id="660"/>
      </w:r>
      <w:r w:rsidR="00AC00E6">
        <w:rPr>
          <w:rFonts w:cs="Times New Roman"/>
        </w:rPr>
        <w:t xml:space="preserve"> </w:t>
      </w:r>
    </w:p>
    <w:p w14:paraId="5DB89817" w14:textId="1C8B402A" w:rsidR="00187DAE" w:rsidRPr="00677ABE" w:rsidRDefault="00187DAE" w:rsidP="00CA2C0A">
      <w:pPr>
        <w:ind w:firstLine="720"/>
        <w:rPr>
          <w:rFonts w:cs="Times New Roman"/>
        </w:rPr>
      </w:pPr>
      <w:r w:rsidRPr="00677ABE">
        <w:rPr>
          <w:rFonts w:cs="Times New Roman"/>
        </w:rPr>
        <w:t>The case concerned patents related to surveying sea floors, which WesternGeco used exclusively.</w:t>
      </w:r>
      <w:r w:rsidRPr="00677ABE">
        <w:rPr>
          <w:rStyle w:val="FootnoteReference"/>
          <w:rFonts w:cs="Times New Roman"/>
        </w:rPr>
        <w:footnoteReference w:id="661"/>
      </w:r>
      <w:r w:rsidRPr="00677ABE">
        <w:rPr>
          <w:rFonts w:cs="Times New Roman"/>
        </w:rPr>
        <w:t xml:space="preserve"> ION Geophysical introduced an indistinguishable survey system by producing infringing components in the United States and exporting them for assembly.</w:t>
      </w:r>
      <w:r w:rsidRPr="00677ABE">
        <w:rPr>
          <w:rStyle w:val="FootnoteReference"/>
          <w:rFonts w:cs="Times New Roman"/>
        </w:rPr>
        <w:footnoteReference w:id="662"/>
      </w:r>
      <w:r w:rsidRPr="00677ABE">
        <w:rPr>
          <w:rFonts w:cs="Times New Roman"/>
        </w:rPr>
        <w:t xml:space="preserve"> WesternGeco sued under </w:t>
      </w:r>
      <w:r w:rsidR="00AC00E6">
        <w:rPr>
          <w:rFonts w:cs="Times New Roman"/>
        </w:rPr>
        <w:t>§ </w:t>
      </w:r>
      <w:r w:rsidRPr="00677ABE">
        <w:rPr>
          <w:rFonts w:cs="Times New Roman"/>
        </w:rPr>
        <w:t>271(f) and was awarded “$93.4 million in lost profits from uses in 10 foreign surveys [and] $12.5 million in royalties for 2,500 U.S.-made products.”</w:t>
      </w:r>
      <w:r w:rsidRPr="00677ABE">
        <w:rPr>
          <w:rStyle w:val="FootnoteReference"/>
          <w:rFonts w:cs="Times New Roman"/>
        </w:rPr>
        <w:footnoteReference w:id="663"/>
      </w:r>
      <w:r w:rsidRPr="00677ABE">
        <w:rPr>
          <w:rFonts w:cs="Times New Roman"/>
        </w:rPr>
        <w:t xml:space="preserve"> ION moved to set aside the verdict, arguing </w:t>
      </w:r>
      <w:r w:rsidR="00AC00E6">
        <w:rPr>
          <w:rFonts w:cs="Times New Roman"/>
        </w:rPr>
        <w:t>§ </w:t>
      </w:r>
      <w:r w:rsidRPr="00677ABE">
        <w:rPr>
          <w:rFonts w:cs="Times New Roman"/>
        </w:rPr>
        <w:t>271(f) does not apply extraterritorially.</w:t>
      </w:r>
      <w:r w:rsidRPr="00677ABE">
        <w:rPr>
          <w:rStyle w:val="FootnoteReference"/>
          <w:rFonts w:cs="Times New Roman"/>
        </w:rPr>
        <w:footnoteReference w:id="664"/>
      </w:r>
      <w:r w:rsidRPr="00677ABE">
        <w:rPr>
          <w:rFonts w:cs="Times New Roman"/>
        </w:rPr>
        <w:t xml:space="preserve"> The Southern District of Texas denied the motion; the Federal Circuit reversed on appeal; the Supreme Court vacated and remanded; the Federal Circuit reinstated its holding; and the Supreme Court granted certiorari again.</w:t>
      </w:r>
      <w:r w:rsidRPr="00677ABE">
        <w:rPr>
          <w:rStyle w:val="FootnoteReference"/>
          <w:rFonts w:cs="Times New Roman"/>
        </w:rPr>
        <w:footnoteReference w:id="665"/>
      </w:r>
    </w:p>
    <w:p w14:paraId="0DAFA04C" w14:textId="35E31B6F" w:rsidR="00187DAE" w:rsidRPr="00677ABE" w:rsidRDefault="00187DAE" w:rsidP="00CA2C0A">
      <w:pPr>
        <w:rPr>
          <w:rFonts w:cs="Times New Roman"/>
        </w:rPr>
      </w:pPr>
      <w:r w:rsidRPr="00677ABE">
        <w:rPr>
          <w:rFonts w:cs="Times New Roman"/>
        </w:rPr>
        <w:tab/>
        <w:t>On appeal, the Supreme Court reversed and remanded.</w:t>
      </w:r>
      <w:r w:rsidRPr="00677ABE">
        <w:rPr>
          <w:rStyle w:val="FootnoteReference"/>
          <w:rFonts w:cs="Times New Roman"/>
        </w:rPr>
        <w:footnoteReference w:id="666"/>
      </w:r>
      <w:r w:rsidRPr="00677ABE">
        <w:rPr>
          <w:rFonts w:cs="Times New Roman"/>
        </w:rPr>
        <w:t xml:space="preserve"> Federal statutes presumptively apply only in the territorial jurisdiction of the United States.</w:t>
      </w:r>
      <w:r w:rsidRPr="00677ABE">
        <w:rPr>
          <w:rStyle w:val="FootnoteReference"/>
          <w:rFonts w:cs="Times New Roman"/>
        </w:rPr>
        <w:footnoteReference w:id="667"/>
      </w:r>
      <w:r w:rsidRPr="00677ABE">
        <w:rPr>
          <w:rFonts w:cs="Times New Roman"/>
        </w:rPr>
        <w:t xml:space="preserve"> Courts may apply </w:t>
      </w:r>
      <w:r w:rsidR="00BC1480" w:rsidRPr="00677ABE">
        <w:rPr>
          <w:rFonts w:cs="Times New Roman"/>
        </w:rPr>
        <w:t xml:space="preserve">U.S. </w:t>
      </w:r>
      <w:r w:rsidRPr="00677ABE">
        <w:rPr>
          <w:rFonts w:cs="Times New Roman"/>
        </w:rPr>
        <w:t>law to a case that initially appears extraterritorial if, first, a “clear indication of an extraterritorial application” in the statute rebuts the presumption,</w:t>
      </w:r>
      <w:r w:rsidRPr="00677ABE">
        <w:rPr>
          <w:rStyle w:val="FootnoteReference"/>
          <w:rFonts w:cs="Times New Roman"/>
        </w:rPr>
        <w:footnoteReference w:id="668"/>
      </w:r>
      <w:r w:rsidRPr="00677ABE">
        <w:rPr>
          <w:rFonts w:cs="Times New Roman"/>
        </w:rPr>
        <w:t xml:space="preserve"> or, second, “the case involves a domestic application of the statute.”</w:t>
      </w:r>
      <w:r w:rsidRPr="00677ABE">
        <w:rPr>
          <w:rStyle w:val="FootnoteReference"/>
          <w:rFonts w:cs="Times New Roman"/>
        </w:rPr>
        <w:footnoteReference w:id="669"/>
      </w:r>
      <w:r w:rsidRPr="00677ABE">
        <w:rPr>
          <w:rFonts w:cs="Times New Roman"/>
        </w:rPr>
        <w:t xml:space="preserve"> Here, the court exercised discretion to avoid the first question and only answer the second.</w:t>
      </w:r>
      <w:r w:rsidRPr="00677ABE">
        <w:rPr>
          <w:rStyle w:val="FootnoteReference"/>
          <w:rFonts w:cs="Times New Roman"/>
        </w:rPr>
        <w:footnoteReference w:id="670"/>
      </w:r>
      <w:r w:rsidRPr="00677ABE">
        <w:rPr>
          <w:rFonts w:cs="Times New Roman"/>
        </w:rPr>
        <w:t xml:space="preserve"> To answer it, the court determines the statute’s “focus</w:t>
      </w:r>
      <w:r w:rsidR="00BC1480" w:rsidRPr="00677ABE">
        <w:rPr>
          <w:rFonts w:cs="Times New Roman"/>
        </w:rPr>
        <w:t>.</w:t>
      </w:r>
      <w:r w:rsidRPr="00677ABE">
        <w:rPr>
          <w:rFonts w:cs="Times New Roman"/>
        </w:rPr>
        <w:t>”</w:t>
      </w:r>
      <w:r w:rsidR="00BC1480" w:rsidRPr="00677ABE">
        <w:rPr>
          <w:rFonts w:cs="Times New Roman"/>
        </w:rPr>
        <w:t xml:space="preserve"> I</w:t>
      </w:r>
      <w:r w:rsidRPr="00677ABE">
        <w:rPr>
          <w:rFonts w:cs="Times New Roman"/>
        </w:rPr>
        <w:t>f “conduct relevant to [that] focus occurred in the United States, then the case involves a permissible domestic application.”</w:t>
      </w:r>
      <w:r w:rsidRPr="00677ABE">
        <w:rPr>
          <w:rStyle w:val="FootnoteReference"/>
          <w:rFonts w:cs="Times New Roman"/>
        </w:rPr>
        <w:footnoteReference w:id="671"/>
      </w:r>
      <w:r w:rsidRPr="00677ABE">
        <w:rPr>
          <w:rFonts w:cs="Times New Roman"/>
        </w:rPr>
        <w:t xml:space="preserve"> “Here, the [foreign] damages themselves are merely the means by which the statute achieves its end of remedying [domestic] infringements.”</w:t>
      </w:r>
      <w:r w:rsidRPr="00677ABE">
        <w:rPr>
          <w:rStyle w:val="FootnoteReference"/>
          <w:rFonts w:cs="Times New Roman"/>
        </w:rPr>
        <w:footnoteReference w:id="672"/>
      </w:r>
      <w:r w:rsidRPr="00677ABE">
        <w:rPr>
          <w:rFonts w:cs="Times New Roman"/>
        </w:rPr>
        <w:t xml:space="preserve"> That is, the focus of </w:t>
      </w:r>
      <w:r w:rsidR="00AC00E6">
        <w:rPr>
          <w:rFonts w:cs="Times New Roman"/>
        </w:rPr>
        <w:t>§ </w:t>
      </w:r>
      <w:r w:rsidRPr="00677ABE">
        <w:rPr>
          <w:rFonts w:cs="Times New Roman"/>
        </w:rPr>
        <w:t>271(f)(2) is the domestic act of “suppl[ying] in or from the United States.”</w:t>
      </w:r>
      <w:r w:rsidRPr="00677ABE">
        <w:rPr>
          <w:rStyle w:val="FootnoteReference"/>
          <w:rFonts w:cs="Times New Roman"/>
        </w:rPr>
        <w:footnoteReference w:id="673"/>
      </w:r>
      <w:r w:rsidRPr="00677ABE">
        <w:rPr>
          <w:rFonts w:cs="Times New Roman"/>
        </w:rPr>
        <w:t xml:space="preserve"> And the “overriding purpose” of </w:t>
      </w:r>
      <w:r w:rsidR="00AC00E6">
        <w:rPr>
          <w:rFonts w:cs="Times New Roman"/>
        </w:rPr>
        <w:t>§ </w:t>
      </w:r>
      <w:r w:rsidRPr="00677ABE">
        <w:rPr>
          <w:rFonts w:cs="Times New Roman"/>
        </w:rPr>
        <w:t>284 is to “affor[d] patent owners complete compensation” for infringements.</w:t>
      </w:r>
      <w:r w:rsidRPr="00677ABE">
        <w:rPr>
          <w:rStyle w:val="FootnoteReference"/>
          <w:rFonts w:cs="Times New Roman"/>
        </w:rPr>
        <w:footnoteReference w:id="674"/>
      </w:r>
      <w:r w:rsidRPr="00677ABE">
        <w:rPr>
          <w:rFonts w:cs="Times New Roman"/>
        </w:rPr>
        <w:t xml:space="preserve"> Accordingly, joining the two, this “can include lost foreign profits . . . under </w:t>
      </w:r>
      <w:r w:rsidR="00AC00E6">
        <w:rPr>
          <w:rFonts w:cs="Times New Roman"/>
        </w:rPr>
        <w:t>§ </w:t>
      </w:r>
      <w:r w:rsidRPr="00677ABE">
        <w:rPr>
          <w:rFonts w:cs="Times New Roman"/>
        </w:rPr>
        <w:t>271(f)(2).</w:t>
      </w:r>
      <w:r w:rsidRPr="00677ABE">
        <w:rPr>
          <w:rStyle w:val="FootnoteReference"/>
          <w:rFonts w:cs="Times New Roman"/>
        </w:rPr>
        <w:footnoteReference w:id="675"/>
      </w:r>
      <w:r w:rsidRPr="00677ABE">
        <w:rPr>
          <w:rFonts w:cs="Times New Roman"/>
        </w:rPr>
        <w:t xml:space="preserve"> </w:t>
      </w:r>
    </w:p>
    <w:p w14:paraId="0F22794F" w14:textId="6DADE270" w:rsidR="00F20B84" w:rsidRDefault="00187DAE" w:rsidP="00CA2C0A">
      <w:pPr>
        <w:ind w:firstLine="720"/>
        <w:rPr>
          <w:rFonts w:cs="Times New Roman"/>
        </w:rPr>
      </w:pPr>
      <w:r w:rsidRPr="00677ABE">
        <w:rPr>
          <w:rFonts w:cs="Times New Roman"/>
        </w:rPr>
        <w:t>In dissent, Justice Gorsuch and Justice Breyer argued the result granted “monopoly rents abroad premised on a U.S. patent that has no legal force there.”</w:t>
      </w:r>
      <w:r w:rsidRPr="00677ABE">
        <w:rPr>
          <w:rStyle w:val="FootnoteReference"/>
          <w:rFonts w:cs="Times New Roman"/>
        </w:rPr>
        <w:footnoteReference w:id="676"/>
      </w:r>
      <w:r w:rsidRPr="00677ABE">
        <w:rPr>
          <w:rFonts w:cs="Times New Roman"/>
        </w:rPr>
        <w:t xml:space="preserve"> The result went against the historical purpose of </w:t>
      </w:r>
      <w:r w:rsidR="00AC00E6">
        <w:rPr>
          <w:rFonts w:cs="Times New Roman"/>
        </w:rPr>
        <w:t>§ </w:t>
      </w:r>
      <w:r w:rsidRPr="00677ABE">
        <w:rPr>
          <w:rFonts w:cs="Times New Roman"/>
        </w:rPr>
        <w:t>271(f)(2) to “ma[k]e clear that someone who almost makes an invention in this country [is] liable as if he made the complete invention in this country.”</w:t>
      </w:r>
      <w:r w:rsidRPr="00677ABE">
        <w:rPr>
          <w:rStyle w:val="FootnoteReference"/>
          <w:rFonts w:cs="Times New Roman"/>
        </w:rPr>
        <w:footnoteReference w:id="677"/>
      </w:r>
      <w:r w:rsidRPr="00677ABE">
        <w:rPr>
          <w:rFonts w:cs="Times New Roman"/>
        </w:rPr>
        <w:t xml:space="preserve"> Going against all logic, the result apparently “allow[ed] greater recovery when a defendant exports a component of an invention in violation of </w:t>
      </w:r>
      <w:r w:rsidR="00AC00E6">
        <w:rPr>
          <w:rFonts w:cs="Times New Roman"/>
        </w:rPr>
        <w:t>§ </w:t>
      </w:r>
      <w:r w:rsidRPr="00677ABE">
        <w:rPr>
          <w:rFonts w:cs="Times New Roman"/>
        </w:rPr>
        <w:t xml:space="preserve">271(f)(2) than when a defendant exports the entire invention in violation of </w:t>
      </w:r>
      <w:r w:rsidR="00AC00E6">
        <w:rPr>
          <w:rFonts w:cs="Times New Roman"/>
        </w:rPr>
        <w:t>§ </w:t>
      </w:r>
      <w:r w:rsidRPr="00677ABE">
        <w:rPr>
          <w:rFonts w:cs="Times New Roman"/>
        </w:rPr>
        <w:t>271(a).”</w:t>
      </w:r>
      <w:r w:rsidRPr="00677ABE">
        <w:rPr>
          <w:rStyle w:val="FootnoteReference"/>
          <w:rFonts w:cs="Times New Roman"/>
        </w:rPr>
        <w:footnoteReference w:id="678"/>
      </w:r>
      <w:r w:rsidRPr="00677ABE">
        <w:rPr>
          <w:rFonts w:cs="Times New Roman"/>
        </w:rPr>
        <w:t xml:space="preserve"> And going against policy, the result invited reciprocal assertions of foreign patent laws over the U.S. domestic economy.</w:t>
      </w:r>
      <w:r w:rsidRPr="00677ABE">
        <w:rPr>
          <w:rStyle w:val="FootnoteReference"/>
          <w:rFonts w:cs="Times New Roman"/>
        </w:rPr>
        <w:footnoteReference w:id="679"/>
      </w:r>
      <w:r w:rsidRPr="00677ABE">
        <w:rPr>
          <w:rFonts w:cs="Times New Roman"/>
        </w:rPr>
        <w:t xml:space="preserve"> As an alternative remedy, Justice Gorsuch and Justice Breyer would have suggested plaintiffs like WesternGeco ask for higher royalties on U.S.-made components.</w:t>
      </w:r>
      <w:r w:rsidRPr="00677ABE">
        <w:rPr>
          <w:rStyle w:val="FootnoteReference"/>
          <w:rFonts w:cs="Times New Roman"/>
        </w:rPr>
        <w:footnoteReference w:id="680"/>
      </w:r>
    </w:p>
    <w:p w14:paraId="32AC20DC" w14:textId="77777777" w:rsidR="00F20B84" w:rsidRDefault="007D0629" w:rsidP="00CA2C0A">
      <w:pPr>
        <w:pStyle w:val="Heading2"/>
        <w:rPr>
          <w:rFonts w:cs="Times New Roman"/>
          <w:szCs w:val="24"/>
        </w:rPr>
      </w:pPr>
      <w:bookmarkStart w:id="154" w:name="_Toc531692787"/>
      <w:r w:rsidRPr="00677ABE">
        <w:rPr>
          <w:rFonts w:cs="Times New Roman"/>
          <w:szCs w:val="24"/>
        </w:rPr>
        <w:t>Attorneys’ Fee Awards</w:t>
      </w:r>
      <w:bookmarkEnd w:id="154"/>
    </w:p>
    <w:p w14:paraId="4A49F6FA" w14:textId="5F6B5568" w:rsidR="00352570" w:rsidRPr="00300BD8" w:rsidRDefault="00352570" w:rsidP="00352570">
      <w:pPr>
        <w:pStyle w:val="Heading3"/>
      </w:pPr>
      <w:bookmarkStart w:id="155" w:name="_Toc516586594"/>
      <w:r>
        <w:tab/>
      </w:r>
      <w:bookmarkStart w:id="156" w:name="_Toc531692788"/>
      <w:r w:rsidRPr="00300BD8">
        <w:t>Gust, Inc. v. AlphaCap Ventures, LLC</w:t>
      </w:r>
      <w:r w:rsidRPr="00352570">
        <w:rPr>
          <w:i w:val="0"/>
        </w:rPr>
        <w:t xml:space="preserve">, 905 F.3d 1321 (Fed. Cir. Sept. 28, 2018) </w:t>
      </w:r>
      <w:bookmarkEnd w:id="156"/>
    </w:p>
    <w:p w14:paraId="6E228DDF" w14:textId="2D8B1C21" w:rsidR="00352570" w:rsidRPr="00300BD8" w:rsidRDefault="00352570" w:rsidP="00352570">
      <w:pPr>
        <w:ind w:firstLine="720"/>
        <w:rPr>
          <w:rFonts w:cs="Times New Roman"/>
          <w:color w:val="000000" w:themeColor="text1"/>
        </w:rPr>
      </w:pPr>
      <w:r w:rsidRPr="00300BD8">
        <w:rPr>
          <w:rFonts w:cs="Times New Roman"/>
          <w:color w:val="000000" w:themeColor="text1"/>
        </w:rPr>
        <w:t>In this appeal from the Southern District of New York, the Federal Circuit reversed and held defendants’ attorney fees should not be charged directly against plaintiff’s counsel under 28 U.S.C. § 1927;</w:t>
      </w:r>
      <w:r w:rsidRPr="00300BD8">
        <w:rPr>
          <w:rStyle w:val="FootnoteReference"/>
          <w:rFonts w:cs="Times New Roman"/>
          <w:color w:val="000000" w:themeColor="text1"/>
        </w:rPr>
        <w:footnoteReference w:id="681"/>
      </w:r>
      <w:r w:rsidRPr="00300BD8">
        <w:rPr>
          <w:rFonts w:cs="Times New Roman"/>
          <w:color w:val="000000" w:themeColor="text1"/>
        </w:rPr>
        <w:t xml:space="preserve"> in particular, § 1927 cannot be used to award fees stemming from the initiation of a suit, but only from its “multiplication” (at least under the Federal Circuit’s view of what the Second Circuit would have held).</w:t>
      </w:r>
      <w:r w:rsidRPr="00300BD8">
        <w:rPr>
          <w:rStyle w:val="FootnoteReference"/>
          <w:rFonts w:cs="Times New Roman"/>
          <w:color w:val="000000" w:themeColor="text1"/>
        </w:rPr>
        <w:footnoteReference w:id="682"/>
      </w:r>
    </w:p>
    <w:p w14:paraId="3EA9A56A" w14:textId="1DD31418" w:rsidR="00352570" w:rsidRPr="00300BD8" w:rsidRDefault="00352570" w:rsidP="00352570">
      <w:pPr>
        <w:rPr>
          <w:rFonts w:cs="Times New Roman"/>
          <w:color w:val="000000" w:themeColor="text1"/>
        </w:rPr>
      </w:pPr>
      <w:r w:rsidRPr="00300BD8">
        <w:rPr>
          <w:rFonts w:cs="Times New Roman"/>
          <w:color w:val="000000" w:themeColor="text1"/>
        </w:rPr>
        <w:tab/>
        <w:t>The plaintiff AlphaCap is a non-capitalized, non-practicing entity that hired Gutride as counsel on a contingency basis.</w:t>
      </w:r>
      <w:r w:rsidRPr="00300BD8">
        <w:rPr>
          <w:rStyle w:val="FootnoteReference"/>
          <w:rFonts w:cs="Times New Roman"/>
          <w:color w:val="000000" w:themeColor="text1"/>
        </w:rPr>
        <w:footnoteReference w:id="683"/>
      </w:r>
      <w:r w:rsidRPr="00300BD8">
        <w:rPr>
          <w:rFonts w:cs="Times New Roman"/>
          <w:color w:val="000000" w:themeColor="text1"/>
        </w:rPr>
        <w:t xml:space="preserve"> It then sued Gust in the Eastern District of Texas for infringement of patents related to crowdfunding; the patents were newly vulnerable to a § 101 challenge after </w:t>
      </w:r>
      <w:r w:rsidRPr="00300BD8">
        <w:rPr>
          <w:rFonts w:cs="Times New Roman"/>
          <w:i/>
          <w:color w:val="000000" w:themeColor="text1"/>
        </w:rPr>
        <w:t>Alice</w:t>
      </w:r>
      <w:r w:rsidRPr="00300BD8">
        <w:rPr>
          <w:rFonts w:cs="Times New Roman"/>
          <w:color w:val="000000" w:themeColor="text1"/>
        </w:rPr>
        <w:t>, which a</w:t>
      </w:r>
      <w:r w:rsidR="00464A7C">
        <w:rPr>
          <w:rFonts w:cs="Times New Roman"/>
          <w:color w:val="000000" w:themeColor="text1"/>
        </w:rPr>
        <w:t>nother</w:t>
      </w:r>
      <w:r w:rsidRPr="00300BD8">
        <w:rPr>
          <w:rFonts w:cs="Times New Roman"/>
          <w:color w:val="000000" w:themeColor="text1"/>
        </w:rPr>
        <w:t xml:space="preserve"> district court had applied to crowdfunding.</w:t>
      </w:r>
      <w:r w:rsidRPr="00300BD8">
        <w:rPr>
          <w:rStyle w:val="FootnoteReference"/>
          <w:rFonts w:cs="Times New Roman"/>
          <w:color w:val="000000" w:themeColor="text1"/>
        </w:rPr>
        <w:footnoteReference w:id="684"/>
      </w:r>
      <w:r w:rsidRPr="00300BD8">
        <w:rPr>
          <w:rFonts w:cs="Times New Roman"/>
          <w:color w:val="000000" w:themeColor="text1"/>
        </w:rPr>
        <w:t xml:space="preserve"> Each side offered a settlement proposal and, after each rebuffed the other, each filed further papers to escalate the conflict; another round of failed settlement proposals led to further escalation and a transfer to the Southern District of New York—the site of the earlier crowdfunding case.</w:t>
      </w:r>
      <w:r w:rsidRPr="00300BD8">
        <w:rPr>
          <w:rStyle w:val="FootnoteReference"/>
          <w:rFonts w:cs="Times New Roman"/>
          <w:color w:val="000000" w:themeColor="text1"/>
        </w:rPr>
        <w:footnoteReference w:id="685"/>
      </w:r>
      <w:r w:rsidRPr="00300BD8">
        <w:rPr>
          <w:rFonts w:cs="Times New Roman"/>
          <w:color w:val="000000" w:themeColor="text1"/>
        </w:rPr>
        <w:t xml:space="preserve"> Ultimately, AlphaCap provided Gust with a covenant not to sue and both parties’ claims were dismissed, except that Gust sought and won attorneys fees under 35 U.S.C. § 285 and 28 U.S.C. § 1927.</w:t>
      </w:r>
      <w:r w:rsidRPr="00300BD8">
        <w:rPr>
          <w:rStyle w:val="FootnoteReference"/>
          <w:rFonts w:cs="Times New Roman"/>
          <w:color w:val="000000" w:themeColor="text1"/>
        </w:rPr>
        <w:footnoteReference w:id="686"/>
      </w:r>
      <w:r w:rsidRPr="00300BD8">
        <w:rPr>
          <w:rFonts w:cs="Times New Roman"/>
          <w:color w:val="000000" w:themeColor="text1"/>
        </w:rPr>
        <w:t xml:space="preserve"> The Southern District of New York found the case “exceptional” under § 285, for three reasons: (1) the patent claims were clearly invalid under </w:t>
      </w:r>
      <w:r w:rsidRPr="00300BD8">
        <w:rPr>
          <w:rFonts w:cs="Times New Roman"/>
          <w:i/>
          <w:color w:val="000000" w:themeColor="text1"/>
        </w:rPr>
        <w:t>Alice</w:t>
      </w:r>
      <w:r w:rsidRPr="00300BD8">
        <w:rPr>
          <w:rFonts w:cs="Times New Roman"/>
          <w:color w:val="000000" w:themeColor="text1"/>
        </w:rPr>
        <w:t>, (2) the suit appeared to be brought for its settlement value (especially as the plaintiff settled for a mere $50,000 on related claims with other defendants), and (3) such a finding would dissuade similar conduct.</w:t>
      </w:r>
      <w:r w:rsidRPr="00300BD8">
        <w:rPr>
          <w:rStyle w:val="FootnoteReference"/>
          <w:rFonts w:cs="Times New Roman"/>
          <w:color w:val="000000" w:themeColor="text1"/>
        </w:rPr>
        <w:footnoteReference w:id="687"/>
      </w:r>
      <w:r w:rsidRPr="00300BD8">
        <w:rPr>
          <w:rFonts w:cs="Times New Roman"/>
          <w:color w:val="000000" w:themeColor="text1"/>
        </w:rPr>
        <w:t xml:space="preserve"> Furthermore, the court found plaintiff’s counsel directly liable for those fees under § 1927 because counsel continued litigating unreasonably and in bad faith.</w:t>
      </w:r>
      <w:r w:rsidRPr="00300BD8">
        <w:rPr>
          <w:rStyle w:val="FootnoteReference"/>
          <w:rFonts w:cs="Times New Roman"/>
          <w:color w:val="000000" w:themeColor="text1"/>
        </w:rPr>
        <w:footnoteReference w:id="688"/>
      </w:r>
      <w:r w:rsidRPr="00300BD8">
        <w:rPr>
          <w:rFonts w:cs="Times New Roman"/>
          <w:color w:val="000000" w:themeColor="text1"/>
        </w:rPr>
        <w:t xml:space="preserve"> Upon reconsideration, the district court reiterated the result.</w:t>
      </w:r>
      <w:r w:rsidRPr="00300BD8">
        <w:rPr>
          <w:rStyle w:val="FootnoteReference"/>
          <w:rFonts w:cs="Times New Roman"/>
          <w:color w:val="000000" w:themeColor="text1"/>
        </w:rPr>
        <w:footnoteReference w:id="689"/>
      </w:r>
    </w:p>
    <w:p w14:paraId="0D3BA1A9" w14:textId="479D013B" w:rsidR="00352570" w:rsidRPr="00300BD8" w:rsidRDefault="00352570" w:rsidP="00352570">
      <w:pPr>
        <w:rPr>
          <w:rFonts w:cs="Times New Roman"/>
          <w:color w:val="000000" w:themeColor="text1"/>
        </w:rPr>
      </w:pPr>
      <w:r w:rsidRPr="00300BD8">
        <w:rPr>
          <w:rFonts w:cs="Times New Roman"/>
          <w:color w:val="000000" w:themeColor="text1"/>
        </w:rPr>
        <w:tab/>
        <w:t>On appeal, the Federal Circuit held that the district court errored in finding Gutride directly liable for defendants’ fees under § 1927.</w:t>
      </w:r>
      <w:r w:rsidRPr="00300BD8">
        <w:rPr>
          <w:rStyle w:val="FootnoteReference"/>
          <w:rFonts w:cs="Times New Roman"/>
          <w:color w:val="000000" w:themeColor="text1"/>
        </w:rPr>
        <w:footnoteReference w:id="690"/>
      </w:r>
      <w:r w:rsidRPr="00300BD8">
        <w:rPr>
          <w:rFonts w:cs="Times New Roman"/>
          <w:color w:val="000000" w:themeColor="text1"/>
        </w:rPr>
        <w:t xml:space="preserve"> Under the Second Circuit’s § 1927 case law, fees can be awarded directly against a party’s attorney only when “a high degree of [factual] specificity”</w:t>
      </w:r>
      <w:r w:rsidRPr="00300BD8">
        <w:rPr>
          <w:rStyle w:val="FootnoteReference"/>
          <w:rFonts w:cs="Times New Roman"/>
          <w:color w:val="000000" w:themeColor="text1"/>
        </w:rPr>
        <w:footnoteReference w:id="691"/>
      </w:r>
      <w:r w:rsidRPr="00300BD8">
        <w:rPr>
          <w:rFonts w:cs="Times New Roman"/>
          <w:color w:val="000000" w:themeColor="text1"/>
        </w:rPr>
        <w:t xml:space="preserve"> shows that the claims were (1) “entirely without color” and (2) “brought in bad faith . . . .”</w:t>
      </w:r>
      <w:r w:rsidRPr="00300BD8">
        <w:rPr>
          <w:rStyle w:val="FootnoteReference"/>
          <w:rFonts w:cs="Times New Roman"/>
          <w:color w:val="000000" w:themeColor="text1"/>
        </w:rPr>
        <w:footnoteReference w:id="692"/>
      </w:r>
      <w:r w:rsidRPr="00300BD8">
        <w:rPr>
          <w:rFonts w:cs="Times New Roman"/>
          <w:color w:val="000000" w:themeColor="text1"/>
        </w:rPr>
        <w:t xml:space="preserve">  On the “without color” prong, the Federal Circuit reasoned that the implications of </w:t>
      </w:r>
      <w:r w:rsidRPr="00300BD8">
        <w:rPr>
          <w:rFonts w:cs="Times New Roman"/>
          <w:i/>
          <w:color w:val="000000" w:themeColor="text1"/>
        </w:rPr>
        <w:t xml:space="preserve">Alice </w:t>
      </w:r>
      <w:r w:rsidRPr="00300BD8">
        <w:rPr>
          <w:rFonts w:cs="Times New Roman"/>
          <w:color w:val="000000" w:themeColor="text1"/>
        </w:rPr>
        <w:t>for the case had not yet been settled at the time of litigation,</w:t>
      </w:r>
      <w:r w:rsidRPr="00300BD8">
        <w:rPr>
          <w:rStyle w:val="FootnoteReference"/>
          <w:rFonts w:cs="Times New Roman"/>
          <w:color w:val="000000" w:themeColor="text1"/>
        </w:rPr>
        <w:footnoteReference w:id="693"/>
      </w:r>
      <w:r w:rsidRPr="00300BD8">
        <w:rPr>
          <w:rFonts w:cs="Times New Roman"/>
          <w:color w:val="000000" w:themeColor="text1"/>
        </w:rPr>
        <w:t xml:space="preserve"> and imposing fees directly on litigators in such cases would discourage needed doctrinal development.</w:t>
      </w:r>
      <w:r w:rsidRPr="00300BD8">
        <w:rPr>
          <w:rStyle w:val="FootnoteReference"/>
          <w:rFonts w:cs="Times New Roman"/>
          <w:color w:val="000000" w:themeColor="text1"/>
        </w:rPr>
        <w:footnoteReference w:id="694"/>
      </w:r>
      <w:r w:rsidRPr="00300BD8">
        <w:rPr>
          <w:rFonts w:cs="Times New Roman"/>
          <w:color w:val="000000" w:themeColor="text1"/>
        </w:rPr>
        <w:t xml:space="preserve"> On the bad faith prong, the Federal Circuit rejected each of the district court’s three bases. First, the record did not show that Gutride knew the AlphaCap patents to be invalid. Gutride’s statements that the case was “not worth litigating” was not a statement about its views of patent validity but of cost-efficacy; a “finding” otherwise in the trial court’s grant of Gust’s motion to dismiss was not a finding but an allegation construed as fact.</w:t>
      </w:r>
      <w:r w:rsidRPr="00300BD8">
        <w:rPr>
          <w:rStyle w:val="FootnoteReference"/>
          <w:rFonts w:cs="Times New Roman"/>
          <w:color w:val="000000" w:themeColor="text1"/>
        </w:rPr>
        <w:footnoteReference w:id="695"/>
      </w:r>
      <w:r w:rsidRPr="00300BD8">
        <w:rPr>
          <w:rFonts w:cs="Times New Roman"/>
          <w:color w:val="000000" w:themeColor="text1"/>
        </w:rPr>
        <w:t xml:space="preserve"> Second, Gutride was not responsible for its client’s choice of corporate structure and business model (seemingly purpose-built to bring nuisance suits). To the extent Gutride was complicit in bringing frivolous litigation, such complicity should be assessed under Rule 11.</w:t>
      </w:r>
      <w:r w:rsidRPr="00300BD8">
        <w:rPr>
          <w:rStyle w:val="FootnoteReference"/>
          <w:rFonts w:cs="Times New Roman"/>
          <w:color w:val="000000" w:themeColor="text1"/>
        </w:rPr>
        <w:footnoteReference w:id="696"/>
      </w:r>
      <w:r w:rsidRPr="00300BD8">
        <w:rPr>
          <w:rFonts w:cs="Times New Roman"/>
          <w:color w:val="000000" w:themeColor="text1"/>
        </w:rPr>
        <w:t xml:space="preserve"> Third, Gutride’s filing and opposition to transfer from the Eastern District of Texas was not “so entirely without merit” as to signal improper purpose.</w:t>
      </w:r>
      <w:r w:rsidRPr="00300BD8">
        <w:rPr>
          <w:rStyle w:val="FootnoteReference"/>
          <w:rFonts w:cs="Times New Roman"/>
          <w:color w:val="000000" w:themeColor="text1"/>
        </w:rPr>
        <w:footnoteReference w:id="697"/>
      </w:r>
      <w:r w:rsidRPr="00300BD8">
        <w:rPr>
          <w:rFonts w:cs="Times New Roman"/>
          <w:color w:val="000000" w:themeColor="text1"/>
        </w:rPr>
        <w:t xml:space="preserve"> Also, delay in settlement could not be</w:t>
      </w:r>
      <w:r w:rsidR="00921CD3">
        <w:rPr>
          <w:rFonts w:cs="Times New Roman"/>
          <w:color w:val="000000" w:themeColor="text1"/>
        </w:rPr>
        <w:t xml:space="preserve"> properly</w:t>
      </w:r>
      <w:r w:rsidRPr="00300BD8">
        <w:rPr>
          <w:rFonts w:cs="Times New Roman"/>
          <w:color w:val="000000" w:themeColor="text1"/>
        </w:rPr>
        <w:t xml:space="preserve"> attributed to the attorney, as such decisions are wholly committed to clients.</w:t>
      </w:r>
      <w:r w:rsidRPr="00300BD8">
        <w:rPr>
          <w:rStyle w:val="FootnoteReference"/>
          <w:rFonts w:cs="Times New Roman"/>
          <w:color w:val="000000" w:themeColor="text1"/>
        </w:rPr>
        <w:footnoteReference w:id="698"/>
      </w:r>
      <w:r w:rsidRPr="00300BD8">
        <w:rPr>
          <w:rFonts w:cs="Times New Roman"/>
          <w:color w:val="000000" w:themeColor="text1"/>
        </w:rPr>
        <w:t xml:space="preserve"> Moreover, § 19</w:t>
      </w:r>
      <w:r w:rsidR="00921CD3">
        <w:rPr>
          <w:rFonts w:cs="Times New Roman"/>
          <w:color w:val="000000" w:themeColor="text1"/>
        </w:rPr>
        <w:t>2</w:t>
      </w:r>
      <w:r w:rsidRPr="00300BD8">
        <w:rPr>
          <w:rFonts w:cs="Times New Roman"/>
          <w:color w:val="000000" w:themeColor="text1"/>
        </w:rPr>
        <w:t>7 could never apply, as the district court had supposed, to fees associated with the initial stage of a suit, as the section deals only with the “multiplication” of a suit.</w:t>
      </w:r>
      <w:r w:rsidRPr="00300BD8">
        <w:rPr>
          <w:rStyle w:val="FootnoteReference"/>
          <w:rFonts w:cs="Times New Roman"/>
          <w:color w:val="000000" w:themeColor="text1"/>
        </w:rPr>
        <w:footnoteReference w:id="699"/>
      </w:r>
      <w:r w:rsidRPr="00300BD8">
        <w:rPr>
          <w:rFonts w:cs="Times New Roman"/>
          <w:color w:val="000000" w:themeColor="text1"/>
        </w:rPr>
        <w:t xml:space="preserve"> </w:t>
      </w:r>
      <w:r w:rsidR="00921CD3">
        <w:rPr>
          <w:rFonts w:cs="Times New Roman"/>
          <w:color w:val="000000" w:themeColor="text1"/>
        </w:rPr>
        <w:t>F</w:t>
      </w:r>
      <w:r w:rsidRPr="00300BD8">
        <w:rPr>
          <w:rFonts w:cs="Times New Roman"/>
          <w:color w:val="000000" w:themeColor="text1"/>
        </w:rPr>
        <w:t xml:space="preserve">rivolous initial filings </w:t>
      </w:r>
      <w:r w:rsidR="00921CD3">
        <w:rPr>
          <w:rFonts w:cs="Times New Roman"/>
          <w:color w:val="000000" w:themeColor="text1"/>
        </w:rPr>
        <w:t xml:space="preserve">are to be sanctioned </w:t>
      </w:r>
      <w:r w:rsidRPr="00300BD8">
        <w:rPr>
          <w:rFonts w:cs="Times New Roman"/>
          <w:color w:val="000000" w:themeColor="text1"/>
        </w:rPr>
        <w:t>under Rule 11.</w:t>
      </w:r>
      <w:r w:rsidRPr="00300BD8">
        <w:rPr>
          <w:rStyle w:val="FootnoteReference"/>
          <w:rFonts w:cs="Times New Roman"/>
          <w:color w:val="000000" w:themeColor="text1"/>
        </w:rPr>
        <w:footnoteReference w:id="700"/>
      </w:r>
      <w:r w:rsidRPr="00300BD8">
        <w:rPr>
          <w:rFonts w:cs="Times New Roman"/>
          <w:color w:val="000000" w:themeColor="text1"/>
        </w:rPr>
        <w:t xml:space="preserve">   </w:t>
      </w:r>
    </w:p>
    <w:p w14:paraId="3CACBFE1" w14:textId="557F5B40" w:rsidR="00352570" w:rsidRPr="00352570" w:rsidRDefault="00352570" w:rsidP="00352570">
      <w:pPr>
        <w:ind w:firstLine="720"/>
        <w:rPr>
          <w:rFonts w:cs="Times New Roman"/>
          <w:color w:val="000000" w:themeColor="text1"/>
        </w:rPr>
      </w:pPr>
      <w:r w:rsidRPr="00300BD8">
        <w:rPr>
          <w:rFonts w:cs="Times New Roman"/>
          <w:color w:val="000000" w:themeColor="text1"/>
        </w:rPr>
        <w:t>Judge Wallach dissented.</w:t>
      </w:r>
      <w:r w:rsidRPr="00300BD8">
        <w:rPr>
          <w:rStyle w:val="FootnoteReference"/>
          <w:rFonts w:cs="Times New Roman"/>
          <w:color w:val="000000" w:themeColor="text1"/>
        </w:rPr>
        <w:footnoteReference w:id="701"/>
      </w:r>
      <w:r w:rsidRPr="00300BD8">
        <w:rPr>
          <w:rFonts w:cs="Times New Roman"/>
          <w:color w:val="000000" w:themeColor="text1"/>
        </w:rPr>
        <w:t xml:space="preserve"> On the first prong, the claims</w:t>
      </w:r>
      <w:r w:rsidRPr="00300BD8">
        <w:rPr>
          <w:rStyle w:val="FootnoteReference"/>
          <w:rFonts w:cs="Times New Roman"/>
          <w:color w:val="000000" w:themeColor="text1"/>
        </w:rPr>
        <w:footnoteReference w:id="702"/>
      </w:r>
      <w:r w:rsidRPr="00300BD8">
        <w:rPr>
          <w:rFonts w:cs="Times New Roman"/>
          <w:color w:val="000000" w:themeColor="text1"/>
        </w:rPr>
        <w:t xml:space="preserve"> were “entirely without color” under then-existing § 101 precedent.</w:t>
      </w:r>
      <w:r w:rsidRPr="00300BD8">
        <w:rPr>
          <w:rStyle w:val="FootnoteReference"/>
          <w:rFonts w:cs="Times New Roman"/>
          <w:color w:val="000000" w:themeColor="text1"/>
        </w:rPr>
        <w:footnoteReference w:id="703"/>
      </w:r>
      <w:r w:rsidRPr="00300BD8">
        <w:rPr>
          <w:rFonts w:cs="Times New Roman"/>
          <w:color w:val="000000" w:themeColor="text1"/>
        </w:rPr>
        <w:t xml:space="preserve"> The only cases Gutride cited that Judge Wallach found muddied </w:t>
      </w:r>
      <w:r w:rsidR="00921CD3">
        <w:rPr>
          <w:rFonts w:cs="Times New Roman"/>
          <w:color w:val="000000" w:themeColor="text1"/>
        </w:rPr>
        <w:t>the issue</w:t>
      </w:r>
      <w:r w:rsidRPr="00300BD8">
        <w:rPr>
          <w:rFonts w:cs="Times New Roman"/>
          <w:color w:val="000000" w:themeColor="text1"/>
        </w:rPr>
        <w:t xml:space="preserve"> were decided after Gutride’s litigation had ended.</w:t>
      </w:r>
      <w:r w:rsidRPr="00300BD8">
        <w:rPr>
          <w:rStyle w:val="FootnoteReference"/>
          <w:rFonts w:cs="Times New Roman"/>
          <w:color w:val="000000" w:themeColor="text1"/>
        </w:rPr>
        <w:footnoteReference w:id="704"/>
      </w:r>
      <w:r w:rsidRPr="00300BD8">
        <w:rPr>
          <w:rFonts w:cs="Times New Roman"/>
          <w:color w:val="000000" w:themeColor="text1"/>
        </w:rPr>
        <w:t xml:space="preserve"> Similarly, on the bad faith prong, the limited evidence Gutride cited to justify filing in and opposing transfer from the Eastern District of Texas was uncovered only after discovery.</w:t>
      </w:r>
      <w:r w:rsidRPr="00300BD8">
        <w:rPr>
          <w:rStyle w:val="FootnoteReference"/>
          <w:rFonts w:cs="Times New Roman"/>
          <w:color w:val="000000" w:themeColor="text1"/>
        </w:rPr>
        <w:footnoteReference w:id="705"/>
      </w:r>
      <w:r w:rsidRPr="00300BD8">
        <w:rPr>
          <w:rFonts w:cs="Times New Roman"/>
          <w:color w:val="000000" w:themeColor="text1"/>
        </w:rPr>
        <w:t xml:space="preserve"> Judge Wallach would have reasserted that “the appetite for licensing revenue cannot overpower a litigant’s and </w:t>
      </w:r>
      <w:r w:rsidRPr="00300BD8">
        <w:rPr>
          <w:rFonts w:cs="Times New Roman"/>
          <w:i/>
          <w:color w:val="000000" w:themeColor="text1"/>
        </w:rPr>
        <w:t>its counsel’s</w:t>
      </w:r>
      <w:r w:rsidRPr="00300BD8">
        <w:rPr>
          <w:rFonts w:cs="Times New Roman"/>
          <w:color w:val="000000" w:themeColor="text1"/>
        </w:rPr>
        <w:t xml:space="preserve"> obligation to file cases reasonably based in law and fact and to litigate those cases in good faith.”</w:t>
      </w:r>
      <w:r w:rsidRPr="00300BD8">
        <w:rPr>
          <w:rStyle w:val="FootnoteReference"/>
          <w:rFonts w:cs="Times New Roman"/>
          <w:color w:val="000000" w:themeColor="text1"/>
        </w:rPr>
        <w:footnoteReference w:id="706"/>
      </w:r>
      <w:r w:rsidRPr="00300BD8">
        <w:rPr>
          <w:rFonts w:cs="Times New Roman"/>
          <w:color w:val="000000" w:themeColor="text1"/>
        </w:rPr>
        <w:t xml:space="preserve"> </w:t>
      </w:r>
    </w:p>
    <w:p w14:paraId="67532AD0" w14:textId="02817D33" w:rsidR="00910FC7" w:rsidRPr="00677ABE" w:rsidRDefault="00910FC7" w:rsidP="00CA2C0A">
      <w:pPr>
        <w:pStyle w:val="Heading3"/>
        <w:ind w:firstLine="0"/>
        <w:rPr>
          <w:rFonts w:cs="Times New Roman"/>
          <w:i w:val="0"/>
        </w:rPr>
      </w:pPr>
      <w:bookmarkStart w:id="157" w:name="_Toc531692789"/>
      <w:r w:rsidRPr="00677ABE">
        <w:rPr>
          <w:rFonts w:cs="Times New Roman"/>
        </w:rPr>
        <w:t>Inventor Holdings, LLC v. Bed Bath &amp; Beyond, Inc.</w:t>
      </w:r>
      <w:r w:rsidRPr="00677ABE">
        <w:rPr>
          <w:rFonts w:cs="Times New Roman"/>
          <w:i w:val="0"/>
        </w:rPr>
        <w:t>, 876 F.3d 1372 (Fed. Cir. Dec. 8, 2017)</w:t>
      </w:r>
      <w:bookmarkEnd w:id="155"/>
      <w:bookmarkEnd w:id="157"/>
    </w:p>
    <w:p w14:paraId="7C9E6A51" w14:textId="42B1BC66" w:rsidR="00910FC7" w:rsidRPr="00677ABE" w:rsidRDefault="00910FC7" w:rsidP="00CA2C0A">
      <w:pPr>
        <w:rPr>
          <w:rFonts w:cs="Times New Roman"/>
          <w:lang w:eastAsia="x-none"/>
        </w:rPr>
      </w:pPr>
      <w:r w:rsidRPr="00677ABE">
        <w:rPr>
          <w:rFonts w:cs="Times New Roman"/>
          <w:lang w:eastAsia="x-none"/>
        </w:rPr>
        <w:tab/>
        <w:t xml:space="preserve">In this appeal from the District of Delaware, the Federal Circuit affirmed the district court’s award of attorneys’ fees under </w:t>
      </w:r>
      <w:r w:rsidR="00AC00E6">
        <w:rPr>
          <w:rFonts w:cs="Times New Roman"/>
          <w:lang w:eastAsia="x-none"/>
        </w:rPr>
        <w:t>§ </w:t>
      </w:r>
      <w:r w:rsidRPr="00677ABE">
        <w:rPr>
          <w:rFonts w:cs="Times New Roman"/>
          <w:lang w:eastAsia="x-none"/>
        </w:rPr>
        <w:t>285.</w:t>
      </w:r>
      <w:r w:rsidRPr="00677ABE">
        <w:rPr>
          <w:rStyle w:val="FootnoteReference"/>
          <w:rFonts w:cs="Times New Roman"/>
          <w:lang w:eastAsia="x-none"/>
        </w:rPr>
        <w:footnoteReference w:id="707"/>
      </w:r>
      <w:r w:rsidRPr="00677ABE">
        <w:rPr>
          <w:rFonts w:cs="Times New Roman"/>
          <w:lang w:eastAsia="x-none"/>
        </w:rPr>
        <w:t xml:space="preserve"> IH sued BBB in April 2014 before the Supreme Court issued its </w:t>
      </w:r>
      <w:r w:rsidRPr="00677ABE">
        <w:rPr>
          <w:rFonts w:cs="Times New Roman"/>
          <w:i/>
          <w:lang w:eastAsia="x-none"/>
        </w:rPr>
        <w:t>Alice</w:t>
      </w:r>
      <w:r w:rsidRPr="00677ABE">
        <w:rPr>
          <w:rStyle w:val="FootnoteReference"/>
          <w:rFonts w:cs="Times New Roman"/>
          <w:lang w:eastAsia="x-none"/>
        </w:rPr>
        <w:footnoteReference w:id="708"/>
      </w:r>
      <w:r w:rsidRPr="00677ABE">
        <w:rPr>
          <w:rFonts w:cs="Times New Roman"/>
          <w:lang w:eastAsia="x-none"/>
        </w:rPr>
        <w:t xml:space="preserve"> decision.</w:t>
      </w:r>
      <w:r w:rsidRPr="00677ABE">
        <w:rPr>
          <w:rStyle w:val="FootnoteReference"/>
          <w:rFonts w:cs="Times New Roman"/>
          <w:lang w:eastAsia="x-none"/>
        </w:rPr>
        <w:footnoteReference w:id="709"/>
      </w:r>
      <w:r w:rsidRPr="00677ABE">
        <w:rPr>
          <w:rFonts w:cs="Times New Roman"/>
          <w:lang w:eastAsia="x-none"/>
        </w:rPr>
        <w:t xml:space="preserve"> After </w:t>
      </w:r>
      <w:r w:rsidRPr="00677ABE">
        <w:rPr>
          <w:rFonts w:cs="Times New Roman"/>
          <w:i/>
          <w:lang w:eastAsia="x-none"/>
        </w:rPr>
        <w:t>Alice</w:t>
      </w:r>
      <w:r w:rsidRPr="00677ABE">
        <w:rPr>
          <w:rFonts w:cs="Times New Roman"/>
          <w:lang w:eastAsia="x-none"/>
        </w:rPr>
        <w:t xml:space="preserve"> was handed down, BBB moved for a judgment on the pleadings that the asserted claims were patent-ineligible under </w:t>
      </w:r>
      <w:r w:rsidR="00AC00E6">
        <w:rPr>
          <w:rFonts w:cs="Times New Roman"/>
          <w:lang w:eastAsia="x-none"/>
        </w:rPr>
        <w:t>§ </w:t>
      </w:r>
      <w:r w:rsidRPr="00677ABE">
        <w:rPr>
          <w:rFonts w:cs="Times New Roman"/>
          <w:lang w:eastAsia="x-none"/>
        </w:rPr>
        <w:t xml:space="preserve">101 in view of </w:t>
      </w:r>
      <w:r w:rsidRPr="00677ABE">
        <w:rPr>
          <w:rFonts w:cs="Times New Roman"/>
          <w:i/>
          <w:lang w:eastAsia="x-none"/>
        </w:rPr>
        <w:t>Alice</w:t>
      </w:r>
      <w:r w:rsidRPr="00677ABE">
        <w:rPr>
          <w:rFonts w:cs="Times New Roman"/>
          <w:lang w:eastAsia="x-none"/>
        </w:rPr>
        <w:t>.</w:t>
      </w:r>
      <w:r w:rsidRPr="00677ABE">
        <w:rPr>
          <w:rStyle w:val="FootnoteReference"/>
          <w:rFonts w:cs="Times New Roman"/>
          <w:lang w:eastAsia="x-none"/>
        </w:rPr>
        <w:footnoteReference w:id="710"/>
      </w:r>
      <w:r w:rsidRPr="00677ABE">
        <w:rPr>
          <w:rFonts w:cs="Times New Roman"/>
          <w:lang w:eastAsia="x-none"/>
        </w:rPr>
        <w:t xml:space="preserve"> The district court granted the motion, and the Federal Circuit affirmed.</w:t>
      </w:r>
      <w:r w:rsidRPr="00677ABE">
        <w:rPr>
          <w:rStyle w:val="FootnoteReference"/>
          <w:rFonts w:cs="Times New Roman"/>
          <w:lang w:eastAsia="x-none"/>
        </w:rPr>
        <w:footnoteReference w:id="711"/>
      </w:r>
    </w:p>
    <w:p w14:paraId="64618FD2" w14:textId="77DDDA9D" w:rsidR="00910FC7" w:rsidRPr="00677ABE" w:rsidRDefault="00910FC7" w:rsidP="00CA2C0A">
      <w:pPr>
        <w:rPr>
          <w:rFonts w:cs="Times New Roman"/>
          <w:lang w:eastAsia="x-none"/>
        </w:rPr>
      </w:pPr>
      <w:r w:rsidRPr="00677ABE">
        <w:rPr>
          <w:rFonts w:cs="Times New Roman"/>
          <w:lang w:eastAsia="x-none"/>
        </w:rPr>
        <w:tab/>
        <w:t xml:space="preserve">BBB moved for attorneys’ fees, arguing that “once </w:t>
      </w:r>
      <w:r w:rsidRPr="00677ABE">
        <w:rPr>
          <w:rFonts w:cs="Times New Roman"/>
          <w:i/>
          <w:lang w:eastAsia="x-none"/>
        </w:rPr>
        <w:t>Alice</w:t>
      </w:r>
      <w:r w:rsidRPr="00677ABE">
        <w:rPr>
          <w:rFonts w:cs="Times New Roman"/>
          <w:lang w:eastAsia="x-none"/>
        </w:rPr>
        <w:t xml:space="preserve"> issued, IH should have reevaluated its case and dismissed the action.”</w:t>
      </w:r>
      <w:r w:rsidRPr="00677ABE">
        <w:rPr>
          <w:rStyle w:val="FootnoteReference"/>
          <w:rFonts w:cs="Times New Roman"/>
          <w:lang w:eastAsia="x-none"/>
        </w:rPr>
        <w:footnoteReference w:id="712"/>
      </w:r>
      <w:r w:rsidRPr="00677ABE">
        <w:rPr>
          <w:rFonts w:cs="Times New Roman"/>
          <w:lang w:eastAsia="x-none"/>
        </w:rPr>
        <w:t xml:space="preserve"> The district court granted the motion, and the Federal circuit “conclude[d] that the district court acted within the scope of its discretion in finding this case to be exceptional based on the weakness of IH’s </w:t>
      </w:r>
      <w:r w:rsidR="00AC00E6">
        <w:rPr>
          <w:rFonts w:cs="Times New Roman"/>
          <w:lang w:eastAsia="x-none"/>
        </w:rPr>
        <w:t>§ </w:t>
      </w:r>
      <w:r w:rsidRPr="00677ABE">
        <w:rPr>
          <w:rFonts w:cs="Times New Roman"/>
          <w:lang w:eastAsia="x-none"/>
        </w:rPr>
        <w:t>101 arguments and the need to deter similarly weak arguments in the future.”</w:t>
      </w:r>
      <w:r w:rsidRPr="00677ABE">
        <w:rPr>
          <w:rStyle w:val="FootnoteReference"/>
          <w:rFonts w:cs="Times New Roman"/>
          <w:lang w:eastAsia="x-none"/>
        </w:rPr>
        <w:footnoteReference w:id="713"/>
      </w:r>
    </w:p>
    <w:p w14:paraId="01A059CA" w14:textId="77777777" w:rsidR="00F20B84" w:rsidRDefault="00910FC7" w:rsidP="00CA2C0A">
      <w:pPr>
        <w:rPr>
          <w:rFonts w:cs="Times New Roman"/>
          <w:lang w:eastAsia="x-none"/>
        </w:rPr>
      </w:pPr>
      <w:r w:rsidRPr="00677ABE">
        <w:rPr>
          <w:rFonts w:cs="Times New Roman"/>
          <w:lang w:eastAsia="x-none"/>
        </w:rPr>
        <w:tab/>
        <w:t xml:space="preserve">The Federal Circuit noted that although it “is sometimes difficult to analyze patent eligibility under the framework prescribed by the Supreme Court in </w:t>
      </w:r>
      <w:r w:rsidRPr="00677ABE">
        <w:rPr>
          <w:rFonts w:cs="Times New Roman"/>
          <w:i/>
          <w:lang w:eastAsia="x-none"/>
        </w:rPr>
        <w:t>Mayo</w:t>
      </w:r>
      <w:r w:rsidRPr="00677ABE">
        <w:rPr>
          <w:rFonts w:cs="Times New Roman"/>
          <w:lang w:eastAsia="x-none"/>
        </w:rPr>
        <w:t xml:space="preserve">, there is no uncertainty or difficulty in applying the principles set out in </w:t>
      </w:r>
      <w:r w:rsidRPr="00677ABE">
        <w:rPr>
          <w:rFonts w:cs="Times New Roman"/>
          <w:i/>
          <w:lang w:eastAsia="x-none"/>
        </w:rPr>
        <w:t xml:space="preserve">Alice </w:t>
      </w:r>
      <w:r w:rsidRPr="00677ABE">
        <w:rPr>
          <w:rFonts w:cs="Times New Roman"/>
          <w:lang w:eastAsia="x-none"/>
        </w:rPr>
        <w:t>to reach the conclusion that the [asserted] patent’s claims are ineligible.”</w:t>
      </w:r>
      <w:r w:rsidRPr="00677ABE">
        <w:rPr>
          <w:rStyle w:val="FootnoteReference"/>
          <w:rFonts w:cs="Times New Roman"/>
          <w:lang w:eastAsia="x-none"/>
        </w:rPr>
        <w:footnoteReference w:id="714"/>
      </w:r>
      <w:r w:rsidRPr="00677ABE">
        <w:rPr>
          <w:rFonts w:cs="Times New Roman"/>
          <w:lang w:eastAsia="x-none"/>
        </w:rPr>
        <w:t xml:space="preserve"> The asserted patent are “plainly invalid” and not “anywhere near[] the margins of patent-eligibility.”</w:t>
      </w:r>
      <w:r w:rsidRPr="00677ABE">
        <w:rPr>
          <w:rStyle w:val="FootnoteReference"/>
          <w:rFonts w:cs="Times New Roman"/>
          <w:lang w:eastAsia="x-none"/>
        </w:rPr>
        <w:footnoteReference w:id="715"/>
      </w:r>
      <w:r w:rsidRPr="00677ABE">
        <w:rPr>
          <w:rFonts w:cs="Times New Roman"/>
          <w:lang w:eastAsia="x-none"/>
        </w:rPr>
        <w:t xml:space="preserve"> The court further noted that “[i]t was IH’s responsibility to reassess its case in view of new controlling law.”</w:t>
      </w:r>
      <w:r w:rsidRPr="00677ABE">
        <w:rPr>
          <w:rStyle w:val="FootnoteReference"/>
          <w:rFonts w:cs="Times New Roman"/>
          <w:lang w:eastAsia="x-none"/>
        </w:rPr>
        <w:footnoteReference w:id="716"/>
      </w:r>
    </w:p>
    <w:p w14:paraId="65A9905B" w14:textId="10755DE8" w:rsidR="002742FA" w:rsidRPr="00677ABE" w:rsidRDefault="002742FA" w:rsidP="00CA2C0A">
      <w:pPr>
        <w:pStyle w:val="Heading3"/>
        <w:ind w:firstLine="0"/>
        <w:rPr>
          <w:rFonts w:cs="Times New Roman"/>
        </w:rPr>
      </w:pPr>
      <w:bookmarkStart w:id="158" w:name="_Toc531692790"/>
      <w:r w:rsidRPr="00677ABE">
        <w:rPr>
          <w:rFonts w:cs="Times New Roman"/>
        </w:rPr>
        <w:t>In re Rembrandt Techs. LP Patent Litigation</w:t>
      </w:r>
      <w:r w:rsidRPr="00677ABE">
        <w:rPr>
          <w:rFonts w:cs="Times New Roman"/>
          <w:i w:val="0"/>
        </w:rPr>
        <w:t xml:space="preserve">, 899 F.3d 1254 (Fed. Cir. decided </w:t>
      </w:r>
      <w:r w:rsidR="002B3CF9" w:rsidRPr="00677ABE">
        <w:rPr>
          <w:rFonts w:cs="Times New Roman"/>
          <w:i w:val="0"/>
        </w:rPr>
        <w:t>July </w:t>
      </w:r>
      <w:r w:rsidRPr="00677ABE">
        <w:rPr>
          <w:rFonts w:cs="Times New Roman"/>
          <w:i w:val="0"/>
        </w:rPr>
        <w:t xml:space="preserve">27, 2018, public opinion issued </w:t>
      </w:r>
      <w:r w:rsidR="002B3CF9" w:rsidRPr="00677ABE">
        <w:rPr>
          <w:rFonts w:cs="Times New Roman"/>
          <w:i w:val="0"/>
        </w:rPr>
        <w:t>Aug. </w:t>
      </w:r>
      <w:r w:rsidR="00964E13" w:rsidRPr="00677ABE">
        <w:rPr>
          <w:rFonts w:cs="Times New Roman"/>
          <w:i w:val="0"/>
        </w:rPr>
        <w:t>15, 2018)</w:t>
      </w:r>
      <w:bookmarkEnd w:id="158"/>
    </w:p>
    <w:p w14:paraId="58B8CAE6" w14:textId="70AC8926" w:rsidR="002742FA" w:rsidRPr="00677ABE" w:rsidRDefault="002742FA" w:rsidP="00CA2C0A">
      <w:pPr>
        <w:ind w:firstLine="720"/>
        <w:rPr>
          <w:rFonts w:cs="Times New Roman"/>
        </w:rPr>
      </w:pPr>
      <w:r w:rsidRPr="00677ABE">
        <w:rPr>
          <w:rFonts w:cs="Times New Roman"/>
        </w:rPr>
        <w:t xml:space="preserve">In this appeal from the District Court of Delaware, the Federal Circuit affirmed that </w:t>
      </w:r>
      <w:r w:rsidR="008B6409" w:rsidRPr="00677ABE">
        <w:rPr>
          <w:rFonts w:cs="Times New Roman"/>
        </w:rPr>
        <w:t xml:space="preserve">litigation </w:t>
      </w:r>
      <w:r w:rsidRPr="00677ABE">
        <w:rPr>
          <w:rFonts w:cs="Times New Roman"/>
        </w:rPr>
        <w:t xml:space="preserve">misconduct made the case exceptional under </w:t>
      </w:r>
      <w:r w:rsidR="00AC00E6">
        <w:rPr>
          <w:rFonts w:cs="Times New Roman"/>
        </w:rPr>
        <w:t>§ </w:t>
      </w:r>
      <w:r w:rsidRPr="00677ABE">
        <w:rPr>
          <w:rFonts w:cs="Times New Roman"/>
        </w:rPr>
        <w:t xml:space="preserve">285—and so awarding reasonable fees to the prevailing party was warranted—but it vacated the amount awarded and remanded </w:t>
      </w:r>
      <w:r w:rsidR="00C87B26" w:rsidRPr="00677ABE">
        <w:rPr>
          <w:rFonts w:cs="Times New Roman"/>
        </w:rPr>
        <w:t>for</w:t>
      </w:r>
      <w:r w:rsidRPr="00677ABE">
        <w:rPr>
          <w:rFonts w:cs="Times New Roman"/>
        </w:rPr>
        <w:t xml:space="preserve"> the lower court </w:t>
      </w:r>
      <w:r w:rsidR="00C87B26" w:rsidRPr="00677ABE">
        <w:rPr>
          <w:rFonts w:cs="Times New Roman"/>
        </w:rPr>
        <w:t>to</w:t>
      </w:r>
      <w:r w:rsidRPr="00677ABE">
        <w:rPr>
          <w:rFonts w:cs="Times New Roman"/>
        </w:rPr>
        <w:t xml:space="preserve"> award only fees reasonably attributable to misconduct.</w:t>
      </w:r>
      <w:r w:rsidRPr="00677ABE">
        <w:rPr>
          <w:rStyle w:val="FootnoteReference"/>
          <w:rFonts w:cs="Times New Roman"/>
        </w:rPr>
        <w:footnoteReference w:id="717"/>
      </w:r>
    </w:p>
    <w:p w14:paraId="444CC826" w14:textId="0448848A" w:rsidR="002742FA" w:rsidRPr="00677ABE" w:rsidRDefault="002742FA" w:rsidP="00CA2C0A">
      <w:pPr>
        <w:ind w:firstLine="720"/>
        <w:rPr>
          <w:rFonts w:cs="Times New Roman"/>
        </w:rPr>
      </w:pPr>
      <w:r w:rsidRPr="00677ABE">
        <w:rPr>
          <w:rFonts w:cs="Times New Roman"/>
        </w:rPr>
        <w:t xml:space="preserve">The litigation related to nine patents belonging to Rembrandt, eight relating to cable modem technology and one, the </w:t>
      </w:r>
      <w:r w:rsidR="00370148">
        <w:rPr>
          <w:rFonts w:cs="Times New Roman"/>
        </w:rPr>
        <w:t>’6</w:t>
      </w:r>
      <w:r w:rsidRPr="00677ABE">
        <w:rPr>
          <w:rFonts w:cs="Times New Roman"/>
        </w:rPr>
        <w:t>27 patent, to over-the-air signals.</w:t>
      </w:r>
      <w:r w:rsidRPr="00677ABE">
        <w:rPr>
          <w:rStyle w:val="FootnoteReference"/>
          <w:rFonts w:cs="Times New Roman"/>
        </w:rPr>
        <w:footnoteReference w:id="718"/>
      </w:r>
      <w:r w:rsidRPr="00677ABE">
        <w:rPr>
          <w:rFonts w:cs="Times New Roman"/>
        </w:rPr>
        <w:t xml:space="preserve"> Rembrandt obtained the eight cable-modem patents from a company called Paradyne and its later acquirer, Zhone.</w:t>
      </w:r>
      <w:r w:rsidRPr="00677ABE">
        <w:rPr>
          <w:rStyle w:val="FootnoteReference"/>
          <w:rFonts w:cs="Times New Roman"/>
        </w:rPr>
        <w:footnoteReference w:id="719"/>
      </w:r>
      <w:r w:rsidRPr="00677ABE">
        <w:rPr>
          <w:rFonts w:cs="Times New Roman"/>
        </w:rPr>
        <w:t xml:space="preserve"> The district court found</w:t>
      </w:r>
      <w:r w:rsidRPr="00677ABE">
        <w:rPr>
          <w:rStyle w:val="FootnoteReference"/>
          <w:rFonts w:cs="Times New Roman"/>
        </w:rPr>
        <w:footnoteReference w:id="720"/>
      </w:r>
      <w:r w:rsidRPr="00677ABE">
        <w:rPr>
          <w:rFonts w:cs="Times New Roman"/>
        </w:rPr>
        <w:t xml:space="preserve"> that 1) Rembrandt should have known that Paradyne had let lapse and then improperly revived two of those patents,</w:t>
      </w:r>
      <w:r w:rsidRPr="00677ABE">
        <w:rPr>
          <w:rStyle w:val="FootnoteReference"/>
          <w:rFonts w:cs="Times New Roman"/>
        </w:rPr>
        <w:footnoteReference w:id="721"/>
      </w:r>
      <w:r w:rsidRPr="00677ABE">
        <w:rPr>
          <w:rFonts w:cs="Times New Roman"/>
        </w:rPr>
        <w:t xml:space="preserve"> that 2) it knew and did not timely disclose that Zhone had destroyed documents related to the portfolio,</w:t>
      </w:r>
      <w:r w:rsidRPr="00677ABE">
        <w:rPr>
          <w:rStyle w:val="FootnoteReference"/>
          <w:rFonts w:cs="Times New Roman"/>
        </w:rPr>
        <w:footnoteReference w:id="722"/>
      </w:r>
      <w:r w:rsidRPr="00677ABE">
        <w:rPr>
          <w:rFonts w:cs="Times New Roman"/>
        </w:rPr>
        <w:t xml:space="preserve"> and that 3) it had improperly hired former Paradyne/Zhone employees as consultants with fees contingent upon the outcome of </w:t>
      </w:r>
      <w:r w:rsidR="00301A7B" w:rsidRPr="00677ABE">
        <w:rPr>
          <w:rFonts w:cs="Times New Roman"/>
        </w:rPr>
        <w:t>litigation</w:t>
      </w:r>
      <w:r w:rsidRPr="00677ABE">
        <w:rPr>
          <w:rFonts w:cs="Times New Roman"/>
        </w:rPr>
        <w:t xml:space="preserve"> </w:t>
      </w:r>
      <w:r w:rsidR="00301A7B" w:rsidRPr="00677ABE">
        <w:rPr>
          <w:rFonts w:cs="Times New Roman"/>
        </w:rPr>
        <w:t>in</w:t>
      </w:r>
      <w:r w:rsidRPr="00677ABE">
        <w:rPr>
          <w:rFonts w:cs="Times New Roman"/>
        </w:rPr>
        <w:t xml:space="preserve"> which they testified.</w:t>
      </w:r>
      <w:r w:rsidRPr="00677ABE">
        <w:rPr>
          <w:rStyle w:val="FootnoteReference"/>
          <w:rFonts w:cs="Times New Roman"/>
        </w:rPr>
        <w:footnoteReference w:id="723"/>
      </w:r>
      <w:r w:rsidRPr="00677ABE">
        <w:rPr>
          <w:rFonts w:cs="Times New Roman"/>
        </w:rPr>
        <w:t xml:space="preserve"> But the court made no findings about misconduct related to Rembrandt’s final over-the-air patent, the </w:t>
      </w:r>
      <w:r w:rsidR="00370148">
        <w:rPr>
          <w:rFonts w:cs="Times New Roman"/>
        </w:rPr>
        <w:t>’6</w:t>
      </w:r>
      <w:r w:rsidRPr="00677ABE">
        <w:rPr>
          <w:rFonts w:cs="Times New Roman"/>
        </w:rPr>
        <w:t xml:space="preserve">27 patent, which did not come from Paradyne or Zhone, and which was the only patent </w:t>
      </w:r>
      <w:r w:rsidR="00301A7B" w:rsidRPr="00677ABE">
        <w:rPr>
          <w:rFonts w:cs="Times New Roman"/>
        </w:rPr>
        <w:t xml:space="preserve">that </w:t>
      </w:r>
      <w:r w:rsidRPr="00677ABE">
        <w:rPr>
          <w:rFonts w:cs="Times New Roman"/>
        </w:rPr>
        <w:t>Rembrandt continued asserting until final judgment.</w:t>
      </w:r>
      <w:r w:rsidRPr="00677ABE">
        <w:rPr>
          <w:rStyle w:val="FootnoteReference"/>
          <w:rFonts w:cs="Times New Roman"/>
        </w:rPr>
        <w:footnoteReference w:id="724"/>
      </w:r>
      <w:r w:rsidRPr="00677ABE">
        <w:rPr>
          <w:rFonts w:cs="Times New Roman"/>
        </w:rPr>
        <w:t xml:space="preserve"> Finding the case exceptional under </w:t>
      </w:r>
      <w:r w:rsidR="00AC00E6">
        <w:rPr>
          <w:rFonts w:cs="Times New Roman"/>
        </w:rPr>
        <w:t>§ </w:t>
      </w:r>
      <w:r w:rsidRPr="00677ABE">
        <w:rPr>
          <w:rFonts w:cs="Times New Roman"/>
        </w:rPr>
        <w:t>285, the court awarded almost all fees to defendants.</w:t>
      </w:r>
      <w:r w:rsidRPr="00677ABE">
        <w:rPr>
          <w:rStyle w:val="FootnoteReference"/>
          <w:rFonts w:cs="Times New Roman"/>
        </w:rPr>
        <w:footnoteReference w:id="725"/>
      </w:r>
      <w:r w:rsidRPr="00677ABE">
        <w:rPr>
          <w:rFonts w:cs="Times New Roman"/>
        </w:rPr>
        <w:t xml:space="preserve"> </w:t>
      </w:r>
    </w:p>
    <w:p w14:paraId="50A7378A" w14:textId="358A992D" w:rsidR="002742FA" w:rsidRPr="00677ABE" w:rsidRDefault="002742FA" w:rsidP="00CA2C0A">
      <w:pPr>
        <w:rPr>
          <w:rFonts w:cs="Times New Roman"/>
        </w:rPr>
      </w:pPr>
      <w:r w:rsidRPr="00677ABE">
        <w:rPr>
          <w:rFonts w:cs="Times New Roman"/>
        </w:rPr>
        <w:t xml:space="preserve"> </w:t>
      </w:r>
      <w:r w:rsidR="00295B73">
        <w:rPr>
          <w:rFonts w:cs="Times New Roman"/>
        </w:rPr>
        <w:tab/>
      </w:r>
      <w:r w:rsidRPr="00677ABE">
        <w:rPr>
          <w:rFonts w:cs="Times New Roman"/>
        </w:rPr>
        <w:t xml:space="preserve">On appeal, the Federal Circuit held that the district court’s findings and legal conclusion of exceptionality under </w:t>
      </w:r>
      <w:r w:rsidR="00AC00E6">
        <w:rPr>
          <w:rFonts w:cs="Times New Roman"/>
        </w:rPr>
        <w:t>§ </w:t>
      </w:r>
      <w:r w:rsidRPr="00677ABE">
        <w:rPr>
          <w:rFonts w:cs="Times New Roman"/>
        </w:rPr>
        <w:t>285 were not clearly erroneous.</w:t>
      </w:r>
      <w:r w:rsidRPr="00677ABE">
        <w:rPr>
          <w:rStyle w:val="FootnoteReference"/>
          <w:rFonts w:cs="Times New Roman"/>
        </w:rPr>
        <w:footnoteReference w:id="726"/>
      </w:r>
      <w:r w:rsidRPr="00677ABE">
        <w:rPr>
          <w:rFonts w:cs="Times New Roman"/>
        </w:rPr>
        <w:t xml:space="preserve"> But it vacated the amount of fees awarded because the district court had not clearly attributed them to the misconduct.</w:t>
      </w:r>
      <w:r w:rsidRPr="00677ABE">
        <w:rPr>
          <w:rStyle w:val="FootnoteReference"/>
          <w:rFonts w:cs="Times New Roman"/>
        </w:rPr>
        <w:footnoteReference w:id="727"/>
      </w:r>
      <w:r w:rsidRPr="00677ABE">
        <w:rPr>
          <w:rFonts w:cs="Times New Roman"/>
        </w:rPr>
        <w:t xml:space="preserve"> Under </w:t>
      </w:r>
      <w:r w:rsidR="00AC00E6">
        <w:rPr>
          <w:rFonts w:cs="Times New Roman"/>
        </w:rPr>
        <w:t>§ </w:t>
      </w:r>
      <w:r w:rsidRPr="00677ABE">
        <w:rPr>
          <w:rFonts w:cs="Times New Roman"/>
        </w:rPr>
        <w:t>285, fee awards are “compensatory, not punitive,”</w:t>
      </w:r>
      <w:r w:rsidRPr="00677ABE">
        <w:rPr>
          <w:rStyle w:val="FootnoteReference"/>
          <w:rFonts w:cs="Times New Roman"/>
        </w:rPr>
        <w:footnoteReference w:id="728"/>
      </w:r>
      <w:r w:rsidRPr="00677ABE">
        <w:rPr>
          <w:rFonts w:cs="Times New Roman"/>
        </w:rPr>
        <w:t xml:space="preserve"> covering only “losses sustained” from misconduct.</w:t>
      </w:r>
      <w:r w:rsidRPr="00677ABE">
        <w:rPr>
          <w:rStyle w:val="FootnoteReference"/>
          <w:rFonts w:cs="Times New Roman"/>
        </w:rPr>
        <w:footnoteReference w:id="729"/>
      </w:r>
      <w:r w:rsidRPr="00677ABE">
        <w:rPr>
          <w:rFonts w:cs="Times New Roman"/>
        </w:rPr>
        <w:t xml:space="preserve"> As a result, “the amount of the award must bear some relation to the extent of the misconduct”;</w:t>
      </w:r>
      <w:r w:rsidRPr="00677ABE">
        <w:rPr>
          <w:rStyle w:val="FootnoteReference"/>
          <w:rFonts w:cs="Times New Roman"/>
        </w:rPr>
        <w:footnoteReference w:id="730"/>
      </w:r>
      <w:r w:rsidRPr="00677ABE">
        <w:rPr>
          <w:rFonts w:cs="Times New Roman"/>
        </w:rPr>
        <w:t xml:space="preserve"> a full award is rare.</w:t>
      </w:r>
      <w:r w:rsidRPr="00677ABE">
        <w:rPr>
          <w:rStyle w:val="FootnoteReference"/>
          <w:rFonts w:cs="Times New Roman"/>
        </w:rPr>
        <w:footnoteReference w:id="731"/>
      </w:r>
      <w:r w:rsidRPr="00677ABE">
        <w:rPr>
          <w:rFonts w:cs="Times New Roman"/>
        </w:rPr>
        <w:t xml:space="preserve"> The district court must explain this relation to the extent practicable.</w:t>
      </w:r>
      <w:r w:rsidRPr="00677ABE">
        <w:rPr>
          <w:rStyle w:val="FootnoteReference"/>
          <w:rFonts w:cs="Times New Roman"/>
        </w:rPr>
        <w:footnoteReference w:id="732"/>
      </w:r>
      <w:r w:rsidRPr="00677ABE">
        <w:rPr>
          <w:rFonts w:cs="Times New Roman"/>
        </w:rPr>
        <w:t xml:space="preserve"> Here, the district court did not.</w:t>
      </w:r>
      <w:r w:rsidRPr="00677ABE">
        <w:rPr>
          <w:rStyle w:val="FootnoteReference"/>
          <w:rFonts w:cs="Times New Roman"/>
        </w:rPr>
        <w:footnoteReference w:id="733"/>
      </w:r>
      <w:r w:rsidRPr="00677ABE">
        <w:rPr>
          <w:rFonts w:cs="Times New Roman"/>
        </w:rPr>
        <w:t xml:space="preserve"> While it excluded some fee categories, it did not relate the fees awarded for the </w:t>
      </w:r>
      <w:r w:rsidR="00370148">
        <w:rPr>
          <w:rFonts w:cs="Times New Roman"/>
        </w:rPr>
        <w:t>’6</w:t>
      </w:r>
      <w:r w:rsidRPr="00677ABE">
        <w:rPr>
          <w:rFonts w:cs="Times New Roman"/>
        </w:rPr>
        <w:t>27 patent litigation</w:t>
      </w:r>
      <w:r w:rsidR="00301A7B" w:rsidRPr="00677ABE">
        <w:rPr>
          <w:rFonts w:cs="Times New Roman"/>
        </w:rPr>
        <w:t>—the over-the-air patent from a separate source—</w:t>
      </w:r>
      <w:r w:rsidRPr="00677ABE">
        <w:rPr>
          <w:rFonts w:cs="Times New Roman"/>
        </w:rPr>
        <w:t>to the misconduct.</w:t>
      </w:r>
      <w:r w:rsidRPr="00677ABE">
        <w:rPr>
          <w:rStyle w:val="FootnoteReference"/>
          <w:rFonts w:cs="Times New Roman"/>
        </w:rPr>
        <w:footnoteReference w:id="734"/>
      </w:r>
      <w:r w:rsidRPr="00677ABE">
        <w:rPr>
          <w:rFonts w:cs="Times New Roman"/>
        </w:rPr>
        <w:t xml:space="preserve"> Further, the district court had rejected the claim that Rembrandt had sued in bad faith or held untenable legal positions;</w:t>
      </w:r>
      <w:r w:rsidRPr="00677ABE">
        <w:rPr>
          <w:rStyle w:val="FootnoteReference"/>
          <w:rFonts w:cs="Times New Roman"/>
        </w:rPr>
        <w:footnoteReference w:id="735"/>
      </w:r>
      <w:r w:rsidRPr="00677ABE">
        <w:rPr>
          <w:rFonts w:cs="Times New Roman"/>
        </w:rPr>
        <w:t xml:space="preserve"> this contrasted with </w:t>
      </w:r>
      <w:r w:rsidRPr="00677ABE">
        <w:rPr>
          <w:rFonts w:cs="Times New Roman"/>
          <w:i/>
        </w:rPr>
        <w:t>Monolithic Power Systems</w:t>
      </w:r>
      <w:r w:rsidRPr="00677ABE">
        <w:rPr>
          <w:rFonts w:cs="Times New Roman"/>
        </w:rPr>
        <w:t>, where the court found misconduct “pervasive enough to infect the entire litigation” and so a full award was appropriate.</w:t>
      </w:r>
      <w:r w:rsidRPr="00677ABE">
        <w:rPr>
          <w:rStyle w:val="FootnoteReference"/>
          <w:rFonts w:cs="Times New Roman"/>
        </w:rPr>
        <w:footnoteReference w:id="736"/>
      </w:r>
      <w:r w:rsidRPr="00677ABE">
        <w:rPr>
          <w:rFonts w:cs="Times New Roman"/>
        </w:rPr>
        <w:t xml:space="preserve"> </w:t>
      </w:r>
    </w:p>
    <w:p w14:paraId="6712C6AD" w14:textId="77777777" w:rsidR="00F20B84" w:rsidRDefault="002742FA" w:rsidP="00CA2C0A">
      <w:pPr>
        <w:ind w:firstLine="720"/>
        <w:rPr>
          <w:rFonts w:cs="Times New Roman"/>
        </w:rPr>
      </w:pPr>
      <w:r w:rsidRPr="00677ABE">
        <w:rPr>
          <w:rFonts w:cs="Times New Roman"/>
        </w:rPr>
        <w:t>The Federal Circuit outlined how a district court might practicably attribute fees to misconduct.</w:t>
      </w:r>
      <w:r w:rsidRPr="00677ABE">
        <w:rPr>
          <w:rStyle w:val="FootnoteReference"/>
          <w:rFonts w:cs="Times New Roman"/>
        </w:rPr>
        <w:footnoteReference w:id="737"/>
      </w:r>
      <w:r w:rsidRPr="00677ABE">
        <w:rPr>
          <w:rFonts w:cs="Times New Roman"/>
        </w:rPr>
        <w:t xml:space="preserve"> In “run-of-the-mill” cases asserting only a few patents, a court might more cursorily find that the misconduct pervades the full case and award all fees; </w:t>
      </w:r>
      <w:r w:rsidR="000B6F0B" w:rsidRPr="00677ABE">
        <w:rPr>
          <w:rFonts w:cs="Times New Roman"/>
        </w:rPr>
        <w:t>in more complex cases (here</w:t>
      </w:r>
      <w:r w:rsidRPr="00677ABE">
        <w:rPr>
          <w:rFonts w:cs="Times New Roman"/>
        </w:rPr>
        <w:t xml:space="preserve"> “nine” pat</w:t>
      </w:r>
      <w:r w:rsidR="000B6F0B" w:rsidRPr="00677ABE">
        <w:rPr>
          <w:rFonts w:cs="Times New Roman"/>
        </w:rPr>
        <w:t>ents and “dozens” of defendants)</w:t>
      </w:r>
      <w:r w:rsidRPr="00677ABE">
        <w:rPr>
          <w:rFonts w:cs="Times New Roman"/>
        </w:rPr>
        <w:t xml:space="preserve">, a link between the misconduct and the fee award (here $51 million) </w:t>
      </w:r>
      <w:r w:rsidR="000B6F0B" w:rsidRPr="00677ABE">
        <w:rPr>
          <w:rFonts w:cs="Times New Roman"/>
        </w:rPr>
        <w:t>becomes</w:t>
      </w:r>
      <w:r w:rsidRPr="00677ABE">
        <w:rPr>
          <w:rFonts w:cs="Times New Roman"/>
        </w:rPr>
        <w:t xml:space="preserve"> necessary, even if that finding amounts to a percent of fees attributable to the cla</w:t>
      </w:r>
      <w:r w:rsidR="000B6F0B" w:rsidRPr="00677ABE">
        <w:rPr>
          <w:rFonts w:cs="Times New Roman"/>
        </w:rPr>
        <w:t>ims wherein misconduct occurred.</w:t>
      </w:r>
      <w:r w:rsidR="000B6F0B" w:rsidRPr="00677ABE">
        <w:rPr>
          <w:rStyle w:val="FootnoteReference"/>
          <w:rFonts w:cs="Times New Roman"/>
        </w:rPr>
        <w:footnoteReference w:id="738"/>
      </w:r>
      <w:r w:rsidR="000B6F0B" w:rsidRPr="00677ABE">
        <w:rPr>
          <w:rFonts w:cs="Times New Roman"/>
        </w:rPr>
        <w:t xml:space="preserve"> What is required is </w:t>
      </w:r>
      <w:r w:rsidRPr="00677ABE">
        <w:rPr>
          <w:rFonts w:cs="Times New Roman"/>
        </w:rPr>
        <w:t>a “rough justice, not . . . audit[ed] perfection.”</w:t>
      </w:r>
      <w:r w:rsidRPr="00677ABE">
        <w:rPr>
          <w:rStyle w:val="FootnoteReference"/>
          <w:rFonts w:cs="Times New Roman"/>
        </w:rPr>
        <w:footnoteReference w:id="739"/>
      </w:r>
      <w:r w:rsidRPr="00677ABE">
        <w:rPr>
          <w:rFonts w:cs="Times New Roman"/>
        </w:rPr>
        <w:t xml:space="preserve"> </w:t>
      </w:r>
    </w:p>
    <w:p w14:paraId="56689A97" w14:textId="7FA138F3" w:rsidR="002742FA" w:rsidRPr="00677ABE" w:rsidRDefault="002742FA" w:rsidP="00CA2C0A">
      <w:pPr>
        <w:pStyle w:val="Heading3"/>
        <w:ind w:firstLine="0"/>
        <w:rPr>
          <w:rFonts w:cs="Times New Roman"/>
        </w:rPr>
      </w:pPr>
      <w:bookmarkStart w:id="159" w:name="_Toc531692791"/>
      <w:r w:rsidRPr="00677ABE">
        <w:rPr>
          <w:rFonts w:cs="Times New Roman"/>
        </w:rPr>
        <w:t>Stone Basket Innovations, LLC</w:t>
      </w:r>
      <w:r w:rsidR="00712C22" w:rsidRPr="00677ABE">
        <w:rPr>
          <w:rFonts w:cs="Times New Roman"/>
        </w:rPr>
        <w:t xml:space="preserve"> v. </w:t>
      </w:r>
      <w:r w:rsidRPr="00677ABE">
        <w:rPr>
          <w:rFonts w:cs="Times New Roman"/>
        </w:rPr>
        <w:t xml:space="preserve">Cook </w:t>
      </w:r>
      <w:r w:rsidR="00A23140" w:rsidRPr="00677ABE">
        <w:rPr>
          <w:rFonts w:cs="Times New Roman"/>
        </w:rPr>
        <w:t>Med.</w:t>
      </w:r>
      <w:r w:rsidRPr="00677ABE">
        <w:rPr>
          <w:rFonts w:cs="Times New Roman"/>
        </w:rPr>
        <w:t xml:space="preserve"> LLC</w:t>
      </w:r>
      <w:r w:rsidRPr="00677ABE">
        <w:rPr>
          <w:rFonts w:cs="Times New Roman"/>
          <w:i w:val="0"/>
        </w:rPr>
        <w:t>, 892 F.3d 1175 (Fed. Cir. June 11, 2018)</w:t>
      </w:r>
      <w:bookmarkEnd w:id="159"/>
      <w:r w:rsidRPr="00677ABE">
        <w:rPr>
          <w:rFonts w:cs="Times New Roman"/>
        </w:rPr>
        <w:t xml:space="preserve"> </w:t>
      </w:r>
    </w:p>
    <w:p w14:paraId="370D4265" w14:textId="273FE497" w:rsidR="002742FA" w:rsidRPr="00677ABE" w:rsidRDefault="002742FA" w:rsidP="00CA2C0A">
      <w:pPr>
        <w:rPr>
          <w:rFonts w:cs="Times New Roman"/>
        </w:rPr>
      </w:pPr>
      <w:r w:rsidRPr="00677ABE">
        <w:rPr>
          <w:rFonts w:cs="Times New Roman"/>
        </w:rPr>
        <w:tab/>
        <w:t xml:space="preserve">In this appeal from the Southern District of Indiana, the Federal Circuit held the district court had not abused discretion by denying attorney fees under </w:t>
      </w:r>
      <w:r w:rsidR="00AC00E6">
        <w:rPr>
          <w:rFonts w:cs="Times New Roman"/>
        </w:rPr>
        <w:t>§ </w:t>
      </w:r>
      <w:r w:rsidRPr="00677ABE">
        <w:rPr>
          <w:rFonts w:cs="Times New Roman"/>
        </w:rPr>
        <w:t>285</w:t>
      </w:r>
      <w:r w:rsidR="008F1B18" w:rsidRPr="00677ABE">
        <w:rPr>
          <w:rFonts w:cs="Times New Roman"/>
        </w:rPr>
        <w:t>.</w:t>
      </w:r>
      <w:r w:rsidRPr="00677ABE">
        <w:rPr>
          <w:rStyle w:val="FootnoteReference"/>
          <w:rFonts w:cs="Times New Roman"/>
        </w:rPr>
        <w:footnoteReference w:id="740"/>
      </w:r>
      <w:r w:rsidRPr="00677ABE">
        <w:rPr>
          <w:rFonts w:cs="Times New Roman"/>
        </w:rPr>
        <w:t xml:space="preserve"> </w:t>
      </w:r>
      <w:r w:rsidR="008F1B18" w:rsidRPr="00677ABE">
        <w:rPr>
          <w:rFonts w:cs="Times New Roman"/>
        </w:rPr>
        <w:t>B</w:t>
      </w:r>
      <w:r w:rsidRPr="00677ABE">
        <w:rPr>
          <w:rFonts w:cs="Times New Roman"/>
        </w:rPr>
        <w:t>ecause the plaintiff was not on notice that its patent was likely invalid or that defendant would move for fees</w:t>
      </w:r>
      <w:r w:rsidR="001D7933" w:rsidRPr="00677ABE">
        <w:rPr>
          <w:rFonts w:cs="Times New Roman"/>
        </w:rPr>
        <w:t>, the plaintiff’s litigation was not exceptional</w:t>
      </w:r>
      <w:r w:rsidRPr="00677ABE">
        <w:rPr>
          <w:rFonts w:cs="Times New Roman"/>
        </w:rPr>
        <w:t>.</w:t>
      </w:r>
      <w:r w:rsidRPr="00677ABE">
        <w:rPr>
          <w:rStyle w:val="FootnoteReference"/>
          <w:rFonts w:cs="Times New Roman"/>
        </w:rPr>
        <w:footnoteReference w:id="741"/>
      </w:r>
      <w:r w:rsidR="00AC00E6">
        <w:rPr>
          <w:rFonts w:cs="Times New Roman"/>
        </w:rPr>
        <w:t xml:space="preserve"> </w:t>
      </w:r>
    </w:p>
    <w:p w14:paraId="12B8ED3E" w14:textId="6DB654A7" w:rsidR="002742FA" w:rsidRPr="00677ABE" w:rsidRDefault="002742FA" w:rsidP="00CA2C0A">
      <w:pPr>
        <w:ind w:firstLine="720"/>
        <w:rPr>
          <w:rFonts w:cs="Times New Roman"/>
        </w:rPr>
      </w:pPr>
      <w:r w:rsidRPr="00677ABE">
        <w:rPr>
          <w:rFonts w:cs="Times New Roman"/>
        </w:rPr>
        <w:t xml:space="preserve">The case began when Stone </w:t>
      </w:r>
      <w:r w:rsidR="008F1B18" w:rsidRPr="00677ABE">
        <w:rPr>
          <w:rFonts w:cs="Times New Roman"/>
        </w:rPr>
        <w:t>sued</w:t>
      </w:r>
      <w:r w:rsidRPr="00677ABE">
        <w:rPr>
          <w:rFonts w:cs="Times New Roman"/>
        </w:rPr>
        <w:t xml:space="preserve"> Cook in the Eastern District of Texas. Cook challenged the asserted patent’s validity, sought transfer to the Southern District of Indiana, and petitioned the U.S. Patent and Trademark Office for inter partes review (“IPR”); the case was transferred and stayed pending the IPR; once the PTAB instituted IPR proceedings, Stone attempted but failed to obtain a license from Cook, then requested and received adverse judgment in the IPR and dismissal with prejudice in the district court.</w:t>
      </w:r>
      <w:r w:rsidRPr="00677ABE">
        <w:rPr>
          <w:rStyle w:val="FootnoteReference"/>
          <w:rFonts w:cs="Times New Roman"/>
        </w:rPr>
        <w:footnoteReference w:id="742"/>
      </w:r>
      <w:r w:rsidRPr="00677ABE">
        <w:rPr>
          <w:rFonts w:cs="Times New Roman"/>
        </w:rPr>
        <w:t xml:space="preserve"> Finally, nearly two years after the suit began, Cook moved for fees under </w:t>
      </w:r>
      <w:r w:rsidR="00AC00E6">
        <w:rPr>
          <w:rFonts w:cs="Times New Roman"/>
        </w:rPr>
        <w:t>§ </w:t>
      </w:r>
      <w:r w:rsidRPr="00677ABE">
        <w:rPr>
          <w:rFonts w:cs="Times New Roman"/>
        </w:rPr>
        <w:t>285. Cook alleged its invalidity contentions and deposition testimony put Stone on notice that its position was weak and litigation unreasonable.</w:t>
      </w:r>
      <w:r w:rsidRPr="00677ABE">
        <w:rPr>
          <w:rStyle w:val="FootnoteReference"/>
          <w:rFonts w:cs="Times New Roman"/>
        </w:rPr>
        <w:footnoteReference w:id="743"/>
      </w:r>
      <w:r w:rsidRPr="00677ABE">
        <w:rPr>
          <w:rFonts w:cs="Times New Roman"/>
        </w:rPr>
        <w:t xml:space="preserve"> But the court denied the case was exceptional and so denied fees.</w:t>
      </w:r>
      <w:r w:rsidR="008F1B18" w:rsidRPr="00677ABE">
        <w:rPr>
          <w:rStyle w:val="FootnoteReference"/>
          <w:rFonts w:cs="Times New Roman"/>
        </w:rPr>
        <w:footnoteReference w:id="744"/>
      </w:r>
      <w:r w:rsidRPr="00677ABE">
        <w:rPr>
          <w:rFonts w:cs="Times New Roman"/>
        </w:rPr>
        <w:t xml:space="preserve"> </w:t>
      </w:r>
    </w:p>
    <w:p w14:paraId="446D3B37" w14:textId="0445D5DB" w:rsidR="002742FA" w:rsidRPr="00677ABE" w:rsidRDefault="002742FA" w:rsidP="00CA2C0A">
      <w:pPr>
        <w:rPr>
          <w:rFonts w:cs="Times New Roman"/>
        </w:rPr>
      </w:pPr>
      <w:r w:rsidRPr="00677ABE">
        <w:rPr>
          <w:rFonts w:cs="Times New Roman"/>
        </w:rPr>
        <w:tab/>
        <w:t>On appeal, the Federal Circuit held the district court had not abused</w:t>
      </w:r>
      <w:r w:rsidR="00E34583" w:rsidRPr="00677ABE">
        <w:rPr>
          <w:rFonts w:cs="Times New Roman"/>
        </w:rPr>
        <w:t xml:space="preserve"> its</w:t>
      </w:r>
      <w:r w:rsidRPr="00677ABE">
        <w:rPr>
          <w:rFonts w:cs="Times New Roman"/>
        </w:rPr>
        <w:t xml:space="preserve"> discretion.</w:t>
      </w:r>
      <w:r w:rsidRPr="00677ABE">
        <w:rPr>
          <w:rStyle w:val="FootnoteReference"/>
          <w:rFonts w:cs="Times New Roman"/>
        </w:rPr>
        <w:footnoteReference w:id="745"/>
      </w:r>
      <w:r w:rsidRPr="00677ABE">
        <w:rPr>
          <w:rFonts w:cs="Times New Roman"/>
        </w:rPr>
        <w:t xml:space="preserve"> </w:t>
      </w:r>
      <w:r w:rsidRPr="00677ABE">
        <w:rPr>
          <w:rFonts w:cs="Times New Roman"/>
          <w:i/>
        </w:rPr>
        <w:t>Octane</w:t>
      </w:r>
      <w:r w:rsidR="00D87149" w:rsidRPr="00677ABE">
        <w:rPr>
          <w:rFonts w:cs="Times New Roman"/>
        </w:rPr>
        <w:t xml:space="preserve"> teaches that</w:t>
      </w:r>
      <w:r w:rsidRPr="00677ABE">
        <w:rPr>
          <w:rFonts w:cs="Times New Roman"/>
        </w:rPr>
        <w:t xml:space="preserve"> a case stands out from others as exceptional under </w:t>
      </w:r>
      <w:r w:rsidR="00AC00E6">
        <w:rPr>
          <w:rFonts w:cs="Times New Roman"/>
        </w:rPr>
        <w:t>§ </w:t>
      </w:r>
      <w:r w:rsidRPr="00677ABE">
        <w:rPr>
          <w:rFonts w:cs="Times New Roman"/>
        </w:rPr>
        <w:t>285 when a party is on notice that its position is weak yet pursues litigation unreasonably.</w:t>
      </w:r>
      <w:r w:rsidRPr="00677ABE">
        <w:rPr>
          <w:rStyle w:val="FootnoteReference"/>
          <w:rFonts w:cs="Times New Roman"/>
        </w:rPr>
        <w:footnoteReference w:id="746"/>
      </w:r>
      <w:r w:rsidRPr="00677ABE">
        <w:rPr>
          <w:rFonts w:cs="Times New Roman"/>
        </w:rPr>
        <w:t xml:space="preserve"> A party may </w:t>
      </w:r>
      <w:r w:rsidR="00BE24D5" w:rsidRPr="00677ABE">
        <w:rPr>
          <w:rFonts w:cs="Times New Roman"/>
        </w:rPr>
        <w:t>be put on notice by</w:t>
      </w:r>
      <w:r w:rsidRPr="00677ABE">
        <w:rPr>
          <w:rFonts w:cs="Times New Roman"/>
        </w:rPr>
        <w:t xml:space="preserve"> be</w:t>
      </w:r>
      <w:r w:rsidR="00BE24D5" w:rsidRPr="00677ABE">
        <w:rPr>
          <w:rFonts w:cs="Times New Roman"/>
        </w:rPr>
        <w:t>ing</w:t>
      </w:r>
      <w:r w:rsidRPr="00677ABE">
        <w:rPr>
          <w:rFonts w:cs="Times New Roman"/>
        </w:rPr>
        <w:t xml:space="preserve"> </w:t>
      </w:r>
      <w:r w:rsidR="00BE24D5" w:rsidRPr="00677ABE">
        <w:rPr>
          <w:rFonts w:cs="Times New Roman"/>
        </w:rPr>
        <w:t>told</w:t>
      </w:r>
      <w:r w:rsidRPr="00677ABE">
        <w:rPr>
          <w:rFonts w:cs="Times New Roman"/>
        </w:rPr>
        <w:t xml:space="preserve"> that its position is weak (or </w:t>
      </w:r>
      <w:r w:rsidR="00BE24D5" w:rsidRPr="00677ABE">
        <w:rPr>
          <w:rFonts w:cs="Times New Roman"/>
        </w:rPr>
        <w:t>by willfully ignoring</w:t>
      </w:r>
      <w:r w:rsidRPr="00677ABE">
        <w:rPr>
          <w:rFonts w:cs="Times New Roman"/>
        </w:rPr>
        <w:t xml:space="preserve"> </w:t>
      </w:r>
      <w:r w:rsidR="00BE24D5" w:rsidRPr="00677ABE">
        <w:rPr>
          <w:rFonts w:cs="Times New Roman"/>
        </w:rPr>
        <w:t>obviously weak aspects of its position</w:t>
      </w:r>
      <w:r w:rsidRPr="00677ABE">
        <w:rPr>
          <w:rFonts w:cs="Times New Roman"/>
        </w:rPr>
        <w:t xml:space="preserve">), or </w:t>
      </w:r>
      <w:r w:rsidR="00BE24D5" w:rsidRPr="00677ABE">
        <w:rPr>
          <w:rFonts w:cs="Times New Roman"/>
        </w:rPr>
        <w:t xml:space="preserve">by being threatened with </w:t>
      </w:r>
      <w:r w:rsidRPr="00677ABE">
        <w:rPr>
          <w:rFonts w:cs="Times New Roman"/>
        </w:rPr>
        <w:t>a motion for fees.</w:t>
      </w:r>
      <w:r w:rsidRPr="00677ABE">
        <w:rPr>
          <w:rStyle w:val="FootnoteReference"/>
          <w:rFonts w:cs="Times New Roman"/>
        </w:rPr>
        <w:footnoteReference w:id="747"/>
      </w:r>
      <w:r w:rsidRPr="00677ABE">
        <w:rPr>
          <w:rFonts w:cs="Times New Roman"/>
        </w:rPr>
        <w:t xml:space="preserve"> In </w:t>
      </w:r>
      <w:r w:rsidRPr="00677ABE">
        <w:rPr>
          <w:rFonts w:cs="Times New Roman"/>
          <w:i/>
        </w:rPr>
        <w:t>Rothschild</w:t>
      </w:r>
      <w:r w:rsidRPr="00677ABE">
        <w:rPr>
          <w:rFonts w:cs="Times New Roman"/>
        </w:rPr>
        <w:t>,</w:t>
      </w:r>
      <w:r w:rsidR="00412DDC" w:rsidRPr="00677ABE">
        <w:rPr>
          <w:rFonts w:cs="Times New Roman"/>
        </w:rPr>
        <w:t xml:space="preserve"> for example,</w:t>
      </w:r>
      <w:r w:rsidRPr="00677ABE">
        <w:rPr>
          <w:rFonts w:cs="Times New Roman"/>
        </w:rPr>
        <w:t xml:space="preserve"> the defendant gave plaintiff notice by moving for judgment on the pleadings and serving a Rule 11 letter with appended copies of anticipatory prior art.</w:t>
      </w:r>
      <w:r w:rsidRPr="00677ABE">
        <w:rPr>
          <w:rStyle w:val="FootnoteReference"/>
          <w:rFonts w:cs="Times New Roman"/>
        </w:rPr>
        <w:footnoteReference w:id="748"/>
      </w:r>
      <w:r w:rsidRPr="00677ABE">
        <w:rPr>
          <w:rFonts w:cs="Times New Roman"/>
        </w:rPr>
        <w:t xml:space="preserve"> Here, nothing of the kind happened.</w:t>
      </w:r>
      <w:r w:rsidRPr="00677ABE">
        <w:rPr>
          <w:rStyle w:val="FootnoteReference"/>
          <w:rFonts w:cs="Times New Roman"/>
        </w:rPr>
        <w:footnoteReference w:id="749"/>
      </w:r>
      <w:r w:rsidRPr="00677ABE">
        <w:rPr>
          <w:rFonts w:cs="Times New Roman"/>
        </w:rPr>
        <w:t xml:space="preserve"> </w:t>
      </w:r>
      <w:r w:rsidR="00D6395F" w:rsidRPr="00677ABE">
        <w:rPr>
          <w:rFonts w:cs="Times New Roman"/>
        </w:rPr>
        <w:t xml:space="preserve">The district court did not error in finding </w:t>
      </w:r>
      <w:r w:rsidR="00E34583" w:rsidRPr="00677ABE">
        <w:rPr>
          <w:rFonts w:cs="Times New Roman"/>
        </w:rPr>
        <w:t>C</w:t>
      </w:r>
      <w:r w:rsidR="00D6395F" w:rsidRPr="00677ABE">
        <w:rPr>
          <w:rFonts w:cs="Times New Roman"/>
        </w:rPr>
        <w:t>ook failed</w:t>
      </w:r>
      <w:r w:rsidR="00412DDC" w:rsidRPr="00677ABE">
        <w:rPr>
          <w:rFonts w:cs="Times New Roman"/>
        </w:rPr>
        <w:t xml:space="preserve"> to notify Stone that its position was weak</w:t>
      </w:r>
      <w:r w:rsidR="00D6395F" w:rsidRPr="00677ABE">
        <w:rPr>
          <w:rFonts w:cs="Times New Roman"/>
        </w:rPr>
        <w:t>,</w:t>
      </w:r>
      <w:r w:rsidR="00412DDC" w:rsidRPr="00677ABE">
        <w:rPr>
          <w:rFonts w:cs="Times New Roman"/>
        </w:rPr>
        <w:t xml:space="preserve"> for three reasons</w:t>
      </w:r>
      <w:r w:rsidRPr="00677ABE">
        <w:rPr>
          <w:rFonts w:cs="Times New Roman"/>
        </w:rPr>
        <w:t xml:space="preserve">. First, Cook’s invalidity contentions were inadequate notice: they buried an allegedly </w:t>
      </w:r>
      <w:r w:rsidR="00D6395F" w:rsidRPr="00677ABE">
        <w:rPr>
          <w:rFonts w:cs="Times New Roman"/>
        </w:rPr>
        <w:t>blatantly</w:t>
      </w:r>
      <w:r w:rsidRPr="00677ABE">
        <w:rPr>
          <w:rFonts w:cs="Times New Roman"/>
        </w:rPr>
        <w:t xml:space="preserve"> anticipatory reference within thirty-two others, and did not document the claims per the Eastern District’s Local Patent Rules.</w:t>
      </w:r>
      <w:r w:rsidRPr="00677ABE">
        <w:rPr>
          <w:rStyle w:val="FootnoteReference"/>
          <w:rFonts w:cs="Times New Roman"/>
        </w:rPr>
        <w:footnoteReference w:id="750"/>
      </w:r>
      <w:r w:rsidRPr="00677ABE">
        <w:rPr>
          <w:rFonts w:cs="Times New Roman"/>
        </w:rPr>
        <w:t xml:space="preserve"> Second, Stone was entitled to presume </w:t>
      </w:r>
      <w:r w:rsidR="00D6395F" w:rsidRPr="00677ABE">
        <w:rPr>
          <w:rFonts w:cs="Times New Roman"/>
        </w:rPr>
        <w:t>this allegedly anticipatory</w:t>
      </w:r>
      <w:r w:rsidRPr="00677ABE">
        <w:rPr>
          <w:rFonts w:cs="Times New Roman"/>
        </w:rPr>
        <w:t xml:space="preserve"> reference did </w:t>
      </w:r>
      <w:r w:rsidRPr="00677ABE">
        <w:rPr>
          <w:rFonts w:cs="Times New Roman"/>
          <w:i/>
        </w:rPr>
        <w:t>not</w:t>
      </w:r>
      <w:r w:rsidRPr="00677ABE">
        <w:rPr>
          <w:rFonts w:cs="Times New Roman"/>
        </w:rPr>
        <w:t xml:space="preserve"> anticipate its patent, as the reference </w:t>
      </w:r>
      <w:r w:rsidR="00D6395F" w:rsidRPr="00677ABE">
        <w:rPr>
          <w:rFonts w:cs="Times New Roman"/>
        </w:rPr>
        <w:t>was identified</w:t>
      </w:r>
      <w:r w:rsidRPr="00677ABE">
        <w:rPr>
          <w:rFonts w:cs="Times New Roman"/>
        </w:rPr>
        <w:t xml:space="preserve"> in its patent application.</w:t>
      </w:r>
      <w:r w:rsidRPr="00677ABE">
        <w:rPr>
          <w:rStyle w:val="FootnoteReference"/>
          <w:rFonts w:cs="Times New Roman"/>
        </w:rPr>
        <w:footnoteReference w:id="751"/>
      </w:r>
      <w:r w:rsidRPr="00677ABE">
        <w:rPr>
          <w:rFonts w:cs="Times New Roman"/>
        </w:rPr>
        <w:t xml:space="preserve"> Third, Cook </w:t>
      </w:r>
      <w:r w:rsidR="00D6395F" w:rsidRPr="00677ABE">
        <w:rPr>
          <w:rFonts w:cs="Times New Roman"/>
        </w:rPr>
        <w:t>waited too long to</w:t>
      </w:r>
      <w:r w:rsidRPr="00677ABE">
        <w:rPr>
          <w:rFonts w:cs="Times New Roman"/>
        </w:rPr>
        <w:t xml:space="preserve"> </w:t>
      </w:r>
      <w:r w:rsidR="00D6395F" w:rsidRPr="00677ABE">
        <w:rPr>
          <w:rFonts w:cs="Times New Roman"/>
        </w:rPr>
        <w:t>state</w:t>
      </w:r>
      <w:r w:rsidRPr="00677ABE">
        <w:rPr>
          <w:rFonts w:cs="Times New Roman"/>
        </w:rPr>
        <w:t xml:space="preserve"> </w:t>
      </w:r>
      <w:r w:rsidR="00D6395F" w:rsidRPr="00677ABE">
        <w:rPr>
          <w:rFonts w:cs="Times New Roman"/>
        </w:rPr>
        <w:t>these contentions</w:t>
      </w:r>
      <w:r w:rsidR="00AC6721" w:rsidRPr="00677ABE">
        <w:rPr>
          <w:rFonts w:cs="Times New Roman"/>
        </w:rPr>
        <w:t xml:space="preserve"> clearly</w:t>
      </w:r>
      <w:r w:rsidRPr="00677ABE">
        <w:rPr>
          <w:rFonts w:cs="Times New Roman"/>
        </w:rPr>
        <w:t>—and whatever strategic reasons Cook had for doing so did not excuse this failure.</w:t>
      </w:r>
      <w:r w:rsidRPr="00677ABE">
        <w:rPr>
          <w:rStyle w:val="FootnoteReference"/>
          <w:rFonts w:cs="Times New Roman"/>
        </w:rPr>
        <w:footnoteReference w:id="752"/>
      </w:r>
      <w:r w:rsidRPr="00677ABE">
        <w:rPr>
          <w:rFonts w:cs="Times New Roman"/>
        </w:rPr>
        <w:t xml:space="preserve"> Regarding the threat of fees, the district court again did not error in finding Stone lacked notice. Cook waited nearly a year after serving its invalidity contentions before warning Cook</w:t>
      </w:r>
      <w:r w:rsidR="00AC6721" w:rsidRPr="00677ABE">
        <w:rPr>
          <w:rFonts w:cs="Times New Roman"/>
        </w:rPr>
        <w:t xml:space="preserve"> that it would move for fees</w:t>
      </w:r>
      <w:r w:rsidRPr="00677ABE">
        <w:rPr>
          <w:rFonts w:cs="Times New Roman"/>
        </w:rPr>
        <w:t>.</w:t>
      </w:r>
      <w:r w:rsidRPr="00677ABE">
        <w:rPr>
          <w:rStyle w:val="FootnoteReference"/>
          <w:rFonts w:cs="Times New Roman"/>
        </w:rPr>
        <w:footnoteReference w:id="753"/>
      </w:r>
    </w:p>
    <w:p w14:paraId="2D85731D" w14:textId="23477D21" w:rsidR="002742FA" w:rsidRPr="00677ABE" w:rsidRDefault="002742FA" w:rsidP="00CA2C0A">
      <w:pPr>
        <w:ind w:firstLine="720"/>
        <w:rPr>
          <w:rFonts w:cs="Times New Roman"/>
        </w:rPr>
      </w:pPr>
      <w:r w:rsidRPr="00677ABE">
        <w:rPr>
          <w:rFonts w:cs="Times New Roman"/>
        </w:rPr>
        <w:t>In sum, a defendant “cannot simply hide under a rock, quietly documenting all the ways it’s been wronged, so that it can march out its ‘parade of horribles’ after all is said and done.”</w:t>
      </w:r>
      <w:r w:rsidRPr="00677ABE">
        <w:rPr>
          <w:rStyle w:val="FootnoteReference"/>
          <w:rFonts w:cs="Times New Roman"/>
        </w:rPr>
        <w:footnoteReference w:id="754"/>
      </w:r>
      <w:r w:rsidRPr="00677ABE">
        <w:rPr>
          <w:rFonts w:cs="Times New Roman"/>
        </w:rPr>
        <w:t xml:space="preserve"> </w:t>
      </w:r>
      <w:r w:rsidR="00AC6721" w:rsidRPr="00677ABE">
        <w:rPr>
          <w:rFonts w:cs="Times New Roman"/>
        </w:rPr>
        <w:t>The defendant who</w:t>
      </w:r>
      <w:r w:rsidRPr="00677ABE">
        <w:rPr>
          <w:rFonts w:cs="Times New Roman"/>
        </w:rPr>
        <w:t xml:space="preserve"> </w:t>
      </w:r>
      <w:r w:rsidR="00AC6721" w:rsidRPr="00677ABE">
        <w:rPr>
          <w:rFonts w:cs="Times New Roman"/>
        </w:rPr>
        <w:t xml:space="preserve">obfuscates cannot </w:t>
      </w:r>
      <w:r w:rsidRPr="00677ABE">
        <w:rPr>
          <w:rFonts w:cs="Times New Roman"/>
        </w:rPr>
        <w:t>blame the plaintiff</w:t>
      </w:r>
      <w:r w:rsidR="00AC6721" w:rsidRPr="00677ABE">
        <w:rPr>
          <w:rFonts w:cs="Times New Roman"/>
        </w:rPr>
        <w:t xml:space="preserve"> for prolonged litigation.</w:t>
      </w:r>
    </w:p>
    <w:p w14:paraId="3F0DC448" w14:textId="77777777" w:rsidR="00F20B84" w:rsidRDefault="002742FA" w:rsidP="00CA2C0A">
      <w:pPr>
        <w:rPr>
          <w:rFonts w:cs="Times New Roman"/>
          <w:color w:val="00B050"/>
        </w:rPr>
      </w:pPr>
      <w:r w:rsidRPr="00677ABE">
        <w:rPr>
          <w:rFonts w:cs="Times New Roman"/>
        </w:rPr>
        <w:tab/>
      </w:r>
    </w:p>
    <w:p w14:paraId="1ECC8887" w14:textId="565CBEBA" w:rsidR="002742FA" w:rsidRPr="00677ABE" w:rsidRDefault="002742FA" w:rsidP="00CA2C0A">
      <w:pPr>
        <w:pStyle w:val="Heading3"/>
        <w:tabs>
          <w:tab w:val="left" w:pos="520"/>
        </w:tabs>
        <w:ind w:firstLine="0"/>
        <w:rPr>
          <w:rFonts w:cs="Times New Roman"/>
        </w:rPr>
      </w:pPr>
      <w:bookmarkStart w:id="160" w:name="_Toc531692792"/>
      <w:r w:rsidRPr="00677ABE">
        <w:rPr>
          <w:rFonts w:cs="Times New Roman"/>
        </w:rPr>
        <w:t>NantKwest, Inc.</w:t>
      </w:r>
      <w:r w:rsidR="00712C22" w:rsidRPr="00677ABE">
        <w:rPr>
          <w:rFonts w:cs="Times New Roman"/>
        </w:rPr>
        <w:t xml:space="preserve"> v. </w:t>
      </w:r>
      <w:r w:rsidRPr="00677ABE">
        <w:rPr>
          <w:rFonts w:cs="Times New Roman"/>
        </w:rPr>
        <w:t>Iancu</w:t>
      </w:r>
      <w:r w:rsidRPr="00677ABE">
        <w:rPr>
          <w:rFonts w:cs="Times New Roman"/>
          <w:i w:val="0"/>
        </w:rPr>
        <w:t xml:space="preserve">, 898 F.3d 1177 (Fed. Cir. </w:t>
      </w:r>
      <w:r w:rsidR="002B3CF9" w:rsidRPr="00677ABE">
        <w:rPr>
          <w:rFonts w:cs="Times New Roman"/>
          <w:i w:val="0"/>
        </w:rPr>
        <w:t>July </w:t>
      </w:r>
      <w:r w:rsidR="00D746DC" w:rsidRPr="00677ABE">
        <w:rPr>
          <w:rFonts w:cs="Times New Roman"/>
          <w:i w:val="0"/>
        </w:rPr>
        <w:t>27, 2018) (en banc)</w:t>
      </w:r>
      <w:bookmarkEnd w:id="160"/>
    </w:p>
    <w:p w14:paraId="279E5BD7" w14:textId="10061D79" w:rsidR="002742FA" w:rsidRPr="00677ABE" w:rsidRDefault="002742FA" w:rsidP="00CA2C0A">
      <w:pPr>
        <w:rPr>
          <w:rFonts w:cs="Times New Roman"/>
          <w:color w:val="000000" w:themeColor="text1"/>
        </w:rPr>
      </w:pPr>
      <w:r w:rsidRPr="00677ABE">
        <w:rPr>
          <w:rFonts w:cs="Times New Roman"/>
          <w:b/>
          <w:color w:val="000000" w:themeColor="text1"/>
        </w:rPr>
        <w:tab/>
      </w:r>
      <w:r w:rsidRPr="00677ABE">
        <w:rPr>
          <w:rFonts w:cs="Times New Roman"/>
          <w:color w:val="000000" w:themeColor="text1"/>
        </w:rPr>
        <w:t xml:space="preserve">In this appeal from the Eastern District of Virginia, the Federal Circuit </w:t>
      </w:r>
      <w:r w:rsidR="00E34583" w:rsidRPr="00677ABE">
        <w:rPr>
          <w:rFonts w:cs="Times New Roman"/>
          <w:color w:val="000000" w:themeColor="text1"/>
        </w:rPr>
        <w:t>held</w:t>
      </w:r>
      <w:r w:rsidRPr="00677ABE">
        <w:rPr>
          <w:rFonts w:cs="Times New Roman"/>
          <w:color w:val="000000" w:themeColor="text1"/>
        </w:rPr>
        <w:t xml:space="preserve"> that the Patent and Trademark Office (“PTO”) must pay its own attorney fees for appeals brought by applicants to district courts under </w:t>
      </w:r>
      <w:r w:rsidR="00AC00E6">
        <w:rPr>
          <w:rFonts w:cs="Times New Roman"/>
          <w:color w:val="000000" w:themeColor="text1"/>
        </w:rPr>
        <w:t>§ </w:t>
      </w:r>
      <w:r w:rsidRPr="00677ABE">
        <w:rPr>
          <w:rFonts w:cs="Times New Roman"/>
          <w:color w:val="000000" w:themeColor="text1"/>
        </w:rPr>
        <w:t>145.</w:t>
      </w:r>
      <w:r w:rsidRPr="00677ABE">
        <w:rPr>
          <w:rStyle w:val="FootnoteReference"/>
          <w:rFonts w:cs="Times New Roman"/>
          <w:color w:val="000000" w:themeColor="text1"/>
        </w:rPr>
        <w:footnoteReference w:id="755"/>
      </w:r>
      <w:r w:rsidRPr="00677ABE">
        <w:rPr>
          <w:rFonts w:cs="Times New Roman"/>
          <w:color w:val="000000" w:themeColor="text1"/>
        </w:rPr>
        <w:t xml:space="preserve"> </w:t>
      </w:r>
    </w:p>
    <w:p w14:paraId="5C3C46FE" w14:textId="37324F8C" w:rsidR="00897569" w:rsidRPr="00677ABE" w:rsidRDefault="002742FA" w:rsidP="00CA2C0A">
      <w:pPr>
        <w:rPr>
          <w:rFonts w:cs="Times New Roman"/>
          <w:color w:val="000000" w:themeColor="text1"/>
        </w:rPr>
      </w:pPr>
      <w:r w:rsidRPr="00677ABE">
        <w:rPr>
          <w:rFonts w:cs="Times New Roman"/>
          <w:color w:val="000000" w:themeColor="text1"/>
        </w:rPr>
        <w:tab/>
        <w:t xml:space="preserve">At the PTO, an examiner found NantKwest’s method to treat cancer unpatentable as obvious, </w:t>
      </w:r>
      <w:r w:rsidR="00897569" w:rsidRPr="00677ABE">
        <w:rPr>
          <w:rFonts w:cs="Times New Roman"/>
          <w:color w:val="000000" w:themeColor="text1"/>
        </w:rPr>
        <w:t>which</w:t>
      </w:r>
      <w:r w:rsidRPr="00677ABE">
        <w:rPr>
          <w:rFonts w:cs="Times New Roman"/>
          <w:color w:val="000000" w:themeColor="text1"/>
        </w:rPr>
        <w:t xml:space="preserve"> the Patent Trial and Appeals Board affirmed.</w:t>
      </w:r>
      <w:r w:rsidRPr="00677ABE">
        <w:rPr>
          <w:rStyle w:val="FootnoteReference"/>
          <w:rFonts w:cs="Times New Roman"/>
          <w:color w:val="000000" w:themeColor="text1"/>
        </w:rPr>
        <w:footnoteReference w:id="756"/>
      </w:r>
      <w:r w:rsidRPr="00677ABE">
        <w:rPr>
          <w:rFonts w:cs="Times New Roman"/>
          <w:color w:val="000000" w:themeColor="text1"/>
        </w:rPr>
        <w:t xml:space="preserve"> NantKwest appealed under </w:t>
      </w:r>
      <w:r w:rsidR="00AC00E6">
        <w:rPr>
          <w:rFonts w:cs="Times New Roman"/>
          <w:color w:val="000000" w:themeColor="text1"/>
        </w:rPr>
        <w:t>§ </w:t>
      </w:r>
      <w:r w:rsidRPr="00677ABE">
        <w:rPr>
          <w:rFonts w:cs="Times New Roman"/>
          <w:color w:val="000000" w:themeColor="text1"/>
        </w:rPr>
        <w:t xml:space="preserve">145. Whereas appeals under </w:t>
      </w:r>
      <w:r w:rsidR="00AC00E6">
        <w:rPr>
          <w:rFonts w:cs="Times New Roman"/>
          <w:color w:val="000000" w:themeColor="text1"/>
        </w:rPr>
        <w:t>§ </w:t>
      </w:r>
      <w:r w:rsidRPr="00677ABE">
        <w:rPr>
          <w:rFonts w:cs="Times New Roman"/>
          <w:color w:val="000000" w:themeColor="text1"/>
        </w:rPr>
        <w:t xml:space="preserve">141 review PTO records and decisions per the Administrative Procedure Act, appeals under </w:t>
      </w:r>
      <w:r w:rsidR="00AC00E6">
        <w:rPr>
          <w:rFonts w:cs="Times New Roman"/>
          <w:color w:val="000000" w:themeColor="text1"/>
        </w:rPr>
        <w:t>§ </w:t>
      </w:r>
      <w:r w:rsidRPr="00677ABE">
        <w:rPr>
          <w:rFonts w:cs="Times New Roman"/>
          <w:color w:val="000000" w:themeColor="text1"/>
        </w:rPr>
        <w:t xml:space="preserve">145 are </w:t>
      </w:r>
      <w:r w:rsidRPr="00677ABE">
        <w:rPr>
          <w:rFonts w:cs="Times New Roman"/>
          <w:i/>
          <w:color w:val="000000" w:themeColor="text1"/>
        </w:rPr>
        <w:t xml:space="preserve">de novo </w:t>
      </w:r>
      <w:r w:rsidRPr="00677ABE">
        <w:rPr>
          <w:rFonts w:cs="Times New Roman"/>
          <w:color w:val="000000" w:themeColor="text1"/>
        </w:rPr>
        <w:t>inquiries that may use new evidence to challenge PTO decisions.</w:t>
      </w:r>
      <w:r w:rsidRPr="00677ABE">
        <w:rPr>
          <w:rStyle w:val="FootnoteReference"/>
          <w:rFonts w:cs="Times New Roman"/>
          <w:color w:val="000000" w:themeColor="text1"/>
        </w:rPr>
        <w:footnoteReference w:id="757"/>
      </w:r>
      <w:r w:rsidRPr="00677ABE">
        <w:rPr>
          <w:rFonts w:cs="Times New Roman"/>
          <w:color w:val="000000" w:themeColor="text1"/>
        </w:rPr>
        <w:t xml:space="preserve"> In exchange for robust review, the applicant must pay “[a]ll the expenses” of both parties.</w:t>
      </w:r>
      <w:r w:rsidRPr="00677ABE">
        <w:rPr>
          <w:rStyle w:val="FootnoteReference"/>
          <w:rFonts w:cs="Times New Roman"/>
          <w:color w:val="000000" w:themeColor="text1"/>
        </w:rPr>
        <w:footnoteReference w:id="758"/>
      </w:r>
      <w:r w:rsidRPr="00677ABE">
        <w:rPr>
          <w:rFonts w:cs="Times New Roman"/>
          <w:color w:val="000000" w:themeColor="text1"/>
        </w:rPr>
        <w:t xml:space="preserve"> At the </w:t>
      </w:r>
      <w:r w:rsidR="00AC00E6">
        <w:rPr>
          <w:rFonts w:cs="Times New Roman"/>
          <w:color w:val="000000" w:themeColor="text1"/>
        </w:rPr>
        <w:t>§ </w:t>
      </w:r>
      <w:r w:rsidRPr="00677ABE">
        <w:rPr>
          <w:rFonts w:cs="Times New Roman"/>
          <w:color w:val="000000" w:themeColor="text1"/>
        </w:rPr>
        <w:t xml:space="preserve">145 appeal, the PTO won on summary judgment, then moved </w:t>
      </w:r>
      <w:r w:rsidR="00897569" w:rsidRPr="00677ABE">
        <w:rPr>
          <w:rFonts w:cs="Times New Roman"/>
          <w:color w:val="000000" w:themeColor="text1"/>
        </w:rPr>
        <w:t>for</w:t>
      </w:r>
      <w:r w:rsidRPr="00677ABE">
        <w:rPr>
          <w:rFonts w:cs="Times New Roman"/>
          <w:color w:val="000000" w:themeColor="text1"/>
        </w:rPr>
        <w:t xml:space="preserve"> expenses; for the first time in history, the PTO requested that attorney fees be included.</w:t>
      </w:r>
      <w:r w:rsidRPr="00677ABE">
        <w:rPr>
          <w:rStyle w:val="FootnoteReference"/>
          <w:rFonts w:cs="Times New Roman"/>
          <w:color w:val="000000" w:themeColor="text1"/>
        </w:rPr>
        <w:footnoteReference w:id="759"/>
      </w:r>
      <w:r w:rsidRPr="00677ABE">
        <w:rPr>
          <w:rFonts w:cs="Times New Roman"/>
          <w:color w:val="000000" w:themeColor="text1"/>
        </w:rPr>
        <w:t xml:space="preserve"> The district court found attorney fees were not covered under </w:t>
      </w:r>
      <w:r w:rsidR="00AC00E6">
        <w:rPr>
          <w:rFonts w:cs="Times New Roman"/>
          <w:color w:val="000000" w:themeColor="text1"/>
        </w:rPr>
        <w:t>§ </w:t>
      </w:r>
      <w:r w:rsidRPr="00677ABE">
        <w:rPr>
          <w:rFonts w:cs="Times New Roman"/>
          <w:color w:val="000000" w:themeColor="text1"/>
        </w:rPr>
        <w:t>145.</w:t>
      </w:r>
      <w:r w:rsidRPr="00677ABE">
        <w:rPr>
          <w:rStyle w:val="FootnoteReference"/>
          <w:rFonts w:cs="Times New Roman"/>
          <w:color w:val="000000" w:themeColor="text1"/>
        </w:rPr>
        <w:footnoteReference w:id="760"/>
      </w:r>
      <w:r w:rsidRPr="00677ABE">
        <w:rPr>
          <w:rFonts w:cs="Times New Roman"/>
          <w:color w:val="000000" w:themeColor="text1"/>
        </w:rPr>
        <w:t xml:space="preserve"> </w:t>
      </w:r>
    </w:p>
    <w:p w14:paraId="299FA938" w14:textId="68048C77" w:rsidR="00897569" w:rsidRPr="00677ABE" w:rsidRDefault="002742FA" w:rsidP="00CA2C0A">
      <w:pPr>
        <w:ind w:firstLine="720"/>
        <w:rPr>
          <w:rFonts w:cs="Times New Roman"/>
          <w:color w:val="000000" w:themeColor="text1"/>
        </w:rPr>
      </w:pPr>
      <w:r w:rsidRPr="00677ABE">
        <w:rPr>
          <w:rFonts w:cs="Times New Roman"/>
          <w:color w:val="000000" w:themeColor="text1"/>
        </w:rPr>
        <w:t>On appeal, a divided panel of the Federal Circuit reversed</w:t>
      </w:r>
      <w:r w:rsidR="00235767" w:rsidRPr="00677ABE">
        <w:rPr>
          <w:rFonts w:cs="Times New Roman"/>
          <w:color w:val="000000" w:themeColor="text1"/>
        </w:rPr>
        <w:t>, but—</w:t>
      </w:r>
      <w:r w:rsidRPr="00677ABE">
        <w:rPr>
          <w:rFonts w:cs="Times New Roman"/>
          <w:color w:val="000000" w:themeColor="text1"/>
        </w:rPr>
        <w:t xml:space="preserve">voting </w:t>
      </w:r>
      <w:r w:rsidRPr="00677ABE">
        <w:rPr>
          <w:rFonts w:cs="Times New Roman"/>
          <w:i/>
          <w:color w:val="000000" w:themeColor="text1"/>
        </w:rPr>
        <w:t xml:space="preserve">sua sponte </w:t>
      </w:r>
      <w:r w:rsidRPr="00677ABE">
        <w:rPr>
          <w:rFonts w:cs="Times New Roman"/>
          <w:color w:val="000000" w:themeColor="text1"/>
        </w:rPr>
        <w:t>to rehear the matter</w:t>
      </w:r>
      <w:r w:rsidR="00235767" w:rsidRPr="00677ABE">
        <w:rPr>
          <w:rFonts w:cs="Times New Roman"/>
          <w:color w:val="000000" w:themeColor="text1"/>
        </w:rPr>
        <w:t xml:space="preserve"> </w:t>
      </w:r>
      <w:r w:rsidR="00235767" w:rsidRPr="00677ABE">
        <w:rPr>
          <w:rFonts w:cs="Times New Roman"/>
          <w:i/>
          <w:color w:val="000000" w:themeColor="text1"/>
        </w:rPr>
        <w:t>en banc</w:t>
      </w:r>
      <w:r w:rsidR="00235767" w:rsidRPr="00677ABE">
        <w:rPr>
          <w:rFonts w:cs="Times New Roman"/>
          <w:color w:val="000000" w:themeColor="text1"/>
        </w:rPr>
        <w:t>—a</w:t>
      </w:r>
      <w:r w:rsidRPr="00677ABE">
        <w:rPr>
          <w:rFonts w:cs="Times New Roman"/>
          <w:color w:val="000000" w:themeColor="text1"/>
        </w:rPr>
        <w:t xml:space="preserve"> majority </w:t>
      </w:r>
      <w:r w:rsidR="00235767" w:rsidRPr="00677ABE">
        <w:rPr>
          <w:rFonts w:cs="Times New Roman"/>
          <w:color w:val="000000" w:themeColor="text1"/>
        </w:rPr>
        <w:t xml:space="preserve">of the full court </w:t>
      </w:r>
      <w:r w:rsidRPr="00677ABE">
        <w:rPr>
          <w:rFonts w:cs="Times New Roman"/>
          <w:color w:val="000000" w:themeColor="text1"/>
        </w:rPr>
        <w:t>affirmed the district</w:t>
      </w:r>
      <w:r w:rsidR="00235767" w:rsidRPr="00677ABE">
        <w:rPr>
          <w:rFonts w:cs="Times New Roman"/>
          <w:color w:val="000000" w:themeColor="text1"/>
        </w:rPr>
        <w:t xml:space="preserve"> decision</w:t>
      </w:r>
      <w:r w:rsidRPr="00677ABE">
        <w:rPr>
          <w:rFonts w:cs="Times New Roman"/>
          <w:color w:val="000000" w:themeColor="text1"/>
        </w:rPr>
        <w:t>.</w:t>
      </w:r>
      <w:r w:rsidRPr="00677ABE">
        <w:rPr>
          <w:rStyle w:val="FootnoteReference"/>
          <w:rFonts w:cs="Times New Roman"/>
          <w:color w:val="000000" w:themeColor="text1"/>
        </w:rPr>
        <w:footnoteReference w:id="761"/>
      </w:r>
      <w:r w:rsidRPr="00677ABE">
        <w:rPr>
          <w:rFonts w:cs="Times New Roman"/>
          <w:color w:val="000000" w:themeColor="text1"/>
        </w:rPr>
        <w:t xml:space="preserve"> The </w:t>
      </w:r>
      <w:r w:rsidR="00235767" w:rsidRPr="00677ABE">
        <w:rPr>
          <w:rFonts w:cs="Times New Roman"/>
          <w:color w:val="000000" w:themeColor="text1"/>
        </w:rPr>
        <w:t>opinions</w:t>
      </w:r>
      <w:r w:rsidRPr="00677ABE">
        <w:rPr>
          <w:rFonts w:cs="Times New Roman"/>
          <w:color w:val="000000" w:themeColor="text1"/>
        </w:rPr>
        <w:t xml:space="preserve"> </w:t>
      </w:r>
      <w:r w:rsidR="00406636" w:rsidRPr="00677ABE">
        <w:rPr>
          <w:rFonts w:cs="Times New Roman"/>
          <w:color w:val="000000" w:themeColor="text1"/>
        </w:rPr>
        <w:t>can be read to turn</w:t>
      </w:r>
      <w:r w:rsidRPr="00677ABE">
        <w:rPr>
          <w:rFonts w:cs="Times New Roman"/>
          <w:color w:val="000000" w:themeColor="text1"/>
        </w:rPr>
        <w:t xml:space="preserve"> first on whether a system wherein the appealing party always pays both sides’ attorneys’ fees contradicts the American Rule, and second, if so, whether Congress was sufficiently “clear and explicit” in drafting </w:t>
      </w:r>
      <w:r w:rsidR="00AC00E6">
        <w:rPr>
          <w:rFonts w:cs="Times New Roman"/>
          <w:color w:val="000000" w:themeColor="text1"/>
        </w:rPr>
        <w:t>§ </w:t>
      </w:r>
      <w:r w:rsidRPr="00677ABE">
        <w:rPr>
          <w:rFonts w:cs="Times New Roman"/>
          <w:color w:val="000000" w:themeColor="text1"/>
        </w:rPr>
        <w:t xml:space="preserve">145 to </w:t>
      </w:r>
      <w:r w:rsidR="00AA2D64" w:rsidRPr="00677ABE">
        <w:rPr>
          <w:rFonts w:cs="Times New Roman"/>
          <w:color w:val="000000" w:themeColor="text1"/>
        </w:rPr>
        <w:t>create and permit</w:t>
      </w:r>
      <w:r w:rsidRPr="00677ABE">
        <w:rPr>
          <w:rFonts w:cs="Times New Roman"/>
          <w:color w:val="000000" w:themeColor="text1"/>
        </w:rPr>
        <w:t xml:space="preserve"> such a system here. </w:t>
      </w:r>
    </w:p>
    <w:p w14:paraId="45A61298" w14:textId="7C0ACDBE" w:rsidR="002742FA" w:rsidRPr="00677ABE" w:rsidRDefault="002742FA" w:rsidP="00CA2C0A">
      <w:pPr>
        <w:ind w:firstLine="720"/>
        <w:rPr>
          <w:rFonts w:cs="Times New Roman"/>
          <w:color w:val="000000" w:themeColor="text1"/>
        </w:rPr>
      </w:pPr>
      <w:r w:rsidRPr="00677ABE">
        <w:rPr>
          <w:rFonts w:cs="Times New Roman"/>
          <w:color w:val="000000" w:themeColor="text1"/>
        </w:rPr>
        <w:t xml:space="preserve">On the first point, the </w:t>
      </w:r>
      <w:r w:rsidRPr="00677ABE">
        <w:rPr>
          <w:rFonts w:cs="Times New Roman"/>
          <w:i/>
          <w:color w:val="000000" w:themeColor="text1"/>
        </w:rPr>
        <w:t xml:space="preserve">en banc </w:t>
      </w:r>
      <w:r w:rsidRPr="00677ABE">
        <w:rPr>
          <w:rFonts w:cs="Times New Roman"/>
          <w:color w:val="000000" w:themeColor="text1"/>
        </w:rPr>
        <w:t xml:space="preserve">decision held that the American Rule is violated whenever a party does not pay its own legal fees. </w:t>
      </w:r>
      <w:r w:rsidR="00406636" w:rsidRPr="00677ABE">
        <w:rPr>
          <w:rFonts w:cs="Times New Roman"/>
          <w:color w:val="000000" w:themeColor="text1"/>
        </w:rPr>
        <w:t>The American Rule that</w:t>
      </w:r>
      <w:r w:rsidRPr="00677ABE">
        <w:rPr>
          <w:rFonts w:cs="Times New Roman"/>
          <w:color w:val="000000" w:themeColor="text1"/>
        </w:rPr>
        <w:t xml:space="preserve"> each litigant</w:t>
      </w:r>
      <w:r w:rsidR="00406636" w:rsidRPr="00677ABE">
        <w:rPr>
          <w:rFonts w:cs="Times New Roman"/>
          <w:color w:val="000000" w:themeColor="text1"/>
        </w:rPr>
        <w:t xml:space="preserve"> pays its own fees, win or lose,</w:t>
      </w:r>
      <w:r w:rsidR="00AA2D64" w:rsidRPr="00677ABE">
        <w:rPr>
          <w:rFonts w:cs="Times New Roman"/>
          <w:color w:val="000000" w:themeColor="text1"/>
        </w:rPr>
        <w:t xml:space="preserve"> </w:t>
      </w:r>
      <w:r w:rsidRPr="00677ABE">
        <w:rPr>
          <w:rFonts w:cs="Times New Roman"/>
          <w:color w:val="000000" w:themeColor="text1"/>
        </w:rPr>
        <w:t>is a “bedrock principle” that “the Supreme Court has held . . . presumptively applies and any statutory deviations from it must be ‘specific and explicit.’”</w:t>
      </w:r>
      <w:r w:rsidRPr="00677ABE">
        <w:rPr>
          <w:rStyle w:val="FootnoteReference"/>
          <w:rFonts w:cs="Times New Roman"/>
          <w:color w:val="000000" w:themeColor="text1"/>
        </w:rPr>
        <w:footnoteReference w:id="762"/>
      </w:r>
      <w:r w:rsidRPr="00677ABE">
        <w:rPr>
          <w:rFonts w:cs="Times New Roman"/>
          <w:color w:val="000000" w:themeColor="text1"/>
        </w:rPr>
        <w:t xml:space="preserve"> In contrast, the dissent (and the earlier panel’s majority) would have held that the American Rule is only broken when a statute requires the losing party to pay, as the Fourth Circuit </w:t>
      </w:r>
      <w:r w:rsidR="00AA2D64" w:rsidRPr="00677ABE">
        <w:rPr>
          <w:rFonts w:cs="Times New Roman"/>
          <w:color w:val="000000" w:themeColor="text1"/>
        </w:rPr>
        <w:t xml:space="preserve">had </w:t>
      </w:r>
      <w:r w:rsidRPr="00677ABE">
        <w:rPr>
          <w:rFonts w:cs="Times New Roman"/>
          <w:color w:val="000000" w:themeColor="text1"/>
        </w:rPr>
        <w:t xml:space="preserve">reasoned when interpreting a trademark statute in </w:t>
      </w:r>
      <w:r w:rsidRPr="00677ABE">
        <w:rPr>
          <w:rFonts w:cs="Times New Roman"/>
          <w:i/>
          <w:color w:val="000000" w:themeColor="text1"/>
        </w:rPr>
        <w:t>Shammas</w:t>
      </w:r>
      <w:r w:rsidRPr="00677ABE">
        <w:rPr>
          <w:rFonts w:cs="Times New Roman"/>
          <w:color w:val="000000" w:themeColor="text1"/>
        </w:rPr>
        <w:t>.</w:t>
      </w:r>
      <w:r w:rsidRPr="00677ABE">
        <w:rPr>
          <w:rStyle w:val="FootnoteReference"/>
          <w:rFonts w:cs="Times New Roman"/>
          <w:color w:val="000000" w:themeColor="text1"/>
        </w:rPr>
        <w:footnoteReference w:id="763"/>
      </w:r>
      <w:r w:rsidRPr="00677ABE">
        <w:rPr>
          <w:rFonts w:cs="Times New Roman"/>
          <w:color w:val="000000" w:themeColor="text1"/>
        </w:rPr>
        <w:t xml:space="preserve"> </w:t>
      </w:r>
    </w:p>
    <w:p w14:paraId="0572196F" w14:textId="72E5518D" w:rsidR="00FD12D9" w:rsidRPr="00677ABE" w:rsidRDefault="002742FA" w:rsidP="00CA2C0A">
      <w:pPr>
        <w:rPr>
          <w:rFonts w:cs="Times New Roman"/>
        </w:rPr>
      </w:pPr>
      <w:r w:rsidRPr="00677ABE">
        <w:rPr>
          <w:rFonts w:cs="Times New Roman"/>
        </w:rPr>
        <w:t>On the second point, given the American Rule applied and was violated, the Federal Circuit held that the statute did not meet the stringent “specific and explicit” standard to be a congressionally permitted exception. While no “magic words” are needed,</w:t>
      </w:r>
      <w:r w:rsidRPr="00677ABE">
        <w:rPr>
          <w:rStyle w:val="FootnoteReference"/>
          <w:rFonts w:cs="Times New Roman"/>
          <w:color w:val="000000" w:themeColor="text1"/>
        </w:rPr>
        <w:footnoteReference w:id="764"/>
      </w:r>
      <w:r w:rsidRPr="00677ABE">
        <w:rPr>
          <w:rFonts w:cs="Times New Roman"/>
        </w:rPr>
        <w:t xml:space="preserve"> the Supreme Court has rejected “statutory language that might, to a layperson, seem broad enough to cover attorneys’ fees . . . .”</w:t>
      </w:r>
      <w:r w:rsidRPr="00677ABE">
        <w:rPr>
          <w:rStyle w:val="FootnoteReference"/>
          <w:rFonts w:cs="Times New Roman"/>
          <w:color w:val="000000" w:themeColor="text1"/>
        </w:rPr>
        <w:footnoteReference w:id="765"/>
      </w:r>
      <w:r w:rsidR="00406636" w:rsidRPr="00677ABE">
        <w:rPr>
          <w:rFonts w:cs="Times New Roman"/>
        </w:rPr>
        <w:t xml:space="preserve"> One</w:t>
      </w:r>
      <w:r w:rsidRPr="00677ABE">
        <w:rPr>
          <w:rFonts w:cs="Times New Roman"/>
        </w:rPr>
        <w:t xml:space="preserve"> permitted exception, for example, </w:t>
      </w:r>
      <w:r w:rsidR="00406636" w:rsidRPr="00677ABE">
        <w:rPr>
          <w:rFonts w:cs="Times New Roman"/>
        </w:rPr>
        <w:t>is a statute directing</w:t>
      </w:r>
      <w:r w:rsidRPr="00677ABE">
        <w:rPr>
          <w:rFonts w:cs="Times New Roman"/>
        </w:rPr>
        <w:t xml:space="preserve"> a court to “award[] to a prevailing party . . . fees and other expenses.”</w:t>
      </w:r>
      <w:r w:rsidRPr="00677ABE">
        <w:rPr>
          <w:rStyle w:val="FootnoteReference"/>
          <w:rFonts w:cs="Times New Roman"/>
          <w:color w:val="000000" w:themeColor="text1"/>
        </w:rPr>
        <w:footnoteReference w:id="766"/>
      </w:r>
      <w:r w:rsidRPr="00677ABE">
        <w:rPr>
          <w:rFonts w:cs="Times New Roman"/>
        </w:rPr>
        <w:t xml:space="preserve"> Here, the term “expenses” was held to be</w:t>
      </w:r>
      <w:r w:rsidR="005D052E" w:rsidRPr="00677ABE">
        <w:rPr>
          <w:rFonts w:cs="Times New Roman"/>
        </w:rPr>
        <w:t xml:space="preserve"> in</w:t>
      </w:r>
      <w:r w:rsidRPr="00677ABE">
        <w:rPr>
          <w:rFonts w:cs="Times New Roman"/>
        </w:rPr>
        <w:t>sufficiently explicit to cover “attorneys’ fees.” The majority supported this decision by drawing upon 170 years of understanding and practice,</w:t>
      </w:r>
      <w:r w:rsidRPr="00677ABE">
        <w:rPr>
          <w:rStyle w:val="FootnoteReference"/>
          <w:rFonts w:cs="Times New Roman"/>
          <w:color w:val="000000" w:themeColor="text1"/>
        </w:rPr>
        <w:footnoteReference w:id="767"/>
      </w:r>
      <w:r w:rsidRPr="00677ABE">
        <w:rPr>
          <w:rFonts w:cs="Times New Roman"/>
        </w:rPr>
        <w:t xml:space="preserve"> </w:t>
      </w:r>
      <w:r w:rsidR="00406636" w:rsidRPr="00677ABE">
        <w:rPr>
          <w:rFonts w:cs="Times New Roman"/>
        </w:rPr>
        <w:t>historic</w:t>
      </w:r>
      <w:r w:rsidRPr="00677ABE">
        <w:rPr>
          <w:rFonts w:cs="Times New Roman"/>
        </w:rPr>
        <w:t xml:space="preserve"> dictionaries,</w:t>
      </w:r>
      <w:r w:rsidRPr="00677ABE">
        <w:rPr>
          <w:rStyle w:val="FootnoteReference"/>
          <w:rFonts w:cs="Times New Roman"/>
          <w:color w:val="000000" w:themeColor="text1"/>
        </w:rPr>
        <w:footnoteReference w:id="768"/>
      </w:r>
      <w:r w:rsidRPr="00677ABE">
        <w:rPr>
          <w:rFonts w:cs="Times New Roman"/>
        </w:rPr>
        <w:t xml:space="preserve"> comparisons between this and other areas of the Patent Act,</w:t>
      </w:r>
      <w:r w:rsidRPr="00677ABE">
        <w:rPr>
          <w:rStyle w:val="FootnoteReference"/>
          <w:rFonts w:cs="Times New Roman"/>
          <w:color w:val="000000" w:themeColor="text1"/>
        </w:rPr>
        <w:footnoteReference w:id="769"/>
      </w:r>
      <w:r w:rsidRPr="00677ABE">
        <w:rPr>
          <w:rFonts w:cs="Times New Roman"/>
        </w:rPr>
        <w:t xml:space="preserve"> comparisons between this and other statutes (which again treat attorneys’ fees as distinct from expenses or else as a component of expenses deserving explicit mention),</w:t>
      </w:r>
      <w:r w:rsidRPr="00677ABE">
        <w:rPr>
          <w:rStyle w:val="FootnoteReference"/>
          <w:rFonts w:cs="Times New Roman"/>
          <w:color w:val="000000" w:themeColor="text1"/>
        </w:rPr>
        <w:footnoteReference w:id="770"/>
      </w:r>
      <w:r w:rsidRPr="00677ABE">
        <w:rPr>
          <w:rFonts w:cs="Times New Roman"/>
        </w:rPr>
        <w:t xml:space="preserve"> and other judicial decisions</w:t>
      </w:r>
      <w:r w:rsidR="0038054B" w:rsidRPr="00677ABE">
        <w:rPr>
          <w:rFonts w:cs="Times New Roman"/>
        </w:rPr>
        <w:t>.</w:t>
      </w:r>
      <w:r w:rsidRPr="00677ABE">
        <w:rPr>
          <w:rStyle w:val="FootnoteReference"/>
          <w:rFonts w:cs="Times New Roman"/>
          <w:color w:val="000000" w:themeColor="text1"/>
        </w:rPr>
        <w:footnoteReference w:id="771"/>
      </w:r>
      <w:r w:rsidR="0038054B" w:rsidRPr="00677ABE">
        <w:rPr>
          <w:rFonts w:cs="Times New Roman"/>
        </w:rPr>
        <w:t xml:space="preserve"> It said the dissent’s reading of past decisions failed to appreciate distinguishing details</w:t>
      </w:r>
      <w:r w:rsidRPr="00677ABE">
        <w:rPr>
          <w:rFonts w:cs="Times New Roman"/>
        </w:rPr>
        <w:t>,</w:t>
      </w:r>
      <w:r w:rsidRPr="00677ABE">
        <w:rPr>
          <w:rStyle w:val="FootnoteReference"/>
          <w:rFonts w:cs="Times New Roman"/>
          <w:color w:val="000000" w:themeColor="text1"/>
        </w:rPr>
        <w:footnoteReference w:id="772"/>
      </w:r>
      <w:r w:rsidRPr="00677ABE">
        <w:rPr>
          <w:rFonts w:cs="Times New Roman"/>
        </w:rPr>
        <w:t xml:space="preserve"> and that its reading of legislative history was </w:t>
      </w:r>
      <w:r w:rsidR="00262854" w:rsidRPr="00677ABE">
        <w:rPr>
          <w:rFonts w:cs="Times New Roman"/>
        </w:rPr>
        <w:t xml:space="preserve">not only inaccurate but </w:t>
      </w:r>
      <w:r w:rsidRPr="00677ABE">
        <w:rPr>
          <w:rFonts w:cs="Times New Roman"/>
        </w:rPr>
        <w:t>inappropriate</w:t>
      </w:r>
      <w:r w:rsidR="00262854" w:rsidRPr="00677ABE">
        <w:rPr>
          <w:rFonts w:cs="Times New Roman"/>
        </w:rPr>
        <w:t>,</w:t>
      </w:r>
      <w:r w:rsidRPr="00677ABE">
        <w:rPr>
          <w:rFonts w:cs="Times New Roman"/>
        </w:rPr>
        <w:t xml:space="preserve"> given the standard requires </w:t>
      </w:r>
      <w:r w:rsidR="00262854" w:rsidRPr="00677ABE">
        <w:rPr>
          <w:rFonts w:cs="Times New Roman"/>
        </w:rPr>
        <w:t>clear intent o</w:t>
      </w:r>
      <w:r w:rsidRPr="00677ABE">
        <w:rPr>
          <w:rFonts w:cs="Times New Roman"/>
        </w:rPr>
        <w:t xml:space="preserve">n </w:t>
      </w:r>
      <w:r w:rsidR="005D052E" w:rsidRPr="00677ABE">
        <w:rPr>
          <w:rFonts w:cs="Times New Roman"/>
        </w:rPr>
        <w:t>the statute’s</w:t>
      </w:r>
      <w:r w:rsidRPr="00677ABE">
        <w:rPr>
          <w:rFonts w:cs="Times New Roman"/>
        </w:rPr>
        <w:t xml:space="preserve"> face.</w:t>
      </w:r>
      <w:r w:rsidRPr="00677ABE">
        <w:rPr>
          <w:rStyle w:val="FootnoteReference"/>
          <w:rFonts w:cs="Times New Roman"/>
          <w:color w:val="000000" w:themeColor="text1"/>
        </w:rPr>
        <w:footnoteReference w:id="773"/>
      </w:r>
      <w:r w:rsidRPr="00677ABE">
        <w:rPr>
          <w:rFonts w:cs="Times New Roman"/>
        </w:rPr>
        <w:t xml:space="preserve"> </w:t>
      </w:r>
    </w:p>
    <w:p w14:paraId="7BF78499" w14:textId="39A19262" w:rsidR="002742FA" w:rsidRPr="00677ABE" w:rsidRDefault="002742FA" w:rsidP="00CA2C0A">
      <w:pPr>
        <w:pStyle w:val="NormalWeb"/>
        <w:shd w:val="clear" w:color="auto" w:fill="FFFFFF"/>
        <w:spacing w:before="0" w:beforeAutospacing="0" w:after="0" w:afterAutospacing="0"/>
        <w:ind w:firstLine="720"/>
        <w:rPr>
          <w:color w:val="000000" w:themeColor="text1"/>
        </w:rPr>
      </w:pPr>
      <w:r w:rsidRPr="00677ABE">
        <w:rPr>
          <w:color w:val="000000" w:themeColor="text1"/>
        </w:rPr>
        <w:t xml:space="preserve">Finally, the majority rejected policy arguments that </w:t>
      </w:r>
      <w:r w:rsidR="00AC00E6">
        <w:rPr>
          <w:color w:val="000000" w:themeColor="text1"/>
        </w:rPr>
        <w:t>§ </w:t>
      </w:r>
      <w:r w:rsidRPr="00677ABE">
        <w:rPr>
          <w:color w:val="000000" w:themeColor="text1"/>
        </w:rPr>
        <w:t>145 suits create costs that all patent applicants bear, determining these costs to be small and the fairness of allocati</w:t>
      </w:r>
      <w:r w:rsidR="00262854" w:rsidRPr="00677ABE">
        <w:rPr>
          <w:color w:val="000000" w:themeColor="text1"/>
        </w:rPr>
        <w:t xml:space="preserve">ng them better left to Congress, </w:t>
      </w:r>
      <w:r w:rsidRPr="00677ABE">
        <w:rPr>
          <w:color w:val="000000" w:themeColor="text1"/>
        </w:rPr>
        <w:t xml:space="preserve">which recently rebuffed </w:t>
      </w:r>
      <w:r w:rsidR="00FD12D9" w:rsidRPr="00677ABE">
        <w:rPr>
          <w:color w:val="000000" w:themeColor="text1"/>
        </w:rPr>
        <w:t xml:space="preserve">a </w:t>
      </w:r>
      <w:r w:rsidR="00AC00E6">
        <w:rPr>
          <w:color w:val="000000" w:themeColor="text1"/>
        </w:rPr>
        <w:t>§ </w:t>
      </w:r>
      <w:r w:rsidR="00FD12D9" w:rsidRPr="00677ABE">
        <w:rPr>
          <w:color w:val="000000" w:themeColor="text1"/>
        </w:rPr>
        <w:t>145 repeal</w:t>
      </w:r>
      <w:r w:rsidRPr="00677ABE">
        <w:rPr>
          <w:color w:val="000000" w:themeColor="text1"/>
        </w:rPr>
        <w:t xml:space="preserve"> effort.</w:t>
      </w:r>
      <w:r w:rsidRPr="00677ABE">
        <w:rPr>
          <w:rStyle w:val="FootnoteReference"/>
          <w:color w:val="000000" w:themeColor="text1"/>
        </w:rPr>
        <w:footnoteReference w:id="774"/>
      </w:r>
    </w:p>
    <w:p w14:paraId="6B49677C" w14:textId="77777777" w:rsidR="002416A7" w:rsidRDefault="002416A7" w:rsidP="00CA2C0A">
      <w:pPr>
        <w:rPr>
          <w:rFonts w:eastAsiaTheme="majorEastAsia" w:cs="Times New Roman"/>
          <w:b/>
          <w:bCs/>
        </w:rPr>
      </w:pPr>
      <w:r>
        <w:rPr>
          <w:rFonts w:cs="Times New Roman"/>
        </w:rPr>
        <w:br w:type="page"/>
      </w:r>
    </w:p>
    <w:p w14:paraId="5A283E35" w14:textId="77777777" w:rsidR="00F20B84" w:rsidRDefault="007D0629" w:rsidP="00CA2C0A">
      <w:pPr>
        <w:pStyle w:val="Heading1"/>
        <w:rPr>
          <w:rFonts w:cs="Times New Roman"/>
          <w:szCs w:val="24"/>
        </w:rPr>
      </w:pPr>
      <w:bookmarkStart w:id="161" w:name="_Toc531692793"/>
      <w:r w:rsidRPr="00677ABE">
        <w:rPr>
          <w:rFonts w:cs="Times New Roman"/>
          <w:szCs w:val="24"/>
        </w:rPr>
        <w:t>PRACTICE AND PROCEDURE</w:t>
      </w:r>
      <w:bookmarkEnd w:id="161"/>
    </w:p>
    <w:p w14:paraId="4B078168" w14:textId="77777777" w:rsidR="00F20B84" w:rsidRDefault="002766D9" w:rsidP="00CA2C0A">
      <w:pPr>
        <w:pStyle w:val="Heading2"/>
        <w:rPr>
          <w:rFonts w:cs="Times New Roman"/>
          <w:szCs w:val="24"/>
        </w:rPr>
      </w:pPr>
      <w:bookmarkStart w:id="162" w:name="_Toc516586596"/>
      <w:bookmarkStart w:id="163" w:name="_Toc531692794"/>
      <w:r w:rsidRPr="00677ABE">
        <w:rPr>
          <w:rFonts w:cs="Times New Roman"/>
          <w:szCs w:val="24"/>
        </w:rPr>
        <w:t>Exclusive Jurisdiction</w:t>
      </w:r>
      <w:bookmarkEnd w:id="162"/>
      <w:bookmarkEnd w:id="163"/>
    </w:p>
    <w:p w14:paraId="13978BDC" w14:textId="54E75DD4" w:rsidR="002766D9" w:rsidRPr="00677ABE" w:rsidRDefault="002766D9" w:rsidP="00CA2C0A">
      <w:pPr>
        <w:pStyle w:val="Heading3"/>
        <w:ind w:firstLine="0"/>
        <w:rPr>
          <w:rFonts w:cs="Times New Roman"/>
          <w:i w:val="0"/>
        </w:rPr>
      </w:pPr>
      <w:bookmarkStart w:id="164" w:name="_Toc516586597"/>
      <w:bookmarkStart w:id="165" w:name="_Toc531692795"/>
      <w:r w:rsidRPr="00677ABE">
        <w:rPr>
          <w:rFonts w:cs="Times New Roman"/>
        </w:rPr>
        <w:t>Xitronix Corp. v. KLA-Tencor Corp.</w:t>
      </w:r>
      <w:r w:rsidRPr="00677ABE">
        <w:rPr>
          <w:rFonts w:cs="Times New Roman"/>
          <w:i w:val="0"/>
        </w:rPr>
        <w:t>, 882 F.3d 1075 (Fed. Cir. Feb. 9, 2018)</w:t>
      </w:r>
      <w:bookmarkEnd w:id="164"/>
      <w:r w:rsidR="00B835E2" w:rsidRPr="00677ABE">
        <w:rPr>
          <w:rFonts w:cs="Times New Roman"/>
          <w:i w:val="0"/>
        </w:rPr>
        <w:t>, rehearing en banc denied 892 F.3d 1194 (Fed. Cir. June 15, 2018)</w:t>
      </w:r>
      <w:bookmarkEnd w:id="165"/>
    </w:p>
    <w:p w14:paraId="37DD235B" w14:textId="5941273D" w:rsidR="002766D9" w:rsidRPr="00677ABE" w:rsidRDefault="002766D9" w:rsidP="00CA2C0A">
      <w:pPr>
        <w:rPr>
          <w:rFonts w:cs="Times New Roman"/>
        </w:rPr>
      </w:pPr>
      <w:r w:rsidRPr="00677ABE">
        <w:rPr>
          <w:rFonts w:cs="Times New Roman"/>
          <w:lang w:eastAsia="x-none"/>
        </w:rPr>
        <w:tab/>
        <w:t xml:space="preserve">Xitronix brought against KLA </w:t>
      </w:r>
      <w:r w:rsidRPr="00677ABE">
        <w:rPr>
          <w:rFonts w:cs="Times New Roman"/>
        </w:rPr>
        <w:t xml:space="preserve">a </w:t>
      </w:r>
      <w:r w:rsidRPr="00677ABE">
        <w:rPr>
          <w:rFonts w:cs="Times New Roman"/>
          <w:i/>
        </w:rPr>
        <w:t>Walker Process</w:t>
      </w:r>
      <w:r w:rsidRPr="00677ABE">
        <w:rPr>
          <w:rFonts w:cs="Times New Roman"/>
        </w:rPr>
        <w:t xml:space="preserve"> monopolization claim under </w:t>
      </w:r>
      <w:r w:rsidR="00AC00E6">
        <w:rPr>
          <w:rFonts w:cs="Times New Roman"/>
        </w:rPr>
        <w:t>§ </w:t>
      </w:r>
      <w:r w:rsidRPr="00677ABE">
        <w:rPr>
          <w:rFonts w:cs="Times New Roman"/>
        </w:rPr>
        <w:t>2 of the Sherman Act and §</w:t>
      </w:r>
      <w:r w:rsidR="00AC00E6">
        <w:rPr>
          <w:rFonts w:cs="Times New Roman"/>
        </w:rPr>
        <w:t>§ </w:t>
      </w:r>
      <w:r w:rsidRPr="00677ABE">
        <w:rPr>
          <w:rFonts w:cs="Times New Roman"/>
        </w:rPr>
        <w:t>4 and 6 of the Clayton Act based on the alleged fraudulent prosecution of a patent.</w:t>
      </w:r>
      <w:r w:rsidRPr="00677ABE">
        <w:rPr>
          <w:rStyle w:val="FootnoteReference"/>
          <w:rFonts w:cs="Times New Roman"/>
        </w:rPr>
        <w:footnoteReference w:id="775"/>
      </w:r>
      <w:r w:rsidRPr="00677ABE">
        <w:rPr>
          <w:rFonts w:cs="Times New Roman"/>
        </w:rPr>
        <w:t xml:space="preserve"> Acting </w:t>
      </w:r>
      <w:r w:rsidRPr="00677ABE">
        <w:rPr>
          <w:rFonts w:cs="Times New Roman"/>
          <w:i/>
        </w:rPr>
        <w:t>sua sponte</w:t>
      </w:r>
      <w:r w:rsidRPr="00677ABE">
        <w:rPr>
          <w:rFonts w:cs="Times New Roman"/>
        </w:rPr>
        <w:t>, the Federal Circuit determined that it did not have jurisdiction over the case and transferred the case to the Fifth Circuit.</w:t>
      </w:r>
      <w:r w:rsidRPr="00677ABE">
        <w:rPr>
          <w:rStyle w:val="FootnoteReference"/>
          <w:rFonts w:cs="Times New Roman"/>
        </w:rPr>
        <w:footnoteReference w:id="776"/>
      </w:r>
    </w:p>
    <w:p w14:paraId="39A228E2" w14:textId="77777777" w:rsidR="002766D9" w:rsidRPr="00677ABE" w:rsidRDefault="002766D9" w:rsidP="00CA2C0A">
      <w:pPr>
        <w:rPr>
          <w:rFonts w:cs="Times New Roman"/>
        </w:rPr>
      </w:pPr>
      <w:r w:rsidRPr="00677ABE">
        <w:rPr>
          <w:rFonts w:cs="Times New Roman"/>
          <w:lang w:eastAsia="x-none"/>
        </w:rPr>
        <w:tab/>
        <w:t xml:space="preserve">The court explained that “[t]here is nothing </w:t>
      </w:r>
      <w:r w:rsidRPr="00677ABE">
        <w:rPr>
          <w:rFonts w:cs="Times New Roman"/>
        </w:rPr>
        <w:t>unique to patent law about allegations of false statements.”</w:t>
      </w:r>
      <w:r w:rsidRPr="00677ABE">
        <w:rPr>
          <w:rStyle w:val="FootnoteReference"/>
          <w:rFonts w:cs="Times New Roman"/>
        </w:rPr>
        <w:footnoteReference w:id="777"/>
      </w:r>
      <w:r w:rsidRPr="00677ABE">
        <w:rPr>
          <w:rFonts w:cs="Times New Roman"/>
        </w:rPr>
        <w:t xml:space="preserve"> The court “acknowledge[d] that a determination of the alleged misrepresentations to the PTO will almost certainly require some application of patent law,” and possibly even “analysis of the claims and specifications” in the present case.</w:t>
      </w:r>
      <w:r w:rsidRPr="00677ABE">
        <w:rPr>
          <w:rStyle w:val="FootnoteReference"/>
          <w:rFonts w:cs="Times New Roman"/>
        </w:rPr>
        <w:footnoteReference w:id="778"/>
      </w:r>
      <w:r w:rsidRPr="00677ABE">
        <w:rPr>
          <w:rFonts w:cs="Times New Roman"/>
        </w:rPr>
        <w:t xml:space="preserve"> But the Supreme Court’s recent decision in </w:t>
      </w:r>
      <w:r w:rsidRPr="00677ABE">
        <w:rPr>
          <w:rFonts w:cs="Times New Roman"/>
          <w:i/>
        </w:rPr>
        <w:t>Gunn v. Minton</w:t>
      </w:r>
      <w:r w:rsidRPr="00677ABE">
        <w:rPr>
          <w:rFonts w:cs="Times New Roman"/>
        </w:rPr>
        <w:t xml:space="preserve"> made clear that “consistency with the federal question jurisdiction statute requires more than a mere resolution of a patent issue in a ‘case within a case.’”</w:t>
      </w:r>
      <w:r w:rsidRPr="00677ABE">
        <w:rPr>
          <w:rStyle w:val="FootnoteReference"/>
          <w:rFonts w:cs="Times New Roman"/>
        </w:rPr>
        <w:footnoteReference w:id="779"/>
      </w:r>
      <w:r w:rsidRPr="00677ABE">
        <w:rPr>
          <w:rFonts w:cs="Times New Roman"/>
        </w:rPr>
        <w:t xml:space="preserve"> “The underlying patent issue in this case, while important to the parties and necessary for resolution of the claims, does not present a substantial issue of patent law.”</w:t>
      </w:r>
      <w:r w:rsidRPr="00677ABE">
        <w:rPr>
          <w:rStyle w:val="FootnoteReference"/>
          <w:rFonts w:cs="Times New Roman"/>
        </w:rPr>
        <w:footnoteReference w:id="780"/>
      </w:r>
      <w:r w:rsidRPr="00677ABE">
        <w:rPr>
          <w:rFonts w:cs="Times New Roman"/>
        </w:rPr>
        <w:t xml:space="preserve"> For instance, “[t]here is no dispute over the validity of the claims—patent law is only relevant to determine if KLA intentionally made misrepresentations.”</w:t>
      </w:r>
      <w:r w:rsidRPr="00677ABE">
        <w:rPr>
          <w:rStyle w:val="FootnoteReference"/>
          <w:rFonts w:cs="Times New Roman"/>
        </w:rPr>
        <w:footnoteReference w:id="781"/>
      </w:r>
      <w:r w:rsidRPr="00677ABE">
        <w:rPr>
          <w:rFonts w:cs="Times New Roman"/>
        </w:rPr>
        <w:t xml:space="preserve"> Furthermore, “[b]ecause Federal Circuit law applies to substantive questions involving our exclusive jurisdiction, the fact that at least some </w:t>
      </w:r>
      <w:r w:rsidRPr="00677ABE">
        <w:rPr>
          <w:rFonts w:cs="Times New Roman"/>
          <w:i/>
        </w:rPr>
        <w:t>Walker Process</w:t>
      </w:r>
      <w:r w:rsidRPr="00677ABE">
        <w:rPr>
          <w:rFonts w:cs="Times New Roman"/>
        </w:rPr>
        <w:t xml:space="preserve"> claims may be appealed to the regional circuits will not undermine our uniform body of patent law.”</w:t>
      </w:r>
      <w:r w:rsidRPr="00677ABE">
        <w:rPr>
          <w:rStyle w:val="FootnoteReference"/>
          <w:rFonts w:cs="Times New Roman"/>
        </w:rPr>
        <w:footnoteReference w:id="782"/>
      </w:r>
    </w:p>
    <w:p w14:paraId="1D07433D" w14:textId="359299AA" w:rsidR="002766D9" w:rsidRPr="00677ABE" w:rsidRDefault="002766D9" w:rsidP="00CA2C0A">
      <w:pPr>
        <w:rPr>
          <w:rFonts w:cs="Times New Roman"/>
        </w:rPr>
      </w:pPr>
      <w:r w:rsidRPr="00677ABE">
        <w:rPr>
          <w:rFonts w:cs="Times New Roman"/>
          <w:lang w:eastAsia="x-none"/>
        </w:rPr>
        <w:tab/>
        <w:t>A</w:t>
      </w:r>
      <w:r w:rsidRPr="00677ABE">
        <w:rPr>
          <w:rFonts w:cs="Times New Roman"/>
        </w:rPr>
        <w:t xml:space="preserve">lthough the court previously determined that it had jurisdiction over </w:t>
      </w:r>
      <w:r w:rsidRPr="00677ABE">
        <w:rPr>
          <w:rFonts w:cs="Times New Roman"/>
          <w:i/>
        </w:rPr>
        <w:t>Walker Process</w:t>
      </w:r>
      <w:r w:rsidRPr="00677ABE">
        <w:rPr>
          <w:rFonts w:cs="Times New Roman"/>
        </w:rPr>
        <w:t xml:space="preserve"> claims in </w:t>
      </w:r>
      <w:r w:rsidRPr="00677ABE">
        <w:rPr>
          <w:rFonts w:cs="Times New Roman"/>
          <w:i/>
        </w:rPr>
        <w:t>In re Ciprofloxacin Hydrochloride Antitrust Litigation</w:t>
      </w:r>
      <w:r w:rsidRPr="00677ABE">
        <w:rPr>
          <w:rFonts w:cs="Times New Roman"/>
        </w:rPr>
        <w:t xml:space="preserve"> decision, in that case the court was “merely accepting a transfer from another circuit court” and only analyzed jurisdiction in a single footnote.</w:t>
      </w:r>
      <w:r w:rsidRPr="00677ABE">
        <w:rPr>
          <w:rStyle w:val="FootnoteReference"/>
          <w:rFonts w:cs="Times New Roman"/>
        </w:rPr>
        <w:footnoteReference w:id="783"/>
      </w:r>
      <w:r w:rsidRPr="00677ABE">
        <w:rPr>
          <w:rFonts w:cs="Times New Roman"/>
        </w:rPr>
        <w:t xml:space="preserve"> Moreover, “[t]o the extent our prior precedent could be interpreted contrary to </w:t>
      </w:r>
      <w:r w:rsidRPr="00677ABE">
        <w:rPr>
          <w:rFonts w:cs="Times New Roman"/>
          <w:i/>
        </w:rPr>
        <w:t>Gunn</w:t>
      </w:r>
      <w:r w:rsidRPr="00677ABE">
        <w:rPr>
          <w:rFonts w:cs="Times New Roman"/>
        </w:rPr>
        <w:t>, the Supreme court rendered that interpretation invalid.”</w:t>
      </w:r>
      <w:r w:rsidRPr="00677ABE">
        <w:rPr>
          <w:rStyle w:val="FootnoteReference"/>
          <w:rFonts w:cs="Times New Roman"/>
        </w:rPr>
        <w:footnoteReference w:id="784"/>
      </w:r>
    </w:p>
    <w:p w14:paraId="275F652C" w14:textId="77777777" w:rsidR="004C5312" w:rsidRDefault="00B835E2" w:rsidP="00CA2C0A">
      <w:pPr>
        <w:autoSpaceDE w:val="0"/>
        <w:autoSpaceDN w:val="0"/>
        <w:adjustRightInd w:val="0"/>
        <w:ind w:firstLine="720"/>
        <w:rPr>
          <w:rFonts w:cs="Times New Roman"/>
        </w:rPr>
      </w:pPr>
      <w:r w:rsidRPr="00677ABE">
        <w:rPr>
          <w:rFonts w:cs="Times New Roman"/>
        </w:rPr>
        <w:t xml:space="preserve">After a Federal Circuit panel decided to transfer this matter to the Fifth Circuit, the Federal Circuit denied an </w:t>
      </w:r>
      <w:r w:rsidRPr="00677ABE">
        <w:rPr>
          <w:rFonts w:cs="Times New Roman"/>
          <w:i/>
        </w:rPr>
        <w:t>en banc</w:t>
      </w:r>
      <w:r w:rsidRPr="00677ABE">
        <w:rPr>
          <w:rFonts w:cs="Times New Roman"/>
        </w:rPr>
        <w:t xml:space="preserve"> rehearing.</w:t>
      </w:r>
      <w:r w:rsidRPr="00677ABE">
        <w:rPr>
          <w:rStyle w:val="FootnoteReference"/>
          <w:rFonts w:cs="Times New Roman"/>
        </w:rPr>
        <w:footnoteReference w:id="785"/>
      </w:r>
      <w:r w:rsidRPr="00677ABE">
        <w:rPr>
          <w:rFonts w:cs="Times New Roman"/>
        </w:rPr>
        <w:t xml:space="preserve"> </w:t>
      </w:r>
    </w:p>
    <w:p w14:paraId="5D81D38A" w14:textId="77777777" w:rsidR="00F20B84" w:rsidRDefault="00B835E2" w:rsidP="00CA2C0A">
      <w:pPr>
        <w:autoSpaceDE w:val="0"/>
        <w:autoSpaceDN w:val="0"/>
        <w:adjustRightInd w:val="0"/>
        <w:ind w:firstLine="720"/>
        <w:rPr>
          <w:rFonts w:cs="Times New Roman"/>
        </w:rPr>
      </w:pPr>
      <w:r w:rsidRPr="00677ABE">
        <w:rPr>
          <w:rFonts w:cs="Times New Roman"/>
        </w:rPr>
        <w:t>Judge Newman</w:t>
      </w:r>
      <w:r w:rsidR="00DC1E9F" w:rsidRPr="00677ABE">
        <w:rPr>
          <w:rFonts w:cs="Times New Roman"/>
        </w:rPr>
        <w:t>, dissenting from denial of rehearing en banc,</w:t>
      </w:r>
      <w:r w:rsidRPr="00677ABE">
        <w:rPr>
          <w:rFonts w:cs="Times New Roman"/>
        </w:rPr>
        <w:t xml:space="preserve"> gave four reasons the case should have been reheard.</w:t>
      </w:r>
      <w:r w:rsidRPr="00677ABE">
        <w:rPr>
          <w:rStyle w:val="FootnoteReference"/>
          <w:rFonts w:cs="Times New Roman"/>
        </w:rPr>
        <w:footnoteReference w:id="786"/>
      </w:r>
      <w:r w:rsidRPr="00677ABE">
        <w:rPr>
          <w:rFonts w:cs="Times New Roman"/>
        </w:rPr>
        <w:t xml:space="preserve"> First, she argued that raising this question </w:t>
      </w:r>
      <w:r w:rsidRPr="00677ABE">
        <w:rPr>
          <w:rFonts w:cs="Times New Roman"/>
          <w:i/>
        </w:rPr>
        <w:t xml:space="preserve">sua sponte </w:t>
      </w:r>
      <w:r w:rsidRPr="00677ABE">
        <w:rPr>
          <w:rFonts w:cs="Times New Roman"/>
        </w:rPr>
        <w:t>and deciding it by panel was inappropriate for a question that should have been sharply presented by the adversaries and decided by a full panel.</w:t>
      </w:r>
      <w:r w:rsidRPr="00677ABE">
        <w:rPr>
          <w:rStyle w:val="FootnoteReference"/>
          <w:rFonts w:cs="Times New Roman"/>
        </w:rPr>
        <w:footnoteReference w:id="787"/>
      </w:r>
      <w:r w:rsidRPr="00677ABE">
        <w:rPr>
          <w:rFonts w:cs="Times New Roman"/>
        </w:rPr>
        <w:t xml:space="preserve"> Second, she argued Gunn did not require the decision.</w:t>
      </w:r>
      <w:r w:rsidRPr="00677ABE">
        <w:rPr>
          <w:rStyle w:val="FootnoteReference"/>
          <w:rFonts w:cs="Times New Roman"/>
        </w:rPr>
        <w:footnoteReference w:id="788"/>
      </w:r>
      <w:r w:rsidRPr="00677ABE">
        <w:rPr>
          <w:rFonts w:cs="Times New Roman"/>
        </w:rPr>
        <w:t xml:space="preserve"> That case held that an attorney malpractice claim under state law did not raise a substantial federal question despite turning on whether, as a hypothetical, a patent would have been held valid if the attorney had litigated the prior case differently.</w:t>
      </w:r>
      <w:r w:rsidRPr="00677ABE">
        <w:rPr>
          <w:rStyle w:val="FootnoteReference"/>
          <w:rFonts w:cs="Times New Roman"/>
        </w:rPr>
        <w:footnoteReference w:id="789"/>
      </w:r>
      <w:r w:rsidRPr="00677ABE">
        <w:rPr>
          <w:rFonts w:cs="Times New Roman"/>
        </w:rPr>
        <w:t xml:space="preserve"> Judge Newman doubted </w:t>
      </w:r>
      <w:r w:rsidRPr="00677ABE">
        <w:rPr>
          <w:rFonts w:cs="Times New Roman"/>
          <w:i/>
        </w:rPr>
        <w:t>Gunn</w:t>
      </w:r>
      <w:r w:rsidRPr="00677ABE">
        <w:rPr>
          <w:rFonts w:cs="Times New Roman"/>
        </w:rPr>
        <w:t xml:space="preserve"> “silently divest[ed]” the Federal Circuit of statutory authority to hear civil action arising under patent-related acts of Congress.</w:t>
      </w:r>
      <w:r w:rsidRPr="00677ABE">
        <w:rPr>
          <w:rStyle w:val="FootnoteReference"/>
          <w:rFonts w:cs="Times New Roman"/>
        </w:rPr>
        <w:footnoteReference w:id="790"/>
      </w:r>
      <w:r w:rsidRPr="00677ABE">
        <w:rPr>
          <w:rFonts w:cs="Times New Roman"/>
        </w:rPr>
        <w:t xml:space="preserve"> This led to the third ground: Judge Newman argued transfer would contradict Congress’ policy</w:t>
      </w:r>
      <w:r w:rsidRPr="00677ABE">
        <w:rPr>
          <w:rStyle w:val="FootnoteReference"/>
          <w:rFonts w:cs="Times New Roman"/>
        </w:rPr>
        <w:footnoteReference w:id="791"/>
      </w:r>
      <w:r w:rsidRPr="00677ABE">
        <w:rPr>
          <w:rFonts w:cs="Times New Roman"/>
        </w:rPr>
        <w:t xml:space="preserve">—and the Supreme Court’s analogous reasoning in </w:t>
      </w:r>
      <w:r w:rsidRPr="00677ABE">
        <w:rPr>
          <w:rFonts w:cs="Times New Roman"/>
          <w:i/>
        </w:rPr>
        <w:t>Gunn</w:t>
      </w:r>
      <w:r w:rsidRPr="00677ABE">
        <w:rPr>
          <w:rStyle w:val="FootnoteReference"/>
          <w:rFonts w:cs="Times New Roman"/>
        </w:rPr>
        <w:footnoteReference w:id="792"/>
      </w:r>
      <w:r w:rsidRPr="00677ABE">
        <w:rPr>
          <w:rFonts w:cs="Times New Roman"/>
        </w:rPr>
        <w:t>—to create consistent patent law nationally by directing patent cases improperly into regional circuits.</w:t>
      </w:r>
      <w:r w:rsidRPr="00677ABE">
        <w:rPr>
          <w:rStyle w:val="FootnoteReference"/>
          <w:rFonts w:cs="Times New Roman"/>
        </w:rPr>
        <w:footnoteReference w:id="793"/>
      </w:r>
      <w:r w:rsidRPr="00677ABE">
        <w:rPr>
          <w:rFonts w:cs="Times New Roman"/>
        </w:rPr>
        <w:t xml:space="preserve"> Fourth and finally: federal and regional circuit precedent required the opposite result. The panel appeared to hold that a patent issue heard as a case-within-a-case does not suffice to invoke Federal Circuit jurisdiction.</w:t>
      </w:r>
      <w:r w:rsidRPr="00677ABE">
        <w:rPr>
          <w:rStyle w:val="FootnoteReference"/>
          <w:rFonts w:cs="Times New Roman"/>
        </w:rPr>
        <w:footnoteReference w:id="794"/>
      </w:r>
      <w:r w:rsidRPr="00677ABE">
        <w:rPr>
          <w:rFonts w:cs="Times New Roman"/>
        </w:rPr>
        <w:t xml:space="preserve"> Judge Newman, however, found that the precedent supported a different rule: that a patent issue heard as a case-within-a-case suffices for Federal Circuit jurisdiction so long as (1) actual patent-related rights turn uniquely on the question</w:t>
      </w:r>
      <w:r w:rsidRPr="00677ABE">
        <w:rPr>
          <w:rStyle w:val="FootnoteReference"/>
          <w:rFonts w:cs="Times New Roman"/>
        </w:rPr>
        <w:footnoteReference w:id="795"/>
      </w:r>
      <w:r w:rsidRPr="00677ABE">
        <w:rPr>
          <w:rFonts w:cs="Times New Roman"/>
        </w:rPr>
        <w:t xml:space="preserve"> and (2) no non-patent theory of the larger case (e.g., here, no non-patent theory supporting the antitrust claim) is presented.</w:t>
      </w:r>
      <w:r w:rsidRPr="00677ABE">
        <w:rPr>
          <w:rStyle w:val="FootnoteReference"/>
          <w:rFonts w:cs="Times New Roman"/>
        </w:rPr>
        <w:footnoteReference w:id="796"/>
      </w:r>
    </w:p>
    <w:p w14:paraId="214DD610" w14:textId="77777777" w:rsidR="00F20B84" w:rsidRDefault="005721AA" w:rsidP="00CA2C0A">
      <w:pPr>
        <w:pStyle w:val="Heading2"/>
        <w:rPr>
          <w:rFonts w:cs="Times New Roman"/>
          <w:szCs w:val="24"/>
        </w:rPr>
      </w:pPr>
      <w:bookmarkStart w:id="166" w:name="_Toc531692796"/>
      <w:r w:rsidRPr="00677ABE">
        <w:rPr>
          <w:rFonts w:cs="Times New Roman"/>
          <w:szCs w:val="24"/>
        </w:rPr>
        <w:t>Real Party in Interest</w:t>
      </w:r>
      <w:bookmarkEnd w:id="166"/>
    </w:p>
    <w:p w14:paraId="4C3641F7" w14:textId="589D302B" w:rsidR="005721AA" w:rsidRPr="00677ABE" w:rsidRDefault="005721AA" w:rsidP="00CA2C0A">
      <w:pPr>
        <w:pStyle w:val="Heading3"/>
        <w:ind w:firstLine="0"/>
        <w:rPr>
          <w:rFonts w:cs="Times New Roman"/>
        </w:rPr>
      </w:pPr>
      <w:bookmarkStart w:id="167" w:name="_Toc531692797"/>
      <w:r w:rsidRPr="00677ABE">
        <w:rPr>
          <w:rFonts w:cs="Times New Roman"/>
        </w:rPr>
        <w:t>Applications in Internet Time, LLC</w:t>
      </w:r>
      <w:r w:rsidR="00712C22" w:rsidRPr="00677ABE">
        <w:rPr>
          <w:rFonts w:cs="Times New Roman"/>
        </w:rPr>
        <w:t xml:space="preserve"> v. </w:t>
      </w:r>
      <w:r w:rsidRPr="00677ABE">
        <w:rPr>
          <w:rFonts w:cs="Times New Roman"/>
        </w:rPr>
        <w:t>RPX Corp.</w:t>
      </w:r>
      <w:r w:rsidRPr="00677ABE">
        <w:rPr>
          <w:rFonts w:cs="Times New Roman"/>
          <w:i w:val="0"/>
        </w:rPr>
        <w:t xml:space="preserve">, 897 F.3d 1336 (Fed. Cir. </w:t>
      </w:r>
      <w:r w:rsidR="002B3CF9" w:rsidRPr="00677ABE">
        <w:rPr>
          <w:rFonts w:cs="Times New Roman"/>
          <w:i w:val="0"/>
        </w:rPr>
        <w:t>July </w:t>
      </w:r>
      <w:r w:rsidR="00E60873" w:rsidRPr="00677ABE">
        <w:rPr>
          <w:rFonts w:cs="Times New Roman"/>
          <w:i w:val="0"/>
        </w:rPr>
        <w:t>9, 2018)</w:t>
      </w:r>
      <w:bookmarkEnd w:id="167"/>
      <w:r w:rsidRPr="00677ABE">
        <w:rPr>
          <w:rFonts w:cs="Times New Roman"/>
          <w:i w:val="0"/>
        </w:rPr>
        <w:t xml:space="preserve"> </w:t>
      </w:r>
    </w:p>
    <w:p w14:paraId="47C377C7" w14:textId="00D846D3" w:rsidR="005721AA" w:rsidRPr="00677ABE" w:rsidRDefault="005721AA" w:rsidP="00CA2C0A">
      <w:pPr>
        <w:rPr>
          <w:rFonts w:cs="Times New Roman"/>
          <w:color w:val="000000" w:themeColor="text1"/>
        </w:rPr>
      </w:pPr>
      <w:r w:rsidRPr="00677ABE">
        <w:rPr>
          <w:rFonts w:cs="Times New Roman"/>
          <w:color w:val="00B050"/>
        </w:rPr>
        <w:tab/>
      </w:r>
      <w:r w:rsidRPr="00677ABE">
        <w:rPr>
          <w:rFonts w:cs="Times New Roman"/>
          <w:color w:val="000000" w:themeColor="text1"/>
        </w:rPr>
        <w:t xml:space="preserve">In this appeal from the Patent Trial and Appeal Board (“PTAB”), the Federal Circuit vacated the PTAB’s final written decisions on three inter partes reviews (“IPRs”) and remanded so the PTAB could </w:t>
      </w:r>
      <w:r w:rsidR="00A627A0" w:rsidRPr="00677ABE">
        <w:rPr>
          <w:rFonts w:cs="Times New Roman"/>
          <w:color w:val="000000" w:themeColor="text1"/>
        </w:rPr>
        <w:t>re</w:t>
      </w:r>
      <w:r w:rsidRPr="00677ABE">
        <w:rPr>
          <w:rFonts w:cs="Times New Roman"/>
          <w:color w:val="000000" w:themeColor="text1"/>
        </w:rPr>
        <w:t xml:space="preserve">consider institution according to the correct legal test </w:t>
      </w:r>
      <w:r w:rsidR="00A627A0" w:rsidRPr="00677ABE">
        <w:rPr>
          <w:rFonts w:cs="Times New Roman"/>
          <w:color w:val="000000" w:themeColor="text1"/>
        </w:rPr>
        <w:t>for</w:t>
      </w:r>
      <w:r w:rsidRPr="00677ABE">
        <w:rPr>
          <w:rFonts w:cs="Times New Roman"/>
          <w:color w:val="000000" w:themeColor="text1"/>
        </w:rPr>
        <w:t xml:space="preserve"> </w:t>
      </w:r>
      <w:r w:rsidR="00AC00E6">
        <w:rPr>
          <w:rFonts w:cs="Times New Roman"/>
          <w:color w:val="000000" w:themeColor="text1"/>
        </w:rPr>
        <w:t>§ </w:t>
      </w:r>
      <w:r w:rsidRPr="00677ABE">
        <w:rPr>
          <w:rFonts w:cs="Times New Roman"/>
          <w:color w:val="000000" w:themeColor="text1"/>
        </w:rPr>
        <w:t xml:space="preserve">315(b), which </w:t>
      </w:r>
      <w:r w:rsidR="00684994" w:rsidRPr="00677ABE">
        <w:rPr>
          <w:rFonts w:cs="Times New Roman"/>
          <w:color w:val="000000" w:themeColor="text1"/>
        </w:rPr>
        <w:t xml:space="preserve">bars petitions where </w:t>
      </w:r>
      <w:r w:rsidR="006D5D66" w:rsidRPr="00677ABE">
        <w:rPr>
          <w:rFonts w:cs="Times New Roman"/>
          <w:color w:val="000000" w:themeColor="text1"/>
        </w:rPr>
        <w:t xml:space="preserve">a </w:t>
      </w:r>
      <w:r w:rsidRPr="00677ABE">
        <w:rPr>
          <w:rFonts w:cs="Times New Roman"/>
          <w:color w:val="000000" w:themeColor="text1"/>
        </w:rPr>
        <w:t>privy of the petitioner</w:t>
      </w:r>
      <w:r w:rsidR="006D5D66" w:rsidRPr="00677ABE">
        <w:rPr>
          <w:rFonts w:cs="Times New Roman"/>
          <w:color w:val="000000" w:themeColor="text1"/>
        </w:rPr>
        <w:t xml:space="preserve"> or real party in interest—expansively defined—</w:t>
      </w:r>
      <w:r w:rsidRPr="00677ABE">
        <w:rPr>
          <w:rFonts w:cs="Times New Roman"/>
          <w:color w:val="000000" w:themeColor="text1"/>
        </w:rPr>
        <w:t xml:space="preserve">has received an infringement complaint more than one year </w:t>
      </w:r>
      <w:r w:rsidR="00684994" w:rsidRPr="00677ABE">
        <w:rPr>
          <w:rFonts w:cs="Times New Roman"/>
          <w:color w:val="000000" w:themeColor="text1"/>
        </w:rPr>
        <w:t>before</w:t>
      </w:r>
      <w:r w:rsidR="00382CB1" w:rsidRPr="00677ABE">
        <w:rPr>
          <w:rFonts w:cs="Times New Roman"/>
          <w:color w:val="000000" w:themeColor="text1"/>
        </w:rPr>
        <w:t xml:space="preserve"> the petition</w:t>
      </w:r>
      <w:r w:rsidRPr="00677ABE">
        <w:rPr>
          <w:rFonts w:cs="Times New Roman"/>
          <w:color w:val="000000" w:themeColor="text1"/>
        </w:rPr>
        <w:t>.</w:t>
      </w:r>
      <w:r w:rsidRPr="00677ABE">
        <w:rPr>
          <w:rStyle w:val="FootnoteReference"/>
          <w:rFonts w:cs="Times New Roman"/>
          <w:color w:val="000000" w:themeColor="text1"/>
        </w:rPr>
        <w:footnoteReference w:id="797"/>
      </w:r>
      <w:r w:rsidRPr="00677ABE">
        <w:rPr>
          <w:rFonts w:cs="Times New Roman"/>
          <w:color w:val="000000" w:themeColor="text1"/>
        </w:rPr>
        <w:t xml:space="preserve"> </w:t>
      </w:r>
    </w:p>
    <w:p w14:paraId="30D6F093" w14:textId="4AD2AB88" w:rsidR="005721AA" w:rsidRPr="00677ABE" w:rsidRDefault="00D84A38" w:rsidP="00CA2C0A">
      <w:pPr>
        <w:rPr>
          <w:rFonts w:cs="Times New Roman"/>
          <w:color w:val="000000" w:themeColor="text1"/>
        </w:rPr>
      </w:pPr>
      <w:r w:rsidRPr="00677ABE">
        <w:rPr>
          <w:rFonts w:cs="Times New Roman"/>
          <w:color w:val="000000" w:themeColor="text1"/>
        </w:rPr>
        <w:tab/>
        <w:t>More than a year before RP</w:t>
      </w:r>
      <w:r w:rsidR="005721AA" w:rsidRPr="00677ABE">
        <w:rPr>
          <w:rFonts w:cs="Times New Roman"/>
          <w:color w:val="000000" w:themeColor="text1"/>
        </w:rPr>
        <w:t>X filed its petition, Applications in Internet Time (“AIT”) asserted two patents against Salesforce.com, Inc. (“Salesforce”) in district court.</w:t>
      </w:r>
      <w:r w:rsidR="005721AA" w:rsidRPr="00677ABE">
        <w:rPr>
          <w:rStyle w:val="FootnoteReference"/>
          <w:rFonts w:cs="Times New Roman"/>
          <w:color w:val="000000" w:themeColor="text1"/>
        </w:rPr>
        <w:footnoteReference w:id="798"/>
      </w:r>
      <w:r w:rsidR="006D5D66" w:rsidRPr="00677ABE">
        <w:rPr>
          <w:rFonts w:cs="Times New Roman"/>
          <w:color w:val="000000" w:themeColor="text1"/>
        </w:rPr>
        <w:t xml:space="preserve"> </w:t>
      </w:r>
      <w:r w:rsidR="008A4423" w:rsidRPr="00677ABE">
        <w:rPr>
          <w:rFonts w:cs="Times New Roman"/>
          <w:color w:val="000000" w:themeColor="text1"/>
        </w:rPr>
        <w:t>Salesforce</w:t>
      </w:r>
      <w:r w:rsidR="005721AA" w:rsidRPr="00677ABE">
        <w:rPr>
          <w:rFonts w:cs="Times New Roman"/>
          <w:color w:val="000000" w:themeColor="text1"/>
        </w:rPr>
        <w:t xml:space="preserve"> </w:t>
      </w:r>
      <w:r w:rsidR="008A4423" w:rsidRPr="00677ABE">
        <w:rPr>
          <w:rFonts w:cs="Times New Roman"/>
          <w:color w:val="000000" w:themeColor="text1"/>
        </w:rPr>
        <w:t xml:space="preserve">then </w:t>
      </w:r>
      <w:r w:rsidR="005721AA" w:rsidRPr="00677ABE">
        <w:rPr>
          <w:rFonts w:cs="Times New Roman"/>
          <w:color w:val="000000" w:themeColor="text1"/>
        </w:rPr>
        <w:t>petition</w:t>
      </w:r>
      <w:r w:rsidR="008A4423" w:rsidRPr="00677ABE">
        <w:rPr>
          <w:rFonts w:cs="Times New Roman"/>
          <w:color w:val="000000" w:themeColor="text1"/>
        </w:rPr>
        <w:t>ed</w:t>
      </w:r>
      <w:r w:rsidR="005721AA" w:rsidRPr="00677ABE">
        <w:rPr>
          <w:rFonts w:cs="Times New Roman"/>
          <w:color w:val="000000" w:themeColor="text1"/>
        </w:rPr>
        <w:t xml:space="preserve"> for </w:t>
      </w:r>
      <w:r w:rsidR="005721AA" w:rsidRPr="00677ABE">
        <w:rPr>
          <w:rFonts w:cs="Times New Roman"/>
          <w:i/>
          <w:color w:val="000000" w:themeColor="text1"/>
        </w:rPr>
        <w:t xml:space="preserve">inter partes </w:t>
      </w:r>
      <w:r w:rsidR="005721AA" w:rsidRPr="00677ABE">
        <w:rPr>
          <w:rFonts w:cs="Times New Roman"/>
          <w:color w:val="000000" w:themeColor="text1"/>
        </w:rPr>
        <w:t xml:space="preserve">review </w:t>
      </w:r>
      <w:r w:rsidR="008A4423" w:rsidRPr="00677ABE">
        <w:rPr>
          <w:rFonts w:cs="Times New Roman"/>
          <w:color w:val="000000" w:themeColor="text1"/>
        </w:rPr>
        <w:t>but was</w:t>
      </w:r>
      <w:r w:rsidR="005721AA" w:rsidRPr="00677ABE">
        <w:rPr>
          <w:rFonts w:cs="Times New Roman"/>
          <w:color w:val="000000" w:themeColor="text1"/>
        </w:rPr>
        <w:t xml:space="preserve"> rejected as time-barred </w:t>
      </w:r>
      <w:r w:rsidR="006D5D66" w:rsidRPr="00677ABE">
        <w:rPr>
          <w:rFonts w:cs="Times New Roman"/>
          <w:color w:val="000000" w:themeColor="text1"/>
        </w:rPr>
        <w:t>by</w:t>
      </w:r>
      <w:r w:rsidR="005721AA" w:rsidRPr="00677ABE">
        <w:rPr>
          <w:rFonts w:cs="Times New Roman"/>
          <w:color w:val="000000" w:themeColor="text1"/>
        </w:rPr>
        <w:t xml:space="preserve"> </w:t>
      </w:r>
      <w:r w:rsidR="00AC00E6">
        <w:rPr>
          <w:rFonts w:cs="Times New Roman"/>
          <w:color w:val="000000" w:themeColor="text1"/>
        </w:rPr>
        <w:t>§ </w:t>
      </w:r>
      <w:r w:rsidR="005721AA" w:rsidRPr="00677ABE">
        <w:rPr>
          <w:rFonts w:cs="Times New Roman"/>
          <w:color w:val="000000" w:themeColor="text1"/>
        </w:rPr>
        <w:t>315(b).</w:t>
      </w:r>
      <w:r w:rsidR="005721AA" w:rsidRPr="00677ABE">
        <w:rPr>
          <w:rStyle w:val="FootnoteReference"/>
          <w:rFonts w:cs="Times New Roman"/>
          <w:color w:val="000000" w:themeColor="text1"/>
        </w:rPr>
        <w:footnoteReference w:id="799"/>
      </w:r>
      <w:r w:rsidR="005721AA" w:rsidRPr="00677ABE">
        <w:rPr>
          <w:rFonts w:cs="Times New Roman"/>
          <w:color w:val="000000" w:themeColor="text1"/>
        </w:rPr>
        <w:t xml:space="preserve"> Salesforc</w:t>
      </w:r>
      <w:r w:rsidR="00382CB1" w:rsidRPr="00677ABE">
        <w:rPr>
          <w:rFonts w:cs="Times New Roman"/>
          <w:color w:val="000000" w:themeColor="text1"/>
        </w:rPr>
        <w:t xml:space="preserve">e </w:t>
      </w:r>
      <w:r w:rsidR="008A4423" w:rsidRPr="00677ABE">
        <w:rPr>
          <w:rFonts w:cs="Times New Roman"/>
          <w:color w:val="000000" w:themeColor="text1"/>
        </w:rPr>
        <w:t xml:space="preserve">next </w:t>
      </w:r>
      <w:r w:rsidR="00382CB1" w:rsidRPr="00677ABE">
        <w:rPr>
          <w:rFonts w:cs="Times New Roman"/>
          <w:color w:val="000000" w:themeColor="text1"/>
        </w:rPr>
        <w:t>renewed its contract with</w:t>
      </w:r>
      <w:r w:rsidR="008A4423" w:rsidRPr="00677ABE">
        <w:rPr>
          <w:rFonts w:cs="Times New Roman"/>
          <w:color w:val="000000" w:themeColor="text1"/>
        </w:rPr>
        <w:t xml:space="preserve"> </w:t>
      </w:r>
      <w:r w:rsidR="005721AA" w:rsidRPr="00677ABE">
        <w:rPr>
          <w:rFonts w:cs="Times New Roman"/>
          <w:color w:val="000000" w:themeColor="text1"/>
        </w:rPr>
        <w:t>RPX</w:t>
      </w:r>
      <w:r w:rsidR="008A4423" w:rsidRPr="00677ABE">
        <w:rPr>
          <w:rFonts w:cs="Times New Roman"/>
          <w:color w:val="000000" w:themeColor="text1"/>
        </w:rPr>
        <w:t>, a company that “cost-effectively extricate[s]” clients from suits.</w:t>
      </w:r>
      <w:r w:rsidR="008A4423" w:rsidRPr="00677ABE">
        <w:rPr>
          <w:rStyle w:val="FootnoteReference"/>
          <w:rFonts w:cs="Times New Roman"/>
          <w:color w:val="000000" w:themeColor="text1"/>
        </w:rPr>
        <w:footnoteReference w:id="800"/>
      </w:r>
      <w:r w:rsidR="008A4423" w:rsidRPr="00677ABE">
        <w:rPr>
          <w:rFonts w:cs="Times New Roman"/>
          <w:color w:val="000000" w:themeColor="text1"/>
        </w:rPr>
        <w:t xml:space="preserve"> Shortly thereafter, RPX</w:t>
      </w:r>
      <w:r w:rsidR="005721AA" w:rsidRPr="00677ABE">
        <w:rPr>
          <w:rFonts w:cs="Times New Roman"/>
          <w:color w:val="000000" w:themeColor="text1"/>
        </w:rPr>
        <w:t xml:space="preserve"> petitioned for IPRs on the same patents</w:t>
      </w:r>
      <w:r w:rsidR="000F53FE" w:rsidRPr="00677ABE">
        <w:rPr>
          <w:rFonts w:cs="Times New Roman"/>
          <w:color w:val="000000" w:themeColor="text1"/>
        </w:rPr>
        <w:t>.</w:t>
      </w:r>
      <w:r w:rsidR="005721AA" w:rsidRPr="00677ABE">
        <w:rPr>
          <w:rStyle w:val="FootnoteReference"/>
          <w:rFonts w:cs="Times New Roman"/>
          <w:color w:val="000000" w:themeColor="text1"/>
        </w:rPr>
        <w:footnoteReference w:id="801"/>
      </w:r>
      <w:r w:rsidR="005721AA" w:rsidRPr="00677ABE">
        <w:rPr>
          <w:rFonts w:cs="Times New Roman"/>
          <w:color w:val="000000" w:themeColor="text1"/>
        </w:rPr>
        <w:t xml:space="preserve"> The PTAB allowed discovery as to whether Salesforce was a real party in interest </w:t>
      </w:r>
      <w:r w:rsidR="000F53FE" w:rsidRPr="00677ABE">
        <w:rPr>
          <w:rFonts w:cs="Times New Roman"/>
          <w:color w:val="000000" w:themeColor="text1"/>
        </w:rPr>
        <w:t>or whether RPX was in privy with Salesforce</w:t>
      </w:r>
      <w:r w:rsidR="005721AA" w:rsidRPr="00677ABE">
        <w:rPr>
          <w:rFonts w:cs="Times New Roman"/>
          <w:color w:val="000000" w:themeColor="text1"/>
        </w:rPr>
        <w:t>.</w:t>
      </w:r>
      <w:r w:rsidR="005721AA" w:rsidRPr="00677ABE">
        <w:rPr>
          <w:rStyle w:val="FootnoteReference"/>
          <w:rFonts w:cs="Times New Roman"/>
          <w:color w:val="000000" w:themeColor="text1"/>
        </w:rPr>
        <w:footnoteReference w:id="802"/>
      </w:r>
      <w:r w:rsidR="005721AA" w:rsidRPr="00677ABE">
        <w:rPr>
          <w:rFonts w:cs="Times New Roman"/>
          <w:color w:val="000000" w:themeColor="text1"/>
        </w:rPr>
        <w:t xml:space="preserve"> On the one hand, RPX advertised it was “100% aligned with [the interests of its] clients” and that it “help[ed] after a litigation has begun”;</w:t>
      </w:r>
      <w:r w:rsidR="005721AA" w:rsidRPr="00677ABE">
        <w:rPr>
          <w:rStyle w:val="FootnoteReference"/>
          <w:rFonts w:cs="Times New Roman"/>
          <w:color w:val="000000" w:themeColor="text1"/>
        </w:rPr>
        <w:footnoteReference w:id="803"/>
      </w:r>
      <w:r w:rsidR="005721AA" w:rsidRPr="00677ABE">
        <w:rPr>
          <w:rFonts w:cs="Times New Roman"/>
          <w:color w:val="000000" w:themeColor="text1"/>
        </w:rPr>
        <w:t xml:space="preserve"> on the other, RPX apparently followed its “best practices” to avoid implicating its clients as real parties; it spoke with Salesforce about the AIT litigation, </w:t>
      </w:r>
      <w:r w:rsidR="008E5A8E" w:rsidRPr="00677ABE">
        <w:rPr>
          <w:rFonts w:cs="Times New Roman"/>
          <w:color w:val="000000" w:themeColor="text1"/>
        </w:rPr>
        <w:t>yet</w:t>
      </w:r>
      <w:r w:rsidR="005721AA" w:rsidRPr="00677ABE">
        <w:rPr>
          <w:rFonts w:cs="Times New Roman"/>
          <w:color w:val="000000" w:themeColor="text1"/>
        </w:rPr>
        <w:t xml:space="preserve"> </w:t>
      </w:r>
      <w:r w:rsidR="008E5A8E" w:rsidRPr="00677ABE">
        <w:rPr>
          <w:rFonts w:cs="Times New Roman"/>
          <w:color w:val="000000" w:themeColor="text1"/>
        </w:rPr>
        <w:t>stopped short of</w:t>
      </w:r>
      <w:r w:rsidR="005721AA" w:rsidRPr="00677ABE">
        <w:rPr>
          <w:rFonts w:cs="Times New Roman"/>
          <w:color w:val="000000" w:themeColor="text1"/>
        </w:rPr>
        <w:t xml:space="preserve"> discussing </w:t>
      </w:r>
      <w:r w:rsidR="000F53FE" w:rsidRPr="00677ABE">
        <w:rPr>
          <w:rFonts w:cs="Times New Roman"/>
          <w:color w:val="000000" w:themeColor="text1"/>
        </w:rPr>
        <w:t>a</w:t>
      </w:r>
      <w:r w:rsidR="005721AA" w:rsidRPr="00677ABE">
        <w:rPr>
          <w:rFonts w:cs="Times New Roman"/>
          <w:color w:val="000000" w:themeColor="text1"/>
        </w:rPr>
        <w:t xml:space="preserve"> decision to </w:t>
      </w:r>
      <w:r w:rsidR="000F53FE" w:rsidRPr="00677ABE">
        <w:rPr>
          <w:rFonts w:cs="Times New Roman"/>
          <w:color w:val="000000" w:themeColor="text1"/>
        </w:rPr>
        <w:t>challenge</w:t>
      </w:r>
      <w:r w:rsidR="005721AA" w:rsidRPr="00677ABE">
        <w:rPr>
          <w:rFonts w:cs="Times New Roman"/>
          <w:color w:val="000000" w:themeColor="text1"/>
        </w:rPr>
        <w:t xml:space="preserve"> validity.</w:t>
      </w:r>
      <w:r w:rsidR="005721AA" w:rsidRPr="00677ABE">
        <w:rPr>
          <w:rStyle w:val="FootnoteReference"/>
          <w:rFonts w:cs="Times New Roman"/>
          <w:color w:val="000000" w:themeColor="text1"/>
        </w:rPr>
        <w:footnoteReference w:id="804"/>
      </w:r>
      <w:r w:rsidR="005721AA" w:rsidRPr="00677ABE">
        <w:rPr>
          <w:rFonts w:cs="Times New Roman"/>
          <w:color w:val="000000" w:themeColor="text1"/>
        </w:rPr>
        <w:t xml:space="preserve"> The PTAB determined RPX had independently and self-interestedly petitioned for IPR</w:t>
      </w:r>
      <w:r w:rsidR="003F50A5" w:rsidRPr="00677ABE">
        <w:rPr>
          <w:rFonts w:cs="Times New Roman"/>
          <w:color w:val="000000" w:themeColor="text1"/>
        </w:rPr>
        <w:t xml:space="preserve">, and that this made Salesforce not a real party in interest and not in privy with RPX under </w:t>
      </w:r>
      <w:r w:rsidR="00AC00E6">
        <w:rPr>
          <w:rFonts w:cs="Times New Roman"/>
          <w:color w:val="000000" w:themeColor="text1"/>
        </w:rPr>
        <w:t>§ </w:t>
      </w:r>
      <w:r w:rsidR="003F50A5" w:rsidRPr="00677ABE">
        <w:rPr>
          <w:rFonts w:cs="Times New Roman"/>
          <w:color w:val="000000" w:themeColor="text1"/>
        </w:rPr>
        <w:t xml:space="preserve">315(b); to reach this, </w:t>
      </w:r>
      <w:r w:rsidR="005721AA" w:rsidRPr="00677ABE">
        <w:rPr>
          <w:rFonts w:cs="Times New Roman"/>
          <w:color w:val="000000" w:themeColor="text1"/>
        </w:rPr>
        <w:t>the PTAB rejected a theory that RPX had been “willfully blind” to Salesforce’s interests.</w:t>
      </w:r>
      <w:r w:rsidR="005721AA" w:rsidRPr="00677ABE">
        <w:rPr>
          <w:rStyle w:val="FootnoteReference"/>
          <w:rFonts w:cs="Times New Roman"/>
          <w:color w:val="000000" w:themeColor="text1"/>
        </w:rPr>
        <w:footnoteReference w:id="805"/>
      </w:r>
      <w:r w:rsidR="005721AA" w:rsidRPr="00677ABE">
        <w:rPr>
          <w:rFonts w:cs="Times New Roman"/>
          <w:color w:val="000000" w:themeColor="text1"/>
        </w:rPr>
        <w:t xml:space="preserve"> </w:t>
      </w:r>
    </w:p>
    <w:p w14:paraId="3A3A3ECB" w14:textId="11FD4B0E" w:rsidR="005721AA" w:rsidRPr="00677ABE" w:rsidRDefault="005721AA" w:rsidP="00CA2C0A">
      <w:pPr>
        <w:rPr>
          <w:rFonts w:cs="Times New Roman"/>
          <w:color w:val="000000" w:themeColor="text1"/>
        </w:rPr>
      </w:pPr>
      <w:r w:rsidRPr="00677ABE">
        <w:rPr>
          <w:rFonts w:cs="Times New Roman"/>
          <w:color w:val="000000" w:themeColor="text1"/>
        </w:rPr>
        <w:tab/>
        <w:t xml:space="preserve">On appeal, the Federal Circuit held that the PTAB’s “determination that Salesforce was not a real party in interest under </w:t>
      </w:r>
      <w:r w:rsidR="00AC00E6">
        <w:rPr>
          <w:rFonts w:cs="Times New Roman"/>
          <w:color w:val="000000" w:themeColor="text1"/>
        </w:rPr>
        <w:t>§ </w:t>
      </w:r>
      <w:r w:rsidRPr="00677ABE">
        <w:rPr>
          <w:rFonts w:cs="Times New Roman"/>
          <w:color w:val="000000" w:themeColor="text1"/>
        </w:rPr>
        <w:t>315(b) relied on an impermissibly narrow understanding of . . . the term, was not based on consideration of the entirety of the administrative record, and seemingly misallocated the burden of proof.”</w:t>
      </w:r>
      <w:r w:rsidRPr="00677ABE">
        <w:rPr>
          <w:rStyle w:val="FootnoteReference"/>
          <w:rFonts w:cs="Times New Roman"/>
          <w:color w:val="000000" w:themeColor="text1"/>
        </w:rPr>
        <w:footnoteReference w:id="806"/>
      </w:r>
      <w:r w:rsidRPr="00677ABE">
        <w:rPr>
          <w:rFonts w:cs="Times New Roman"/>
          <w:color w:val="000000" w:themeColor="text1"/>
        </w:rPr>
        <w:t xml:space="preserve"> The </w:t>
      </w:r>
      <w:r w:rsidR="008E5A8E" w:rsidRPr="00677ABE">
        <w:rPr>
          <w:rFonts w:cs="Times New Roman"/>
          <w:color w:val="000000" w:themeColor="text1"/>
        </w:rPr>
        <w:t>court</w:t>
      </w:r>
      <w:r w:rsidRPr="00677ABE">
        <w:rPr>
          <w:rFonts w:cs="Times New Roman"/>
          <w:color w:val="000000" w:themeColor="text1"/>
        </w:rPr>
        <w:t xml:space="preserve"> began by applying </w:t>
      </w:r>
      <w:r w:rsidRPr="00677ABE">
        <w:rPr>
          <w:rFonts w:cs="Times New Roman"/>
          <w:i/>
          <w:color w:val="000000" w:themeColor="text1"/>
        </w:rPr>
        <w:t>Chevron</w:t>
      </w:r>
      <w:r w:rsidRPr="00677ABE">
        <w:rPr>
          <w:rFonts w:cs="Times New Roman"/>
          <w:color w:val="000000" w:themeColor="text1"/>
        </w:rPr>
        <w:t>.</w:t>
      </w:r>
      <w:r w:rsidRPr="00677ABE">
        <w:rPr>
          <w:rStyle w:val="FootnoteReference"/>
          <w:rFonts w:cs="Times New Roman"/>
          <w:color w:val="000000" w:themeColor="text1"/>
        </w:rPr>
        <w:footnoteReference w:id="807"/>
      </w:r>
      <w:r w:rsidRPr="00677ABE">
        <w:rPr>
          <w:rFonts w:cs="Times New Roman"/>
          <w:color w:val="000000" w:themeColor="text1"/>
        </w:rPr>
        <w:t xml:space="preserve"> </w:t>
      </w:r>
      <w:r w:rsidR="00783E46" w:rsidRPr="00677ABE">
        <w:rPr>
          <w:rFonts w:cs="Times New Roman"/>
          <w:color w:val="000000" w:themeColor="text1"/>
        </w:rPr>
        <w:t>Where</w:t>
      </w:r>
      <w:r w:rsidRPr="00677ABE">
        <w:rPr>
          <w:rFonts w:cs="Times New Roman"/>
          <w:color w:val="000000" w:themeColor="text1"/>
        </w:rPr>
        <w:t xml:space="preserve"> </w:t>
      </w:r>
      <w:r w:rsidR="005466A8" w:rsidRPr="00677ABE">
        <w:rPr>
          <w:rFonts w:cs="Times New Roman"/>
          <w:color w:val="000000" w:themeColor="text1"/>
        </w:rPr>
        <w:t>the statute</w:t>
      </w:r>
      <w:r w:rsidRPr="00677ABE">
        <w:rPr>
          <w:rFonts w:cs="Times New Roman"/>
          <w:color w:val="000000" w:themeColor="text1"/>
        </w:rPr>
        <w:t xml:space="preserve"> </w:t>
      </w:r>
      <w:r w:rsidR="00783E46" w:rsidRPr="00677ABE">
        <w:rPr>
          <w:rFonts w:cs="Times New Roman"/>
          <w:color w:val="000000" w:themeColor="text1"/>
        </w:rPr>
        <w:t>speaks</w:t>
      </w:r>
      <w:r w:rsidR="005466A8" w:rsidRPr="00677ABE">
        <w:rPr>
          <w:rFonts w:cs="Times New Roman"/>
          <w:color w:val="000000" w:themeColor="text1"/>
        </w:rPr>
        <w:t xml:space="preserve"> directly</w:t>
      </w:r>
      <w:r w:rsidRPr="00677ABE">
        <w:rPr>
          <w:rFonts w:cs="Times New Roman"/>
          <w:color w:val="000000" w:themeColor="text1"/>
        </w:rPr>
        <w:t xml:space="preserve"> to </w:t>
      </w:r>
      <w:r w:rsidR="00783E46" w:rsidRPr="00677ABE">
        <w:rPr>
          <w:rFonts w:cs="Times New Roman"/>
          <w:color w:val="000000" w:themeColor="text1"/>
        </w:rPr>
        <w:t>an</w:t>
      </w:r>
      <w:r w:rsidRPr="00677ABE">
        <w:rPr>
          <w:rFonts w:cs="Times New Roman"/>
          <w:color w:val="000000" w:themeColor="text1"/>
        </w:rPr>
        <w:t xml:space="preserve"> issue</w:t>
      </w:r>
      <w:r w:rsidR="00783E46" w:rsidRPr="00677ABE">
        <w:rPr>
          <w:rFonts w:cs="Times New Roman"/>
          <w:color w:val="000000" w:themeColor="text1"/>
        </w:rPr>
        <w:t>,</w:t>
      </w:r>
      <w:r w:rsidRPr="00677ABE">
        <w:rPr>
          <w:rFonts w:cs="Times New Roman"/>
          <w:color w:val="000000" w:themeColor="text1"/>
        </w:rPr>
        <w:t xml:space="preserve"> the reviewing court gives effect to </w:t>
      </w:r>
      <w:r w:rsidR="005466A8" w:rsidRPr="00677ABE">
        <w:rPr>
          <w:rFonts w:cs="Times New Roman"/>
          <w:color w:val="000000" w:themeColor="text1"/>
        </w:rPr>
        <w:t>its</w:t>
      </w:r>
      <w:r w:rsidRPr="00677ABE">
        <w:rPr>
          <w:rFonts w:cs="Times New Roman"/>
          <w:color w:val="000000" w:themeColor="text1"/>
        </w:rPr>
        <w:t xml:space="preserve"> intent and not to the agency’s interpretation.</w:t>
      </w:r>
      <w:r w:rsidRPr="00677ABE">
        <w:rPr>
          <w:rStyle w:val="FootnoteReference"/>
          <w:rFonts w:cs="Times New Roman"/>
          <w:color w:val="000000" w:themeColor="text1"/>
        </w:rPr>
        <w:footnoteReference w:id="808"/>
      </w:r>
      <w:r w:rsidR="008E5A8E" w:rsidRPr="00677ABE">
        <w:rPr>
          <w:rFonts w:cs="Times New Roman"/>
          <w:color w:val="000000" w:themeColor="text1"/>
        </w:rPr>
        <w:t xml:space="preserve"> </w:t>
      </w:r>
      <w:r w:rsidRPr="00677ABE">
        <w:rPr>
          <w:rFonts w:cs="Times New Roman"/>
          <w:color w:val="000000" w:themeColor="text1"/>
        </w:rPr>
        <w:t xml:space="preserve">Here, Congress </w:t>
      </w:r>
      <w:r w:rsidR="004B7CAF" w:rsidRPr="00677ABE">
        <w:rPr>
          <w:rFonts w:cs="Times New Roman"/>
          <w:color w:val="000000" w:themeColor="text1"/>
        </w:rPr>
        <w:t>spoke directly.</w:t>
      </w:r>
      <w:r w:rsidR="00F763EC" w:rsidRPr="00677ABE">
        <w:rPr>
          <w:rStyle w:val="FootnoteReference"/>
          <w:rFonts w:cs="Times New Roman"/>
          <w:color w:val="000000" w:themeColor="text1"/>
        </w:rPr>
        <w:t xml:space="preserve"> </w:t>
      </w:r>
      <w:r w:rsidR="00F763EC" w:rsidRPr="00677ABE">
        <w:rPr>
          <w:rStyle w:val="FootnoteReference"/>
          <w:rFonts w:cs="Times New Roman"/>
          <w:color w:val="000000" w:themeColor="text1"/>
        </w:rPr>
        <w:footnoteReference w:id="809"/>
      </w:r>
      <w:r w:rsidR="004B7CAF" w:rsidRPr="00677ABE">
        <w:rPr>
          <w:rFonts w:cs="Times New Roman"/>
          <w:color w:val="000000" w:themeColor="text1"/>
        </w:rPr>
        <w:t xml:space="preserve"> It </w:t>
      </w:r>
      <w:r w:rsidRPr="00677ABE">
        <w:rPr>
          <w:rFonts w:cs="Times New Roman"/>
          <w:color w:val="000000" w:themeColor="text1"/>
        </w:rPr>
        <w:t xml:space="preserve">used the words “real party in interest” and “privy of the petitioner” in </w:t>
      </w:r>
      <w:r w:rsidR="00AC00E6">
        <w:rPr>
          <w:rFonts w:cs="Times New Roman"/>
          <w:color w:val="000000" w:themeColor="text1"/>
        </w:rPr>
        <w:t>§ </w:t>
      </w:r>
      <w:r w:rsidRPr="00677ABE">
        <w:rPr>
          <w:rFonts w:cs="Times New Roman"/>
          <w:color w:val="000000" w:themeColor="text1"/>
        </w:rPr>
        <w:t xml:space="preserve">315(b) in order to </w:t>
      </w:r>
      <w:r w:rsidRPr="00677ABE">
        <w:rPr>
          <w:rFonts w:cs="Times New Roman"/>
          <w:i/>
          <w:color w:val="000000" w:themeColor="text1"/>
        </w:rPr>
        <w:t>expansively</w:t>
      </w:r>
      <w:r w:rsidRPr="00677ABE">
        <w:rPr>
          <w:rFonts w:cs="Times New Roman"/>
          <w:color w:val="000000" w:themeColor="text1"/>
        </w:rPr>
        <w:t xml:space="preserve"> “bar[] petitions where proxies or privies [unable to petition for IPR for themselves</w:t>
      </w:r>
      <w:r w:rsidR="00636DF2" w:rsidRPr="00677ABE">
        <w:rPr>
          <w:rStyle w:val="FootnoteReference"/>
          <w:rFonts w:cs="Times New Roman"/>
          <w:color w:val="000000" w:themeColor="text1"/>
        </w:rPr>
        <w:footnoteReference w:id="810"/>
      </w:r>
      <w:r w:rsidRPr="00677ABE">
        <w:rPr>
          <w:rFonts w:cs="Times New Roman"/>
          <w:color w:val="000000" w:themeColor="text1"/>
        </w:rPr>
        <w:t xml:space="preserve">] would benefit from an instituted IPR, </w:t>
      </w:r>
      <w:r w:rsidRPr="00677ABE">
        <w:rPr>
          <w:rFonts w:cs="Times New Roman"/>
          <w:i/>
          <w:color w:val="000000" w:themeColor="text1"/>
        </w:rPr>
        <w:t>even where</w:t>
      </w:r>
      <w:r w:rsidRPr="00677ABE">
        <w:rPr>
          <w:rFonts w:cs="Times New Roman"/>
          <w:color w:val="000000" w:themeColor="text1"/>
        </w:rPr>
        <w:t xml:space="preserve"> the petitioning party might separately have its own interest in initiating an IPR.”</w:t>
      </w:r>
      <w:r w:rsidRPr="00677ABE">
        <w:rPr>
          <w:rStyle w:val="FootnoteReference"/>
          <w:rFonts w:cs="Times New Roman"/>
          <w:color w:val="000000" w:themeColor="text1"/>
        </w:rPr>
        <w:footnoteReference w:id="811"/>
      </w:r>
      <w:r w:rsidR="00816CB1" w:rsidRPr="00677ABE">
        <w:rPr>
          <w:rFonts w:cs="Times New Roman"/>
          <w:color w:val="000000" w:themeColor="text1"/>
        </w:rPr>
        <w:t xml:space="preserve"> </w:t>
      </w:r>
      <w:r w:rsidR="005466A8" w:rsidRPr="00677ABE">
        <w:rPr>
          <w:rFonts w:cs="Times New Roman"/>
          <w:color w:val="000000" w:themeColor="text1"/>
        </w:rPr>
        <w:t>Fleshing out</w:t>
      </w:r>
      <w:r w:rsidRPr="00677ABE">
        <w:rPr>
          <w:rFonts w:cs="Times New Roman"/>
          <w:color w:val="000000" w:themeColor="text1"/>
        </w:rPr>
        <w:t xml:space="preserve"> Congress’s intent</w:t>
      </w:r>
      <w:r w:rsidR="00591409" w:rsidRPr="00677ABE">
        <w:rPr>
          <w:rFonts w:cs="Times New Roman"/>
          <w:color w:val="000000" w:themeColor="text1"/>
        </w:rPr>
        <w:t>,</w:t>
      </w:r>
      <w:r w:rsidRPr="00677ABE">
        <w:rPr>
          <w:rStyle w:val="FootnoteReference"/>
          <w:rFonts w:cs="Times New Roman"/>
          <w:color w:val="000000" w:themeColor="text1"/>
        </w:rPr>
        <w:footnoteReference w:id="812"/>
      </w:r>
      <w:r w:rsidR="00D84A38" w:rsidRPr="00677ABE">
        <w:rPr>
          <w:rFonts w:cs="Times New Roman"/>
          <w:color w:val="000000" w:themeColor="text1"/>
        </w:rPr>
        <w:t xml:space="preserve"> </w:t>
      </w:r>
      <w:r w:rsidRPr="00677ABE">
        <w:rPr>
          <w:rFonts w:cs="Times New Roman"/>
          <w:color w:val="000000" w:themeColor="text1"/>
        </w:rPr>
        <w:t xml:space="preserve">the Federal Circuit held that </w:t>
      </w:r>
      <w:r w:rsidR="00591409" w:rsidRPr="00677ABE">
        <w:rPr>
          <w:rFonts w:cs="Times New Roman"/>
          <w:color w:val="000000" w:themeColor="text1"/>
        </w:rPr>
        <w:t>whether a party is a proxy or privy is a</w:t>
      </w:r>
      <w:r w:rsidRPr="00677ABE">
        <w:rPr>
          <w:rFonts w:cs="Times New Roman"/>
          <w:color w:val="000000" w:themeColor="text1"/>
        </w:rPr>
        <w:t xml:space="preserve"> fact-specific inquiry that turns </w:t>
      </w:r>
      <w:r w:rsidR="00591409" w:rsidRPr="00677ABE">
        <w:rPr>
          <w:rFonts w:cs="Times New Roman"/>
          <w:color w:val="000000" w:themeColor="text1"/>
        </w:rPr>
        <w:t>on</w:t>
      </w:r>
      <w:r w:rsidRPr="00677ABE">
        <w:rPr>
          <w:rFonts w:cs="Times New Roman"/>
          <w:color w:val="000000" w:themeColor="text1"/>
        </w:rPr>
        <w:t xml:space="preserve"> “whether a non-party ‘desires review of the patent’ and whether a petition has been filed at a non[-]party's ‘behest.’”</w:t>
      </w:r>
      <w:r w:rsidRPr="00677ABE">
        <w:rPr>
          <w:rStyle w:val="FootnoteReference"/>
          <w:rFonts w:cs="Times New Roman"/>
          <w:color w:val="000000" w:themeColor="text1"/>
        </w:rPr>
        <w:footnoteReference w:id="813"/>
      </w:r>
      <w:r w:rsidRPr="00677ABE">
        <w:rPr>
          <w:rFonts w:cs="Times New Roman"/>
          <w:color w:val="000000" w:themeColor="text1"/>
        </w:rPr>
        <w:t xml:space="preserve"> </w:t>
      </w:r>
      <w:r w:rsidR="008A2CC3" w:rsidRPr="00677ABE">
        <w:rPr>
          <w:rFonts w:cs="Times New Roman"/>
          <w:color w:val="000000" w:themeColor="text1"/>
        </w:rPr>
        <w:t>This</w:t>
      </w:r>
      <w:r w:rsidRPr="00677ABE">
        <w:rPr>
          <w:rFonts w:cs="Times New Roman"/>
          <w:color w:val="000000" w:themeColor="text1"/>
        </w:rPr>
        <w:t xml:space="preserve"> inquiry</w:t>
      </w:r>
      <w:r w:rsidR="00502174" w:rsidRPr="00677ABE">
        <w:rPr>
          <w:rFonts w:cs="Times New Roman"/>
          <w:color w:val="000000" w:themeColor="text1"/>
        </w:rPr>
        <w:t xml:space="preserve"> </w:t>
      </w:r>
      <w:r w:rsidR="008A2CC3" w:rsidRPr="00677ABE">
        <w:rPr>
          <w:rFonts w:cs="Times New Roman"/>
          <w:color w:val="000000" w:themeColor="text1"/>
        </w:rPr>
        <w:t xml:space="preserve">should address </w:t>
      </w:r>
      <w:r w:rsidR="00816CB1" w:rsidRPr="00677ABE">
        <w:rPr>
          <w:rFonts w:cs="Times New Roman"/>
          <w:color w:val="000000" w:themeColor="text1"/>
        </w:rPr>
        <w:t>the</w:t>
      </w:r>
      <w:r w:rsidR="00502174" w:rsidRPr="00677ABE">
        <w:rPr>
          <w:rFonts w:cs="Times New Roman"/>
          <w:color w:val="000000" w:themeColor="text1"/>
        </w:rPr>
        <w:t xml:space="preserve"> </w:t>
      </w:r>
      <w:r w:rsidRPr="00677ABE">
        <w:rPr>
          <w:rFonts w:cs="Times New Roman"/>
          <w:color w:val="000000" w:themeColor="text1"/>
        </w:rPr>
        <w:t xml:space="preserve">factors </w:t>
      </w:r>
      <w:r w:rsidR="00502174" w:rsidRPr="00677ABE">
        <w:rPr>
          <w:rFonts w:cs="Times New Roman"/>
          <w:color w:val="000000" w:themeColor="text1"/>
        </w:rPr>
        <w:t>explained in</w:t>
      </w:r>
      <w:r w:rsidRPr="00677ABE">
        <w:rPr>
          <w:rFonts w:cs="Times New Roman"/>
          <w:color w:val="000000" w:themeColor="text1"/>
        </w:rPr>
        <w:t xml:space="preserve"> the Office Patent Trial Practice Guide,</w:t>
      </w:r>
      <w:r w:rsidRPr="00677ABE">
        <w:rPr>
          <w:rStyle w:val="FootnoteReference"/>
          <w:rFonts w:cs="Times New Roman"/>
          <w:color w:val="000000" w:themeColor="text1"/>
        </w:rPr>
        <w:footnoteReference w:id="814"/>
      </w:r>
      <w:r w:rsidRPr="00677ABE">
        <w:rPr>
          <w:rFonts w:cs="Times New Roman"/>
          <w:color w:val="000000" w:themeColor="text1"/>
        </w:rPr>
        <w:t xml:space="preserve"> which incorporates common law principles of estoppel and preclusion,</w:t>
      </w:r>
      <w:r w:rsidRPr="00677ABE">
        <w:rPr>
          <w:rStyle w:val="FootnoteReference"/>
          <w:rFonts w:cs="Times New Roman"/>
          <w:color w:val="000000" w:themeColor="text1"/>
        </w:rPr>
        <w:footnoteReference w:id="815"/>
      </w:r>
      <w:r w:rsidRPr="00677ABE">
        <w:rPr>
          <w:rFonts w:cs="Times New Roman"/>
          <w:color w:val="000000" w:themeColor="text1"/>
        </w:rPr>
        <w:t xml:space="preserve"> and </w:t>
      </w:r>
      <w:r w:rsidR="008A2CC3" w:rsidRPr="00677ABE">
        <w:rPr>
          <w:rFonts w:cs="Times New Roman"/>
          <w:color w:val="000000" w:themeColor="text1"/>
        </w:rPr>
        <w:t>those</w:t>
      </w:r>
      <w:r w:rsidR="00502174" w:rsidRPr="00677ABE">
        <w:rPr>
          <w:rFonts w:cs="Times New Roman"/>
          <w:color w:val="000000" w:themeColor="text1"/>
        </w:rPr>
        <w:t xml:space="preserve"> explained by</w:t>
      </w:r>
      <w:r w:rsidRPr="00677ABE">
        <w:rPr>
          <w:rFonts w:cs="Times New Roman"/>
          <w:color w:val="000000" w:themeColor="text1"/>
        </w:rPr>
        <w:t xml:space="preserve"> sources the </w:t>
      </w:r>
      <w:r w:rsidR="00816CB1" w:rsidRPr="00677ABE">
        <w:rPr>
          <w:rFonts w:cs="Times New Roman"/>
          <w:color w:val="000000" w:themeColor="text1"/>
        </w:rPr>
        <w:t>guide</w:t>
      </w:r>
      <w:r w:rsidRPr="00677ABE">
        <w:rPr>
          <w:rFonts w:cs="Times New Roman"/>
          <w:color w:val="000000" w:themeColor="text1"/>
        </w:rPr>
        <w:t xml:space="preserve"> cites, </w:t>
      </w:r>
      <w:r w:rsidR="008A2CC3" w:rsidRPr="00677ABE">
        <w:rPr>
          <w:rFonts w:cs="Times New Roman"/>
          <w:color w:val="000000" w:themeColor="text1"/>
        </w:rPr>
        <w:t>including</w:t>
      </w:r>
      <w:r w:rsidRPr="00677ABE">
        <w:rPr>
          <w:rFonts w:cs="Times New Roman"/>
          <w:color w:val="000000" w:themeColor="text1"/>
        </w:rPr>
        <w:t xml:space="preserve"> </w:t>
      </w:r>
      <w:r w:rsidR="00502174" w:rsidRPr="00677ABE">
        <w:rPr>
          <w:rFonts w:cs="Times New Roman"/>
          <w:color w:val="000000" w:themeColor="text1"/>
        </w:rPr>
        <w:t>the treatise by Wright &amp; Miller</w:t>
      </w:r>
      <w:r w:rsidRPr="00677ABE">
        <w:rPr>
          <w:rStyle w:val="FootnoteReference"/>
          <w:rFonts w:cs="Times New Roman"/>
          <w:color w:val="000000" w:themeColor="text1"/>
        </w:rPr>
        <w:footnoteReference w:id="816"/>
      </w:r>
      <w:r w:rsidRPr="00677ABE">
        <w:rPr>
          <w:rFonts w:cs="Times New Roman"/>
          <w:color w:val="000000" w:themeColor="text1"/>
        </w:rPr>
        <w:t xml:space="preserve"> </w:t>
      </w:r>
      <w:r w:rsidR="00502174" w:rsidRPr="00677ABE">
        <w:rPr>
          <w:rFonts w:cs="Times New Roman"/>
          <w:color w:val="000000" w:themeColor="text1"/>
        </w:rPr>
        <w:t xml:space="preserve">on </w:t>
      </w:r>
      <w:r w:rsidRPr="00677ABE">
        <w:rPr>
          <w:rFonts w:cs="Times New Roman"/>
          <w:color w:val="000000" w:themeColor="text1"/>
        </w:rPr>
        <w:t>agency.</w:t>
      </w:r>
      <w:r w:rsidRPr="00677ABE">
        <w:rPr>
          <w:rStyle w:val="FootnoteReference"/>
          <w:rFonts w:cs="Times New Roman"/>
          <w:color w:val="000000" w:themeColor="text1"/>
        </w:rPr>
        <w:footnoteReference w:id="817"/>
      </w:r>
      <w:r w:rsidRPr="00677ABE">
        <w:rPr>
          <w:rFonts w:cs="Times New Roman"/>
          <w:color w:val="000000" w:themeColor="text1"/>
        </w:rPr>
        <w:t xml:space="preserve"> </w:t>
      </w:r>
      <w:r w:rsidR="008A2CC3" w:rsidRPr="00677ABE">
        <w:rPr>
          <w:rFonts w:cs="Times New Roman"/>
          <w:color w:val="000000" w:themeColor="text1"/>
        </w:rPr>
        <w:t>As for who bears the burden,</w:t>
      </w:r>
      <w:r w:rsidRPr="00677ABE">
        <w:rPr>
          <w:rFonts w:cs="Times New Roman"/>
          <w:color w:val="000000" w:themeColor="text1"/>
        </w:rPr>
        <w:t xml:space="preserve"> a petition is presumed to identify all real-parties-in-interest,</w:t>
      </w:r>
      <w:r w:rsidRPr="00677ABE">
        <w:rPr>
          <w:rStyle w:val="FootnoteReference"/>
          <w:rFonts w:cs="Times New Roman"/>
          <w:color w:val="000000" w:themeColor="text1"/>
        </w:rPr>
        <w:footnoteReference w:id="818"/>
      </w:r>
      <w:r w:rsidRPr="00677ABE">
        <w:rPr>
          <w:rFonts w:cs="Times New Roman"/>
          <w:color w:val="000000" w:themeColor="text1"/>
        </w:rPr>
        <w:t xml:space="preserve"> </w:t>
      </w:r>
      <w:r w:rsidR="008A2CC3" w:rsidRPr="00677ABE">
        <w:rPr>
          <w:rFonts w:cs="Times New Roman"/>
          <w:color w:val="000000" w:themeColor="text1"/>
        </w:rPr>
        <w:t xml:space="preserve">but </w:t>
      </w:r>
      <w:r w:rsidRPr="00677ABE">
        <w:rPr>
          <w:rFonts w:cs="Times New Roman"/>
          <w:color w:val="000000" w:themeColor="text1"/>
        </w:rPr>
        <w:t>when “a patent owner provides sufficient evidence prior to institution that reasonably brings into question the accuracy of a petitioner's identification,” the</w:t>
      </w:r>
      <w:r w:rsidR="008A2CC3" w:rsidRPr="00677ABE">
        <w:rPr>
          <w:rFonts w:cs="Times New Roman"/>
          <w:color w:val="000000" w:themeColor="text1"/>
        </w:rPr>
        <w:t xml:space="preserve"> burden shifts to the</w:t>
      </w:r>
      <w:r w:rsidR="00816CB1" w:rsidRPr="00677ABE">
        <w:rPr>
          <w:rFonts w:cs="Times New Roman"/>
          <w:color w:val="000000" w:themeColor="text1"/>
        </w:rPr>
        <w:t xml:space="preserve"> petitioner . . . .”</w:t>
      </w:r>
      <w:r w:rsidRPr="00677ABE">
        <w:rPr>
          <w:rStyle w:val="FootnoteReference"/>
          <w:rFonts w:cs="Times New Roman"/>
          <w:color w:val="000000" w:themeColor="text1"/>
        </w:rPr>
        <w:footnoteReference w:id="819"/>
      </w:r>
      <w:r w:rsidRPr="00677ABE">
        <w:rPr>
          <w:rFonts w:cs="Times New Roman"/>
          <w:color w:val="000000" w:themeColor="text1"/>
        </w:rPr>
        <w:t xml:space="preserve"> </w:t>
      </w:r>
    </w:p>
    <w:p w14:paraId="437DD5B1" w14:textId="52D01DE8" w:rsidR="005721AA" w:rsidRPr="00677ABE" w:rsidRDefault="005721AA" w:rsidP="00CA2C0A">
      <w:pPr>
        <w:ind w:firstLine="720"/>
        <w:rPr>
          <w:rFonts w:cs="Times New Roman"/>
          <w:color w:val="000000" w:themeColor="text1"/>
        </w:rPr>
      </w:pPr>
      <w:r w:rsidRPr="00677ABE">
        <w:rPr>
          <w:rFonts w:cs="Times New Roman"/>
          <w:color w:val="000000" w:themeColor="text1"/>
        </w:rPr>
        <w:t xml:space="preserve">Comparing this standard to that used below, the Federal Circuit held the </w:t>
      </w:r>
      <w:r w:rsidR="00332BA1" w:rsidRPr="00677ABE">
        <w:rPr>
          <w:rFonts w:cs="Times New Roman"/>
          <w:color w:val="000000" w:themeColor="text1"/>
        </w:rPr>
        <w:t>PTAB</w:t>
      </w:r>
      <w:r w:rsidRPr="00677ABE">
        <w:rPr>
          <w:rFonts w:cs="Times New Roman"/>
          <w:color w:val="000000" w:themeColor="text1"/>
        </w:rPr>
        <w:t xml:space="preserve"> stated parts of the test correctly but misappl</w:t>
      </w:r>
      <w:r w:rsidR="00427E2B" w:rsidRPr="00677ABE">
        <w:rPr>
          <w:rFonts w:cs="Times New Roman"/>
          <w:color w:val="000000" w:themeColor="text1"/>
        </w:rPr>
        <w:t>ied them.</w:t>
      </w:r>
      <w:r w:rsidR="009D252E" w:rsidRPr="00677ABE">
        <w:rPr>
          <w:rFonts w:cs="Times New Roman"/>
          <w:color w:val="000000" w:themeColor="text1"/>
        </w:rPr>
        <w:t xml:space="preserve"> </w:t>
      </w:r>
      <w:r w:rsidR="00427E2B" w:rsidRPr="00677ABE">
        <w:rPr>
          <w:rFonts w:cs="Times New Roman"/>
          <w:color w:val="000000" w:themeColor="text1"/>
        </w:rPr>
        <w:t>The PTAB</w:t>
      </w:r>
      <w:r w:rsidR="009D252E" w:rsidRPr="00677ABE">
        <w:rPr>
          <w:rFonts w:cs="Times New Roman"/>
          <w:color w:val="000000" w:themeColor="text1"/>
        </w:rPr>
        <w:t xml:space="preserve"> focused on whether RPX had an interest</w:t>
      </w:r>
      <w:r w:rsidR="001D05D5" w:rsidRPr="00677ABE">
        <w:rPr>
          <w:rFonts w:cs="Times New Roman"/>
          <w:color w:val="000000" w:themeColor="text1"/>
        </w:rPr>
        <w:t xml:space="preserve"> in the IPR</w:t>
      </w:r>
      <w:r w:rsidR="009D252E" w:rsidRPr="00677ABE">
        <w:rPr>
          <w:rFonts w:cs="Times New Roman"/>
          <w:color w:val="000000" w:themeColor="text1"/>
        </w:rPr>
        <w:t xml:space="preserve">, but failed to consider whether RPX was </w:t>
      </w:r>
      <w:r w:rsidR="001D05D5" w:rsidRPr="00677ABE">
        <w:rPr>
          <w:rFonts w:cs="Times New Roman"/>
          <w:color w:val="000000" w:themeColor="text1"/>
        </w:rPr>
        <w:t xml:space="preserve">also </w:t>
      </w:r>
      <w:r w:rsidR="009D252E" w:rsidRPr="00677ABE">
        <w:rPr>
          <w:rFonts w:cs="Times New Roman"/>
          <w:color w:val="000000" w:themeColor="text1"/>
        </w:rPr>
        <w:t>acting</w:t>
      </w:r>
      <w:r w:rsidR="001D05D5" w:rsidRPr="00677ABE">
        <w:rPr>
          <w:rFonts w:cs="Times New Roman"/>
          <w:color w:val="000000" w:themeColor="text1"/>
        </w:rPr>
        <w:t xml:space="preserve"> on behalf of Salesforce’s interest</w:t>
      </w:r>
      <w:r w:rsidRPr="00677ABE">
        <w:rPr>
          <w:rFonts w:cs="Times New Roman"/>
          <w:color w:val="000000" w:themeColor="text1"/>
        </w:rPr>
        <w:t>.</w:t>
      </w:r>
      <w:r w:rsidRPr="00677ABE">
        <w:rPr>
          <w:rStyle w:val="FootnoteReference"/>
          <w:rFonts w:cs="Times New Roman"/>
          <w:color w:val="000000" w:themeColor="text1"/>
        </w:rPr>
        <w:footnoteReference w:id="820"/>
      </w:r>
      <w:r w:rsidRPr="00677ABE">
        <w:rPr>
          <w:rFonts w:cs="Times New Roman"/>
          <w:color w:val="000000" w:themeColor="text1"/>
        </w:rPr>
        <w:t xml:space="preserve"> Similarly, the PTAB failed to consider </w:t>
      </w:r>
      <w:r w:rsidR="00713A17" w:rsidRPr="00677ABE">
        <w:rPr>
          <w:rFonts w:cs="Times New Roman"/>
          <w:color w:val="000000" w:themeColor="text1"/>
        </w:rPr>
        <w:t>Wright &amp; Miller’s</w:t>
      </w:r>
      <w:r w:rsidRPr="00677ABE">
        <w:rPr>
          <w:rFonts w:cs="Times New Roman"/>
          <w:color w:val="000000" w:themeColor="text1"/>
        </w:rPr>
        <w:t xml:space="preserve"> agency theories</w:t>
      </w:r>
      <w:r w:rsidR="001D05D5" w:rsidRPr="00677ABE">
        <w:rPr>
          <w:rFonts w:cs="Times New Roman"/>
          <w:color w:val="000000" w:themeColor="text1"/>
        </w:rPr>
        <w:t xml:space="preserve">, </w:t>
      </w:r>
      <w:r w:rsidR="00713A17" w:rsidRPr="00677ABE">
        <w:rPr>
          <w:rFonts w:cs="Times New Roman"/>
          <w:color w:val="000000" w:themeColor="text1"/>
        </w:rPr>
        <w:t xml:space="preserve">including </w:t>
      </w:r>
      <w:r w:rsidR="00427E2B" w:rsidRPr="00677ABE">
        <w:rPr>
          <w:rFonts w:cs="Times New Roman"/>
          <w:color w:val="000000" w:themeColor="text1"/>
        </w:rPr>
        <w:t xml:space="preserve">RPX’s possible </w:t>
      </w:r>
      <w:r w:rsidRPr="00677ABE">
        <w:rPr>
          <w:rFonts w:cs="Times New Roman"/>
          <w:color w:val="000000" w:themeColor="text1"/>
        </w:rPr>
        <w:t xml:space="preserve">implied </w:t>
      </w:r>
      <w:r w:rsidR="00713A17" w:rsidRPr="00677ABE">
        <w:rPr>
          <w:rFonts w:cs="Times New Roman"/>
          <w:color w:val="000000" w:themeColor="text1"/>
        </w:rPr>
        <w:t xml:space="preserve">or apparent </w:t>
      </w:r>
      <w:r w:rsidRPr="00677ABE">
        <w:rPr>
          <w:rFonts w:cs="Times New Roman"/>
          <w:color w:val="000000" w:themeColor="text1"/>
        </w:rPr>
        <w:t xml:space="preserve">authority to act </w:t>
      </w:r>
      <w:r w:rsidR="00713A17" w:rsidRPr="00677ABE">
        <w:rPr>
          <w:rFonts w:cs="Times New Roman"/>
          <w:color w:val="000000" w:themeColor="text1"/>
        </w:rPr>
        <w:t>for Salesforce</w:t>
      </w:r>
      <w:r w:rsidRPr="00677ABE">
        <w:rPr>
          <w:rFonts w:cs="Times New Roman"/>
          <w:color w:val="000000" w:themeColor="text1"/>
        </w:rPr>
        <w:t>.</w:t>
      </w:r>
      <w:r w:rsidRPr="00677ABE">
        <w:rPr>
          <w:rStyle w:val="FootnoteReference"/>
          <w:rFonts w:cs="Times New Roman"/>
          <w:color w:val="000000" w:themeColor="text1"/>
        </w:rPr>
        <w:footnoteReference w:id="821"/>
      </w:r>
      <w:r w:rsidR="00713A17" w:rsidRPr="00677ABE">
        <w:rPr>
          <w:rFonts w:cs="Times New Roman"/>
          <w:color w:val="000000" w:themeColor="text1"/>
        </w:rPr>
        <w:t xml:space="preserve"> </w:t>
      </w:r>
      <w:r w:rsidRPr="00677ABE">
        <w:rPr>
          <w:rFonts w:cs="Times New Roman"/>
          <w:color w:val="000000" w:themeColor="text1"/>
        </w:rPr>
        <w:t>Finally, the PTAB</w:t>
      </w:r>
      <w:r w:rsidR="00427E2B" w:rsidRPr="00677ABE">
        <w:rPr>
          <w:rFonts w:cs="Times New Roman"/>
          <w:color w:val="000000" w:themeColor="text1"/>
        </w:rPr>
        <w:t xml:space="preserve"> was too quick to</w:t>
      </w:r>
      <w:r w:rsidRPr="00677ABE">
        <w:rPr>
          <w:rFonts w:cs="Times New Roman"/>
          <w:color w:val="000000" w:themeColor="text1"/>
        </w:rPr>
        <w:t xml:space="preserve"> </w:t>
      </w:r>
      <w:r w:rsidR="00427E2B" w:rsidRPr="00677ABE">
        <w:rPr>
          <w:rFonts w:cs="Times New Roman"/>
          <w:color w:val="000000" w:themeColor="text1"/>
        </w:rPr>
        <w:t>reject</w:t>
      </w:r>
      <w:r w:rsidRPr="00677ABE">
        <w:rPr>
          <w:rFonts w:cs="Times New Roman"/>
          <w:color w:val="000000" w:themeColor="text1"/>
        </w:rPr>
        <w:t xml:space="preserve"> </w:t>
      </w:r>
      <w:r w:rsidR="00427E2B" w:rsidRPr="00677ABE">
        <w:rPr>
          <w:rFonts w:cs="Times New Roman"/>
          <w:color w:val="000000" w:themeColor="text1"/>
        </w:rPr>
        <w:t>the theory that</w:t>
      </w:r>
      <w:r w:rsidRPr="00677ABE">
        <w:rPr>
          <w:rFonts w:cs="Times New Roman"/>
          <w:color w:val="000000" w:themeColor="text1"/>
        </w:rPr>
        <w:t xml:space="preserve"> RPX was “willfully blind” to Salesforce’s interests</w:t>
      </w:r>
      <w:r w:rsidR="00427E2B" w:rsidRPr="00677ABE">
        <w:rPr>
          <w:rFonts w:cs="Times New Roman"/>
          <w:color w:val="000000" w:themeColor="text1"/>
        </w:rPr>
        <w:t>; it may have worked</w:t>
      </w:r>
      <w:r w:rsidR="00DD16BF" w:rsidRPr="00677ABE">
        <w:rPr>
          <w:rFonts w:cs="Times New Roman"/>
          <w:color w:val="000000" w:themeColor="text1"/>
        </w:rPr>
        <w:t xml:space="preserve"> to understand them with “</w:t>
      </w:r>
      <w:r w:rsidRPr="00677ABE">
        <w:rPr>
          <w:rFonts w:cs="Times New Roman"/>
          <w:color w:val="000000" w:themeColor="text1"/>
        </w:rPr>
        <w:t>a strong degree of confidence</w:t>
      </w:r>
      <w:r w:rsidR="00DD16BF" w:rsidRPr="00677ABE">
        <w:rPr>
          <w:rFonts w:cs="Times New Roman"/>
          <w:color w:val="000000" w:themeColor="text1"/>
        </w:rPr>
        <w:t>” before “</w:t>
      </w:r>
      <w:r w:rsidRPr="00677ABE">
        <w:rPr>
          <w:rFonts w:cs="Times New Roman"/>
          <w:color w:val="000000" w:themeColor="text1"/>
        </w:rPr>
        <w:t>taking last-minute efforts to avoid obtaining an express statement</w:t>
      </w:r>
      <w:r w:rsidR="00DD16BF" w:rsidRPr="00677ABE">
        <w:rPr>
          <w:rFonts w:cs="Times New Roman"/>
          <w:color w:val="000000" w:themeColor="text1"/>
        </w:rPr>
        <w:t> . . . </w:t>
      </w:r>
      <w:r w:rsidRPr="00677ABE">
        <w:rPr>
          <w:rFonts w:cs="Times New Roman"/>
          <w:color w:val="000000" w:themeColor="text1"/>
        </w:rPr>
        <w:t>.</w:t>
      </w:r>
      <w:r w:rsidR="00DD16BF" w:rsidRPr="00677ABE">
        <w:rPr>
          <w:rFonts w:cs="Times New Roman"/>
          <w:color w:val="000000" w:themeColor="text1"/>
        </w:rPr>
        <w:t>”</w:t>
      </w:r>
      <w:r w:rsidRPr="00677ABE">
        <w:rPr>
          <w:rStyle w:val="FootnoteReference"/>
          <w:rFonts w:cs="Times New Roman"/>
          <w:color w:val="000000" w:themeColor="text1"/>
        </w:rPr>
        <w:footnoteReference w:id="822"/>
      </w:r>
      <w:r w:rsidRPr="00677ABE">
        <w:rPr>
          <w:rFonts w:cs="Times New Roman"/>
          <w:color w:val="000000" w:themeColor="text1"/>
        </w:rPr>
        <w:t xml:space="preserve"> </w:t>
      </w:r>
      <w:r w:rsidR="00DD16BF" w:rsidRPr="00677ABE">
        <w:rPr>
          <w:rFonts w:cs="Times New Roman"/>
          <w:color w:val="000000" w:themeColor="text1"/>
        </w:rPr>
        <w:t>Beyond failing to consider these</w:t>
      </w:r>
      <w:r w:rsidR="00427E2B" w:rsidRPr="00677ABE">
        <w:rPr>
          <w:rFonts w:cs="Times New Roman"/>
          <w:color w:val="000000" w:themeColor="text1"/>
        </w:rPr>
        <w:t xml:space="preserve"> legal</w:t>
      </w:r>
      <w:r w:rsidR="00DD16BF" w:rsidRPr="00677ABE">
        <w:rPr>
          <w:rFonts w:cs="Times New Roman"/>
          <w:color w:val="000000" w:themeColor="text1"/>
        </w:rPr>
        <w:t xml:space="preserve"> theories, the</w:t>
      </w:r>
      <w:r w:rsidRPr="00677ABE">
        <w:rPr>
          <w:rFonts w:cs="Times New Roman"/>
          <w:color w:val="000000" w:themeColor="text1"/>
        </w:rPr>
        <w:t xml:space="preserve"> PTAB </w:t>
      </w:r>
      <w:r w:rsidR="00FA2147" w:rsidRPr="00677ABE">
        <w:rPr>
          <w:rFonts w:cs="Times New Roman"/>
          <w:color w:val="000000" w:themeColor="text1"/>
        </w:rPr>
        <w:t>erred</w:t>
      </w:r>
      <w:r w:rsidRPr="00677ABE">
        <w:rPr>
          <w:rFonts w:cs="Times New Roman"/>
          <w:color w:val="000000" w:themeColor="text1"/>
        </w:rPr>
        <w:t xml:space="preserve"> by failing to substantiate its </w:t>
      </w:r>
      <w:r w:rsidR="00427E2B" w:rsidRPr="00677ABE">
        <w:rPr>
          <w:rFonts w:cs="Times New Roman"/>
          <w:color w:val="000000" w:themeColor="text1"/>
        </w:rPr>
        <w:t>legal conclusions with evidence;</w:t>
      </w:r>
      <w:r w:rsidR="00DD16BF" w:rsidRPr="00677ABE">
        <w:rPr>
          <w:rFonts w:cs="Times New Roman"/>
          <w:color w:val="000000" w:themeColor="text1"/>
        </w:rPr>
        <w:t xml:space="preserve"> the relationship and conversations between Salesforce and RPX appeared to support contrary conclusions.</w:t>
      </w:r>
      <w:r w:rsidRPr="00677ABE">
        <w:rPr>
          <w:rStyle w:val="FootnoteReference"/>
          <w:rFonts w:cs="Times New Roman"/>
          <w:color w:val="000000" w:themeColor="text1"/>
        </w:rPr>
        <w:footnoteReference w:id="823"/>
      </w:r>
      <w:r w:rsidR="00AC00E6">
        <w:rPr>
          <w:rFonts w:cs="Times New Roman"/>
          <w:color w:val="000000" w:themeColor="text1"/>
        </w:rPr>
        <w:t xml:space="preserve"> </w:t>
      </w:r>
      <w:r w:rsidR="008B554C" w:rsidRPr="00677ABE">
        <w:rPr>
          <w:rFonts w:cs="Times New Roman"/>
          <w:color w:val="000000" w:themeColor="text1"/>
        </w:rPr>
        <w:t>In sum, even had RPX followed its “best practices,” those practices may not have insulated Salesforce from being a real party in interest.</w:t>
      </w:r>
      <w:r w:rsidR="008B554C" w:rsidRPr="00677ABE">
        <w:rPr>
          <w:rStyle w:val="FootnoteReference"/>
          <w:rFonts w:cs="Times New Roman"/>
          <w:color w:val="000000" w:themeColor="text1"/>
        </w:rPr>
        <w:footnoteReference w:id="824"/>
      </w:r>
      <w:r w:rsidR="008B554C" w:rsidRPr="00677ABE">
        <w:rPr>
          <w:rFonts w:cs="Times New Roman"/>
          <w:color w:val="000000" w:themeColor="text1"/>
        </w:rPr>
        <w:t xml:space="preserve"> </w:t>
      </w:r>
      <w:r w:rsidRPr="00677ABE">
        <w:rPr>
          <w:rFonts w:cs="Times New Roman"/>
          <w:color w:val="000000" w:themeColor="text1"/>
        </w:rPr>
        <w:t>Accordingly, the Federal Circuit vacated and remanded.</w:t>
      </w:r>
    </w:p>
    <w:p w14:paraId="75F1B1B4" w14:textId="2A93604F" w:rsidR="00F20B84" w:rsidRDefault="005721AA" w:rsidP="00CA2C0A">
      <w:pPr>
        <w:ind w:firstLine="720"/>
        <w:rPr>
          <w:rFonts w:cs="Times New Roman"/>
          <w:color w:val="000000" w:themeColor="text1"/>
        </w:rPr>
      </w:pPr>
      <w:r w:rsidRPr="00677ABE">
        <w:rPr>
          <w:rFonts w:cs="Times New Roman"/>
          <w:color w:val="000000" w:themeColor="text1"/>
        </w:rPr>
        <w:t xml:space="preserve">In a concurrence, Judge Reyna </w:t>
      </w:r>
      <w:r w:rsidR="00ED493D" w:rsidRPr="00677ABE">
        <w:rPr>
          <w:rFonts w:cs="Times New Roman"/>
          <w:color w:val="000000" w:themeColor="text1"/>
        </w:rPr>
        <w:t>discussed the meaning of</w:t>
      </w:r>
      <w:r w:rsidRPr="00677ABE">
        <w:rPr>
          <w:rFonts w:cs="Times New Roman"/>
          <w:color w:val="000000" w:themeColor="text1"/>
        </w:rPr>
        <w:t xml:space="preserve"> privity under </w:t>
      </w:r>
      <w:r w:rsidR="00AC00E6">
        <w:rPr>
          <w:rFonts w:cs="Times New Roman"/>
          <w:color w:val="000000" w:themeColor="text1"/>
        </w:rPr>
        <w:t>§ </w:t>
      </w:r>
      <w:r w:rsidRPr="00677ABE">
        <w:rPr>
          <w:rFonts w:cs="Times New Roman"/>
          <w:color w:val="000000" w:themeColor="text1"/>
        </w:rPr>
        <w:t>315(b)</w:t>
      </w:r>
      <w:r w:rsidRPr="00677ABE">
        <w:rPr>
          <w:rStyle w:val="FootnoteReference"/>
          <w:rFonts w:cs="Times New Roman"/>
          <w:color w:val="000000" w:themeColor="text1"/>
        </w:rPr>
        <w:footnoteReference w:id="825"/>
      </w:r>
      <w:r w:rsidRPr="00677ABE">
        <w:rPr>
          <w:rFonts w:cs="Times New Roman"/>
          <w:color w:val="000000" w:themeColor="text1"/>
        </w:rPr>
        <w:t xml:space="preserve"> and how that section differed from the pleading requirements under </w:t>
      </w:r>
      <w:r w:rsidR="00AC00E6">
        <w:rPr>
          <w:rFonts w:cs="Times New Roman"/>
          <w:color w:val="000000" w:themeColor="text1"/>
        </w:rPr>
        <w:t>§ </w:t>
      </w:r>
      <w:r w:rsidRPr="00677ABE">
        <w:rPr>
          <w:rFonts w:cs="Times New Roman"/>
          <w:color w:val="000000" w:themeColor="text1"/>
        </w:rPr>
        <w:t>315(a)(2).</w:t>
      </w:r>
      <w:r w:rsidRPr="00677ABE">
        <w:rPr>
          <w:rStyle w:val="FootnoteReference"/>
          <w:rFonts w:cs="Times New Roman"/>
          <w:color w:val="000000" w:themeColor="text1"/>
        </w:rPr>
        <w:footnoteReference w:id="826"/>
      </w:r>
      <w:r w:rsidRPr="00677ABE">
        <w:rPr>
          <w:rFonts w:cs="Times New Roman"/>
          <w:color w:val="000000" w:themeColor="text1"/>
        </w:rPr>
        <w:t xml:space="preserve"> Judge Reyna would </w:t>
      </w:r>
      <w:r w:rsidR="00F071F8" w:rsidRPr="00677ABE">
        <w:rPr>
          <w:rFonts w:cs="Times New Roman"/>
          <w:color w:val="000000" w:themeColor="text1"/>
        </w:rPr>
        <w:t>hold</w:t>
      </w:r>
      <w:r w:rsidRPr="00677ABE">
        <w:rPr>
          <w:rFonts w:cs="Times New Roman"/>
          <w:color w:val="000000" w:themeColor="text1"/>
        </w:rPr>
        <w:t xml:space="preserve"> that “if the extent of the legal obligations between the parties (i.e., RPX and Salesforce) is such that the parties share a high degree of commonality of proprietary or financial interest, privity is established and </w:t>
      </w:r>
      <w:r w:rsidR="00AC00E6">
        <w:rPr>
          <w:rFonts w:cs="Times New Roman"/>
          <w:color w:val="000000" w:themeColor="text1"/>
        </w:rPr>
        <w:t>§ </w:t>
      </w:r>
      <w:r w:rsidRPr="00677ABE">
        <w:rPr>
          <w:rFonts w:cs="Times New Roman"/>
          <w:color w:val="000000" w:themeColor="text1"/>
        </w:rPr>
        <w:t>315(b) bars the institution of the IPR petitions.”</w:t>
      </w:r>
      <w:r w:rsidRPr="00677ABE">
        <w:rPr>
          <w:rStyle w:val="FootnoteReference"/>
          <w:rFonts w:cs="Times New Roman"/>
          <w:color w:val="000000" w:themeColor="text1"/>
        </w:rPr>
        <w:footnoteReference w:id="827"/>
      </w:r>
    </w:p>
    <w:p w14:paraId="02017C1B" w14:textId="77777777" w:rsidR="00F20B84" w:rsidRDefault="005721AA" w:rsidP="00CA2C0A">
      <w:pPr>
        <w:pStyle w:val="Heading2"/>
        <w:rPr>
          <w:rFonts w:cs="Times New Roman"/>
          <w:szCs w:val="24"/>
        </w:rPr>
      </w:pPr>
      <w:bookmarkStart w:id="168" w:name="_Toc531692798"/>
      <w:r w:rsidRPr="00677ABE">
        <w:rPr>
          <w:rFonts w:cs="Times New Roman"/>
          <w:szCs w:val="24"/>
        </w:rPr>
        <w:t>Sovereign Immunity</w:t>
      </w:r>
      <w:bookmarkEnd w:id="168"/>
      <w:r w:rsidRPr="00677ABE">
        <w:rPr>
          <w:rFonts w:cs="Times New Roman"/>
          <w:szCs w:val="24"/>
        </w:rPr>
        <w:t xml:space="preserve"> </w:t>
      </w:r>
    </w:p>
    <w:p w14:paraId="5D67DDFF" w14:textId="543B4CE3" w:rsidR="00824717" w:rsidRPr="00677ABE" w:rsidRDefault="008E2A9D" w:rsidP="00CA2C0A">
      <w:pPr>
        <w:pStyle w:val="Heading3"/>
        <w:ind w:firstLine="0"/>
        <w:rPr>
          <w:rFonts w:cs="Times New Roman"/>
        </w:rPr>
      </w:pPr>
      <w:bookmarkStart w:id="169" w:name="_Toc531692799"/>
      <w:r w:rsidRPr="00677ABE">
        <w:rPr>
          <w:rFonts w:cs="Times New Roman"/>
        </w:rPr>
        <w:t>Saint Regis Mohawk Tribe</w:t>
      </w:r>
      <w:r w:rsidR="00712C22" w:rsidRPr="00677ABE">
        <w:rPr>
          <w:rFonts w:cs="Times New Roman"/>
        </w:rPr>
        <w:t xml:space="preserve"> v. </w:t>
      </w:r>
      <w:r w:rsidR="00824717" w:rsidRPr="00677ABE">
        <w:rPr>
          <w:rFonts w:cs="Times New Roman"/>
        </w:rPr>
        <w:t>Mylan Pharms. Inc.</w:t>
      </w:r>
      <w:r w:rsidR="00824717" w:rsidRPr="00677ABE">
        <w:rPr>
          <w:rFonts w:cs="Times New Roman"/>
          <w:i w:val="0"/>
        </w:rPr>
        <w:t>, 896 F.3d</w:t>
      </w:r>
      <w:r w:rsidR="002E373B" w:rsidRPr="00677ABE">
        <w:rPr>
          <w:rFonts w:cs="Times New Roman"/>
          <w:i w:val="0"/>
        </w:rPr>
        <w:t xml:space="preserve"> 1322 (Fed. Cir. </w:t>
      </w:r>
      <w:r w:rsidR="002B3CF9" w:rsidRPr="00677ABE">
        <w:rPr>
          <w:rFonts w:cs="Times New Roman"/>
          <w:i w:val="0"/>
        </w:rPr>
        <w:t>July </w:t>
      </w:r>
      <w:r w:rsidRPr="00677ABE">
        <w:rPr>
          <w:rFonts w:cs="Times New Roman"/>
          <w:i w:val="0"/>
        </w:rPr>
        <w:t>20, 2018)</w:t>
      </w:r>
      <w:bookmarkEnd w:id="169"/>
    </w:p>
    <w:p w14:paraId="79540865" w14:textId="60738502" w:rsidR="00824717" w:rsidRPr="00677ABE" w:rsidRDefault="00824717" w:rsidP="00CA2C0A">
      <w:pPr>
        <w:ind w:firstLine="720"/>
        <w:rPr>
          <w:rFonts w:cs="Times New Roman"/>
        </w:rPr>
      </w:pPr>
      <w:r w:rsidRPr="00677ABE">
        <w:rPr>
          <w:rFonts w:cs="Times New Roman"/>
        </w:rPr>
        <w:t xml:space="preserve">In this appeal from the Patent Trial and Appeal Board (“PTAB”), the Federal Circuit affirmed the PTAB’s denial of the Saint Regis Mohawk Tribe’s (“Tribe”) motion </w:t>
      </w:r>
      <w:r w:rsidR="00071633" w:rsidRPr="00677ABE">
        <w:rPr>
          <w:rFonts w:cs="Times New Roman"/>
        </w:rPr>
        <w:t>invoking</w:t>
      </w:r>
      <w:r w:rsidRPr="00677ABE">
        <w:rPr>
          <w:rFonts w:cs="Times New Roman"/>
        </w:rPr>
        <w:t xml:space="preserve"> </w:t>
      </w:r>
      <w:r w:rsidR="009A2A3E" w:rsidRPr="00677ABE">
        <w:rPr>
          <w:rFonts w:cs="Times New Roman"/>
        </w:rPr>
        <w:t xml:space="preserve">tribal </w:t>
      </w:r>
      <w:r w:rsidR="00071633" w:rsidRPr="00677ABE">
        <w:rPr>
          <w:rFonts w:cs="Times New Roman"/>
        </w:rPr>
        <w:t xml:space="preserve">sovereign immunity to terminate the </w:t>
      </w:r>
      <w:r w:rsidRPr="00677ABE">
        <w:rPr>
          <w:rFonts w:cs="Times New Roman"/>
          <w:i/>
        </w:rPr>
        <w:t>inter partes</w:t>
      </w:r>
      <w:r w:rsidRPr="00677ABE">
        <w:rPr>
          <w:rFonts w:cs="Times New Roman"/>
        </w:rPr>
        <w:t xml:space="preserve"> review (“IPR”) </w:t>
      </w:r>
      <w:r w:rsidR="00071633" w:rsidRPr="00677ABE">
        <w:rPr>
          <w:rFonts w:cs="Times New Roman"/>
        </w:rPr>
        <w:t>of patents it obtained from a</w:t>
      </w:r>
      <w:r w:rsidRPr="00677ABE">
        <w:rPr>
          <w:rFonts w:cs="Times New Roman"/>
        </w:rPr>
        <w:t xml:space="preserve"> drug company.</w:t>
      </w:r>
      <w:r w:rsidRPr="00677ABE">
        <w:rPr>
          <w:rStyle w:val="FootnoteReference"/>
          <w:rFonts w:cs="Times New Roman"/>
        </w:rPr>
        <w:footnoteReference w:id="828"/>
      </w:r>
      <w:r w:rsidRPr="00677ABE">
        <w:rPr>
          <w:rFonts w:cs="Times New Roman"/>
        </w:rPr>
        <w:t xml:space="preserve"> The court addressed tribal sovereign immunity </w:t>
      </w:r>
      <w:r w:rsidR="009A2A3E" w:rsidRPr="00677ABE">
        <w:rPr>
          <w:rFonts w:cs="Times New Roman"/>
        </w:rPr>
        <w:t>but</w:t>
      </w:r>
      <w:r w:rsidRPr="00677ABE">
        <w:rPr>
          <w:rFonts w:cs="Times New Roman"/>
        </w:rPr>
        <w:t xml:space="preserve"> </w:t>
      </w:r>
      <w:r w:rsidR="009A2A3E" w:rsidRPr="00677ABE">
        <w:rPr>
          <w:rFonts w:cs="Times New Roman"/>
        </w:rPr>
        <w:t>not</w:t>
      </w:r>
      <w:r w:rsidRPr="00677ABE">
        <w:rPr>
          <w:rFonts w:cs="Times New Roman"/>
        </w:rPr>
        <w:t xml:space="preserve"> state sovereign immunity.</w:t>
      </w:r>
      <w:r w:rsidRPr="00677ABE">
        <w:rPr>
          <w:rStyle w:val="FootnoteReference"/>
          <w:rFonts w:cs="Times New Roman"/>
        </w:rPr>
        <w:footnoteReference w:id="829"/>
      </w:r>
    </w:p>
    <w:p w14:paraId="27D2F82A" w14:textId="5FC3650B" w:rsidR="00824717" w:rsidRPr="00677ABE" w:rsidRDefault="00824717" w:rsidP="00CA2C0A">
      <w:pPr>
        <w:rPr>
          <w:rFonts w:cs="Times New Roman"/>
        </w:rPr>
      </w:pPr>
      <w:r w:rsidRPr="00677ABE">
        <w:rPr>
          <w:rFonts w:cs="Times New Roman"/>
        </w:rPr>
        <w:tab/>
        <w:t>The Federal Circuit affirmed the PTAB decision.</w:t>
      </w:r>
      <w:r w:rsidRPr="00677ABE">
        <w:rPr>
          <w:rStyle w:val="FootnoteReference"/>
          <w:rFonts w:cs="Times New Roman"/>
        </w:rPr>
        <w:footnoteReference w:id="830"/>
      </w:r>
      <w:r w:rsidRPr="00677ABE">
        <w:rPr>
          <w:rFonts w:cs="Times New Roman"/>
        </w:rPr>
        <w:t xml:space="preserve"> </w:t>
      </w:r>
      <w:r w:rsidR="00312220" w:rsidRPr="00677ABE">
        <w:rPr>
          <w:rFonts w:cs="Times New Roman"/>
        </w:rPr>
        <w:t xml:space="preserve">The </w:t>
      </w:r>
      <w:r w:rsidRPr="00677ABE">
        <w:rPr>
          <w:rFonts w:cs="Times New Roman"/>
        </w:rPr>
        <w:t>common law grants Indian tribes “inherent sovereign immunity” from suits “absent a clear waiver by the tr</w:t>
      </w:r>
      <w:r w:rsidR="00312220" w:rsidRPr="00677ABE">
        <w:rPr>
          <w:rFonts w:cs="Times New Roman"/>
        </w:rPr>
        <w:t>ibe or congressional abrogation.</w:t>
      </w:r>
      <w:r w:rsidRPr="00677ABE">
        <w:rPr>
          <w:rFonts w:cs="Times New Roman"/>
        </w:rPr>
        <w:t>”</w:t>
      </w:r>
      <w:r w:rsidRPr="00677ABE">
        <w:rPr>
          <w:rStyle w:val="FootnoteReference"/>
          <w:rFonts w:cs="Times New Roman"/>
        </w:rPr>
        <w:footnoteReference w:id="831"/>
      </w:r>
      <w:r w:rsidR="00312220" w:rsidRPr="00677ABE">
        <w:rPr>
          <w:rFonts w:cs="Times New Roman"/>
        </w:rPr>
        <w:t xml:space="preserve"> F</w:t>
      </w:r>
      <w:r w:rsidRPr="00677ABE">
        <w:rPr>
          <w:rFonts w:cs="Times New Roman"/>
        </w:rPr>
        <w:t>ederal agencies</w:t>
      </w:r>
      <w:r w:rsidR="00312220" w:rsidRPr="00677ABE">
        <w:rPr>
          <w:rFonts w:cs="Times New Roman"/>
        </w:rPr>
        <w:t xml:space="preserve"> may</w:t>
      </w:r>
      <w:r w:rsidRPr="00677ABE">
        <w:rPr>
          <w:rFonts w:cs="Times New Roman"/>
        </w:rPr>
        <w:t xml:space="preserve"> pierce this immunity when they investigate or adjudicate matters on behalf of the federal government—but not when they do so upon the complaints of private parties, as in </w:t>
      </w:r>
      <w:r w:rsidRPr="00677ABE">
        <w:rPr>
          <w:rFonts w:cs="Times New Roman"/>
          <w:i/>
        </w:rPr>
        <w:t>Federal Maritime Commission</w:t>
      </w:r>
      <w:r w:rsidRPr="00677ABE">
        <w:rPr>
          <w:rFonts w:cs="Times New Roman"/>
        </w:rPr>
        <w:t xml:space="preserve"> (“</w:t>
      </w:r>
      <w:r w:rsidRPr="00677ABE">
        <w:rPr>
          <w:rFonts w:cs="Times New Roman"/>
          <w:i/>
        </w:rPr>
        <w:t>FMC</w:t>
      </w:r>
      <w:r w:rsidRPr="00677ABE">
        <w:rPr>
          <w:rFonts w:cs="Times New Roman"/>
        </w:rPr>
        <w:t>”).</w:t>
      </w:r>
      <w:r w:rsidRPr="00677ABE">
        <w:rPr>
          <w:rStyle w:val="FootnoteReference"/>
          <w:rFonts w:cs="Times New Roman"/>
        </w:rPr>
        <w:footnoteReference w:id="832"/>
      </w:r>
      <w:r w:rsidRPr="00677ABE">
        <w:rPr>
          <w:rStyle w:val="FootnoteReference"/>
          <w:rFonts w:cs="Times New Roman"/>
        </w:rPr>
        <w:t xml:space="preserve"> </w:t>
      </w:r>
      <w:r w:rsidRPr="00677ABE">
        <w:rPr>
          <w:rFonts w:cs="Times New Roman"/>
        </w:rPr>
        <w:t xml:space="preserve">Mylan argued that in IPR the government is “reconsidering a grant of a government franchise” and so pierces sovereign immunity, while the Tribe argued that in IPR </w:t>
      </w:r>
      <w:r w:rsidR="000D75E0" w:rsidRPr="00677ABE">
        <w:rPr>
          <w:rFonts w:cs="Times New Roman"/>
        </w:rPr>
        <w:t xml:space="preserve">a </w:t>
      </w:r>
      <w:r w:rsidRPr="00677ABE">
        <w:rPr>
          <w:rFonts w:cs="Times New Roman"/>
        </w:rPr>
        <w:t xml:space="preserve">private </w:t>
      </w:r>
      <w:r w:rsidR="000D75E0" w:rsidRPr="00677ABE">
        <w:rPr>
          <w:rFonts w:cs="Times New Roman"/>
        </w:rPr>
        <w:t>party pursues its</w:t>
      </w:r>
      <w:r w:rsidRPr="00677ABE">
        <w:rPr>
          <w:rFonts w:cs="Times New Roman"/>
        </w:rPr>
        <w:t xml:space="preserve"> own claims and so </w:t>
      </w:r>
      <w:r w:rsidR="000D75E0" w:rsidRPr="00677ABE">
        <w:rPr>
          <w:rFonts w:cs="Times New Roman"/>
        </w:rPr>
        <w:t>can be</w:t>
      </w:r>
      <w:r w:rsidRPr="00677ABE">
        <w:rPr>
          <w:rFonts w:cs="Times New Roman"/>
        </w:rPr>
        <w:t xml:space="preserve"> blocked by</w:t>
      </w:r>
      <w:r w:rsidR="000D75E0" w:rsidRPr="00677ABE">
        <w:rPr>
          <w:rFonts w:cs="Times New Roman"/>
        </w:rPr>
        <w:t xml:space="preserve"> tribal</w:t>
      </w:r>
      <w:r w:rsidRPr="00677ABE">
        <w:rPr>
          <w:rFonts w:cs="Times New Roman"/>
        </w:rPr>
        <w:t xml:space="preserve"> sovereign immunity.</w:t>
      </w:r>
      <w:r w:rsidRPr="00677ABE">
        <w:rPr>
          <w:rStyle w:val="FootnoteReference"/>
          <w:rFonts w:cs="Times New Roman"/>
        </w:rPr>
        <w:footnoteReference w:id="833"/>
      </w:r>
      <w:r w:rsidRPr="00677ABE">
        <w:rPr>
          <w:rFonts w:cs="Times New Roman"/>
        </w:rPr>
        <w:t xml:space="preserve"> Two recent Supreme Court decisions provided equivocal guidance: </w:t>
      </w:r>
      <w:r w:rsidRPr="00677ABE">
        <w:rPr>
          <w:rFonts w:cs="Times New Roman"/>
          <w:i/>
        </w:rPr>
        <w:t>Oil States Energy Services</w:t>
      </w:r>
      <w:r w:rsidRPr="00677ABE">
        <w:rPr>
          <w:rFonts w:cs="Times New Roman"/>
        </w:rPr>
        <w:t xml:space="preserve"> emphasized IPR protects the public interest by reviewing the grant of government franchises,</w:t>
      </w:r>
      <w:r w:rsidRPr="00677ABE">
        <w:rPr>
          <w:rStyle w:val="FootnoteReference"/>
          <w:rFonts w:cs="Times New Roman"/>
          <w:i/>
        </w:rPr>
        <w:footnoteReference w:id="834"/>
      </w:r>
      <w:r w:rsidRPr="00677ABE">
        <w:rPr>
          <w:rFonts w:cs="Times New Roman"/>
          <w:i/>
        </w:rPr>
        <w:t xml:space="preserve"> </w:t>
      </w:r>
      <w:r w:rsidRPr="00677ABE">
        <w:rPr>
          <w:rFonts w:cs="Times New Roman"/>
        </w:rPr>
        <w:t xml:space="preserve">while </w:t>
      </w:r>
      <w:r w:rsidRPr="00677ABE">
        <w:rPr>
          <w:rFonts w:cs="Times New Roman"/>
          <w:i/>
        </w:rPr>
        <w:t>SAS Institute</w:t>
      </w:r>
      <w:r w:rsidRPr="00677ABE">
        <w:rPr>
          <w:rFonts w:cs="Times New Roman"/>
        </w:rPr>
        <w:t xml:space="preserve"> emphasized IPR adjudicates private interests.</w:t>
      </w:r>
      <w:r w:rsidRPr="00677ABE">
        <w:rPr>
          <w:rStyle w:val="FootnoteReference"/>
          <w:rFonts w:cs="Times New Roman"/>
          <w:i/>
        </w:rPr>
        <w:footnoteReference w:id="835"/>
      </w:r>
      <w:r w:rsidRPr="00677ABE">
        <w:rPr>
          <w:rFonts w:cs="Times New Roman"/>
        </w:rPr>
        <w:t xml:space="preserve"> Ultimately, the Federal Circuit held that IPR, while a “hybrid,”</w:t>
      </w:r>
      <w:r w:rsidRPr="00677ABE">
        <w:rPr>
          <w:rStyle w:val="FootnoteReference"/>
          <w:rFonts w:cs="Times New Roman"/>
        </w:rPr>
        <w:footnoteReference w:id="836"/>
      </w:r>
      <w:r w:rsidRPr="00677ABE">
        <w:rPr>
          <w:rFonts w:cs="Times New Roman"/>
        </w:rPr>
        <w:t xml:space="preserve"> was ultimately “more like an agency enforcement action than a civil </w:t>
      </w:r>
      <w:r w:rsidR="00515CDB" w:rsidRPr="00677ABE">
        <w:rPr>
          <w:rFonts w:cs="Times New Roman"/>
        </w:rPr>
        <w:t>suit brought by a private party</w:t>
      </w:r>
      <w:r w:rsidR="00752A63" w:rsidRPr="00677ABE">
        <w:rPr>
          <w:rFonts w:cs="Times New Roman"/>
        </w:rPr>
        <w:t>,” and so tribal sovereign immunity was pierced by the government agency</w:t>
      </w:r>
      <w:r w:rsidRPr="00677ABE">
        <w:rPr>
          <w:rFonts w:cs="Times New Roman"/>
        </w:rPr>
        <w:t>.</w:t>
      </w:r>
      <w:r w:rsidRPr="00677ABE">
        <w:rPr>
          <w:rStyle w:val="FootnoteReference"/>
          <w:rFonts w:cs="Times New Roman"/>
        </w:rPr>
        <w:footnoteReference w:id="837"/>
      </w:r>
      <w:r w:rsidRPr="00677ABE">
        <w:rPr>
          <w:rFonts w:cs="Times New Roman"/>
        </w:rPr>
        <w:t xml:space="preserve"> </w:t>
      </w:r>
    </w:p>
    <w:p w14:paraId="63872545" w14:textId="5450C4B5" w:rsidR="00824717" w:rsidRPr="00677ABE" w:rsidRDefault="00824717" w:rsidP="00CA2C0A">
      <w:pPr>
        <w:ind w:firstLine="720"/>
        <w:rPr>
          <w:rFonts w:cs="Times New Roman"/>
        </w:rPr>
      </w:pPr>
      <w:r w:rsidRPr="00677ABE">
        <w:rPr>
          <w:rFonts w:cs="Times New Roman"/>
        </w:rPr>
        <w:t xml:space="preserve">Four reasons supported this result. First, the Director of the United States Patent and Trademark Office (“PTO”) exercises discretion </w:t>
      </w:r>
      <w:r w:rsidR="00515CDB" w:rsidRPr="00677ABE">
        <w:rPr>
          <w:rFonts w:cs="Times New Roman"/>
        </w:rPr>
        <w:t>to decline to institute</w:t>
      </w:r>
      <w:r w:rsidRPr="00677ABE">
        <w:rPr>
          <w:rFonts w:cs="Times New Roman"/>
        </w:rPr>
        <w:t xml:space="preserve"> IPR</w:t>
      </w:r>
      <w:r w:rsidR="00515CDB" w:rsidRPr="00677ABE">
        <w:rPr>
          <w:rFonts w:cs="Times New Roman"/>
        </w:rPr>
        <w:t xml:space="preserve">s, </w:t>
      </w:r>
      <w:r w:rsidR="00752A63" w:rsidRPr="00677ABE">
        <w:rPr>
          <w:rFonts w:cs="Times New Roman"/>
        </w:rPr>
        <w:t>unlike the agency in</w:t>
      </w:r>
      <w:r w:rsidR="00515CDB" w:rsidRPr="00677ABE">
        <w:rPr>
          <w:rFonts w:cs="Times New Roman"/>
        </w:rPr>
        <w:t xml:space="preserve"> </w:t>
      </w:r>
      <w:r w:rsidR="00515CDB" w:rsidRPr="00677ABE">
        <w:rPr>
          <w:rFonts w:cs="Times New Roman"/>
          <w:i/>
        </w:rPr>
        <w:t>FMC</w:t>
      </w:r>
      <w:r w:rsidR="00515CDB" w:rsidRPr="00677ABE">
        <w:rPr>
          <w:rFonts w:cs="Times New Roman"/>
        </w:rPr>
        <w:t>.</w:t>
      </w:r>
      <w:r w:rsidRPr="00677ABE">
        <w:rPr>
          <w:rStyle w:val="FootnoteReference"/>
          <w:rFonts w:cs="Times New Roman"/>
        </w:rPr>
        <w:footnoteReference w:id="838"/>
      </w:r>
      <w:r w:rsidRPr="00677ABE">
        <w:rPr>
          <w:rFonts w:cs="Times New Roman"/>
        </w:rPr>
        <w:t xml:space="preserve"> Second, the Director can</w:t>
      </w:r>
      <w:r w:rsidR="006A7C38" w:rsidRPr="00677ABE">
        <w:rPr>
          <w:rFonts w:cs="Times New Roman"/>
        </w:rPr>
        <w:t xml:space="preserve"> </w:t>
      </w:r>
      <w:r w:rsidRPr="00677ABE">
        <w:rPr>
          <w:rFonts w:cs="Times New Roman"/>
        </w:rPr>
        <w:t>continue an IPR even if a party wishes to end it.</w:t>
      </w:r>
      <w:r w:rsidRPr="00677ABE">
        <w:rPr>
          <w:rStyle w:val="FootnoteReference"/>
          <w:rFonts w:cs="Times New Roman"/>
        </w:rPr>
        <w:footnoteReference w:id="839"/>
      </w:r>
      <w:r w:rsidRPr="00677ABE">
        <w:rPr>
          <w:rFonts w:cs="Times New Roman"/>
        </w:rPr>
        <w:t xml:space="preserve"> Third, the rules </w:t>
      </w:r>
      <w:r w:rsidR="005E6E7E" w:rsidRPr="00677ABE">
        <w:rPr>
          <w:rFonts w:cs="Times New Roman"/>
        </w:rPr>
        <w:t xml:space="preserve">and substantive outcomes </w:t>
      </w:r>
      <w:r w:rsidRPr="00677ABE">
        <w:rPr>
          <w:rFonts w:cs="Times New Roman"/>
        </w:rPr>
        <w:t xml:space="preserve">of an IPR do not mirror those of civil </w:t>
      </w:r>
      <w:r w:rsidR="005E6E7E" w:rsidRPr="00677ABE">
        <w:rPr>
          <w:rFonts w:cs="Times New Roman"/>
        </w:rPr>
        <w:t xml:space="preserve">proceedings, </w:t>
      </w:r>
      <w:r w:rsidR="00752A63" w:rsidRPr="00677ABE">
        <w:rPr>
          <w:rFonts w:cs="Times New Roman"/>
        </w:rPr>
        <w:t xml:space="preserve">again unlike </w:t>
      </w:r>
      <w:r w:rsidR="005E6E7E" w:rsidRPr="00677ABE">
        <w:rPr>
          <w:rFonts w:cs="Times New Roman"/>
        </w:rPr>
        <w:t>in</w:t>
      </w:r>
      <w:r w:rsidRPr="00677ABE">
        <w:rPr>
          <w:rFonts w:cs="Times New Roman"/>
        </w:rPr>
        <w:t xml:space="preserve"> </w:t>
      </w:r>
      <w:r w:rsidRPr="00677ABE">
        <w:rPr>
          <w:rFonts w:cs="Times New Roman"/>
          <w:i/>
        </w:rPr>
        <w:t>FMC</w:t>
      </w:r>
      <w:r w:rsidRPr="00677ABE">
        <w:rPr>
          <w:rFonts w:cs="Times New Roman"/>
        </w:rPr>
        <w:t>.</w:t>
      </w:r>
      <w:r w:rsidRPr="00677ABE">
        <w:rPr>
          <w:rStyle w:val="FootnoteReference"/>
          <w:rFonts w:cs="Times New Roman"/>
        </w:rPr>
        <w:footnoteReference w:id="840"/>
      </w:r>
      <w:r w:rsidRPr="00677ABE">
        <w:rPr>
          <w:rFonts w:cs="Times New Roman"/>
        </w:rPr>
        <w:t xml:space="preserve"> Finally, the court </w:t>
      </w:r>
      <w:r w:rsidR="006A7C38" w:rsidRPr="00677ABE">
        <w:rPr>
          <w:rFonts w:cs="Times New Roman"/>
        </w:rPr>
        <w:t>declined to recognize</w:t>
      </w:r>
      <w:r w:rsidR="00BF3790" w:rsidRPr="00677ABE">
        <w:rPr>
          <w:rFonts w:cs="Times New Roman"/>
        </w:rPr>
        <w:t xml:space="preserve"> the distinction the Tribe wanted to draw between IPR and the more inquisitorial</w:t>
      </w:r>
      <w:r w:rsidRPr="00677ABE">
        <w:rPr>
          <w:rFonts w:cs="Times New Roman"/>
        </w:rPr>
        <w:t xml:space="preserve"> </w:t>
      </w:r>
      <w:r w:rsidRPr="00677ABE">
        <w:rPr>
          <w:rFonts w:cs="Times New Roman"/>
          <w:i/>
        </w:rPr>
        <w:t>ex parte</w:t>
      </w:r>
      <w:r w:rsidRPr="00677ABE">
        <w:rPr>
          <w:rFonts w:cs="Times New Roman"/>
        </w:rPr>
        <w:t xml:space="preserve"> or </w:t>
      </w:r>
      <w:r w:rsidRPr="00677ABE">
        <w:rPr>
          <w:rFonts w:cs="Times New Roman"/>
          <w:i/>
        </w:rPr>
        <w:t>inter partes</w:t>
      </w:r>
      <w:r w:rsidRPr="00677ABE">
        <w:rPr>
          <w:rFonts w:cs="Times New Roman"/>
        </w:rPr>
        <w:t xml:space="preserve"> reexamination proceedings</w:t>
      </w:r>
      <w:r w:rsidR="00BF3790" w:rsidRPr="00677ABE">
        <w:rPr>
          <w:rFonts w:cs="Times New Roman"/>
        </w:rPr>
        <w:t xml:space="preserve">, which the Tribe conceded would pierce </w:t>
      </w:r>
      <w:r w:rsidRPr="00677ABE">
        <w:rPr>
          <w:rFonts w:cs="Times New Roman"/>
        </w:rPr>
        <w:t>sovereign immunity.</w:t>
      </w:r>
      <w:r w:rsidRPr="00677ABE">
        <w:rPr>
          <w:rStyle w:val="FootnoteReference"/>
          <w:rFonts w:cs="Times New Roman"/>
        </w:rPr>
        <w:footnoteReference w:id="841"/>
      </w:r>
    </w:p>
    <w:p w14:paraId="1D15177F" w14:textId="77777777" w:rsidR="00F20B84" w:rsidRDefault="00824717" w:rsidP="00CA2C0A">
      <w:pPr>
        <w:ind w:firstLine="720"/>
        <w:rPr>
          <w:rFonts w:cs="Times New Roman"/>
        </w:rPr>
      </w:pPr>
      <w:r w:rsidRPr="00677ABE">
        <w:rPr>
          <w:rFonts w:cs="Times New Roman"/>
        </w:rPr>
        <w:t xml:space="preserve">Judge Dyk wrote separately to </w:t>
      </w:r>
      <w:r w:rsidR="006A7C38" w:rsidRPr="00677ABE">
        <w:rPr>
          <w:rFonts w:cs="Times New Roman"/>
        </w:rPr>
        <w:t>explain that the policy history of IPR</w:t>
      </w:r>
      <w:r w:rsidRPr="00677ABE">
        <w:rPr>
          <w:rFonts w:cs="Times New Roman"/>
        </w:rPr>
        <w:t xml:space="preserve"> </w:t>
      </w:r>
      <w:r w:rsidR="006A7C38" w:rsidRPr="00677ABE">
        <w:rPr>
          <w:rFonts w:cs="Times New Roman"/>
        </w:rPr>
        <w:t>supported this result:</w:t>
      </w:r>
      <w:r w:rsidRPr="00677ABE">
        <w:rPr>
          <w:rFonts w:cs="Times New Roman"/>
        </w:rPr>
        <w:t xml:space="preserve"> IPR is “an executive proceeding that enlists third-party assistance” to improve the patent system in light of the PTO’s finite resources.</w:t>
      </w:r>
      <w:r w:rsidRPr="00677ABE">
        <w:rPr>
          <w:rStyle w:val="FootnoteReference"/>
          <w:rFonts w:cs="Times New Roman"/>
        </w:rPr>
        <w:footnoteReference w:id="842"/>
      </w:r>
    </w:p>
    <w:p w14:paraId="3F053388" w14:textId="77777777" w:rsidR="00F20B84" w:rsidRDefault="00224D77" w:rsidP="00CA2C0A">
      <w:pPr>
        <w:pStyle w:val="Heading2"/>
        <w:rPr>
          <w:rFonts w:cs="Times New Roman"/>
          <w:szCs w:val="24"/>
        </w:rPr>
      </w:pPr>
      <w:bookmarkStart w:id="170" w:name="_Toc531692800"/>
      <w:r w:rsidRPr="00677ABE">
        <w:rPr>
          <w:rFonts w:cs="Times New Roman"/>
          <w:szCs w:val="24"/>
        </w:rPr>
        <w:t>Piercing the Corporate Veil</w:t>
      </w:r>
      <w:bookmarkEnd w:id="170"/>
    </w:p>
    <w:p w14:paraId="621A5222" w14:textId="4D332AFE" w:rsidR="002E373B" w:rsidRPr="00692758" w:rsidRDefault="002E373B" w:rsidP="00CA2C0A">
      <w:pPr>
        <w:pStyle w:val="Heading3"/>
        <w:ind w:firstLine="0"/>
        <w:rPr>
          <w:rFonts w:cs="Times New Roman"/>
        </w:rPr>
      </w:pPr>
      <w:bookmarkStart w:id="171" w:name="_Toc526093264"/>
      <w:bookmarkStart w:id="172" w:name="_Toc531692801"/>
      <w:r w:rsidRPr="00692758">
        <w:rPr>
          <w:rFonts w:cs="Times New Roman"/>
        </w:rPr>
        <w:t>Mercasia USA, Ltd.</w:t>
      </w:r>
      <w:r w:rsidR="00712C22" w:rsidRPr="00692758">
        <w:rPr>
          <w:rFonts w:cs="Times New Roman"/>
        </w:rPr>
        <w:t xml:space="preserve"> v. </w:t>
      </w:r>
      <w:r w:rsidRPr="00692758">
        <w:rPr>
          <w:rFonts w:cs="Times New Roman"/>
        </w:rPr>
        <w:t>Zhu, No. 3:17-CV-718 JD</w:t>
      </w:r>
      <w:r w:rsidRPr="00692758">
        <w:rPr>
          <w:rFonts w:cs="Times New Roman"/>
          <w:i w:val="0"/>
        </w:rPr>
        <w:t xml:space="preserve">, 2018 WL 3833520 (N.D. Ind. </w:t>
      </w:r>
      <w:r w:rsidR="002B3CF9" w:rsidRPr="00692758">
        <w:rPr>
          <w:rFonts w:cs="Times New Roman"/>
          <w:i w:val="0"/>
        </w:rPr>
        <w:t>Aug. </w:t>
      </w:r>
      <w:r w:rsidRPr="00692758">
        <w:rPr>
          <w:rFonts w:cs="Times New Roman"/>
          <w:i w:val="0"/>
        </w:rPr>
        <w:t>13, 2018)</w:t>
      </w:r>
      <w:bookmarkEnd w:id="171"/>
      <w:bookmarkEnd w:id="172"/>
    </w:p>
    <w:p w14:paraId="26CDDB4A" w14:textId="5A45A612" w:rsidR="002E373B" w:rsidRPr="00677ABE" w:rsidRDefault="002E373B" w:rsidP="00CA2C0A">
      <w:pPr>
        <w:outlineLvl w:val="0"/>
        <w:rPr>
          <w:rFonts w:cs="Times New Roman"/>
        </w:rPr>
      </w:pPr>
      <w:r w:rsidRPr="00692758">
        <w:rPr>
          <w:rFonts w:cs="Times New Roman"/>
          <w:b/>
        </w:rPr>
        <w:tab/>
      </w:r>
      <w:bookmarkStart w:id="173" w:name="_Toc526368140"/>
      <w:bookmarkStart w:id="174" w:name="_Toc526093265"/>
      <w:r w:rsidRPr="00677ABE">
        <w:rPr>
          <w:rFonts w:cs="Times New Roman"/>
        </w:rPr>
        <w:t xml:space="preserve">In this </w:t>
      </w:r>
      <w:r w:rsidR="00637D66" w:rsidRPr="00677ABE">
        <w:rPr>
          <w:rFonts w:cs="Times New Roman"/>
        </w:rPr>
        <w:t>district</w:t>
      </w:r>
      <w:r w:rsidR="00772F8F" w:rsidRPr="00677ABE">
        <w:rPr>
          <w:rFonts w:cs="Times New Roman"/>
        </w:rPr>
        <w:t xml:space="preserve"> </w:t>
      </w:r>
      <w:r w:rsidR="00637D66" w:rsidRPr="00677ABE">
        <w:rPr>
          <w:rFonts w:cs="Times New Roman"/>
        </w:rPr>
        <w:t xml:space="preserve">court </w:t>
      </w:r>
      <w:r w:rsidRPr="00677ABE">
        <w:rPr>
          <w:rFonts w:cs="Times New Roman"/>
        </w:rPr>
        <w:t xml:space="preserve">decision, the court dismissed </w:t>
      </w:r>
      <w:r w:rsidR="00EA2AF1" w:rsidRPr="00677ABE">
        <w:rPr>
          <w:rFonts w:cs="Times New Roman"/>
        </w:rPr>
        <w:t xml:space="preserve">infringement </w:t>
      </w:r>
      <w:r w:rsidRPr="00677ABE">
        <w:rPr>
          <w:rFonts w:cs="Times New Roman"/>
        </w:rPr>
        <w:t>claims</w:t>
      </w:r>
      <w:r w:rsidR="0035461A" w:rsidRPr="00677ABE">
        <w:rPr>
          <w:rFonts w:cs="Times New Roman"/>
        </w:rPr>
        <w:t xml:space="preserve"> </w:t>
      </w:r>
      <w:r w:rsidRPr="00677ABE">
        <w:rPr>
          <w:rFonts w:cs="Times New Roman"/>
        </w:rPr>
        <w:t>against a company’s president for failure to allege grounds to pierce the corporate veil and hold him liable.</w:t>
      </w:r>
      <w:r w:rsidR="00637D66" w:rsidRPr="00677ABE">
        <w:rPr>
          <w:rStyle w:val="FootnoteReference"/>
          <w:rFonts w:cs="Times New Roman"/>
        </w:rPr>
        <w:footnoteReference w:id="843"/>
      </w:r>
      <w:r w:rsidR="0013777D" w:rsidRPr="00677ABE">
        <w:rPr>
          <w:rFonts w:cs="Times New Roman"/>
        </w:rPr>
        <w:t xml:space="preserve"> </w:t>
      </w:r>
      <w:r w:rsidR="009972DF" w:rsidRPr="00677ABE">
        <w:rPr>
          <w:rFonts w:cs="Times New Roman"/>
        </w:rPr>
        <w:t>The court clarified that</w:t>
      </w:r>
      <w:r w:rsidR="00ED7F12" w:rsidRPr="00677ABE">
        <w:rPr>
          <w:rFonts w:cs="Times New Roman"/>
        </w:rPr>
        <w:t xml:space="preserve"> federal law requires</w:t>
      </w:r>
      <w:r w:rsidR="009972DF" w:rsidRPr="00677ABE">
        <w:rPr>
          <w:rFonts w:cs="Times New Roman"/>
        </w:rPr>
        <w:t xml:space="preserve"> </w:t>
      </w:r>
      <w:r w:rsidR="00EA2AF1" w:rsidRPr="00677ABE">
        <w:rPr>
          <w:rFonts w:cs="Times New Roman"/>
        </w:rPr>
        <w:t xml:space="preserve">a plaintiff bringing </w:t>
      </w:r>
      <w:r w:rsidR="0035461A" w:rsidRPr="00677ABE">
        <w:rPr>
          <w:rFonts w:cs="Times New Roman"/>
          <w:i/>
        </w:rPr>
        <w:t>direct</w:t>
      </w:r>
      <w:r w:rsidR="00AC00E6">
        <w:rPr>
          <w:rFonts w:cs="Times New Roman"/>
        </w:rPr>
        <w:t xml:space="preserve"> </w:t>
      </w:r>
      <w:r w:rsidR="0035461A" w:rsidRPr="00677ABE">
        <w:rPr>
          <w:rFonts w:cs="Times New Roman"/>
        </w:rPr>
        <w:t>infringement</w:t>
      </w:r>
      <w:r w:rsidR="002C4D03" w:rsidRPr="00677ABE">
        <w:rPr>
          <w:rFonts w:cs="Times New Roman"/>
        </w:rPr>
        <w:t xml:space="preserve"> claim</w:t>
      </w:r>
      <w:r w:rsidR="0035461A" w:rsidRPr="00677ABE">
        <w:rPr>
          <w:rFonts w:cs="Times New Roman"/>
        </w:rPr>
        <w:t>s</w:t>
      </w:r>
      <w:r w:rsidR="009972DF" w:rsidRPr="00677ABE">
        <w:rPr>
          <w:rFonts w:cs="Times New Roman"/>
        </w:rPr>
        <w:t xml:space="preserve"> against an </w:t>
      </w:r>
      <w:r w:rsidR="005745DC" w:rsidRPr="00677ABE">
        <w:rPr>
          <w:rFonts w:cs="Times New Roman"/>
        </w:rPr>
        <w:t>officer</w:t>
      </w:r>
      <w:r w:rsidR="009972DF" w:rsidRPr="00677ABE">
        <w:rPr>
          <w:rFonts w:cs="Times New Roman"/>
        </w:rPr>
        <w:t xml:space="preserve"> </w:t>
      </w:r>
      <w:r w:rsidR="00ED7F12" w:rsidRPr="00677ABE">
        <w:rPr>
          <w:rFonts w:cs="Times New Roman"/>
        </w:rPr>
        <w:t xml:space="preserve">to </w:t>
      </w:r>
      <w:r w:rsidR="009972DF" w:rsidRPr="00677ABE">
        <w:rPr>
          <w:rFonts w:cs="Times New Roman"/>
        </w:rPr>
        <w:t>pierce the corporate veil</w:t>
      </w:r>
      <w:r w:rsidR="00ED7F12" w:rsidRPr="00677ABE">
        <w:rPr>
          <w:rFonts w:cs="Times New Roman"/>
        </w:rPr>
        <w:t xml:space="preserve"> (though this is not required for indirect infringement); federal law then defers to</w:t>
      </w:r>
      <w:r w:rsidRPr="00677ABE">
        <w:rPr>
          <w:rFonts w:cs="Times New Roman"/>
        </w:rPr>
        <w:t xml:space="preserve"> state law</w:t>
      </w:r>
      <w:r w:rsidR="0013777D" w:rsidRPr="00677ABE">
        <w:rPr>
          <w:rFonts w:cs="Times New Roman"/>
        </w:rPr>
        <w:t xml:space="preserve"> </w:t>
      </w:r>
      <w:r w:rsidR="005745DC" w:rsidRPr="00677ABE">
        <w:rPr>
          <w:rFonts w:cs="Times New Roman"/>
        </w:rPr>
        <w:t>as to</w:t>
      </w:r>
      <w:r w:rsidRPr="00677ABE">
        <w:rPr>
          <w:rFonts w:cs="Times New Roman"/>
        </w:rPr>
        <w:t xml:space="preserve"> what it takes to pierce </w:t>
      </w:r>
      <w:r w:rsidR="002C4D03" w:rsidRPr="00677ABE">
        <w:rPr>
          <w:rFonts w:cs="Times New Roman"/>
        </w:rPr>
        <w:t>the</w:t>
      </w:r>
      <w:r w:rsidRPr="00677ABE">
        <w:rPr>
          <w:rFonts w:cs="Times New Roman"/>
        </w:rPr>
        <w:t xml:space="preserve"> veil.</w:t>
      </w:r>
      <w:r w:rsidRPr="00677ABE">
        <w:rPr>
          <w:rStyle w:val="FootnoteReference"/>
          <w:rFonts w:cs="Times New Roman"/>
        </w:rPr>
        <w:footnoteReference w:id="844"/>
      </w:r>
      <w:bookmarkEnd w:id="173"/>
      <w:r w:rsidRPr="00677ABE">
        <w:rPr>
          <w:rFonts w:cs="Times New Roman"/>
        </w:rPr>
        <w:t xml:space="preserve"> </w:t>
      </w:r>
      <w:bookmarkEnd w:id="174"/>
    </w:p>
    <w:p w14:paraId="42625FCD" w14:textId="09A0ACB6" w:rsidR="002E373B" w:rsidRPr="00677ABE" w:rsidRDefault="002E373B" w:rsidP="00CA2C0A">
      <w:pPr>
        <w:ind w:firstLine="720"/>
        <w:outlineLvl w:val="0"/>
        <w:rPr>
          <w:rFonts w:cs="Times New Roman"/>
        </w:rPr>
      </w:pPr>
      <w:bookmarkStart w:id="175" w:name="_Toc526093266"/>
      <w:bookmarkStart w:id="176" w:name="_Toc526368141"/>
      <w:r w:rsidRPr="00677ABE">
        <w:rPr>
          <w:rFonts w:cs="Times New Roman"/>
        </w:rPr>
        <w:t>The plaintiff alleged that 3BTech’s president directly infringed its patent.</w:t>
      </w:r>
      <w:r w:rsidRPr="00677ABE">
        <w:rPr>
          <w:rStyle w:val="FootnoteReference"/>
          <w:rFonts w:cs="Times New Roman"/>
        </w:rPr>
        <w:footnoteReference w:id="845"/>
      </w:r>
      <w:r w:rsidRPr="00677ABE">
        <w:rPr>
          <w:rFonts w:cs="Times New Roman"/>
        </w:rPr>
        <w:t xml:space="preserve"> </w:t>
      </w:r>
      <w:r w:rsidR="0085466D" w:rsidRPr="00677ABE">
        <w:rPr>
          <w:rFonts w:cs="Times New Roman"/>
        </w:rPr>
        <w:t>Under</w:t>
      </w:r>
      <w:r w:rsidR="004705F6" w:rsidRPr="00677ABE">
        <w:rPr>
          <w:rFonts w:cs="Times New Roman"/>
        </w:rPr>
        <w:t xml:space="preserve"> federal</w:t>
      </w:r>
      <w:r w:rsidR="00607D58" w:rsidRPr="00677ABE">
        <w:rPr>
          <w:rFonts w:cs="Times New Roman"/>
        </w:rPr>
        <w:t xml:space="preserve"> patent</w:t>
      </w:r>
      <w:r w:rsidR="004705F6" w:rsidRPr="00677ABE">
        <w:rPr>
          <w:rFonts w:cs="Times New Roman"/>
        </w:rPr>
        <w:t xml:space="preserve"> law stated in</w:t>
      </w:r>
      <w:r w:rsidR="0085466D" w:rsidRPr="00677ABE">
        <w:rPr>
          <w:rFonts w:cs="Times New Roman"/>
        </w:rPr>
        <w:t xml:space="preserve"> </w:t>
      </w:r>
      <w:r w:rsidR="0085466D" w:rsidRPr="00677ABE">
        <w:rPr>
          <w:rFonts w:cs="Times New Roman"/>
          <w:i/>
        </w:rPr>
        <w:t>Wordtech</w:t>
      </w:r>
      <w:r w:rsidR="0085466D" w:rsidRPr="00677ABE">
        <w:rPr>
          <w:rFonts w:cs="Times New Roman"/>
        </w:rPr>
        <w:t xml:space="preserve">, “the corporate veil shields a company’s officers from personal liability for </w:t>
      </w:r>
      <w:r w:rsidR="0085466D" w:rsidRPr="00677ABE">
        <w:rPr>
          <w:rFonts w:cs="Times New Roman"/>
          <w:i/>
        </w:rPr>
        <w:t>direct</w:t>
      </w:r>
      <w:r w:rsidR="0085466D" w:rsidRPr="00677ABE">
        <w:rPr>
          <w:rFonts w:cs="Times New Roman"/>
        </w:rPr>
        <w:t xml:space="preserve"> infringement that the officers commit in the name of the corporation, unless the corporation is the officers' alter ego.”</w:t>
      </w:r>
      <w:r w:rsidR="0085466D" w:rsidRPr="00677ABE">
        <w:rPr>
          <w:rStyle w:val="FootnoteReference"/>
          <w:rFonts w:cs="Times New Roman"/>
        </w:rPr>
        <w:footnoteReference w:id="846"/>
      </w:r>
      <w:r w:rsidR="0085466D" w:rsidRPr="00677ABE">
        <w:rPr>
          <w:rFonts w:cs="Times New Roman"/>
        </w:rPr>
        <w:t xml:space="preserve"> </w:t>
      </w:r>
      <w:r w:rsidR="00957C9A" w:rsidRPr="00677ABE">
        <w:rPr>
          <w:rFonts w:cs="Times New Roman"/>
        </w:rPr>
        <w:t xml:space="preserve">Here, the plaintiff was wrong to rely on an Indiana statute </w:t>
      </w:r>
      <w:r w:rsidR="00B56D9D" w:rsidRPr="00677ABE">
        <w:rPr>
          <w:rFonts w:cs="Times New Roman"/>
        </w:rPr>
        <w:t>that allows plaintiffs to bring</w:t>
      </w:r>
      <w:r w:rsidR="00957C9A" w:rsidRPr="00677ABE">
        <w:rPr>
          <w:rFonts w:cs="Times New Roman"/>
        </w:rPr>
        <w:t xml:space="preserve"> tort claims against officers without </w:t>
      </w:r>
      <w:r w:rsidR="00607D58" w:rsidRPr="00677ABE">
        <w:rPr>
          <w:rFonts w:cs="Times New Roman"/>
        </w:rPr>
        <w:t>piercing</w:t>
      </w:r>
      <w:r w:rsidR="00B56D9D" w:rsidRPr="00677ABE">
        <w:rPr>
          <w:rFonts w:cs="Times New Roman"/>
        </w:rPr>
        <w:t xml:space="preserve"> </w:t>
      </w:r>
      <w:r w:rsidR="00607D58" w:rsidRPr="00677ABE">
        <w:rPr>
          <w:rFonts w:cs="Times New Roman"/>
        </w:rPr>
        <w:t>this corporate</w:t>
      </w:r>
      <w:r w:rsidR="00957C9A" w:rsidRPr="00677ABE">
        <w:rPr>
          <w:rFonts w:cs="Times New Roman"/>
        </w:rPr>
        <w:t xml:space="preserve"> veil.</w:t>
      </w:r>
      <w:r w:rsidR="00957C9A" w:rsidRPr="00677ABE">
        <w:rPr>
          <w:rStyle w:val="FootnoteReference"/>
          <w:rFonts w:cs="Times New Roman"/>
        </w:rPr>
        <w:footnoteReference w:id="847"/>
      </w:r>
      <w:r w:rsidR="00957C9A" w:rsidRPr="00677ABE">
        <w:rPr>
          <w:rFonts w:cs="Times New Roman"/>
        </w:rPr>
        <w:t xml:space="preserve"> </w:t>
      </w:r>
      <w:r w:rsidR="00607D58" w:rsidRPr="00677ABE">
        <w:rPr>
          <w:rFonts w:cs="Times New Roman"/>
        </w:rPr>
        <w:t>Once</w:t>
      </w:r>
      <w:r w:rsidR="0035461A" w:rsidRPr="00677ABE">
        <w:rPr>
          <w:rFonts w:cs="Times New Roman"/>
        </w:rPr>
        <w:t xml:space="preserve"> determining whether </w:t>
      </w:r>
      <w:r w:rsidR="00607D58" w:rsidRPr="00677ABE">
        <w:rPr>
          <w:rFonts w:cs="Times New Roman"/>
        </w:rPr>
        <w:t>a</w:t>
      </w:r>
      <w:r w:rsidR="0035461A" w:rsidRPr="00677ABE">
        <w:rPr>
          <w:rFonts w:cs="Times New Roman"/>
        </w:rPr>
        <w:t xml:space="preserve"> plaintiff has succeeded in piercing the corporate veil, </w:t>
      </w:r>
      <w:r w:rsidR="00607D58" w:rsidRPr="00677ABE">
        <w:rPr>
          <w:rFonts w:cs="Times New Roman"/>
        </w:rPr>
        <w:t xml:space="preserve">however, </w:t>
      </w:r>
      <w:r w:rsidR="00B56D9D" w:rsidRPr="00677ABE">
        <w:rPr>
          <w:rFonts w:cs="Times New Roman"/>
        </w:rPr>
        <w:t xml:space="preserve">federal patent law defers to </w:t>
      </w:r>
      <w:r w:rsidR="00607D58" w:rsidRPr="00677ABE">
        <w:rPr>
          <w:rFonts w:cs="Times New Roman"/>
        </w:rPr>
        <w:t xml:space="preserve">the </w:t>
      </w:r>
      <w:r w:rsidR="00A6140D" w:rsidRPr="00677ABE">
        <w:rPr>
          <w:rFonts w:cs="Times New Roman"/>
        </w:rPr>
        <w:t>law</w:t>
      </w:r>
      <w:r w:rsidRPr="00677ABE">
        <w:rPr>
          <w:rFonts w:cs="Times New Roman"/>
        </w:rPr>
        <w:t xml:space="preserve"> </w:t>
      </w:r>
      <w:r w:rsidR="00607D58" w:rsidRPr="00677ABE">
        <w:rPr>
          <w:rFonts w:cs="Times New Roman"/>
        </w:rPr>
        <w:t>of the state of incorporation</w:t>
      </w:r>
      <w:r w:rsidRPr="00677ABE">
        <w:rPr>
          <w:rFonts w:cs="Times New Roman"/>
        </w:rPr>
        <w:t>.</w:t>
      </w:r>
      <w:r w:rsidRPr="00677ABE">
        <w:rPr>
          <w:rStyle w:val="FootnoteReference"/>
          <w:rFonts w:cs="Times New Roman"/>
        </w:rPr>
        <w:footnoteReference w:id="848"/>
      </w:r>
      <w:r w:rsidRPr="00677ABE">
        <w:rPr>
          <w:rFonts w:cs="Times New Roman"/>
        </w:rPr>
        <w:t xml:space="preserve"> </w:t>
      </w:r>
      <w:r w:rsidR="00607D58" w:rsidRPr="00677ABE">
        <w:rPr>
          <w:rFonts w:cs="Times New Roman"/>
        </w:rPr>
        <w:t xml:space="preserve">In </w:t>
      </w:r>
      <w:r w:rsidR="004B5786" w:rsidRPr="00677ABE">
        <w:rPr>
          <w:rFonts w:cs="Times New Roman"/>
        </w:rPr>
        <w:t xml:space="preserve">this corporation’s state, </w:t>
      </w:r>
      <w:r w:rsidRPr="00677ABE">
        <w:rPr>
          <w:rFonts w:cs="Times New Roman"/>
        </w:rPr>
        <w:t>Indiana, the veil is pierced where the corporation is (1) a mere instrumentality of another and (2) its misuse constitutes a fraud or promotes injustice.</w:t>
      </w:r>
      <w:r w:rsidRPr="00677ABE">
        <w:rPr>
          <w:rStyle w:val="FootnoteReference"/>
          <w:rFonts w:cs="Times New Roman"/>
        </w:rPr>
        <w:footnoteReference w:id="849"/>
      </w:r>
      <w:r w:rsidRPr="00677ABE">
        <w:rPr>
          <w:rFonts w:cs="Times New Roman"/>
        </w:rPr>
        <w:t xml:space="preserve"> Here, </w:t>
      </w:r>
      <w:r w:rsidR="00A6140D" w:rsidRPr="00677ABE">
        <w:rPr>
          <w:rFonts w:cs="Times New Roman"/>
        </w:rPr>
        <w:t xml:space="preserve">the plaintiff did not allege </w:t>
      </w:r>
      <w:r w:rsidR="002342B6" w:rsidRPr="00677ABE">
        <w:rPr>
          <w:rFonts w:cs="Times New Roman"/>
        </w:rPr>
        <w:t xml:space="preserve">facts supporting </w:t>
      </w:r>
      <w:r w:rsidRPr="00677ABE">
        <w:rPr>
          <w:rFonts w:cs="Times New Roman"/>
        </w:rPr>
        <w:t>either prong.</w:t>
      </w:r>
      <w:r w:rsidRPr="00677ABE">
        <w:rPr>
          <w:rStyle w:val="FootnoteReference"/>
          <w:rFonts w:cs="Times New Roman"/>
        </w:rPr>
        <w:footnoteReference w:id="850"/>
      </w:r>
      <w:r w:rsidRPr="00677ABE">
        <w:rPr>
          <w:rFonts w:cs="Times New Roman"/>
        </w:rPr>
        <w:t xml:space="preserve"> On the first, for example, the plaintiff did not allege that Zhu had commingled his assets with the company’s.</w:t>
      </w:r>
      <w:r w:rsidRPr="00677ABE">
        <w:rPr>
          <w:rStyle w:val="FootnoteReference"/>
          <w:rFonts w:cs="Times New Roman"/>
        </w:rPr>
        <w:footnoteReference w:id="851"/>
      </w:r>
      <w:r w:rsidRPr="00677ABE">
        <w:rPr>
          <w:rFonts w:cs="Times New Roman"/>
        </w:rPr>
        <w:t xml:space="preserve"> On the second, for example, the plaintiff did not allege that Zhu was hiding behind an undercapitalized corporation to commit wrongs without accountability; even if the corporation infringed patents or trademarks, those wrongs were not connected to a misuse of the corporate form, and plaintiff could still seek relief from the corporation itself.</w:t>
      </w:r>
      <w:r w:rsidRPr="00677ABE">
        <w:rPr>
          <w:rStyle w:val="FootnoteReference"/>
          <w:rFonts w:cs="Times New Roman"/>
        </w:rPr>
        <w:footnoteReference w:id="852"/>
      </w:r>
      <w:r w:rsidRPr="00677ABE">
        <w:rPr>
          <w:rFonts w:cs="Times New Roman"/>
        </w:rPr>
        <w:t xml:space="preserve"> </w:t>
      </w:r>
      <w:bookmarkEnd w:id="175"/>
      <w:r w:rsidR="004B5786" w:rsidRPr="00677ABE">
        <w:rPr>
          <w:rFonts w:cs="Times New Roman"/>
        </w:rPr>
        <w:t>The claim was dismissed.</w:t>
      </w:r>
      <w:bookmarkEnd w:id="176"/>
    </w:p>
    <w:p w14:paraId="42538BD2" w14:textId="77777777" w:rsidR="00F20B84" w:rsidRDefault="002E373B" w:rsidP="00CA2C0A">
      <w:pPr>
        <w:ind w:firstLine="720"/>
        <w:outlineLvl w:val="0"/>
        <w:rPr>
          <w:rFonts w:cs="Times New Roman"/>
        </w:rPr>
      </w:pPr>
      <w:bookmarkStart w:id="177" w:name="_Toc526093267"/>
      <w:bookmarkStart w:id="178" w:name="_Toc526368142"/>
      <w:r w:rsidRPr="00677ABE">
        <w:rPr>
          <w:rFonts w:cs="Times New Roman"/>
        </w:rPr>
        <w:t xml:space="preserve">The plaintiff also alleged </w:t>
      </w:r>
      <w:r w:rsidRPr="00677ABE">
        <w:rPr>
          <w:rFonts w:cs="Times New Roman"/>
          <w:i/>
        </w:rPr>
        <w:t>indirect</w:t>
      </w:r>
      <w:r w:rsidRPr="00677ABE">
        <w:rPr>
          <w:rFonts w:cs="Times New Roman"/>
        </w:rPr>
        <w:t xml:space="preserve"> infringement.</w:t>
      </w:r>
      <w:r w:rsidRPr="00677ABE">
        <w:rPr>
          <w:rStyle w:val="FootnoteReference"/>
          <w:rFonts w:cs="Times New Roman"/>
        </w:rPr>
        <w:footnoteReference w:id="853"/>
      </w:r>
      <w:r w:rsidRPr="00677ABE">
        <w:rPr>
          <w:rFonts w:cs="Times New Roman"/>
        </w:rPr>
        <w:t xml:space="preserve"> Under </w:t>
      </w:r>
      <w:r w:rsidRPr="00677ABE">
        <w:rPr>
          <w:rFonts w:cs="Times New Roman"/>
          <w:i/>
        </w:rPr>
        <w:t>Wordtech</w:t>
      </w:r>
      <w:r w:rsidRPr="00677ABE">
        <w:rPr>
          <w:rFonts w:cs="Times New Roman"/>
        </w:rPr>
        <w:t xml:space="preserve">, officers can be held liable for indirect infringement </w:t>
      </w:r>
      <w:r w:rsidR="00E7593A" w:rsidRPr="00677ABE">
        <w:rPr>
          <w:rFonts w:cs="Times New Roman"/>
        </w:rPr>
        <w:t>without piercing the</w:t>
      </w:r>
      <w:r w:rsidRPr="00677ABE">
        <w:rPr>
          <w:rFonts w:cs="Times New Roman"/>
        </w:rPr>
        <w:t xml:space="preserve"> corporate veil.</w:t>
      </w:r>
      <w:r w:rsidRPr="00677ABE">
        <w:rPr>
          <w:rStyle w:val="FootnoteReference"/>
          <w:rFonts w:cs="Times New Roman"/>
        </w:rPr>
        <w:footnoteReference w:id="854"/>
      </w:r>
      <w:r w:rsidRPr="00677ABE">
        <w:rPr>
          <w:rFonts w:cs="Times New Roman"/>
        </w:rPr>
        <w:t xml:space="preserve"> Here, Mercasia </w:t>
      </w:r>
      <w:r w:rsidR="00E7593A" w:rsidRPr="00677ABE">
        <w:rPr>
          <w:rFonts w:cs="Times New Roman"/>
        </w:rPr>
        <w:t>also</w:t>
      </w:r>
      <w:r w:rsidRPr="00677ABE">
        <w:rPr>
          <w:rFonts w:cs="Times New Roman"/>
        </w:rPr>
        <w:t xml:space="preserve"> failed to allege </w:t>
      </w:r>
      <w:r w:rsidR="00E7593A" w:rsidRPr="00677ABE">
        <w:rPr>
          <w:rFonts w:cs="Times New Roman"/>
        </w:rPr>
        <w:t xml:space="preserve">sufficient </w:t>
      </w:r>
      <w:r w:rsidRPr="00677ABE">
        <w:rPr>
          <w:rFonts w:cs="Times New Roman"/>
        </w:rPr>
        <w:t>facts—“boilerplate” wasn’t enough.</w:t>
      </w:r>
      <w:r w:rsidRPr="00677ABE">
        <w:rPr>
          <w:rStyle w:val="FootnoteReference"/>
          <w:rFonts w:cs="Times New Roman"/>
        </w:rPr>
        <w:footnoteReference w:id="855"/>
      </w:r>
      <w:bookmarkEnd w:id="177"/>
      <w:bookmarkEnd w:id="178"/>
    </w:p>
    <w:p w14:paraId="02A046E9" w14:textId="4D7D9CC1" w:rsidR="00F20B84" w:rsidRDefault="007D0629" w:rsidP="00CA2C0A">
      <w:pPr>
        <w:pStyle w:val="Heading2"/>
      </w:pPr>
      <w:bookmarkStart w:id="179" w:name="_Toc531692802"/>
      <w:r w:rsidRPr="00677ABE">
        <w:t>Venue</w:t>
      </w:r>
      <w:bookmarkEnd w:id="179"/>
    </w:p>
    <w:p w14:paraId="0FF50728" w14:textId="4188DA72" w:rsidR="00692758" w:rsidRPr="00300BD8" w:rsidRDefault="00692758" w:rsidP="00692758">
      <w:pPr>
        <w:pStyle w:val="Heading3"/>
      </w:pPr>
      <w:r>
        <w:tab/>
      </w:r>
      <w:bookmarkStart w:id="180" w:name="_Toc531692803"/>
      <w:r w:rsidRPr="00300BD8">
        <w:t xml:space="preserve">In re Google Inc., No. 2018-152, 2018 WL 5536478 </w:t>
      </w:r>
      <w:r w:rsidRPr="00692758">
        <w:rPr>
          <w:i w:val="0"/>
        </w:rPr>
        <w:t>(Fed. Cir. Oct. 29, 2018)</w:t>
      </w:r>
      <w:bookmarkEnd w:id="180"/>
    </w:p>
    <w:p w14:paraId="5E77FFE5" w14:textId="3A311EEE" w:rsidR="00692758" w:rsidRPr="00300BD8" w:rsidRDefault="00692758" w:rsidP="00692758">
      <w:pPr>
        <w:ind w:firstLine="720"/>
        <w:rPr>
          <w:rFonts w:eastAsia="Times New Roman" w:cs="Times New Roman"/>
          <w:color w:val="000000" w:themeColor="text1"/>
        </w:rPr>
      </w:pPr>
      <w:r w:rsidRPr="00300BD8">
        <w:rPr>
          <w:rFonts w:eastAsia="Times New Roman" w:cs="Times New Roman"/>
          <w:color w:val="000000" w:themeColor="text1"/>
        </w:rPr>
        <w:t>In this petition for a writ of mandamus, the Federal Circuit declined to direct the Eastern District of Texas to dismiss or transfer the case for improper venue under 28 U.S.C. § 1400(b).</w:t>
      </w:r>
      <w:r w:rsidRPr="00300BD8">
        <w:rPr>
          <w:rStyle w:val="FootnoteReference"/>
          <w:rFonts w:eastAsia="Times New Roman" w:cs="Times New Roman"/>
          <w:color w:val="000000" w:themeColor="text1"/>
        </w:rPr>
        <w:footnoteReference w:id="856"/>
      </w:r>
    </w:p>
    <w:p w14:paraId="3CA0EB1A" w14:textId="43A07C85" w:rsidR="00692758" w:rsidRPr="00300BD8" w:rsidRDefault="00692758" w:rsidP="00692758">
      <w:pPr>
        <w:rPr>
          <w:rFonts w:eastAsia="Times New Roman" w:cs="Times New Roman"/>
          <w:color w:val="000000" w:themeColor="text1"/>
        </w:rPr>
      </w:pPr>
      <w:r w:rsidRPr="00300BD8">
        <w:rPr>
          <w:rFonts w:eastAsia="Times New Roman" w:cs="Times New Roman"/>
          <w:color w:val="000000" w:themeColor="text1"/>
        </w:rPr>
        <w:tab/>
        <w:t>SEVEN</w:t>
      </w:r>
      <w:r w:rsidR="000132B7">
        <w:rPr>
          <w:rFonts w:eastAsia="Times New Roman" w:cs="Times New Roman"/>
          <w:color w:val="000000" w:themeColor="text1"/>
        </w:rPr>
        <w:t xml:space="preserve"> had</w:t>
      </w:r>
      <w:r w:rsidRPr="00300BD8">
        <w:rPr>
          <w:rFonts w:eastAsia="Times New Roman" w:cs="Times New Roman"/>
          <w:color w:val="000000" w:themeColor="text1"/>
        </w:rPr>
        <w:t xml:space="preserve"> </w:t>
      </w:r>
      <w:r w:rsidR="000132B7">
        <w:rPr>
          <w:rFonts w:eastAsia="Times New Roman" w:cs="Times New Roman"/>
          <w:color w:val="000000" w:themeColor="text1"/>
        </w:rPr>
        <w:t>asserted that</w:t>
      </w:r>
      <w:r w:rsidRPr="00300BD8">
        <w:rPr>
          <w:rFonts w:eastAsia="Times New Roman" w:cs="Times New Roman"/>
          <w:color w:val="000000" w:themeColor="text1"/>
        </w:rPr>
        <w:t xml:space="preserve"> Google “committed acts of infringement in this District and has a regular and established place of business in this District.”</w:t>
      </w:r>
      <w:r w:rsidRPr="00300BD8">
        <w:rPr>
          <w:rStyle w:val="FootnoteReference"/>
          <w:rFonts w:eastAsia="Times New Roman" w:cs="Times New Roman"/>
          <w:color w:val="000000" w:themeColor="text1"/>
        </w:rPr>
        <w:footnoteReference w:id="857"/>
      </w:r>
      <w:r w:rsidRPr="00300BD8">
        <w:rPr>
          <w:rFonts w:eastAsia="Times New Roman" w:cs="Times New Roman"/>
          <w:color w:val="000000" w:themeColor="text1"/>
        </w:rPr>
        <w:t xml:space="preserve"> After discovery on venue, </w:t>
      </w:r>
      <w:r w:rsidR="000132B7">
        <w:rPr>
          <w:rFonts w:eastAsia="Times New Roman" w:cs="Times New Roman"/>
          <w:color w:val="000000" w:themeColor="text1"/>
        </w:rPr>
        <w:t xml:space="preserve">however, </w:t>
      </w:r>
      <w:r w:rsidRPr="00300BD8">
        <w:rPr>
          <w:rFonts w:eastAsia="Times New Roman" w:cs="Times New Roman"/>
          <w:color w:val="000000" w:themeColor="text1"/>
        </w:rPr>
        <w:t>Google moved for dismissal under Federal Rule of Civil Procedure 12(b)(2) or transfer under 28 U.S.C. § 1406(a).</w:t>
      </w:r>
      <w:r w:rsidRPr="00300BD8">
        <w:rPr>
          <w:rStyle w:val="FootnoteReference"/>
          <w:rFonts w:eastAsia="Times New Roman" w:cs="Times New Roman"/>
          <w:color w:val="000000" w:themeColor="text1"/>
        </w:rPr>
        <w:footnoteReference w:id="858"/>
      </w:r>
      <w:r w:rsidRPr="00300BD8">
        <w:rPr>
          <w:rFonts w:eastAsia="Times New Roman" w:cs="Times New Roman"/>
          <w:color w:val="000000" w:themeColor="text1"/>
        </w:rPr>
        <w:t xml:space="preserve"> The court first found that Google’s content-delivery Edge Network included servers housed at various Internet Service Providers in the district, and that (1) these constituted a place of business </w:t>
      </w:r>
      <w:r w:rsidR="006F0DE0">
        <w:rPr>
          <w:rFonts w:eastAsia="Times New Roman" w:cs="Times New Roman"/>
          <w:color w:val="000000" w:themeColor="text1"/>
        </w:rPr>
        <w:t>per</w:t>
      </w:r>
      <w:r w:rsidRPr="00300BD8">
        <w:rPr>
          <w:rFonts w:eastAsia="Times New Roman" w:cs="Times New Roman"/>
          <w:color w:val="000000" w:themeColor="text1"/>
        </w:rPr>
        <w:t xml:space="preserve"> </w:t>
      </w:r>
      <w:r w:rsidRPr="00300BD8">
        <w:rPr>
          <w:rFonts w:eastAsia="Times New Roman" w:cs="Times New Roman"/>
          <w:i/>
          <w:color w:val="000000" w:themeColor="text1"/>
        </w:rPr>
        <w:t>In Re Cray</w:t>
      </w:r>
      <w:r w:rsidRPr="00300BD8">
        <w:rPr>
          <w:rFonts w:eastAsia="Times New Roman" w:cs="Times New Roman"/>
          <w:color w:val="000000" w:themeColor="text1"/>
        </w:rPr>
        <w:t>.</w:t>
      </w:r>
      <w:r w:rsidRPr="00300BD8">
        <w:rPr>
          <w:rStyle w:val="FootnoteReference"/>
          <w:rFonts w:eastAsia="Times New Roman" w:cs="Times New Roman"/>
          <w:i/>
          <w:color w:val="000000" w:themeColor="text1"/>
        </w:rPr>
        <w:footnoteReference w:id="859"/>
      </w:r>
      <w:r w:rsidRPr="00300BD8">
        <w:rPr>
          <w:rFonts w:eastAsia="Times New Roman" w:cs="Times New Roman"/>
          <w:color w:val="000000" w:themeColor="text1"/>
        </w:rPr>
        <w:t xml:space="preserve"> The court furthermore found that, even if Google’s infringement did not directly relate to that place of business, (2) venue remained proper because § 1400(b) does not require that the alleged misconduct directly relate to the place of business.</w:t>
      </w:r>
      <w:r w:rsidRPr="00300BD8">
        <w:rPr>
          <w:rStyle w:val="FootnoteReference"/>
          <w:rFonts w:eastAsia="Times New Roman" w:cs="Times New Roman"/>
          <w:color w:val="000000" w:themeColor="text1"/>
        </w:rPr>
        <w:footnoteReference w:id="860"/>
      </w:r>
      <w:r w:rsidRPr="00300BD8">
        <w:rPr>
          <w:rFonts w:eastAsia="Times New Roman" w:cs="Times New Roman"/>
          <w:color w:val="000000" w:themeColor="text1"/>
        </w:rPr>
        <w:t xml:space="preserve"> Google petitioned for a writ of mandamus, objecting to points</w:t>
      </w:r>
      <w:r w:rsidR="006F0DE0">
        <w:rPr>
          <w:rFonts w:eastAsia="Times New Roman" w:cs="Times New Roman"/>
          <w:color w:val="000000" w:themeColor="text1"/>
        </w:rPr>
        <w:t xml:space="preserve"> (1) and (2)</w:t>
      </w:r>
      <w:r w:rsidRPr="00300BD8">
        <w:rPr>
          <w:rFonts w:eastAsia="Times New Roman" w:cs="Times New Roman"/>
          <w:color w:val="000000" w:themeColor="text1"/>
        </w:rPr>
        <w:t>.</w:t>
      </w:r>
      <w:r w:rsidRPr="00300BD8">
        <w:rPr>
          <w:rStyle w:val="FootnoteReference"/>
          <w:rFonts w:eastAsia="Times New Roman" w:cs="Times New Roman"/>
          <w:color w:val="000000" w:themeColor="text1"/>
        </w:rPr>
        <w:footnoteReference w:id="861"/>
      </w:r>
      <w:r w:rsidRPr="00300BD8">
        <w:rPr>
          <w:rFonts w:eastAsia="Times New Roman" w:cs="Times New Roman"/>
          <w:color w:val="000000" w:themeColor="text1"/>
        </w:rPr>
        <w:t xml:space="preserve"> </w:t>
      </w:r>
    </w:p>
    <w:p w14:paraId="04682867" w14:textId="051F5A42" w:rsidR="00692758" w:rsidRPr="00300BD8" w:rsidRDefault="00692758" w:rsidP="00692758">
      <w:pPr>
        <w:rPr>
          <w:rFonts w:eastAsia="Times New Roman" w:cs="Times New Roman"/>
          <w:color w:val="000000" w:themeColor="text1"/>
        </w:rPr>
      </w:pPr>
      <w:r w:rsidRPr="00300BD8">
        <w:rPr>
          <w:rFonts w:eastAsia="Times New Roman" w:cs="Times New Roman"/>
          <w:color w:val="000000" w:themeColor="text1"/>
        </w:rPr>
        <w:tab/>
        <w:t>Hearing the petition, the Federal Circuit evaluated each argument against the three prongs of a petition review: (i) whether other adequate means to attain relief exist, (ii) whether the right of issuance is “clear and indisputable,” and (iii) appropriateness.</w:t>
      </w:r>
      <w:r w:rsidRPr="00300BD8">
        <w:rPr>
          <w:rStyle w:val="FootnoteReference"/>
          <w:rFonts w:eastAsia="Times New Roman" w:cs="Times New Roman"/>
          <w:color w:val="000000" w:themeColor="text1"/>
        </w:rPr>
        <w:footnoteReference w:id="862"/>
      </w:r>
      <w:r w:rsidRPr="00300BD8">
        <w:rPr>
          <w:rFonts w:eastAsia="Times New Roman" w:cs="Times New Roman"/>
          <w:color w:val="000000" w:themeColor="text1"/>
        </w:rPr>
        <w:t xml:space="preserve"> Addressing (1) whether servers constitute a place of business, the court reiterated that appeal upon final judgment is (i) typically adequate relief for wrongly denied § 1406 motions challenging § 1400(b) venue</w:t>
      </w:r>
      <w:r w:rsidR="00861C09">
        <w:rPr>
          <w:rFonts w:eastAsia="Times New Roman" w:cs="Times New Roman"/>
          <w:color w:val="000000" w:themeColor="text1"/>
        </w:rPr>
        <w:t>, and</w:t>
      </w:r>
      <w:r w:rsidRPr="00300BD8">
        <w:rPr>
          <w:rFonts w:eastAsia="Times New Roman" w:cs="Times New Roman"/>
          <w:color w:val="000000" w:themeColor="text1"/>
        </w:rPr>
        <w:t xml:space="preserve"> </w:t>
      </w:r>
      <w:r w:rsidR="00861C09">
        <w:rPr>
          <w:rFonts w:eastAsia="Times New Roman" w:cs="Times New Roman"/>
          <w:color w:val="000000" w:themeColor="text1"/>
        </w:rPr>
        <w:t>these</w:t>
      </w:r>
      <w:r w:rsidRPr="00300BD8">
        <w:rPr>
          <w:rFonts w:eastAsia="Times New Roman" w:cs="Times New Roman"/>
          <w:color w:val="000000" w:themeColor="text1"/>
        </w:rPr>
        <w:t xml:space="preserve"> circumstances </w:t>
      </w:r>
      <w:r w:rsidR="00861C09">
        <w:rPr>
          <w:rFonts w:eastAsia="Times New Roman" w:cs="Times New Roman"/>
          <w:color w:val="000000" w:themeColor="text1"/>
        </w:rPr>
        <w:t>were un</w:t>
      </w:r>
      <w:r w:rsidRPr="00300BD8">
        <w:rPr>
          <w:rFonts w:eastAsia="Times New Roman" w:cs="Times New Roman"/>
          <w:color w:val="000000" w:themeColor="text1"/>
        </w:rPr>
        <w:t>exceptional.</w:t>
      </w:r>
      <w:r w:rsidRPr="00300BD8">
        <w:rPr>
          <w:rStyle w:val="FootnoteReference"/>
          <w:rFonts w:eastAsia="Times New Roman" w:cs="Times New Roman"/>
          <w:color w:val="000000" w:themeColor="text1"/>
        </w:rPr>
        <w:footnoteReference w:id="863"/>
      </w:r>
      <w:r w:rsidRPr="00300BD8">
        <w:rPr>
          <w:rFonts w:eastAsia="Times New Roman" w:cs="Times New Roman"/>
          <w:color w:val="000000" w:themeColor="text1"/>
        </w:rPr>
        <w:t xml:space="preserve"> Furthermore, the right of issuance was (ii) not clear because Google failed to show the server question raised “basic, unsettled, recurring legal issues over which there is considerable litigation producing disparate results.”</w:t>
      </w:r>
      <w:r w:rsidRPr="00300BD8">
        <w:rPr>
          <w:rStyle w:val="FootnoteReference"/>
          <w:rFonts w:eastAsia="Times New Roman" w:cs="Times New Roman"/>
          <w:color w:val="000000" w:themeColor="text1"/>
        </w:rPr>
        <w:footnoteReference w:id="864"/>
      </w:r>
      <w:r w:rsidRPr="00300BD8">
        <w:rPr>
          <w:rFonts w:eastAsia="Times New Roman" w:cs="Times New Roman"/>
          <w:color w:val="000000" w:themeColor="text1"/>
        </w:rPr>
        <w:t>. Accordingly, the court denied the petition for the first issue.</w:t>
      </w:r>
      <w:r w:rsidRPr="00300BD8">
        <w:rPr>
          <w:rStyle w:val="FootnoteReference"/>
          <w:rFonts w:eastAsia="Times New Roman" w:cs="Times New Roman"/>
          <w:color w:val="000000" w:themeColor="text1"/>
        </w:rPr>
        <w:footnoteReference w:id="865"/>
      </w:r>
      <w:r w:rsidRPr="00300BD8">
        <w:rPr>
          <w:rFonts w:eastAsia="Times New Roman" w:cs="Times New Roman"/>
          <w:color w:val="000000" w:themeColor="text1"/>
        </w:rPr>
        <w:t xml:space="preserve"> </w:t>
      </w:r>
    </w:p>
    <w:p w14:paraId="2AE2B6BC" w14:textId="188CF4B1" w:rsidR="00692758" w:rsidRPr="00300BD8" w:rsidRDefault="00692758" w:rsidP="00692758">
      <w:pPr>
        <w:ind w:firstLine="720"/>
        <w:rPr>
          <w:rFonts w:eastAsia="Times New Roman" w:cs="Times New Roman"/>
          <w:color w:val="000000" w:themeColor="text1"/>
        </w:rPr>
      </w:pPr>
      <w:r w:rsidRPr="00300BD8">
        <w:rPr>
          <w:rFonts w:eastAsia="Times New Roman" w:cs="Times New Roman"/>
          <w:color w:val="000000" w:themeColor="text1"/>
        </w:rPr>
        <w:t>Addressing (2) whether venue remained proper even where alleged misconduct was not immediately related to the asserted place of business, the court emphasized factor (ii), stating that the question “is not one on which there is currently a substantial degree of disagreement or a demonstrated need for immediate appellate resolution.”</w:t>
      </w:r>
      <w:r w:rsidRPr="00300BD8">
        <w:rPr>
          <w:rStyle w:val="FootnoteReference"/>
          <w:rFonts w:eastAsia="Times New Roman" w:cs="Times New Roman"/>
          <w:color w:val="000000" w:themeColor="text1"/>
        </w:rPr>
        <w:footnoteReference w:id="866"/>
      </w:r>
      <w:r w:rsidRPr="00300BD8">
        <w:rPr>
          <w:rFonts w:eastAsia="Times New Roman" w:cs="Times New Roman"/>
          <w:color w:val="000000" w:themeColor="text1"/>
        </w:rPr>
        <w:t xml:space="preserve"> The court briefly assessed the statutory language, finding that </w:t>
      </w:r>
      <w:r w:rsidR="00D03546">
        <w:rPr>
          <w:rFonts w:eastAsia="Times New Roman" w:cs="Times New Roman"/>
          <w:color w:val="000000" w:themeColor="text1"/>
        </w:rPr>
        <w:t xml:space="preserve">the </w:t>
      </w:r>
      <w:r w:rsidRPr="00300BD8">
        <w:rPr>
          <w:rFonts w:eastAsia="Times New Roman" w:cs="Times New Roman"/>
          <w:color w:val="000000" w:themeColor="text1"/>
        </w:rPr>
        <w:t xml:space="preserve">“and” </w:t>
      </w:r>
      <w:r w:rsidR="00D03546">
        <w:rPr>
          <w:rFonts w:eastAsia="Times New Roman" w:cs="Times New Roman"/>
          <w:color w:val="000000" w:themeColor="text1"/>
        </w:rPr>
        <w:t>connecting</w:t>
      </w:r>
      <w:r w:rsidRPr="00300BD8">
        <w:rPr>
          <w:rFonts w:eastAsia="Times New Roman" w:cs="Times New Roman"/>
          <w:color w:val="000000" w:themeColor="text1"/>
        </w:rPr>
        <w:t xml:space="preserve"> the </w:t>
      </w:r>
      <w:r w:rsidR="00D03546">
        <w:rPr>
          <w:rFonts w:eastAsia="Times New Roman" w:cs="Times New Roman"/>
          <w:color w:val="000000" w:themeColor="text1"/>
        </w:rPr>
        <w:t xml:space="preserve">requirements (acts of infringement </w:t>
      </w:r>
      <w:r w:rsidR="00D03546" w:rsidRPr="00D03546">
        <w:rPr>
          <w:rFonts w:eastAsia="Times New Roman" w:cs="Times New Roman"/>
          <w:i/>
          <w:color w:val="000000" w:themeColor="text1"/>
        </w:rPr>
        <w:t>and</w:t>
      </w:r>
      <w:r w:rsidR="00D03546">
        <w:rPr>
          <w:rFonts w:eastAsia="Times New Roman" w:cs="Times New Roman"/>
          <w:color w:val="000000" w:themeColor="text1"/>
        </w:rPr>
        <w:t xml:space="preserve"> place of business) </w:t>
      </w:r>
      <w:r w:rsidRPr="00300BD8">
        <w:rPr>
          <w:rFonts w:eastAsia="Times New Roman" w:cs="Times New Roman"/>
          <w:color w:val="000000" w:themeColor="text1"/>
        </w:rPr>
        <w:t>does not necessarily suggest a “tight</w:t>
      </w:r>
      <w:r w:rsidR="00D03546">
        <w:rPr>
          <w:rFonts w:eastAsia="Times New Roman" w:cs="Times New Roman"/>
          <w:color w:val="000000" w:themeColor="text1"/>
        </w:rPr>
        <w:t>[]</w:t>
      </w:r>
      <w:r w:rsidRPr="00300BD8">
        <w:rPr>
          <w:rFonts w:eastAsia="Times New Roman" w:cs="Times New Roman"/>
          <w:color w:val="000000" w:themeColor="text1"/>
        </w:rPr>
        <w:t xml:space="preserve"> linkage” between them; the court also briefly assessed the case law, finding no clear disagreement across circuits.</w:t>
      </w:r>
      <w:r w:rsidRPr="00300BD8">
        <w:rPr>
          <w:rStyle w:val="FootnoteReference"/>
          <w:rFonts w:eastAsia="Times New Roman" w:cs="Times New Roman"/>
          <w:color w:val="000000" w:themeColor="text1"/>
        </w:rPr>
        <w:footnoteReference w:id="867"/>
      </w:r>
      <w:r w:rsidRPr="00300BD8">
        <w:rPr>
          <w:rFonts w:eastAsia="Times New Roman" w:cs="Times New Roman"/>
          <w:color w:val="000000" w:themeColor="text1"/>
        </w:rPr>
        <w:t xml:space="preserve"> While denying the petition, the court suggested questions (1) and (2) remain open for resolution upon appeal.</w:t>
      </w:r>
      <w:r w:rsidRPr="00300BD8">
        <w:rPr>
          <w:rStyle w:val="FootnoteReference"/>
          <w:rFonts w:eastAsia="Times New Roman" w:cs="Times New Roman"/>
          <w:color w:val="000000" w:themeColor="text1"/>
        </w:rPr>
        <w:footnoteReference w:id="868"/>
      </w:r>
    </w:p>
    <w:p w14:paraId="7057D5B2" w14:textId="09DA2186" w:rsidR="00692758" w:rsidRPr="000A143C" w:rsidRDefault="00692758" w:rsidP="00692758">
      <w:pPr>
        <w:rPr>
          <w:rFonts w:eastAsia="Times New Roman" w:cs="Times New Roman"/>
          <w:color w:val="000000" w:themeColor="text1"/>
        </w:rPr>
      </w:pPr>
      <w:r w:rsidRPr="00300BD8">
        <w:rPr>
          <w:rFonts w:eastAsia="Times New Roman" w:cs="Times New Roman"/>
          <w:color w:val="000000" w:themeColor="text1"/>
        </w:rPr>
        <w:tab/>
        <w:t xml:space="preserve">In dissent, Judge Reyna reasoned </w:t>
      </w:r>
      <w:r w:rsidR="003437F7">
        <w:rPr>
          <w:rFonts w:eastAsia="Times New Roman" w:cs="Times New Roman"/>
          <w:color w:val="000000" w:themeColor="text1"/>
        </w:rPr>
        <w:t xml:space="preserve">that the petition </w:t>
      </w:r>
      <w:r w:rsidR="003437F7" w:rsidRPr="00300BD8">
        <w:rPr>
          <w:rFonts w:eastAsia="Times New Roman" w:cs="Times New Roman"/>
          <w:color w:val="000000" w:themeColor="text1"/>
        </w:rPr>
        <w:t>presented a novel and important question for internet businesses</w:t>
      </w:r>
      <w:r w:rsidR="003437F7" w:rsidRPr="00300BD8">
        <w:rPr>
          <w:rStyle w:val="FootnoteReference"/>
          <w:rFonts w:eastAsia="Times New Roman" w:cs="Times New Roman"/>
          <w:color w:val="000000" w:themeColor="text1"/>
        </w:rPr>
        <w:footnoteReference w:id="869"/>
      </w:r>
      <w:r w:rsidR="003437F7">
        <w:rPr>
          <w:rFonts w:eastAsia="Times New Roman" w:cs="Times New Roman"/>
          <w:color w:val="000000" w:themeColor="text1"/>
        </w:rPr>
        <w:t xml:space="preserve"> and that granting</w:t>
      </w:r>
      <w:r w:rsidRPr="00300BD8">
        <w:rPr>
          <w:rFonts w:eastAsia="Times New Roman" w:cs="Times New Roman"/>
          <w:color w:val="000000" w:themeColor="text1"/>
        </w:rPr>
        <w:t xml:space="preserve"> petition was warranted for the same reasons </w:t>
      </w:r>
      <w:r w:rsidR="003437F7">
        <w:rPr>
          <w:rFonts w:eastAsia="Times New Roman" w:cs="Times New Roman"/>
          <w:color w:val="000000" w:themeColor="text1"/>
        </w:rPr>
        <w:t>given for granting</w:t>
      </w:r>
      <w:r w:rsidRPr="00300BD8">
        <w:rPr>
          <w:rFonts w:eastAsia="Times New Roman" w:cs="Times New Roman"/>
          <w:color w:val="000000" w:themeColor="text1"/>
        </w:rPr>
        <w:t xml:space="preserve"> other venue-related petitions after </w:t>
      </w:r>
      <w:r w:rsidRPr="00300BD8">
        <w:rPr>
          <w:rFonts w:eastAsia="Times New Roman" w:cs="Times New Roman"/>
          <w:i/>
          <w:color w:val="000000" w:themeColor="text1"/>
        </w:rPr>
        <w:t>TC Heartland</w:t>
      </w:r>
      <w:r w:rsidRPr="00300BD8">
        <w:rPr>
          <w:rFonts w:eastAsia="Times New Roman" w:cs="Times New Roman"/>
          <w:color w:val="000000" w:themeColor="text1"/>
        </w:rPr>
        <w:t>.</w:t>
      </w:r>
      <w:r w:rsidRPr="00300BD8">
        <w:rPr>
          <w:rStyle w:val="FootnoteReference"/>
          <w:rFonts w:eastAsia="Times New Roman" w:cs="Times New Roman"/>
          <w:color w:val="000000" w:themeColor="text1"/>
        </w:rPr>
        <w:footnoteReference w:id="870"/>
      </w:r>
      <w:r w:rsidRPr="00300BD8">
        <w:rPr>
          <w:rFonts w:eastAsia="Times New Roman" w:cs="Times New Roman"/>
          <w:color w:val="000000" w:themeColor="text1"/>
        </w:rPr>
        <w:t xml:space="preserve"> Reciting </w:t>
      </w:r>
      <w:r w:rsidRPr="00300BD8">
        <w:rPr>
          <w:rFonts w:eastAsia="Times New Roman" w:cs="Times New Roman"/>
          <w:i/>
          <w:color w:val="000000" w:themeColor="text1"/>
        </w:rPr>
        <w:t>In Re Cray</w:t>
      </w:r>
      <w:r w:rsidRPr="00300BD8">
        <w:rPr>
          <w:rFonts w:eastAsia="Times New Roman" w:cs="Times New Roman"/>
          <w:color w:val="000000" w:themeColor="text1"/>
        </w:rPr>
        <w:t>, Judge Reyna stated</w:t>
      </w:r>
      <w:r w:rsidRPr="00300BD8">
        <w:rPr>
          <w:rFonts w:eastAsia="Times New Roman" w:cs="Times New Roman"/>
          <w:i/>
          <w:color w:val="000000" w:themeColor="text1"/>
        </w:rPr>
        <w:t xml:space="preserve"> </w:t>
      </w:r>
      <w:r w:rsidRPr="00300BD8">
        <w:rPr>
          <w:rFonts w:eastAsia="Times New Roman" w:cs="Times New Roman"/>
          <w:color w:val="000000" w:themeColor="text1"/>
        </w:rPr>
        <w:t>that § 1400(b) requires a physical “place” and “cannot be read to refer . . . merely to a virtual space or to electronic communications from one person to another”;</w:t>
      </w:r>
      <w:r w:rsidRPr="00300BD8">
        <w:rPr>
          <w:rStyle w:val="FootnoteReference"/>
          <w:rFonts w:eastAsia="Times New Roman" w:cs="Times New Roman"/>
          <w:color w:val="000000" w:themeColor="text1"/>
        </w:rPr>
        <w:footnoteReference w:id="871"/>
      </w:r>
      <w:r w:rsidRPr="00300BD8">
        <w:rPr>
          <w:rFonts w:eastAsia="Times New Roman" w:cs="Times New Roman"/>
          <w:color w:val="000000" w:themeColor="text1"/>
        </w:rPr>
        <w:t xml:space="preserve"> further, Congress intended a more restrictive test for venue in patent than in other cases.</w:t>
      </w:r>
      <w:r w:rsidRPr="00300BD8">
        <w:rPr>
          <w:rStyle w:val="FootnoteReference"/>
          <w:rFonts w:eastAsia="Times New Roman" w:cs="Times New Roman"/>
          <w:color w:val="000000" w:themeColor="text1"/>
        </w:rPr>
        <w:footnoteReference w:id="872"/>
      </w:r>
      <w:r w:rsidRPr="00300BD8">
        <w:rPr>
          <w:rFonts w:eastAsia="Times New Roman" w:cs="Times New Roman"/>
          <w:color w:val="000000" w:themeColor="text1"/>
        </w:rPr>
        <w:t xml:space="preserve"> In light of this, the district court’s reading of § 1400(b) to allow server ownership to suffice for a place of business seemed broader than even the reading </w:t>
      </w:r>
      <w:r w:rsidRPr="00300BD8">
        <w:rPr>
          <w:rFonts w:eastAsia="Times New Roman" w:cs="Times New Roman"/>
          <w:i/>
          <w:color w:val="000000" w:themeColor="text1"/>
        </w:rPr>
        <w:t>In Re Cray</w:t>
      </w:r>
      <w:r w:rsidR="000A143C">
        <w:rPr>
          <w:rFonts w:eastAsia="Times New Roman" w:cs="Times New Roman"/>
          <w:i/>
          <w:color w:val="000000" w:themeColor="text1"/>
        </w:rPr>
        <w:t xml:space="preserve"> </w:t>
      </w:r>
      <w:r w:rsidR="000A143C">
        <w:rPr>
          <w:rFonts w:eastAsia="Times New Roman" w:cs="Times New Roman"/>
          <w:color w:val="000000" w:themeColor="text1"/>
        </w:rPr>
        <w:t>rejected</w:t>
      </w:r>
      <w:r w:rsidRPr="00300BD8">
        <w:rPr>
          <w:rFonts w:eastAsia="Times New Roman" w:cs="Times New Roman"/>
          <w:color w:val="000000" w:themeColor="text1"/>
        </w:rPr>
        <w:t>.</w:t>
      </w:r>
      <w:r w:rsidRPr="00300BD8">
        <w:rPr>
          <w:rStyle w:val="FootnoteReference"/>
          <w:rFonts w:eastAsia="Times New Roman" w:cs="Times New Roman"/>
          <w:color w:val="000000" w:themeColor="text1"/>
        </w:rPr>
        <w:footnoteReference w:id="873"/>
      </w:r>
      <w:r w:rsidRPr="00300BD8">
        <w:rPr>
          <w:rFonts w:eastAsia="Times New Roman" w:cs="Times New Roman"/>
          <w:color w:val="000000" w:themeColor="text1"/>
        </w:rPr>
        <w:t xml:space="preserve"> That case denied venue where a company employee used a home office in the district—an outcome that should hardly rest, Judge Reyna reasoned, on whether the employee used a company-owned computer.</w:t>
      </w:r>
      <w:r w:rsidRPr="00300BD8">
        <w:rPr>
          <w:rStyle w:val="FootnoteReference"/>
          <w:rFonts w:eastAsia="Times New Roman" w:cs="Times New Roman"/>
          <w:color w:val="000000" w:themeColor="text1"/>
        </w:rPr>
        <w:footnoteReference w:id="874"/>
      </w:r>
      <w:r w:rsidRPr="00300BD8">
        <w:rPr>
          <w:rFonts w:eastAsia="Times New Roman" w:cs="Times New Roman"/>
          <w:color w:val="000000" w:themeColor="text1"/>
        </w:rPr>
        <w:t xml:space="preserve"> Judge Reyna cited conflicting case law across circuits</w:t>
      </w:r>
      <w:r w:rsidRPr="00300BD8">
        <w:rPr>
          <w:rStyle w:val="FootnoteReference"/>
          <w:rFonts w:eastAsia="Times New Roman" w:cs="Times New Roman"/>
          <w:color w:val="000000" w:themeColor="text1"/>
        </w:rPr>
        <w:footnoteReference w:id="875"/>
      </w:r>
      <w:r w:rsidRPr="00300BD8">
        <w:rPr>
          <w:rFonts w:eastAsia="Times New Roman" w:cs="Times New Roman"/>
          <w:color w:val="000000" w:themeColor="text1"/>
        </w:rPr>
        <w:t xml:space="preserve"> as to whether a company should be “subject to venue in any judicial district in which a [server or a] physical object belonging to the company [like a vending machine] was located”</w:t>
      </w:r>
      <w:r w:rsidRPr="00300BD8">
        <w:rPr>
          <w:rStyle w:val="FootnoteReference"/>
          <w:rFonts w:eastAsia="Times New Roman" w:cs="Times New Roman"/>
          <w:color w:val="000000" w:themeColor="text1"/>
        </w:rPr>
        <w:footnoteReference w:id="876"/>
      </w:r>
      <w:r w:rsidRPr="00300BD8">
        <w:rPr>
          <w:rFonts w:eastAsia="Times New Roman" w:cs="Times New Roman"/>
          <w:color w:val="000000" w:themeColor="text1"/>
        </w:rPr>
        <w:t xml:space="preserve">—and </w:t>
      </w:r>
      <w:r w:rsidR="000A143C">
        <w:rPr>
          <w:rFonts w:eastAsia="Times New Roman" w:cs="Times New Roman"/>
          <w:color w:val="000000" w:themeColor="text1"/>
        </w:rPr>
        <w:t>urged</w:t>
      </w:r>
      <w:r w:rsidRPr="00300BD8">
        <w:rPr>
          <w:rFonts w:eastAsia="Times New Roman" w:cs="Times New Roman"/>
          <w:color w:val="000000" w:themeColor="text1"/>
        </w:rPr>
        <w:t xml:space="preserve"> </w:t>
      </w:r>
      <w:r w:rsidR="000A143C">
        <w:rPr>
          <w:rFonts w:eastAsia="Times New Roman" w:cs="Times New Roman"/>
          <w:color w:val="000000" w:themeColor="text1"/>
        </w:rPr>
        <w:t xml:space="preserve">judicial </w:t>
      </w:r>
      <w:r w:rsidRPr="00300BD8">
        <w:rPr>
          <w:rFonts w:eastAsia="Times New Roman" w:cs="Times New Roman"/>
          <w:color w:val="000000" w:themeColor="text1"/>
        </w:rPr>
        <w:t xml:space="preserve">clarification. </w:t>
      </w:r>
    </w:p>
    <w:p w14:paraId="3E5CA3FB" w14:textId="1A27C43E" w:rsidR="00286CA7" w:rsidRPr="00677ABE" w:rsidRDefault="00286CA7" w:rsidP="00CA2C0A">
      <w:pPr>
        <w:pStyle w:val="Heading3"/>
        <w:ind w:firstLine="0"/>
        <w:rPr>
          <w:rFonts w:cs="Times New Roman"/>
          <w:i w:val="0"/>
        </w:rPr>
      </w:pPr>
      <w:bookmarkStart w:id="181" w:name="_Toc516586600"/>
      <w:bookmarkStart w:id="182" w:name="_Toc531692804"/>
      <w:r w:rsidRPr="00677ABE">
        <w:rPr>
          <w:rFonts w:cs="Times New Roman"/>
        </w:rPr>
        <w:t>In re Micron Technologies Inc.</w:t>
      </w:r>
      <w:r w:rsidRPr="00677ABE">
        <w:rPr>
          <w:rFonts w:cs="Times New Roman"/>
          <w:i w:val="0"/>
        </w:rPr>
        <w:t>, No. 2017-138, 2017 WL 5474215 (Fed. Cir. Nov. 15, 2017)</w:t>
      </w:r>
      <w:bookmarkEnd w:id="181"/>
      <w:bookmarkEnd w:id="182"/>
    </w:p>
    <w:p w14:paraId="030BAACE" w14:textId="77777777" w:rsidR="00286CA7" w:rsidRPr="00677ABE" w:rsidRDefault="00286CA7" w:rsidP="00CA2C0A">
      <w:pPr>
        <w:rPr>
          <w:rFonts w:cs="Times New Roman"/>
        </w:rPr>
      </w:pPr>
      <w:r w:rsidRPr="00677ABE">
        <w:rPr>
          <w:rFonts w:cs="Times New Roman"/>
          <w:lang w:eastAsia="x-none"/>
        </w:rPr>
        <w:tab/>
        <w:t>In this appeal from the District of Massachusetts, the Federal Circuit granted Micron’s petition for writ of mandamus to set aside the district court’s denial of Micron’s motion to dismiss or transfer the case for improper venue.</w:t>
      </w:r>
      <w:r w:rsidRPr="00677ABE">
        <w:rPr>
          <w:rStyle w:val="FootnoteReference"/>
          <w:rFonts w:cs="Times New Roman"/>
          <w:lang w:eastAsia="x-none"/>
        </w:rPr>
        <w:footnoteReference w:id="877"/>
      </w:r>
      <w:r w:rsidRPr="00677ABE">
        <w:rPr>
          <w:rFonts w:cs="Times New Roman"/>
          <w:lang w:eastAsia="x-none"/>
        </w:rPr>
        <w:t xml:space="preserve"> Federal Rules of Civil Procedure </w:t>
      </w:r>
      <w:r w:rsidRPr="00677ABE">
        <w:rPr>
          <w:rFonts w:cs="Times New Roman"/>
        </w:rPr>
        <w:t xml:space="preserve">12(h)(1)(A) and 12(g)(2) together provide that a defendant waives all </w:t>
      </w:r>
      <w:r w:rsidRPr="00677ABE">
        <w:rPr>
          <w:rFonts w:cs="Times New Roman"/>
          <w:i/>
        </w:rPr>
        <w:t>available</w:t>
      </w:r>
      <w:r w:rsidRPr="00677ABE">
        <w:rPr>
          <w:rFonts w:cs="Times New Roman"/>
        </w:rPr>
        <w:t xml:space="preserve"> venue defenses not raised in an initial motion to dismiss.</w:t>
      </w:r>
      <w:r w:rsidRPr="00677ABE">
        <w:rPr>
          <w:rStyle w:val="FootnoteReference"/>
          <w:rFonts w:cs="Times New Roman"/>
        </w:rPr>
        <w:footnoteReference w:id="878"/>
      </w:r>
      <w:r w:rsidRPr="00677ABE">
        <w:rPr>
          <w:rFonts w:cs="Times New Roman"/>
        </w:rPr>
        <w:t xml:space="preserve"> The district court concluded that the Supreme Court’s decision in </w:t>
      </w:r>
      <w:r w:rsidRPr="00677ABE">
        <w:rPr>
          <w:rFonts w:cs="Times New Roman"/>
          <w:i/>
        </w:rPr>
        <w:t>TC Heartland</w:t>
      </w:r>
      <w:r w:rsidRPr="00677ABE">
        <w:rPr>
          <w:rFonts w:cs="Times New Roman"/>
        </w:rPr>
        <w:t xml:space="preserve"> was not a change of law and therefore that venue was an available defense under the statutes even before that decision.</w:t>
      </w:r>
      <w:r w:rsidRPr="00677ABE">
        <w:rPr>
          <w:rStyle w:val="FootnoteReference"/>
          <w:rFonts w:cs="Times New Roman"/>
        </w:rPr>
        <w:footnoteReference w:id="879"/>
      </w:r>
    </w:p>
    <w:p w14:paraId="71A45369" w14:textId="77777777" w:rsidR="00286CA7" w:rsidRPr="00677ABE" w:rsidRDefault="00286CA7" w:rsidP="00CA2C0A">
      <w:pPr>
        <w:rPr>
          <w:rFonts w:cs="Times New Roman"/>
        </w:rPr>
      </w:pPr>
      <w:r w:rsidRPr="00677ABE">
        <w:rPr>
          <w:rFonts w:cs="Times New Roman"/>
          <w:lang w:eastAsia="x-none"/>
        </w:rPr>
        <w:tab/>
        <w:t>The Federal Circuit disagreed.</w:t>
      </w:r>
      <w:r w:rsidRPr="00677ABE">
        <w:rPr>
          <w:rStyle w:val="FootnoteReference"/>
          <w:rFonts w:cs="Times New Roman"/>
          <w:lang w:eastAsia="x-none"/>
        </w:rPr>
        <w:footnoteReference w:id="880"/>
      </w:r>
      <w:r w:rsidRPr="00677ABE">
        <w:rPr>
          <w:rFonts w:cs="Times New Roman"/>
          <w:lang w:eastAsia="x-none"/>
        </w:rPr>
        <w:t xml:space="preserve"> The Federal Circuit found that “</w:t>
      </w:r>
      <w:r w:rsidRPr="00677ABE">
        <w:rPr>
          <w:rFonts w:cs="Times New Roman"/>
        </w:rPr>
        <w:t xml:space="preserve">[t]he venue objection [under </w:t>
      </w:r>
      <w:r w:rsidRPr="00677ABE">
        <w:rPr>
          <w:rFonts w:cs="Times New Roman"/>
          <w:i/>
        </w:rPr>
        <w:t>TC Heartland</w:t>
      </w:r>
      <w:r w:rsidRPr="00677ABE">
        <w:rPr>
          <w:rFonts w:cs="Times New Roman"/>
        </w:rPr>
        <w:t xml:space="preserve">] was not available until the Supreme Court decided </w:t>
      </w:r>
      <w:r w:rsidRPr="00677ABE">
        <w:rPr>
          <w:rFonts w:cs="Times New Roman"/>
          <w:i/>
        </w:rPr>
        <w:t>TC Heartland</w:t>
      </w:r>
      <w:r w:rsidRPr="00677ABE">
        <w:rPr>
          <w:rFonts w:cs="Times New Roman"/>
        </w:rPr>
        <w:t xml:space="preserve"> because, before then, it would have been improper, given controlling precedent, for the district court to dismiss or transfer for lack of venue.”</w:t>
      </w:r>
      <w:r w:rsidRPr="00677ABE">
        <w:rPr>
          <w:rStyle w:val="FootnoteReference"/>
          <w:rFonts w:cs="Times New Roman"/>
        </w:rPr>
        <w:footnoteReference w:id="881"/>
      </w:r>
      <w:r w:rsidRPr="00677ABE">
        <w:rPr>
          <w:rFonts w:cs="Times New Roman"/>
        </w:rPr>
        <w:t xml:space="preserve"> Accordingly, the defense could generally be raised for the first time in the wake of </w:t>
      </w:r>
      <w:r w:rsidRPr="00677ABE">
        <w:rPr>
          <w:rFonts w:cs="Times New Roman"/>
          <w:i/>
        </w:rPr>
        <w:t>TC Heartland</w:t>
      </w:r>
      <w:r w:rsidRPr="00677ABE">
        <w:rPr>
          <w:rFonts w:cs="Times New Roman"/>
        </w:rPr>
        <w:t>.</w:t>
      </w:r>
      <w:r w:rsidRPr="00677ABE">
        <w:rPr>
          <w:rFonts w:cs="Times New Roman"/>
          <w:i/>
        </w:rPr>
        <w:t xml:space="preserve"> </w:t>
      </w:r>
      <w:r w:rsidRPr="00677ABE">
        <w:rPr>
          <w:rFonts w:cs="Times New Roman"/>
        </w:rPr>
        <w:t>Nonetheless, “Rule 12(h)(1) is not the sole basis on which a district court might, in various circumstances, rule that a defendant can no longer present a venue defense that might have succeeded on the merits.”</w:t>
      </w:r>
      <w:r w:rsidRPr="00677ABE">
        <w:rPr>
          <w:rStyle w:val="FootnoteReference"/>
          <w:rFonts w:cs="Times New Roman"/>
        </w:rPr>
        <w:footnoteReference w:id="882"/>
      </w:r>
      <w:r w:rsidRPr="00677ABE">
        <w:rPr>
          <w:rFonts w:cs="Times New Roman"/>
        </w:rPr>
        <w:t xml:space="preserve"> For instance, the Supreme Court has held that “a district court possesses inherent powers that are ‘governed not by rule or statute but by the control necessarily vested in courts to manage their own affairs so as to achieve the orderly and expeditious disposition of cases.’”</w:t>
      </w:r>
      <w:r w:rsidRPr="00677ABE">
        <w:rPr>
          <w:rStyle w:val="FootnoteReference"/>
          <w:rFonts w:cs="Times New Roman"/>
        </w:rPr>
        <w:footnoteReference w:id="883"/>
      </w:r>
      <w:r w:rsidRPr="00677ABE">
        <w:rPr>
          <w:rFonts w:cs="Times New Roman"/>
        </w:rPr>
        <w:t xml:space="preserve"> To properly exercise such inherent power, the exercise must be a “reasonable response to the problems and needs” confronting the court’s fair administration of justice,</w:t>
      </w:r>
      <w:r w:rsidRPr="00677ABE">
        <w:rPr>
          <w:rStyle w:val="FootnoteReference"/>
          <w:rFonts w:cs="Times New Roman"/>
        </w:rPr>
        <w:footnoteReference w:id="884"/>
      </w:r>
      <w:r w:rsidRPr="00677ABE">
        <w:rPr>
          <w:rFonts w:cs="Times New Roman"/>
        </w:rPr>
        <w:t xml:space="preserve"> and cannot be contrary to any express grants or limitations on such power.</w:t>
      </w:r>
      <w:r w:rsidRPr="00677ABE">
        <w:rPr>
          <w:rStyle w:val="FootnoteReference"/>
          <w:rFonts w:cs="Times New Roman"/>
        </w:rPr>
        <w:footnoteReference w:id="885"/>
      </w:r>
    </w:p>
    <w:p w14:paraId="2743365F" w14:textId="77777777" w:rsidR="00F20B84" w:rsidRDefault="00286CA7" w:rsidP="00CA2C0A">
      <w:pPr>
        <w:rPr>
          <w:rFonts w:cs="Times New Roman"/>
          <w:lang w:eastAsia="x-none"/>
        </w:rPr>
      </w:pPr>
      <w:r w:rsidRPr="00677ABE">
        <w:rPr>
          <w:rFonts w:cs="Times New Roman"/>
          <w:lang w:eastAsia="x-none"/>
        </w:rPr>
        <w:tab/>
        <w:t xml:space="preserve">The court concluded by making a few “limit[ed]” observations on this inherent power. Regarding timeliness, the court admitted that it </w:t>
      </w:r>
      <w:r w:rsidRPr="00677ABE">
        <w:rPr>
          <w:rFonts w:cs="Times New Roman"/>
        </w:rPr>
        <w:t>“has not provided a precedential answer to the question of whether the timeliness determination may take account of factors other than the sheer time from when the defense becomes available to when it is asserted, including factors such as how near is the trial, which may implicate efficiency or other interests of the judicial system and of other participants in the case.”</w:t>
      </w:r>
      <w:r w:rsidRPr="00677ABE">
        <w:rPr>
          <w:rStyle w:val="FootnoteReference"/>
          <w:rFonts w:cs="Times New Roman"/>
        </w:rPr>
        <w:footnoteReference w:id="886"/>
      </w:r>
      <w:r w:rsidRPr="00677ABE">
        <w:rPr>
          <w:rFonts w:cs="Times New Roman"/>
        </w:rPr>
        <w:t xml:space="preserve"> But the court highlighted that it has denied mandamus in “several cases involving venue objections based on </w:t>
      </w:r>
      <w:r w:rsidRPr="00677ABE">
        <w:rPr>
          <w:rFonts w:cs="Times New Roman"/>
          <w:i/>
        </w:rPr>
        <w:t>TC Heartland</w:t>
      </w:r>
      <w:r w:rsidRPr="00677ABE">
        <w:rPr>
          <w:rFonts w:cs="Times New Roman"/>
        </w:rPr>
        <w:t xml:space="preserve"> that were presented close to trial.”</w:t>
      </w:r>
      <w:r w:rsidRPr="00677ABE">
        <w:rPr>
          <w:rStyle w:val="FootnoteReference"/>
          <w:rFonts w:cs="Times New Roman"/>
        </w:rPr>
        <w:footnoteReference w:id="887"/>
      </w:r>
      <w:r w:rsidRPr="00677ABE">
        <w:rPr>
          <w:rFonts w:cs="Times New Roman"/>
        </w:rPr>
        <w:t xml:space="preserve"> Second, the court noted “a scenario that presents at least an obvious starting point for a claim of forfeiture, whether based on timeliness or consent or distinct grounds: a defendant’s tactical wait-and-see bypassing of an opportunity to declare a desire for a different forum, where the course of proceedings might well have been altered by such a declaration.”</w:t>
      </w:r>
      <w:r w:rsidRPr="00677ABE">
        <w:rPr>
          <w:rStyle w:val="FootnoteReference"/>
          <w:rFonts w:cs="Times New Roman"/>
        </w:rPr>
        <w:footnoteReference w:id="888"/>
      </w:r>
    </w:p>
    <w:p w14:paraId="313A6D96" w14:textId="59CCF797" w:rsidR="00286CA7" w:rsidRPr="00677ABE" w:rsidRDefault="00286CA7" w:rsidP="00CA2C0A">
      <w:pPr>
        <w:pStyle w:val="Heading3"/>
        <w:ind w:firstLine="0"/>
        <w:rPr>
          <w:rFonts w:cs="Times New Roman"/>
          <w:i w:val="0"/>
        </w:rPr>
      </w:pPr>
      <w:bookmarkStart w:id="183" w:name="_Toc516586602"/>
      <w:bookmarkStart w:id="184" w:name="_Toc531692805"/>
      <w:r w:rsidRPr="00677ABE">
        <w:rPr>
          <w:rFonts w:cs="Times New Roman"/>
        </w:rPr>
        <w:t>In re BigCommerce, Inc.</w:t>
      </w:r>
      <w:r w:rsidRPr="00677ABE">
        <w:rPr>
          <w:rFonts w:cs="Times New Roman"/>
          <w:i w:val="0"/>
        </w:rPr>
        <w:t>, No. 2018-120, 2018 WL 2207265 (Fed. Cir. May 15, 2018)</w:t>
      </w:r>
      <w:r w:rsidRPr="00677ABE">
        <w:rPr>
          <w:rStyle w:val="FootnoteReference"/>
          <w:rFonts w:cs="Times New Roman"/>
          <w:i w:val="0"/>
        </w:rPr>
        <w:footnoteReference w:id="889"/>
      </w:r>
      <w:bookmarkEnd w:id="183"/>
      <w:bookmarkEnd w:id="184"/>
    </w:p>
    <w:p w14:paraId="298ADCD9" w14:textId="4C081716" w:rsidR="00286CA7" w:rsidRPr="00677ABE" w:rsidRDefault="00286CA7" w:rsidP="00CA2C0A">
      <w:pPr>
        <w:rPr>
          <w:rFonts w:cs="Times New Roman"/>
        </w:rPr>
      </w:pPr>
      <w:r w:rsidRPr="00677ABE">
        <w:rPr>
          <w:rFonts w:cs="Times New Roman"/>
          <w:lang w:eastAsia="x-none"/>
        </w:rPr>
        <w:tab/>
      </w:r>
      <w:r w:rsidR="000D3CB7">
        <w:rPr>
          <w:rFonts w:cs="Times New Roman"/>
          <w:lang w:eastAsia="x-none"/>
        </w:rPr>
        <w:t>T</w:t>
      </w:r>
      <w:r w:rsidRPr="00677ABE">
        <w:rPr>
          <w:rFonts w:cs="Times New Roman"/>
        </w:rPr>
        <w:t>he Federal Circuit granted the petitions for a writ of mandamus challenging the District of Texas’s orders denying motions to dismiss and transfer the case for improper venue.</w:t>
      </w:r>
      <w:r w:rsidRPr="00677ABE">
        <w:rPr>
          <w:rStyle w:val="FootnoteReference"/>
          <w:rFonts w:cs="Times New Roman"/>
        </w:rPr>
        <w:footnoteReference w:id="890"/>
      </w:r>
      <w:r w:rsidRPr="00677ABE">
        <w:rPr>
          <w:rFonts w:cs="Times New Roman"/>
          <w:lang w:eastAsia="x-none"/>
        </w:rPr>
        <w:t xml:space="preserve"> </w:t>
      </w:r>
      <w:r w:rsidRPr="00677ABE">
        <w:rPr>
          <w:rFonts w:cs="Times New Roman"/>
        </w:rPr>
        <w:t>The respondents each filed patent infringement suits against BigCommerce in the Eastern District of Texas.</w:t>
      </w:r>
      <w:r w:rsidRPr="00677ABE">
        <w:rPr>
          <w:rStyle w:val="FootnoteReference"/>
          <w:rFonts w:cs="Times New Roman"/>
        </w:rPr>
        <w:footnoteReference w:id="891"/>
      </w:r>
      <w:r w:rsidRPr="00677ABE">
        <w:rPr>
          <w:rFonts w:cs="Times New Roman"/>
        </w:rPr>
        <w:t xml:space="preserve"> BigCommerce is incorporated in the state of Texas, and its headquarters and registered office is in the Western District of Texas.</w:t>
      </w:r>
      <w:r w:rsidRPr="00677ABE">
        <w:rPr>
          <w:rStyle w:val="FootnoteReference"/>
          <w:rFonts w:cs="Times New Roman"/>
        </w:rPr>
        <w:footnoteReference w:id="892"/>
      </w:r>
      <w:r w:rsidRPr="00677ABE">
        <w:rPr>
          <w:rFonts w:cs="Times New Roman"/>
        </w:rPr>
        <w:t xml:space="preserve"> All parties agreed that BigCommerce had no place of business in the Eastern District of Texas.</w:t>
      </w:r>
      <w:r w:rsidRPr="00677ABE">
        <w:rPr>
          <w:rStyle w:val="FootnoteReference"/>
          <w:rFonts w:cs="Times New Roman"/>
        </w:rPr>
        <w:footnoteReference w:id="893"/>
      </w:r>
      <w:r w:rsidRPr="00677ABE">
        <w:rPr>
          <w:rFonts w:cs="Times New Roman"/>
        </w:rPr>
        <w:t xml:space="preserve"> </w:t>
      </w:r>
    </w:p>
    <w:p w14:paraId="4F474400" w14:textId="77777777" w:rsidR="00286CA7" w:rsidRPr="00677ABE" w:rsidRDefault="00286CA7" w:rsidP="00CA2C0A">
      <w:pPr>
        <w:ind w:firstLine="720"/>
        <w:rPr>
          <w:rFonts w:cs="Times New Roman"/>
        </w:rPr>
      </w:pPr>
      <w:r w:rsidRPr="00677ABE">
        <w:rPr>
          <w:rFonts w:cs="Times New Roman"/>
        </w:rPr>
        <w:t>BigCommerce challenged venue in the Eastern District.</w:t>
      </w:r>
      <w:r w:rsidRPr="00677ABE">
        <w:rPr>
          <w:rStyle w:val="FootnoteReference"/>
          <w:rFonts w:cs="Times New Roman"/>
        </w:rPr>
        <w:footnoteReference w:id="894"/>
      </w:r>
      <w:r w:rsidRPr="00677ABE">
        <w:rPr>
          <w:rFonts w:cs="Times New Roman"/>
        </w:rPr>
        <w:t xml:space="preserve"> The district court determined that venue in the Eastern District was proper.</w:t>
      </w:r>
      <w:r w:rsidRPr="00677ABE">
        <w:rPr>
          <w:rStyle w:val="FootnoteReference"/>
          <w:rFonts w:cs="Times New Roman"/>
        </w:rPr>
        <w:footnoteReference w:id="895"/>
      </w:r>
      <w:r w:rsidRPr="00677ABE">
        <w:rPr>
          <w:rFonts w:cs="Times New Roman"/>
        </w:rPr>
        <w:t xml:space="preserve"> The court argued that, in its view, a corporation resides for venue purposes in every judicial district of the corporation’s state of incorporation.</w:t>
      </w:r>
      <w:r w:rsidRPr="00677ABE">
        <w:rPr>
          <w:rStyle w:val="FootnoteReference"/>
          <w:rFonts w:cs="Times New Roman"/>
        </w:rPr>
        <w:footnoteReference w:id="896"/>
      </w:r>
      <w:r w:rsidRPr="00677ABE">
        <w:rPr>
          <w:rFonts w:cs="Times New Roman"/>
        </w:rPr>
        <w:t xml:space="preserve"> BigCommerce filed a petition for a writ of mandamus.</w:t>
      </w:r>
      <w:r w:rsidRPr="00677ABE">
        <w:rPr>
          <w:rStyle w:val="FootnoteReference"/>
          <w:rFonts w:cs="Times New Roman"/>
        </w:rPr>
        <w:footnoteReference w:id="897"/>
      </w:r>
    </w:p>
    <w:p w14:paraId="7C08A5AA" w14:textId="77777777" w:rsidR="00286CA7" w:rsidRPr="00677ABE" w:rsidRDefault="00286CA7" w:rsidP="00CA2C0A">
      <w:pPr>
        <w:ind w:firstLine="720"/>
        <w:rPr>
          <w:rFonts w:cs="Times New Roman"/>
        </w:rPr>
      </w:pPr>
      <w:r w:rsidRPr="00677ABE">
        <w:rPr>
          <w:rFonts w:cs="Times New Roman"/>
          <w:lang w:eastAsia="x-none"/>
        </w:rPr>
        <w:t>The Federal Circuit determined that this case presented a “basic” and “undecided” issue relating to proper venue—whether a corporation resides in every judicial district within its state of incorporation—and that this basic question warranted mandamus review.</w:t>
      </w:r>
      <w:r w:rsidRPr="00677ABE">
        <w:rPr>
          <w:rStyle w:val="FootnoteReference"/>
          <w:rFonts w:cs="Times New Roman"/>
          <w:lang w:eastAsia="x-none"/>
        </w:rPr>
        <w:footnoteReference w:id="898"/>
      </w:r>
      <w:r w:rsidRPr="00677ABE">
        <w:rPr>
          <w:rFonts w:cs="Times New Roman"/>
          <w:lang w:eastAsia="x-none"/>
        </w:rPr>
        <w:t xml:space="preserve"> </w:t>
      </w:r>
      <w:r w:rsidRPr="00677ABE">
        <w:rPr>
          <w:rFonts w:cs="Times New Roman"/>
        </w:rPr>
        <w:t>The Federal Circuit held that the venue statute’s “language, history, purpose, and precedent” make clear that domestic corporations do not reside in every judicial district within its state of incorporation.</w:t>
      </w:r>
      <w:r w:rsidRPr="00677ABE">
        <w:rPr>
          <w:rStyle w:val="FootnoteReference"/>
          <w:rFonts w:cs="Times New Roman"/>
        </w:rPr>
        <w:footnoteReference w:id="899"/>
      </w:r>
    </w:p>
    <w:p w14:paraId="72C859A6" w14:textId="0A437752" w:rsidR="00286CA7" w:rsidRPr="00677ABE" w:rsidRDefault="00286CA7" w:rsidP="00CA2C0A">
      <w:pPr>
        <w:ind w:firstLine="720"/>
        <w:rPr>
          <w:rFonts w:cs="Times New Roman"/>
        </w:rPr>
      </w:pPr>
      <w:r w:rsidRPr="00677ABE">
        <w:rPr>
          <w:rFonts w:cs="Times New Roman"/>
        </w:rPr>
        <w:t xml:space="preserve">The court reasoned that the venue statute clearly states that patent infringement lawsuits “may be brought in </w:t>
      </w:r>
      <w:r w:rsidRPr="00677ABE">
        <w:rPr>
          <w:rFonts w:cs="Times New Roman"/>
          <w:i/>
        </w:rPr>
        <w:t xml:space="preserve">the judicial district </w:t>
      </w:r>
      <w:r w:rsidRPr="00677ABE">
        <w:rPr>
          <w:rFonts w:cs="Times New Roman"/>
        </w:rPr>
        <w:t xml:space="preserve">where the defendant </w:t>
      </w:r>
      <w:r w:rsidRPr="00677ABE">
        <w:rPr>
          <w:rFonts w:cs="Times New Roman"/>
          <w:i/>
        </w:rPr>
        <w:t>resides</w:t>
      </w:r>
      <w:r w:rsidRPr="00677ABE">
        <w:rPr>
          <w:rFonts w:cs="Times New Roman"/>
        </w:rPr>
        <w:t>,”</w:t>
      </w:r>
      <w:r w:rsidRPr="00677ABE">
        <w:rPr>
          <w:rStyle w:val="FootnoteReference"/>
          <w:rFonts w:cs="Times New Roman"/>
        </w:rPr>
        <w:footnoteReference w:id="900"/>
      </w:r>
      <w:r w:rsidRPr="00677ABE">
        <w:rPr>
          <w:rFonts w:cs="Times New Roman"/>
        </w:rPr>
        <w:t xml:space="preserve"> which “speaks to venue in only one particular judicial district in the state.”</w:t>
      </w:r>
      <w:r w:rsidRPr="00677ABE">
        <w:rPr>
          <w:rStyle w:val="FootnoteReference"/>
          <w:rFonts w:cs="Times New Roman"/>
        </w:rPr>
        <w:footnoteReference w:id="901"/>
      </w:r>
      <w:r w:rsidRPr="00677ABE">
        <w:rPr>
          <w:rFonts w:cs="Times New Roman"/>
        </w:rPr>
        <w:t xml:space="preserve"> The court noted that Congress expanded the definition of where a corporation resides in some areas of law, but did so using different language from that in </w:t>
      </w:r>
      <w:r w:rsidR="00AC00E6">
        <w:rPr>
          <w:rFonts w:cs="Times New Roman"/>
        </w:rPr>
        <w:t>§ </w:t>
      </w:r>
      <w:r w:rsidRPr="00677ABE">
        <w:rPr>
          <w:rFonts w:cs="Times New Roman"/>
        </w:rPr>
        <w:t xml:space="preserve">1400(b), which suggests that Congress did not intend for </w:t>
      </w:r>
      <w:r w:rsidR="00AC00E6">
        <w:rPr>
          <w:rFonts w:cs="Times New Roman"/>
        </w:rPr>
        <w:t>§ </w:t>
      </w:r>
      <w:r w:rsidRPr="00677ABE">
        <w:rPr>
          <w:rFonts w:cs="Times New Roman"/>
        </w:rPr>
        <w:t>1400(b) to be read so expansively.</w:t>
      </w:r>
      <w:r w:rsidRPr="00677ABE">
        <w:rPr>
          <w:rStyle w:val="FootnoteReference"/>
          <w:rFonts w:cs="Times New Roman"/>
        </w:rPr>
        <w:footnoteReference w:id="902"/>
      </w:r>
      <w:r w:rsidRPr="00677ABE">
        <w:rPr>
          <w:rFonts w:cs="Times New Roman"/>
        </w:rPr>
        <w:t xml:space="preserve"> Furthermore, the Supreme Court has cited, and applied with respect to </w:t>
      </w:r>
      <w:r w:rsidR="00AC00E6">
        <w:rPr>
          <w:rFonts w:cs="Times New Roman"/>
        </w:rPr>
        <w:t>§ </w:t>
      </w:r>
      <w:r w:rsidRPr="00677ABE">
        <w:rPr>
          <w:rFonts w:cs="Times New Roman"/>
        </w:rPr>
        <w:t>1400(b)’s predecessor statute, authority holding that for venue purposes, a corporation is only a resident in the judicial district within its state of incorporation where the corporation kept its principal office and transacted its business.</w:t>
      </w:r>
      <w:r w:rsidRPr="00677ABE">
        <w:rPr>
          <w:rStyle w:val="FootnoteReference"/>
          <w:rFonts w:cs="Times New Roman"/>
        </w:rPr>
        <w:footnoteReference w:id="903"/>
      </w:r>
      <w:r w:rsidRPr="00677ABE">
        <w:rPr>
          <w:rFonts w:cs="Times New Roman"/>
        </w:rPr>
        <w:t xml:space="preserve"> This is particularly notable given Congress intended </w:t>
      </w:r>
      <w:r w:rsidR="00AC00E6">
        <w:rPr>
          <w:rFonts w:cs="Times New Roman"/>
        </w:rPr>
        <w:t>§ </w:t>
      </w:r>
      <w:r w:rsidRPr="00677ABE">
        <w:rPr>
          <w:rFonts w:cs="Times New Roman"/>
        </w:rPr>
        <w:t>1400(b) to maintain the substance of the law as defined by its predecessor statute.</w:t>
      </w:r>
      <w:r w:rsidRPr="00677ABE">
        <w:rPr>
          <w:rStyle w:val="FootnoteReference"/>
          <w:rFonts w:cs="Times New Roman"/>
        </w:rPr>
        <w:footnoteReference w:id="904"/>
      </w:r>
    </w:p>
    <w:p w14:paraId="35F850F2" w14:textId="51C860A3" w:rsidR="00F20B84" w:rsidRDefault="00286CA7" w:rsidP="00CA2C0A">
      <w:pPr>
        <w:ind w:firstLine="720"/>
        <w:rPr>
          <w:rFonts w:cs="Times New Roman"/>
        </w:rPr>
      </w:pPr>
      <w:r w:rsidRPr="00677ABE">
        <w:rPr>
          <w:rFonts w:cs="Times New Roman"/>
          <w:lang w:eastAsia="x-none"/>
        </w:rPr>
        <w:t xml:space="preserve">The respondents argued that the Supreme Court in </w:t>
      </w:r>
      <w:r w:rsidRPr="00677ABE">
        <w:rPr>
          <w:rFonts w:cs="Times New Roman"/>
          <w:i/>
          <w:lang w:eastAsia="x-none"/>
        </w:rPr>
        <w:t xml:space="preserve">Fourco </w:t>
      </w:r>
      <w:r w:rsidRPr="00677ABE">
        <w:rPr>
          <w:rFonts w:cs="Times New Roman"/>
          <w:lang w:eastAsia="x-none"/>
        </w:rPr>
        <w:t>stated that residence is synonymous with state of incorporation.</w:t>
      </w:r>
      <w:r w:rsidRPr="00677ABE">
        <w:rPr>
          <w:rStyle w:val="FootnoteReference"/>
          <w:rFonts w:cs="Times New Roman"/>
          <w:lang w:eastAsia="x-none"/>
        </w:rPr>
        <w:footnoteReference w:id="905"/>
      </w:r>
      <w:r w:rsidRPr="00677ABE">
        <w:rPr>
          <w:rFonts w:cs="Times New Roman"/>
          <w:lang w:eastAsia="x-none"/>
        </w:rPr>
        <w:t xml:space="preserve"> But that statement alone, the court explained, implies nothing about whether venue is proper in every district within the state of incorporation.</w:t>
      </w:r>
      <w:r w:rsidRPr="00677ABE">
        <w:rPr>
          <w:rStyle w:val="FootnoteReference"/>
          <w:rFonts w:cs="Times New Roman"/>
          <w:lang w:eastAsia="x-none"/>
        </w:rPr>
        <w:footnoteReference w:id="906"/>
      </w:r>
      <w:r w:rsidRPr="00677ABE">
        <w:rPr>
          <w:rFonts w:cs="Times New Roman"/>
          <w:lang w:eastAsia="x-none"/>
        </w:rPr>
        <w:t xml:space="preserve"> Moreover, the </w:t>
      </w:r>
      <w:r w:rsidRPr="00677ABE">
        <w:rPr>
          <w:rFonts w:cs="Times New Roman"/>
          <w:i/>
          <w:lang w:eastAsia="x-none"/>
        </w:rPr>
        <w:t xml:space="preserve">Fourco </w:t>
      </w:r>
      <w:r w:rsidRPr="00677ABE">
        <w:rPr>
          <w:rFonts w:cs="Times New Roman"/>
          <w:lang w:eastAsia="x-none"/>
        </w:rPr>
        <w:t>court “</w:t>
      </w:r>
      <w:r w:rsidRPr="00677ABE">
        <w:rPr>
          <w:rFonts w:cs="Times New Roman"/>
        </w:rPr>
        <w:t>simply did not address the corporate venue at the district level of granularity.”</w:t>
      </w:r>
      <w:r w:rsidRPr="00677ABE">
        <w:rPr>
          <w:rStyle w:val="FootnoteReference"/>
          <w:rFonts w:cs="Times New Roman"/>
        </w:rPr>
        <w:footnoteReference w:id="907"/>
      </w:r>
      <w:r w:rsidRPr="00677ABE">
        <w:rPr>
          <w:rFonts w:cs="Times New Roman"/>
        </w:rPr>
        <w:t xml:space="preserve"> For these reasons, the court held that “for purposes of determining venue under </w:t>
      </w:r>
      <w:r w:rsidR="00AC00E6">
        <w:rPr>
          <w:rFonts w:cs="Times New Roman"/>
        </w:rPr>
        <w:t>§ </w:t>
      </w:r>
      <w:r w:rsidRPr="00677ABE">
        <w:rPr>
          <w:rFonts w:cs="Times New Roman"/>
        </w:rPr>
        <w:t>1400(b) in a state having multiple judicial districts, a corporate defendant shall be considered to ‘reside’ only in the single judicial district within that state where it maintains a principal place of business, or, failing that, the judicial district in which its registered office is located.”</w:t>
      </w:r>
      <w:r w:rsidRPr="00677ABE">
        <w:rPr>
          <w:rStyle w:val="FootnoteReference"/>
          <w:rFonts w:cs="Times New Roman"/>
        </w:rPr>
        <w:footnoteReference w:id="908"/>
      </w:r>
    </w:p>
    <w:p w14:paraId="4C5AF51A" w14:textId="12462657" w:rsidR="00286CA7" w:rsidRPr="00677ABE" w:rsidRDefault="00286CA7" w:rsidP="00CA2C0A">
      <w:pPr>
        <w:pStyle w:val="Heading3"/>
        <w:ind w:firstLine="0"/>
        <w:rPr>
          <w:rFonts w:cs="Times New Roman"/>
          <w:i w:val="0"/>
        </w:rPr>
      </w:pPr>
      <w:bookmarkStart w:id="185" w:name="_Toc516586601"/>
      <w:bookmarkStart w:id="186" w:name="_Toc531692806"/>
      <w:r w:rsidRPr="00677ABE">
        <w:rPr>
          <w:rFonts w:cs="Times New Roman"/>
        </w:rPr>
        <w:t>In re ZTE (USA) Inc.</w:t>
      </w:r>
      <w:r w:rsidRPr="00677ABE">
        <w:rPr>
          <w:rFonts w:cs="Times New Roman"/>
          <w:i w:val="0"/>
        </w:rPr>
        <w:t>, No. 2018-113, 2018 WL 2187782 (Fed. Cir. May 14, 2018)</w:t>
      </w:r>
      <w:bookmarkEnd w:id="185"/>
      <w:bookmarkEnd w:id="186"/>
    </w:p>
    <w:p w14:paraId="5879CB5F" w14:textId="3F02067E" w:rsidR="00286CA7" w:rsidRPr="00677ABE" w:rsidRDefault="00286CA7" w:rsidP="00CA2C0A">
      <w:pPr>
        <w:rPr>
          <w:rFonts w:cs="Times New Roman"/>
        </w:rPr>
      </w:pPr>
      <w:r w:rsidRPr="00677ABE">
        <w:rPr>
          <w:rFonts w:cs="Times New Roman"/>
          <w:lang w:eastAsia="x-none"/>
        </w:rPr>
        <w:tab/>
      </w:r>
      <w:r w:rsidR="000D3CB7">
        <w:rPr>
          <w:rFonts w:cs="Times New Roman"/>
          <w:lang w:eastAsia="x-none"/>
        </w:rPr>
        <w:t>T</w:t>
      </w:r>
      <w:r w:rsidRPr="00677ABE">
        <w:rPr>
          <w:rFonts w:cs="Times New Roman"/>
        </w:rPr>
        <w:t>he Federal Circuit granted ZTE’s petition for a writ of mandamus directing the District of Texas to dismiss the case for improper venue.</w:t>
      </w:r>
      <w:r w:rsidRPr="00677ABE">
        <w:rPr>
          <w:rStyle w:val="FootnoteReference"/>
          <w:rFonts w:cs="Times New Roman"/>
        </w:rPr>
        <w:footnoteReference w:id="909"/>
      </w:r>
      <w:r w:rsidRPr="00677ABE">
        <w:rPr>
          <w:rFonts w:cs="Times New Roman"/>
        </w:rPr>
        <w:t xml:space="preserve"> The Federal Circuit began by noting that this the type of case where mandamus relief might be appropriate because it presented two “basic” and “undecided” issues relating to proper venue in the wake of </w:t>
      </w:r>
      <w:r w:rsidRPr="00677ABE">
        <w:rPr>
          <w:rFonts w:cs="Times New Roman"/>
          <w:i/>
        </w:rPr>
        <w:t>TC Heartland</w:t>
      </w:r>
      <w:r w:rsidRPr="00677ABE">
        <w:rPr>
          <w:rFonts w:cs="Times New Roman"/>
        </w:rPr>
        <w:t xml:space="preserve">: (1) does Federal Circuit or regional circuit law govern who bears the burden of persuasion for determining the propriety of venue under </w:t>
      </w:r>
      <w:r w:rsidR="00AC00E6">
        <w:rPr>
          <w:rFonts w:cs="Times New Roman"/>
        </w:rPr>
        <w:t>§ </w:t>
      </w:r>
      <w:r w:rsidRPr="00677ABE">
        <w:rPr>
          <w:rFonts w:cs="Times New Roman"/>
        </w:rPr>
        <w:t>1400(b); and (2) which party bears the burden?</w:t>
      </w:r>
      <w:r w:rsidRPr="00677ABE">
        <w:rPr>
          <w:rStyle w:val="FootnoteReference"/>
          <w:rFonts w:cs="Times New Roman"/>
        </w:rPr>
        <w:footnoteReference w:id="910"/>
      </w:r>
    </w:p>
    <w:p w14:paraId="537BEF0D" w14:textId="62A30F84" w:rsidR="00286CA7" w:rsidRPr="00677ABE" w:rsidRDefault="00286CA7" w:rsidP="00CA2C0A">
      <w:pPr>
        <w:rPr>
          <w:rFonts w:cs="Times New Roman"/>
        </w:rPr>
      </w:pPr>
      <w:r w:rsidRPr="00677ABE">
        <w:rPr>
          <w:rFonts w:cs="Times New Roman"/>
          <w:lang w:eastAsia="x-none"/>
        </w:rPr>
        <w:tab/>
      </w:r>
      <w:r w:rsidRPr="00677ABE">
        <w:rPr>
          <w:rFonts w:cs="Times New Roman"/>
          <w:b/>
        </w:rPr>
        <w:t>(1) does Federal Circuit or regional circuit law govern</w:t>
      </w:r>
      <w:r w:rsidRPr="00677ABE">
        <w:rPr>
          <w:rFonts w:cs="Times New Roman"/>
        </w:rPr>
        <w:t xml:space="preserve">: The court explained that whether venue is proper under </w:t>
      </w:r>
      <w:r w:rsidR="00AC00E6">
        <w:rPr>
          <w:rFonts w:cs="Times New Roman"/>
        </w:rPr>
        <w:t>§ </w:t>
      </w:r>
      <w:r w:rsidRPr="00677ABE">
        <w:rPr>
          <w:rFonts w:cs="Times New Roman"/>
        </w:rPr>
        <w:t>1400(b) is governed by Federal Circuit law because it is an issue unique to patent law.</w:t>
      </w:r>
      <w:r w:rsidRPr="00677ABE">
        <w:rPr>
          <w:rStyle w:val="FootnoteReference"/>
          <w:rFonts w:cs="Times New Roman"/>
        </w:rPr>
        <w:footnoteReference w:id="911"/>
      </w:r>
      <w:r w:rsidRPr="00677ABE">
        <w:rPr>
          <w:rFonts w:cs="Times New Roman"/>
        </w:rPr>
        <w:t xml:space="preserve"> Because the issue of which party bears the burden of persuasion in establishing venue under </w:t>
      </w:r>
      <w:r w:rsidR="00AC00E6">
        <w:rPr>
          <w:rFonts w:cs="Times New Roman"/>
        </w:rPr>
        <w:t>§ </w:t>
      </w:r>
      <w:r w:rsidRPr="00677ABE">
        <w:rPr>
          <w:rFonts w:cs="Times New Roman"/>
        </w:rPr>
        <w:t xml:space="preserve">1400(b) is “intimately related to the substantive determination,” and because who bears the burden of persuasion “is treated across many contexts as a substantive aspect of a legal rule,” the question of who bears the burden of persuasion under </w:t>
      </w:r>
      <w:r w:rsidR="00AC00E6">
        <w:rPr>
          <w:rFonts w:cs="Times New Roman"/>
        </w:rPr>
        <w:t>§ </w:t>
      </w:r>
      <w:r w:rsidRPr="00677ABE">
        <w:rPr>
          <w:rFonts w:cs="Times New Roman"/>
        </w:rPr>
        <w:t>1400(b) is likewise governed by Federal Circuit law.</w:t>
      </w:r>
      <w:r w:rsidRPr="00677ABE">
        <w:rPr>
          <w:rStyle w:val="FootnoteReference"/>
          <w:rFonts w:cs="Times New Roman"/>
        </w:rPr>
        <w:footnoteReference w:id="912"/>
      </w:r>
    </w:p>
    <w:p w14:paraId="00DAE44D" w14:textId="77777777" w:rsidR="00F20B84" w:rsidRDefault="00286CA7" w:rsidP="00CA2C0A">
      <w:pPr>
        <w:rPr>
          <w:rFonts w:cs="Times New Roman"/>
        </w:rPr>
      </w:pPr>
      <w:r w:rsidRPr="00677ABE">
        <w:rPr>
          <w:rFonts w:cs="Times New Roman"/>
          <w:lang w:eastAsia="x-none"/>
        </w:rPr>
        <w:tab/>
      </w:r>
      <w:r w:rsidRPr="00677ABE">
        <w:rPr>
          <w:rFonts w:cs="Times New Roman"/>
          <w:b/>
        </w:rPr>
        <w:t>(2) who bears the burden on venue</w:t>
      </w:r>
      <w:r w:rsidRPr="00677ABE">
        <w:rPr>
          <w:rFonts w:cs="Times New Roman"/>
        </w:rPr>
        <w:t>: Turning to its own law, the Federal Circuit that the plaintiff bears the burden of establishing proper venue.</w:t>
      </w:r>
      <w:r w:rsidRPr="00677ABE">
        <w:rPr>
          <w:rStyle w:val="FootnoteReference"/>
          <w:rFonts w:cs="Times New Roman"/>
        </w:rPr>
        <w:footnoteReference w:id="913"/>
      </w:r>
      <w:r w:rsidRPr="00677ABE">
        <w:rPr>
          <w:rFonts w:cs="Times New Roman"/>
        </w:rPr>
        <w:t xml:space="preserve"> The court found persuasive that “[p]rior to the formation of the Federal Circuit, regional circuits uniformly placed the burden to show proper venue in patent cases on the Plaintiff following a motion by the Defendant challenging venue.”</w:t>
      </w:r>
      <w:r w:rsidRPr="00677ABE">
        <w:rPr>
          <w:rStyle w:val="FootnoteReference"/>
          <w:rFonts w:cs="Times New Roman"/>
        </w:rPr>
        <w:footnoteReference w:id="914"/>
      </w:r>
      <w:r w:rsidRPr="00677ABE">
        <w:rPr>
          <w:rFonts w:cs="Times New Roman"/>
        </w:rPr>
        <w:t xml:space="preserve"> The court also reasoned that “[s]ection 1400(b)’s intentional narrowness supports placing the burden of establishing proper venue on the Plaintiff.”</w:t>
      </w:r>
      <w:r w:rsidRPr="00677ABE">
        <w:rPr>
          <w:rStyle w:val="FootnoteReference"/>
          <w:rFonts w:cs="Times New Roman"/>
        </w:rPr>
        <w:footnoteReference w:id="915"/>
      </w:r>
      <w:r w:rsidRPr="00677ABE">
        <w:rPr>
          <w:rFonts w:cs="Times New Roman"/>
        </w:rPr>
        <w:t xml:space="preserve"> Thus, placing the burden on the plaintiff “best aligns with the weight of historical authority among the circuits and best furthers public policy.”</w:t>
      </w:r>
      <w:r w:rsidRPr="00677ABE">
        <w:rPr>
          <w:rStyle w:val="FootnoteReference"/>
          <w:rFonts w:cs="Times New Roman"/>
        </w:rPr>
        <w:footnoteReference w:id="916"/>
      </w:r>
    </w:p>
    <w:p w14:paraId="602FF1C9" w14:textId="77777777" w:rsidR="000D3CB7" w:rsidRPr="00677ABE" w:rsidRDefault="000D3CB7" w:rsidP="000D3CB7">
      <w:pPr>
        <w:pStyle w:val="Heading3"/>
        <w:ind w:firstLine="0"/>
        <w:rPr>
          <w:rFonts w:cs="Times New Roman"/>
          <w:i w:val="0"/>
        </w:rPr>
      </w:pPr>
      <w:bookmarkStart w:id="187" w:name="_Toc516586603"/>
      <w:bookmarkStart w:id="188" w:name="_Toc531692807"/>
      <w:r w:rsidRPr="00677ABE">
        <w:rPr>
          <w:rFonts w:cs="Times New Roman"/>
        </w:rPr>
        <w:t>In re HTC Corp.</w:t>
      </w:r>
      <w:r w:rsidRPr="00677ABE">
        <w:rPr>
          <w:rFonts w:cs="Times New Roman"/>
          <w:i w:val="0"/>
        </w:rPr>
        <w:t>, No. 2018-130, 2018 WL 2123357 (Fed. Cir. May 9, 2018)</w:t>
      </w:r>
      <w:bookmarkEnd w:id="187"/>
      <w:bookmarkEnd w:id="188"/>
    </w:p>
    <w:p w14:paraId="2A5B9705" w14:textId="77777777" w:rsidR="000D3CB7" w:rsidRPr="00677ABE" w:rsidRDefault="000D3CB7" w:rsidP="000D3CB7">
      <w:pPr>
        <w:rPr>
          <w:rFonts w:cs="Times New Roman"/>
          <w:lang w:eastAsia="x-none"/>
        </w:rPr>
      </w:pPr>
      <w:r w:rsidRPr="00677ABE">
        <w:rPr>
          <w:rFonts w:cs="Times New Roman"/>
          <w:lang w:eastAsia="x-none"/>
        </w:rPr>
        <w:tab/>
      </w:r>
      <w:r w:rsidRPr="00677ABE">
        <w:rPr>
          <w:rFonts w:cs="Times New Roman"/>
        </w:rPr>
        <w:t>The Federal Circuit denied HTC’s petition for writ of mandamus seeking dismissal from the District of Delaware for improper venue.</w:t>
      </w:r>
      <w:r w:rsidRPr="00677ABE">
        <w:rPr>
          <w:rStyle w:val="FootnoteReference"/>
          <w:rFonts w:cs="Times New Roman"/>
        </w:rPr>
        <w:footnoteReference w:id="917"/>
      </w:r>
      <w:r w:rsidRPr="00677ABE">
        <w:rPr>
          <w:rFonts w:cs="Times New Roman"/>
        </w:rPr>
        <w:t xml:space="preserve"> </w:t>
      </w:r>
      <w:r w:rsidRPr="00677ABE">
        <w:rPr>
          <w:rFonts w:cs="Times New Roman"/>
          <w:lang w:eastAsia="x-none"/>
        </w:rPr>
        <w:t>First, the Federal Circuit explained that “[g]iven the availability of adequate relief on appeal, mandamus review of improper-venue decisions is generally inappropriate.”</w:t>
      </w:r>
      <w:r w:rsidRPr="00677ABE">
        <w:rPr>
          <w:rStyle w:val="FootnoteReference"/>
          <w:rFonts w:cs="Times New Roman"/>
          <w:lang w:eastAsia="x-none"/>
        </w:rPr>
        <w:footnoteReference w:id="918"/>
      </w:r>
      <w:r w:rsidRPr="00677ABE">
        <w:rPr>
          <w:rFonts w:cs="Times New Roman"/>
          <w:lang w:eastAsia="x-none"/>
        </w:rPr>
        <w:t xml:space="preserve"> HTC can assert improper venue on appeal to try to get the judgment vacated, and there was no reason to think that this remedy would be inadequate in this case.</w:t>
      </w:r>
      <w:r w:rsidRPr="00677ABE">
        <w:rPr>
          <w:rStyle w:val="FootnoteReference"/>
          <w:rFonts w:cs="Times New Roman"/>
          <w:lang w:eastAsia="x-none"/>
        </w:rPr>
        <w:footnoteReference w:id="919"/>
      </w:r>
      <w:r w:rsidRPr="00677ABE">
        <w:rPr>
          <w:rFonts w:cs="Times New Roman"/>
          <w:lang w:eastAsia="x-none"/>
        </w:rPr>
        <w:t xml:space="preserve"> </w:t>
      </w:r>
    </w:p>
    <w:p w14:paraId="16BD5CFB" w14:textId="77777777" w:rsidR="000D3CB7" w:rsidRPr="00677ABE" w:rsidRDefault="000D3CB7" w:rsidP="000D3CB7">
      <w:pPr>
        <w:rPr>
          <w:rFonts w:cs="Times New Roman"/>
        </w:rPr>
      </w:pPr>
      <w:r w:rsidRPr="00677ABE">
        <w:rPr>
          <w:rFonts w:cs="Times New Roman"/>
          <w:lang w:eastAsia="x-none"/>
        </w:rPr>
        <w:tab/>
        <w:t>In addition, HTC could not show that it had a clear and indisputable right to issuance of the writ.</w:t>
      </w:r>
      <w:r w:rsidRPr="00677ABE">
        <w:rPr>
          <w:rStyle w:val="FootnoteReference"/>
          <w:rFonts w:cs="Times New Roman"/>
          <w:lang w:eastAsia="x-none"/>
        </w:rPr>
        <w:footnoteReference w:id="920"/>
      </w:r>
      <w:r w:rsidRPr="00677ABE">
        <w:rPr>
          <w:rFonts w:cs="Times New Roman"/>
          <w:lang w:eastAsia="x-none"/>
        </w:rPr>
        <w:t xml:space="preserve"> </w:t>
      </w:r>
      <w:r w:rsidRPr="00677ABE">
        <w:rPr>
          <w:rFonts w:cs="Times New Roman"/>
        </w:rPr>
        <w:t xml:space="preserve">HTC, an alien defendant, argued that the district court erred first by applying </w:t>
      </w:r>
      <w:r>
        <w:rPr>
          <w:rFonts w:cs="Times New Roman"/>
        </w:rPr>
        <w:t>§ </w:t>
      </w:r>
      <w:r w:rsidRPr="00677ABE">
        <w:rPr>
          <w:rFonts w:cs="Times New Roman"/>
        </w:rPr>
        <w:t xml:space="preserve">1391(c)(3) in a patent case rather than only </w:t>
      </w:r>
      <w:r>
        <w:rPr>
          <w:rFonts w:cs="Times New Roman"/>
        </w:rPr>
        <w:t>§ </w:t>
      </w:r>
      <w:r w:rsidRPr="00677ABE">
        <w:rPr>
          <w:rFonts w:cs="Times New Roman"/>
        </w:rPr>
        <w:t xml:space="preserve">1400(b), and second by failing to reinterpret </w:t>
      </w:r>
      <w:r>
        <w:rPr>
          <w:rFonts w:cs="Times New Roman"/>
        </w:rPr>
        <w:t>§ </w:t>
      </w:r>
      <w:r w:rsidRPr="00677ABE">
        <w:rPr>
          <w:rFonts w:cs="Times New Roman"/>
        </w:rPr>
        <w:t>1391(c)(3) in view of its 2011 amendment.</w:t>
      </w:r>
      <w:r w:rsidRPr="00677ABE">
        <w:rPr>
          <w:rStyle w:val="FootnoteReference"/>
          <w:rFonts w:cs="Times New Roman"/>
        </w:rPr>
        <w:footnoteReference w:id="921"/>
      </w:r>
      <w:r w:rsidRPr="00677ABE">
        <w:rPr>
          <w:rFonts w:cs="Times New Roman"/>
        </w:rPr>
        <w:t xml:space="preserve"> The Federal Circuit disagreed.</w:t>
      </w:r>
      <w:r w:rsidRPr="00677ABE">
        <w:rPr>
          <w:rStyle w:val="FootnoteReference"/>
          <w:rFonts w:cs="Times New Roman"/>
        </w:rPr>
        <w:footnoteReference w:id="922"/>
      </w:r>
      <w:r w:rsidRPr="00677ABE">
        <w:rPr>
          <w:rFonts w:cs="Times New Roman"/>
        </w:rPr>
        <w:t xml:space="preserve"> The court noted that there is a “centuries-old understanding that the venue laws (as opposed to requirements of personal jurisdiction) do not restrict the location of suits against alien defendants, unless Congress has specifically provided otherwise.”</w:t>
      </w:r>
      <w:r w:rsidRPr="00677ABE">
        <w:rPr>
          <w:rStyle w:val="FootnoteReference"/>
          <w:rFonts w:cs="Times New Roman"/>
        </w:rPr>
        <w:footnoteReference w:id="923"/>
      </w:r>
      <w:r w:rsidRPr="00677ABE">
        <w:rPr>
          <w:rFonts w:cs="Times New Roman"/>
        </w:rPr>
        <w:t xml:space="preserve"> The Supreme Court in </w:t>
      </w:r>
      <w:r w:rsidRPr="00677ABE">
        <w:rPr>
          <w:rFonts w:cs="Times New Roman"/>
          <w:i/>
        </w:rPr>
        <w:t>Brunette Machine Works, Ltd. v. Kockum Industries, Inc.</w:t>
      </w:r>
      <w:r w:rsidRPr="00677ABE">
        <w:rPr>
          <w:rFonts w:cs="Times New Roman"/>
        </w:rPr>
        <w:t xml:space="preserve"> made clear that </w:t>
      </w:r>
      <w:r>
        <w:rPr>
          <w:rFonts w:cs="Times New Roman"/>
        </w:rPr>
        <w:t>§ </w:t>
      </w:r>
      <w:r w:rsidRPr="00677ABE">
        <w:rPr>
          <w:rFonts w:cs="Times New Roman"/>
        </w:rPr>
        <w:t>1400(b) was not intended to apply to alien defendants.</w:t>
      </w:r>
      <w:r w:rsidRPr="00677ABE">
        <w:rPr>
          <w:rStyle w:val="FootnoteReference"/>
          <w:rFonts w:cs="Times New Roman"/>
        </w:rPr>
        <w:footnoteReference w:id="924"/>
      </w:r>
      <w:r w:rsidRPr="00677ABE">
        <w:rPr>
          <w:rFonts w:cs="Times New Roman"/>
        </w:rPr>
        <w:t xml:space="preserve"> The 2011 amendments to </w:t>
      </w:r>
      <w:r>
        <w:rPr>
          <w:rFonts w:cs="Times New Roman"/>
        </w:rPr>
        <w:t>§ </w:t>
      </w:r>
      <w:r w:rsidRPr="00677ABE">
        <w:rPr>
          <w:rFonts w:cs="Times New Roman"/>
        </w:rPr>
        <w:t>1391 did not change this long-standing fact.</w:t>
      </w:r>
      <w:r w:rsidRPr="00677ABE">
        <w:rPr>
          <w:rStyle w:val="FootnoteReference"/>
          <w:rFonts w:cs="Times New Roman"/>
        </w:rPr>
        <w:footnoteReference w:id="925"/>
      </w:r>
      <w:r w:rsidRPr="00677ABE">
        <w:rPr>
          <w:rFonts w:cs="Times New Roman"/>
        </w:rPr>
        <w:t xml:space="preserve"> </w:t>
      </w:r>
    </w:p>
    <w:p w14:paraId="79A4CB91" w14:textId="77777777" w:rsidR="000D3CB7" w:rsidRDefault="000D3CB7" w:rsidP="000D3CB7">
      <w:pPr>
        <w:ind w:firstLine="720"/>
        <w:rPr>
          <w:rFonts w:cs="Times New Roman"/>
        </w:rPr>
      </w:pPr>
      <w:r w:rsidRPr="00677ABE">
        <w:rPr>
          <w:rFonts w:cs="Times New Roman"/>
        </w:rPr>
        <w:t xml:space="preserve">HTC’s argument that </w:t>
      </w:r>
      <w:r>
        <w:rPr>
          <w:rFonts w:cs="Times New Roman"/>
        </w:rPr>
        <w:t>§ </w:t>
      </w:r>
      <w:r w:rsidRPr="00677ABE">
        <w:rPr>
          <w:rFonts w:cs="Times New Roman"/>
        </w:rPr>
        <w:t>1400(b) applies “would make some foreign corporations that infringe a U.S. patent unamenable to domestic suit even though personal jurisdiction exists—a gap we cannot conclude Congress created.”</w:t>
      </w:r>
      <w:r w:rsidRPr="00677ABE">
        <w:rPr>
          <w:rStyle w:val="FootnoteReference"/>
          <w:rFonts w:cs="Times New Roman"/>
        </w:rPr>
        <w:footnoteReference w:id="926"/>
      </w:r>
      <w:r w:rsidRPr="00677ABE">
        <w:rPr>
          <w:rFonts w:cs="Times New Roman"/>
        </w:rPr>
        <w:t xml:space="preserve"> Moreover, finding that the 2011 amendments “discarded the alien-venue rule would extend far beyond patent law and would impact other types of civil cases. Given that this would be a sea change in federal venue law, we expect Congress would make its intent clear, if indeed this was its intent.”</w:t>
      </w:r>
      <w:r w:rsidRPr="00677ABE">
        <w:rPr>
          <w:rStyle w:val="FootnoteReference"/>
          <w:rFonts w:cs="Times New Roman"/>
        </w:rPr>
        <w:footnoteReference w:id="927"/>
      </w:r>
    </w:p>
    <w:p w14:paraId="6C902CF1" w14:textId="77777777" w:rsidR="00F20B84" w:rsidRDefault="007D0629" w:rsidP="00CA2C0A">
      <w:pPr>
        <w:pStyle w:val="Heading2"/>
        <w:rPr>
          <w:rFonts w:cs="Times New Roman"/>
          <w:szCs w:val="24"/>
        </w:rPr>
      </w:pPr>
      <w:bookmarkStart w:id="189" w:name="_Toc531692808"/>
      <w:r w:rsidRPr="00677ABE">
        <w:rPr>
          <w:rFonts w:cs="Times New Roman"/>
          <w:szCs w:val="24"/>
        </w:rPr>
        <w:t>Privilege</w:t>
      </w:r>
      <w:bookmarkEnd w:id="189"/>
    </w:p>
    <w:p w14:paraId="6E08F8A3" w14:textId="687506BB" w:rsidR="003B0A16" w:rsidRPr="00677ABE" w:rsidRDefault="003B0A16" w:rsidP="00CA2C0A">
      <w:pPr>
        <w:pStyle w:val="Heading3"/>
        <w:ind w:firstLine="0"/>
        <w:rPr>
          <w:rFonts w:cs="Times New Roman"/>
          <w:i w:val="0"/>
        </w:rPr>
      </w:pPr>
      <w:bookmarkStart w:id="190" w:name="_Toc516586606"/>
      <w:bookmarkStart w:id="191" w:name="_Toc531692809"/>
      <w:r w:rsidRPr="00677ABE">
        <w:rPr>
          <w:rFonts w:cs="Times New Roman"/>
        </w:rPr>
        <w:t>In re Silver</w:t>
      </w:r>
      <w:r w:rsidRPr="00677ABE">
        <w:rPr>
          <w:rFonts w:cs="Times New Roman"/>
          <w:i w:val="0"/>
        </w:rPr>
        <w:t>, 540 S.W.3d 530 (Tex. Sup. Ct. Feb. 13, 2018)</w:t>
      </w:r>
      <w:bookmarkEnd w:id="190"/>
      <w:bookmarkEnd w:id="191"/>
    </w:p>
    <w:p w14:paraId="693788C9" w14:textId="77777777" w:rsidR="003B0A16" w:rsidRPr="00677ABE" w:rsidRDefault="003B0A16" w:rsidP="00CA2C0A">
      <w:pPr>
        <w:rPr>
          <w:rFonts w:cs="Times New Roman"/>
          <w:lang w:eastAsia="x-none"/>
        </w:rPr>
      </w:pPr>
      <w:r w:rsidRPr="00677ABE">
        <w:rPr>
          <w:rFonts w:cs="Times New Roman"/>
          <w:lang w:eastAsia="x-none"/>
        </w:rPr>
        <w:tab/>
        <w:t>The Texas Supreme Court granted Silver’s petition for mandamus relief, determining that “a client’s communications with his registered patent agent, made to facilitate the agent’s provision of authorized legal services to the client, are privileged under Rule 503,” Texas’s lawyer-client privilege rule modeled after the Federal Rules of Evidence.</w:t>
      </w:r>
      <w:r w:rsidRPr="00677ABE">
        <w:rPr>
          <w:rStyle w:val="FootnoteReference"/>
          <w:rFonts w:cs="Times New Roman"/>
          <w:lang w:eastAsia="x-none"/>
        </w:rPr>
        <w:footnoteReference w:id="928"/>
      </w:r>
    </w:p>
    <w:p w14:paraId="128785BA" w14:textId="77777777" w:rsidR="003B0A16" w:rsidRPr="00677ABE" w:rsidRDefault="003B0A16" w:rsidP="00CA2C0A">
      <w:pPr>
        <w:rPr>
          <w:rFonts w:cs="Times New Roman"/>
          <w:lang w:eastAsia="x-none"/>
        </w:rPr>
      </w:pPr>
      <w:r w:rsidRPr="00677ABE">
        <w:rPr>
          <w:rFonts w:cs="Times New Roman"/>
          <w:lang w:eastAsia="x-none"/>
        </w:rPr>
        <w:tab/>
        <w:t>Under Texas’s Rule of Evidence 503, a “lawyer” is “a person authorized, or who the client reasonably believes is authorized, to practice law in any state or nation.”</w:t>
      </w:r>
      <w:r w:rsidRPr="00677ABE">
        <w:rPr>
          <w:rStyle w:val="FootnoteReference"/>
          <w:rFonts w:cs="Times New Roman"/>
          <w:lang w:eastAsia="x-none"/>
        </w:rPr>
        <w:footnoteReference w:id="929"/>
      </w:r>
      <w:r w:rsidRPr="00677ABE">
        <w:rPr>
          <w:rFonts w:cs="Times New Roman"/>
          <w:lang w:eastAsia="x-none"/>
        </w:rPr>
        <w:t xml:space="preserve"> The USPTO permits patent agents to prepare patent applications, which constitutes the practice of law according to Black’s Law Dictionary because patent are </w:t>
      </w:r>
      <w:r w:rsidRPr="00677ABE">
        <w:rPr>
          <w:rFonts w:cs="Times New Roman"/>
        </w:rPr>
        <w:t>“paper[s] necessary to bring about a transaction—and a highly involved one at that.”</w:t>
      </w:r>
      <w:r w:rsidRPr="00677ABE">
        <w:rPr>
          <w:rStyle w:val="FootnoteReference"/>
          <w:rFonts w:cs="Times New Roman"/>
        </w:rPr>
        <w:footnoteReference w:id="930"/>
      </w:r>
      <w:r w:rsidRPr="00677ABE">
        <w:rPr>
          <w:rFonts w:cs="Times New Roman"/>
        </w:rPr>
        <w:t xml:space="preserve"> The USPTO also expressly permits patent agents to represent clients, “which is the equivalent of conducting a case in court in the administrative context.”</w:t>
      </w:r>
      <w:r w:rsidRPr="00677ABE">
        <w:rPr>
          <w:rStyle w:val="FootnoteReference"/>
          <w:rFonts w:cs="Times New Roman"/>
        </w:rPr>
        <w:footnoteReference w:id="931"/>
      </w:r>
      <w:r w:rsidRPr="00677ABE">
        <w:rPr>
          <w:rFonts w:cs="Times New Roman"/>
        </w:rPr>
        <w:t xml:space="preserve"> Furthermore, “practice before the Patent and Trademark Office entails giving advice to clients, including ‘the advisability of relying upon alternative forms of protection which may be available under state law.’”</w:t>
      </w:r>
      <w:r w:rsidRPr="00677ABE">
        <w:rPr>
          <w:rStyle w:val="FootnoteReference"/>
          <w:rFonts w:cs="Times New Roman"/>
        </w:rPr>
        <w:footnoteReference w:id="932"/>
      </w:r>
      <w:r w:rsidRPr="00677ABE">
        <w:rPr>
          <w:rFonts w:cs="Times New Roman"/>
        </w:rPr>
        <w:t xml:space="preserve"> In short, “[p]atent agents participate in many activities that make up the practice of law” and therefore attorney-client privilege extends to communications with patent agents.</w:t>
      </w:r>
      <w:r w:rsidRPr="00677ABE">
        <w:rPr>
          <w:rStyle w:val="FootnoteReference"/>
          <w:rFonts w:cs="Times New Roman"/>
        </w:rPr>
        <w:footnoteReference w:id="933"/>
      </w:r>
      <w:r w:rsidRPr="00677ABE">
        <w:rPr>
          <w:rFonts w:cs="Times New Roman"/>
          <w:lang w:eastAsia="x-none"/>
        </w:rPr>
        <w:t xml:space="preserve"> The Texas Supreme Court found unpersuasive Tabletop’s argument that attorney-client privilege only applies to attorneys who are </w:t>
      </w:r>
      <w:r w:rsidRPr="00677ABE">
        <w:rPr>
          <w:rFonts w:cs="Times New Roman"/>
          <w:i/>
          <w:lang w:eastAsia="x-none"/>
        </w:rPr>
        <w:t>licensed</w:t>
      </w:r>
      <w:r w:rsidRPr="00677ABE">
        <w:rPr>
          <w:rFonts w:cs="Times New Roman"/>
          <w:lang w:eastAsia="x-none"/>
        </w:rPr>
        <w:t xml:space="preserve"> to practice law, because patent agents are properly “authorized” to practice law before the USPTO, and that authorization is all Rule 503 requires.</w:t>
      </w:r>
      <w:r w:rsidRPr="00677ABE">
        <w:rPr>
          <w:rStyle w:val="FootnoteReference"/>
          <w:rFonts w:cs="Times New Roman"/>
          <w:lang w:eastAsia="x-none"/>
        </w:rPr>
        <w:footnoteReference w:id="934"/>
      </w:r>
    </w:p>
    <w:p w14:paraId="7421E9F6" w14:textId="77777777" w:rsidR="003B0A16" w:rsidRPr="00677ABE" w:rsidRDefault="003B0A16" w:rsidP="00CA2C0A">
      <w:pPr>
        <w:rPr>
          <w:rFonts w:cs="Times New Roman"/>
          <w:lang w:eastAsia="x-none"/>
        </w:rPr>
      </w:pPr>
      <w:r w:rsidRPr="00677ABE">
        <w:rPr>
          <w:rFonts w:cs="Times New Roman"/>
          <w:lang w:eastAsia="x-none"/>
        </w:rPr>
        <w:tab/>
        <w:t xml:space="preserve">The Texas Supreme Court also found two cases persuasive: first, </w:t>
      </w:r>
      <w:r w:rsidRPr="00677ABE">
        <w:rPr>
          <w:rFonts w:cs="Times New Roman"/>
          <w:i/>
          <w:lang w:eastAsia="x-none"/>
        </w:rPr>
        <w:t>In re Queen’s University at Kingston</w:t>
      </w:r>
      <w:r w:rsidRPr="00677ABE">
        <w:rPr>
          <w:rFonts w:cs="Times New Roman"/>
          <w:lang w:eastAsia="x-none"/>
        </w:rPr>
        <w:t>,</w:t>
      </w:r>
      <w:r w:rsidRPr="00677ABE">
        <w:rPr>
          <w:rStyle w:val="FootnoteReference"/>
          <w:rFonts w:cs="Times New Roman"/>
          <w:lang w:eastAsia="x-none"/>
        </w:rPr>
        <w:footnoteReference w:id="935"/>
      </w:r>
      <w:r w:rsidRPr="00677ABE">
        <w:rPr>
          <w:rFonts w:cs="Times New Roman"/>
          <w:lang w:eastAsia="x-none"/>
        </w:rPr>
        <w:t xml:space="preserve"> where the Federal Circuit extended the attorney-client privilege to communication with patent agents;</w:t>
      </w:r>
      <w:r w:rsidRPr="00677ABE">
        <w:rPr>
          <w:rStyle w:val="FootnoteReference"/>
          <w:rFonts w:cs="Times New Roman"/>
          <w:lang w:eastAsia="x-none"/>
        </w:rPr>
        <w:footnoteReference w:id="936"/>
      </w:r>
      <w:r w:rsidRPr="00677ABE">
        <w:rPr>
          <w:rFonts w:cs="Times New Roman"/>
          <w:lang w:eastAsia="x-none"/>
        </w:rPr>
        <w:t xml:space="preserve"> and second </w:t>
      </w:r>
      <w:r w:rsidRPr="00677ABE">
        <w:rPr>
          <w:rFonts w:cs="Times New Roman"/>
          <w:i/>
          <w:lang w:eastAsia="x-none"/>
        </w:rPr>
        <w:t>Sperry v. State of Florida ex rel. Florida Bar</w:t>
      </w:r>
      <w:r w:rsidRPr="00677ABE">
        <w:rPr>
          <w:rFonts w:cs="Times New Roman"/>
          <w:lang w:eastAsia="x-none"/>
        </w:rPr>
        <w:t>,</w:t>
      </w:r>
      <w:r w:rsidRPr="00677ABE">
        <w:rPr>
          <w:rStyle w:val="FootnoteReference"/>
          <w:rFonts w:cs="Times New Roman"/>
          <w:lang w:eastAsia="x-none"/>
        </w:rPr>
        <w:footnoteReference w:id="937"/>
      </w:r>
      <w:r w:rsidRPr="00677ABE">
        <w:rPr>
          <w:rFonts w:cs="Times New Roman"/>
          <w:lang w:eastAsia="x-none"/>
        </w:rPr>
        <w:t xml:space="preserve"> where the Supreme Court remarked that “patent agents are not simply engaging in law-like activity, they are engaging in the practice of law itself.”</w:t>
      </w:r>
      <w:r w:rsidRPr="00677ABE">
        <w:rPr>
          <w:rStyle w:val="FootnoteReference"/>
          <w:rFonts w:cs="Times New Roman"/>
          <w:lang w:eastAsia="x-none"/>
        </w:rPr>
        <w:footnoteReference w:id="938"/>
      </w:r>
    </w:p>
    <w:p w14:paraId="7A3D0DD3" w14:textId="541987D0" w:rsidR="00FF054A" w:rsidRPr="00677ABE" w:rsidRDefault="003B0A16" w:rsidP="00CA2C0A">
      <w:pPr>
        <w:rPr>
          <w:rFonts w:cs="Times New Roman"/>
          <w:b/>
        </w:rPr>
      </w:pPr>
      <w:r w:rsidRPr="00677ABE">
        <w:rPr>
          <w:rFonts w:cs="Times New Roman"/>
        </w:rPr>
        <w:br w:type="page"/>
      </w:r>
    </w:p>
    <w:p w14:paraId="45F86A24" w14:textId="77777777" w:rsidR="00F20B84" w:rsidRDefault="007D0629" w:rsidP="00CA2C0A">
      <w:pPr>
        <w:pStyle w:val="Heading1"/>
        <w:rPr>
          <w:rFonts w:cs="Times New Roman"/>
          <w:szCs w:val="24"/>
        </w:rPr>
      </w:pPr>
      <w:bookmarkStart w:id="192" w:name="_Toc531692810"/>
      <w:r w:rsidRPr="00677ABE">
        <w:rPr>
          <w:rFonts w:cs="Times New Roman"/>
          <w:szCs w:val="24"/>
        </w:rPr>
        <w:t>PLEADING</w:t>
      </w:r>
      <w:bookmarkEnd w:id="192"/>
    </w:p>
    <w:p w14:paraId="0F7D69A3" w14:textId="77777777" w:rsidR="00F20B84" w:rsidRDefault="00CF21BC" w:rsidP="00CA2C0A">
      <w:pPr>
        <w:pStyle w:val="Heading2"/>
      </w:pPr>
      <w:bookmarkStart w:id="193" w:name="_Toc531692811"/>
      <w:r w:rsidRPr="00677ABE">
        <w:t>Declaratory Judgment Standing</w:t>
      </w:r>
      <w:bookmarkEnd w:id="193"/>
    </w:p>
    <w:p w14:paraId="216A31F4" w14:textId="660CAE09" w:rsidR="00CF21BC" w:rsidRPr="00677ABE" w:rsidRDefault="00CF21BC" w:rsidP="00CA2C0A">
      <w:pPr>
        <w:pStyle w:val="Heading3"/>
        <w:ind w:firstLine="0"/>
        <w:rPr>
          <w:rFonts w:cs="Times New Roman"/>
          <w:i w:val="0"/>
        </w:rPr>
      </w:pPr>
      <w:bookmarkStart w:id="194" w:name="_Toc516586608"/>
      <w:bookmarkStart w:id="195" w:name="_Toc531692812"/>
      <w:r w:rsidRPr="00677ABE">
        <w:rPr>
          <w:rFonts w:cs="Times New Roman"/>
        </w:rPr>
        <w:t>AIDS Healthcare Foundation, Inc. v. Gilead Sciences, Inc.</w:t>
      </w:r>
      <w:r w:rsidRPr="00677ABE">
        <w:rPr>
          <w:rFonts w:cs="Times New Roman"/>
          <w:i w:val="0"/>
        </w:rPr>
        <w:t>, No. 2016-2425, 2018 WL 2168658 (Fed. Cir. May 11, 2018)</w:t>
      </w:r>
      <w:bookmarkEnd w:id="194"/>
      <w:bookmarkEnd w:id="195"/>
    </w:p>
    <w:p w14:paraId="020B1AC9" w14:textId="540DF585" w:rsidR="00CF21BC" w:rsidRPr="00677ABE" w:rsidRDefault="00CF21BC" w:rsidP="00CA2C0A">
      <w:pPr>
        <w:rPr>
          <w:rFonts w:cs="Times New Roman"/>
        </w:rPr>
      </w:pPr>
      <w:r w:rsidRPr="00677ABE">
        <w:rPr>
          <w:rFonts w:cs="Times New Roman"/>
          <w:lang w:eastAsia="x-none"/>
        </w:rPr>
        <w:tab/>
      </w:r>
      <w:r w:rsidRPr="00677ABE">
        <w:rPr>
          <w:rFonts w:cs="Times New Roman"/>
        </w:rPr>
        <w:t>In this appeal from the District of California, the Federal Circuit affirmed the district court’s determination that this action did not meet the requirements of the Declaratory Judgment Act.</w:t>
      </w:r>
      <w:r w:rsidRPr="00677ABE">
        <w:rPr>
          <w:rStyle w:val="FootnoteReference"/>
          <w:rFonts w:cs="Times New Roman"/>
        </w:rPr>
        <w:footnoteReference w:id="939"/>
      </w:r>
      <w:r w:rsidRPr="00677ABE">
        <w:rPr>
          <w:rFonts w:cs="Times New Roman"/>
        </w:rPr>
        <w:t xml:space="preserve"> Defendants in the case sell several patented and FDA-approved TAF-containing drug products used to treat AIDS.</w:t>
      </w:r>
      <w:r w:rsidRPr="00677ABE">
        <w:rPr>
          <w:rStyle w:val="FootnoteReference"/>
          <w:rFonts w:cs="Times New Roman"/>
        </w:rPr>
        <w:footnoteReference w:id="940"/>
      </w:r>
      <w:r w:rsidRPr="00677ABE">
        <w:rPr>
          <w:rFonts w:cs="Times New Roman"/>
        </w:rPr>
        <w:t xml:space="preserve"> Plaintiff Healthcare provides medical care to persons with AIDS, which includes providing TAF-containing drugs bought from Defendants.</w:t>
      </w:r>
      <w:r w:rsidRPr="00677ABE">
        <w:rPr>
          <w:rStyle w:val="FootnoteReference"/>
          <w:rFonts w:cs="Times New Roman"/>
        </w:rPr>
        <w:footnoteReference w:id="941"/>
      </w:r>
      <w:r w:rsidRPr="00677ABE">
        <w:rPr>
          <w:rFonts w:cs="Times New Roman"/>
        </w:rPr>
        <w:t xml:space="preserve"> Healthcare brought this declaratory judgment action to “clear out the invalid patents” so that it could then purchase the drug products from generic makers upon expiration of the five-year New Chemical Entity exclusivity set forth in 21 U.S.C. </w:t>
      </w:r>
      <w:r w:rsidR="00AC00E6">
        <w:rPr>
          <w:rFonts w:cs="Times New Roman"/>
        </w:rPr>
        <w:t>§ </w:t>
      </w:r>
      <w:r w:rsidRPr="00677ABE">
        <w:rPr>
          <w:rFonts w:cs="Times New Roman"/>
        </w:rPr>
        <w:t>355(j)(5)(F)(ii).</w:t>
      </w:r>
      <w:r w:rsidRPr="00677ABE">
        <w:rPr>
          <w:rStyle w:val="FootnoteReference"/>
          <w:rFonts w:cs="Times New Roman"/>
        </w:rPr>
        <w:footnoteReference w:id="942"/>
      </w:r>
    </w:p>
    <w:p w14:paraId="7F0F4CE2" w14:textId="77777777" w:rsidR="00CF21BC" w:rsidRPr="00677ABE" w:rsidRDefault="00CF21BC" w:rsidP="00CA2C0A">
      <w:pPr>
        <w:rPr>
          <w:rFonts w:cs="Times New Roman"/>
        </w:rPr>
      </w:pPr>
      <w:r w:rsidRPr="00677ABE">
        <w:rPr>
          <w:rFonts w:cs="Times New Roman"/>
          <w:lang w:eastAsia="x-none"/>
        </w:rPr>
        <w:tab/>
        <w:t>The Federal Circuit affirmed the district court’s determination that Healthcare did not establish a case of actual controversy as defined by the Constitution and the Declaratory Judgment Act.</w:t>
      </w:r>
      <w:r w:rsidRPr="00677ABE">
        <w:rPr>
          <w:rStyle w:val="FootnoteReference"/>
          <w:rFonts w:cs="Times New Roman"/>
          <w:lang w:eastAsia="x-none"/>
        </w:rPr>
        <w:footnoteReference w:id="943"/>
      </w:r>
      <w:r w:rsidRPr="00677ABE">
        <w:rPr>
          <w:rFonts w:cs="Times New Roman"/>
          <w:lang w:eastAsia="x-none"/>
        </w:rPr>
        <w:t xml:space="preserve"> </w:t>
      </w:r>
      <w:r w:rsidRPr="00677ABE">
        <w:rPr>
          <w:rFonts w:cs="Times New Roman"/>
        </w:rPr>
        <w:t>The Federal Circuit began by noting that the mere “existence of a patent, without more, does not create a case of actual controversy.”</w:t>
      </w:r>
      <w:r w:rsidRPr="00677ABE">
        <w:rPr>
          <w:rStyle w:val="FootnoteReference"/>
          <w:rFonts w:cs="Times New Roman"/>
        </w:rPr>
        <w:footnoteReference w:id="944"/>
      </w:r>
      <w:r w:rsidRPr="00677ABE">
        <w:rPr>
          <w:rFonts w:cs="Times New Roman"/>
        </w:rPr>
        <w:t xml:space="preserve"> The Federal Circuit then explained that the requirement of “immediacy and reality” was not met in this case.</w:t>
      </w:r>
      <w:r w:rsidRPr="00677ABE">
        <w:rPr>
          <w:rStyle w:val="FootnoteReference"/>
          <w:rFonts w:cs="Times New Roman"/>
        </w:rPr>
        <w:footnoteReference w:id="945"/>
      </w:r>
      <w:r w:rsidRPr="00677ABE">
        <w:rPr>
          <w:rFonts w:cs="Times New Roman"/>
        </w:rPr>
        <w:t xml:space="preserve"> Healthcare argued that because patent litigation takes so long, it had to start litigation long before the five-year exclusivity period ran out so that generic companies could immediately enter the market once this five-year period ran out.</w:t>
      </w:r>
      <w:r w:rsidRPr="00677ABE">
        <w:rPr>
          <w:rStyle w:val="FootnoteReference"/>
          <w:rFonts w:cs="Times New Roman"/>
        </w:rPr>
        <w:footnoteReference w:id="946"/>
      </w:r>
      <w:r w:rsidRPr="00677ABE">
        <w:rPr>
          <w:rFonts w:cs="Times New Roman"/>
        </w:rPr>
        <w:t xml:space="preserve"> But “the time consumed by litigation of a speculative future controversy does not provide the ‘immediacy and reality’ required for declaratory judgment actions.”</w:t>
      </w:r>
      <w:r w:rsidRPr="00677ABE">
        <w:rPr>
          <w:rStyle w:val="FootnoteReference"/>
          <w:rFonts w:cs="Times New Roman"/>
        </w:rPr>
        <w:footnoteReference w:id="947"/>
      </w:r>
      <w:r w:rsidRPr="00677ABE">
        <w:rPr>
          <w:rFonts w:cs="Times New Roman"/>
        </w:rPr>
        <w:t xml:space="preserve"> Here, because there was no infringement, no threat of infringement litigation, and “no meaningful preparation to infringe,” the requirement of “immediacy and reality” was not met.</w:t>
      </w:r>
      <w:r w:rsidRPr="00677ABE">
        <w:rPr>
          <w:rStyle w:val="FootnoteReference"/>
          <w:rFonts w:cs="Times New Roman"/>
        </w:rPr>
        <w:footnoteReference w:id="948"/>
      </w:r>
      <w:r w:rsidRPr="00677ABE">
        <w:rPr>
          <w:rFonts w:cs="Times New Roman"/>
        </w:rPr>
        <w:t xml:space="preserve"> </w:t>
      </w:r>
    </w:p>
    <w:p w14:paraId="11B6A519" w14:textId="77777777" w:rsidR="00F20B84" w:rsidRDefault="00CF21BC" w:rsidP="00CA2C0A">
      <w:pPr>
        <w:rPr>
          <w:rFonts w:cs="Times New Roman"/>
          <w:lang w:eastAsia="x-none"/>
        </w:rPr>
      </w:pPr>
      <w:r w:rsidRPr="00677ABE">
        <w:rPr>
          <w:rFonts w:cs="Times New Roman"/>
          <w:lang w:eastAsia="x-none"/>
        </w:rPr>
        <w:tab/>
        <w:t>Healthcare presented four additional arguments on appeal for why a case of actual controversy existed, each of which was rejected by the court.</w:t>
      </w:r>
      <w:r w:rsidRPr="00677ABE">
        <w:rPr>
          <w:rStyle w:val="FootnoteReference"/>
          <w:rFonts w:cs="Times New Roman"/>
          <w:lang w:eastAsia="x-none"/>
        </w:rPr>
        <w:footnoteReference w:id="949"/>
      </w:r>
      <w:r w:rsidRPr="00677ABE">
        <w:rPr>
          <w:rFonts w:cs="Times New Roman"/>
          <w:lang w:eastAsia="x-none"/>
        </w:rPr>
        <w:t xml:space="preserve"> First, Healthcare argued that it was </w:t>
      </w:r>
      <w:r w:rsidRPr="00677ABE">
        <w:rPr>
          <w:rFonts w:cs="Times New Roman"/>
        </w:rPr>
        <w:t>presently liable for inducing infringement by requesting generic makers to provide the patented products.</w:t>
      </w:r>
      <w:r w:rsidRPr="00677ABE">
        <w:rPr>
          <w:rStyle w:val="FootnoteReference"/>
          <w:rFonts w:cs="Times New Roman"/>
        </w:rPr>
        <w:footnoteReference w:id="950"/>
      </w:r>
      <w:r w:rsidRPr="00677ABE">
        <w:rPr>
          <w:rFonts w:cs="Times New Roman"/>
        </w:rPr>
        <w:t xml:space="preserve"> But there was no evidence of any direct infringement, which is a requirement for a finding of induced infringement.</w:t>
      </w:r>
      <w:r w:rsidRPr="00677ABE">
        <w:rPr>
          <w:rStyle w:val="FootnoteReference"/>
          <w:rFonts w:cs="Times New Roman"/>
        </w:rPr>
        <w:footnoteReference w:id="951"/>
      </w:r>
      <w:r w:rsidRPr="00677ABE">
        <w:rPr>
          <w:rFonts w:cs="Times New Roman"/>
        </w:rPr>
        <w:t xml:space="preserve"> Second, Healthcare argued that its interest in buying infringing products constituted an adverse legal interest for declaratory jurisdiction purposes.</w:t>
      </w:r>
      <w:r w:rsidRPr="00677ABE">
        <w:rPr>
          <w:rStyle w:val="FootnoteReference"/>
          <w:rFonts w:cs="Times New Roman"/>
        </w:rPr>
        <w:footnoteReference w:id="952"/>
      </w:r>
      <w:r w:rsidRPr="00677ABE">
        <w:rPr>
          <w:rFonts w:cs="Times New Roman"/>
        </w:rPr>
        <w:t xml:space="preserve"> However, the court noted that a general interest in a patented product does not create declaratory standing.</w:t>
      </w:r>
      <w:r w:rsidRPr="00677ABE">
        <w:rPr>
          <w:rStyle w:val="FootnoteReference"/>
          <w:rFonts w:cs="Times New Roman"/>
        </w:rPr>
        <w:footnoteReference w:id="953"/>
      </w:r>
      <w:r w:rsidRPr="00677ABE">
        <w:rPr>
          <w:rFonts w:cs="Times New Roman"/>
        </w:rPr>
        <w:t xml:space="preserve"> Furthermore, Healthcare argued that Defendants’ failure to agree to a covenant not to sue supported declaratory jurisdiction.</w:t>
      </w:r>
      <w:r w:rsidRPr="00677ABE">
        <w:rPr>
          <w:rStyle w:val="FootnoteReference"/>
          <w:rFonts w:cs="Times New Roman"/>
        </w:rPr>
        <w:footnoteReference w:id="954"/>
      </w:r>
      <w:r w:rsidRPr="00677ABE">
        <w:rPr>
          <w:rFonts w:cs="Times New Roman"/>
        </w:rPr>
        <w:t xml:space="preserve"> However, “[u]nder the circumstances here, there was no affirmative act by the patentee to assert patent rights against Healthcare for any present or planned activity.”</w:t>
      </w:r>
      <w:r w:rsidRPr="00677ABE">
        <w:rPr>
          <w:rStyle w:val="FootnoteReference"/>
          <w:rFonts w:cs="Times New Roman"/>
        </w:rPr>
        <w:footnoteReference w:id="955"/>
      </w:r>
      <w:r w:rsidRPr="00677ABE">
        <w:rPr>
          <w:rFonts w:cs="Times New Roman"/>
        </w:rPr>
        <w:t xml:space="preserve"> Finally, the Federal Circuit opined that Healthcare’s policy arguments were best addressed to Congress, not the courts.</w:t>
      </w:r>
      <w:r w:rsidRPr="00677ABE">
        <w:rPr>
          <w:rStyle w:val="FootnoteReference"/>
          <w:rFonts w:cs="Times New Roman"/>
        </w:rPr>
        <w:footnoteReference w:id="956"/>
      </w:r>
    </w:p>
    <w:p w14:paraId="3AE74624" w14:textId="77777777" w:rsidR="00F20B84" w:rsidRDefault="00353981" w:rsidP="00CA2C0A">
      <w:pPr>
        <w:pStyle w:val="Heading2"/>
      </w:pPr>
      <w:bookmarkStart w:id="196" w:name="_Toc531692813"/>
      <w:r w:rsidRPr="00677ABE">
        <w:t>Twombly/Iqbal</w:t>
      </w:r>
      <w:bookmarkEnd w:id="196"/>
    </w:p>
    <w:p w14:paraId="5AA69F20" w14:textId="26E85A91" w:rsidR="00353981" w:rsidRPr="00677ABE" w:rsidRDefault="00353981" w:rsidP="00CA2C0A">
      <w:pPr>
        <w:pStyle w:val="Heading3"/>
        <w:ind w:firstLine="0"/>
        <w:rPr>
          <w:rFonts w:cs="Times New Roman"/>
          <w:i w:val="0"/>
        </w:rPr>
      </w:pPr>
      <w:bookmarkStart w:id="197" w:name="_Toc516586610"/>
      <w:bookmarkStart w:id="198" w:name="_Toc531692814"/>
      <w:r w:rsidRPr="00677ABE">
        <w:rPr>
          <w:rFonts w:cs="Times New Roman"/>
        </w:rPr>
        <w:t>Nalco Co. v. Chem-Mod, LLC</w:t>
      </w:r>
      <w:r w:rsidRPr="00677ABE">
        <w:rPr>
          <w:rFonts w:cs="Times New Roman"/>
          <w:i w:val="0"/>
        </w:rPr>
        <w:t>, 883 F.3d 1337 (Fed. Cir. Feb. 27, 2018)</w:t>
      </w:r>
      <w:bookmarkEnd w:id="197"/>
      <w:bookmarkEnd w:id="198"/>
    </w:p>
    <w:p w14:paraId="453381DD" w14:textId="2DDC5D3E" w:rsidR="00353981" w:rsidRPr="00677ABE" w:rsidRDefault="00353981" w:rsidP="00CA2C0A">
      <w:pPr>
        <w:rPr>
          <w:rFonts w:cs="Times New Roman"/>
          <w:lang w:eastAsia="x-none"/>
        </w:rPr>
      </w:pPr>
      <w:r w:rsidRPr="00677ABE">
        <w:rPr>
          <w:rFonts w:cs="Times New Roman"/>
          <w:lang w:eastAsia="x-none"/>
        </w:rPr>
        <w:tab/>
        <w:t>In this appeal from the Northern District of Illinois, the Federal Circuit reversed the district court’s dismissal of Nalco’s infringement claims.</w:t>
      </w:r>
      <w:r w:rsidRPr="00677ABE">
        <w:rPr>
          <w:rStyle w:val="FootnoteReference"/>
          <w:rFonts w:cs="Times New Roman"/>
          <w:lang w:eastAsia="x-none"/>
        </w:rPr>
        <w:footnoteReference w:id="957"/>
      </w:r>
      <w:r w:rsidRPr="00677ABE">
        <w:rPr>
          <w:rFonts w:cs="Times New Roman"/>
          <w:lang w:eastAsia="x-none"/>
        </w:rPr>
        <w:t xml:space="preserve"> The </w:t>
      </w:r>
      <w:r w:rsidR="00370148">
        <w:rPr>
          <w:rFonts w:cs="Times New Roman"/>
          <w:lang w:eastAsia="x-none"/>
        </w:rPr>
        <w:t>’6</w:t>
      </w:r>
      <w:r w:rsidRPr="00677ABE">
        <w:rPr>
          <w:rFonts w:cs="Times New Roman"/>
          <w:lang w:eastAsia="x-none"/>
        </w:rPr>
        <w:t>92 patent is directed to a method for removing elemental mercury from the flue gas created by combustion in coal-fired power plants.</w:t>
      </w:r>
      <w:r w:rsidRPr="00677ABE">
        <w:rPr>
          <w:rStyle w:val="FootnoteReference"/>
          <w:rFonts w:cs="Times New Roman"/>
          <w:lang w:eastAsia="x-none"/>
        </w:rPr>
        <w:footnoteReference w:id="958"/>
      </w:r>
      <w:r w:rsidRPr="00677ABE">
        <w:rPr>
          <w:rFonts w:cs="Times New Roman"/>
          <w:lang w:eastAsia="x-none"/>
        </w:rPr>
        <w:t xml:space="preserve"> More specifically, the method recites injecting a halide precursor into the flue gas.</w:t>
      </w:r>
      <w:r w:rsidRPr="00677ABE">
        <w:rPr>
          <w:rStyle w:val="FootnoteReference"/>
          <w:rFonts w:cs="Times New Roman"/>
          <w:lang w:eastAsia="x-none"/>
        </w:rPr>
        <w:footnoteReference w:id="959"/>
      </w:r>
      <w:r w:rsidRPr="00677ABE">
        <w:rPr>
          <w:rFonts w:cs="Times New Roman"/>
          <w:lang w:eastAsia="x-none"/>
        </w:rPr>
        <w:t xml:space="preserve"> The halide precursor reacts in the heat of the flue gas to create a molecular halide, which then reacts with the mercury in the flue gas to form solid particles that can be filtered out.</w:t>
      </w:r>
      <w:r w:rsidRPr="00677ABE">
        <w:rPr>
          <w:rStyle w:val="FootnoteReference"/>
          <w:rFonts w:cs="Times New Roman"/>
          <w:lang w:eastAsia="x-none"/>
        </w:rPr>
        <w:footnoteReference w:id="960"/>
      </w:r>
      <w:r w:rsidRPr="00677ABE">
        <w:rPr>
          <w:rFonts w:cs="Times New Roman"/>
          <w:lang w:eastAsia="x-none"/>
        </w:rPr>
        <w:t xml:space="preserve"> The patent explains that the halide precursor is preferably injected directly into a region of the flow path of the flue gas downstream from the combustion zone.</w:t>
      </w:r>
      <w:r w:rsidRPr="00677ABE">
        <w:rPr>
          <w:rStyle w:val="FootnoteReference"/>
          <w:rFonts w:cs="Times New Roman"/>
          <w:lang w:eastAsia="x-none"/>
        </w:rPr>
        <w:footnoteReference w:id="961"/>
      </w:r>
    </w:p>
    <w:p w14:paraId="6409E30F" w14:textId="77777777" w:rsidR="00353981" w:rsidRPr="00677ABE" w:rsidRDefault="00353981" w:rsidP="00CA2C0A">
      <w:pPr>
        <w:rPr>
          <w:rFonts w:cs="Times New Roman"/>
          <w:lang w:eastAsia="x-none"/>
        </w:rPr>
      </w:pPr>
      <w:r w:rsidRPr="00677ABE">
        <w:rPr>
          <w:rFonts w:cs="Times New Roman"/>
          <w:lang w:eastAsia="x-none"/>
        </w:rPr>
        <w:tab/>
        <w:t xml:space="preserve">The allegedly infringing Chem-Mod solution consists of the injection of two precursors (MerSorb and S-Sorb) “on the coal feed belts of coal burning power generation stations </w:t>
      </w:r>
      <w:r w:rsidRPr="00677ABE">
        <w:rPr>
          <w:rFonts w:cs="Times New Roman"/>
          <w:i/>
          <w:lang w:eastAsia="x-none"/>
        </w:rPr>
        <w:t>before the coal is fed into a coal combustion process</w:t>
      </w:r>
      <w:r w:rsidRPr="00677ABE">
        <w:rPr>
          <w:rFonts w:cs="Times New Roman"/>
          <w:lang w:eastAsia="x-none"/>
        </w:rPr>
        <w:t>.”</w:t>
      </w:r>
      <w:r w:rsidRPr="00677ABE">
        <w:rPr>
          <w:rStyle w:val="FootnoteReference"/>
          <w:rFonts w:cs="Times New Roman"/>
          <w:lang w:eastAsia="x-none"/>
        </w:rPr>
        <w:footnoteReference w:id="962"/>
      </w:r>
      <w:r w:rsidRPr="00677ABE">
        <w:rPr>
          <w:rFonts w:cs="Times New Roman"/>
          <w:lang w:eastAsia="x-none"/>
        </w:rPr>
        <w:t xml:space="preserve"> </w:t>
      </w:r>
    </w:p>
    <w:p w14:paraId="6A58A63D" w14:textId="79F1D994" w:rsidR="00353981" w:rsidRPr="00677ABE" w:rsidRDefault="00353981" w:rsidP="00CA2C0A">
      <w:pPr>
        <w:rPr>
          <w:rFonts w:cs="Times New Roman"/>
          <w:lang w:eastAsia="x-none"/>
        </w:rPr>
      </w:pPr>
      <w:r w:rsidRPr="00677ABE">
        <w:rPr>
          <w:rFonts w:cs="Times New Roman"/>
          <w:lang w:eastAsia="x-none"/>
        </w:rPr>
        <w:tab/>
        <w:t>Nalco ultimately filed five successive complaints alleging that Defendants’ Chem-Mod process infringes Nalco’s patent.</w:t>
      </w:r>
      <w:r w:rsidRPr="00677ABE">
        <w:rPr>
          <w:rStyle w:val="FootnoteReference"/>
          <w:rFonts w:cs="Times New Roman"/>
          <w:lang w:eastAsia="x-none"/>
        </w:rPr>
        <w:footnoteReference w:id="963"/>
      </w:r>
      <w:r w:rsidRPr="00677ABE">
        <w:rPr>
          <w:rFonts w:cs="Times New Roman"/>
          <w:lang w:eastAsia="x-none"/>
        </w:rPr>
        <w:t xml:space="preserve"> The district court ultimately dismissed Nalco’s first and third amended complaints without prejudice and Nalco’s fourth amended complaint with prejudice, leading to this appeal.</w:t>
      </w:r>
      <w:r w:rsidRPr="00677ABE">
        <w:rPr>
          <w:rStyle w:val="FootnoteReference"/>
          <w:rFonts w:cs="Times New Roman"/>
          <w:lang w:eastAsia="x-none"/>
        </w:rPr>
        <w:footnoteReference w:id="964"/>
      </w:r>
      <w:r w:rsidRPr="00677ABE">
        <w:rPr>
          <w:rFonts w:cs="Times New Roman"/>
          <w:lang w:eastAsia="x-none"/>
        </w:rPr>
        <w:t xml:space="preserve"> The district court generally reasoned that the Chem-Mod process did not infringe the patent because the process mixed the precursor with cold coal before the coal is burned, while the patent required injecting the precursor into the flue gas after the coal is burned.</w:t>
      </w:r>
      <w:r w:rsidRPr="00677ABE">
        <w:rPr>
          <w:rStyle w:val="FootnoteReference"/>
          <w:rFonts w:cs="Times New Roman"/>
          <w:lang w:eastAsia="x-none"/>
        </w:rPr>
        <w:footnoteReference w:id="965"/>
      </w:r>
      <w:r w:rsidRPr="00677ABE">
        <w:rPr>
          <w:rFonts w:cs="Times New Roman"/>
          <w:lang w:eastAsia="x-none"/>
        </w:rPr>
        <w:t xml:space="preserve"> The district court was unpersuaded by Nalco’s arguments that although a preferred embodiment described in the patent described injecting the precursor into the flue gas, “the claims of the </w:t>
      </w:r>
      <w:r w:rsidR="00370148">
        <w:rPr>
          <w:rFonts w:cs="Times New Roman"/>
          <w:lang w:eastAsia="x-none"/>
        </w:rPr>
        <w:t>’6</w:t>
      </w:r>
      <w:r w:rsidRPr="00677ABE">
        <w:rPr>
          <w:rFonts w:cs="Times New Roman"/>
          <w:lang w:eastAsia="x-none"/>
        </w:rPr>
        <w:t>92 patent do not restrict when, where, or how the ‘injecting’ step is performed.”</w:t>
      </w:r>
      <w:r w:rsidRPr="00677ABE">
        <w:rPr>
          <w:rStyle w:val="FootnoteReference"/>
          <w:rFonts w:cs="Times New Roman"/>
          <w:lang w:eastAsia="x-none"/>
        </w:rPr>
        <w:footnoteReference w:id="966"/>
      </w:r>
      <w:r w:rsidRPr="00677ABE">
        <w:rPr>
          <w:rFonts w:cs="Times New Roman"/>
          <w:lang w:eastAsia="x-none"/>
        </w:rPr>
        <w:t xml:space="preserve"> The district court also rejected Nalco’s argument that even if the claim’s “injecting” requirement was restricted to a specific time or location, the defendants still infringed under the doctrine of equivalents.</w:t>
      </w:r>
      <w:r w:rsidRPr="00677ABE">
        <w:rPr>
          <w:rStyle w:val="FootnoteReference"/>
          <w:rFonts w:cs="Times New Roman"/>
          <w:lang w:eastAsia="x-none"/>
        </w:rPr>
        <w:footnoteReference w:id="967"/>
      </w:r>
      <w:r w:rsidRPr="00677ABE">
        <w:rPr>
          <w:rFonts w:cs="Times New Roman"/>
          <w:lang w:eastAsia="x-none"/>
        </w:rPr>
        <w:t xml:space="preserve"> Furthermore, the district court rejected Nalco’s claims for induced and contributory infringement because it failed to plead direct infringement.</w:t>
      </w:r>
      <w:r w:rsidRPr="00677ABE">
        <w:rPr>
          <w:rStyle w:val="FootnoteReference"/>
          <w:rFonts w:cs="Times New Roman"/>
          <w:lang w:eastAsia="x-none"/>
        </w:rPr>
        <w:footnoteReference w:id="968"/>
      </w:r>
    </w:p>
    <w:p w14:paraId="65EE72A9" w14:textId="4E34FC99" w:rsidR="00353981" w:rsidRPr="00677ABE" w:rsidRDefault="00353981" w:rsidP="00CA2C0A">
      <w:pPr>
        <w:rPr>
          <w:rFonts w:cs="Times New Roman"/>
        </w:rPr>
      </w:pPr>
      <w:r w:rsidRPr="00677ABE">
        <w:rPr>
          <w:rFonts w:cs="Times New Roman"/>
          <w:lang w:eastAsia="x-none"/>
        </w:rPr>
        <w:tab/>
        <w:t>The Federal Circuit reversed and remanded.</w:t>
      </w:r>
      <w:r w:rsidRPr="00677ABE">
        <w:rPr>
          <w:rStyle w:val="FootnoteReference"/>
          <w:rFonts w:cs="Times New Roman"/>
          <w:lang w:eastAsia="x-none"/>
        </w:rPr>
        <w:footnoteReference w:id="969"/>
      </w:r>
      <w:r w:rsidRPr="00677ABE">
        <w:rPr>
          <w:rFonts w:cs="Times New Roman"/>
          <w:lang w:eastAsia="x-none"/>
        </w:rPr>
        <w:t xml:space="preserve"> The court determined that </w:t>
      </w:r>
      <w:r w:rsidRPr="00677ABE">
        <w:rPr>
          <w:rFonts w:cs="Times New Roman"/>
        </w:rPr>
        <w:t xml:space="preserve">“Nalco pled that the </w:t>
      </w:r>
      <w:r w:rsidR="00370148">
        <w:rPr>
          <w:rFonts w:cs="Times New Roman"/>
        </w:rPr>
        <w:t>’6</w:t>
      </w:r>
      <w:r w:rsidRPr="00677ABE">
        <w:rPr>
          <w:rFonts w:cs="Times New Roman"/>
        </w:rPr>
        <w:t>92 claims do not restrict when injection occurs, whether injection can occur through injecting the bromine precursor alone or mixed with other compounds such as coal, or the specific mechanism for injection.”</w:t>
      </w:r>
      <w:r w:rsidRPr="00677ABE">
        <w:rPr>
          <w:rStyle w:val="FootnoteReference"/>
          <w:rFonts w:cs="Times New Roman"/>
        </w:rPr>
        <w:footnoteReference w:id="970"/>
      </w:r>
      <w:r w:rsidRPr="00677ABE">
        <w:rPr>
          <w:rFonts w:cs="Times New Roman"/>
        </w:rPr>
        <w:t xml:space="preserve"> And “Nalco is entitled to all inferences in its favor on its theory that, when treated coal is injected into the furnace, this constitutes the required injection of the bromine precursor.”</w:t>
      </w:r>
      <w:r w:rsidRPr="00677ABE">
        <w:rPr>
          <w:rStyle w:val="FootnoteReference"/>
          <w:rFonts w:cs="Times New Roman"/>
        </w:rPr>
        <w:footnoteReference w:id="971"/>
      </w:r>
      <w:r w:rsidRPr="00677ABE">
        <w:rPr>
          <w:rFonts w:cs="Times New Roman"/>
        </w:rPr>
        <w:t xml:space="preserve"> The defendants’ “objections to this theory of infringement read like classic </w:t>
      </w:r>
      <w:r w:rsidRPr="00677ABE">
        <w:rPr>
          <w:rFonts w:cs="Times New Roman"/>
          <w:i/>
        </w:rPr>
        <w:t>Markman</w:t>
      </w:r>
      <w:r w:rsidRPr="00677ABE">
        <w:rPr>
          <w:rFonts w:cs="Times New Roman"/>
        </w:rPr>
        <w:t xml:space="preserve"> arguments.”</w:t>
      </w:r>
      <w:r w:rsidRPr="00677ABE">
        <w:rPr>
          <w:rStyle w:val="FootnoteReference"/>
          <w:rFonts w:cs="Times New Roman"/>
        </w:rPr>
        <w:footnoteReference w:id="972"/>
      </w:r>
      <w:r w:rsidRPr="00677ABE">
        <w:rPr>
          <w:rFonts w:cs="Times New Roman"/>
        </w:rPr>
        <w:t xml:space="preserve"> “Defendants’ arguments boil down to objections to Nalco’s proposed claim construction for ‘flue gas,’ a dispute not suitable for resolution on a motion to dismiss.”</w:t>
      </w:r>
      <w:r w:rsidRPr="00677ABE">
        <w:rPr>
          <w:rStyle w:val="FootnoteReference"/>
          <w:rFonts w:cs="Times New Roman"/>
        </w:rPr>
        <w:footnoteReference w:id="973"/>
      </w:r>
      <w:r w:rsidRPr="00677ABE">
        <w:rPr>
          <w:rFonts w:cs="Times New Roman"/>
        </w:rPr>
        <w:t xml:space="preserve"> </w:t>
      </w:r>
    </w:p>
    <w:p w14:paraId="788F499A" w14:textId="3EA8D56B" w:rsidR="00CF21BC" w:rsidRPr="00CA2C0A" w:rsidRDefault="00353981" w:rsidP="00CA2C0A">
      <w:pPr>
        <w:rPr>
          <w:rFonts w:cs="Times New Roman"/>
        </w:rPr>
      </w:pPr>
      <w:r w:rsidRPr="00677ABE">
        <w:rPr>
          <w:rFonts w:cs="Times New Roman"/>
        </w:rPr>
        <w:t>Nalco and the defendants also debated whether one of Nalco’s admissions during inter partes reexamination foreclosed Nalco’s interpretation of the claims, but “[r]esolution of [this] dispute, even if part of the record that can be considered, is particularly inappropriate in the Rule 12(b)(6) context.”</w:t>
      </w:r>
      <w:r w:rsidRPr="00677ABE">
        <w:rPr>
          <w:rStyle w:val="FootnoteReference"/>
          <w:rFonts w:cs="Times New Roman"/>
        </w:rPr>
        <w:footnoteReference w:id="974"/>
      </w:r>
      <w:r w:rsidRPr="00677ABE">
        <w:rPr>
          <w:rFonts w:cs="Times New Roman"/>
        </w:rPr>
        <w:t xml:space="preserve"> Finally, although the defendants argued that Nalco’s theory was implausible because their precursor could not survive the heat of the combustion area without decomposing, the defendants “have not explained why we should—or could—make such a finding at this stage in light of Nalco’s explicit pleadings to the contrary.”</w:t>
      </w:r>
      <w:r w:rsidRPr="00677ABE">
        <w:rPr>
          <w:rStyle w:val="FootnoteReference"/>
          <w:rFonts w:cs="Times New Roman"/>
        </w:rPr>
        <w:footnoteReference w:id="975"/>
      </w:r>
      <w:r w:rsidR="00CF21BC" w:rsidRPr="00677ABE">
        <w:rPr>
          <w:rFonts w:cs="Times New Roman"/>
        </w:rPr>
        <w:br w:type="page"/>
      </w:r>
    </w:p>
    <w:p w14:paraId="5D964D0F" w14:textId="77777777" w:rsidR="00F20B84" w:rsidRDefault="007D0629" w:rsidP="00CA2C0A">
      <w:pPr>
        <w:pStyle w:val="Heading1"/>
        <w:rPr>
          <w:rFonts w:cs="Times New Roman"/>
          <w:szCs w:val="24"/>
        </w:rPr>
      </w:pPr>
      <w:bookmarkStart w:id="199" w:name="_Toc531692815"/>
      <w:r w:rsidRPr="00677ABE">
        <w:rPr>
          <w:rFonts w:cs="Times New Roman"/>
          <w:szCs w:val="24"/>
        </w:rPr>
        <w:t>PATENT TRIAL AND APPEAL BOARD</w:t>
      </w:r>
      <w:bookmarkEnd w:id="199"/>
    </w:p>
    <w:p w14:paraId="4F675102" w14:textId="557AA845" w:rsidR="008861C7" w:rsidRPr="00677ABE" w:rsidRDefault="008861C7" w:rsidP="00CA2C0A">
      <w:pPr>
        <w:pStyle w:val="Heading3"/>
        <w:ind w:firstLine="0"/>
        <w:rPr>
          <w:rFonts w:cs="Times New Roman"/>
          <w:i w:val="0"/>
        </w:rPr>
      </w:pPr>
      <w:bookmarkStart w:id="200" w:name="_Toc516586616"/>
      <w:bookmarkStart w:id="201" w:name="_Toc531692816"/>
      <w:r w:rsidRPr="00677ABE">
        <w:rPr>
          <w:rFonts w:cs="Times New Roman"/>
        </w:rPr>
        <w:t>Oil States Energy Services, LLC v. Greene’s Energy Group, LLC</w:t>
      </w:r>
      <w:r w:rsidRPr="00677ABE">
        <w:rPr>
          <w:rFonts w:cs="Times New Roman"/>
          <w:i w:val="0"/>
        </w:rPr>
        <w:t>, 2018 WL 1914662 (U.S. Apr. 24, 2018)</w:t>
      </w:r>
      <w:bookmarkEnd w:id="200"/>
      <w:bookmarkEnd w:id="201"/>
    </w:p>
    <w:p w14:paraId="499B924B" w14:textId="77777777" w:rsidR="008861C7" w:rsidRPr="00677ABE" w:rsidRDefault="008861C7" w:rsidP="00CA2C0A">
      <w:pPr>
        <w:rPr>
          <w:rFonts w:cs="Times New Roman"/>
        </w:rPr>
      </w:pPr>
      <w:r w:rsidRPr="00677ABE">
        <w:rPr>
          <w:rFonts w:cs="Times New Roman"/>
          <w:lang w:eastAsia="x-none"/>
        </w:rPr>
        <w:tab/>
      </w:r>
      <w:r w:rsidRPr="00677ABE">
        <w:rPr>
          <w:rFonts w:cs="Times New Roman"/>
        </w:rPr>
        <w:t>The Supreme Court ruled 7-2 that IPR proceedings do not violate Article III or the Seventh Amendment of the Constitution.</w:t>
      </w:r>
      <w:r w:rsidRPr="00677ABE">
        <w:rPr>
          <w:rStyle w:val="FootnoteReference"/>
          <w:rFonts w:cs="Times New Roman"/>
        </w:rPr>
        <w:footnoteReference w:id="976"/>
      </w:r>
      <w:r w:rsidRPr="00677ABE">
        <w:rPr>
          <w:rFonts w:cs="Times New Roman"/>
        </w:rPr>
        <w:t xml:space="preserve"> The Court noted that Supreme Court “precedents have given Congress significant latitude to assign adjudication of public rights to entities other than Article III courts.”</w:t>
      </w:r>
      <w:r w:rsidRPr="00677ABE">
        <w:rPr>
          <w:rStyle w:val="FootnoteReference"/>
          <w:rFonts w:cs="Times New Roman"/>
        </w:rPr>
        <w:footnoteReference w:id="977"/>
      </w:r>
      <w:r w:rsidRPr="00677ABE">
        <w:rPr>
          <w:rFonts w:cs="Times New Roman"/>
        </w:rPr>
        <w:t xml:space="preserve"> “Our precedents have recognized that [this public-rights] doctrine covers matters ‘which arise between the Government and persons subject to its authority in connection with the performance of the constitutional functions of the executive or legislative departments.’”</w:t>
      </w:r>
      <w:r w:rsidRPr="00677ABE">
        <w:rPr>
          <w:rStyle w:val="FootnoteReference"/>
          <w:rFonts w:cs="Times New Roman"/>
        </w:rPr>
        <w:footnoteReference w:id="978"/>
      </w:r>
      <w:r w:rsidRPr="00677ABE">
        <w:rPr>
          <w:rFonts w:cs="Times New Roman"/>
        </w:rPr>
        <w:t xml:space="preserve"> And “[i]nter partes review involves one such matter: reconsideration of the Government’s decision to grant a public franchise.”</w:t>
      </w:r>
      <w:r w:rsidRPr="00677ABE">
        <w:rPr>
          <w:rStyle w:val="FootnoteReference"/>
          <w:rFonts w:cs="Times New Roman"/>
        </w:rPr>
        <w:footnoteReference w:id="979"/>
      </w:r>
    </w:p>
    <w:p w14:paraId="7048158B" w14:textId="77777777" w:rsidR="008861C7" w:rsidRPr="00677ABE" w:rsidRDefault="008861C7" w:rsidP="00CA2C0A">
      <w:pPr>
        <w:rPr>
          <w:rFonts w:cs="Times New Roman"/>
        </w:rPr>
      </w:pPr>
      <w:r w:rsidRPr="00677ABE">
        <w:rPr>
          <w:rFonts w:cs="Times New Roman"/>
          <w:lang w:eastAsia="x-none"/>
        </w:rPr>
        <w:tab/>
        <w:t xml:space="preserve">The Court explained that </w:t>
      </w:r>
      <w:r w:rsidRPr="00677ABE">
        <w:rPr>
          <w:rFonts w:cs="Times New Roman"/>
        </w:rPr>
        <w:t>it has long recognized the grant of a patent as being a “matte[r] involving public rights.”</w:t>
      </w:r>
      <w:r w:rsidRPr="00677ABE">
        <w:rPr>
          <w:rStyle w:val="FootnoteReference"/>
          <w:rFonts w:cs="Times New Roman"/>
        </w:rPr>
        <w:footnoteReference w:id="980"/>
      </w:r>
      <w:r w:rsidRPr="00677ABE">
        <w:rPr>
          <w:rFonts w:cs="Times New Roman"/>
        </w:rPr>
        <w:t xml:space="preserve"> The grant of a patent is a matter between the public and the patentee because by issuing a patent, the PTO takes valuable rights from the pubic and gives them to the patentee.</w:t>
      </w:r>
      <w:r w:rsidRPr="00677ABE">
        <w:rPr>
          <w:rStyle w:val="FootnoteReference"/>
          <w:rFonts w:cs="Times New Roman"/>
        </w:rPr>
        <w:footnoteReference w:id="981"/>
      </w:r>
      <w:r w:rsidRPr="00677ABE">
        <w:rPr>
          <w:rFonts w:cs="Times New Roman"/>
        </w:rPr>
        <w:t xml:space="preserve"> More specifically, patents are “public franchises.”</w:t>
      </w:r>
      <w:r w:rsidRPr="00677ABE">
        <w:rPr>
          <w:rStyle w:val="FootnoteReference"/>
          <w:rFonts w:cs="Times New Roman"/>
        </w:rPr>
        <w:footnoteReference w:id="982"/>
      </w:r>
      <w:r w:rsidRPr="00677ABE">
        <w:rPr>
          <w:rFonts w:cs="Times New Roman"/>
        </w:rPr>
        <w:t xml:space="preserve"> </w:t>
      </w:r>
    </w:p>
    <w:p w14:paraId="186F6E95" w14:textId="77777777" w:rsidR="008861C7" w:rsidRPr="00677ABE" w:rsidRDefault="008861C7" w:rsidP="00CA2C0A">
      <w:pPr>
        <w:ind w:firstLine="720"/>
        <w:rPr>
          <w:rFonts w:cs="Times New Roman"/>
        </w:rPr>
      </w:pPr>
      <w:r w:rsidRPr="00677ABE">
        <w:rPr>
          <w:rFonts w:cs="Times New Roman"/>
        </w:rPr>
        <w:t>Furthermore, patents are public rights because granting patents is a constitutional function that can be carried out by the executive and legislative branches without judicial determination.</w:t>
      </w:r>
      <w:r w:rsidRPr="00677ABE">
        <w:rPr>
          <w:rStyle w:val="FootnoteReference"/>
          <w:rFonts w:cs="Times New Roman"/>
        </w:rPr>
        <w:footnoteReference w:id="983"/>
      </w:r>
      <w:r w:rsidRPr="00677ABE">
        <w:rPr>
          <w:rFonts w:cs="Times New Roman"/>
        </w:rPr>
        <w:t xml:space="preserve"> For example, Article I gives Congress the power to promote the sciences and useful arts, “Congress can grant patents itself by statute,” and “from the founding to today, Congress has authorized the Executive Branch to grant patents that meet the statutory requirements for patentability.”</w:t>
      </w:r>
      <w:r w:rsidRPr="00677ABE">
        <w:rPr>
          <w:rStyle w:val="FootnoteReference"/>
          <w:rFonts w:cs="Times New Roman"/>
        </w:rPr>
        <w:footnoteReference w:id="984"/>
      </w:r>
      <w:r w:rsidRPr="00677ABE">
        <w:rPr>
          <w:rFonts w:cs="Times New Roman"/>
        </w:rPr>
        <w:t xml:space="preserve"> </w:t>
      </w:r>
    </w:p>
    <w:p w14:paraId="05F211FD" w14:textId="77777777" w:rsidR="008861C7" w:rsidRPr="00677ABE" w:rsidRDefault="008861C7" w:rsidP="00CA2C0A">
      <w:pPr>
        <w:ind w:firstLine="720"/>
        <w:rPr>
          <w:rFonts w:cs="Times New Roman"/>
        </w:rPr>
      </w:pPr>
      <w:r w:rsidRPr="00677ABE">
        <w:rPr>
          <w:rFonts w:cs="Times New Roman"/>
        </w:rPr>
        <w:t>Because “[i]nter partes review involves the same basic matter as the grant of a patent[,] . . . it, too, falls on the public-rights side of the line.”</w:t>
      </w:r>
      <w:r w:rsidRPr="00677ABE">
        <w:rPr>
          <w:rStyle w:val="FootnoteReference"/>
          <w:rFonts w:cs="Times New Roman"/>
        </w:rPr>
        <w:footnoteReference w:id="985"/>
      </w:r>
      <w:r w:rsidRPr="00677ABE">
        <w:rPr>
          <w:rFonts w:cs="Times New Roman"/>
        </w:rPr>
        <w:t xml:space="preserve"> Inter partes review is nothing more than a second look at a previous administrative grant of a patent.</w:t>
      </w:r>
      <w:r w:rsidRPr="00677ABE">
        <w:rPr>
          <w:rStyle w:val="FootnoteReference"/>
          <w:rFonts w:cs="Times New Roman"/>
        </w:rPr>
        <w:footnoteReference w:id="986"/>
      </w:r>
      <w:r w:rsidRPr="00677ABE">
        <w:rPr>
          <w:rFonts w:cs="Times New Roman"/>
        </w:rPr>
        <w:t xml:space="preserve"> And “inter partes review involves the same [public] interests as the determination to grant a patent in the first instance.”</w:t>
      </w:r>
      <w:r w:rsidRPr="00677ABE">
        <w:rPr>
          <w:rStyle w:val="FootnoteReference"/>
          <w:rFonts w:cs="Times New Roman"/>
        </w:rPr>
        <w:footnoteReference w:id="987"/>
      </w:r>
      <w:r w:rsidRPr="00677ABE">
        <w:rPr>
          <w:rFonts w:cs="Times New Roman"/>
        </w:rPr>
        <w:t xml:space="preserve"> It does not matter that inter partes review takes place after a patent has issued because “[p]atent claims are granted subject to the qualification that the PTO has ‘the authority to reexamine—and perhaps cancel—a patent claim.’”</w:t>
      </w:r>
      <w:r w:rsidRPr="00677ABE">
        <w:rPr>
          <w:rStyle w:val="FootnoteReference"/>
          <w:rFonts w:cs="Times New Roman"/>
        </w:rPr>
        <w:footnoteReference w:id="988"/>
      </w:r>
      <w:r w:rsidRPr="00677ABE">
        <w:rPr>
          <w:rFonts w:cs="Times New Roman"/>
        </w:rPr>
        <w:t xml:space="preserve"> Indeed, “[t]his Court has recognized that franchises can be qualified in this manner.”</w:t>
      </w:r>
      <w:r w:rsidRPr="00677ABE">
        <w:rPr>
          <w:rStyle w:val="FootnoteReference"/>
          <w:rFonts w:cs="Times New Roman"/>
        </w:rPr>
        <w:footnoteReference w:id="989"/>
      </w:r>
      <w:r w:rsidRPr="00677ABE">
        <w:rPr>
          <w:rFonts w:cs="Times New Roman"/>
        </w:rPr>
        <w:t xml:space="preserve"> Accordingly, “the pubic-rights doctrine covers the matter resolved in inter partes review.”</w:t>
      </w:r>
      <w:r w:rsidRPr="00677ABE">
        <w:rPr>
          <w:rStyle w:val="FootnoteReference"/>
          <w:rFonts w:cs="Times New Roman"/>
        </w:rPr>
        <w:footnoteReference w:id="990"/>
      </w:r>
    </w:p>
    <w:p w14:paraId="32A8D1CE" w14:textId="77777777" w:rsidR="008861C7" w:rsidRPr="00677ABE" w:rsidRDefault="008861C7" w:rsidP="00CA2C0A">
      <w:pPr>
        <w:ind w:firstLine="720"/>
        <w:rPr>
          <w:rFonts w:cs="Times New Roman"/>
        </w:rPr>
      </w:pPr>
      <w:r w:rsidRPr="00677ABE">
        <w:rPr>
          <w:rFonts w:cs="Times New Roman"/>
          <w:lang w:eastAsia="x-none"/>
        </w:rPr>
        <w:t xml:space="preserve">Oil States </w:t>
      </w:r>
      <w:r w:rsidRPr="00677ABE">
        <w:rPr>
          <w:rFonts w:cs="Times New Roman"/>
        </w:rPr>
        <w:t>and the dissent argued that inter partes review violates the “general” principle that “Congress may not ‘withdraw from judicial cognizance any matter which, from its nature, is the subject of a suit at the common law, or in equity, or admiralty.’”</w:t>
      </w:r>
      <w:r w:rsidRPr="00677ABE">
        <w:rPr>
          <w:rStyle w:val="FootnoteReference"/>
          <w:rFonts w:cs="Times New Roman"/>
        </w:rPr>
        <w:footnoteReference w:id="991"/>
      </w:r>
      <w:r w:rsidRPr="00677ABE">
        <w:rPr>
          <w:rFonts w:cs="Times New Roman"/>
        </w:rPr>
        <w:t xml:space="preserve"> They reason that “patent validity was often decided in English courts of law in the 18th century.”</w:t>
      </w:r>
      <w:r w:rsidRPr="00677ABE">
        <w:rPr>
          <w:rStyle w:val="FootnoteReference"/>
          <w:rFonts w:cs="Times New Roman"/>
        </w:rPr>
        <w:footnoteReference w:id="992"/>
      </w:r>
      <w:r w:rsidRPr="00677ABE">
        <w:rPr>
          <w:rFonts w:cs="Times New Roman"/>
        </w:rPr>
        <w:t xml:space="preserve"> Yet “there was another means of canceling a patent in 18th-Century England, which more closely resembles inter partes review: a petition to the Privy Council to vacate a patent.”</w:t>
      </w:r>
      <w:r w:rsidRPr="00677ABE">
        <w:rPr>
          <w:rStyle w:val="FootnoteReference"/>
          <w:rFonts w:cs="Times New Roman"/>
        </w:rPr>
        <w:footnoteReference w:id="993"/>
      </w:r>
      <w:r w:rsidRPr="00677ABE">
        <w:rPr>
          <w:rFonts w:cs="Times New Roman"/>
        </w:rPr>
        <w:t xml:space="preserve"> The Privy Council “had exclusive authority to revoke patents until 1753, and after that, it had concurrent jurisdiction with the courts.”</w:t>
      </w:r>
      <w:r w:rsidRPr="00677ABE">
        <w:rPr>
          <w:rStyle w:val="FootnoteReference"/>
          <w:rFonts w:cs="Times New Roman"/>
        </w:rPr>
        <w:footnoteReference w:id="994"/>
      </w:r>
      <w:r w:rsidRPr="00677ABE">
        <w:rPr>
          <w:rFonts w:cs="Times New Roman"/>
        </w:rPr>
        <w:t xml:space="preserve"> Thus, “it was well understood at the founding that a patent system could include a practice of granting patents subject to potential cancellation in the executive proceeding of the Privy Council.”</w:t>
      </w:r>
      <w:r w:rsidRPr="00677ABE">
        <w:rPr>
          <w:rStyle w:val="FootnoteReference"/>
          <w:rFonts w:cs="Times New Roman"/>
        </w:rPr>
        <w:footnoteReference w:id="995"/>
      </w:r>
    </w:p>
    <w:p w14:paraId="11859CD6" w14:textId="77777777" w:rsidR="008861C7" w:rsidRPr="00677ABE" w:rsidRDefault="008861C7" w:rsidP="00CA2C0A">
      <w:pPr>
        <w:ind w:firstLine="720"/>
        <w:rPr>
          <w:rFonts w:cs="Times New Roman"/>
        </w:rPr>
      </w:pPr>
      <w:r w:rsidRPr="00677ABE">
        <w:rPr>
          <w:rFonts w:cs="Times New Roman"/>
        </w:rPr>
        <w:t>The Court emphasized that it did “not address whether other patent matters, such as infringement actions, can be heard in a non-Article III forum,” and “our decision should not be misconstrued as suggesting that patents are not property for purposes of the Due Process Clause or the Takings Clause.”</w:t>
      </w:r>
      <w:r w:rsidRPr="00677ABE">
        <w:rPr>
          <w:rStyle w:val="FootnoteReference"/>
          <w:rFonts w:cs="Times New Roman"/>
        </w:rPr>
        <w:footnoteReference w:id="996"/>
      </w:r>
      <w:r w:rsidRPr="00677ABE">
        <w:rPr>
          <w:rFonts w:cs="Times New Roman"/>
        </w:rPr>
        <w:t xml:space="preserve"> In addition, the Court determined that “[b]ecause inter partes review is a matter that Congress can properly assign to the PTO, a jury is not necessary in these proceedings.”</w:t>
      </w:r>
      <w:r w:rsidRPr="00677ABE">
        <w:rPr>
          <w:rStyle w:val="FootnoteReference"/>
          <w:rFonts w:cs="Times New Roman"/>
        </w:rPr>
        <w:footnoteReference w:id="997"/>
      </w:r>
    </w:p>
    <w:p w14:paraId="4DDE7EC8" w14:textId="77777777" w:rsidR="008861C7" w:rsidRPr="00677ABE" w:rsidRDefault="008861C7" w:rsidP="00CA2C0A">
      <w:pPr>
        <w:ind w:firstLine="720"/>
        <w:rPr>
          <w:rFonts w:cs="Times New Roman"/>
        </w:rPr>
      </w:pPr>
      <w:r w:rsidRPr="00677ABE">
        <w:rPr>
          <w:rFonts w:cs="Times New Roman"/>
        </w:rPr>
        <w:t>Justice Breyer, joined by Justices Ginsburg and Sotomayor, concurred in the judgment (although all three Justices joined the majority opinion in full) to make clear that “the Court’s opinion should not be read to say that matters involving private rights may never be adjudicated other than by Article III courts.”</w:t>
      </w:r>
      <w:r w:rsidRPr="00677ABE">
        <w:rPr>
          <w:rStyle w:val="FootnoteReference"/>
          <w:rFonts w:cs="Times New Roman"/>
        </w:rPr>
        <w:footnoteReference w:id="998"/>
      </w:r>
    </w:p>
    <w:p w14:paraId="6BB28B9B" w14:textId="77777777" w:rsidR="008861C7" w:rsidRPr="00677ABE" w:rsidRDefault="008861C7" w:rsidP="00CA2C0A">
      <w:pPr>
        <w:ind w:firstLine="720"/>
        <w:rPr>
          <w:rFonts w:cs="Times New Roman"/>
        </w:rPr>
      </w:pPr>
      <w:r w:rsidRPr="00677ABE">
        <w:rPr>
          <w:rFonts w:cs="Times New Roman"/>
        </w:rPr>
        <w:t>Justice Gorsuch, joined by Justice Roberts, dissented.</w:t>
      </w:r>
      <w:r w:rsidRPr="00677ABE">
        <w:rPr>
          <w:rStyle w:val="FootnoteReference"/>
          <w:rFonts w:cs="Times New Roman"/>
        </w:rPr>
        <w:footnoteReference w:id="999"/>
      </w:r>
      <w:r w:rsidRPr="00677ABE">
        <w:rPr>
          <w:rFonts w:cs="Times New Roman"/>
        </w:rPr>
        <w:t xml:space="preserve"> The dissent noted that the founders “went to great lengths to guarantee a degree of judicial independence for future generations that they themselves had not experienced.”</w:t>
      </w:r>
      <w:r w:rsidRPr="00677ABE">
        <w:rPr>
          <w:rStyle w:val="FootnoteReference"/>
          <w:rFonts w:cs="Times New Roman"/>
        </w:rPr>
        <w:footnoteReference w:id="1000"/>
      </w:r>
      <w:r w:rsidRPr="00677ABE">
        <w:rPr>
          <w:rFonts w:cs="Times New Roman"/>
        </w:rPr>
        <w:t xml:space="preserve"> The dissent acknowledged that supporters of inter partes review believe that it offers an efficient solution to weed out bad patents.</w:t>
      </w:r>
      <w:r w:rsidRPr="00677ABE">
        <w:rPr>
          <w:rStyle w:val="FootnoteReference"/>
          <w:rFonts w:cs="Times New Roman"/>
        </w:rPr>
        <w:footnoteReference w:id="1001"/>
      </w:r>
      <w:r w:rsidRPr="00677ABE">
        <w:rPr>
          <w:rFonts w:cs="Times New Roman"/>
        </w:rPr>
        <w:t xml:space="preserve"> “And, no doubt, dispensing with constitutionally prescribed procedures is often expedient;” however, “economy supplies no license for ignoring these—often vitally inefficient—[Constitutional] protections.”</w:t>
      </w:r>
      <w:r w:rsidRPr="00677ABE">
        <w:rPr>
          <w:rStyle w:val="FootnoteReference"/>
          <w:rFonts w:cs="Times New Roman"/>
        </w:rPr>
        <w:footnoteReference w:id="1002"/>
      </w:r>
    </w:p>
    <w:p w14:paraId="3BA2A80E" w14:textId="77777777" w:rsidR="008861C7" w:rsidRPr="00677ABE" w:rsidRDefault="008861C7" w:rsidP="00CA2C0A">
      <w:pPr>
        <w:ind w:firstLine="720"/>
        <w:rPr>
          <w:rFonts w:cs="Times New Roman"/>
        </w:rPr>
      </w:pPr>
      <w:r w:rsidRPr="00677ABE">
        <w:rPr>
          <w:rFonts w:cs="Times New Roman"/>
          <w:lang w:eastAsia="x-none"/>
        </w:rPr>
        <w:t xml:space="preserve">The dissent argued that “[t]he </w:t>
      </w:r>
      <w:r w:rsidRPr="00677ABE">
        <w:rPr>
          <w:rFonts w:cs="Times New Roman"/>
        </w:rPr>
        <w:t>Constitution cannot secure the people’s liberty any less today than it did the day it was ratified.”</w:t>
      </w:r>
      <w:r w:rsidRPr="00677ABE">
        <w:rPr>
          <w:rStyle w:val="FootnoteReference"/>
          <w:rFonts w:cs="Times New Roman"/>
        </w:rPr>
        <w:footnoteReference w:id="1003"/>
      </w:r>
      <w:r w:rsidRPr="00677ABE">
        <w:rPr>
          <w:rFonts w:cs="Times New Roman"/>
        </w:rPr>
        <w:t xml:space="preserve"> The dissent explained that “[t]he last time an executive body (the King’s Privy Council) invalidated an invention patent on an ordinary application was in 1746,” and “the last time the Privy Council even </w:t>
      </w:r>
      <w:r w:rsidRPr="00677ABE">
        <w:rPr>
          <w:rFonts w:cs="Times New Roman"/>
          <w:i/>
        </w:rPr>
        <w:t xml:space="preserve">considered </w:t>
      </w:r>
      <w:r w:rsidRPr="00677ABE">
        <w:rPr>
          <w:rFonts w:cs="Times New Roman"/>
        </w:rPr>
        <w:t>doing so was in 1753.”</w:t>
      </w:r>
      <w:r w:rsidRPr="00677ABE">
        <w:rPr>
          <w:rStyle w:val="FootnoteReference"/>
          <w:rFonts w:cs="Times New Roman"/>
        </w:rPr>
        <w:footnoteReference w:id="1004"/>
      </w:r>
      <w:r w:rsidRPr="00677ABE">
        <w:rPr>
          <w:rFonts w:cs="Times New Roman"/>
        </w:rPr>
        <w:t xml:space="preserve"> Although the majority pointed to three cases filed between 1779 and 1810 before the Privy Council, these cases “involved an effort to override a patent on munitions during wartime.”</w:t>
      </w:r>
      <w:r w:rsidRPr="00677ABE">
        <w:rPr>
          <w:rStyle w:val="FootnoteReference"/>
          <w:rFonts w:cs="Times New Roman"/>
        </w:rPr>
        <w:footnoteReference w:id="1005"/>
      </w:r>
      <w:r w:rsidRPr="00677ABE">
        <w:rPr>
          <w:rFonts w:cs="Times New Roman"/>
        </w:rPr>
        <w:t xml:space="preserve"> “At most, [these cases] suggest that the Privy Council might have possessed some residual power to revoke patents to address wartime necessities.”</w:t>
      </w:r>
      <w:r w:rsidRPr="00677ABE">
        <w:rPr>
          <w:rStyle w:val="FootnoteReference"/>
          <w:rFonts w:cs="Times New Roman"/>
        </w:rPr>
        <w:footnoteReference w:id="1006"/>
      </w:r>
      <w:r w:rsidRPr="00677ABE">
        <w:rPr>
          <w:rFonts w:cs="Times New Roman"/>
        </w:rPr>
        <w:t xml:space="preserve"> But they do not prove “that patent disputes were routinely permitted to proceed outside a court of law.”</w:t>
      </w:r>
      <w:r w:rsidRPr="00677ABE">
        <w:rPr>
          <w:rStyle w:val="FootnoteReference"/>
          <w:rFonts w:cs="Times New Roman"/>
        </w:rPr>
        <w:footnoteReference w:id="1007"/>
      </w:r>
    </w:p>
    <w:p w14:paraId="15DFC79F" w14:textId="77777777" w:rsidR="00F20B84" w:rsidRDefault="008861C7" w:rsidP="00CA2C0A">
      <w:pPr>
        <w:ind w:firstLine="720"/>
        <w:rPr>
          <w:rFonts w:cs="Times New Roman"/>
        </w:rPr>
      </w:pPr>
      <w:r w:rsidRPr="00677ABE">
        <w:rPr>
          <w:rFonts w:cs="Times New Roman"/>
          <w:lang w:eastAsia="x-none"/>
        </w:rPr>
        <w:t>The dissent also pointed out that “[a]ny lingering doubt about English law is resolved for me by looking to our own.”</w:t>
      </w:r>
      <w:r w:rsidRPr="00677ABE">
        <w:rPr>
          <w:rStyle w:val="FootnoteReference"/>
          <w:rFonts w:cs="Times New Roman"/>
          <w:lang w:eastAsia="x-none"/>
        </w:rPr>
        <w:footnoteReference w:id="1008"/>
      </w:r>
      <w:r w:rsidRPr="00677ABE">
        <w:rPr>
          <w:rFonts w:cs="Times New Roman"/>
          <w:lang w:eastAsia="x-none"/>
        </w:rPr>
        <w:t xml:space="preserve"> </w:t>
      </w:r>
      <w:r w:rsidRPr="00677ABE">
        <w:rPr>
          <w:rFonts w:cs="Times New Roman"/>
        </w:rPr>
        <w:t>American patent holders were thought to hold property in their inventions “as the farmer holds his farm and flock.”</w:t>
      </w:r>
      <w:r w:rsidRPr="00677ABE">
        <w:rPr>
          <w:rStyle w:val="FootnoteReference"/>
          <w:rFonts w:cs="Times New Roman"/>
        </w:rPr>
        <w:footnoteReference w:id="1009"/>
      </w:r>
      <w:r w:rsidRPr="00677ABE">
        <w:rPr>
          <w:rFonts w:cs="Times New Roman"/>
        </w:rPr>
        <w:t xml:space="preserve"> And just like with farm and flock, “it was widely accepted [in the United States] that the government could divest patent owners of their rights only through proceedings before independent judges.”</w:t>
      </w:r>
      <w:r w:rsidRPr="00677ABE">
        <w:rPr>
          <w:rStyle w:val="FootnoteReference"/>
          <w:rFonts w:cs="Times New Roman"/>
        </w:rPr>
        <w:footnoteReference w:id="1010"/>
      </w:r>
      <w:r w:rsidRPr="00677ABE">
        <w:rPr>
          <w:rFonts w:cs="Times New Roman"/>
        </w:rPr>
        <w:t xml:space="preserve"> Furthermore, in the 1800s, the dissent pointed out that the Supreme Court rejected the Executive’s effort to cancel a patent.</w:t>
      </w:r>
      <w:r w:rsidRPr="00677ABE">
        <w:rPr>
          <w:rStyle w:val="FootnoteReference"/>
          <w:rFonts w:cs="Times New Roman"/>
        </w:rPr>
        <w:footnoteReference w:id="1011"/>
      </w:r>
      <w:r w:rsidRPr="00677ABE">
        <w:rPr>
          <w:rFonts w:cs="Times New Roman"/>
        </w:rPr>
        <w:t xml:space="preserve"> The dissent was unpersuaded by the majority’s response that the case only interpreted statutes that were in force in 1898 and was inapplicable today.</w:t>
      </w:r>
      <w:r w:rsidRPr="00677ABE">
        <w:rPr>
          <w:rStyle w:val="FootnoteReference"/>
          <w:rFonts w:cs="Times New Roman"/>
        </w:rPr>
        <w:footnoteReference w:id="1012"/>
      </w:r>
    </w:p>
    <w:p w14:paraId="00E61315" w14:textId="6A172B2A" w:rsidR="008861C7" w:rsidRPr="00677ABE" w:rsidRDefault="008861C7" w:rsidP="00CA2C0A">
      <w:pPr>
        <w:pStyle w:val="Heading3"/>
        <w:ind w:firstLine="0"/>
        <w:rPr>
          <w:rFonts w:cs="Times New Roman"/>
          <w:i w:val="0"/>
        </w:rPr>
      </w:pPr>
      <w:bookmarkStart w:id="202" w:name="_Toc516586617"/>
      <w:bookmarkStart w:id="203" w:name="_Toc531692817"/>
      <w:r w:rsidRPr="00677ABE">
        <w:rPr>
          <w:rFonts w:cs="Times New Roman"/>
        </w:rPr>
        <w:t>SAS Institute Inc. v. Iancu</w:t>
      </w:r>
      <w:r w:rsidRPr="00677ABE">
        <w:rPr>
          <w:rFonts w:cs="Times New Roman"/>
          <w:i w:val="0"/>
        </w:rPr>
        <w:t>, No. 16-969, 2018 WL 1914661 (U.S. Apr. 24, 2018)</w:t>
      </w:r>
      <w:bookmarkEnd w:id="202"/>
      <w:bookmarkEnd w:id="203"/>
    </w:p>
    <w:p w14:paraId="1576B0D2" w14:textId="77777777" w:rsidR="008861C7" w:rsidRPr="00677ABE" w:rsidRDefault="008861C7" w:rsidP="00CA2C0A">
      <w:pPr>
        <w:rPr>
          <w:rFonts w:cs="Times New Roman"/>
          <w:lang w:eastAsia="x-none"/>
        </w:rPr>
      </w:pPr>
      <w:r w:rsidRPr="00677ABE">
        <w:rPr>
          <w:rFonts w:cs="Times New Roman"/>
          <w:lang w:eastAsia="x-none"/>
        </w:rPr>
        <w:tab/>
        <w:t>The Supreme Court ruled 5-4 that when the Patent Office elects to institute an inter partes review, it must institute review on all the claims in the petition and cannot selectively choose to limit its review to only some of the challenged claims.</w:t>
      </w:r>
      <w:r w:rsidRPr="00677ABE">
        <w:rPr>
          <w:rStyle w:val="FootnoteReference"/>
          <w:rFonts w:cs="Times New Roman"/>
          <w:lang w:eastAsia="x-none"/>
        </w:rPr>
        <w:footnoteReference w:id="1013"/>
      </w:r>
      <w:r w:rsidRPr="00677ABE">
        <w:rPr>
          <w:rFonts w:cs="Times New Roman"/>
          <w:lang w:eastAsia="x-none"/>
        </w:rPr>
        <w:t xml:space="preserve"> Section 318(a) provides that the Patent Office must “issue a final written decision with respect to the patentability of any patent claim challenged by the petitioner.”</w:t>
      </w:r>
      <w:r w:rsidRPr="00677ABE">
        <w:rPr>
          <w:rStyle w:val="FootnoteReference"/>
          <w:rFonts w:cs="Times New Roman"/>
          <w:lang w:eastAsia="x-none"/>
        </w:rPr>
        <w:footnoteReference w:id="1014"/>
      </w:r>
      <w:r w:rsidRPr="00677ABE">
        <w:rPr>
          <w:rFonts w:cs="Times New Roman"/>
          <w:lang w:eastAsia="x-none"/>
        </w:rPr>
        <w:t xml:space="preserve"> The Court determined that this statute provided a “clear answer” to the case: “[i]n this context, as in so many others, ‘any’ means ‘every.’ The agency cannot curate the claims at issue but must decide them all.”</w:t>
      </w:r>
      <w:r w:rsidRPr="00677ABE">
        <w:rPr>
          <w:rStyle w:val="FootnoteReference"/>
          <w:rFonts w:cs="Times New Roman"/>
          <w:lang w:eastAsia="x-none"/>
        </w:rPr>
        <w:footnoteReference w:id="1015"/>
      </w:r>
      <w:r w:rsidRPr="00677ABE">
        <w:rPr>
          <w:rFonts w:cs="Times New Roman"/>
          <w:lang w:eastAsia="x-none"/>
        </w:rPr>
        <w:t xml:space="preserve"> “Where a statute’s language carries a plain meaning, the duty of an administrative agency is to follow its commands as written, not to supplant those commands with others it may prefer.”</w:t>
      </w:r>
      <w:r w:rsidRPr="00677ABE">
        <w:rPr>
          <w:rStyle w:val="FootnoteReference"/>
          <w:rFonts w:cs="Times New Roman"/>
          <w:lang w:eastAsia="x-none"/>
        </w:rPr>
        <w:footnoteReference w:id="1016"/>
      </w:r>
    </w:p>
    <w:p w14:paraId="056A37DE" w14:textId="77777777" w:rsidR="008861C7" w:rsidRPr="00677ABE" w:rsidRDefault="008861C7" w:rsidP="00CA2C0A">
      <w:pPr>
        <w:rPr>
          <w:rFonts w:cs="Times New Roman"/>
        </w:rPr>
      </w:pPr>
      <w:r w:rsidRPr="00677ABE">
        <w:rPr>
          <w:rFonts w:cs="Times New Roman"/>
          <w:lang w:eastAsia="x-none"/>
        </w:rPr>
        <w:tab/>
      </w:r>
      <w:r w:rsidRPr="00677ABE">
        <w:rPr>
          <w:rFonts w:cs="Times New Roman"/>
        </w:rPr>
        <w:t>The Director argued that although the Board must decide every challenged claim, not every challenged claim has to gain admission to the review process.</w:t>
      </w:r>
      <w:r w:rsidRPr="00677ABE">
        <w:rPr>
          <w:rStyle w:val="FootnoteReference"/>
          <w:rFonts w:cs="Times New Roman"/>
        </w:rPr>
        <w:footnoteReference w:id="1017"/>
      </w:r>
      <w:r w:rsidRPr="00677ABE">
        <w:rPr>
          <w:rFonts w:cs="Times New Roman"/>
        </w:rPr>
        <w:t xml:space="preserve"> But “[t]he trouble is, nothing in the statute says anything like that.”</w:t>
      </w:r>
      <w:r w:rsidRPr="00677ABE">
        <w:rPr>
          <w:rStyle w:val="FootnoteReference"/>
          <w:rFonts w:cs="Times New Roman"/>
        </w:rPr>
        <w:footnoteReference w:id="1018"/>
      </w:r>
      <w:r w:rsidRPr="00677ABE">
        <w:rPr>
          <w:rFonts w:cs="Times New Roman"/>
        </w:rPr>
        <w:t xml:space="preserve"> Petitions for review are filed by parties, not the Director, which means “the petitioner, not the Director,[] gets to define the contours of the proceeding.”</w:t>
      </w:r>
      <w:r w:rsidRPr="00677ABE">
        <w:rPr>
          <w:rStyle w:val="FootnoteReference"/>
          <w:rFonts w:cs="Times New Roman"/>
        </w:rPr>
        <w:footnoteReference w:id="1019"/>
      </w:r>
      <w:r w:rsidRPr="00677ABE">
        <w:rPr>
          <w:rFonts w:cs="Times New Roman"/>
        </w:rPr>
        <w:t xml:space="preserve"> Section 314 permits the Director to do nothing more than make the “binary choice” as to whether to institute review.</w:t>
      </w:r>
      <w:r w:rsidRPr="00677ABE">
        <w:rPr>
          <w:rStyle w:val="FootnoteReference"/>
          <w:rFonts w:cs="Times New Roman"/>
        </w:rPr>
        <w:footnoteReference w:id="1020"/>
      </w:r>
      <w:r w:rsidRPr="00677ABE">
        <w:rPr>
          <w:rFonts w:cs="Times New Roman"/>
        </w:rPr>
        <w:t xml:space="preserve"> </w:t>
      </w:r>
    </w:p>
    <w:p w14:paraId="56EDFAE1" w14:textId="59D356E7" w:rsidR="008861C7" w:rsidRPr="00677ABE" w:rsidRDefault="008861C7" w:rsidP="00CA2C0A">
      <w:pPr>
        <w:rPr>
          <w:rFonts w:cs="Times New Roman"/>
          <w:lang w:eastAsia="x-none"/>
        </w:rPr>
      </w:pPr>
      <w:r w:rsidRPr="00677ABE">
        <w:rPr>
          <w:rFonts w:cs="Times New Roman"/>
          <w:lang w:eastAsia="x-none"/>
        </w:rPr>
        <w:tab/>
      </w:r>
      <w:r w:rsidRPr="00677ABE">
        <w:rPr>
          <w:rFonts w:cs="Times New Roman"/>
        </w:rPr>
        <w:t xml:space="preserve">The Director argued that because </w:t>
      </w:r>
      <w:r w:rsidR="00AC00E6">
        <w:rPr>
          <w:rFonts w:cs="Times New Roman"/>
        </w:rPr>
        <w:t>§ </w:t>
      </w:r>
      <w:r w:rsidRPr="00677ABE">
        <w:rPr>
          <w:rFonts w:cs="Times New Roman"/>
        </w:rPr>
        <w:t xml:space="preserve">314(a) says the Director must focus on the claims “in the petition” but </w:t>
      </w:r>
      <w:r w:rsidR="00AC00E6">
        <w:rPr>
          <w:rFonts w:cs="Times New Roman"/>
        </w:rPr>
        <w:t>§ </w:t>
      </w:r>
      <w:r w:rsidRPr="00677ABE">
        <w:rPr>
          <w:rFonts w:cs="Times New Roman"/>
        </w:rPr>
        <w:t>318(a) says the Board must resolve the claims challenged “by the petitioner,” this “[]slight[] linguistic discrepancy” means that the Director can selectively institute review on only some challenged claims.</w:t>
      </w:r>
      <w:r w:rsidRPr="00677ABE">
        <w:rPr>
          <w:rStyle w:val="FootnoteReference"/>
          <w:rFonts w:cs="Times New Roman"/>
        </w:rPr>
        <w:footnoteReference w:id="1021"/>
      </w:r>
      <w:r w:rsidRPr="00677ABE">
        <w:rPr>
          <w:rFonts w:cs="Times New Roman"/>
        </w:rPr>
        <w:t xml:space="preserve"> The Court disagreed because both </w:t>
      </w:r>
      <w:r w:rsidR="00AC00E6">
        <w:rPr>
          <w:rFonts w:cs="Times New Roman"/>
        </w:rPr>
        <w:t>§ </w:t>
      </w:r>
      <w:r w:rsidRPr="00677ABE">
        <w:rPr>
          <w:rFonts w:cs="Times New Roman"/>
        </w:rPr>
        <w:t xml:space="preserve">314(a) and </w:t>
      </w:r>
      <w:r w:rsidR="00AC00E6">
        <w:rPr>
          <w:rFonts w:cs="Times New Roman"/>
        </w:rPr>
        <w:t>§ </w:t>
      </w:r>
      <w:r w:rsidRPr="00677ABE">
        <w:rPr>
          <w:rFonts w:cs="Times New Roman"/>
        </w:rPr>
        <w:t>318(a) focus on the petitioner’s contentions, not the Director’s discretion.</w:t>
      </w:r>
      <w:r w:rsidRPr="00677ABE">
        <w:rPr>
          <w:rStyle w:val="FootnoteReference"/>
          <w:rFonts w:cs="Times New Roman"/>
        </w:rPr>
        <w:footnoteReference w:id="1022"/>
      </w:r>
      <w:r w:rsidRPr="00677ABE">
        <w:rPr>
          <w:rFonts w:cs="Times New Roman"/>
        </w:rPr>
        <w:t xml:space="preserve"> The discrepancy in language is more likely because the patent owner can cancel patent claims during the proceedings.</w:t>
      </w:r>
      <w:r w:rsidRPr="00677ABE">
        <w:rPr>
          <w:rStyle w:val="FootnoteReference"/>
          <w:rFonts w:cs="Times New Roman"/>
        </w:rPr>
        <w:footnoteReference w:id="1023"/>
      </w:r>
    </w:p>
    <w:p w14:paraId="02BE66EA" w14:textId="77777777" w:rsidR="008861C7" w:rsidRPr="00677ABE" w:rsidRDefault="008861C7" w:rsidP="00CA2C0A">
      <w:pPr>
        <w:ind w:firstLine="720"/>
        <w:rPr>
          <w:rFonts w:cs="Times New Roman"/>
        </w:rPr>
      </w:pPr>
      <w:r w:rsidRPr="00677ABE">
        <w:rPr>
          <w:rFonts w:cs="Times New Roman"/>
        </w:rPr>
        <w:t>Finally, the Director argued that the Court cannot second-guess this practice because under Section 314(d) the Director’s decisions to institute inter partes review are final and nonappealable.</w:t>
      </w:r>
      <w:r w:rsidRPr="00677ABE">
        <w:rPr>
          <w:rStyle w:val="FootnoteReference"/>
          <w:rFonts w:cs="Times New Roman"/>
        </w:rPr>
        <w:footnoteReference w:id="1024"/>
      </w:r>
      <w:r w:rsidRPr="00677ABE">
        <w:rPr>
          <w:rFonts w:cs="Times New Roman"/>
        </w:rPr>
        <w:t xml:space="preserve"> But section 314(d) does not inhibit courts from determining whether the agency is exceeding its statutory bounds, but only from reviewing the Director’s binary decision to institute review at all.</w:t>
      </w:r>
      <w:r w:rsidRPr="00677ABE">
        <w:rPr>
          <w:rStyle w:val="FootnoteReference"/>
          <w:rFonts w:cs="Times New Roman"/>
        </w:rPr>
        <w:footnoteReference w:id="1025"/>
      </w:r>
    </w:p>
    <w:p w14:paraId="5D7EE0A5" w14:textId="77777777" w:rsidR="008861C7" w:rsidRPr="00677ABE" w:rsidRDefault="008861C7" w:rsidP="00CA2C0A">
      <w:pPr>
        <w:ind w:firstLine="720"/>
        <w:rPr>
          <w:rFonts w:cs="Times New Roman"/>
        </w:rPr>
      </w:pPr>
      <w:r w:rsidRPr="00677ABE">
        <w:rPr>
          <w:rFonts w:cs="Times New Roman"/>
          <w:lang w:eastAsia="x-none"/>
        </w:rPr>
        <w:t xml:space="preserve">Justice Ginsburg, </w:t>
      </w:r>
      <w:r w:rsidRPr="00677ABE">
        <w:rPr>
          <w:rFonts w:cs="Times New Roman"/>
        </w:rPr>
        <w:t>joined by Justices Breyer, Sotomayor, and Kagan, wrote the first dissenting opinion.</w:t>
      </w:r>
      <w:r w:rsidRPr="00677ABE">
        <w:rPr>
          <w:rStyle w:val="FootnoteReference"/>
          <w:rFonts w:cs="Times New Roman"/>
        </w:rPr>
        <w:footnoteReference w:id="1026"/>
      </w:r>
      <w:r w:rsidRPr="00677ABE">
        <w:rPr>
          <w:rFonts w:cs="Times New Roman"/>
        </w:rPr>
        <w:t xml:space="preserve"> Justice Ginsburg explained that the Board can always deny a petition while noting that some of the specified claims warrant reexamination, and then institute review on a subsequent petition “shorn of challenges the Board finds unworthy of inter partes review. Why should the statute be read to preclude the Board’s more rational way to weed out insubstantial challenges?”</w:t>
      </w:r>
      <w:r w:rsidRPr="00677ABE">
        <w:rPr>
          <w:rStyle w:val="FootnoteReference"/>
          <w:rFonts w:cs="Times New Roman"/>
        </w:rPr>
        <w:footnoteReference w:id="1027"/>
      </w:r>
    </w:p>
    <w:p w14:paraId="677CF847" w14:textId="77777777" w:rsidR="008861C7" w:rsidRPr="00677ABE" w:rsidRDefault="008861C7" w:rsidP="00CA2C0A">
      <w:pPr>
        <w:ind w:firstLine="720"/>
        <w:rPr>
          <w:rFonts w:cs="Times New Roman"/>
        </w:rPr>
      </w:pPr>
      <w:r w:rsidRPr="00677ABE">
        <w:rPr>
          <w:rFonts w:cs="Times New Roman"/>
        </w:rPr>
        <w:t>Justice Breyer also wrote a second dissenting opinion, which was joined by Justices Ginsburg and Sotomayor, and by Justice Kagan except as to Part III-A.</w:t>
      </w:r>
      <w:r w:rsidRPr="00677ABE">
        <w:rPr>
          <w:rStyle w:val="FootnoteReference"/>
          <w:rFonts w:cs="Times New Roman"/>
        </w:rPr>
        <w:footnoteReference w:id="1028"/>
      </w:r>
      <w:r w:rsidRPr="00677ABE">
        <w:rPr>
          <w:rFonts w:cs="Times New Roman"/>
        </w:rPr>
        <w:t xml:space="preserve"> In Justice Breyer’s view, the agency’s view constitutes a reasonable interpretation of an ambiguous phrase and is thus entitled to </w:t>
      </w:r>
      <w:r w:rsidRPr="00677ABE">
        <w:rPr>
          <w:rFonts w:cs="Times New Roman"/>
          <w:i/>
        </w:rPr>
        <w:t>Chevron</w:t>
      </w:r>
      <w:r w:rsidRPr="00677ABE">
        <w:rPr>
          <w:rFonts w:cs="Times New Roman"/>
        </w:rPr>
        <w:t xml:space="preserve"> deference.</w:t>
      </w:r>
      <w:r w:rsidRPr="00677ABE">
        <w:rPr>
          <w:rStyle w:val="FootnoteReference"/>
          <w:rFonts w:cs="Times New Roman"/>
        </w:rPr>
        <w:footnoteReference w:id="1029"/>
      </w:r>
      <w:r w:rsidRPr="00677ABE">
        <w:rPr>
          <w:rFonts w:cs="Times New Roman"/>
        </w:rPr>
        <w:t xml:space="preserve"> Justice Breyer argued that “it is more than reasonable to think that the phrase ‘patent claim challenged by the petitioner’ refers to challenges made in the proceeding, not challenges made in the petition but never made a part of the proceeding.”</w:t>
      </w:r>
      <w:r w:rsidRPr="00677ABE">
        <w:rPr>
          <w:rStyle w:val="FootnoteReference"/>
          <w:rFonts w:cs="Times New Roman"/>
        </w:rPr>
        <w:footnoteReference w:id="1030"/>
      </w:r>
    </w:p>
    <w:p w14:paraId="40E06A5D" w14:textId="77777777" w:rsidR="00F20B84" w:rsidRDefault="008861C7" w:rsidP="00CA2C0A">
      <w:pPr>
        <w:ind w:firstLine="720"/>
        <w:rPr>
          <w:rFonts w:cs="Times New Roman"/>
          <w:lang w:eastAsia="x-none"/>
        </w:rPr>
      </w:pPr>
      <w:r w:rsidRPr="00677ABE">
        <w:rPr>
          <w:rFonts w:cs="Times New Roman"/>
          <w:lang w:eastAsia="x-none"/>
        </w:rPr>
        <w:t xml:space="preserve">In addition, Justice Breyer noted that “when we, as judges, </w:t>
      </w:r>
      <w:r w:rsidRPr="00677ABE">
        <w:rPr>
          <w:rFonts w:cs="Times New Roman"/>
        </w:rPr>
        <w:t>face a difficult text, it is often helpful to ask not just ‘whether’ or ‘what’ but also ‘why.’”</w:t>
      </w:r>
      <w:r w:rsidRPr="00677ABE">
        <w:rPr>
          <w:rStyle w:val="FootnoteReference"/>
          <w:rFonts w:cs="Times New Roman"/>
        </w:rPr>
        <w:footnoteReference w:id="1031"/>
      </w:r>
      <w:r w:rsidRPr="00677ABE">
        <w:rPr>
          <w:rFonts w:cs="Times New Roman"/>
        </w:rPr>
        <w:t xml:space="preserve"> More specifically, </w:t>
      </w:r>
      <w:r w:rsidRPr="00677ABE">
        <w:rPr>
          <w:rFonts w:cs="Times New Roman"/>
          <w:lang w:eastAsia="x-none"/>
        </w:rPr>
        <w:t>why “would Congress have intended to require the Board to proceed with an inter partes review, take evidence, and hear argument in respect to challenges to claims that the Board had previously determined has no ‘reasonable likelihood’ of success?”</w:t>
      </w:r>
      <w:r w:rsidRPr="00677ABE">
        <w:rPr>
          <w:rStyle w:val="FootnoteReference"/>
          <w:rFonts w:cs="Times New Roman"/>
          <w:lang w:eastAsia="x-none"/>
        </w:rPr>
        <w:footnoteReference w:id="1032"/>
      </w:r>
      <w:r w:rsidRPr="00677ABE">
        <w:rPr>
          <w:rFonts w:cs="Times New Roman"/>
          <w:lang w:eastAsia="x-none"/>
        </w:rPr>
        <w:t xml:space="preserve"> Rather, “[t]he </w:t>
      </w:r>
      <w:r w:rsidRPr="00677ABE">
        <w:rPr>
          <w:rFonts w:cs="Times New Roman"/>
        </w:rPr>
        <w:t>statute would seem to give the Director discretion to achieve the opposite, namely, to avoid wasting the Board’s time and effort.”</w:t>
      </w:r>
      <w:r w:rsidRPr="00677ABE">
        <w:rPr>
          <w:rStyle w:val="FootnoteReference"/>
          <w:rFonts w:cs="Times New Roman"/>
        </w:rPr>
        <w:footnoteReference w:id="1033"/>
      </w:r>
    </w:p>
    <w:p w14:paraId="23110074" w14:textId="77777777" w:rsidR="00F20B84" w:rsidRDefault="007D0629" w:rsidP="00CA2C0A">
      <w:pPr>
        <w:pStyle w:val="Heading2"/>
        <w:rPr>
          <w:rFonts w:cs="Times New Roman"/>
          <w:szCs w:val="24"/>
        </w:rPr>
      </w:pPr>
      <w:bookmarkStart w:id="204" w:name="_Toc531692818"/>
      <w:r w:rsidRPr="00677ABE">
        <w:rPr>
          <w:rFonts w:cs="Times New Roman"/>
          <w:szCs w:val="24"/>
        </w:rPr>
        <w:t>Inter Partes Review Procedure</w:t>
      </w:r>
      <w:r w:rsidR="00DE45FC" w:rsidRPr="00677ABE">
        <w:rPr>
          <w:rFonts w:cs="Times New Roman"/>
          <w:szCs w:val="24"/>
        </w:rPr>
        <w:t>: Interpreting SAS Institute</w:t>
      </w:r>
      <w:bookmarkEnd w:id="204"/>
    </w:p>
    <w:p w14:paraId="03D385B1" w14:textId="77777777" w:rsidR="00F20B84" w:rsidRDefault="00DE45FC" w:rsidP="00CA2C0A">
      <w:pPr>
        <w:pStyle w:val="Heading3"/>
        <w:ind w:firstLine="0"/>
        <w:rPr>
          <w:rFonts w:cs="Times New Roman"/>
        </w:rPr>
      </w:pPr>
      <w:bookmarkStart w:id="205" w:name="_Toc531692819"/>
      <w:bookmarkStart w:id="206" w:name="_Toc526093249"/>
      <w:r w:rsidRPr="00677ABE">
        <w:rPr>
          <w:rFonts w:cs="Times New Roman"/>
        </w:rPr>
        <w:t>Adidas AG</w:t>
      </w:r>
      <w:r w:rsidR="00712C22" w:rsidRPr="00677ABE">
        <w:rPr>
          <w:rFonts w:cs="Times New Roman"/>
        </w:rPr>
        <w:t xml:space="preserve"> v. </w:t>
      </w:r>
      <w:r w:rsidRPr="00677ABE">
        <w:rPr>
          <w:rFonts w:cs="Times New Roman"/>
        </w:rPr>
        <w:t>Nike, Inc.</w:t>
      </w:r>
      <w:r w:rsidRPr="00677ABE">
        <w:rPr>
          <w:rFonts w:cs="Times New Roman"/>
          <w:i w:val="0"/>
        </w:rPr>
        <w:t xml:space="preserve">, 894 F.3d 1256 (Fed. Cir. </w:t>
      </w:r>
      <w:r w:rsidR="002B3CF9" w:rsidRPr="00677ABE">
        <w:rPr>
          <w:rFonts w:cs="Times New Roman"/>
          <w:i w:val="0"/>
        </w:rPr>
        <w:t>July </w:t>
      </w:r>
      <w:r w:rsidRPr="00677ABE">
        <w:rPr>
          <w:rFonts w:cs="Times New Roman"/>
          <w:i w:val="0"/>
        </w:rPr>
        <w:t>2, 2018)</w:t>
      </w:r>
      <w:bookmarkEnd w:id="205"/>
      <w:r w:rsidRPr="00677ABE">
        <w:rPr>
          <w:rFonts w:cs="Times New Roman"/>
          <w:i w:val="0"/>
        </w:rPr>
        <w:t xml:space="preserve"> </w:t>
      </w:r>
      <w:bookmarkEnd w:id="206"/>
    </w:p>
    <w:p w14:paraId="746CE4B7" w14:textId="673930B7" w:rsidR="00DE45FC" w:rsidRPr="00677ABE" w:rsidRDefault="00DE45FC" w:rsidP="00CA2C0A">
      <w:pPr>
        <w:rPr>
          <w:rFonts w:cs="Times New Roman"/>
        </w:rPr>
      </w:pPr>
      <w:r w:rsidRPr="00677ABE">
        <w:rPr>
          <w:rFonts w:cs="Times New Roman"/>
        </w:rPr>
        <w:tab/>
        <w:t xml:space="preserve">In this appeal from the Patent Trial and Appeal Board (“PTAB”), the Federal Circuit granted appellant’s motion and remanded the matter for additional proceedings to consider and issue </w:t>
      </w:r>
      <w:r w:rsidR="00923A8D" w:rsidRPr="00677ABE">
        <w:rPr>
          <w:rFonts w:cs="Times New Roman"/>
        </w:rPr>
        <w:t xml:space="preserve">a </w:t>
      </w:r>
      <w:r w:rsidRPr="00677ABE">
        <w:rPr>
          <w:rFonts w:cs="Times New Roman"/>
        </w:rPr>
        <w:t xml:space="preserve">decision not only on all claims challenged </w:t>
      </w:r>
      <w:r w:rsidR="00FA2147" w:rsidRPr="00677ABE">
        <w:rPr>
          <w:rFonts w:cs="Times New Roman"/>
        </w:rPr>
        <w:t>but also</w:t>
      </w:r>
      <w:r w:rsidRPr="00677ABE">
        <w:rPr>
          <w:rFonts w:cs="Times New Roman"/>
        </w:rPr>
        <w:t xml:space="preserve"> on all grounds raised for those challenges.</w:t>
      </w:r>
      <w:r w:rsidRPr="00677ABE">
        <w:rPr>
          <w:rStyle w:val="FootnoteReference"/>
          <w:rFonts w:cs="Times New Roman"/>
        </w:rPr>
        <w:footnoteReference w:id="1034"/>
      </w:r>
      <w:r w:rsidR="00AC00E6">
        <w:rPr>
          <w:rFonts w:cs="Times New Roman"/>
        </w:rPr>
        <w:t xml:space="preserve"> </w:t>
      </w:r>
    </w:p>
    <w:p w14:paraId="108F288F" w14:textId="0ABC93B4" w:rsidR="00DE45FC" w:rsidRPr="00677ABE" w:rsidRDefault="00DE45FC" w:rsidP="000D3CB7">
      <w:pPr>
        <w:ind w:firstLine="720"/>
        <w:rPr>
          <w:rFonts w:cs="Times New Roman"/>
        </w:rPr>
      </w:pPr>
      <w:r w:rsidRPr="00677ABE">
        <w:rPr>
          <w:rFonts w:cs="Times New Roman"/>
        </w:rPr>
        <w:t xml:space="preserve">Adidas petitioned the U.S. Patent and Trademark Office to initiate </w:t>
      </w:r>
      <w:r w:rsidRPr="00677ABE">
        <w:rPr>
          <w:rFonts w:cs="Times New Roman"/>
          <w:i/>
        </w:rPr>
        <w:t>inter partes</w:t>
      </w:r>
      <w:r w:rsidRPr="00677ABE">
        <w:rPr>
          <w:rFonts w:cs="Times New Roman"/>
        </w:rPr>
        <w:t xml:space="preserve"> review (“IPR”) of several of Nike’s claims in two patents.</w:t>
      </w:r>
      <w:r w:rsidRPr="00677ABE">
        <w:rPr>
          <w:rStyle w:val="FootnoteReference"/>
          <w:rFonts w:cs="Times New Roman"/>
        </w:rPr>
        <w:footnoteReference w:id="1035"/>
      </w:r>
      <w:r w:rsidRPr="00677ABE">
        <w:rPr>
          <w:rFonts w:cs="Times New Roman"/>
        </w:rPr>
        <w:t xml:space="preserve"> Adidas challenged the claims as obvious based on two possible grounds: (1) a set of two references or, (2) a set of three references.</w:t>
      </w:r>
      <w:r w:rsidRPr="00677ABE">
        <w:rPr>
          <w:rStyle w:val="FootnoteReference"/>
          <w:rFonts w:cs="Times New Roman"/>
        </w:rPr>
        <w:footnoteReference w:id="1036"/>
      </w:r>
      <w:r w:rsidR="00AC00E6">
        <w:rPr>
          <w:rFonts w:cs="Times New Roman"/>
        </w:rPr>
        <w:t xml:space="preserve"> </w:t>
      </w:r>
      <w:r w:rsidRPr="00677ABE">
        <w:rPr>
          <w:rFonts w:cs="Times New Roman"/>
        </w:rPr>
        <w:t xml:space="preserve">The PTO granted IPR based on ground (1), </w:t>
      </w:r>
      <w:r w:rsidR="00816CD5" w:rsidRPr="00677ABE">
        <w:rPr>
          <w:rFonts w:cs="Times New Roman"/>
        </w:rPr>
        <w:t>and ultimately</w:t>
      </w:r>
      <w:r w:rsidRPr="00677ABE">
        <w:rPr>
          <w:rFonts w:cs="Times New Roman"/>
        </w:rPr>
        <w:t xml:space="preserve"> found </w:t>
      </w:r>
      <w:r w:rsidR="00816CD5" w:rsidRPr="00677ABE">
        <w:rPr>
          <w:rFonts w:cs="Times New Roman"/>
        </w:rPr>
        <w:t xml:space="preserve">that ground not persuasive; </w:t>
      </w:r>
      <w:r w:rsidRPr="00677ABE">
        <w:rPr>
          <w:rFonts w:cs="Times New Roman"/>
        </w:rPr>
        <w:t>it declined to consider ground (2)</w:t>
      </w:r>
      <w:r w:rsidR="006648FE" w:rsidRPr="00677ABE">
        <w:rPr>
          <w:rFonts w:cs="Times New Roman"/>
        </w:rPr>
        <w:t xml:space="preserve"> or say why its decision on ground (1) determined the outcome on ground (2)</w:t>
      </w:r>
      <w:r w:rsidRPr="00677ABE">
        <w:rPr>
          <w:rFonts w:cs="Times New Roman"/>
        </w:rPr>
        <w:t>.</w:t>
      </w:r>
      <w:r w:rsidR="006648FE" w:rsidRPr="00677ABE">
        <w:rPr>
          <w:rStyle w:val="FootnoteReference"/>
          <w:rFonts w:cs="Times New Roman"/>
        </w:rPr>
        <w:footnoteReference w:id="1037"/>
      </w:r>
      <w:r w:rsidRPr="00677ABE">
        <w:rPr>
          <w:rFonts w:cs="Times New Roman"/>
        </w:rPr>
        <w:t xml:space="preserve"> </w:t>
      </w:r>
    </w:p>
    <w:p w14:paraId="3092010D" w14:textId="77777777" w:rsidR="00F20B84" w:rsidRDefault="00DE45FC" w:rsidP="000D3CB7">
      <w:pPr>
        <w:ind w:firstLine="720"/>
        <w:rPr>
          <w:rFonts w:cs="Times New Roman"/>
        </w:rPr>
      </w:pPr>
      <w:r w:rsidRPr="00677ABE">
        <w:rPr>
          <w:rFonts w:cs="Times New Roman"/>
        </w:rPr>
        <w:t>On appeal, the Federal Circuit held</w:t>
      </w:r>
      <w:r w:rsidR="000F0FD7" w:rsidRPr="00677ABE">
        <w:rPr>
          <w:rFonts w:cs="Times New Roman"/>
        </w:rPr>
        <w:t xml:space="preserve"> </w:t>
      </w:r>
      <w:r w:rsidRPr="00677ABE">
        <w:rPr>
          <w:rFonts w:cs="Times New Roman"/>
        </w:rPr>
        <w:t xml:space="preserve">that </w:t>
      </w:r>
      <w:r w:rsidR="00FB26B6" w:rsidRPr="00677ABE">
        <w:rPr>
          <w:rFonts w:cs="Times New Roman"/>
          <w:i/>
        </w:rPr>
        <w:t>SAS Institute</w:t>
      </w:r>
      <w:r w:rsidR="00613182" w:rsidRPr="00677ABE">
        <w:rPr>
          <w:rFonts w:cs="Times New Roman"/>
          <w:i/>
        </w:rPr>
        <w:t>.</w:t>
      </w:r>
      <w:r w:rsidR="000F0FD7" w:rsidRPr="00677ABE">
        <w:rPr>
          <w:rFonts w:cs="Times New Roman"/>
        </w:rPr>
        <w:t xml:space="preserve"> requires</w:t>
      </w:r>
      <w:r w:rsidRPr="00677ABE">
        <w:rPr>
          <w:rFonts w:cs="Times New Roman"/>
        </w:rPr>
        <w:t xml:space="preserve"> </w:t>
      </w:r>
      <w:r w:rsidR="00613182" w:rsidRPr="00677ABE">
        <w:rPr>
          <w:rFonts w:cs="Times New Roman"/>
        </w:rPr>
        <w:t>that the PTAB consider</w:t>
      </w:r>
      <w:r w:rsidRPr="00677ABE">
        <w:rPr>
          <w:rFonts w:cs="Times New Roman"/>
        </w:rPr>
        <w:t xml:space="preserve"> and </w:t>
      </w:r>
      <w:r w:rsidR="00613182" w:rsidRPr="00677ABE">
        <w:rPr>
          <w:rFonts w:cs="Times New Roman"/>
        </w:rPr>
        <w:t>decide</w:t>
      </w:r>
      <w:r w:rsidRPr="00677ABE">
        <w:rPr>
          <w:rFonts w:cs="Times New Roman"/>
        </w:rPr>
        <w:t xml:space="preserve"> not only each claim challenged </w:t>
      </w:r>
      <w:r w:rsidR="00FA2147" w:rsidRPr="00677ABE">
        <w:rPr>
          <w:rFonts w:cs="Times New Roman"/>
        </w:rPr>
        <w:t>but also</w:t>
      </w:r>
      <w:r w:rsidRPr="00677ABE">
        <w:rPr>
          <w:rFonts w:cs="Times New Roman"/>
        </w:rPr>
        <w:t xml:space="preserve"> each ground for each challenge.</w:t>
      </w:r>
      <w:r w:rsidR="00613182" w:rsidRPr="00677ABE">
        <w:rPr>
          <w:rStyle w:val="FootnoteReference"/>
          <w:rFonts w:cs="Times New Roman"/>
        </w:rPr>
        <w:footnoteReference w:id="1038"/>
      </w:r>
      <w:r w:rsidRPr="00677ABE">
        <w:rPr>
          <w:rFonts w:cs="Times New Roman"/>
        </w:rPr>
        <w:t xml:space="preserve"> Nike had argued that </w:t>
      </w:r>
      <w:r w:rsidRPr="00677ABE">
        <w:rPr>
          <w:rFonts w:cs="Times New Roman"/>
          <w:i/>
        </w:rPr>
        <w:t>SAS</w:t>
      </w:r>
      <w:r w:rsidR="00FB26B6" w:rsidRPr="00677ABE">
        <w:rPr>
          <w:rFonts w:cs="Times New Roman"/>
          <w:i/>
        </w:rPr>
        <w:t xml:space="preserve"> Institute</w:t>
      </w:r>
      <w:r w:rsidR="003C2F5F" w:rsidRPr="00677ABE">
        <w:rPr>
          <w:rFonts w:cs="Times New Roman"/>
        </w:rPr>
        <w:t xml:space="preserve"> was limited to requiring that a</w:t>
      </w:r>
      <w:r w:rsidRPr="00677ABE">
        <w:rPr>
          <w:rFonts w:cs="Times New Roman"/>
        </w:rPr>
        <w:t xml:space="preserve"> decision be made on all claims petitioned, </w:t>
      </w:r>
      <w:r w:rsidR="003C2F5F" w:rsidRPr="00677ABE">
        <w:rPr>
          <w:rFonts w:cs="Times New Roman"/>
        </w:rPr>
        <w:t xml:space="preserve">but </w:t>
      </w:r>
      <w:r w:rsidRPr="00677ABE">
        <w:rPr>
          <w:rFonts w:cs="Times New Roman"/>
        </w:rPr>
        <w:t>not on all grounds.</w:t>
      </w:r>
      <w:r w:rsidR="003C2F5F" w:rsidRPr="00677ABE">
        <w:rPr>
          <w:rStyle w:val="FootnoteReference"/>
          <w:rFonts w:cs="Times New Roman"/>
        </w:rPr>
        <w:footnoteReference w:id="1039"/>
      </w:r>
      <w:r w:rsidRPr="00677ABE">
        <w:rPr>
          <w:rFonts w:cs="Times New Roman"/>
        </w:rPr>
        <w:t xml:space="preserve"> But</w:t>
      </w:r>
      <w:r w:rsidR="00FB26B6" w:rsidRPr="00677ABE">
        <w:rPr>
          <w:rFonts w:cs="Times New Roman"/>
        </w:rPr>
        <w:t xml:space="preserve"> under </w:t>
      </w:r>
      <w:r w:rsidR="00FB26B6" w:rsidRPr="00677ABE">
        <w:rPr>
          <w:rFonts w:cs="Times New Roman"/>
          <w:i/>
        </w:rPr>
        <w:t>SAS Institute</w:t>
      </w:r>
      <w:r w:rsidR="00FB26B6" w:rsidRPr="00677ABE">
        <w:rPr>
          <w:rFonts w:cs="Times New Roman"/>
        </w:rPr>
        <w:t>,</w:t>
      </w:r>
      <w:r w:rsidRPr="00677ABE">
        <w:rPr>
          <w:rFonts w:cs="Times New Roman"/>
        </w:rPr>
        <w:t xml:space="preserve"> “[e]ach claim” and “the grounds to the challenge to each claim,” are to be set by “the petitioner’s petition, not the Director’s discret</w:t>
      </w:r>
      <w:r w:rsidR="003C2F5F" w:rsidRPr="00677ABE">
        <w:rPr>
          <w:rFonts w:cs="Times New Roman"/>
        </w:rPr>
        <w:t>ion.</w:t>
      </w:r>
      <w:r w:rsidRPr="00677ABE">
        <w:rPr>
          <w:rFonts w:cs="Times New Roman"/>
        </w:rPr>
        <w:t>”</w:t>
      </w:r>
      <w:r w:rsidR="003C2F5F" w:rsidRPr="00677ABE">
        <w:rPr>
          <w:rStyle w:val="FootnoteReference"/>
          <w:rFonts w:cs="Times New Roman"/>
        </w:rPr>
        <w:footnoteReference w:id="1040"/>
      </w:r>
      <w:r w:rsidR="003C2F5F" w:rsidRPr="00677ABE">
        <w:rPr>
          <w:rFonts w:cs="Times New Roman"/>
        </w:rPr>
        <w:t xml:space="preserve"> </w:t>
      </w:r>
      <w:r w:rsidRPr="00677ABE">
        <w:rPr>
          <w:rFonts w:cs="Times New Roman"/>
        </w:rPr>
        <w:t>The Federal Circuit also cited its post-</w:t>
      </w:r>
      <w:r w:rsidRPr="00677ABE">
        <w:rPr>
          <w:rFonts w:cs="Times New Roman"/>
          <w:i/>
        </w:rPr>
        <w:t>SAS</w:t>
      </w:r>
      <w:r w:rsidR="00FB26B6" w:rsidRPr="00677ABE">
        <w:rPr>
          <w:rFonts w:cs="Times New Roman"/>
        </w:rPr>
        <w:t xml:space="preserve"> </w:t>
      </w:r>
      <w:r w:rsidR="00FB26B6" w:rsidRPr="00677ABE">
        <w:rPr>
          <w:rFonts w:cs="Times New Roman"/>
          <w:i/>
        </w:rPr>
        <w:t xml:space="preserve">Institute </w:t>
      </w:r>
      <w:r w:rsidRPr="00677ABE">
        <w:rPr>
          <w:rFonts w:cs="Times New Roman"/>
        </w:rPr>
        <w:t xml:space="preserve">decision in </w:t>
      </w:r>
      <w:r w:rsidRPr="00677ABE">
        <w:rPr>
          <w:rFonts w:cs="Times New Roman"/>
          <w:i/>
        </w:rPr>
        <w:t>PGS Geophysical AS</w:t>
      </w:r>
      <w:r w:rsidR="008B2CE9" w:rsidRPr="00677ABE">
        <w:rPr>
          <w:rFonts w:cs="Times New Roman"/>
        </w:rPr>
        <w:t>.</w:t>
      </w:r>
      <w:r w:rsidR="008B2CE9" w:rsidRPr="00677ABE">
        <w:rPr>
          <w:rStyle w:val="FootnoteReference"/>
          <w:rFonts w:cs="Times New Roman"/>
        </w:rPr>
        <w:footnoteReference w:id="1041"/>
      </w:r>
      <w:r w:rsidR="00EB68A8" w:rsidRPr="00677ABE">
        <w:rPr>
          <w:rFonts w:cs="Times New Roman"/>
        </w:rPr>
        <w:t xml:space="preserve"> It remanded </w:t>
      </w:r>
      <w:r w:rsidR="00052679" w:rsidRPr="00677ABE">
        <w:rPr>
          <w:rFonts w:cs="Times New Roman"/>
        </w:rPr>
        <w:t>to</w:t>
      </w:r>
      <w:r w:rsidR="00EB68A8" w:rsidRPr="00677ABE">
        <w:rPr>
          <w:rFonts w:cs="Times New Roman"/>
        </w:rPr>
        <w:t xml:space="preserve"> the PTAB to decide all grounds.</w:t>
      </w:r>
    </w:p>
    <w:p w14:paraId="063D0D96" w14:textId="64BC8D9F" w:rsidR="00575ADD" w:rsidRPr="00677ABE" w:rsidRDefault="00575ADD" w:rsidP="00CA2C0A">
      <w:pPr>
        <w:pStyle w:val="Heading3"/>
        <w:ind w:firstLine="0"/>
        <w:rPr>
          <w:rFonts w:cs="Times New Roman"/>
          <w:i w:val="0"/>
        </w:rPr>
      </w:pPr>
      <w:bookmarkStart w:id="207" w:name="_Toc531692820"/>
      <w:r w:rsidRPr="00692758">
        <w:rPr>
          <w:rFonts w:cs="Times New Roman"/>
        </w:rPr>
        <w:t>Alcatel-Lucent USA Inc. v. Oyster Optics, LLC</w:t>
      </w:r>
      <w:r w:rsidRPr="00692758">
        <w:rPr>
          <w:rFonts w:cs="Times New Roman"/>
          <w:i w:val="0"/>
        </w:rPr>
        <w:t xml:space="preserve">, No. </w:t>
      </w:r>
      <w:r w:rsidRPr="00677ABE">
        <w:rPr>
          <w:rFonts w:cs="Times New Roman"/>
          <w:i w:val="0"/>
        </w:rPr>
        <w:t>IPR2018-00070, 2018 WL 4191599 (P.T.A.B. Aug. 31, 2018)</w:t>
      </w:r>
      <w:bookmarkEnd w:id="207"/>
    </w:p>
    <w:p w14:paraId="597A9D6C" w14:textId="77777777" w:rsidR="00575ADD" w:rsidRPr="00677ABE" w:rsidRDefault="00575ADD" w:rsidP="00CA2C0A">
      <w:pPr>
        <w:rPr>
          <w:rFonts w:cs="Times New Roman"/>
        </w:rPr>
      </w:pPr>
      <w:r w:rsidRPr="00677ABE">
        <w:rPr>
          <w:rFonts w:cs="Times New Roman"/>
        </w:rPr>
        <w:tab/>
        <w:t xml:space="preserve">In this </w:t>
      </w:r>
      <w:r w:rsidRPr="00677ABE">
        <w:rPr>
          <w:rFonts w:cs="Times New Roman"/>
          <w:i/>
        </w:rPr>
        <w:t>inter partes</w:t>
      </w:r>
      <w:r w:rsidRPr="00677ABE">
        <w:rPr>
          <w:rFonts w:cs="Times New Roman"/>
        </w:rPr>
        <w:t xml:space="preserve"> review (“IPR”) institution decision, the Patent Trial and Appeal Board (“PTAB”) denied a request for rehearing by panel, holding that an institution decision need not analyze every challenged claim nor every asserted ground in the petition, despite </w:t>
      </w:r>
      <w:r w:rsidRPr="00677ABE">
        <w:rPr>
          <w:rFonts w:cs="Times New Roman"/>
          <w:i/>
        </w:rPr>
        <w:t>SAS Institute</w:t>
      </w:r>
      <w:r w:rsidRPr="00677ABE">
        <w:rPr>
          <w:rFonts w:cs="Times New Roman"/>
        </w:rPr>
        <w:t>.</w:t>
      </w:r>
      <w:r w:rsidRPr="00677ABE">
        <w:rPr>
          <w:rStyle w:val="FootnoteReference"/>
          <w:rFonts w:cs="Times New Roman"/>
        </w:rPr>
        <w:footnoteReference w:id="1042"/>
      </w:r>
      <w:r w:rsidRPr="00677ABE">
        <w:rPr>
          <w:rFonts w:cs="Times New Roman"/>
        </w:rPr>
        <w:t xml:space="preserve"> </w:t>
      </w:r>
    </w:p>
    <w:p w14:paraId="4FF61E5C" w14:textId="14F93B45" w:rsidR="00575ADD" w:rsidRPr="00677ABE" w:rsidRDefault="00575ADD" w:rsidP="00CA2C0A">
      <w:pPr>
        <w:rPr>
          <w:rFonts w:cs="Times New Roman"/>
        </w:rPr>
      </w:pPr>
      <w:r w:rsidRPr="00677ABE">
        <w:rPr>
          <w:rFonts w:cs="Times New Roman"/>
        </w:rPr>
        <w:tab/>
        <w:t>The PTAB first decided to institute review but did not address in its decision every claim and every ground petitioned.</w:t>
      </w:r>
      <w:r w:rsidRPr="00677ABE">
        <w:rPr>
          <w:rStyle w:val="FootnoteReference"/>
          <w:rFonts w:cs="Times New Roman"/>
        </w:rPr>
        <w:footnoteReference w:id="1043"/>
      </w:r>
      <w:r w:rsidRPr="00677ABE">
        <w:rPr>
          <w:rFonts w:cs="Times New Roman"/>
        </w:rPr>
        <w:t xml:space="preserve"> The patent owner claimed the administrative patent judges had thereby erred, citing the recent Supreme Court case interpreting </w:t>
      </w:r>
      <w:r w:rsidR="00AC00E6">
        <w:rPr>
          <w:rFonts w:cs="Times New Roman"/>
        </w:rPr>
        <w:t>§ </w:t>
      </w:r>
      <w:r w:rsidRPr="00677ABE">
        <w:rPr>
          <w:rFonts w:cs="Times New Roman"/>
        </w:rPr>
        <w:t>314,</w:t>
      </w:r>
      <w:r w:rsidRPr="00677ABE">
        <w:rPr>
          <w:rFonts w:cs="Times New Roman"/>
          <w:i/>
        </w:rPr>
        <w:t xml:space="preserve"> SAS Institute</w:t>
      </w:r>
      <w:r w:rsidRPr="00677ABE">
        <w:rPr>
          <w:rFonts w:cs="Times New Roman"/>
        </w:rPr>
        <w:t xml:space="preserve">, and the regulation written to implement it, 37 C.F.R. </w:t>
      </w:r>
      <w:r w:rsidR="00AC00E6">
        <w:rPr>
          <w:rFonts w:cs="Times New Roman"/>
        </w:rPr>
        <w:t>§ </w:t>
      </w:r>
      <w:r w:rsidRPr="00677ABE">
        <w:rPr>
          <w:rFonts w:cs="Times New Roman"/>
        </w:rPr>
        <w:t>42.108(c).</w:t>
      </w:r>
      <w:r w:rsidRPr="00677ABE">
        <w:rPr>
          <w:rStyle w:val="FootnoteReference"/>
          <w:rFonts w:cs="Times New Roman"/>
        </w:rPr>
        <w:footnoteReference w:id="1044"/>
      </w:r>
    </w:p>
    <w:p w14:paraId="4DA05131" w14:textId="77777777" w:rsidR="00F20B84" w:rsidRDefault="00575ADD" w:rsidP="00CA2C0A">
      <w:pPr>
        <w:rPr>
          <w:rFonts w:cs="Times New Roman"/>
        </w:rPr>
      </w:pPr>
      <w:r w:rsidRPr="00677ABE">
        <w:rPr>
          <w:rFonts w:cs="Times New Roman"/>
        </w:rPr>
        <w:tab/>
        <w:t xml:space="preserve">The PTAB denied rehearing by panel by distinguishing the issue in </w:t>
      </w:r>
      <w:r w:rsidRPr="00677ABE">
        <w:rPr>
          <w:rFonts w:cs="Times New Roman"/>
          <w:i/>
        </w:rPr>
        <w:t xml:space="preserve">SAS Institute </w:t>
      </w:r>
      <w:r w:rsidRPr="00677ABE">
        <w:rPr>
          <w:rFonts w:cs="Times New Roman"/>
        </w:rPr>
        <w:t xml:space="preserve">from the issue here. </w:t>
      </w:r>
      <w:r w:rsidRPr="00677ABE">
        <w:rPr>
          <w:rFonts w:cs="Times New Roman"/>
          <w:i/>
        </w:rPr>
        <w:t>SAS Institute</w:t>
      </w:r>
      <w:r w:rsidRPr="00677ABE">
        <w:rPr>
          <w:rFonts w:cs="Times New Roman"/>
        </w:rPr>
        <w:t xml:space="preserve"> requires the PTAB to institute IPR for all claims challenged when at least one claim has a reasonable likelihood of being found unpatentable, and it requires that the PTAB’s </w:t>
      </w:r>
      <w:r w:rsidRPr="00677ABE">
        <w:rPr>
          <w:rFonts w:cs="Times New Roman"/>
          <w:i/>
        </w:rPr>
        <w:t>final</w:t>
      </w:r>
      <w:r w:rsidRPr="00677ABE">
        <w:rPr>
          <w:rFonts w:cs="Times New Roman"/>
        </w:rPr>
        <w:t xml:space="preserve"> written decision address all claims and all grounds.</w:t>
      </w:r>
      <w:r w:rsidRPr="00677ABE">
        <w:rPr>
          <w:rStyle w:val="FootnoteReference"/>
          <w:rFonts w:cs="Times New Roman"/>
        </w:rPr>
        <w:footnoteReference w:id="1045"/>
      </w:r>
      <w:r w:rsidRPr="00677ABE">
        <w:rPr>
          <w:rFonts w:cs="Times New Roman"/>
        </w:rPr>
        <w:t xml:space="preserve"> But it does not require that the PTAB’s </w:t>
      </w:r>
      <w:r w:rsidRPr="00677ABE">
        <w:rPr>
          <w:rFonts w:cs="Times New Roman"/>
          <w:i/>
        </w:rPr>
        <w:t>institution</w:t>
      </w:r>
      <w:r w:rsidRPr="00677ABE">
        <w:rPr>
          <w:rFonts w:cs="Times New Roman"/>
        </w:rPr>
        <w:t xml:space="preserve"> decision address them—indeed, the PTAB can institute review without surveying any other claim once it believes at least one claim is likely unpatentable.</w:t>
      </w:r>
      <w:r w:rsidRPr="00677ABE">
        <w:rPr>
          <w:rStyle w:val="FootnoteReference"/>
          <w:rFonts w:cs="Times New Roman"/>
        </w:rPr>
        <w:footnoteReference w:id="1046"/>
      </w:r>
      <w:r w:rsidRPr="00677ABE">
        <w:rPr>
          <w:rFonts w:cs="Times New Roman"/>
        </w:rPr>
        <w:t xml:space="preserve"> </w:t>
      </w:r>
    </w:p>
    <w:p w14:paraId="2F48416C" w14:textId="51265E4E" w:rsidR="00F20B84" w:rsidRDefault="00DE45FC" w:rsidP="00CA2C0A">
      <w:pPr>
        <w:pStyle w:val="Heading2"/>
        <w:rPr>
          <w:rFonts w:cs="Times New Roman"/>
          <w:szCs w:val="24"/>
        </w:rPr>
      </w:pPr>
      <w:bookmarkStart w:id="208" w:name="_Toc531692821"/>
      <w:r w:rsidRPr="00677ABE">
        <w:rPr>
          <w:rFonts w:cs="Times New Roman"/>
          <w:szCs w:val="24"/>
        </w:rPr>
        <w:t>Inter Partes Review Procedure: Other</w:t>
      </w:r>
      <w:bookmarkEnd w:id="208"/>
    </w:p>
    <w:p w14:paraId="367DE677" w14:textId="24A5E675" w:rsidR="00107FAD" w:rsidRDefault="00107FAD" w:rsidP="00107FAD">
      <w:pPr>
        <w:pStyle w:val="Heading3"/>
      </w:pPr>
      <w:r>
        <w:tab/>
      </w:r>
      <w:bookmarkStart w:id="209" w:name="_Toc531692822"/>
      <w:r w:rsidRPr="00300BD8">
        <w:t>Bennett Regulator Guards, Inc. v. Atlanta Gas Light Co.</w:t>
      </w:r>
      <w:r w:rsidRPr="00107FAD">
        <w:rPr>
          <w:i w:val="0"/>
        </w:rPr>
        <w:t>, 905 F.3d 1311 (Fed. Cir. Sept. 28, 2018)</w:t>
      </w:r>
      <w:bookmarkEnd w:id="209"/>
    </w:p>
    <w:p w14:paraId="16FF4311" w14:textId="77777777" w:rsidR="00107FAD" w:rsidRPr="00300BD8" w:rsidRDefault="00107FAD" w:rsidP="00107FAD">
      <w:pPr>
        <w:rPr>
          <w:rFonts w:cs="Times New Roman"/>
          <w:color w:val="000000" w:themeColor="text1"/>
        </w:rPr>
      </w:pPr>
      <w:r w:rsidRPr="00300BD8">
        <w:rPr>
          <w:rFonts w:cs="Times New Roman"/>
          <w:color w:val="000000" w:themeColor="text1"/>
        </w:rPr>
        <w:tab/>
        <w:t xml:space="preserve">In this appeal from an </w:t>
      </w:r>
      <w:r w:rsidRPr="00300BD8">
        <w:rPr>
          <w:rFonts w:cs="Times New Roman"/>
          <w:i/>
          <w:color w:val="000000" w:themeColor="text1"/>
        </w:rPr>
        <w:t>inter partes</w:t>
      </w:r>
      <w:r w:rsidRPr="00300BD8">
        <w:rPr>
          <w:rFonts w:cs="Times New Roman"/>
          <w:color w:val="000000" w:themeColor="text1"/>
        </w:rPr>
        <w:t xml:space="preserve"> review (“IPR”) at the Patent Trial and Appeal Board (“PTAB”), the Federal Circuit held the proceeding had been time-barred under § 315(b) because petitioner filed it more than a year after having been served with a complaint, even though a district court dismissed that complaint involuntarily and without prejudice in the interim.</w:t>
      </w:r>
      <w:r w:rsidRPr="00300BD8">
        <w:rPr>
          <w:rStyle w:val="FootnoteReference"/>
          <w:rFonts w:cs="Times New Roman"/>
          <w:color w:val="000000" w:themeColor="text1"/>
        </w:rPr>
        <w:footnoteReference w:id="1047"/>
      </w:r>
      <w:r w:rsidRPr="00300BD8">
        <w:rPr>
          <w:rFonts w:cs="Times New Roman"/>
          <w:color w:val="000000" w:themeColor="text1"/>
        </w:rPr>
        <w:t xml:space="preserve"> </w:t>
      </w:r>
    </w:p>
    <w:p w14:paraId="59BCA2DD" w14:textId="5EB87630" w:rsidR="00107FAD" w:rsidRPr="00300BD8" w:rsidRDefault="00107FAD" w:rsidP="00107FAD">
      <w:pPr>
        <w:rPr>
          <w:rFonts w:cs="Times New Roman"/>
          <w:color w:val="000000" w:themeColor="text1"/>
        </w:rPr>
      </w:pPr>
      <w:r w:rsidRPr="00300BD8">
        <w:rPr>
          <w:rFonts w:cs="Times New Roman"/>
          <w:color w:val="000000" w:themeColor="text1"/>
        </w:rPr>
        <w:tab/>
        <w:t>In 2012, Bennett served Atlanta Gas with an infringement complaint; in 2015, after that complaint</w:t>
      </w:r>
      <w:r w:rsidR="002E3532">
        <w:rPr>
          <w:rFonts w:cs="Times New Roman"/>
          <w:color w:val="000000" w:themeColor="text1"/>
        </w:rPr>
        <w:t xml:space="preserve"> was</w:t>
      </w:r>
      <w:r w:rsidRPr="00300BD8">
        <w:rPr>
          <w:rFonts w:cs="Times New Roman"/>
          <w:color w:val="000000" w:themeColor="text1"/>
        </w:rPr>
        <w:t xml:space="preserve"> dismiss</w:t>
      </w:r>
      <w:r w:rsidR="002E3532">
        <w:rPr>
          <w:rFonts w:cs="Times New Roman"/>
          <w:color w:val="000000" w:themeColor="text1"/>
        </w:rPr>
        <w:t>ed</w:t>
      </w:r>
      <w:r w:rsidRPr="00300BD8">
        <w:rPr>
          <w:rFonts w:cs="Times New Roman"/>
          <w:color w:val="000000" w:themeColor="text1"/>
        </w:rPr>
        <w:t>, Atlanta gas petitioned for IPR.</w:t>
      </w:r>
      <w:r w:rsidRPr="00300BD8">
        <w:rPr>
          <w:rStyle w:val="FootnoteReference"/>
          <w:rFonts w:cs="Times New Roman"/>
          <w:color w:val="000000" w:themeColor="text1"/>
        </w:rPr>
        <w:footnoteReference w:id="1048"/>
      </w:r>
      <w:r w:rsidRPr="00300BD8">
        <w:rPr>
          <w:rFonts w:cs="Times New Roman"/>
          <w:color w:val="000000" w:themeColor="text1"/>
        </w:rPr>
        <w:t xml:space="preserve"> Section 315(b) prohibits institution “if the petition requesting the proceeding is filed more than 1 year after the date on which the petitioner . . . is served with a complaint alleging infringement of the patent.”</w:t>
      </w:r>
      <w:r w:rsidRPr="00300BD8">
        <w:rPr>
          <w:rStyle w:val="FootnoteReference"/>
          <w:rFonts w:cs="Times New Roman"/>
          <w:color w:val="000000" w:themeColor="text1"/>
        </w:rPr>
        <w:footnoteReference w:id="1049"/>
      </w:r>
      <w:r w:rsidRPr="00300BD8">
        <w:rPr>
          <w:rFonts w:cs="Times New Roman"/>
          <w:color w:val="000000" w:themeColor="text1"/>
        </w:rPr>
        <w:t xml:space="preserve"> The PTAB found that the court’s decision to dismiss the case without prejudice and against plaintiff’s wishes nullified the initial complaint.</w:t>
      </w:r>
      <w:r w:rsidRPr="00300BD8">
        <w:rPr>
          <w:rStyle w:val="FootnoteReference"/>
          <w:rFonts w:cs="Times New Roman"/>
          <w:color w:val="000000" w:themeColor="text1"/>
        </w:rPr>
        <w:footnoteReference w:id="1050"/>
      </w:r>
      <w:r w:rsidRPr="00300BD8">
        <w:rPr>
          <w:rFonts w:cs="Times New Roman"/>
          <w:color w:val="000000" w:themeColor="text1"/>
        </w:rPr>
        <w:t xml:space="preserve"> </w:t>
      </w:r>
    </w:p>
    <w:p w14:paraId="06D173FD" w14:textId="295BCC9A" w:rsidR="00107FAD" w:rsidRPr="00107FAD" w:rsidRDefault="00107FAD" w:rsidP="00107FAD">
      <w:pPr>
        <w:rPr>
          <w:rFonts w:cs="Times New Roman"/>
          <w:color w:val="000000" w:themeColor="text1"/>
        </w:rPr>
      </w:pPr>
      <w:r w:rsidRPr="00300BD8">
        <w:rPr>
          <w:rFonts w:cs="Times New Roman"/>
          <w:color w:val="000000" w:themeColor="text1"/>
        </w:rPr>
        <w:tab/>
        <w:t>On appeal, the Federal Circuit held the IPR time-barred</w:t>
      </w:r>
      <w:r w:rsidR="00985180">
        <w:rPr>
          <w:rFonts w:cs="Times New Roman"/>
          <w:color w:val="000000" w:themeColor="text1"/>
        </w:rPr>
        <w:t>,</w:t>
      </w:r>
      <w:r w:rsidRPr="00300BD8">
        <w:rPr>
          <w:rFonts w:cs="Times New Roman"/>
          <w:color w:val="000000" w:themeColor="text1"/>
        </w:rPr>
        <w:t xml:space="preserve"> extend</w:t>
      </w:r>
      <w:r w:rsidR="00985180">
        <w:rPr>
          <w:rFonts w:cs="Times New Roman"/>
          <w:color w:val="000000" w:themeColor="text1"/>
        </w:rPr>
        <w:t>ing</w:t>
      </w:r>
      <w:r w:rsidRPr="00300BD8">
        <w:rPr>
          <w:rFonts w:cs="Times New Roman"/>
          <w:color w:val="000000" w:themeColor="text1"/>
        </w:rPr>
        <w:t xml:space="preserve"> its holding in </w:t>
      </w:r>
      <w:r w:rsidRPr="00300BD8">
        <w:rPr>
          <w:rFonts w:cs="Times New Roman"/>
          <w:i/>
          <w:color w:val="000000" w:themeColor="text1"/>
        </w:rPr>
        <w:t>Click-to-Call Techs.</w:t>
      </w:r>
      <w:r w:rsidRPr="00300BD8">
        <w:rPr>
          <w:rStyle w:val="FootnoteReference"/>
          <w:rFonts w:cs="Times New Roman"/>
          <w:i/>
          <w:color w:val="000000" w:themeColor="text1"/>
        </w:rPr>
        <w:footnoteReference w:id="1051"/>
      </w:r>
      <w:r w:rsidRPr="00300BD8">
        <w:rPr>
          <w:rFonts w:cs="Times New Roman"/>
          <w:i/>
          <w:color w:val="000000" w:themeColor="text1"/>
        </w:rPr>
        <w:t xml:space="preserve"> </w:t>
      </w:r>
      <w:r w:rsidRPr="00300BD8">
        <w:rPr>
          <w:rFonts w:cs="Times New Roman"/>
          <w:color w:val="000000" w:themeColor="text1"/>
        </w:rPr>
        <w:t>There, the court</w:t>
      </w:r>
      <w:r w:rsidR="00985180">
        <w:rPr>
          <w:rFonts w:cs="Times New Roman"/>
          <w:color w:val="000000" w:themeColor="text1"/>
        </w:rPr>
        <w:t xml:space="preserve"> had</w:t>
      </w:r>
      <w:r w:rsidRPr="00300BD8">
        <w:rPr>
          <w:rFonts w:cs="Times New Roman"/>
          <w:color w:val="000000" w:themeColor="text1"/>
        </w:rPr>
        <w:t xml:space="preserve"> held that § 315(b) applied even when the complaint that started the clock was dismissed voluntarily and without prejudice.</w:t>
      </w:r>
      <w:r w:rsidRPr="00300BD8">
        <w:rPr>
          <w:rStyle w:val="FootnoteReference"/>
          <w:rFonts w:cs="Times New Roman"/>
          <w:color w:val="000000" w:themeColor="text1"/>
        </w:rPr>
        <w:footnoteReference w:id="1052"/>
      </w:r>
      <w:r w:rsidRPr="00300BD8">
        <w:rPr>
          <w:rFonts w:cs="Times New Roman"/>
          <w:color w:val="000000" w:themeColor="text1"/>
        </w:rPr>
        <w:t xml:space="preserve"> Here, the court held that “[j]ust as the statute includes no exception for a voluntarily dismissed complaint, it includes no exception for an involuntarily dismissed complaint.”</w:t>
      </w:r>
      <w:r w:rsidRPr="00300BD8">
        <w:rPr>
          <w:rStyle w:val="FootnoteReference"/>
          <w:rFonts w:cs="Times New Roman"/>
          <w:color w:val="000000" w:themeColor="text1"/>
        </w:rPr>
        <w:footnoteReference w:id="1053"/>
      </w:r>
      <w:r w:rsidRPr="00300BD8">
        <w:rPr>
          <w:rFonts w:cs="Times New Roman"/>
          <w:color w:val="000000" w:themeColor="text1"/>
        </w:rPr>
        <w:t xml:space="preserve"> The “</w:t>
      </w:r>
      <w:r w:rsidRPr="00300BD8">
        <w:rPr>
          <w:rFonts w:cs="Times New Roman"/>
          <w:i/>
          <w:color w:val="000000" w:themeColor="text1"/>
        </w:rPr>
        <w:t xml:space="preserve">service </w:t>
      </w:r>
      <w:r w:rsidRPr="00300BD8">
        <w:rPr>
          <w:rFonts w:cs="Times New Roman"/>
          <w:color w:val="000000" w:themeColor="text1"/>
        </w:rPr>
        <w:t>of a complaint starts § 315(b)’s clock.”</w:t>
      </w:r>
      <w:r w:rsidRPr="00300BD8">
        <w:rPr>
          <w:rStyle w:val="FootnoteReference"/>
          <w:rFonts w:cs="Times New Roman"/>
          <w:color w:val="000000" w:themeColor="text1"/>
        </w:rPr>
        <w:footnoteReference w:id="1054"/>
      </w:r>
    </w:p>
    <w:p w14:paraId="1CBD13F6" w14:textId="1A57A456" w:rsidR="00C05071" w:rsidRPr="00677ABE" w:rsidRDefault="00C05071" w:rsidP="00CA2C0A">
      <w:pPr>
        <w:pStyle w:val="Heading3"/>
        <w:ind w:firstLine="0"/>
        <w:rPr>
          <w:rFonts w:cs="Times New Roman"/>
          <w:i w:val="0"/>
        </w:rPr>
      </w:pPr>
      <w:bookmarkStart w:id="210" w:name="_Toc516586622"/>
      <w:bookmarkStart w:id="211" w:name="_Toc531692823"/>
      <w:r w:rsidRPr="00677ABE">
        <w:rPr>
          <w:rFonts w:cs="Times New Roman"/>
        </w:rPr>
        <w:t>Wi-Fi One, LLC v. Broadcom Corp.</w:t>
      </w:r>
      <w:r w:rsidRPr="00677ABE">
        <w:rPr>
          <w:rFonts w:cs="Times New Roman"/>
          <w:i w:val="0"/>
        </w:rPr>
        <w:t>, 878 F.3d 1364 (Fed. Cir. Jan. 8, 2018) (en banc)</w:t>
      </w:r>
      <w:bookmarkEnd w:id="210"/>
      <w:bookmarkEnd w:id="211"/>
    </w:p>
    <w:p w14:paraId="1CB38B1A" w14:textId="403500F6" w:rsidR="00C05071" w:rsidRPr="00677ABE" w:rsidRDefault="00C05071" w:rsidP="00CA2C0A">
      <w:pPr>
        <w:rPr>
          <w:rFonts w:cs="Times New Roman"/>
        </w:rPr>
      </w:pPr>
      <w:r w:rsidRPr="00677ABE">
        <w:rPr>
          <w:rFonts w:cs="Times New Roman"/>
          <w:lang w:eastAsia="x-none"/>
        </w:rPr>
        <w:tab/>
      </w:r>
      <w:r w:rsidRPr="00677ABE">
        <w:rPr>
          <w:rFonts w:cs="Times New Roman"/>
        </w:rPr>
        <w:t xml:space="preserve">The Federal Circuit </w:t>
      </w:r>
      <w:r w:rsidRPr="00677ABE">
        <w:rPr>
          <w:rFonts w:cs="Times New Roman"/>
          <w:i/>
        </w:rPr>
        <w:t>en banc</w:t>
      </w:r>
      <w:r w:rsidRPr="00677ABE">
        <w:rPr>
          <w:rFonts w:cs="Times New Roman"/>
        </w:rPr>
        <w:t xml:space="preserve"> overruled a prior panel decision in </w:t>
      </w:r>
      <w:r w:rsidRPr="00677ABE">
        <w:rPr>
          <w:rFonts w:cs="Times New Roman"/>
          <w:i/>
        </w:rPr>
        <w:t>Achates Reference Publishing, Inc. v. Apple Inc.</w:t>
      </w:r>
      <w:r w:rsidRPr="00677ABE">
        <w:rPr>
          <w:rStyle w:val="FootnoteReference"/>
          <w:rFonts w:cs="Times New Roman"/>
        </w:rPr>
        <w:footnoteReference w:id="1055"/>
      </w:r>
      <w:r w:rsidRPr="00677ABE">
        <w:rPr>
          <w:rFonts w:cs="Times New Roman"/>
        </w:rPr>
        <w:t xml:space="preserve"> holding that the PTAB’s </w:t>
      </w:r>
      <w:r w:rsidR="00AC00E6">
        <w:rPr>
          <w:rFonts w:cs="Times New Roman"/>
        </w:rPr>
        <w:t>§ </w:t>
      </w:r>
      <w:r w:rsidRPr="00677ABE">
        <w:rPr>
          <w:rFonts w:cs="Times New Roman"/>
        </w:rPr>
        <w:t xml:space="preserve">315(b) time-bar determination is final and nonappealable under </w:t>
      </w:r>
      <w:r w:rsidR="00AC00E6">
        <w:rPr>
          <w:rFonts w:cs="Times New Roman"/>
        </w:rPr>
        <w:t>§ </w:t>
      </w:r>
      <w:r w:rsidRPr="00677ABE">
        <w:rPr>
          <w:rFonts w:cs="Times New Roman"/>
        </w:rPr>
        <w:t>314(d).</w:t>
      </w:r>
      <w:r w:rsidRPr="00677ABE">
        <w:rPr>
          <w:rStyle w:val="FootnoteReference"/>
          <w:rFonts w:cs="Times New Roman"/>
        </w:rPr>
        <w:footnoteReference w:id="1056"/>
      </w:r>
      <w:r w:rsidRPr="00677ABE">
        <w:rPr>
          <w:rFonts w:cs="Times New Roman"/>
        </w:rPr>
        <w:t xml:space="preserve"> Section 314(d) provides that “[t]he determination by the Director whether to institute an inter partes review </w:t>
      </w:r>
      <w:r w:rsidRPr="00677ABE">
        <w:rPr>
          <w:rFonts w:cs="Times New Roman"/>
          <w:i/>
        </w:rPr>
        <w:t>under this section</w:t>
      </w:r>
      <w:r w:rsidRPr="00677ABE">
        <w:rPr>
          <w:rFonts w:cs="Times New Roman"/>
        </w:rPr>
        <w:t xml:space="preserve"> shall be final and nonappealable.”</w:t>
      </w:r>
      <w:r w:rsidRPr="00677ABE">
        <w:rPr>
          <w:rStyle w:val="FootnoteReference"/>
          <w:rFonts w:cs="Times New Roman"/>
        </w:rPr>
        <w:footnoteReference w:id="1057"/>
      </w:r>
      <w:r w:rsidRPr="00677ABE">
        <w:rPr>
          <w:rFonts w:cs="Times New Roman"/>
        </w:rPr>
        <w:t xml:space="preserve"> Section 315(b) provides that “[a]n inter partes review may not be instituted if the petition requesting the proceeding is filed more than 1 year after the date on which the petitioner, real party in interest, or privy of the petitioner is served with a complaint alleging infringement of the patent.”</w:t>
      </w:r>
      <w:r w:rsidRPr="00677ABE">
        <w:rPr>
          <w:rStyle w:val="FootnoteReference"/>
          <w:rFonts w:cs="Times New Roman"/>
        </w:rPr>
        <w:footnoteReference w:id="1058"/>
      </w:r>
      <w:r w:rsidRPr="00677ABE">
        <w:rPr>
          <w:rFonts w:cs="Times New Roman"/>
        </w:rPr>
        <w:t xml:space="preserve"> The </w:t>
      </w:r>
      <w:r w:rsidRPr="00677ABE">
        <w:rPr>
          <w:rFonts w:cs="Times New Roman"/>
          <w:i/>
        </w:rPr>
        <w:t>Achates</w:t>
      </w:r>
      <w:r w:rsidRPr="00677ABE">
        <w:rPr>
          <w:rFonts w:cs="Times New Roman"/>
        </w:rPr>
        <w:t xml:space="preserve"> panel determined that </w:t>
      </w:r>
      <w:r w:rsidR="00AC00E6">
        <w:rPr>
          <w:rFonts w:cs="Times New Roman"/>
        </w:rPr>
        <w:t>§ </w:t>
      </w:r>
      <w:r w:rsidRPr="00677ABE">
        <w:rPr>
          <w:rFonts w:cs="Times New Roman"/>
        </w:rPr>
        <w:t xml:space="preserve">314(d) prohibited the court from reviewing the PTAB’s determination to initiate IPR proceedings over the patent owner’s objection that the proceedings were time-barred under </w:t>
      </w:r>
      <w:r w:rsidR="00AC00E6">
        <w:rPr>
          <w:rFonts w:cs="Times New Roman"/>
        </w:rPr>
        <w:t>§ </w:t>
      </w:r>
      <w:r w:rsidRPr="00677ABE">
        <w:rPr>
          <w:rFonts w:cs="Times New Roman"/>
        </w:rPr>
        <w:t>315(b).</w:t>
      </w:r>
      <w:r w:rsidRPr="00677ABE">
        <w:rPr>
          <w:rStyle w:val="FootnoteReference"/>
          <w:rFonts w:cs="Times New Roman"/>
        </w:rPr>
        <w:footnoteReference w:id="1059"/>
      </w:r>
    </w:p>
    <w:p w14:paraId="2EEC29E8" w14:textId="262BA0E7" w:rsidR="00C05071" w:rsidRPr="00677ABE" w:rsidRDefault="00C05071" w:rsidP="00CA2C0A">
      <w:pPr>
        <w:rPr>
          <w:rFonts w:cs="Times New Roman"/>
        </w:rPr>
      </w:pPr>
      <w:r w:rsidRPr="00677ABE">
        <w:rPr>
          <w:rFonts w:cs="Times New Roman"/>
          <w:lang w:eastAsia="x-none"/>
        </w:rPr>
        <w:tab/>
        <w:t xml:space="preserve">Subsequent </w:t>
      </w:r>
      <w:r w:rsidRPr="00677ABE">
        <w:rPr>
          <w:rFonts w:cs="Times New Roman"/>
        </w:rPr>
        <w:t xml:space="preserve">to the original </w:t>
      </w:r>
      <w:r w:rsidRPr="00677ABE">
        <w:rPr>
          <w:rFonts w:cs="Times New Roman"/>
          <w:i/>
        </w:rPr>
        <w:t xml:space="preserve">Achates </w:t>
      </w:r>
      <w:r w:rsidRPr="00677ABE">
        <w:rPr>
          <w:rFonts w:cs="Times New Roman"/>
        </w:rPr>
        <w:t>panel decision, the Supreme Court in Cuozzo Speed Technologies, LLC v. Lee</w:t>
      </w:r>
      <w:r w:rsidRPr="00677ABE">
        <w:rPr>
          <w:rStyle w:val="FootnoteReference"/>
          <w:rFonts w:cs="Times New Roman"/>
        </w:rPr>
        <w:footnoteReference w:id="1060"/>
      </w:r>
      <w:r w:rsidRPr="00677ABE">
        <w:rPr>
          <w:rFonts w:cs="Times New Roman"/>
        </w:rPr>
        <w:t xml:space="preserve"> addressed whether </w:t>
      </w:r>
      <w:r w:rsidR="00AC00E6">
        <w:rPr>
          <w:rFonts w:cs="Times New Roman"/>
        </w:rPr>
        <w:t>§ </w:t>
      </w:r>
      <w:r w:rsidRPr="00677ABE">
        <w:rPr>
          <w:rFonts w:cs="Times New Roman"/>
        </w:rPr>
        <w:t xml:space="preserve">314(d) bars judicial review of the Director’s </w:t>
      </w:r>
      <w:r w:rsidR="00AC00E6">
        <w:rPr>
          <w:rFonts w:cs="Times New Roman"/>
        </w:rPr>
        <w:t>§ </w:t>
      </w:r>
      <w:r w:rsidRPr="00677ABE">
        <w:rPr>
          <w:rFonts w:cs="Times New Roman"/>
        </w:rPr>
        <w:t>312(a)(3) determinations on whether the petition identified with sufficient particularity “each claim challenged, the grounds on which the challenge to each claim is based, and the evidence that supports the grounds for the challenge to each claim.”</w:t>
      </w:r>
      <w:r w:rsidRPr="00677ABE">
        <w:rPr>
          <w:rStyle w:val="FootnoteReference"/>
          <w:rFonts w:cs="Times New Roman"/>
        </w:rPr>
        <w:footnoteReference w:id="1061"/>
      </w:r>
      <w:r w:rsidRPr="00677ABE">
        <w:rPr>
          <w:rFonts w:cs="Times New Roman"/>
        </w:rPr>
        <w:t xml:space="preserve"> The Supreme Court determined that </w:t>
      </w:r>
      <w:r w:rsidR="00AC00E6">
        <w:rPr>
          <w:rFonts w:cs="Times New Roman"/>
        </w:rPr>
        <w:t>§ </w:t>
      </w:r>
      <w:r w:rsidRPr="00677ABE">
        <w:rPr>
          <w:rFonts w:cs="Times New Roman"/>
        </w:rPr>
        <w:t xml:space="preserve">314(d) forbids judicial review of </w:t>
      </w:r>
      <w:r w:rsidR="00AC00E6">
        <w:rPr>
          <w:rFonts w:cs="Times New Roman"/>
        </w:rPr>
        <w:t>§ </w:t>
      </w:r>
      <w:r w:rsidRPr="00677ABE">
        <w:rPr>
          <w:rFonts w:cs="Times New Roman"/>
        </w:rPr>
        <w:t xml:space="preserve">312(a)(3) determinations because the 312(a)(3) “question of whether a petition was pleaded with particularity amounted to ‘little more than a challenge to the Patent Office’s conclusion, under </w:t>
      </w:r>
      <w:r w:rsidR="00AC00E6">
        <w:rPr>
          <w:rFonts w:cs="Times New Roman"/>
        </w:rPr>
        <w:t>§ </w:t>
      </w:r>
      <w:r w:rsidRPr="00677ABE">
        <w:rPr>
          <w:rFonts w:cs="Times New Roman"/>
        </w:rPr>
        <w:t>314(a), that the ‘information presented in the petition’ warranted review.”</w:t>
      </w:r>
      <w:r w:rsidRPr="00677ABE">
        <w:rPr>
          <w:rStyle w:val="FootnoteReference"/>
          <w:rFonts w:cs="Times New Roman"/>
        </w:rPr>
        <w:footnoteReference w:id="1062"/>
      </w:r>
      <w:r w:rsidRPr="00677ABE">
        <w:rPr>
          <w:rFonts w:cs="Times New Roman"/>
        </w:rPr>
        <w:t xml:space="preserve"> In the majority’s view, the Supreme Court “expressly left open the potential for review, under certain circumstances, of decisions to institute IPR.”</w:t>
      </w:r>
      <w:r w:rsidRPr="00677ABE">
        <w:rPr>
          <w:rStyle w:val="FootnoteReference"/>
          <w:rFonts w:cs="Times New Roman"/>
        </w:rPr>
        <w:footnoteReference w:id="1063"/>
      </w:r>
    </w:p>
    <w:p w14:paraId="35106B5E" w14:textId="2758B2E4" w:rsidR="00C05071" w:rsidRPr="00677ABE" w:rsidRDefault="00C05071" w:rsidP="00CA2C0A">
      <w:pPr>
        <w:ind w:firstLine="720"/>
        <w:rPr>
          <w:rFonts w:cs="Times New Roman"/>
        </w:rPr>
      </w:pPr>
      <w:r w:rsidRPr="00677ABE">
        <w:rPr>
          <w:rFonts w:cs="Times New Roman"/>
        </w:rPr>
        <w:t xml:space="preserve">The </w:t>
      </w:r>
      <w:r w:rsidRPr="00677ABE">
        <w:rPr>
          <w:rFonts w:cs="Times New Roman"/>
          <w:i/>
        </w:rPr>
        <w:t>en banc</w:t>
      </w:r>
      <w:r w:rsidRPr="00677ABE">
        <w:rPr>
          <w:rFonts w:cs="Times New Roman"/>
        </w:rPr>
        <w:t xml:space="preserve"> Federal Circuit panel found that “[w]e find no clear and convincing indication in the specific statutory language in the AIA, the specific legislative history of the AIA, or the statutory scheme as a whole that demonstrates Congress’s intent to bar judicial review of </w:t>
      </w:r>
      <w:r w:rsidR="00AC00E6">
        <w:rPr>
          <w:rFonts w:cs="Times New Roman"/>
        </w:rPr>
        <w:t>§ </w:t>
      </w:r>
      <w:r w:rsidRPr="00677ABE">
        <w:rPr>
          <w:rFonts w:cs="Times New Roman"/>
        </w:rPr>
        <w:t>315(b) time-bar determinations.”</w:t>
      </w:r>
      <w:r w:rsidRPr="00677ABE">
        <w:rPr>
          <w:rStyle w:val="FootnoteReference"/>
          <w:rFonts w:cs="Times New Roman"/>
        </w:rPr>
        <w:footnoteReference w:id="1064"/>
      </w:r>
      <w:r w:rsidRPr="00677ABE">
        <w:rPr>
          <w:rFonts w:cs="Times New Roman"/>
        </w:rPr>
        <w:t xml:space="preserve"> Because </w:t>
      </w:r>
      <w:r w:rsidR="00AC00E6">
        <w:rPr>
          <w:rFonts w:cs="Times New Roman"/>
        </w:rPr>
        <w:t>§ </w:t>
      </w:r>
      <w:r w:rsidRPr="00677ABE">
        <w:rPr>
          <w:rFonts w:cs="Times New Roman"/>
        </w:rPr>
        <w:t xml:space="preserve">314(d) states that determinations made by the Director “under this section” shall be unappealable, the Federal Circuit explained that “[t]he natural reading of the statute limits the reach of </w:t>
      </w:r>
      <w:r w:rsidR="00AC00E6">
        <w:rPr>
          <w:rFonts w:cs="Times New Roman"/>
        </w:rPr>
        <w:t>§ </w:t>
      </w:r>
      <w:r w:rsidRPr="00677ABE">
        <w:rPr>
          <w:rFonts w:cs="Times New Roman"/>
        </w:rPr>
        <w:t xml:space="preserve">314(d) to the determination by the Director whether to institute IPR as set forth in </w:t>
      </w:r>
      <w:r w:rsidR="00AC00E6">
        <w:rPr>
          <w:rFonts w:cs="Times New Roman"/>
        </w:rPr>
        <w:t>§ </w:t>
      </w:r>
      <w:r w:rsidRPr="00677ABE">
        <w:rPr>
          <w:rFonts w:cs="Times New Roman"/>
        </w:rPr>
        <w:t>314.”</w:t>
      </w:r>
      <w:r w:rsidRPr="00677ABE">
        <w:rPr>
          <w:rStyle w:val="FootnoteReference"/>
          <w:rFonts w:cs="Times New Roman"/>
        </w:rPr>
        <w:footnoteReference w:id="1065"/>
      </w:r>
      <w:r w:rsidRPr="00677ABE">
        <w:rPr>
          <w:rFonts w:cs="Times New Roman"/>
        </w:rPr>
        <w:t xml:space="preserve"> </w:t>
      </w:r>
    </w:p>
    <w:p w14:paraId="51F3D6EE" w14:textId="142C4A20" w:rsidR="00C05071" w:rsidRPr="00677ABE" w:rsidRDefault="00C05071" w:rsidP="00CA2C0A">
      <w:pPr>
        <w:ind w:firstLine="720"/>
        <w:rPr>
          <w:rFonts w:cs="Times New Roman"/>
        </w:rPr>
      </w:pPr>
      <w:r w:rsidRPr="00677ABE">
        <w:rPr>
          <w:rFonts w:cs="Times New Roman"/>
        </w:rPr>
        <w:t>Section 314(a)—“the only subsection addressing substantive issues that are part of the Director’s determination ‘under this section’”—“does only two things: it identifies a threshold requirement for institution” and “grants the Director discretion not to institute.”</w:t>
      </w:r>
      <w:r w:rsidRPr="00677ABE">
        <w:rPr>
          <w:rStyle w:val="FootnoteReference"/>
          <w:rFonts w:cs="Times New Roman"/>
        </w:rPr>
        <w:footnoteReference w:id="1066"/>
      </w:r>
      <w:r w:rsidRPr="00677ABE">
        <w:rPr>
          <w:rFonts w:cs="Times New Roman"/>
        </w:rPr>
        <w:t xml:space="preserve"> In contrast, because “</w:t>
      </w:r>
      <w:r w:rsidR="00AC00E6">
        <w:rPr>
          <w:rFonts w:cs="Times New Roman"/>
        </w:rPr>
        <w:t>§ </w:t>
      </w:r>
      <w:r w:rsidRPr="00677ABE">
        <w:rPr>
          <w:rFonts w:cs="Times New Roman"/>
        </w:rPr>
        <w:t xml:space="preserve">315(b) controls the Director’s authority to institute IPR[, which] is unrelated” to the Director’s authority under </w:t>
      </w:r>
      <w:r w:rsidR="00AC00E6">
        <w:rPr>
          <w:rFonts w:cs="Times New Roman"/>
        </w:rPr>
        <w:t>§ </w:t>
      </w:r>
      <w:r w:rsidRPr="00677ABE">
        <w:rPr>
          <w:rFonts w:cs="Times New Roman"/>
        </w:rPr>
        <w:t xml:space="preserve">314(a), </w:t>
      </w:r>
      <w:r w:rsidR="00AC00E6">
        <w:rPr>
          <w:rFonts w:cs="Times New Roman"/>
        </w:rPr>
        <w:t>§ </w:t>
      </w:r>
      <w:r w:rsidRPr="00677ABE">
        <w:rPr>
          <w:rFonts w:cs="Times New Roman"/>
        </w:rPr>
        <w:t>315 time-bar determination is appealable.</w:t>
      </w:r>
      <w:r w:rsidRPr="00677ABE">
        <w:rPr>
          <w:rStyle w:val="FootnoteReference"/>
          <w:rFonts w:cs="Times New Roman"/>
        </w:rPr>
        <w:footnoteReference w:id="1067"/>
      </w:r>
      <w:r w:rsidRPr="00677ABE">
        <w:rPr>
          <w:rFonts w:cs="Times New Roman"/>
        </w:rPr>
        <w:t xml:space="preserve"> The court added that their interpretation “is consistent with the overall statutory scheme as understood through the lens of </w:t>
      </w:r>
      <w:r w:rsidRPr="00677ABE">
        <w:rPr>
          <w:rFonts w:cs="Times New Roman"/>
          <w:i/>
        </w:rPr>
        <w:t>Cuozzo</w:t>
      </w:r>
      <w:r w:rsidRPr="00677ABE">
        <w:rPr>
          <w:rFonts w:cs="Times New Roman"/>
        </w:rPr>
        <w:t xml:space="preserve">’s directive to examine the statutory scheme in terms of what is ‘closely related’ to the </w:t>
      </w:r>
      <w:r w:rsidR="00AC00E6">
        <w:rPr>
          <w:rFonts w:cs="Times New Roman"/>
        </w:rPr>
        <w:t>§ </w:t>
      </w:r>
      <w:r w:rsidRPr="00677ABE">
        <w:rPr>
          <w:rFonts w:cs="Times New Roman"/>
        </w:rPr>
        <w:t>314(a) determination.”</w:t>
      </w:r>
      <w:r w:rsidRPr="00677ABE">
        <w:rPr>
          <w:rStyle w:val="FootnoteReference"/>
          <w:rFonts w:cs="Times New Roman"/>
        </w:rPr>
        <w:footnoteReference w:id="1068"/>
      </w:r>
    </w:p>
    <w:p w14:paraId="128943E0" w14:textId="577D0AC1" w:rsidR="00C05071" w:rsidRPr="00677ABE" w:rsidRDefault="00C05071" w:rsidP="00CA2C0A">
      <w:pPr>
        <w:ind w:firstLine="720"/>
        <w:rPr>
          <w:rFonts w:cs="Times New Roman"/>
        </w:rPr>
      </w:pPr>
      <w:r w:rsidRPr="00677ABE">
        <w:rPr>
          <w:rFonts w:cs="Times New Roman"/>
        </w:rPr>
        <w:t>Judge O’Malley concurred.</w:t>
      </w:r>
      <w:r w:rsidRPr="00677ABE">
        <w:rPr>
          <w:rStyle w:val="FootnoteReference"/>
          <w:rFonts w:cs="Times New Roman"/>
        </w:rPr>
        <w:footnoteReference w:id="1069"/>
      </w:r>
      <w:r w:rsidRPr="00677ABE">
        <w:rPr>
          <w:rFonts w:cs="Times New Roman"/>
        </w:rPr>
        <w:t xml:space="preserve"> In Judge O’Malley’s view, </w:t>
      </w:r>
      <w:r w:rsidR="00AC00E6">
        <w:rPr>
          <w:rFonts w:cs="Times New Roman"/>
        </w:rPr>
        <w:t>§ </w:t>
      </w:r>
      <w:r w:rsidRPr="00677ABE">
        <w:rPr>
          <w:rFonts w:cs="Times New Roman"/>
        </w:rPr>
        <w:t xml:space="preserve">314(d)’s bar is “directed to the substantive adequacy of a timely filed petition. Because </w:t>
      </w:r>
      <w:r w:rsidR="00AC00E6">
        <w:rPr>
          <w:rFonts w:cs="Times New Roman"/>
        </w:rPr>
        <w:t>§ </w:t>
      </w:r>
      <w:r w:rsidRPr="00677ABE">
        <w:rPr>
          <w:rFonts w:cs="Times New Roman"/>
        </w:rPr>
        <w:t xml:space="preserve">315(b)’s time bar has nothing to do with the substantive adequacy of the petition,” </w:t>
      </w:r>
      <w:r w:rsidR="00AC00E6">
        <w:rPr>
          <w:rFonts w:cs="Times New Roman"/>
        </w:rPr>
        <w:t>§ </w:t>
      </w:r>
      <w:r w:rsidRPr="00677ABE">
        <w:rPr>
          <w:rFonts w:cs="Times New Roman"/>
        </w:rPr>
        <w:t>314(d) does not apply.</w:t>
      </w:r>
      <w:r w:rsidRPr="00677ABE">
        <w:rPr>
          <w:rStyle w:val="FootnoteReference"/>
          <w:rFonts w:cs="Times New Roman"/>
        </w:rPr>
        <w:footnoteReference w:id="1070"/>
      </w:r>
    </w:p>
    <w:p w14:paraId="39A74437" w14:textId="31E29123" w:rsidR="00F20B84" w:rsidRDefault="00C05071" w:rsidP="00CA2C0A">
      <w:pPr>
        <w:ind w:firstLine="720"/>
        <w:rPr>
          <w:rFonts w:cs="Times New Roman"/>
        </w:rPr>
      </w:pPr>
      <w:r w:rsidRPr="00677ABE">
        <w:rPr>
          <w:rFonts w:cs="Times New Roman"/>
          <w:lang w:eastAsia="x-none"/>
        </w:rPr>
        <w:t>Judge Hughes, joined by three other judges, dissented.</w:t>
      </w:r>
      <w:r w:rsidRPr="00677ABE">
        <w:rPr>
          <w:rStyle w:val="FootnoteReference"/>
          <w:rFonts w:cs="Times New Roman"/>
          <w:lang w:eastAsia="x-none"/>
        </w:rPr>
        <w:footnoteReference w:id="1071"/>
      </w:r>
      <w:r w:rsidRPr="00677ABE">
        <w:rPr>
          <w:rFonts w:cs="Times New Roman"/>
          <w:lang w:eastAsia="x-none"/>
        </w:rPr>
        <w:t xml:space="preserve"> </w:t>
      </w:r>
      <w:r w:rsidRPr="00677ABE">
        <w:rPr>
          <w:rFonts w:cs="Times New Roman"/>
        </w:rPr>
        <w:t>In the dissent’s view, “</w:t>
      </w:r>
      <w:r w:rsidR="00AC00E6">
        <w:rPr>
          <w:rFonts w:cs="Times New Roman"/>
        </w:rPr>
        <w:t>§ </w:t>
      </w:r>
      <w:r w:rsidRPr="00677ABE">
        <w:rPr>
          <w:rFonts w:cs="Times New Roman"/>
        </w:rPr>
        <w:t>314(d) is not limited to the merits of the petition, but8. also bars judicial review of closely related issues such as the petition’s timeliness.”</w:t>
      </w:r>
      <w:r w:rsidRPr="00677ABE">
        <w:rPr>
          <w:rStyle w:val="FootnoteReference"/>
          <w:rFonts w:cs="Times New Roman"/>
        </w:rPr>
        <w:footnoteReference w:id="1072"/>
      </w:r>
      <w:r w:rsidRPr="00677ABE">
        <w:rPr>
          <w:rFonts w:cs="Times New Roman"/>
        </w:rPr>
        <w:t xml:space="preserve"> This is because, </w:t>
      </w:r>
      <w:r w:rsidRPr="00677ABE">
        <w:rPr>
          <w:rFonts w:cs="Times New Roman"/>
          <w:i/>
        </w:rPr>
        <w:t>inter alia</w:t>
      </w:r>
      <w:r w:rsidRPr="00677ABE">
        <w:rPr>
          <w:rFonts w:cs="Times New Roman"/>
        </w:rPr>
        <w:t>, the statute clearly indicates that the Director’s determination whether to institute an inter partes review shall be nonappealable.</w:t>
      </w:r>
      <w:r w:rsidRPr="00677ABE">
        <w:rPr>
          <w:rStyle w:val="FootnoteReference"/>
          <w:rFonts w:cs="Times New Roman"/>
        </w:rPr>
        <w:footnoteReference w:id="1073"/>
      </w:r>
      <w:r w:rsidRPr="00677ABE">
        <w:rPr>
          <w:rFonts w:cs="Times New Roman"/>
        </w:rPr>
        <w:t xml:space="preserve"> The dissent further argued that, in addition to the plain language of the statute, the </w:t>
      </w:r>
      <w:r w:rsidRPr="00677ABE">
        <w:rPr>
          <w:rFonts w:cs="Times New Roman"/>
          <w:i/>
        </w:rPr>
        <w:t>Cuozzo</w:t>
      </w:r>
      <w:r w:rsidRPr="00677ABE">
        <w:rPr>
          <w:rFonts w:cs="Times New Roman"/>
        </w:rPr>
        <w:t xml:space="preserve"> court made clear that </w:t>
      </w:r>
      <w:r w:rsidR="00AC00E6">
        <w:rPr>
          <w:rFonts w:cs="Times New Roman"/>
        </w:rPr>
        <w:t>§ </w:t>
      </w:r>
      <w:r w:rsidRPr="00677ABE">
        <w:rPr>
          <w:rFonts w:cs="Times New Roman"/>
        </w:rPr>
        <w:t>314(d) “prohibits judicial review of ‘questions that are closely tied to the application and interpretation of statutes related to the Patent Office’s decision to initiate inter partes review.”</w:t>
      </w:r>
      <w:r w:rsidRPr="00677ABE">
        <w:rPr>
          <w:rStyle w:val="FootnoteReference"/>
          <w:rFonts w:cs="Times New Roman"/>
        </w:rPr>
        <w:footnoteReference w:id="1074"/>
      </w:r>
      <w:r w:rsidRPr="00677ABE">
        <w:rPr>
          <w:rFonts w:cs="Times New Roman"/>
        </w:rPr>
        <w:t xml:space="preserve"> “The petition’s timeliness under </w:t>
      </w:r>
      <w:r w:rsidR="00AC00E6">
        <w:rPr>
          <w:rFonts w:cs="Times New Roman"/>
        </w:rPr>
        <w:t>§ </w:t>
      </w:r>
      <w:r w:rsidRPr="00677ABE">
        <w:rPr>
          <w:rFonts w:cs="Times New Roman"/>
        </w:rPr>
        <w:t>315(b) is part of the Board’s institution decision, and is therefore barred from judicial review.”</w:t>
      </w:r>
      <w:r w:rsidRPr="00677ABE">
        <w:rPr>
          <w:rStyle w:val="FootnoteReference"/>
          <w:rFonts w:cs="Times New Roman"/>
        </w:rPr>
        <w:footnoteReference w:id="1075"/>
      </w:r>
    </w:p>
    <w:p w14:paraId="2F621550" w14:textId="02029F55" w:rsidR="00C05071" w:rsidRPr="00677ABE" w:rsidRDefault="00C05071" w:rsidP="00CA2C0A">
      <w:pPr>
        <w:pStyle w:val="Heading3"/>
        <w:ind w:firstLine="0"/>
        <w:rPr>
          <w:rFonts w:cs="Times New Roman"/>
          <w:i w:val="0"/>
        </w:rPr>
      </w:pPr>
      <w:bookmarkStart w:id="212" w:name="_Toc516586623"/>
      <w:bookmarkStart w:id="213" w:name="_Toc531692824"/>
      <w:r w:rsidRPr="00677ABE">
        <w:rPr>
          <w:rFonts w:cs="Times New Roman"/>
        </w:rPr>
        <w:t>CRFD Research, Inc. v. Matal</w:t>
      </w:r>
      <w:r w:rsidRPr="00677ABE">
        <w:rPr>
          <w:rFonts w:cs="Times New Roman"/>
          <w:i w:val="0"/>
        </w:rPr>
        <w:t>, 876 F.3d 1330 (Fed. Cir. Dec. 5, 2017)</w:t>
      </w:r>
      <w:bookmarkEnd w:id="212"/>
      <w:bookmarkEnd w:id="213"/>
    </w:p>
    <w:p w14:paraId="60D85F53" w14:textId="3BFEA135" w:rsidR="00C05071" w:rsidRPr="00677ABE" w:rsidRDefault="00C05071" w:rsidP="00CA2C0A">
      <w:pPr>
        <w:rPr>
          <w:rFonts w:cs="Times New Roman"/>
        </w:rPr>
      </w:pPr>
      <w:r w:rsidRPr="00677ABE">
        <w:rPr>
          <w:rFonts w:cs="Times New Roman"/>
          <w:lang w:eastAsia="x-none"/>
        </w:rPr>
        <w:tab/>
      </w:r>
      <w:r w:rsidRPr="00677ABE">
        <w:rPr>
          <w:rFonts w:cs="Times New Roman"/>
        </w:rPr>
        <w:t xml:space="preserve">The Federal Circuit determined that the PTAB erred in barring Hulu from arguing that the Bates prior art reference rendered obvious the “transmitting” claim element of the </w:t>
      </w:r>
      <w:r w:rsidR="00370148">
        <w:rPr>
          <w:rFonts w:cs="Times New Roman"/>
        </w:rPr>
        <w:t>’2</w:t>
      </w:r>
      <w:r w:rsidRPr="00677ABE">
        <w:rPr>
          <w:rFonts w:cs="Times New Roman"/>
        </w:rPr>
        <w:t>33 patent</w:t>
      </w:r>
      <w:r w:rsidRPr="00677ABE">
        <w:rPr>
          <w:rFonts w:cs="Times New Roman"/>
          <w:lang w:eastAsia="x-none"/>
        </w:rPr>
        <w:t>.</w:t>
      </w:r>
      <w:r w:rsidRPr="00677ABE">
        <w:rPr>
          <w:rStyle w:val="FootnoteReference"/>
          <w:rFonts w:cs="Times New Roman"/>
          <w:lang w:eastAsia="x-none"/>
        </w:rPr>
        <w:footnoteReference w:id="1076"/>
      </w:r>
      <w:r w:rsidRPr="00677ABE">
        <w:rPr>
          <w:rFonts w:cs="Times New Roman"/>
          <w:lang w:eastAsia="x-none"/>
        </w:rPr>
        <w:t xml:space="preserve"> Hulu initially raised several grounds for challenging the validity of the </w:t>
      </w:r>
      <w:r w:rsidR="00370148">
        <w:rPr>
          <w:rFonts w:cs="Times New Roman"/>
          <w:lang w:eastAsia="x-none"/>
        </w:rPr>
        <w:t>’2</w:t>
      </w:r>
      <w:r w:rsidRPr="00677ABE">
        <w:rPr>
          <w:rFonts w:cs="Times New Roman"/>
          <w:lang w:eastAsia="x-none"/>
        </w:rPr>
        <w:t xml:space="preserve">33 patent in its IPR petition, </w:t>
      </w:r>
      <w:r w:rsidRPr="00677ABE">
        <w:rPr>
          <w:rFonts w:cs="Times New Roman"/>
        </w:rPr>
        <w:t xml:space="preserve">including that (1) the </w:t>
      </w:r>
      <w:r w:rsidR="00370148">
        <w:rPr>
          <w:rFonts w:cs="Times New Roman"/>
        </w:rPr>
        <w:t>’2</w:t>
      </w:r>
      <w:r w:rsidRPr="00677ABE">
        <w:rPr>
          <w:rFonts w:cs="Times New Roman"/>
        </w:rPr>
        <w:t xml:space="preserve">33 patent was obvious in view of Bates, in part because Bates alone rendered obvious the “transmitting” claim limitation; and (2) the </w:t>
      </w:r>
      <w:r w:rsidR="00370148">
        <w:rPr>
          <w:rFonts w:cs="Times New Roman"/>
        </w:rPr>
        <w:t>’2</w:t>
      </w:r>
      <w:r w:rsidRPr="00677ABE">
        <w:rPr>
          <w:rFonts w:cs="Times New Roman"/>
        </w:rPr>
        <w:t>33 patent was obvious in view of Bates and Chan.</w:t>
      </w:r>
      <w:r w:rsidRPr="00677ABE">
        <w:rPr>
          <w:rStyle w:val="FootnoteReference"/>
          <w:rFonts w:cs="Times New Roman"/>
        </w:rPr>
        <w:footnoteReference w:id="1077"/>
      </w:r>
      <w:r w:rsidRPr="00677ABE">
        <w:rPr>
          <w:rFonts w:cs="Times New Roman"/>
        </w:rPr>
        <w:t xml:space="preserve"> The Board instituted review on the second listed ground—obviousness in view of Bates with Chan—but not on the first listed ground—obviousness in view of Bates alone—“due to [the Board’s] finding that such institution would be redundant.”</w:t>
      </w:r>
      <w:r w:rsidRPr="00677ABE">
        <w:rPr>
          <w:rStyle w:val="FootnoteReference"/>
          <w:rFonts w:cs="Times New Roman"/>
        </w:rPr>
        <w:footnoteReference w:id="1078"/>
      </w:r>
    </w:p>
    <w:p w14:paraId="67CDD502" w14:textId="77777777" w:rsidR="00C05071" w:rsidRPr="00677ABE" w:rsidRDefault="00C05071" w:rsidP="00CA2C0A">
      <w:pPr>
        <w:rPr>
          <w:rFonts w:cs="Times New Roman"/>
        </w:rPr>
      </w:pPr>
      <w:r w:rsidRPr="00677ABE">
        <w:rPr>
          <w:rFonts w:cs="Times New Roman"/>
          <w:lang w:eastAsia="x-none"/>
        </w:rPr>
        <w:tab/>
      </w:r>
      <w:r w:rsidRPr="00677ABE">
        <w:rPr>
          <w:rFonts w:cs="Times New Roman"/>
        </w:rPr>
        <w:t>The Board determined that Hulu had not shown under any of the instituted grounds for review that the prior art taught or rendered obvious the “transmitting” claim limitation.</w:t>
      </w:r>
      <w:r w:rsidRPr="00677ABE">
        <w:rPr>
          <w:rStyle w:val="FootnoteReference"/>
          <w:rFonts w:cs="Times New Roman"/>
        </w:rPr>
        <w:footnoteReference w:id="1079"/>
      </w:r>
      <w:r w:rsidRPr="00677ABE">
        <w:rPr>
          <w:rFonts w:cs="Times New Roman"/>
        </w:rPr>
        <w:t xml:space="preserve"> The Board reasoned that Hulu was barred from arguing that Bates rendered the transmitting limitation obvious because that ground for review was denied institution.</w:t>
      </w:r>
      <w:r w:rsidRPr="00677ABE">
        <w:rPr>
          <w:rStyle w:val="FootnoteReference"/>
          <w:rFonts w:cs="Times New Roman"/>
        </w:rPr>
        <w:footnoteReference w:id="1080"/>
      </w:r>
    </w:p>
    <w:p w14:paraId="0ECE36BB" w14:textId="77777777" w:rsidR="00F20B84" w:rsidRDefault="00C05071" w:rsidP="00CA2C0A">
      <w:pPr>
        <w:rPr>
          <w:rFonts w:cs="Times New Roman"/>
        </w:rPr>
      </w:pPr>
      <w:r w:rsidRPr="00677ABE">
        <w:rPr>
          <w:rFonts w:cs="Times New Roman"/>
          <w:lang w:eastAsia="x-none"/>
        </w:rPr>
        <w:tab/>
        <w:t>The Federal Circuit disagreed.</w:t>
      </w:r>
      <w:r w:rsidRPr="00677ABE">
        <w:rPr>
          <w:rStyle w:val="FootnoteReference"/>
          <w:rFonts w:cs="Times New Roman"/>
          <w:lang w:eastAsia="x-none"/>
        </w:rPr>
        <w:footnoteReference w:id="1081"/>
      </w:r>
      <w:r w:rsidRPr="00677ABE">
        <w:rPr>
          <w:rFonts w:cs="Times New Roman"/>
          <w:lang w:eastAsia="x-none"/>
        </w:rPr>
        <w:t xml:space="preserve"> The court noted that </w:t>
      </w:r>
      <w:r w:rsidRPr="00677ABE">
        <w:rPr>
          <w:rFonts w:cs="Times New Roman"/>
        </w:rPr>
        <w:t>“Hulu expressly incorporated this argument as part of other grounds of unpatentability on which the Board instituted trial.”</w:t>
      </w:r>
      <w:r w:rsidRPr="00677ABE">
        <w:rPr>
          <w:rStyle w:val="FootnoteReference"/>
          <w:rFonts w:cs="Times New Roman"/>
        </w:rPr>
        <w:footnoteReference w:id="1082"/>
      </w:r>
      <w:r w:rsidRPr="00677ABE">
        <w:rPr>
          <w:rFonts w:cs="Times New Roman"/>
        </w:rPr>
        <w:t xml:space="preserve"> The court further reasoned that barring “Hulu from pressing an argument it raised in a ground the Board found ‘redundant’ and that it expressly incorporated into other proposed grounds of unpatentability on which the Board instituted would not only unfairly prejudice Hulu, but would also raise questions about the propriety of the Board’s redundancy determination.”</w:t>
      </w:r>
      <w:r w:rsidRPr="00677ABE">
        <w:rPr>
          <w:rStyle w:val="FootnoteReference"/>
          <w:rFonts w:cs="Times New Roman"/>
        </w:rPr>
        <w:footnoteReference w:id="1083"/>
      </w:r>
    </w:p>
    <w:p w14:paraId="60CCE08C" w14:textId="60F0BEA2" w:rsidR="00C05071" w:rsidRPr="00677ABE" w:rsidRDefault="00C05071" w:rsidP="00CA2C0A">
      <w:pPr>
        <w:pStyle w:val="Heading3"/>
        <w:ind w:firstLine="0"/>
        <w:rPr>
          <w:rFonts w:cs="Times New Roman"/>
          <w:i w:val="0"/>
        </w:rPr>
      </w:pPr>
      <w:bookmarkStart w:id="214" w:name="_Toc516586624"/>
      <w:bookmarkStart w:id="215" w:name="_Toc531692825"/>
      <w:r w:rsidRPr="00677ABE">
        <w:rPr>
          <w:rFonts w:cs="Times New Roman"/>
        </w:rPr>
        <w:t>Knowles Electronics LLC v. Iancu</w:t>
      </w:r>
      <w:r w:rsidRPr="00677ABE">
        <w:rPr>
          <w:rFonts w:cs="Times New Roman"/>
          <w:i w:val="0"/>
        </w:rPr>
        <w:t>, 886 F.3d 1369 (Fed. Cir. Apr. 6, 2018)</w:t>
      </w:r>
      <w:bookmarkEnd w:id="214"/>
      <w:bookmarkEnd w:id="215"/>
    </w:p>
    <w:p w14:paraId="2ECF3B25" w14:textId="77777777" w:rsidR="00C05071" w:rsidRPr="00677ABE" w:rsidRDefault="00C05071" w:rsidP="00CA2C0A">
      <w:pPr>
        <w:rPr>
          <w:rFonts w:cs="Times New Roman"/>
        </w:rPr>
      </w:pPr>
      <w:r w:rsidRPr="00677ABE">
        <w:rPr>
          <w:rFonts w:cs="Times New Roman"/>
          <w:lang w:eastAsia="x-none"/>
        </w:rPr>
        <w:tab/>
      </w:r>
      <w:r w:rsidRPr="00677ABE">
        <w:rPr>
          <w:rFonts w:cs="Times New Roman"/>
        </w:rPr>
        <w:t>A divided Federal Circuit panel affirmed the Board’s inter partes reexamination decision that certain claims of the ’049 patent are invalid</w:t>
      </w:r>
      <w:r w:rsidRPr="00677ABE">
        <w:rPr>
          <w:rFonts w:cs="Times New Roman"/>
          <w:lang w:eastAsia="x-none"/>
        </w:rPr>
        <w:t>.</w:t>
      </w:r>
      <w:r w:rsidRPr="00677ABE">
        <w:rPr>
          <w:rStyle w:val="FootnoteReference"/>
          <w:rFonts w:cs="Times New Roman"/>
          <w:lang w:eastAsia="x-none"/>
        </w:rPr>
        <w:footnoteReference w:id="1084"/>
      </w:r>
      <w:r w:rsidRPr="00677ABE">
        <w:rPr>
          <w:rFonts w:cs="Times New Roman"/>
          <w:lang w:eastAsia="x-none"/>
        </w:rPr>
        <w:t xml:space="preserve"> The petitioner, Analog Devices, declined to appear for the appeal, filed no brief, and offered no argument.</w:t>
      </w:r>
      <w:r w:rsidRPr="00677ABE">
        <w:rPr>
          <w:rStyle w:val="FootnoteReference"/>
          <w:rFonts w:cs="Times New Roman"/>
          <w:lang w:eastAsia="x-none"/>
        </w:rPr>
        <w:footnoteReference w:id="1085"/>
      </w:r>
      <w:r w:rsidRPr="00677ABE">
        <w:rPr>
          <w:rFonts w:cs="Times New Roman"/>
          <w:lang w:eastAsia="x-none"/>
        </w:rPr>
        <w:t xml:space="preserve"> The PTO Director, on the other hand, chose to intervene in the appeal.</w:t>
      </w:r>
      <w:r w:rsidRPr="00677ABE">
        <w:rPr>
          <w:rStyle w:val="FootnoteReference"/>
          <w:rFonts w:cs="Times New Roman"/>
          <w:lang w:eastAsia="x-none"/>
        </w:rPr>
        <w:footnoteReference w:id="1086"/>
      </w:r>
      <w:r w:rsidRPr="00677ABE">
        <w:rPr>
          <w:rFonts w:cs="Times New Roman"/>
          <w:lang w:eastAsia="x-none"/>
        </w:rPr>
        <w:t xml:space="preserve"> The majority stated that the case could proceed anyway, because “[t]he Director of the USPTO has an unconditional statutory ‘right to intervene in an appeal from a [PTAB] decision.’”</w:t>
      </w:r>
      <w:r w:rsidRPr="00677ABE">
        <w:rPr>
          <w:rStyle w:val="FootnoteReference"/>
          <w:rFonts w:cs="Times New Roman"/>
          <w:lang w:eastAsia="x-none"/>
        </w:rPr>
        <w:footnoteReference w:id="1087"/>
      </w:r>
      <w:r w:rsidRPr="00677ABE">
        <w:rPr>
          <w:rFonts w:cs="Times New Roman"/>
          <w:lang w:eastAsia="x-none"/>
        </w:rPr>
        <w:t xml:space="preserve"> The majority further cited the Supreme Court in </w:t>
      </w:r>
      <w:r w:rsidRPr="00677ABE">
        <w:rPr>
          <w:rFonts w:cs="Times New Roman"/>
          <w:i/>
          <w:lang w:eastAsia="x-none"/>
        </w:rPr>
        <w:t>Cuozzo</w:t>
      </w:r>
      <w:r w:rsidRPr="00677ABE">
        <w:rPr>
          <w:rFonts w:cs="Times New Roman"/>
          <w:lang w:eastAsia="x-none"/>
        </w:rPr>
        <w:t>: “</w:t>
      </w:r>
      <w:r w:rsidRPr="00677ABE">
        <w:rPr>
          <w:rFonts w:cs="Times New Roman"/>
        </w:rPr>
        <w:t>the [USPTO] may intervene in a later Judicial proceeding to defend its decision—even if the private challengers drop out.”</w:t>
      </w:r>
      <w:r w:rsidRPr="00677ABE">
        <w:rPr>
          <w:rStyle w:val="FootnoteReference"/>
          <w:rFonts w:cs="Times New Roman"/>
        </w:rPr>
        <w:footnoteReference w:id="1088"/>
      </w:r>
    </w:p>
    <w:p w14:paraId="5F1CBD93" w14:textId="77777777" w:rsidR="00C05071" w:rsidRPr="00677ABE" w:rsidRDefault="00C05071" w:rsidP="00CA2C0A">
      <w:pPr>
        <w:rPr>
          <w:rFonts w:cs="Times New Roman"/>
        </w:rPr>
      </w:pPr>
      <w:r w:rsidRPr="00677ABE">
        <w:rPr>
          <w:rFonts w:cs="Times New Roman"/>
        </w:rPr>
        <w:tab/>
        <w:t>Judge Newman dissented.</w:t>
      </w:r>
      <w:r w:rsidRPr="00677ABE">
        <w:rPr>
          <w:rStyle w:val="FootnoteReference"/>
          <w:rFonts w:cs="Times New Roman"/>
        </w:rPr>
        <w:footnoteReference w:id="1089"/>
      </w:r>
      <w:r w:rsidRPr="00677ABE">
        <w:rPr>
          <w:rFonts w:cs="Times New Roman"/>
        </w:rPr>
        <w:t xml:space="preserve"> Judge Newman argued that “in the rare situation where there is no remaining appellee and the [PTO Director] intervenor has asserted no injury to itself, the intervenor of right does not have independent standing to continue the litigation.”</w:t>
      </w:r>
      <w:r w:rsidRPr="00677ABE">
        <w:rPr>
          <w:rStyle w:val="FootnoteReference"/>
          <w:rFonts w:cs="Times New Roman"/>
        </w:rPr>
        <w:footnoteReference w:id="1090"/>
      </w:r>
      <w:r w:rsidRPr="00677ABE">
        <w:rPr>
          <w:rFonts w:cs="Times New Roman"/>
        </w:rPr>
        <w:t xml:space="preserve"> Judge Newman was unpersuaded by the majority’s analysis, because “[t]he AIA, in authorizing intervention, did not and could not create Article III jurisdiction in circumstances where Article III jurisdiction is absent.”</w:t>
      </w:r>
      <w:r w:rsidRPr="00677ABE">
        <w:rPr>
          <w:rStyle w:val="FootnoteReference"/>
          <w:rFonts w:cs="Times New Roman"/>
        </w:rPr>
        <w:footnoteReference w:id="1091"/>
      </w:r>
      <w:r w:rsidRPr="00677ABE">
        <w:rPr>
          <w:rFonts w:cs="Times New Roman"/>
        </w:rPr>
        <w:t xml:space="preserve"> </w:t>
      </w:r>
    </w:p>
    <w:p w14:paraId="2A2D1F73" w14:textId="77777777" w:rsidR="00F20B84" w:rsidRDefault="00C05071" w:rsidP="00CA2C0A">
      <w:pPr>
        <w:rPr>
          <w:rFonts w:cs="Times New Roman"/>
        </w:rPr>
      </w:pPr>
      <w:r w:rsidRPr="00677ABE">
        <w:rPr>
          <w:rFonts w:cs="Times New Roman"/>
        </w:rPr>
        <w:tab/>
        <w:t>The “silence in the legislative record suggests that the intervenor proposal was not viewed as controversial, or as changing the intervenor’s role.”</w:t>
      </w:r>
      <w:r w:rsidRPr="00677ABE">
        <w:rPr>
          <w:rStyle w:val="FootnoteReference"/>
          <w:rFonts w:cs="Times New Roman"/>
        </w:rPr>
        <w:footnoteReference w:id="1092"/>
      </w:r>
      <w:r w:rsidRPr="00677ABE">
        <w:rPr>
          <w:rFonts w:cs="Times New Roman"/>
        </w:rPr>
        <w:t xml:space="preserve"> Judge Newman doubted that Congress intended to silently “cast aside Constitution-based precedent.”</w:t>
      </w:r>
      <w:r w:rsidRPr="00677ABE">
        <w:rPr>
          <w:rStyle w:val="FootnoteReference"/>
          <w:rFonts w:cs="Times New Roman"/>
        </w:rPr>
        <w:footnoteReference w:id="1093"/>
      </w:r>
      <w:r w:rsidRPr="00677ABE">
        <w:rPr>
          <w:rFonts w:cs="Times New Roman"/>
        </w:rPr>
        <w:t xml:space="preserve"> One such precedent was </w:t>
      </w:r>
      <w:r w:rsidRPr="00677ABE">
        <w:rPr>
          <w:rFonts w:cs="Times New Roman"/>
          <w:i/>
        </w:rPr>
        <w:t>Diamond v. Charles</w:t>
      </w:r>
      <w:r w:rsidRPr="00677ABE">
        <w:rPr>
          <w:rFonts w:cs="Times New Roman"/>
        </w:rPr>
        <w:t>, where the Supreme Court found that “an intervenor’s right to continue a suit in the absence of the party on whose side intervention was permitted is contingent upon a showing by the intervenor that he fulfills the requirements of Article III.”</w:t>
      </w:r>
      <w:r w:rsidRPr="00677ABE">
        <w:rPr>
          <w:rStyle w:val="FootnoteReference"/>
          <w:rFonts w:cs="Times New Roman"/>
        </w:rPr>
        <w:footnoteReference w:id="1094"/>
      </w:r>
      <w:r w:rsidRPr="00677ABE">
        <w:rPr>
          <w:rFonts w:cs="Times New Roman"/>
        </w:rPr>
        <w:t xml:space="preserve"> In Judge Newman’s view, to establish this, the PTO would have to show an interest sufficient to satisfy Article III, such as “a challenge to PTO jurisdiction or procedure.”</w:t>
      </w:r>
      <w:r w:rsidRPr="00677ABE">
        <w:rPr>
          <w:rStyle w:val="FootnoteReference"/>
          <w:rFonts w:cs="Times New Roman"/>
        </w:rPr>
        <w:footnoteReference w:id="1095"/>
      </w:r>
    </w:p>
    <w:p w14:paraId="5446FA48" w14:textId="18164A4D" w:rsidR="00DE45FC" w:rsidRPr="00677ABE" w:rsidRDefault="00DE45FC" w:rsidP="00CA2C0A">
      <w:pPr>
        <w:pStyle w:val="Heading3"/>
        <w:ind w:firstLine="0"/>
        <w:rPr>
          <w:rFonts w:cs="Times New Roman"/>
        </w:rPr>
      </w:pPr>
      <w:bookmarkStart w:id="216" w:name="_Toc531692826"/>
      <w:r w:rsidRPr="00677ABE">
        <w:rPr>
          <w:rFonts w:cs="Times New Roman"/>
        </w:rPr>
        <w:t>Ericsson Inc.</w:t>
      </w:r>
      <w:r w:rsidR="00712C22" w:rsidRPr="00677ABE">
        <w:rPr>
          <w:rFonts w:cs="Times New Roman"/>
        </w:rPr>
        <w:t xml:space="preserve"> v. </w:t>
      </w:r>
      <w:r w:rsidRPr="00677ABE">
        <w:rPr>
          <w:rFonts w:cs="Times New Roman"/>
        </w:rPr>
        <w:t>Intellectual Ventures I LLC</w:t>
      </w:r>
      <w:r w:rsidRPr="00677ABE">
        <w:rPr>
          <w:rFonts w:cs="Times New Roman"/>
          <w:i w:val="0"/>
        </w:rPr>
        <w:t xml:space="preserve">, </w:t>
      </w:r>
      <w:r w:rsidR="00A50C57" w:rsidRPr="00677ABE">
        <w:rPr>
          <w:rFonts w:cs="Times New Roman"/>
          <w:i w:val="0"/>
        </w:rPr>
        <w:t xml:space="preserve">No. </w:t>
      </w:r>
      <w:r w:rsidRPr="00677ABE">
        <w:rPr>
          <w:rFonts w:cs="Times New Roman"/>
          <w:i w:val="0"/>
        </w:rPr>
        <w:t xml:space="preserve">2017-1521, 2018 WL 4055815 (Fed. Cir. </w:t>
      </w:r>
      <w:r w:rsidR="002B3CF9" w:rsidRPr="00677ABE">
        <w:rPr>
          <w:rFonts w:cs="Times New Roman"/>
          <w:i w:val="0"/>
        </w:rPr>
        <w:t>Aug. </w:t>
      </w:r>
      <w:r w:rsidRPr="00677ABE">
        <w:rPr>
          <w:rFonts w:cs="Times New Roman"/>
          <w:i w:val="0"/>
        </w:rPr>
        <w:t>27, 2018)</w:t>
      </w:r>
      <w:bookmarkEnd w:id="216"/>
      <w:r w:rsidRPr="00677ABE">
        <w:rPr>
          <w:rFonts w:cs="Times New Roman"/>
          <w:i w:val="0"/>
        </w:rPr>
        <w:t xml:space="preserve"> </w:t>
      </w:r>
    </w:p>
    <w:p w14:paraId="113E3BA9" w14:textId="3E27766A" w:rsidR="00DE45FC" w:rsidRPr="00677ABE" w:rsidRDefault="00DE45FC" w:rsidP="00CA2C0A">
      <w:pPr>
        <w:outlineLvl w:val="0"/>
        <w:rPr>
          <w:rFonts w:cs="Times New Roman"/>
        </w:rPr>
      </w:pPr>
      <w:r w:rsidRPr="00677ABE">
        <w:rPr>
          <w:rFonts w:cs="Times New Roman"/>
          <w:b/>
        </w:rPr>
        <w:tab/>
      </w:r>
      <w:bookmarkStart w:id="217" w:name="_Toc526093240"/>
      <w:bookmarkStart w:id="218" w:name="_Toc526368152"/>
      <w:r w:rsidRPr="00677ABE">
        <w:rPr>
          <w:rFonts w:cs="Times New Roman"/>
        </w:rPr>
        <w:t xml:space="preserve">In this appeal from the Patent Trial and Appeal Board (“PTAB”), the Federal Circuit held that the PTAB had erred when it declined to consider portions of Ericsson’s reply that were not beyond the scope of a proper reply under 37 C.F.R. </w:t>
      </w:r>
      <w:r w:rsidR="00AC00E6">
        <w:rPr>
          <w:rFonts w:cs="Times New Roman"/>
        </w:rPr>
        <w:t>§ </w:t>
      </w:r>
      <w:r w:rsidRPr="00677ABE">
        <w:rPr>
          <w:rFonts w:cs="Times New Roman"/>
        </w:rPr>
        <w:t>42.23(b).</w:t>
      </w:r>
      <w:r w:rsidRPr="00677ABE">
        <w:rPr>
          <w:rStyle w:val="FootnoteReference"/>
          <w:rFonts w:cs="Times New Roman"/>
        </w:rPr>
        <w:footnoteReference w:id="1096"/>
      </w:r>
      <w:bookmarkEnd w:id="217"/>
      <w:bookmarkEnd w:id="218"/>
    </w:p>
    <w:p w14:paraId="1B83787F" w14:textId="433F4799" w:rsidR="00DE45FC" w:rsidRPr="00677ABE" w:rsidRDefault="00DE45FC" w:rsidP="00CA2C0A">
      <w:pPr>
        <w:outlineLvl w:val="0"/>
        <w:rPr>
          <w:rFonts w:cs="Times New Roman"/>
        </w:rPr>
      </w:pPr>
      <w:r w:rsidRPr="00677ABE">
        <w:rPr>
          <w:rFonts w:cs="Times New Roman"/>
        </w:rPr>
        <w:tab/>
      </w:r>
      <w:bookmarkStart w:id="219" w:name="_Toc526093241"/>
      <w:bookmarkStart w:id="220" w:name="_Toc526368153"/>
      <w:r w:rsidRPr="00677ABE">
        <w:rPr>
          <w:rFonts w:cs="Times New Roman"/>
        </w:rPr>
        <w:t>The case concerned Intellectual Ventures’ ‘831 patent, which discloses a method of improving the reliability of wireless communications by interleaving not only data within packets but packets within blocks—and of varying the number of packets interleaved.</w:t>
      </w:r>
      <w:r w:rsidRPr="00677ABE">
        <w:rPr>
          <w:rStyle w:val="FootnoteReference"/>
          <w:rFonts w:cs="Times New Roman"/>
        </w:rPr>
        <w:footnoteReference w:id="1097"/>
      </w:r>
      <w:r w:rsidRPr="00677ABE">
        <w:rPr>
          <w:rFonts w:cs="Times New Roman"/>
        </w:rPr>
        <w:t xml:space="preserve"> In its petition, Ericsson challenged the invention as obvious over prior art that taught interleaving data within packets (the patent itself referenced this), and also obvious over this art in combination with other references that taught varying the amount of data sent.</w:t>
      </w:r>
      <w:r w:rsidRPr="00677ABE">
        <w:rPr>
          <w:rStyle w:val="FootnoteReference"/>
          <w:rFonts w:cs="Times New Roman"/>
        </w:rPr>
        <w:footnoteReference w:id="1098"/>
      </w:r>
      <w:r w:rsidRPr="00677ABE">
        <w:rPr>
          <w:rFonts w:cs="Times New Roman"/>
        </w:rPr>
        <w:t xml:space="preserve"> Ericsson proposed constructions for the claims under their broadest reasonable interpretation, and the PTAB instituted inter partes review (“IPR”) after construing claims on this same basis.</w:t>
      </w:r>
      <w:r w:rsidRPr="00677ABE">
        <w:rPr>
          <w:rStyle w:val="FootnoteReference"/>
          <w:rFonts w:cs="Times New Roman"/>
        </w:rPr>
        <w:footnoteReference w:id="1099"/>
      </w:r>
      <w:r w:rsidR="00AC00E6">
        <w:rPr>
          <w:rFonts w:cs="Times New Roman"/>
        </w:rPr>
        <w:t xml:space="preserve"> </w:t>
      </w:r>
      <w:r w:rsidRPr="00677ABE">
        <w:rPr>
          <w:rFonts w:cs="Times New Roman"/>
        </w:rPr>
        <w:t>Following institution, Intellectual Ventures newly argued in its response that because its patent had expired its claims should</w:t>
      </w:r>
      <w:r w:rsidR="00F20876" w:rsidRPr="00677ABE">
        <w:rPr>
          <w:rFonts w:cs="Times New Roman"/>
        </w:rPr>
        <w:t xml:space="preserve"> actually</w:t>
      </w:r>
      <w:r w:rsidRPr="00677ABE">
        <w:rPr>
          <w:rFonts w:cs="Times New Roman"/>
        </w:rPr>
        <w:t xml:space="preserve"> be constructed under the </w:t>
      </w:r>
      <w:r w:rsidRPr="00677ABE">
        <w:rPr>
          <w:rFonts w:cs="Times New Roman"/>
          <w:i/>
        </w:rPr>
        <w:t xml:space="preserve">Phillips </w:t>
      </w:r>
      <w:r w:rsidRPr="00677ABE">
        <w:rPr>
          <w:rFonts w:cs="Times New Roman"/>
        </w:rPr>
        <w:t>standard, and the court obliged.</w:t>
      </w:r>
      <w:r w:rsidRPr="00677ABE">
        <w:rPr>
          <w:rStyle w:val="FootnoteReference"/>
          <w:rFonts w:cs="Times New Roman"/>
        </w:rPr>
        <w:footnoteReference w:id="1100"/>
      </w:r>
      <w:r w:rsidRPr="00677ABE">
        <w:rPr>
          <w:rFonts w:cs="Times New Roman"/>
        </w:rPr>
        <w:t xml:space="preserve"> While in its petition Ericsson had argued that “interleaving . . . packets into blocks” was disclosed by prior art,</w:t>
      </w:r>
      <w:r w:rsidRPr="00677ABE">
        <w:rPr>
          <w:rStyle w:val="FootnoteReference"/>
          <w:rFonts w:cs="Times New Roman"/>
        </w:rPr>
        <w:footnoteReference w:id="1101"/>
      </w:r>
      <w:r w:rsidR="00E8382A" w:rsidRPr="00677ABE">
        <w:rPr>
          <w:rFonts w:cs="Times New Roman"/>
        </w:rPr>
        <w:t xml:space="preserve"> in its reply Ericss</w:t>
      </w:r>
      <w:r w:rsidRPr="00677ABE">
        <w:rPr>
          <w:rFonts w:cs="Times New Roman"/>
        </w:rPr>
        <w:t>on</w:t>
      </w:r>
      <w:r w:rsidR="00F20876" w:rsidRPr="00677ABE">
        <w:rPr>
          <w:rFonts w:cs="Times New Roman"/>
        </w:rPr>
        <w:t xml:space="preserve"> now</w:t>
      </w:r>
      <w:r w:rsidR="00E8382A" w:rsidRPr="00677ABE">
        <w:rPr>
          <w:rFonts w:cs="Times New Roman"/>
        </w:rPr>
        <w:t xml:space="preserve"> used tighter language; adjusting to </w:t>
      </w:r>
      <w:r w:rsidRPr="00677ABE">
        <w:rPr>
          <w:rFonts w:cs="Times New Roman"/>
        </w:rPr>
        <w:t>the</w:t>
      </w:r>
      <w:r w:rsidR="00E8382A" w:rsidRPr="00677ABE">
        <w:rPr>
          <w:rFonts w:cs="Times New Roman"/>
        </w:rPr>
        <w:t xml:space="preserve"> court’s</w:t>
      </w:r>
      <w:r w:rsidRPr="00677ABE">
        <w:rPr>
          <w:rFonts w:cs="Times New Roman"/>
        </w:rPr>
        <w:t xml:space="preserve"> new </w:t>
      </w:r>
      <w:r w:rsidRPr="00677ABE">
        <w:rPr>
          <w:rFonts w:cs="Times New Roman"/>
          <w:i/>
        </w:rPr>
        <w:t>Phillips</w:t>
      </w:r>
      <w:r w:rsidRPr="00677ABE">
        <w:rPr>
          <w:rFonts w:cs="Times New Roman"/>
        </w:rPr>
        <w:t>-compliant constructions</w:t>
      </w:r>
      <w:r w:rsidR="00E8382A" w:rsidRPr="00677ABE">
        <w:rPr>
          <w:rFonts w:cs="Times New Roman"/>
        </w:rPr>
        <w:t xml:space="preserve">, Ericsson </w:t>
      </w:r>
      <w:r w:rsidRPr="00677ABE">
        <w:rPr>
          <w:rFonts w:cs="Times New Roman"/>
        </w:rPr>
        <w:t>state</w:t>
      </w:r>
      <w:r w:rsidR="00E8382A" w:rsidRPr="00677ABE">
        <w:rPr>
          <w:rFonts w:cs="Times New Roman"/>
        </w:rPr>
        <w:t>d</w:t>
      </w:r>
      <w:r w:rsidRPr="00677ABE">
        <w:rPr>
          <w:rFonts w:cs="Times New Roman"/>
        </w:rPr>
        <w:t xml:space="preserve"> that “interleaving R-blocks together [(e.g., data within packets)] and interleaving S-blocks together [</w:t>
      </w:r>
      <w:r w:rsidR="00E8382A" w:rsidRPr="00677ABE">
        <w:rPr>
          <w:rFonts w:cs="Times New Roman"/>
        </w:rPr>
        <w:t>(</w:t>
      </w:r>
      <w:r w:rsidRPr="00677ABE">
        <w:rPr>
          <w:rFonts w:cs="Times New Roman"/>
        </w:rPr>
        <w:t>e.g., packets within “blocks”)] is insubstantial at best.”</w:t>
      </w:r>
      <w:r w:rsidRPr="00677ABE">
        <w:rPr>
          <w:rStyle w:val="FootnoteReference"/>
          <w:rFonts w:cs="Times New Roman"/>
        </w:rPr>
        <w:footnoteReference w:id="1102"/>
      </w:r>
      <w:r w:rsidR="00AC00E6">
        <w:rPr>
          <w:rFonts w:cs="Times New Roman"/>
        </w:rPr>
        <w:t xml:space="preserve"> </w:t>
      </w:r>
      <w:r w:rsidRPr="00677ABE">
        <w:rPr>
          <w:rFonts w:cs="Times New Roman"/>
        </w:rPr>
        <w:t xml:space="preserve">The PTAB declined to consider this portion of the reply on the grounds it raised new prior art elements and so was improper under 37 C.F.R. </w:t>
      </w:r>
      <w:r w:rsidR="00AC00E6">
        <w:rPr>
          <w:rFonts w:cs="Times New Roman"/>
        </w:rPr>
        <w:t>§ </w:t>
      </w:r>
      <w:r w:rsidRPr="00677ABE">
        <w:rPr>
          <w:rFonts w:cs="Times New Roman"/>
        </w:rPr>
        <w:t>42.23(b).</w:t>
      </w:r>
      <w:r w:rsidRPr="00677ABE">
        <w:rPr>
          <w:rStyle w:val="FootnoteReference"/>
          <w:rFonts w:cs="Times New Roman"/>
        </w:rPr>
        <w:footnoteReference w:id="1103"/>
      </w:r>
      <w:bookmarkEnd w:id="219"/>
      <w:bookmarkEnd w:id="220"/>
    </w:p>
    <w:p w14:paraId="7947252A" w14:textId="2A0C9043" w:rsidR="00F20B84" w:rsidRDefault="00DE45FC" w:rsidP="00CA2C0A">
      <w:pPr>
        <w:outlineLvl w:val="0"/>
        <w:rPr>
          <w:rFonts w:cs="Times New Roman"/>
        </w:rPr>
      </w:pPr>
      <w:r w:rsidRPr="00677ABE">
        <w:rPr>
          <w:rFonts w:cs="Times New Roman"/>
        </w:rPr>
        <w:tab/>
      </w:r>
      <w:bookmarkStart w:id="221" w:name="_Toc526093242"/>
      <w:bookmarkStart w:id="222" w:name="_Toc526368154"/>
      <w:r w:rsidRPr="00677ABE">
        <w:rPr>
          <w:rFonts w:cs="Times New Roman"/>
        </w:rPr>
        <w:t>On appeal, the Federal Circuit vacated and remanded.</w:t>
      </w:r>
      <w:r w:rsidRPr="00677ABE">
        <w:rPr>
          <w:rStyle w:val="FootnoteReference"/>
          <w:rFonts w:cs="Times New Roman"/>
        </w:rPr>
        <w:footnoteReference w:id="1104"/>
      </w:r>
      <w:r w:rsidRPr="00677ABE">
        <w:rPr>
          <w:rFonts w:cs="Times New Roman"/>
        </w:rPr>
        <w:t xml:space="preserve"> Section 42.23(b) allows the PTAB to strike arguments improperly raised for the first time in a reply.</w:t>
      </w:r>
      <w:r w:rsidRPr="00677ABE">
        <w:rPr>
          <w:rStyle w:val="FootnoteReference"/>
          <w:rFonts w:cs="Times New Roman"/>
        </w:rPr>
        <w:footnoteReference w:id="1105"/>
      </w:r>
      <w:r w:rsidRPr="00677ABE">
        <w:rPr>
          <w:rFonts w:cs="Times New Roman"/>
        </w:rPr>
        <w:t xml:space="preserve"> </w:t>
      </w:r>
      <w:r w:rsidR="005A2ACA" w:rsidRPr="00677ABE">
        <w:rPr>
          <w:rFonts w:cs="Times New Roman"/>
        </w:rPr>
        <w:t xml:space="preserve">A reply raises arguments </w:t>
      </w:r>
      <w:r w:rsidR="005A70AA" w:rsidRPr="00677ABE">
        <w:rPr>
          <w:rFonts w:cs="Times New Roman"/>
        </w:rPr>
        <w:t xml:space="preserve">for the first time </w:t>
      </w:r>
      <w:r w:rsidR="005A2ACA" w:rsidRPr="00677ABE">
        <w:rPr>
          <w:rFonts w:cs="Times New Roman"/>
        </w:rPr>
        <w:t>when it raises</w:t>
      </w:r>
      <w:r w:rsidR="005A70AA" w:rsidRPr="00677ABE">
        <w:rPr>
          <w:rFonts w:cs="Times New Roman"/>
        </w:rPr>
        <w:t xml:space="preserve"> new portions of prior art (even to support a previously stated theory)</w:t>
      </w:r>
      <w:r w:rsidR="00E8382A" w:rsidRPr="00677ABE">
        <w:rPr>
          <w:rFonts w:cs="Times New Roman"/>
        </w:rPr>
        <w:t>,</w:t>
      </w:r>
      <w:r w:rsidR="005A2ACA" w:rsidRPr="00677ABE">
        <w:rPr>
          <w:rStyle w:val="FootnoteReference"/>
          <w:rFonts w:cs="Times New Roman"/>
        </w:rPr>
        <w:footnoteReference w:id="1106"/>
      </w:r>
      <w:r w:rsidR="00E8382A" w:rsidRPr="00677ABE">
        <w:rPr>
          <w:rFonts w:cs="Times New Roman"/>
        </w:rPr>
        <w:t xml:space="preserve"> </w:t>
      </w:r>
      <w:r w:rsidR="005A2ACA" w:rsidRPr="00677ABE">
        <w:rPr>
          <w:rFonts w:cs="Times New Roman"/>
        </w:rPr>
        <w:t>and when it cites new theories of unpatentability (even to explain the significance of previously cited prior art)</w:t>
      </w:r>
      <w:r w:rsidRPr="00677ABE">
        <w:rPr>
          <w:rFonts w:cs="Times New Roman"/>
        </w:rPr>
        <w:t>.</w:t>
      </w:r>
      <w:r w:rsidRPr="00677ABE">
        <w:rPr>
          <w:rStyle w:val="FootnoteReference"/>
          <w:rFonts w:cs="Times New Roman"/>
        </w:rPr>
        <w:footnoteReference w:id="1107"/>
      </w:r>
      <w:r w:rsidRPr="00677ABE">
        <w:rPr>
          <w:rFonts w:cs="Times New Roman"/>
        </w:rPr>
        <w:t xml:space="preserve"> Here, the </w:t>
      </w:r>
      <w:r w:rsidR="00C722DB" w:rsidRPr="00677ABE">
        <w:rPr>
          <w:rFonts w:cs="Times New Roman"/>
        </w:rPr>
        <w:t xml:space="preserve">Federal Circuit </w:t>
      </w:r>
      <w:r w:rsidRPr="00677ABE">
        <w:rPr>
          <w:rFonts w:cs="Times New Roman"/>
        </w:rPr>
        <w:t>found that Ericsson’s reply was not improper</w:t>
      </w:r>
      <w:r w:rsidR="00AB6A64" w:rsidRPr="00677ABE">
        <w:rPr>
          <w:rFonts w:cs="Times New Roman"/>
        </w:rPr>
        <w:t>.</w:t>
      </w:r>
      <w:r w:rsidRPr="00677ABE">
        <w:rPr>
          <w:rFonts w:cs="Times New Roman"/>
        </w:rPr>
        <w:t xml:space="preserve"> </w:t>
      </w:r>
      <w:r w:rsidR="00AB6A64" w:rsidRPr="00677ABE">
        <w:rPr>
          <w:rFonts w:cs="Times New Roman"/>
        </w:rPr>
        <w:t>I</w:t>
      </w:r>
      <w:r w:rsidRPr="00677ABE">
        <w:rPr>
          <w:rFonts w:cs="Times New Roman"/>
        </w:rPr>
        <w:t>t raised no new portions of prior art</w:t>
      </w:r>
      <w:r w:rsidR="00AB6A64" w:rsidRPr="00677ABE">
        <w:rPr>
          <w:rFonts w:cs="Times New Roman"/>
        </w:rPr>
        <w:t xml:space="preserve"> nor developed any new theory—i</w:t>
      </w:r>
      <w:r w:rsidRPr="00677ABE">
        <w:rPr>
          <w:rFonts w:cs="Times New Roman"/>
        </w:rPr>
        <w:t>t simply stated in more specific terms what it had contended in its petition.</w:t>
      </w:r>
      <w:r w:rsidR="00B335E9" w:rsidRPr="00677ABE">
        <w:rPr>
          <w:rStyle w:val="FootnoteReference"/>
          <w:rFonts w:cs="Times New Roman"/>
        </w:rPr>
        <w:footnoteReference w:id="1108"/>
      </w:r>
      <w:r w:rsidRPr="00677ABE">
        <w:rPr>
          <w:rFonts w:cs="Times New Roman"/>
        </w:rPr>
        <w:t xml:space="preserve"> Furthermore, because the PTAB developed new claim constructions in light of Intellectual Ventures’ response, Ericsson deserved an opportunity to reply in a way specific to these constructions, under 5 U.S.C. </w:t>
      </w:r>
      <w:r w:rsidR="00AC00E6">
        <w:rPr>
          <w:rFonts w:cs="Times New Roman"/>
        </w:rPr>
        <w:t>§ </w:t>
      </w:r>
      <w:r w:rsidRPr="00677ABE">
        <w:rPr>
          <w:rFonts w:cs="Times New Roman"/>
        </w:rPr>
        <w:t>554(b)(3).</w:t>
      </w:r>
      <w:r w:rsidRPr="00677ABE">
        <w:rPr>
          <w:rStyle w:val="FootnoteReference"/>
          <w:rFonts w:cs="Times New Roman"/>
        </w:rPr>
        <w:footnoteReference w:id="1109"/>
      </w:r>
      <w:bookmarkEnd w:id="221"/>
      <w:bookmarkEnd w:id="222"/>
      <w:r w:rsidRPr="00677ABE">
        <w:rPr>
          <w:rFonts w:cs="Times New Roman"/>
        </w:rPr>
        <w:t xml:space="preserve"> </w:t>
      </w:r>
    </w:p>
    <w:p w14:paraId="7671B4AB" w14:textId="201C5074" w:rsidR="00DE45FC" w:rsidRPr="00677ABE" w:rsidRDefault="00DE45FC" w:rsidP="00CA2C0A">
      <w:pPr>
        <w:pStyle w:val="Heading3"/>
        <w:ind w:firstLine="0"/>
        <w:rPr>
          <w:rFonts w:cs="Times New Roman"/>
        </w:rPr>
      </w:pPr>
      <w:bookmarkStart w:id="223" w:name="_Toc531692827"/>
      <w:bookmarkStart w:id="224" w:name="_Toc526093243"/>
      <w:r w:rsidRPr="00677ABE">
        <w:rPr>
          <w:rFonts w:cs="Times New Roman"/>
        </w:rPr>
        <w:t>In re Hodges</w:t>
      </w:r>
      <w:r w:rsidRPr="00677ABE">
        <w:rPr>
          <w:rFonts w:cs="Times New Roman"/>
          <w:i w:val="0"/>
        </w:rPr>
        <w:t>, 882 F.3d 1107 (Fed. Cir. Feb. 12, 2018</w:t>
      </w:r>
      <w:r w:rsidR="00F32312" w:rsidRPr="00677ABE">
        <w:rPr>
          <w:rFonts w:cs="Times New Roman"/>
          <w:i w:val="0"/>
        </w:rPr>
        <w:t>)</w:t>
      </w:r>
      <w:bookmarkEnd w:id="223"/>
      <w:r w:rsidRPr="00677ABE">
        <w:rPr>
          <w:rFonts w:cs="Times New Roman"/>
          <w:i w:val="0"/>
        </w:rPr>
        <w:t xml:space="preserve"> </w:t>
      </w:r>
      <w:bookmarkEnd w:id="224"/>
    </w:p>
    <w:p w14:paraId="70200080" w14:textId="1013B549" w:rsidR="00DE45FC" w:rsidRPr="00677ABE" w:rsidRDefault="00DE45FC" w:rsidP="00CA2C0A">
      <w:pPr>
        <w:outlineLvl w:val="0"/>
        <w:rPr>
          <w:rFonts w:cs="Times New Roman"/>
        </w:rPr>
      </w:pPr>
      <w:r w:rsidRPr="00677ABE">
        <w:rPr>
          <w:rFonts w:cs="Times New Roman"/>
          <w:b/>
        </w:rPr>
        <w:tab/>
      </w:r>
      <w:bookmarkStart w:id="225" w:name="_Toc526093244"/>
      <w:bookmarkStart w:id="226" w:name="_Toc526368155"/>
      <w:r w:rsidR="00072245" w:rsidRPr="00677ABE">
        <w:rPr>
          <w:rFonts w:cs="Times New Roman"/>
        </w:rPr>
        <w:t>I</w:t>
      </w:r>
      <w:r w:rsidR="003143C5" w:rsidRPr="00677ABE">
        <w:rPr>
          <w:rFonts w:cs="Times New Roman"/>
        </w:rPr>
        <w:t>n</w:t>
      </w:r>
      <w:r w:rsidRPr="00677ABE">
        <w:rPr>
          <w:rFonts w:cs="Times New Roman"/>
        </w:rPr>
        <w:t xml:space="preserve"> this appeal from the Patent Trial and Appeal Board (“PTAB”), the Federal Circuit reversed</w:t>
      </w:r>
      <w:r w:rsidR="00C56E3E" w:rsidRPr="00677ABE">
        <w:rPr>
          <w:rFonts w:cs="Times New Roman"/>
        </w:rPr>
        <w:t xml:space="preserve"> </w:t>
      </w:r>
      <w:r w:rsidR="00782AB2" w:rsidRPr="00677ABE">
        <w:rPr>
          <w:rFonts w:cs="Times New Roman"/>
        </w:rPr>
        <w:t>an</w:t>
      </w:r>
      <w:r w:rsidRPr="00677ABE">
        <w:rPr>
          <w:rFonts w:cs="Times New Roman"/>
        </w:rPr>
        <w:t xml:space="preserve"> anticipation</w:t>
      </w:r>
      <w:r w:rsidR="00782AB2" w:rsidRPr="00677ABE">
        <w:rPr>
          <w:rFonts w:cs="Times New Roman"/>
        </w:rPr>
        <w:t xml:space="preserve"> finding</w:t>
      </w:r>
      <w:r w:rsidR="00222BB2" w:rsidRPr="00677ABE">
        <w:rPr>
          <w:rFonts w:cs="Times New Roman"/>
        </w:rPr>
        <w:t xml:space="preserve">, </w:t>
      </w:r>
      <w:r w:rsidR="00782AB2" w:rsidRPr="00677ABE">
        <w:rPr>
          <w:rFonts w:cs="Times New Roman"/>
        </w:rPr>
        <w:t>and suggested</w:t>
      </w:r>
      <w:r w:rsidR="00222BB2" w:rsidRPr="00677ABE">
        <w:rPr>
          <w:rFonts w:cs="Times New Roman"/>
        </w:rPr>
        <w:t xml:space="preserve"> remand was </w:t>
      </w:r>
      <w:r w:rsidR="00172746" w:rsidRPr="00677ABE">
        <w:rPr>
          <w:rFonts w:cs="Times New Roman"/>
        </w:rPr>
        <w:t>in</w:t>
      </w:r>
      <w:r w:rsidR="00222BB2" w:rsidRPr="00677ABE">
        <w:rPr>
          <w:rFonts w:cs="Times New Roman"/>
        </w:rPr>
        <w:t xml:space="preserve">appropriate when the PTAB </w:t>
      </w:r>
      <w:r w:rsidR="00172746" w:rsidRPr="00677ABE">
        <w:rPr>
          <w:rFonts w:cs="Times New Roman"/>
        </w:rPr>
        <w:t>does not</w:t>
      </w:r>
      <w:r w:rsidR="00222BB2" w:rsidRPr="00677ABE">
        <w:rPr>
          <w:rFonts w:cs="Times New Roman"/>
        </w:rPr>
        <w:t xml:space="preserve"> meet its burden on a </w:t>
      </w:r>
      <w:r w:rsidR="00AC00E6">
        <w:rPr>
          <w:rFonts w:cs="Times New Roman"/>
        </w:rPr>
        <w:t>§ </w:t>
      </w:r>
      <w:r w:rsidR="00222BB2" w:rsidRPr="00677ABE">
        <w:rPr>
          <w:rFonts w:cs="Times New Roman"/>
        </w:rPr>
        <w:t>102 challenge</w:t>
      </w:r>
      <w:r w:rsidR="00782AB2" w:rsidRPr="00677ABE">
        <w:rPr>
          <w:rFonts w:cs="Times New Roman"/>
        </w:rPr>
        <w:t>.</w:t>
      </w:r>
      <w:r w:rsidRPr="00677ABE">
        <w:rPr>
          <w:rStyle w:val="FootnoteReference"/>
          <w:rFonts w:cs="Times New Roman"/>
        </w:rPr>
        <w:footnoteReference w:id="1110"/>
      </w:r>
      <w:bookmarkEnd w:id="225"/>
      <w:bookmarkEnd w:id="226"/>
      <w:r w:rsidR="00782AB2" w:rsidRPr="00677ABE">
        <w:rPr>
          <w:rFonts w:cs="Times New Roman"/>
        </w:rPr>
        <w:t xml:space="preserve"> </w:t>
      </w:r>
    </w:p>
    <w:p w14:paraId="16C02DE2" w14:textId="5E290998" w:rsidR="00DE45FC" w:rsidRPr="00677ABE" w:rsidRDefault="00DE45FC" w:rsidP="00CA2C0A">
      <w:pPr>
        <w:outlineLvl w:val="0"/>
        <w:rPr>
          <w:rFonts w:cs="Times New Roman"/>
        </w:rPr>
      </w:pPr>
      <w:r w:rsidRPr="00677ABE">
        <w:rPr>
          <w:rFonts w:cs="Times New Roman"/>
        </w:rPr>
        <w:tab/>
      </w:r>
      <w:bookmarkStart w:id="227" w:name="_Toc526368156"/>
      <w:bookmarkStart w:id="228" w:name="_Toc526093245"/>
      <w:r w:rsidRPr="00677ABE">
        <w:rPr>
          <w:rFonts w:cs="Times New Roman"/>
        </w:rPr>
        <w:t xml:space="preserve">The case concerned the </w:t>
      </w:r>
      <w:r w:rsidR="00370148">
        <w:rPr>
          <w:rFonts w:cs="Times New Roman"/>
        </w:rPr>
        <w:t>’2</w:t>
      </w:r>
      <w:r w:rsidRPr="00677ABE">
        <w:rPr>
          <w:rFonts w:cs="Times New Roman"/>
        </w:rPr>
        <w:t xml:space="preserve">22 patent, which </w:t>
      </w:r>
      <w:r w:rsidR="00172746" w:rsidRPr="00677ABE">
        <w:rPr>
          <w:rFonts w:cs="Times New Roman"/>
        </w:rPr>
        <w:t>discloses</w:t>
      </w:r>
      <w:r w:rsidRPr="00677ABE">
        <w:rPr>
          <w:rFonts w:cs="Times New Roman"/>
        </w:rPr>
        <w:t xml:space="preserve"> an assembly for draining contaminants that </w:t>
      </w:r>
      <w:r w:rsidR="00172746" w:rsidRPr="00677ABE">
        <w:rPr>
          <w:rFonts w:cs="Times New Roman"/>
        </w:rPr>
        <w:t>disturb</w:t>
      </w:r>
      <w:r w:rsidRPr="00677ABE">
        <w:rPr>
          <w:rFonts w:cs="Times New Roman"/>
        </w:rPr>
        <w:t xml:space="preserve"> a pressurized system.</w:t>
      </w:r>
      <w:r w:rsidRPr="00677ABE">
        <w:rPr>
          <w:rStyle w:val="FootnoteReference"/>
          <w:rFonts w:cs="Times New Roman"/>
        </w:rPr>
        <w:footnoteReference w:id="1111"/>
      </w:r>
      <w:r w:rsidRPr="00677ABE">
        <w:rPr>
          <w:rFonts w:cs="Times New Roman"/>
        </w:rPr>
        <w:t xml:space="preserve"> In relevant part, the </w:t>
      </w:r>
      <w:r w:rsidR="00370148">
        <w:rPr>
          <w:rFonts w:cs="Times New Roman"/>
        </w:rPr>
        <w:t>’2</w:t>
      </w:r>
      <w:r w:rsidRPr="00677ABE">
        <w:rPr>
          <w:rFonts w:cs="Times New Roman"/>
        </w:rPr>
        <w:t>22 application claimed “a valve body, wherein said valve body defines an inlet seat.”</w:t>
      </w:r>
      <w:r w:rsidRPr="00677ABE">
        <w:rPr>
          <w:rStyle w:val="FootnoteReference"/>
          <w:rFonts w:cs="Times New Roman"/>
        </w:rPr>
        <w:footnoteReference w:id="1112"/>
      </w:r>
      <w:r w:rsidR="00C56E3E" w:rsidRPr="00677ABE">
        <w:rPr>
          <w:rFonts w:cs="Times New Roman"/>
        </w:rPr>
        <w:t xml:space="preserve"> The</w:t>
      </w:r>
      <w:r w:rsidRPr="00677ABE">
        <w:rPr>
          <w:rFonts w:cs="Times New Roman"/>
        </w:rPr>
        <w:t xml:space="preserve"> </w:t>
      </w:r>
      <w:r w:rsidR="00C56E3E" w:rsidRPr="00677ABE">
        <w:rPr>
          <w:rFonts w:cs="Times New Roman"/>
        </w:rPr>
        <w:t>Rasmussen reference</w:t>
      </w:r>
      <w:r w:rsidRPr="00677ABE">
        <w:rPr>
          <w:rFonts w:cs="Times New Roman"/>
        </w:rPr>
        <w:t xml:space="preserve"> showed an inlet seat either within or touching a valve body.</w:t>
      </w:r>
      <w:r w:rsidRPr="00677ABE">
        <w:rPr>
          <w:rStyle w:val="FootnoteReference"/>
          <w:rFonts w:cs="Times New Roman"/>
        </w:rPr>
        <w:footnoteReference w:id="1113"/>
      </w:r>
      <w:r w:rsidRPr="00677ABE">
        <w:rPr>
          <w:rFonts w:cs="Times New Roman"/>
        </w:rPr>
        <w:t xml:space="preserve"> The PTAB found </w:t>
      </w:r>
      <w:r w:rsidR="00172746" w:rsidRPr="00677ABE">
        <w:rPr>
          <w:rFonts w:cs="Times New Roman"/>
        </w:rPr>
        <w:t xml:space="preserve">the similarly “similar[ly]” positioned seat in </w:t>
      </w:r>
      <w:r w:rsidR="00370148">
        <w:rPr>
          <w:rFonts w:cs="Times New Roman"/>
        </w:rPr>
        <w:t>’2</w:t>
      </w:r>
      <w:r w:rsidRPr="00677ABE">
        <w:rPr>
          <w:rFonts w:cs="Times New Roman"/>
        </w:rPr>
        <w:t>22 anticipated Rasmussen</w:t>
      </w:r>
      <w:r w:rsidR="00172746" w:rsidRPr="00677ABE">
        <w:rPr>
          <w:rFonts w:cs="Times New Roman"/>
        </w:rPr>
        <w:t>.</w:t>
      </w:r>
      <w:r w:rsidR="001C04E6" w:rsidRPr="00677ABE">
        <w:rPr>
          <w:rStyle w:val="FootnoteReference"/>
          <w:rFonts w:cs="Times New Roman"/>
        </w:rPr>
        <w:footnoteReference w:id="1114"/>
      </w:r>
      <w:bookmarkEnd w:id="227"/>
      <w:r w:rsidRPr="00677ABE">
        <w:rPr>
          <w:rFonts w:cs="Times New Roman"/>
        </w:rPr>
        <w:t xml:space="preserve"> </w:t>
      </w:r>
      <w:bookmarkEnd w:id="228"/>
    </w:p>
    <w:p w14:paraId="65ACF990" w14:textId="2DFE0653" w:rsidR="00DE45FC" w:rsidRPr="00677ABE" w:rsidRDefault="00DE45FC" w:rsidP="00CA2C0A">
      <w:pPr>
        <w:outlineLvl w:val="0"/>
        <w:rPr>
          <w:rFonts w:cs="Times New Roman"/>
        </w:rPr>
      </w:pPr>
      <w:r w:rsidRPr="00677ABE">
        <w:rPr>
          <w:rFonts w:cs="Times New Roman"/>
        </w:rPr>
        <w:tab/>
      </w:r>
      <w:bookmarkStart w:id="229" w:name="_Toc526368157"/>
      <w:bookmarkStart w:id="230" w:name="_Toc526093246"/>
      <w:r w:rsidRPr="00677ABE">
        <w:rPr>
          <w:rFonts w:cs="Times New Roman"/>
        </w:rPr>
        <w:t xml:space="preserve">On appeal, the Federal Circuit reversed </w:t>
      </w:r>
      <w:r w:rsidR="00C56E3E" w:rsidRPr="00677ABE">
        <w:rPr>
          <w:rFonts w:cs="Times New Roman"/>
        </w:rPr>
        <w:t>this</w:t>
      </w:r>
      <w:r w:rsidRPr="00677ABE">
        <w:rPr>
          <w:rFonts w:cs="Times New Roman"/>
        </w:rPr>
        <w:t xml:space="preserve"> anticipation determination.</w:t>
      </w:r>
      <w:r w:rsidRPr="00677ABE">
        <w:rPr>
          <w:rStyle w:val="FootnoteReference"/>
          <w:rFonts w:cs="Times New Roman"/>
        </w:rPr>
        <w:footnoteReference w:id="1115"/>
      </w:r>
      <w:r w:rsidRPr="00677ABE">
        <w:rPr>
          <w:rFonts w:cs="Times New Roman"/>
        </w:rPr>
        <w:t xml:space="preserve"> The court held the PTAB failed to </w:t>
      </w:r>
      <w:r w:rsidR="00C56E3E" w:rsidRPr="00677ABE">
        <w:rPr>
          <w:rFonts w:cs="Times New Roman"/>
        </w:rPr>
        <w:t>show</w:t>
      </w:r>
      <w:r w:rsidR="00EC6421" w:rsidRPr="00677ABE">
        <w:rPr>
          <w:rFonts w:cs="Times New Roman"/>
        </w:rPr>
        <w:t xml:space="preserve"> what made</w:t>
      </w:r>
      <w:r w:rsidRPr="00677ABE">
        <w:rPr>
          <w:rFonts w:cs="Times New Roman"/>
        </w:rPr>
        <w:t xml:space="preserve"> the inlet seat</w:t>
      </w:r>
      <w:r w:rsidR="00EC6421" w:rsidRPr="00677ABE">
        <w:rPr>
          <w:rFonts w:cs="Times New Roman"/>
        </w:rPr>
        <w:t xml:space="preserve"> position</w:t>
      </w:r>
      <w:r w:rsidRPr="00677ABE">
        <w:rPr>
          <w:rFonts w:cs="Times New Roman"/>
        </w:rPr>
        <w:t xml:space="preserve"> in Rasmussen “similar” to </w:t>
      </w:r>
      <w:r w:rsidR="00EC6421" w:rsidRPr="00677ABE">
        <w:rPr>
          <w:rFonts w:cs="Times New Roman"/>
        </w:rPr>
        <w:t>its</w:t>
      </w:r>
      <w:r w:rsidRPr="00677ABE">
        <w:rPr>
          <w:rFonts w:cs="Times New Roman"/>
        </w:rPr>
        <w:t xml:space="preserve"> position in </w:t>
      </w:r>
      <w:r w:rsidR="00370148">
        <w:rPr>
          <w:rFonts w:cs="Times New Roman"/>
        </w:rPr>
        <w:t>’2</w:t>
      </w:r>
      <w:r w:rsidRPr="00677ABE">
        <w:rPr>
          <w:rFonts w:cs="Times New Roman"/>
        </w:rPr>
        <w:t>22</w:t>
      </w:r>
      <w:r w:rsidR="00EC6421" w:rsidRPr="00677ABE">
        <w:rPr>
          <w:rFonts w:cs="Times New Roman"/>
        </w:rPr>
        <w:t>,</w:t>
      </w:r>
      <w:r w:rsidRPr="00677ABE">
        <w:rPr>
          <w:rFonts w:cs="Times New Roman"/>
        </w:rPr>
        <w:t xml:space="preserve"> and</w:t>
      </w:r>
      <w:r w:rsidR="00EC6421" w:rsidRPr="00677ABE">
        <w:rPr>
          <w:rFonts w:cs="Times New Roman"/>
        </w:rPr>
        <w:t xml:space="preserve"> failed</w:t>
      </w:r>
      <w:r w:rsidRPr="00677ABE">
        <w:rPr>
          <w:rFonts w:cs="Times New Roman"/>
        </w:rPr>
        <w:t xml:space="preserve"> </w:t>
      </w:r>
      <w:r w:rsidR="00DE3697" w:rsidRPr="00677ABE">
        <w:rPr>
          <w:rFonts w:cs="Times New Roman"/>
        </w:rPr>
        <w:t xml:space="preserve">to show </w:t>
      </w:r>
      <w:r w:rsidR="00C56E3E" w:rsidRPr="00677ABE">
        <w:rPr>
          <w:rFonts w:cs="Times New Roman"/>
        </w:rPr>
        <w:t>that</w:t>
      </w:r>
      <w:r w:rsidRPr="00677ABE">
        <w:rPr>
          <w:rFonts w:cs="Times New Roman"/>
        </w:rPr>
        <w:t xml:space="preserve"> a skilled artisan could practice </w:t>
      </w:r>
      <w:r w:rsidR="00370148">
        <w:rPr>
          <w:rFonts w:cs="Times New Roman"/>
        </w:rPr>
        <w:t>’2</w:t>
      </w:r>
      <w:r w:rsidRPr="00677ABE">
        <w:rPr>
          <w:rFonts w:cs="Times New Roman"/>
        </w:rPr>
        <w:t>22 without undue experimentation.</w:t>
      </w:r>
      <w:r w:rsidRPr="00677ABE">
        <w:rPr>
          <w:rStyle w:val="FootnoteReference"/>
          <w:rFonts w:cs="Times New Roman"/>
        </w:rPr>
        <w:footnoteReference w:id="1116"/>
      </w:r>
      <w:r w:rsidRPr="00677ABE">
        <w:rPr>
          <w:rFonts w:cs="Times New Roman"/>
        </w:rPr>
        <w:t xml:space="preserve"> The court reversed rather than remand</w:t>
      </w:r>
      <w:r w:rsidR="00317025" w:rsidRPr="00677ABE">
        <w:rPr>
          <w:rFonts w:cs="Times New Roman"/>
        </w:rPr>
        <w:t>ed</w:t>
      </w:r>
      <w:r w:rsidRPr="00677ABE">
        <w:rPr>
          <w:rFonts w:cs="Times New Roman"/>
        </w:rPr>
        <w:t xml:space="preserve"> because it found the evidence only supported </w:t>
      </w:r>
      <w:r w:rsidR="00F31398" w:rsidRPr="00677ABE">
        <w:rPr>
          <w:rFonts w:cs="Times New Roman"/>
        </w:rPr>
        <w:t xml:space="preserve">a </w:t>
      </w:r>
      <w:r w:rsidR="00317025" w:rsidRPr="00677ABE">
        <w:rPr>
          <w:rFonts w:cs="Times New Roman"/>
        </w:rPr>
        <w:t>lack of anticipation.</w:t>
      </w:r>
      <w:r w:rsidR="00317025" w:rsidRPr="00677ABE">
        <w:rPr>
          <w:rStyle w:val="FootnoteReference"/>
          <w:rFonts w:cs="Times New Roman"/>
        </w:rPr>
        <w:footnoteReference w:id="1117"/>
      </w:r>
      <w:r w:rsidR="00712E24" w:rsidRPr="00677ABE">
        <w:rPr>
          <w:rFonts w:cs="Times New Roman"/>
        </w:rPr>
        <w:t xml:space="preserve"> </w:t>
      </w:r>
      <w:r w:rsidR="00317025" w:rsidRPr="00677ABE">
        <w:rPr>
          <w:rFonts w:cs="Times New Roman"/>
        </w:rPr>
        <w:t>A</w:t>
      </w:r>
      <w:r w:rsidR="00321C58" w:rsidRPr="00677ABE">
        <w:rPr>
          <w:rFonts w:cs="Times New Roman"/>
        </w:rPr>
        <w:t>s a secondary reason</w:t>
      </w:r>
      <w:r w:rsidR="00712E24" w:rsidRPr="00677ABE">
        <w:rPr>
          <w:rFonts w:cs="Times New Roman"/>
        </w:rPr>
        <w:t>,</w:t>
      </w:r>
      <w:r w:rsidRPr="00677ABE">
        <w:rPr>
          <w:rFonts w:cs="Times New Roman"/>
        </w:rPr>
        <w:t xml:space="preserve"> it </w:t>
      </w:r>
      <w:r w:rsidR="00712E24" w:rsidRPr="00677ABE">
        <w:rPr>
          <w:rFonts w:cs="Times New Roman"/>
        </w:rPr>
        <w:t>suggested</w:t>
      </w:r>
      <w:r w:rsidRPr="00677ABE">
        <w:rPr>
          <w:rFonts w:cs="Times New Roman"/>
        </w:rPr>
        <w:t xml:space="preserve"> that reversal</w:t>
      </w:r>
      <w:r w:rsidR="004530E4" w:rsidRPr="00677ABE">
        <w:rPr>
          <w:rFonts w:cs="Times New Roman"/>
        </w:rPr>
        <w:t xml:space="preserve"> was </w:t>
      </w:r>
      <w:r w:rsidRPr="00677ABE">
        <w:rPr>
          <w:rFonts w:cs="Times New Roman"/>
        </w:rPr>
        <w:t>appropriate</w:t>
      </w:r>
      <w:r w:rsidR="00712E24" w:rsidRPr="00677ABE">
        <w:rPr>
          <w:rFonts w:cs="Times New Roman"/>
        </w:rPr>
        <w:t xml:space="preserve"> when the PTAB </w:t>
      </w:r>
      <w:r w:rsidR="004530E4" w:rsidRPr="00677ABE">
        <w:rPr>
          <w:rFonts w:cs="Times New Roman"/>
        </w:rPr>
        <w:t>has failed</w:t>
      </w:r>
      <w:r w:rsidR="00712E24" w:rsidRPr="00677ABE">
        <w:rPr>
          <w:rFonts w:cs="Times New Roman"/>
        </w:rPr>
        <w:t xml:space="preserve"> to </w:t>
      </w:r>
      <w:r w:rsidR="004530E4" w:rsidRPr="00677ABE">
        <w:rPr>
          <w:rFonts w:cs="Times New Roman"/>
        </w:rPr>
        <w:t xml:space="preserve">meet its burden to establish invalidity under </w:t>
      </w:r>
      <w:r w:rsidR="00AC00E6">
        <w:rPr>
          <w:rFonts w:cs="Times New Roman"/>
        </w:rPr>
        <w:t>§ </w:t>
      </w:r>
      <w:r w:rsidR="004530E4" w:rsidRPr="00677ABE">
        <w:rPr>
          <w:rFonts w:cs="Times New Roman"/>
        </w:rPr>
        <w:t>102</w:t>
      </w:r>
      <w:r w:rsidR="00317025" w:rsidRPr="00677ABE">
        <w:rPr>
          <w:rFonts w:cs="Times New Roman"/>
        </w:rPr>
        <w:t xml:space="preserve">; </w:t>
      </w:r>
      <w:r w:rsidR="004530E4" w:rsidRPr="00677ABE">
        <w:rPr>
          <w:rFonts w:cs="Times New Roman"/>
        </w:rPr>
        <w:t>otherwise—the argument seems to go—it could endlessly bite at the apple</w:t>
      </w:r>
      <w:r w:rsidRPr="00677ABE">
        <w:rPr>
          <w:rFonts w:cs="Times New Roman"/>
        </w:rPr>
        <w:t>.</w:t>
      </w:r>
      <w:r w:rsidRPr="00677ABE">
        <w:rPr>
          <w:rStyle w:val="FootnoteReference"/>
          <w:rFonts w:cs="Times New Roman"/>
        </w:rPr>
        <w:footnoteReference w:id="1118"/>
      </w:r>
      <w:bookmarkEnd w:id="229"/>
      <w:r w:rsidRPr="00677ABE">
        <w:rPr>
          <w:rFonts w:cs="Times New Roman"/>
        </w:rPr>
        <w:t xml:space="preserve"> </w:t>
      </w:r>
      <w:bookmarkEnd w:id="230"/>
    </w:p>
    <w:p w14:paraId="26B24096" w14:textId="5386AF0D" w:rsidR="00F20B84" w:rsidRDefault="00DE45FC" w:rsidP="00CA2C0A">
      <w:pPr>
        <w:outlineLvl w:val="0"/>
        <w:rPr>
          <w:rFonts w:cs="Times New Roman"/>
        </w:rPr>
      </w:pPr>
      <w:r w:rsidRPr="00677ABE">
        <w:rPr>
          <w:rFonts w:cs="Times New Roman"/>
        </w:rPr>
        <w:tab/>
      </w:r>
      <w:bookmarkStart w:id="231" w:name="_Toc526368158"/>
      <w:bookmarkStart w:id="232" w:name="_Toc526093247"/>
      <w:r w:rsidRPr="00677ABE">
        <w:rPr>
          <w:rFonts w:cs="Times New Roman"/>
        </w:rPr>
        <w:t xml:space="preserve">Dissenting </w:t>
      </w:r>
      <w:r w:rsidR="00701B56" w:rsidRPr="00677ABE">
        <w:rPr>
          <w:rFonts w:cs="Times New Roman"/>
        </w:rPr>
        <w:t xml:space="preserve">on </w:t>
      </w:r>
      <w:r w:rsidR="00317025" w:rsidRPr="00677ABE">
        <w:rPr>
          <w:rFonts w:cs="Times New Roman"/>
        </w:rPr>
        <w:t>this point</w:t>
      </w:r>
      <w:r w:rsidRPr="00677ABE">
        <w:rPr>
          <w:rFonts w:cs="Times New Roman"/>
        </w:rPr>
        <w:t>, Judge Wallach stated that “[b]y rev</w:t>
      </w:r>
      <w:r w:rsidR="00701B56" w:rsidRPr="00677ABE">
        <w:rPr>
          <w:rFonts w:cs="Times New Roman"/>
        </w:rPr>
        <w:t xml:space="preserve">ersing the PTAB’s determination, </w:t>
      </w:r>
      <w:r w:rsidRPr="00677ABE">
        <w:rPr>
          <w:rFonts w:cs="Times New Roman"/>
        </w:rPr>
        <w:t xml:space="preserve">the majority departs from the default rule that deficient agency decisions should be vacated and remanded. In doing so, the majority improperly acts as the fact-finder and dramatically over-reads </w:t>
      </w:r>
      <w:r w:rsidR="00AC00E6">
        <w:rPr>
          <w:rFonts w:cs="Times New Roman"/>
        </w:rPr>
        <w:t>§ </w:t>
      </w:r>
      <w:r w:rsidRPr="00677ABE">
        <w:rPr>
          <w:rFonts w:cs="Times New Roman"/>
        </w:rPr>
        <w:t>102.”</w:t>
      </w:r>
      <w:r w:rsidRPr="00677ABE">
        <w:rPr>
          <w:rStyle w:val="FootnoteReference"/>
          <w:rFonts w:cs="Times New Roman"/>
        </w:rPr>
        <w:footnoteReference w:id="1119"/>
      </w:r>
      <w:r w:rsidRPr="00677ABE">
        <w:rPr>
          <w:rFonts w:cs="Times New Roman"/>
        </w:rPr>
        <w:t xml:space="preserve"> Judge Wallach </w:t>
      </w:r>
      <w:r w:rsidR="008C23AE" w:rsidRPr="00677ABE">
        <w:rPr>
          <w:rFonts w:cs="Times New Roman"/>
        </w:rPr>
        <w:t>underscored</w:t>
      </w:r>
      <w:r w:rsidRPr="00677ABE">
        <w:rPr>
          <w:rFonts w:cs="Times New Roman"/>
        </w:rPr>
        <w:t xml:space="preserve"> that reversal is only appropriate for 1) legal error on established facts or 2) fact-finding error where only one reasonable view exist</w:t>
      </w:r>
      <w:r w:rsidR="008C23AE" w:rsidRPr="00677ABE">
        <w:rPr>
          <w:rFonts w:cs="Times New Roman"/>
        </w:rPr>
        <w:t>s</w:t>
      </w:r>
      <w:r w:rsidRPr="00677ABE">
        <w:rPr>
          <w:rFonts w:cs="Times New Roman"/>
        </w:rPr>
        <w:t>.</w:t>
      </w:r>
      <w:r w:rsidRPr="00677ABE">
        <w:rPr>
          <w:rStyle w:val="FootnoteReference"/>
          <w:rFonts w:cs="Times New Roman"/>
        </w:rPr>
        <w:footnoteReference w:id="1120"/>
      </w:r>
      <w:r w:rsidRPr="00677ABE">
        <w:rPr>
          <w:rFonts w:cs="Times New Roman"/>
        </w:rPr>
        <w:t xml:space="preserve"> The majority characterized </w:t>
      </w:r>
      <w:r w:rsidR="008C23AE" w:rsidRPr="00677ABE">
        <w:rPr>
          <w:rFonts w:cs="Times New Roman"/>
        </w:rPr>
        <w:t>its</w:t>
      </w:r>
      <w:r w:rsidRPr="00677ABE">
        <w:rPr>
          <w:rFonts w:cs="Times New Roman"/>
        </w:rPr>
        <w:t xml:space="preserve"> reversal as falling into the second category, but</w:t>
      </w:r>
      <w:r w:rsidR="008C23AE" w:rsidRPr="00677ABE">
        <w:rPr>
          <w:rFonts w:cs="Times New Roman"/>
        </w:rPr>
        <w:t xml:space="preserve"> Judge Wallach criticized that it</w:t>
      </w:r>
      <w:r w:rsidRPr="00677ABE">
        <w:rPr>
          <w:rFonts w:cs="Times New Roman"/>
        </w:rPr>
        <w:t xml:space="preserve"> did so by </w:t>
      </w:r>
      <w:r w:rsidR="00FA2147" w:rsidRPr="00677ABE">
        <w:rPr>
          <w:rFonts w:cs="Times New Roman"/>
        </w:rPr>
        <w:t>marshaling</w:t>
      </w:r>
      <w:r w:rsidRPr="00677ABE">
        <w:rPr>
          <w:rFonts w:cs="Times New Roman"/>
        </w:rPr>
        <w:t xml:space="preserve"> facts not present at the PTAB—the annotated copy of the Rasmussen figure.</w:t>
      </w:r>
      <w:r w:rsidRPr="00677ABE">
        <w:rPr>
          <w:rStyle w:val="FootnoteReference"/>
          <w:rFonts w:cs="Times New Roman"/>
        </w:rPr>
        <w:footnoteReference w:id="1121"/>
      </w:r>
      <w:r w:rsidRPr="00677ABE">
        <w:rPr>
          <w:rFonts w:cs="Times New Roman"/>
        </w:rPr>
        <w:t xml:space="preserve"> Further, Judge Wallach cited the Supreme Court’s dictate that patent procedure </w:t>
      </w:r>
      <w:r w:rsidR="00701B56" w:rsidRPr="00677ABE">
        <w:rPr>
          <w:rFonts w:cs="Times New Roman"/>
        </w:rPr>
        <w:t>should comport</w:t>
      </w:r>
      <w:r w:rsidRPr="00677ABE">
        <w:rPr>
          <w:rFonts w:cs="Times New Roman"/>
        </w:rPr>
        <w:t xml:space="preserve"> with the wider s</w:t>
      </w:r>
      <w:r w:rsidR="008C23AE" w:rsidRPr="00677ABE">
        <w:rPr>
          <w:rFonts w:cs="Times New Roman"/>
        </w:rPr>
        <w:t>tatutory scheme</w:t>
      </w:r>
      <w:r w:rsidRPr="00677ABE">
        <w:rPr>
          <w:rFonts w:cs="Times New Roman"/>
        </w:rPr>
        <w:t xml:space="preserve"> for administrative law under Title 5 and for judicial review </w:t>
      </w:r>
      <w:r w:rsidR="00701B56" w:rsidRPr="00677ABE">
        <w:rPr>
          <w:rFonts w:cs="Times New Roman"/>
        </w:rPr>
        <w:t>under Title 28 of the U.S. Code</w:t>
      </w:r>
      <w:r w:rsidR="008C23AE" w:rsidRPr="00677ABE">
        <w:rPr>
          <w:rFonts w:cs="Times New Roman"/>
        </w:rPr>
        <w:t>, with which the majority’s view of procedure conflicted.</w:t>
      </w:r>
      <w:r w:rsidR="00701B56" w:rsidRPr="00677ABE">
        <w:rPr>
          <w:rStyle w:val="FootnoteReference"/>
          <w:rFonts w:cs="Times New Roman"/>
        </w:rPr>
        <w:footnoteReference w:id="1122"/>
      </w:r>
      <w:bookmarkEnd w:id="231"/>
      <w:r w:rsidR="00701B56" w:rsidRPr="00677ABE">
        <w:rPr>
          <w:rFonts w:cs="Times New Roman"/>
        </w:rPr>
        <w:t xml:space="preserve"> </w:t>
      </w:r>
      <w:bookmarkEnd w:id="232"/>
    </w:p>
    <w:p w14:paraId="6E878A79" w14:textId="77777777" w:rsidR="00F20B84" w:rsidRDefault="00256049" w:rsidP="00CA2C0A">
      <w:pPr>
        <w:pStyle w:val="Heading2"/>
        <w:rPr>
          <w:rFonts w:cs="Times New Roman"/>
          <w:szCs w:val="24"/>
        </w:rPr>
      </w:pPr>
      <w:bookmarkStart w:id="233" w:name="_Toc516586626"/>
      <w:bookmarkStart w:id="234" w:name="_Toc531692828"/>
      <w:r w:rsidRPr="00677ABE">
        <w:rPr>
          <w:rFonts w:cs="Times New Roman"/>
          <w:szCs w:val="24"/>
        </w:rPr>
        <w:t>Effect of PTAB Ruling</w:t>
      </w:r>
      <w:bookmarkEnd w:id="233"/>
      <w:bookmarkEnd w:id="234"/>
    </w:p>
    <w:p w14:paraId="7B881972" w14:textId="1F648679" w:rsidR="00256049" w:rsidRPr="00677ABE" w:rsidRDefault="00256049" w:rsidP="00CA2C0A">
      <w:pPr>
        <w:pStyle w:val="Heading3"/>
        <w:ind w:firstLine="0"/>
        <w:rPr>
          <w:rFonts w:cs="Times New Roman"/>
          <w:i w:val="0"/>
        </w:rPr>
      </w:pPr>
      <w:bookmarkStart w:id="235" w:name="_Toc516586627"/>
      <w:bookmarkStart w:id="236" w:name="_Toc531692829"/>
      <w:r w:rsidRPr="00677ABE">
        <w:rPr>
          <w:rFonts w:cs="Times New Roman"/>
        </w:rPr>
        <w:t>Exmark Manufacturing Co. Inc. v. Briggs &amp; Stratton Power Products Group, LLC</w:t>
      </w:r>
      <w:r w:rsidRPr="00677ABE">
        <w:rPr>
          <w:rFonts w:cs="Times New Roman"/>
          <w:i w:val="0"/>
        </w:rPr>
        <w:t>, No. 2016-2197, 2018 WL 385497 (Fed. Cir. Jan. 12, 2018)</w:t>
      </w:r>
      <w:bookmarkEnd w:id="235"/>
      <w:bookmarkEnd w:id="236"/>
    </w:p>
    <w:p w14:paraId="2F451B2F" w14:textId="77777777" w:rsidR="00256049" w:rsidRPr="00677ABE" w:rsidRDefault="00256049" w:rsidP="00CA2C0A">
      <w:pPr>
        <w:rPr>
          <w:rFonts w:cs="Times New Roman"/>
        </w:rPr>
      </w:pPr>
      <w:r w:rsidRPr="00677ABE">
        <w:rPr>
          <w:rFonts w:cs="Times New Roman"/>
          <w:lang w:eastAsia="x-none"/>
        </w:rPr>
        <w:tab/>
        <w:t xml:space="preserve">In this </w:t>
      </w:r>
      <w:r w:rsidRPr="00677ABE">
        <w:rPr>
          <w:rFonts w:cs="Times New Roman"/>
        </w:rPr>
        <w:t>appeal from the District of Nebraska, the Federal Circuit ruled that the “district court erred by basing its summary judgment of no invalidity solely on the fact that claim 1 [of the ’863 patent] survived multiple reexaminations.”</w:t>
      </w:r>
      <w:r w:rsidRPr="00677ABE">
        <w:rPr>
          <w:rStyle w:val="FootnoteReference"/>
          <w:rFonts w:cs="Times New Roman"/>
        </w:rPr>
        <w:footnoteReference w:id="1123"/>
      </w:r>
      <w:r w:rsidRPr="00677ABE">
        <w:rPr>
          <w:rFonts w:cs="Times New Roman"/>
        </w:rPr>
        <w:t xml:space="preserve"> The district court’s decision on validity was “limited to a single paragraph.”</w:t>
      </w:r>
      <w:r w:rsidRPr="00677ABE">
        <w:rPr>
          <w:rStyle w:val="FootnoteReference"/>
          <w:rFonts w:cs="Times New Roman"/>
        </w:rPr>
        <w:footnoteReference w:id="1124"/>
      </w:r>
      <w:r w:rsidRPr="00677ABE">
        <w:rPr>
          <w:rFonts w:cs="Times New Roman"/>
        </w:rPr>
        <w:t xml:space="preserve"> The district court determined that no reasonable jury could find the asserted claims invalid because (1) the claims had been upheld four different times by the PTO on reexamination, and (2) all of the arguments presented by the defendants have been considered by the PTO and rejected.</w:t>
      </w:r>
      <w:r w:rsidRPr="00677ABE">
        <w:rPr>
          <w:rStyle w:val="FootnoteReference"/>
          <w:rFonts w:cs="Times New Roman"/>
        </w:rPr>
        <w:footnoteReference w:id="1125"/>
      </w:r>
    </w:p>
    <w:p w14:paraId="09309BCA" w14:textId="36E5272D" w:rsidR="00256049" w:rsidRPr="00677ABE" w:rsidRDefault="00256049" w:rsidP="00CA2C0A">
      <w:pPr>
        <w:rPr>
          <w:rFonts w:cs="Times New Roman"/>
        </w:rPr>
      </w:pPr>
      <w:r w:rsidRPr="00677ABE">
        <w:rPr>
          <w:rFonts w:cs="Times New Roman"/>
        </w:rPr>
        <w:tab/>
        <w:t xml:space="preserve">The Federal Circuit determined that although the district court stated that it only gave the reexaminations </w:t>
      </w:r>
      <w:r w:rsidRPr="00677ABE">
        <w:rPr>
          <w:rFonts w:cs="Times New Roman"/>
          <w:i/>
        </w:rPr>
        <w:t xml:space="preserve">some </w:t>
      </w:r>
      <w:r w:rsidRPr="00677ABE">
        <w:rPr>
          <w:rFonts w:cs="Times New Roman"/>
        </w:rPr>
        <w:t>weight, “it appears from [the district court’s] cursory decision that, in fact, the court granted summary judgment based on the claim surviving multiple reexaminations.”</w:t>
      </w:r>
      <w:r w:rsidRPr="00677ABE">
        <w:rPr>
          <w:rStyle w:val="FootnoteReference"/>
          <w:rFonts w:cs="Times New Roman"/>
        </w:rPr>
        <w:footnoteReference w:id="1126"/>
      </w:r>
      <w:r w:rsidRPr="00677ABE">
        <w:rPr>
          <w:rFonts w:cs="Times New Roman"/>
        </w:rPr>
        <w:t xml:space="preserve"> The Federal Circuit ruled “[s]urviving a reexamination does not warrant </w:t>
      </w:r>
      <w:r w:rsidRPr="00677ABE">
        <w:rPr>
          <w:rFonts w:cs="Times New Roman"/>
          <w:i/>
        </w:rPr>
        <w:t>ipso facto</w:t>
      </w:r>
      <w:r w:rsidRPr="00677ABE">
        <w:rPr>
          <w:rFonts w:cs="Times New Roman"/>
        </w:rPr>
        <w:t xml:space="preserve"> summary judgment that a patent is not invalid. Holding otherwise would improperly give complete deference and preclusive effect to the PTO’s patentability determination, foreclosing challenges to patent validity in district court based on the same prior art.”</w:t>
      </w:r>
      <w:r w:rsidRPr="00677ABE">
        <w:rPr>
          <w:rStyle w:val="FootnoteReference"/>
          <w:rFonts w:cs="Times New Roman"/>
        </w:rPr>
        <w:footnoteReference w:id="1127"/>
      </w:r>
      <w:r w:rsidRPr="00677ABE">
        <w:rPr>
          <w:rFonts w:cs="Times New Roman"/>
        </w:rPr>
        <w:t xml:space="preserve"> Rather, the deference owed to PTO decisions, even following PTO reexaminations, “takes the form of the </w:t>
      </w:r>
      <w:r w:rsidRPr="00677ABE">
        <w:rPr>
          <w:rFonts w:cs="Times New Roman"/>
          <w:i/>
        </w:rPr>
        <w:t>presumption of validity</w:t>
      </w:r>
      <w:r w:rsidRPr="00677ABE">
        <w:rPr>
          <w:rFonts w:cs="Times New Roman"/>
        </w:rPr>
        <w:t xml:space="preserve"> under 35 U.S.C. </w:t>
      </w:r>
      <w:r w:rsidR="00AC00E6">
        <w:rPr>
          <w:rFonts w:cs="Times New Roman"/>
        </w:rPr>
        <w:t>§ </w:t>
      </w:r>
      <w:r w:rsidRPr="00677ABE">
        <w:rPr>
          <w:rFonts w:cs="Times New Roman"/>
        </w:rPr>
        <w:t>282.”</w:t>
      </w:r>
      <w:r w:rsidRPr="00677ABE">
        <w:rPr>
          <w:rStyle w:val="FootnoteReference"/>
          <w:rFonts w:cs="Times New Roman"/>
        </w:rPr>
        <w:footnoteReference w:id="1128"/>
      </w:r>
    </w:p>
    <w:p w14:paraId="28D55353" w14:textId="77777777" w:rsidR="00256049" w:rsidRPr="00677ABE" w:rsidRDefault="00256049" w:rsidP="00CA2C0A">
      <w:pPr>
        <w:rPr>
          <w:rFonts w:cs="Times New Roman"/>
        </w:rPr>
      </w:pPr>
      <w:r w:rsidRPr="00677ABE">
        <w:rPr>
          <w:rFonts w:cs="Times New Roman"/>
        </w:rPr>
        <w:tab/>
        <w:t xml:space="preserve">Exmark cited </w:t>
      </w:r>
      <w:r w:rsidRPr="00677ABE">
        <w:rPr>
          <w:rFonts w:cs="Times New Roman"/>
          <w:i/>
        </w:rPr>
        <w:t>SRI International, Inc. v. Advanced Technology Laboratories, Inc.</w:t>
      </w:r>
      <w:r w:rsidRPr="00677ABE">
        <w:rPr>
          <w:rStyle w:val="FootnoteReference"/>
          <w:rFonts w:cs="Times New Roman"/>
        </w:rPr>
        <w:footnoteReference w:id="1129"/>
      </w:r>
      <w:r w:rsidRPr="00677ABE">
        <w:rPr>
          <w:rFonts w:cs="Times New Roman"/>
        </w:rPr>
        <w:t xml:space="preserve"> to support the district court’s ruling.</w:t>
      </w:r>
      <w:r w:rsidRPr="00677ABE">
        <w:rPr>
          <w:rStyle w:val="FootnoteReference"/>
          <w:rFonts w:cs="Times New Roman"/>
        </w:rPr>
        <w:footnoteReference w:id="1130"/>
      </w:r>
      <w:r w:rsidRPr="00677ABE">
        <w:rPr>
          <w:rFonts w:cs="Times New Roman"/>
        </w:rPr>
        <w:t xml:space="preserve"> But although the </w:t>
      </w:r>
      <w:r w:rsidRPr="00677ABE">
        <w:rPr>
          <w:rFonts w:cs="Times New Roman"/>
          <w:i/>
        </w:rPr>
        <w:t>SRI</w:t>
      </w:r>
      <w:r w:rsidRPr="00677ABE">
        <w:rPr>
          <w:rFonts w:cs="Times New Roman"/>
        </w:rPr>
        <w:t xml:space="preserve"> court noted that “when a party attacking validity relies only on prior art that was before the PTO examiner during prosecution, that party has [the] added burden of overcoming the deference due a qualified governmental agency,” in that case the court properly “considered all the record evidence” in making its validity decision.</w:t>
      </w:r>
      <w:r w:rsidRPr="00677ABE">
        <w:rPr>
          <w:rStyle w:val="FootnoteReference"/>
          <w:rFonts w:cs="Times New Roman"/>
        </w:rPr>
        <w:footnoteReference w:id="1131"/>
      </w:r>
    </w:p>
    <w:p w14:paraId="62EF93BF" w14:textId="77777777" w:rsidR="00F20B84" w:rsidRDefault="00256049" w:rsidP="00CA2C0A">
      <w:pPr>
        <w:rPr>
          <w:rFonts w:cs="Times New Roman"/>
        </w:rPr>
      </w:pPr>
      <w:r w:rsidRPr="00677ABE">
        <w:rPr>
          <w:rFonts w:cs="Times New Roman"/>
        </w:rPr>
        <w:tab/>
        <w:t>Exmark further argued that because “Briggs was unable to invalidate the claims under a lower standard of patentability and a broader claim construction standard” at the PTO on reexamination, “Briggs cannot establish invalidity by clear and convincing evidence” in district court.</w:t>
      </w:r>
      <w:r w:rsidRPr="00677ABE">
        <w:rPr>
          <w:rStyle w:val="FootnoteReference"/>
          <w:rFonts w:cs="Times New Roman"/>
        </w:rPr>
        <w:footnoteReference w:id="1132"/>
      </w:r>
      <w:r w:rsidRPr="00677ABE">
        <w:rPr>
          <w:rFonts w:cs="Times New Roman"/>
        </w:rPr>
        <w:t xml:space="preserve"> The Federal Circuit disagreed.</w:t>
      </w:r>
      <w:r w:rsidRPr="00677ABE">
        <w:rPr>
          <w:rStyle w:val="FootnoteReference"/>
          <w:rFonts w:cs="Times New Roman"/>
        </w:rPr>
        <w:footnoteReference w:id="1133"/>
      </w:r>
      <w:r w:rsidRPr="00677ABE">
        <w:rPr>
          <w:rFonts w:cs="Times New Roman"/>
        </w:rPr>
        <w:t xml:space="preserve"> The court explained that the district court construed the claims more broadly than the PTO, and thus the PTO’s determinations on a narrower claim construction “does not foreclose the possibility that a jury may find otherwise under a broader claim construction.”</w:t>
      </w:r>
      <w:r w:rsidRPr="00677ABE">
        <w:rPr>
          <w:rStyle w:val="FootnoteReference"/>
          <w:rFonts w:cs="Times New Roman"/>
        </w:rPr>
        <w:footnoteReference w:id="1134"/>
      </w:r>
    </w:p>
    <w:p w14:paraId="5F475A01" w14:textId="54867E16" w:rsidR="00F20B84" w:rsidRDefault="007D0629" w:rsidP="00CA2C0A">
      <w:pPr>
        <w:pStyle w:val="Heading2"/>
        <w:rPr>
          <w:rFonts w:cs="Times New Roman"/>
          <w:szCs w:val="24"/>
        </w:rPr>
      </w:pPr>
      <w:bookmarkStart w:id="237" w:name="_Toc531692830"/>
      <w:r w:rsidRPr="00677ABE">
        <w:rPr>
          <w:rFonts w:cs="Times New Roman"/>
          <w:szCs w:val="24"/>
        </w:rPr>
        <w:t>Standing</w:t>
      </w:r>
      <w:bookmarkEnd w:id="237"/>
      <w:r w:rsidRPr="00677ABE">
        <w:rPr>
          <w:rFonts w:cs="Times New Roman"/>
          <w:szCs w:val="24"/>
        </w:rPr>
        <w:t xml:space="preserve"> </w:t>
      </w:r>
    </w:p>
    <w:p w14:paraId="6058A930" w14:textId="1C03F7D5" w:rsidR="0059496F" w:rsidRPr="00677ABE" w:rsidRDefault="0059496F" w:rsidP="00CA2C0A">
      <w:pPr>
        <w:pStyle w:val="Heading3"/>
        <w:ind w:firstLine="0"/>
        <w:rPr>
          <w:rFonts w:cs="Times New Roman"/>
        </w:rPr>
      </w:pPr>
      <w:bookmarkStart w:id="238" w:name="_Toc531692831"/>
      <w:r w:rsidRPr="00677ABE">
        <w:rPr>
          <w:rFonts w:cs="Times New Roman"/>
        </w:rPr>
        <w:t>E.I. DuPont de Nemours &amp; Co. v. Synvina C.V.</w:t>
      </w:r>
      <w:r w:rsidRPr="00677ABE">
        <w:rPr>
          <w:rFonts w:cs="Times New Roman"/>
          <w:i w:val="0"/>
        </w:rPr>
        <w:t xml:space="preserve">, </w:t>
      </w:r>
      <w:r w:rsidR="000669A7" w:rsidRPr="00677ABE">
        <w:rPr>
          <w:rFonts w:cs="Times New Roman"/>
          <w:i w:val="0"/>
        </w:rPr>
        <w:t xml:space="preserve">No. </w:t>
      </w:r>
      <w:r w:rsidRPr="00677ABE">
        <w:rPr>
          <w:rFonts w:cs="Times New Roman"/>
          <w:i w:val="0"/>
        </w:rPr>
        <w:t>2017-1977, 2018 WL 4390796 (Fed. Cir. Sept. </w:t>
      </w:r>
      <w:r w:rsidR="00713773" w:rsidRPr="00677ABE">
        <w:rPr>
          <w:rFonts w:cs="Times New Roman"/>
          <w:i w:val="0"/>
        </w:rPr>
        <w:t>17, 2018)</w:t>
      </w:r>
      <w:bookmarkEnd w:id="238"/>
    </w:p>
    <w:p w14:paraId="6D362313" w14:textId="69CB9DC8" w:rsidR="0059496F" w:rsidRPr="00677ABE" w:rsidRDefault="0059496F" w:rsidP="00CA2C0A">
      <w:pPr>
        <w:outlineLvl w:val="0"/>
        <w:rPr>
          <w:rFonts w:cs="Times New Roman"/>
          <w:color w:val="000000" w:themeColor="text1"/>
        </w:rPr>
      </w:pPr>
      <w:r w:rsidRPr="00677ABE">
        <w:rPr>
          <w:rFonts w:cs="Times New Roman"/>
          <w:b/>
          <w:color w:val="000000" w:themeColor="text1"/>
        </w:rPr>
        <w:tab/>
      </w:r>
      <w:bookmarkStart w:id="239" w:name="_Toc526368159"/>
      <w:r w:rsidRPr="00677ABE">
        <w:rPr>
          <w:rFonts w:cs="Times New Roman"/>
          <w:color w:val="000000" w:themeColor="text1"/>
        </w:rPr>
        <w:t>In this appeal from the Patent Trial and Appeal Board (“PTAB”),</w:t>
      </w:r>
      <w:r w:rsidR="00FD37B5" w:rsidRPr="00677ABE">
        <w:rPr>
          <w:rFonts w:cs="Times New Roman"/>
          <w:color w:val="000000" w:themeColor="text1"/>
        </w:rPr>
        <w:t xml:space="preserve"> the Federal Circuit recognized that DuPont had standing.</w:t>
      </w:r>
      <w:bookmarkEnd w:id="239"/>
      <w:r w:rsidRPr="00677ABE">
        <w:rPr>
          <w:rFonts w:cs="Times New Roman"/>
          <w:color w:val="000000" w:themeColor="text1"/>
        </w:rPr>
        <w:t xml:space="preserve"> </w:t>
      </w:r>
    </w:p>
    <w:p w14:paraId="50EC8FF4" w14:textId="3CC49AC8" w:rsidR="0059496F" w:rsidRPr="00677ABE" w:rsidRDefault="00310677" w:rsidP="00CA2C0A">
      <w:pPr>
        <w:outlineLvl w:val="0"/>
        <w:rPr>
          <w:rFonts w:cs="Times New Roman"/>
          <w:color w:val="000000" w:themeColor="text1"/>
        </w:rPr>
      </w:pPr>
      <w:bookmarkStart w:id="240" w:name="_Toc526368160"/>
      <w:r w:rsidRPr="00677ABE">
        <w:rPr>
          <w:rFonts w:cs="Times New Roman"/>
          <w:color w:val="000000" w:themeColor="text1"/>
        </w:rPr>
        <w:t>Concluding</w:t>
      </w:r>
      <w:r w:rsidR="00FD37B5" w:rsidRPr="00677ABE">
        <w:rPr>
          <w:rFonts w:cs="Times New Roman"/>
          <w:color w:val="000000" w:themeColor="text1"/>
        </w:rPr>
        <w:t xml:space="preserve"> </w:t>
      </w:r>
      <w:r w:rsidR="00FD37B5" w:rsidRPr="00677ABE">
        <w:rPr>
          <w:rFonts w:cs="Times New Roman"/>
          <w:i/>
          <w:color w:val="000000" w:themeColor="text1"/>
        </w:rPr>
        <w:t>inter partes</w:t>
      </w:r>
      <w:r w:rsidR="00FD37B5" w:rsidRPr="00677ABE">
        <w:rPr>
          <w:rFonts w:cs="Times New Roman"/>
          <w:color w:val="000000" w:themeColor="text1"/>
        </w:rPr>
        <w:t xml:space="preserve"> review</w:t>
      </w:r>
      <w:r w:rsidR="00DB3C55" w:rsidRPr="00677ABE">
        <w:rPr>
          <w:rFonts w:cs="Times New Roman"/>
          <w:color w:val="000000" w:themeColor="text1"/>
        </w:rPr>
        <w:t xml:space="preserve"> (“IPR”)</w:t>
      </w:r>
      <w:r w:rsidR="00436810" w:rsidRPr="00677ABE">
        <w:rPr>
          <w:rFonts w:cs="Times New Roman"/>
          <w:color w:val="000000" w:themeColor="text1"/>
        </w:rPr>
        <w:t xml:space="preserve"> on the claims at issue</w:t>
      </w:r>
      <w:r w:rsidR="00FD37B5" w:rsidRPr="00677ABE">
        <w:rPr>
          <w:rFonts w:cs="Times New Roman"/>
          <w:color w:val="000000" w:themeColor="text1"/>
        </w:rPr>
        <w:t>, the PTAB</w:t>
      </w:r>
      <w:r w:rsidR="0059496F" w:rsidRPr="00677ABE">
        <w:rPr>
          <w:rFonts w:cs="Times New Roman"/>
          <w:color w:val="000000" w:themeColor="text1"/>
        </w:rPr>
        <w:t xml:space="preserve"> </w:t>
      </w:r>
      <w:r w:rsidR="00436810" w:rsidRPr="00677ABE">
        <w:rPr>
          <w:rFonts w:cs="Times New Roman"/>
          <w:color w:val="000000" w:themeColor="text1"/>
        </w:rPr>
        <w:t>found them</w:t>
      </w:r>
      <w:r w:rsidR="008224EF" w:rsidRPr="00677ABE">
        <w:rPr>
          <w:rFonts w:cs="Times New Roman"/>
          <w:color w:val="000000" w:themeColor="text1"/>
        </w:rPr>
        <w:t xml:space="preserve"> not</w:t>
      </w:r>
      <w:r w:rsidR="0059496F" w:rsidRPr="00677ABE">
        <w:rPr>
          <w:rFonts w:cs="Times New Roman"/>
          <w:color w:val="000000" w:themeColor="text1"/>
        </w:rPr>
        <w:t xml:space="preserve"> unpatentable </w:t>
      </w:r>
      <w:r w:rsidR="00436810" w:rsidRPr="00677ABE">
        <w:rPr>
          <w:rFonts w:cs="Times New Roman"/>
          <w:color w:val="000000" w:themeColor="text1"/>
        </w:rPr>
        <w:t>for obviousness</w:t>
      </w:r>
      <w:r w:rsidR="008224EF" w:rsidRPr="00677ABE">
        <w:rPr>
          <w:rFonts w:cs="Times New Roman"/>
          <w:color w:val="000000" w:themeColor="text1"/>
        </w:rPr>
        <w:t>.</w:t>
      </w:r>
      <w:r w:rsidR="0059496F" w:rsidRPr="00677ABE">
        <w:rPr>
          <w:rStyle w:val="FootnoteReference"/>
          <w:rFonts w:cs="Times New Roman"/>
          <w:color w:val="000000" w:themeColor="text1"/>
        </w:rPr>
        <w:footnoteReference w:id="1135"/>
      </w:r>
      <w:r w:rsidR="0059496F" w:rsidRPr="00677ABE">
        <w:rPr>
          <w:rFonts w:cs="Times New Roman"/>
          <w:color w:val="000000" w:themeColor="text1"/>
        </w:rPr>
        <w:t xml:space="preserve"> </w:t>
      </w:r>
      <w:r w:rsidR="00436810" w:rsidRPr="00677ABE">
        <w:rPr>
          <w:rFonts w:cs="Times New Roman"/>
          <w:color w:val="000000" w:themeColor="text1"/>
        </w:rPr>
        <w:t>DuPont appealed;</w:t>
      </w:r>
      <w:r w:rsidR="008224EF" w:rsidRPr="00677ABE">
        <w:rPr>
          <w:rFonts w:cs="Times New Roman"/>
          <w:color w:val="000000" w:themeColor="text1"/>
        </w:rPr>
        <w:t xml:space="preserve"> Synvina asserted that</w:t>
      </w:r>
      <w:r w:rsidR="00436810" w:rsidRPr="00677ABE">
        <w:rPr>
          <w:rFonts w:cs="Times New Roman"/>
          <w:color w:val="000000" w:themeColor="text1"/>
        </w:rPr>
        <w:t xml:space="preserve">, because Synvina had not asserted infringement claims against </w:t>
      </w:r>
      <w:r w:rsidR="00FA2147" w:rsidRPr="00677ABE">
        <w:rPr>
          <w:rFonts w:cs="Times New Roman"/>
          <w:color w:val="000000" w:themeColor="text1"/>
        </w:rPr>
        <w:t>DuPont</w:t>
      </w:r>
      <w:r w:rsidR="00436810" w:rsidRPr="00677ABE">
        <w:rPr>
          <w:rFonts w:cs="Times New Roman"/>
          <w:color w:val="000000" w:themeColor="text1"/>
        </w:rPr>
        <w:t>,</w:t>
      </w:r>
      <w:r w:rsidR="008224EF" w:rsidRPr="00677ABE">
        <w:rPr>
          <w:rFonts w:cs="Times New Roman"/>
          <w:color w:val="000000" w:themeColor="text1"/>
        </w:rPr>
        <w:t xml:space="preserve"> DuPont lacked </w:t>
      </w:r>
      <w:r w:rsidR="00436810" w:rsidRPr="00677ABE">
        <w:rPr>
          <w:rFonts w:cs="Times New Roman"/>
          <w:color w:val="000000" w:themeColor="text1"/>
        </w:rPr>
        <w:t xml:space="preserve">“an actual or imminent injury” for Article III </w:t>
      </w:r>
      <w:r w:rsidR="008224EF" w:rsidRPr="00677ABE">
        <w:rPr>
          <w:rFonts w:cs="Times New Roman"/>
          <w:color w:val="000000" w:themeColor="text1"/>
        </w:rPr>
        <w:t>standing.</w:t>
      </w:r>
      <w:r w:rsidR="008224EF" w:rsidRPr="00677ABE">
        <w:rPr>
          <w:rStyle w:val="FootnoteReference"/>
          <w:rFonts w:cs="Times New Roman"/>
          <w:color w:val="000000" w:themeColor="text1"/>
        </w:rPr>
        <w:footnoteReference w:id="1136"/>
      </w:r>
      <w:bookmarkEnd w:id="240"/>
    </w:p>
    <w:p w14:paraId="00229C9C" w14:textId="5917D602" w:rsidR="00F20B84" w:rsidRDefault="0059496F" w:rsidP="00CA2C0A">
      <w:pPr>
        <w:outlineLvl w:val="0"/>
        <w:rPr>
          <w:rFonts w:cs="Times New Roman"/>
          <w:color w:val="000000" w:themeColor="text1"/>
        </w:rPr>
      </w:pPr>
      <w:r w:rsidRPr="00677ABE">
        <w:rPr>
          <w:rFonts w:cs="Times New Roman"/>
          <w:color w:val="000000" w:themeColor="text1"/>
        </w:rPr>
        <w:tab/>
      </w:r>
      <w:bookmarkStart w:id="241" w:name="_Toc526368161"/>
      <w:r w:rsidR="008224EF" w:rsidRPr="00677ABE">
        <w:rPr>
          <w:rFonts w:cs="Times New Roman"/>
          <w:color w:val="000000" w:themeColor="text1"/>
        </w:rPr>
        <w:t>The Federal Circuit held DuPont had standing.</w:t>
      </w:r>
      <w:r w:rsidR="008224EF" w:rsidRPr="00677ABE">
        <w:rPr>
          <w:rStyle w:val="FootnoteReference"/>
          <w:rFonts w:cs="Times New Roman"/>
          <w:color w:val="000000" w:themeColor="text1"/>
        </w:rPr>
        <w:footnoteReference w:id="1137"/>
      </w:r>
      <w:r w:rsidR="008224EF" w:rsidRPr="00677ABE">
        <w:rPr>
          <w:rFonts w:cs="Times New Roman"/>
          <w:color w:val="000000" w:themeColor="text1"/>
        </w:rPr>
        <w:t xml:space="preserve"> </w:t>
      </w:r>
      <w:r w:rsidR="00D048A7" w:rsidRPr="00677ABE">
        <w:rPr>
          <w:rFonts w:cs="Times New Roman"/>
          <w:color w:val="000000" w:themeColor="text1"/>
        </w:rPr>
        <w:t>Even though the PTAB does not require such standing to initiate IPR,</w:t>
      </w:r>
      <w:r w:rsidR="00D048A7" w:rsidRPr="00677ABE">
        <w:rPr>
          <w:rStyle w:val="FootnoteReference"/>
          <w:rFonts w:cs="Times New Roman"/>
          <w:color w:val="000000" w:themeColor="text1"/>
        </w:rPr>
        <w:footnoteReference w:id="1138"/>
      </w:r>
      <w:r w:rsidR="00D048A7" w:rsidRPr="00677ABE">
        <w:rPr>
          <w:rFonts w:cs="Times New Roman"/>
          <w:color w:val="000000" w:themeColor="text1"/>
        </w:rPr>
        <w:t>a</w:t>
      </w:r>
      <w:r w:rsidR="008224EF" w:rsidRPr="00677ABE">
        <w:rPr>
          <w:rFonts w:cs="Times New Roman"/>
          <w:color w:val="000000" w:themeColor="text1"/>
        </w:rPr>
        <w:t>ppellants from the PTAB to the Federal Circuit must meet the Article III test</w:t>
      </w:r>
      <w:r w:rsidR="00D048A7" w:rsidRPr="00677ABE">
        <w:rPr>
          <w:rFonts w:cs="Times New Roman"/>
          <w:color w:val="000000" w:themeColor="text1"/>
        </w:rPr>
        <w:t xml:space="preserve">, </w:t>
      </w:r>
      <w:r w:rsidR="005B7E37" w:rsidRPr="00677ABE">
        <w:rPr>
          <w:rFonts w:cs="Times New Roman"/>
          <w:color w:val="000000" w:themeColor="text1"/>
        </w:rPr>
        <w:t>informed</w:t>
      </w:r>
      <w:r w:rsidR="00D048A7" w:rsidRPr="00677ABE">
        <w:rPr>
          <w:rFonts w:cs="Times New Roman"/>
          <w:color w:val="000000" w:themeColor="text1"/>
        </w:rPr>
        <w:t xml:space="preserve"> in </w:t>
      </w:r>
      <w:r w:rsidR="005B7E37" w:rsidRPr="00677ABE">
        <w:rPr>
          <w:rFonts w:cs="Times New Roman"/>
          <w:color w:val="000000" w:themeColor="text1"/>
        </w:rPr>
        <w:t>the IPR appeals</w:t>
      </w:r>
      <w:r w:rsidR="00D048A7" w:rsidRPr="00677ABE">
        <w:rPr>
          <w:rFonts w:cs="Times New Roman"/>
          <w:color w:val="000000" w:themeColor="text1"/>
        </w:rPr>
        <w:t xml:space="preserve"> context</w:t>
      </w:r>
      <w:r w:rsidR="005B7E37" w:rsidRPr="00677ABE">
        <w:rPr>
          <w:rFonts w:cs="Times New Roman"/>
          <w:color w:val="000000" w:themeColor="text1"/>
        </w:rPr>
        <w:t xml:space="preserve"> by</w:t>
      </w:r>
      <w:r w:rsidR="00D048A7" w:rsidRPr="00677ABE">
        <w:rPr>
          <w:rFonts w:cs="Times New Roman"/>
          <w:color w:val="000000" w:themeColor="text1"/>
        </w:rPr>
        <w:t xml:space="preserve"> </w:t>
      </w:r>
      <w:r w:rsidRPr="00677ABE">
        <w:rPr>
          <w:rFonts w:cs="Times New Roman"/>
          <w:color w:val="000000" w:themeColor="text1"/>
        </w:rPr>
        <w:t xml:space="preserve">28 U.S.C. </w:t>
      </w:r>
      <w:r w:rsidR="00AC00E6">
        <w:rPr>
          <w:rFonts w:cs="Times New Roman"/>
          <w:color w:val="000000" w:themeColor="text1"/>
        </w:rPr>
        <w:t>§ </w:t>
      </w:r>
      <w:r w:rsidR="005B7E37" w:rsidRPr="00677ABE">
        <w:rPr>
          <w:rFonts w:cs="Times New Roman"/>
          <w:color w:val="000000" w:themeColor="text1"/>
        </w:rPr>
        <w:t>1295(a)</w:t>
      </w:r>
      <w:r w:rsidRPr="00677ABE">
        <w:rPr>
          <w:rFonts w:cs="Times New Roman"/>
          <w:color w:val="000000" w:themeColor="text1"/>
        </w:rPr>
        <w:t>(4)(A)</w:t>
      </w:r>
      <w:r w:rsidR="00DB3C55" w:rsidRPr="00677ABE">
        <w:rPr>
          <w:rFonts w:cs="Times New Roman"/>
          <w:color w:val="000000" w:themeColor="text1"/>
        </w:rPr>
        <w:t>.</w:t>
      </w:r>
      <w:r w:rsidRPr="00677ABE">
        <w:rPr>
          <w:rStyle w:val="FootnoteReference"/>
          <w:rFonts w:cs="Times New Roman"/>
          <w:color w:val="000000" w:themeColor="text1"/>
        </w:rPr>
        <w:footnoteReference w:id="1139"/>
      </w:r>
      <w:r w:rsidRPr="00677ABE">
        <w:rPr>
          <w:rFonts w:cs="Times New Roman"/>
          <w:color w:val="000000" w:themeColor="text1"/>
        </w:rPr>
        <w:t xml:space="preserve"> Article III standing requires an appellant to show </w:t>
      </w:r>
      <w:r w:rsidR="00DB3C55" w:rsidRPr="00677ABE">
        <w:rPr>
          <w:rFonts w:cs="Times New Roman"/>
          <w:color w:val="000000" w:themeColor="text1"/>
        </w:rPr>
        <w:t>she</w:t>
      </w:r>
      <w:r w:rsidRPr="00677ABE">
        <w:rPr>
          <w:rFonts w:cs="Times New Roman"/>
          <w:color w:val="000000" w:themeColor="text1"/>
        </w:rPr>
        <w:t xml:space="preserve"> has </w:t>
      </w:r>
      <w:r w:rsidR="00426053" w:rsidRPr="00677ABE">
        <w:rPr>
          <w:rFonts w:cs="Times New Roman"/>
          <w:color w:val="000000" w:themeColor="text1"/>
        </w:rPr>
        <w:t>“</w:t>
      </w:r>
      <w:r w:rsidRPr="00677ABE">
        <w:rPr>
          <w:rFonts w:cs="Times New Roman"/>
          <w:color w:val="000000" w:themeColor="text1"/>
        </w:rPr>
        <w:t>(1) suffered an injury in fact, (2) that is fairly traceable to the challenged conduct of the defendant, and (3) that is likely to be redressed by a favorable judicial decision</w:t>
      </w:r>
      <w:r w:rsidR="00426053" w:rsidRPr="00677ABE">
        <w:rPr>
          <w:rFonts w:cs="Times New Roman"/>
          <w:color w:val="000000" w:themeColor="text1"/>
        </w:rPr>
        <w:t>.</w:t>
      </w:r>
      <w:r w:rsidRPr="00677ABE">
        <w:rPr>
          <w:rFonts w:cs="Times New Roman"/>
          <w:color w:val="000000" w:themeColor="text1"/>
        </w:rPr>
        <w:t>”</w:t>
      </w:r>
      <w:r w:rsidRPr="00677ABE">
        <w:rPr>
          <w:rStyle w:val="FootnoteReference"/>
          <w:rFonts w:cs="Times New Roman"/>
          <w:color w:val="000000" w:themeColor="text1"/>
        </w:rPr>
        <w:footnoteReference w:id="1140"/>
      </w:r>
      <w:r w:rsidRPr="00677ABE">
        <w:rPr>
          <w:rFonts w:cs="Times New Roman"/>
          <w:color w:val="000000" w:themeColor="text1"/>
        </w:rPr>
        <w:t xml:space="preserve"> </w:t>
      </w:r>
      <w:r w:rsidR="005B7E37" w:rsidRPr="00677ABE">
        <w:rPr>
          <w:rFonts w:cs="Times New Roman"/>
          <w:color w:val="000000" w:themeColor="text1"/>
        </w:rPr>
        <w:t xml:space="preserve">According to </w:t>
      </w:r>
      <w:r w:rsidR="00FA2147" w:rsidRPr="00677ABE">
        <w:rPr>
          <w:rFonts w:cs="Times New Roman"/>
          <w:color w:val="000000" w:themeColor="text1"/>
        </w:rPr>
        <w:t>case law</w:t>
      </w:r>
      <w:r w:rsidR="005B7E37" w:rsidRPr="00677ABE">
        <w:rPr>
          <w:rFonts w:cs="Times New Roman"/>
          <w:color w:val="000000" w:themeColor="text1"/>
        </w:rPr>
        <w:t xml:space="preserve"> interpreting 28 U.S.C. </w:t>
      </w:r>
      <w:r w:rsidR="00AC00E6">
        <w:rPr>
          <w:rFonts w:cs="Times New Roman"/>
          <w:color w:val="000000" w:themeColor="text1"/>
        </w:rPr>
        <w:t>§ </w:t>
      </w:r>
      <w:r w:rsidR="005B7E37" w:rsidRPr="00677ABE">
        <w:rPr>
          <w:rFonts w:cs="Times New Roman"/>
          <w:color w:val="000000" w:themeColor="text1"/>
        </w:rPr>
        <w:t xml:space="preserve">1295(a)(4)(A), an IPR appellant meets these requirements when facing </w:t>
      </w:r>
      <w:r w:rsidRPr="00677ABE">
        <w:rPr>
          <w:rFonts w:cs="Times New Roman"/>
          <w:color w:val="000000" w:themeColor="text1"/>
        </w:rPr>
        <w:t xml:space="preserve">controversy of </w:t>
      </w:r>
      <w:r w:rsidR="00426053" w:rsidRPr="00677ABE">
        <w:rPr>
          <w:rFonts w:cs="Times New Roman"/>
          <w:color w:val="000000" w:themeColor="text1"/>
        </w:rPr>
        <w:t>“</w:t>
      </w:r>
      <w:r w:rsidRPr="00677ABE">
        <w:rPr>
          <w:rFonts w:cs="Times New Roman"/>
          <w:color w:val="000000" w:themeColor="text1"/>
        </w:rPr>
        <w:t>s</w:t>
      </w:r>
      <w:r w:rsidR="005B7E37" w:rsidRPr="00677ABE">
        <w:rPr>
          <w:rFonts w:cs="Times New Roman"/>
          <w:color w:val="000000" w:themeColor="text1"/>
        </w:rPr>
        <w:t>ufficient immediacy and reality,</w:t>
      </w:r>
      <w:r w:rsidRPr="00677ABE">
        <w:rPr>
          <w:rFonts w:cs="Times New Roman"/>
          <w:color w:val="000000" w:themeColor="text1"/>
        </w:rPr>
        <w:t>”</w:t>
      </w:r>
      <w:r w:rsidR="005B7E37" w:rsidRPr="00677ABE">
        <w:rPr>
          <w:rFonts w:cs="Times New Roman"/>
          <w:color w:val="000000" w:themeColor="text1"/>
        </w:rPr>
        <w:t xml:space="preserve"> even if not yet facing</w:t>
      </w:r>
      <w:r w:rsidR="00426053" w:rsidRPr="00677ABE">
        <w:rPr>
          <w:rFonts w:cs="Times New Roman"/>
          <w:color w:val="000000" w:themeColor="text1"/>
        </w:rPr>
        <w:t xml:space="preserve"> “</w:t>
      </w:r>
      <w:r w:rsidR="005B7E37" w:rsidRPr="00677ABE">
        <w:rPr>
          <w:rFonts w:cs="Times New Roman"/>
          <w:color w:val="000000" w:themeColor="text1"/>
        </w:rPr>
        <w:t>a specific thr</w:t>
      </w:r>
      <w:r w:rsidR="00426053" w:rsidRPr="00677ABE">
        <w:rPr>
          <w:rFonts w:cs="Times New Roman"/>
          <w:color w:val="000000" w:themeColor="text1"/>
        </w:rPr>
        <w:t>eat of infringement litigation.</w:t>
      </w:r>
      <w:r w:rsidR="005B7E37" w:rsidRPr="00677ABE">
        <w:rPr>
          <w:rFonts w:cs="Times New Roman"/>
          <w:color w:val="000000" w:themeColor="text1"/>
        </w:rPr>
        <w:t>”</w:t>
      </w:r>
      <w:r w:rsidRPr="00677ABE">
        <w:rPr>
          <w:rStyle w:val="FootnoteReference"/>
          <w:rFonts w:cs="Times New Roman"/>
          <w:color w:val="000000" w:themeColor="text1"/>
        </w:rPr>
        <w:footnoteReference w:id="1141"/>
      </w:r>
      <w:r w:rsidRPr="00677ABE">
        <w:rPr>
          <w:rFonts w:cs="Times New Roman"/>
          <w:color w:val="000000" w:themeColor="text1"/>
        </w:rPr>
        <w:t xml:space="preserve"> Here, </w:t>
      </w:r>
      <w:r w:rsidR="005B7E37" w:rsidRPr="00677ABE">
        <w:rPr>
          <w:rFonts w:cs="Times New Roman"/>
          <w:color w:val="000000" w:themeColor="text1"/>
        </w:rPr>
        <w:t>sufficiently immediate</w:t>
      </w:r>
      <w:r w:rsidRPr="00677ABE">
        <w:rPr>
          <w:rFonts w:cs="Times New Roman"/>
          <w:color w:val="000000" w:themeColor="text1"/>
        </w:rPr>
        <w:t xml:space="preserve"> controversy existed because DuPont (a) operated a plant capable of producing the reaction under the patented conditions, (b) was accused by Synvina in the PTAB of copying, and (c) was denied a covenant not to sue by Synvina.</w:t>
      </w:r>
      <w:r w:rsidRPr="00677ABE">
        <w:rPr>
          <w:rStyle w:val="FootnoteReference"/>
          <w:rFonts w:cs="Times New Roman"/>
          <w:color w:val="000000" w:themeColor="text1"/>
        </w:rPr>
        <w:footnoteReference w:id="1142"/>
      </w:r>
      <w:bookmarkEnd w:id="241"/>
    </w:p>
    <w:p w14:paraId="23E29415" w14:textId="4F54B7F9" w:rsidR="00437D8D" w:rsidRPr="00677ABE" w:rsidRDefault="00437D8D" w:rsidP="00CA2C0A">
      <w:pPr>
        <w:pStyle w:val="Heading3"/>
        <w:tabs>
          <w:tab w:val="left" w:pos="580"/>
        </w:tabs>
        <w:ind w:firstLine="0"/>
        <w:rPr>
          <w:rFonts w:cs="Times New Roman"/>
        </w:rPr>
      </w:pPr>
      <w:bookmarkStart w:id="242" w:name="_Toc526093258"/>
      <w:bookmarkStart w:id="243" w:name="_Toc531692832"/>
      <w:r w:rsidRPr="00677ABE">
        <w:rPr>
          <w:rFonts w:cs="Times New Roman"/>
        </w:rPr>
        <w:t>JTEKT Corp.</w:t>
      </w:r>
      <w:r w:rsidR="00712C22" w:rsidRPr="00677ABE">
        <w:rPr>
          <w:rFonts w:cs="Times New Roman"/>
        </w:rPr>
        <w:t xml:space="preserve"> v. </w:t>
      </w:r>
      <w:r w:rsidRPr="00677ABE">
        <w:rPr>
          <w:rFonts w:cs="Times New Roman"/>
        </w:rPr>
        <w:t>GKN Automotive Ltd.</w:t>
      </w:r>
      <w:r w:rsidRPr="00677ABE">
        <w:rPr>
          <w:rFonts w:cs="Times New Roman"/>
          <w:i w:val="0"/>
        </w:rPr>
        <w:t xml:space="preserve">, 898 F.3d 1217 (Fed. Cir. </w:t>
      </w:r>
      <w:r w:rsidR="002B3CF9" w:rsidRPr="00677ABE">
        <w:rPr>
          <w:rFonts w:cs="Times New Roman"/>
          <w:i w:val="0"/>
        </w:rPr>
        <w:t>Aug. </w:t>
      </w:r>
      <w:r w:rsidRPr="00677ABE">
        <w:rPr>
          <w:rFonts w:cs="Times New Roman"/>
          <w:i w:val="0"/>
        </w:rPr>
        <w:t>3, 2018)</w:t>
      </w:r>
      <w:bookmarkEnd w:id="242"/>
      <w:bookmarkEnd w:id="243"/>
    </w:p>
    <w:p w14:paraId="2DD91C73" w14:textId="77777777" w:rsidR="00437D8D" w:rsidRPr="00677ABE" w:rsidRDefault="00437D8D" w:rsidP="00CA2C0A">
      <w:pPr>
        <w:ind w:firstLine="720"/>
        <w:outlineLvl w:val="0"/>
        <w:rPr>
          <w:rFonts w:cs="Times New Roman"/>
        </w:rPr>
      </w:pPr>
      <w:bookmarkStart w:id="244" w:name="_Toc526093259"/>
      <w:bookmarkStart w:id="245" w:name="_Toc526368162"/>
      <w:r w:rsidRPr="00677ABE">
        <w:rPr>
          <w:rFonts w:cs="Times New Roman"/>
        </w:rPr>
        <w:t>In</w:t>
      </w:r>
      <w:r w:rsidRPr="00677ABE">
        <w:rPr>
          <w:rFonts w:cs="Times New Roman"/>
          <w:b/>
        </w:rPr>
        <w:t xml:space="preserve"> </w:t>
      </w:r>
      <w:r w:rsidRPr="00677ABE">
        <w:rPr>
          <w:rFonts w:cs="Times New Roman"/>
        </w:rPr>
        <w:t>this appeal from the Patent Trial and Appeal Board (“PTAB”), the Federal Circuit dismissed the appeal for lack of standing because “JTEKT has not established . . . a concrete and substantial risk of infringement or . . . claims of infringement.”</w:t>
      </w:r>
      <w:r w:rsidRPr="00677ABE">
        <w:rPr>
          <w:rStyle w:val="FootnoteReference"/>
          <w:rFonts w:cs="Times New Roman"/>
        </w:rPr>
        <w:footnoteReference w:id="1143"/>
      </w:r>
      <w:bookmarkEnd w:id="244"/>
      <w:bookmarkEnd w:id="245"/>
    </w:p>
    <w:p w14:paraId="7D254489" w14:textId="111DF5FD" w:rsidR="00437D8D" w:rsidRPr="00677ABE" w:rsidRDefault="00437D8D" w:rsidP="00CA2C0A">
      <w:pPr>
        <w:outlineLvl w:val="0"/>
        <w:rPr>
          <w:rFonts w:cs="Times New Roman"/>
        </w:rPr>
      </w:pPr>
      <w:bookmarkStart w:id="246" w:name="_Toc526093260"/>
      <w:bookmarkStart w:id="247" w:name="_Toc526368163"/>
      <w:r w:rsidRPr="00677ABE">
        <w:rPr>
          <w:rFonts w:cs="Times New Roman"/>
        </w:rPr>
        <w:t xml:space="preserve">The case concerned the </w:t>
      </w:r>
      <w:r w:rsidR="00370148">
        <w:rPr>
          <w:rFonts w:cs="Times New Roman"/>
        </w:rPr>
        <w:t>’4</w:t>
      </w:r>
      <w:r w:rsidRPr="00677ABE">
        <w:rPr>
          <w:rFonts w:cs="Times New Roman"/>
        </w:rPr>
        <w:t>40 patent, which disclosed drive-train improvements for four-wheel drive vehicles.</w:t>
      </w:r>
      <w:r w:rsidRPr="00677ABE">
        <w:rPr>
          <w:rStyle w:val="FootnoteReference"/>
          <w:rFonts w:cs="Times New Roman"/>
        </w:rPr>
        <w:footnoteReference w:id="1144"/>
      </w:r>
      <w:r w:rsidRPr="00677ABE">
        <w:rPr>
          <w:rFonts w:cs="Times New Roman"/>
        </w:rPr>
        <w:t xml:space="preserve"> JTEKT petitioned the PTAB for </w:t>
      </w:r>
      <w:r w:rsidRPr="00677ABE">
        <w:rPr>
          <w:rFonts w:cs="Times New Roman"/>
          <w:i/>
        </w:rPr>
        <w:t>inter partes</w:t>
      </w:r>
      <w:r w:rsidRPr="00677ABE">
        <w:rPr>
          <w:rFonts w:cs="Times New Roman"/>
        </w:rPr>
        <w:t xml:space="preserve"> review; when the PTAB found that two of the claims were not obvious over prior art, JTEKT appealed.</w:t>
      </w:r>
      <w:r w:rsidRPr="00677ABE">
        <w:rPr>
          <w:rStyle w:val="FootnoteReference"/>
          <w:rFonts w:cs="Times New Roman"/>
        </w:rPr>
        <w:footnoteReference w:id="1145"/>
      </w:r>
      <w:bookmarkEnd w:id="246"/>
      <w:bookmarkEnd w:id="247"/>
    </w:p>
    <w:p w14:paraId="6FDB60A1" w14:textId="657274DB" w:rsidR="000A50F5" w:rsidRDefault="00437D8D" w:rsidP="00F874E5">
      <w:pPr>
        <w:ind w:firstLine="720"/>
        <w:outlineLvl w:val="0"/>
        <w:rPr>
          <w:rFonts w:cs="Times New Roman"/>
        </w:rPr>
      </w:pPr>
      <w:bookmarkStart w:id="248" w:name="_Toc526093261"/>
      <w:bookmarkStart w:id="249" w:name="_Toc526368164"/>
      <w:r w:rsidRPr="00677ABE">
        <w:rPr>
          <w:rFonts w:cs="Times New Roman"/>
        </w:rPr>
        <w:t xml:space="preserve">The Federal Circuit dismissed the appeal for lack of standing. Standing for IPR </w:t>
      </w:r>
      <w:r w:rsidR="00B8521D" w:rsidRPr="00677ABE">
        <w:rPr>
          <w:rFonts w:cs="Times New Roman"/>
        </w:rPr>
        <w:t xml:space="preserve">before the PTAB </w:t>
      </w:r>
      <w:r w:rsidRPr="00677ABE">
        <w:rPr>
          <w:rFonts w:cs="Times New Roman"/>
        </w:rPr>
        <w:t xml:space="preserve">is granted </w:t>
      </w:r>
      <w:r w:rsidR="00B8521D" w:rsidRPr="00677ABE">
        <w:rPr>
          <w:rFonts w:cs="Times New Roman"/>
        </w:rPr>
        <w:t>by</w:t>
      </w:r>
      <w:r w:rsidRPr="00677ABE">
        <w:rPr>
          <w:rFonts w:cs="Times New Roman"/>
        </w:rPr>
        <w:t xml:space="preserve"> 35 U.S.C. </w:t>
      </w:r>
      <w:r w:rsidR="00AC00E6">
        <w:rPr>
          <w:rFonts w:cs="Times New Roman"/>
        </w:rPr>
        <w:t>§ </w:t>
      </w:r>
      <w:r w:rsidRPr="00677ABE">
        <w:rPr>
          <w:rFonts w:cs="Times New Roman"/>
        </w:rPr>
        <w:t>31</w:t>
      </w:r>
      <w:r w:rsidR="00E82085" w:rsidRPr="00677ABE">
        <w:rPr>
          <w:rFonts w:cs="Times New Roman"/>
        </w:rPr>
        <w:t xml:space="preserve">1(a) and extends to all-comers; </w:t>
      </w:r>
      <w:r w:rsidRPr="00677ABE">
        <w:rPr>
          <w:rFonts w:cs="Times New Roman"/>
        </w:rPr>
        <w:t>standing for appeal</w:t>
      </w:r>
      <w:r w:rsidR="00513D0C" w:rsidRPr="00677ABE">
        <w:rPr>
          <w:rFonts w:cs="Times New Roman"/>
        </w:rPr>
        <w:t xml:space="preserve">s </w:t>
      </w:r>
      <w:r w:rsidR="00A52AFC" w:rsidRPr="00677ABE">
        <w:rPr>
          <w:rFonts w:cs="Times New Roman"/>
        </w:rPr>
        <w:t xml:space="preserve">from </w:t>
      </w:r>
      <w:r w:rsidR="00513D0C" w:rsidRPr="00677ABE">
        <w:rPr>
          <w:rFonts w:cs="Times New Roman"/>
        </w:rPr>
        <w:t>the PTAB</w:t>
      </w:r>
      <w:r w:rsidRPr="00677ABE">
        <w:rPr>
          <w:rFonts w:cs="Times New Roman"/>
        </w:rPr>
        <w:t xml:space="preserve"> to the Federal Circuit</w:t>
      </w:r>
      <w:r w:rsidR="00E82085" w:rsidRPr="00677ABE">
        <w:rPr>
          <w:rFonts w:cs="Times New Roman"/>
        </w:rPr>
        <w:t>, however,</w:t>
      </w:r>
      <w:r w:rsidRPr="00677ABE">
        <w:rPr>
          <w:rFonts w:cs="Times New Roman"/>
        </w:rPr>
        <w:t xml:space="preserve"> is granted </w:t>
      </w:r>
      <w:r w:rsidR="00B8521D" w:rsidRPr="00677ABE">
        <w:rPr>
          <w:rFonts w:cs="Times New Roman"/>
        </w:rPr>
        <w:t>only by</w:t>
      </w:r>
      <w:r w:rsidRPr="00677ABE">
        <w:rPr>
          <w:rFonts w:cs="Times New Roman"/>
        </w:rPr>
        <w:t xml:space="preserve"> Article III</w:t>
      </w:r>
      <w:r w:rsidR="00513D0C" w:rsidRPr="00677ABE">
        <w:rPr>
          <w:rFonts w:cs="Times New Roman"/>
        </w:rPr>
        <w:t xml:space="preserve"> and extends only to those with concrete injuries</w:t>
      </w:r>
      <w:r w:rsidR="00B8521D" w:rsidRPr="00677ABE">
        <w:rPr>
          <w:rFonts w:cs="Times New Roman"/>
        </w:rPr>
        <w:t xml:space="preserve">, </w:t>
      </w:r>
      <w:r w:rsidR="00E82085" w:rsidRPr="00677ABE">
        <w:rPr>
          <w:rFonts w:cs="Times New Roman"/>
        </w:rPr>
        <w:t>though</w:t>
      </w:r>
      <w:r w:rsidR="00054C30" w:rsidRPr="00677ABE">
        <w:rPr>
          <w:rFonts w:cs="Times New Roman"/>
        </w:rPr>
        <w:t xml:space="preserve"> IPR appellants face a softer standard for showing </w:t>
      </w:r>
      <w:r w:rsidR="004E7B07" w:rsidRPr="00677ABE">
        <w:rPr>
          <w:rFonts w:cs="Times New Roman"/>
        </w:rPr>
        <w:t>redressability and immediacy</w:t>
      </w:r>
      <w:r w:rsidR="00054C30" w:rsidRPr="00677ABE">
        <w:rPr>
          <w:rFonts w:cs="Times New Roman"/>
        </w:rPr>
        <w:t xml:space="preserve"> because 35 U.S.C. </w:t>
      </w:r>
      <w:r w:rsidR="00AC00E6">
        <w:rPr>
          <w:rFonts w:cs="Times New Roman"/>
        </w:rPr>
        <w:t>§ </w:t>
      </w:r>
      <w:r w:rsidR="00054C30" w:rsidRPr="00677ABE">
        <w:rPr>
          <w:rFonts w:cs="Times New Roman"/>
        </w:rPr>
        <w:t xml:space="preserve">141(c) </w:t>
      </w:r>
      <w:r w:rsidR="00E82085" w:rsidRPr="00677ABE">
        <w:rPr>
          <w:rFonts w:cs="Times New Roman"/>
        </w:rPr>
        <w:t>promotes their right to appeal</w:t>
      </w:r>
      <w:r w:rsidRPr="00677ABE">
        <w:rPr>
          <w:rFonts w:cs="Times New Roman"/>
        </w:rPr>
        <w:t>.</w:t>
      </w:r>
      <w:r w:rsidRPr="00677ABE">
        <w:rPr>
          <w:rStyle w:val="FootnoteReference"/>
          <w:rFonts w:cs="Times New Roman"/>
        </w:rPr>
        <w:footnoteReference w:id="1146"/>
      </w:r>
      <w:r w:rsidRPr="00677ABE">
        <w:rPr>
          <w:rFonts w:cs="Times New Roman"/>
        </w:rPr>
        <w:t xml:space="preserve"> The appellant bears </w:t>
      </w:r>
      <w:r w:rsidR="00E82085" w:rsidRPr="00677ABE">
        <w:rPr>
          <w:rFonts w:cs="Times New Roman"/>
        </w:rPr>
        <w:t>this burden</w:t>
      </w:r>
      <w:r w:rsidRPr="00677ABE">
        <w:rPr>
          <w:rFonts w:cs="Times New Roman"/>
        </w:rPr>
        <w:t>.</w:t>
      </w:r>
      <w:r w:rsidRPr="00677ABE">
        <w:rPr>
          <w:rStyle w:val="FootnoteReference"/>
          <w:rFonts w:cs="Times New Roman"/>
        </w:rPr>
        <w:footnoteReference w:id="1147"/>
      </w:r>
      <w:r w:rsidRPr="00677ABE">
        <w:rPr>
          <w:rFonts w:cs="Times New Roman"/>
        </w:rPr>
        <w:t xml:space="preserve"> </w:t>
      </w:r>
      <w:r w:rsidR="00E82085" w:rsidRPr="00677ABE">
        <w:rPr>
          <w:rFonts w:cs="Times New Roman"/>
        </w:rPr>
        <w:t>An IPR appellant meets her burden</w:t>
      </w:r>
      <w:r w:rsidR="004E7B07" w:rsidRPr="00677ABE">
        <w:rPr>
          <w:rFonts w:cs="Times New Roman"/>
        </w:rPr>
        <w:t xml:space="preserve"> by showing</w:t>
      </w:r>
      <w:r w:rsidRPr="00677ABE">
        <w:rPr>
          <w:rFonts w:cs="Times New Roman"/>
        </w:rPr>
        <w:t xml:space="preserve"> she is likely to infringe or face infringement suits, or </w:t>
      </w:r>
      <w:r w:rsidR="00E82085" w:rsidRPr="00677ABE">
        <w:rPr>
          <w:rFonts w:cs="Times New Roman"/>
        </w:rPr>
        <w:t>is likely to have</w:t>
      </w:r>
      <w:r w:rsidRPr="00677ABE">
        <w:rPr>
          <w:rFonts w:cs="Times New Roman"/>
        </w:rPr>
        <w:t xml:space="preserve"> contractual relationships affected </w:t>
      </w:r>
      <w:r w:rsidR="004E7B07" w:rsidRPr="00677ABE">
        <w:rPr>
          <w:rFonts w:cs="Times New Roman"/>
        </w:rPr>
        <w:t xml:space="preserve">by infringement or </w:t>
      </w:r>
      <w:r w:rsidR="00513CEB" w:rsidRPr="00677ABE">
        <w:rPr>
          <w:rFonts w:cs="Times New Roman"/>
        </w:rPr>
        <w:t>infringement</w:t>
      </w:r>
      <w:r w:rsidR="004E7B07" w:rsidRPr="00677ABE">
        <w:rPr>
          <w:rFonts w:cs="Times New Roman"/>
        </w:rPr>
        <w:t xml:space="preserve"> claims; she does not meet her burden merely</w:t>
      </w:r>
      <w:r w:rsidRPr="00677ABE">
        <w:rPr>
          <w:rFonts w:cs="Times New Roman"/>
        </w:rPr>
        <w:t xml:space="preserve"> by showing an economic injury from competition.</w:t>
      </w:r>
      <w:r w:rsidRPr="00677ABE">
        <w:rPr>
          <w:rStyle w:val="FootnoteReference"/>
          <w:rFonts w:cs="Times New Roman"/>
        </w:rPr>
        <w:footnoteReference w:id="1148"/>
      </w:r>
      <w:r w:rsidRPr="00677ABE">
        <w:rPr>
          <w:rFonts w:cs="Times New Roman"/>
        </w:rPr>
        <w:t xml:space="preserve"> Here, JTEKT </w:t>
      </w:r>
      <w:r w:rsidR="00513CEB" w:rsidRPr="00677ABE">
        <w:rPr>
          <w:rFonts w:cs="Times New Roman"/>
        </w:rPr>
        <w:t>planned</w:t>
      </w:r>
      <w:r w:rsidRPr="00677ABE">
        <w:rPr>
          <w:rFonts w:cs="Times New Roman"/>
        </w:rPr>
        <w:t xml:space="preserve"> </w:t>
      </w:r>
      <w:r w:rsidR="00A12B18" w:rsidRPr="00677ABE">
        <w:rPr>
          <w:rFonts w:cs="Times New Roman"/>
        </w:rPr>
        <w:t>a product to compete with GKN’s—</w:t>
      </w:r>
      <w:r w:rsidRPr="00677ABE">
        <w:rPr>
          <w:rFonts w:cs="Times New Roman"/>
        </w:rPr>
        <w:t>but, in its words, the concepts remained unfixed and “there [was] nothing that c[ould] be analyzed for infringement.”</w:t>
      </w:r>
      <w:r w:rsidRPr="00677ABE">
        <w:rPr>
          <w:rStyle w:val="FootnoteReference"/>
          <w:rFonts w:cs="Times New Roman"/>
        </w:rPr>
        <w:footnoteReference w:id="1149"/>
      </w:r>
      <w:r w:rsidRPr="00677ABE">
        <w:rPr>
          <w:rFonts w:cs="Times New Roman"/>
        </w:rPr>
        <w:t xml:space="preserve"> The Federal Circuit held this insufficient</w:t>
      </w:r>
      <w:r w:rsidR="00A12B18" w:rsidRPr="00677ABE">
        <w:rPr>
          <w:rFonts w:cs="Times New Roman"/>
        </w:rPr>
        <w:t xml:space="preserve"> to show standing</w:t>
      </w:r>
      <w:r w:rsidRPr="00677ABE">
        <w:rPr>
          <w:rFonts w:cs="Times New Roman"/>
        </w:rPr>
        <w:t>. While conceding infringement was not necessary to gain standing, demonstrating a more concrete risk of infringement, of infringement suits, or of rights thereby affected was necessary.</w:t>
      </w:r>
      <w:r w:rsidRPr="00677ABE">
        <w:rPr>
          <w:rStyle w:val="FootnoteReference"/>
          <w:rFonts w:cs="Times New Roman"/>
        </w:rPr>
        <w:footnoteReference w:id="1150"/>
      </w:r>
      <w:bookmarkEnd w:id="248"/>
      <w:bookmarkEnd w:id="249"/>
    </w:p>
    <w:p w14:paraId="7781ECEC" w14:textId="54E4470C" w:rsidR="000A50F5" w:rsidRPr="00300BD8" w:rsidRDefault="00F874E5" w:rsidP="00F874E5">
      <w:pPr>
        <w:pStyle w:val="Heading3"/>
      </w:pPr>
      <w:r>
        <w:tab/>
      </w:r>
      <w:bookmarkStart w:id="250" w:name="_Toc531692833"/>
      <w:r w:rsidR="000A50F5" w:rsidRPr="00300BD8">
        <w:t>Return Mail, Inc. v. U.S. Postal Service</w:t>
      </w:r>
      <w:r w:rsidR="000A50F5" w:rsidRPr="00F874E5">
        <w:rPr>
          <w:i w:val="0"/>
        </w:rPr>
        <w:t>, No. 1-1594, 2018 WL 2364663 (U.S. Oct. 26, 2018)</w:t>
      </w:r>
      <w:r w:rsidR="000A50F5" w:rsidRPr="00300BD8">
        <w:t xml:space="preserve"> </w:t>
      </w:r>
      <w:bookmarkEnd w:id="250"/>
    </w:p>
    <w:p w14:paraId="7E365946" w14:textId="77777777" w:rsidR="000A50F5" w:rsidRPr="00300BD8" w:rsidRDefault="000A50F5" w:rsidP="000A50F5">
      <w:pPr>
        <w:ind w:firstLine="720"/>
        <w:rPr>
          <w:rFonts w:cs="Times New Roman"/>
          <w:color w:val="000000" w:themeColor="text1"/>
        </w:rPr>
      </w:pPr>
      <w:r w:rsidRPr="00300BD8">
        <w:rPr>
          <w:rFonts w:cs="Times New Roman"/>
          <w:color w:val="000000" w:themeColor="text1"/>
        </w:rPr>
        <w:t>The Supreme Court granted certiorari</w:t>
      </w:r>
      <w:r w:rsidRPr="00300BD8">
        <w:rPr>
          <w:rStyle w:val="FootnoteReference"/>
          <w:rFonts w:cs="Times New Roman"/>
          <w:color w:val="000000" w:themeColor="text1"/>
        </w:rPr>
        <w:footnoteReference w:id="1151"/>
      </w:r>
      <w:r w:rsidRPr="00300BD8">
        <w:rPr>
          <w:rFonts w:cs="Times New Roman"/>
          <w:color w:val="000000" w:themeColor="text1"/>
        </w:rPr>
        <w:t xml:space="preserve"> as to “whether the government is a ‘person’ who may petition to institute review proceedings under the AIA.”</w:t>
      </w:r>
      <w:r w:rsidRPr="00300BD8">
        <w:rPr>
          <w:rStyle w:val="FootnoteReference"/>
          <w:rFonts w:cs="Times New Roman"/>
          <w:color w:val="000000" w:themeColor="text1"/>
        </w:rPr>
        <w:footnoteReference w:id="1152"/>
      </w:r>
      <w:r w:rsidRPr="00300BD8">
        <w:rPr>
          <w:rFonts w:cs="Times New Roman"/>
          <w:color w:val="000000" w:themeColor="text1"/>
        </w:rPr>
        <w:t xml:space="preserve"> </w:t>
      </w:r>
    </w:p>
    <w:p w14:paraId="060BDE40" w14:textId="1ED8CF42" w:rsidR="000A50F5" w:rsidRPr="00300BD8" w:rsidRDefault="000A50F5" w:rsidP="000A50F5">
      <w:pPr>
        <w:rPr>
          <w:rFonts w:cs="Times New Roman"/>
          <w:color w:val="000000" w:themeColor="text1"/>
        </w:rPr>
      </w:pPr>
      <w:r w:rsidRPr="00300BD8">
        <w:rPr>
          <w:rFonts w:cs="Times New Roman"/>
          <w:color w:val="000000" w:themeColor="text1"/>
        </w:rPr>
        <w:tab/>
        <w:t>The case concern</w:t>
      </w:r>
      <w:r w:rsidR="00CE58FB">
        <w:rPr>
          <w:rFonts w:cs="Times New Roman"/>
          <w:color w:val="000000" w:themeColor="text1"/>
        </w:rPr>
        <w:t>s</w:t>
      </w:r>
      <w:r w:rsidRPr="00300BD8">
        <w:rPr>
          <w:rFonts w:cs="Times New Roman"/>
          <w:color w:val="000000" w:themeColor="text1"/>
        </w:rPr>
        <w:t xml:space="preserve"> a patent that Return Mail allege</w:t>
      </w:r>
      <w:r w:rsidR="00BB16B0">
        <w:rPr>
          <w:rFonts w:cs="Times New Roman"/>
          <w:color w:val="000000" w:themeColor="text1"/>
        </w:rPr>
        <w:t>s</w:t>
      </w:r>
      <w:r w:rsidRPr="00300BD8">
        <w:rPr>
          <w:rFonts w:cs="Times New Roman"/>
          <w:color w:val="000000" w:themeColor="text1"/>
        </w:rPr>
        <w:t xml:space="preserve"> the U.S. Postal Office </w:t>
      </w:r>
      <w:r w:rsidR="00BB16B0">
        <w:rPr>
          <w:rFonts w:cs="Times New Roman"/>
          <w:color w:val="000000" w:themeColor="text1"/>
        </w:rPr>
        <w:t>used</w:t>
      </w:r>
      <w:r w:rsidRPr="00300BD8">
        <w:rPr>
          <w:rFonts w:cs="Times New Roman"/>
          <w:color w:val="000000" w:themeColor="text1"/>
        </w:rPr>
        <w:t>.</w:t>
      </w:r>
      <w:r w:rsidRPr="00300BD8">
        <w:rPr>
          <w:rStyle w:val="FootnoteReference"/>
          <w:rFonts w:cs="Times New Roman"/>
          <w:color w:val="000000" w:themeColor="text1"/>
        </w:rPr>
        <w:footnoteReference w:id="1153"/>
      </w:r>
      <w:r w:rsidRPr="00300BD8">
        <w:rPr>
          <w:rFonts w:cs="Times New Roman"/>
          <w:color w:val="000000" w:themeColor="text1"/>
        </w:rPr>
        <w:t xml:space="preserve"> Because the federal government cannot be sued for patent infringement under the Patent Act, Return Mail sued for compensation under 28 U.S.C. § 1498(a) at the U.S. Court of Federal Claims.</w:t>
      </w:r>
      <w:r w:rsidRPr="00300BD8">
        <w:rPr>
          <w:rStyle w:val="FootnoteReference"/>
          <w:rFonts w:cs="Times New Roman"/>
          <w:color w:val="000000" w:themeColor="text1"/>
        </w:rPr>
        <w:footnoteReference w:id="1154"/>
      </w:r>
      <w:r w:rsidRPr="00300BD8">
        <w:rPr>
          <w:rFonts w:cs="Times New Roman"/>
          <w:color w:val="000000" w:themeColor="text1"/>
        </w:rPr>
        <w:t xml:space="preserve"> The U.S. Postal Office petitioned for a covered business method (“CBM”) review at the Patent Trial and Appeal Board (“PTAB”).</w:t>
      </w:r>
      <w:r w:rsidRPr="00300BD8">
        <w:rPr>
          <w:rStyle w:val="FootnoteReference"/>
          <w:rFonts w:cs="Times New Roman"/>
          <w:color w:val="000000" w:themeColor="text1"/>
        </w:rPr>
        <w:footnoteReference w:id="1155"/>
      </w:r>
      <w:r w:rsidRPr="00300BD8">
        <w:rPr>
          <w:rFonts w:cs="Times New Roman"/>
          <w:color w:val="000000" w:themeColor="text1"/>
        </w:rPr>
        <w:t xml:space="preserve"> The PTAB initiated the CBM, and invalidated Return Mail’s patent.</w:t>
      </w:r>
      <w:r w:rsidRPr="00300BD8">
        <w:rPr>
          <w:rStyle w:val="FootnoteReference"/>
          <w:rFonts w:cs="Times New Roman"/>
          <w:color w:val="000000" w:themeColor="text1"/>
        </w:rPr>
        <w:footnoteReference w:id="1156"/>
      </w:r>
      <w:r w:rsidRPr="00300BD8">
        <w:rPr>
          <w:rFonts w:cs="Times New Roman"/>
          <w:color w:val="000000" w:themeColor="text1"/>
        </w:rPr>
        <w:t xml:space="preserve"> On appeal, the Federal Circuit affirmed, holding the PTAB had authority to initiate </w:t>
      </w:r>
      <w:r w:rsidR="00BB16B0">
        <w:rPr>
          <w:rFonts w:cs="Times New Roman"/>
          <w:color w:val="000000" w:themeColor="text1"/>
        </w:rPr>
        <w:t>the</w:t>
      </w:r>
      <w:r w:rsidRPr="00300BD8">
        <w:rPr>
          <w:rFonts w:cs="Times New Roman"/>
          <w:color w:val="000000" w:themeColor="text1"/>
        </w:rPr>
        <w:t xml:space="preserve"> proceeding.</w:t>
      </w:r>
      <w:r w:rsidRPr="00300BD8">
        <w:rPr>
          <w:rStyle w:val="FootnoteReference"/>
          <w:rFonts w:cs="Times New Roman"/>
          <w:color w:val="000000" w:themeColor="text1"/>
        </w:rPr>
        <w:footnoteReference w:id="1157"/>
      </w:r>
      <w:r w:rsidRPr="00300BD8">
        <w:rPr>
          <w:rFonts w:cs="Times New Roman"/>
          <w:color w:val="000000" w:themeColor="text1"/>
        </w:rPr>
        <w:t xml:space="preserve"> </w:t>
      </w:r>
    </w:p>
    <w:p w14:paraId="32018869" w14:textId="392EA880" w:rsidR="008E509C" w:rsidRPr="00677ABE" w:rsidRDefault="000A50F5" w:rsidP="00E877EF">
      <w:pPr>
        <w:ind w:firstLine="720"/>
        <w:rPr>
          <w:rFonts w:eastAsiaTheme="majorEastAsia" w:cs="Times New Roman"/>
          <w:b/>
          <w:bCs/>
        </w:rPr>
      </w:pPr>
      <w:r w:rsidRPr="00300BD8">
        <w:rPr>
          <w:rFonts w:cs="Times New Roman"/>
          <w:color w:val="000000" w:themeColor="text1"/>
        </w:rPr>
        <w:t xml:space="preserve">Return Mail petitioned </w:t>
      </w:r>
      <w:r w:rsidR="00E877EF">
        <w:rPr>
          <w:rFonts w:cs="Times New Roman"/>
          <w:color w:val="000000" w:themeColor="text1"/>
        </w:rPr>
        <w:t xml:space="preserve">for </w:t>
      </w:r>
      <w:r w:rsidRPr="00300BD8">
        <w:rPr>
          <w:rFonts w:cs="Times New Roman"/>
          <w:color w:val="000000" w:themeColor="text1"/>
        </w:rPr>
        <w:t xml:space="preserve">review </w:t>
      </w:r>
      <w:r w:rsidR="00E877EF">
        <w:rPr>
          <w:rFonts w:cs="Times New Roman"/>
          <w:color w:val="000000" w:themeColor="text1"/>
        </w:rPr>
        <w:t xml:space="preserve">on </w:t>
      </w:r>
      <w:r w:rsidRPr="00300BD8">
        <w:rPr>
          <w:rFonts w:cs="Times New Roman"/>
          <w:color w:val="000000" w:themeColor="text1"/>
        </w:rPr>
        <w:t xml:space="preserve">two questions. </w:t>
      </w:r>
      <w:r w:rsidR="00E877EF">
        <w:rPr>
          <w:rFonts w:cs="Times New Roman"/>
          <w:color w:val="000000" w:themeColor="text1"/>
        </w:rPr>
        <w:t xml:space="preserve">Its </w:t>
      </w:r>
      <w:r w:rsidRPr="00300BD8">
        <w:rPr>
          <w:rFonts w:cs="Times New Roman"/>
          <w:color w:val="000000" w:themeColor="text1"/>
        </w:rPr>
        <w:t>second question</w:t>
      </w:r>
      <w:r w:rsidR="00E877EF">
        <w:rPr>
          <w:rFonts w:cs="Times New Roman"/>
          <w:color w:val="000000" w:themeColor="text1"/>
        </w:rPr>
        <w:t>—“</w:t>
      </w:r>
      <w:r w:rsidR="00BB16B0">
        <w:rPr>
          <w:rFonts w:cs="Times New Roman"/>
          <w:color w:val="000000" w:themeColor="text1"/>
        </w:rPr>
        <w:t>w</w:t>
      </w:r>
      <w:r w:rsidRPr="00300BD8">
        <w:rPr>
          <w:rFonts w:cs="Times New Roman"/>
          <w:color w:val="000000" w:themeColor="text1"/>
        </w:rPr>
        <w:t>hether a § 1498(a) action for the eminent domain taking of a patent license by the government is a suit for patent ‘infringement’ under the AIA”</w:t>
      </w:r>
      <w:r w:rsidRPr="00300BD8">
        <w:rPr>
          <w:rStyle w:val="FootnoteReference"/>
          <w:rFonts w:cs="Times New Roman"/>
          <w:color w:val="000000" w:themeColor="text1"/>
        </w:rPr>
        <w:t xml:space="preserve"> </w:t>
      </w:r>
      <w:r w:rsidRPr="00300BD8">
        <w:rPr>
          <w:rStyle w:val="FootnoteReference"/>
          <w:rFonts w:cs="Times New Roman"/>
          <w:color w:val="000000" w:themeColor="text1"/>
        </w:rPr>
        <w:footnoteReference w:id="1158"/>
      </w:r>
      <w:r w:rsidRPr="00300BD8">
        <w:rPr>
          <w:rFonts w:cs="Times New Roman"/>
          <w:color w:val="000000" w:themeColor="text1"/>
        </w:rPr>
        <w:t>—was not granted certiorari.</w:t>
      </w:r>
      <w:r w:rsidR="00E877EF" w:rsidRPr="00E877EF">
        <w:rPr>
          <w:rStyle w:val="FootnoteReference"/>
          <w:rFonts w:cs="Times New Roman"/>
          <w:color w:val="000000" w:themeColor="text1"/>
        </w:rPr>
        <w:t xml:space="preserve"> </w:t>
      </w:r>
      <w:r w:rsidR="00E877EF" w:rsidRPr="00300BD8">
        <w:rPr>
          <w:rStyle w:val="FootnoteReference"/>
          <w:rFonts w:cs="Times New Roman"/>
          <w:color w:val="000000" w:themeColor="text1"/>
        </w:rPr>
        <w:footnoteReference w:id="1159"/>
      </w:r>
      <w:r w:rsidR="008E509C" w:rsidRPr="00677ABE">
        <w:rPr>
          <w:rFonts w:cs="Times New Roman"/>
        </w:rPr>
        <w:br w:type="page"/>
      </w:r>
    </w:p>
    <w:p w14:paraId="5CDD763B" w14:textId="77777777" w:rsidR="00F20B84" w:rsidRDefault="007D0629" w:rsidP="00CA2C0A">
      <w:pPr>
        <w:pStyle w:val="Heading1"/>
        <w:rPr>
          <w:rFonts w:cs="Times New Roman"/>
          <w:szCs w:val="24"/>
        </w:rPr>
      </w:pPr>
      <w:bookmarkStart w:id="251" w:name="_Toc531692834"/>
      <w:r w:rsidRPr="00677ABE">
        <w:rPr>
          <w:rFonts w:cs="Times New Roman"/>
          <w:szCs w:val="24"/>
        </w:rPr>
        <w:t>DESIGN PATENTS</w:t>
      </w:r>
      <w:bookmarkEnd w:id="251"/>
    </w:p>
    <w:p w14:paraId="1DE5261D" w14:textId="77777777" w:rsidR="00F20B84" w:rsidRDefault="00C6052B" w:rsidP="00CA2C0A">
      <w:pPr>
        <w:pStyle w:val="Heading2"/>
      </w:pPr>
      <w:bookmarkStart w:id="252" w:name="_Toc531692835"/>
      <w:r w:rsidRPr="00677ABE">
        <w:t>Design Patent Claim Construction</w:t>
      </w:r>
      <w:bookmarkEnd w:id="252"/>
      <w:r w:rsidRPr="00677ABE">
        <w:t xml:space="preserve"> </w:t>
      </w:r>
    </w:p>
    <w:p w14:paraId="32C758D1" w14:textId="370D8CF3" w:rsidR="007477D9" w:rsidRPr="00677ABE" w:rsidRDefault="007477D9" w:rsidP="00CA2C0A">
      <w:pPr>
        <w:pStyle w:val="Heading3"/>
        <w:tabs>
          <w:tab w:val="left" w:pos="720"/>
        </w:tabs>
        <w:ind w:firstLine="0"/>
        <w:rPr>
          <w:rFonts w:cs="Times New Roman"/>
        </w:rPr>
      </w:pPr>
      <w:bookmarkStart w:id="253" w:name="_Toc531692836"/>
      <w:r w:rsidRPr="00677ABE">
        <w:rPr>
          <w:rFonts w:cs="Times New Roman"/>
        </w:rPr>
        <w:t>In re Maatita</w:t>
      </w:r>
      <w:r w:rsidR="0040169E" w:rsidRPr="00677ABE">
        <w:rPr>
          <w:rFonts w:cs="Times New Roman"/>
          <w:i w:val="0"/>
        </w:rPr>
        <w:t xml:space="preserve">, </w:t>
      </w:r>
      <w:r w:rsidR="00CB3F16" w:rsidRPr="00677ABE">
        <w:rPr>
          <w:rFonts w:cs="Times New Roman"/>
          <w:i w:val="0"/>
        </w:rPr>
        <w:t xml:space="preserve">No. </w:t>
      </w:r>
      <w:r w:rsidR="0040169E" w:rsidRPr="00677ABE">
        <w:rPr>
          <w:rFonts w:cs="Times New Roman"/>
          <w:i w:val="0"/>
        </w:rPr>
        <w:t>2017-2013, 2018 WL 3965892</w:t>
      </w:r>
      <w:r w:rsidRPr="00677ABE">
        <w:rPr>
          <w:rFonts w:cs="Times New Roman"/>
          <w:i w:val="0"/>
        </w:rPr>
        <w:t xml:space="preserve"> (Fed</w:t>
      </w:r>
      <w:r w:rsidR="0040169E" w:rsidRPr="00677ABE">
        <w:rPr>
          <w:rFonts w:cs="Times New Roman"/>
          <w:i w:val="0"/>
        </w:rPr>
        <w:t>.</w:t>
      </w:r>
      <w:r w:rsidRPr="00677ABE">
        <w:rPr>
          <w:rFonts w:cs="Times New Roman"/>
          <w:i w:val="0"/>
        </w:rPr>
        <w:t xml:space="preserve"> Cir</w:t>
      </w:r>
      <w:r w:rsidR="0040169E" w:rsidRPr="00677ABE">
        <w:rPr>
          <w:rFonts w:cs="Times New Roman"/>
          <w:i w:val="0"/>
        </w:rPr>
        <w:t xml:space="preserve">. </w:t>
      </w:r>
      <w:r w:rsidR="002B3CF9" w:rsidRPr="00677ABE">
        <w:rPr>
          <w:rFonts w:cs="Times New Roman"/>
          <w:i w:val="0"/>
        </w:rPr>
        <w:t>Aug. </w:t>
      </w:r>
      <w:r w:rsidR="0040169E" w:rsidRPr="00677ABE">
        <w:rPr>
          <w:rFonts w:cs="Times New Roman"/>
          <w:i w:val="0"/>
        </w:rPr>
        <w:t>20, 2018</w:t>
      </w:r>
      <w:r w:rsidRPr="00677ABE">
        <w:rPr>
          <w:rFonts w:cs="Times New Roman"/>
          <w:i w:val="0"/>
        </w:rPr>
        <w:t>)</w:t>
      </w:r>
      <w:bookmarkEnd w:id="253"/>
    </w:p>
    <w:p w14:paraId="2E28C07E" w14:textId="5AE44230" w:rsidR="0040169E" w:rsidRPr="00677ABE" w:rsidRDefault="0040169E" w:rsidP="00CA2C0A">
      <w:pPr>
        <w:rPr>
          <w:rFonts w:cs="Times New Roman"/>
          <w:color w:val="000000" w:themeColor="text1"/>
        </w:rPr>
      </w:pPr>
      <w:r w:rsidRPr="00677ABE">
        <w:rPr>
          <w:rFonts w:cs="Times New Roman"/>
          <w:color w:val="000000" w:themeColor="text1"/>
        </w:rPr>
        <w:tab/>
        <w:t xml:space="preserve">In this appeal from the Patent Trial and Appeal Board (“PTAB”), the Federal Circuit held that the PTAB had misapplied </w:t>
      </w:r>
      <w:r w:rsidR="00AC00E6">
        <w:rPr>
          <w:rFonts w:cs="Times New Roman"/>
          <w:color w:val="000000" w:themeColor="text1"/>
        </w:rPr>
        <w:t>§ </w:t>
      </w:r>
      <w:r w:rsidRPr="00677ABE">
        <w:rPr>
          <w:rFonts w:cs="Times New Roman"/>
          <w:color w:val="000000" w:themeColor="text1"/>
        </w:rPr>
        <w:t xml:space="preserve">112 in </w:t>
      </w:r>
      <w:r w:rsidR="00BA4FB7" w:rsidRPr="00677ABE">
        <w:rPr>
          <w:rFonts w:cs="Times New Roman"/>
          <w:color w:val="000000" w:themeColor="text1"/>
        </w:rPr>
        <w:t>rejecting</w:t>
      </w:r>
      <w:r w:rsidR="009B23B7" w:rsidRPr="00677ABE">
        <w:rPr>
          <w:rFonts w:cs="Times New Roman"/>
          <w:color w:val="000000" w:themeColor="text1"/>
        </w:rPr>
        <w:t xml:space="preserve"> a design patent; a two-dimensional disclosure can cover multiple three-dimens</w:t>
      </w:r>
      <w:r w:rsidR="00004BA1" w:rsidRPr="00677ABE">
        <w:rPr>
          <w:rFonts w:cs="Times New Roman"/>
          <w:color w:val="000000" w:themeColor="text1"/>
        </w:rPr>
        <w:t>ional embodiments so long as a skilled artisan viewing the drawing can reasonably ascertain the scope of the claim.</w:t>
      </w:r>
      <w:r w:rsidR="007300A4" w:rsidRPr="00677ABE">
        <w:rPr>
          <w:rStyle w:val="FootnoteReference"/>
          <w:rFonts w:cs="Times New Roman"/>
          <w:color w:val="000000" w:themeColor="text1"/>
        </w:rPr>
        <w:footnoteReference w:id="1160"/>
      </w:r>
    </w:p>
    <w:p w14:paraId="6873D1C0" w14:textId="45729B3D" w:rsidR="002E60CB" w:rsidRPr="00677ABE" w:rsidRDefault="00957E8F" w:rsidP="00CA2C0A">
      <w:pPr>
        <w:rPr>
          <w:rFonts w:cs="Times New Roman"/>
        </w:rPr>
      </w:pPr>
      <w:r w:rsidRPr="00677ABE">
        <w:rPr>
          <w:rFonts w:cs="Times New Roman"/>
        </w:rPr>
        <w:tab/>
        <w:t xml:space="preserve">The </w:t>
      </w:r>
      <w:r w:rsidR="00370148">
        <w:rPr>
          <w:rFonts w:cs="Times New Roman"/>
        </w:rPr>
        <w:t>’6</w:t>
      </w:r>
      <w:r w:rsidR="00555FC2" w:rsidRPr="00677ABE">
        <w:rPr>
          <w:rFonts w:cs="Times New Roman"/>
        </w:rPr>
        <w:t xml:space="preserve">77 </w:t>
      </w:r>
      <w:r w:rsidR="001E2D62" w:rsidRPr="00677ABE">
        <w:rPr>
          <w:rFonts w:cs="Times New Roman"/>
        </w:rPr>
        <w:t xml:space="preserve">design </w:t>
      </w:r>
      <w:r w:rsidRPr="00677ABE">
        <w:rPr>
          <w:rFonts w:cs="Times New Roman"/>
        </w:rPr>
        <w:t>patent</w:t>
      </w:r>
      <w:r w:rsidR="001E2D62" w:rsidRPr="00677ABE">
        <w:rPr>
          <w:rFonts w:cs="Times New Roman"/>
        </w:rPr>
        <w:t xml:space="preserve"> </w:t>
      </w:r>
      <w:r w:rsidR="0000673F" w:rsidRPr="00677ABE">
        <w:rPr>
          <w:rFonts w:cs="Times New Roman"/>
        </w:rPr>
        <w:t>disclose</w:t>
      </w:r>
      <w:r w:rsidR="00BA4FB7" w:rsidRPr="00677ABE">
        <w:rPr>
          <w:rFonts w:cs="Times New Roman"/>
        </w:rPr>
        <w:t>d</w:t>
      </w:r>
      <w:r w:rsidR="0000673F" w:rsidRPr="00677ABE">
        <w:rPr>
          <w:rFonts w:cs="Times New Roman"/>
        </w:rPr>
        <w:t xml:space="preserve"> </w:t>
      </w:r>
      <w:r w:rsidR="00BA4FB7" w:rsidRPr="00677ABE">
        <w:rPr>
          <w:rFonts w:cs="Times New Roman"/>
        </w:rPr>
        <w:t>a</w:t>
      </w:r>
      <w:r w:rsidR="0000673F" w:rsidRPr="00677ABE">
        <w:rPr>
          <w:rFonts w:cs="Times New Roman"/>
        </w:rPr>
        <w:t xml:space="preserve"> shoe sole pattern</w:t>
      </w:r>
      <w:r w:rsidR="006D72D0" w:rsidRPr="00677ABE">
        <w:rPr>
          <w:rFonts w:cs="Times New Roman"/>
        </w:rPr>
        <w:t xml:space="preserve"> </w:t>
      </w:r>
      <w:r w:rsidR="006233FB" w:rsidRPr="00677ABE">
        <w:rPr>
          <w:rFonts w:cs="Times New Roman"/>
        </w:rPr>
        <w:t xml:space="preserve">using </w:t>
      </w:r>
      <w:r w:rsidR="00CA5DDF" w:rsidRPr="00677ABE">
        <w:rPr>
          <w:rFonts w:cs="Times New Roman"/>
        </w:rPr>
        <w:t xml:space="preserve">only a </w:t>
      </w:r>
      <w:r w:rsidR="006233FB" w:rsidRPr="00677ABE">
        <w:rPr>
          <w:rFonts w:cs="Times New Roman"/>
        </w:rPr>
        <w:t>plan view</w:t>
      </w:r>
      <w:r w:rsidR="00CA5DDF" w:rsidRPr="00677ABE">
        <w:rPr>
          <w:rFonts w:cs="Times New Roman"/>
        </w:rPr>
        <w:t>; that is, it disclosed a two-dimensional design related to a three-dimensional object</w:t>
      </w:r>
      <w:r w:rsidR="0000673F" w:rsidRPr="00677ABE">
        <w:rPr>
          <w:rFonts w:cs="Times New Roman"/>
        </w:rPr>
        <w:t>. The</w:t>
      </w:r>
      <w:r w:rsidR="00555FC2" w:rsidRPr="00677ABE">
        <w:rPr>
          <w:rFonts w:cs="Times New Roman"/>
        </w:rPr>
        <w:t xml:space="preserve"> examiner </w:t>
      </w:r>
      <w:r w:rsidR="00D337A0" w:rsidRPr="00677ABE">
        <w:rPr>
          <w:rFonts w:cs="Times New Roman"/>
        </w:rPr>
        <w:t xml:space="preserve">showed that, </w:t>
      </w:r>
      <w:r w:rsidR="00BA4FB7" w:rsidRPr="00677ABE">
        <w:rPr>
          <w:rFonts w:cs="Times New Roman"/>
        </w:rPr>
        <w:t>fixing the depth of that pattern according to different elevation views</w:t>
      </w:r>
      <w:r w:rsidR="00D337A0" w:rsidRPr="00677ABE">
        <w:rPr>
          <w:rFonts w:cs="Times New Roman"/>
        </w:rPr>
        <w:t xml:space="preserve">, </w:t>
      </w:r>
      <w:r w:rsidR="00555FC2" w:rsidRPr="00677ABE">
        <w:rPr>
          <w:rFonts w:cs="Times New Roman"/>
        </w:rPr>
        <w:t>at least four different designs coul</w:t>
      </w:r>
      <w:r w:rsidR="00D337A0" w:rsidRPr="00677ABE">
        <w:rPr>
          <w:rFonts w:cs="Times New Roman"/>
        </w:rPr>
        <w:t>d be enabled</w:t>
      </w:r>
      <w:r w:rsidR="009410EB" w:rsidRPr="00677ABE">
        <w:rPr>
          <w:rFonts w:cs="Times New Roman"/>
        </w:rPr>
        <w:t xml:space="preserve"> </w:t>
      </w:r>
      <w:r w:rsidR="00CA5DDF" w:rsidRPr="00677ABE">
        <w:rPr>
          <w:rFonts w:cs="Times New Roman"/>
        </w:rPr>
        <w:t>in three dimensions</w:t>
      </w:r>
      <w:r w:rsidR="00BA6F5D" w:rsidRPr="00677ABE">
        <w:rPr>
          <w:rFonts w:cs="Times New Roman"/>
        </w:rPr>
        <w:t>; the designer argued the “three-dimensional implementations of [the] design are simply differences in unclaimed subject matter.”</w:t>
      </w:r>
      <w:r w:rsidR="00BA6F5D" w:rsidRPr="00677ABE">
        <w:rPr>
          <w:rStyle w:val="FootnoteReference"/>
          <w:rFonts w:cs="Times New Roman"/>
          <w:color w:val="000000" w:themeColor="text1"/>
        </w:rPr>
        <w:footnoteReference w:id="1161"/>
      </w:r>
      <w:r w:rsidR="00BA6F5D" w:rsidRPr="00677ABE">
        <w:rPr>
          <w:rFonts w:cs="Times New Roman"/>
        </w:rPr>
        <w:t>Nonetheless, the</w:t>
      </w:r>
      <w:r w:rsidR="00BA4FB7" w:rsidRPr="00677ABE">
        <w:rPr>
          <w:rFonts w:cs="Times New Roman"/>
        </w:rPr>
        <w:t xml:space="preserve"> examiner</w:t>
      </w:r>
      <w:r w:rsidR="00D337A0" w:rsidRPr="00677ABE">
        <w:rPr>
          <w:rFonts w:cs="Times New Roman"/>
        </w:rPr>
        <w:t xml:space="preserve"> rejected the patent for</w:t>
      </w:r>
      <w:r w:rsidR="00CB486D" w:rsidRPr="00677ABE">
        <w:rPr>
          <w:rFonts w:cs="Times New Roman"/>
        </w:rPr>
        <w:t xml:space="preserve"> lack of enablement and</w:t>
      </w:r>
      <w:r w:rsidR="00D337A0" w:rsidRPr="00677ABE">
        <w:rPr>
          <w:rFonts w:cs="Times New Roman"/>
        </w:rPr>
        <w:t xml:space="preserve"> indefiniteness</w:t>
      </w:r>
      <w:r w:rsidR="00BA6F5D" w:rsidRPr="00677ABE">
        <w:rPr>
          <w:rFonts w:cs="Times New Roman"/>
        </w:rPr>
        <w:t>, and the PTAB affirmed.</w:t>
      </w:r>
      <w:r w:rsidR="00CB486D" w:rsidRPr="00677ABE">
        <w:rPr>
          <w:rStyle w:val="FootnoteReference"/>
          <w:rFonts w:cs="Times New Roman"/>
          <w:color w:val="000000" w:themeColor="text1"/>
        </w:rPr>
        <w:footnoteReference w:id="1162"/>
      </w:r>
    </w:p>
    <w:p w14:paraId="139602BE" w14:textId="0C3DD799" w:rsidR="00407F18" w:rsidRPr="00677ABE" w:rsidRDefault="007644F1" w:rsidP="00CA2C0A">
      <w:pPr>
        <w:rPr>
          <w:rFonts w:cs="Times New Roman"/>
        </w:rPr>
      </w:pPr>
      <w:r w:rsidRPr="00677ABE">
        <w:rPr>
          <w:rFonts w:cs="Times New Roman"/>
          <w:color w:val="000000" w:themeColor="text1"/>
        </w:rPr>
        <w:tab/>
      </w:r>
      <w:r w:rsidR="00D337A0" w:rsidRPr="00677ABE">
        <w:rPr>
          <w:rFonts w:cs="Times New Roman"/>
          <w:color w:val="000000" w:themeColor="text1"/>
        </w:rPr>
        <w:t xml:space="preserve">On appeal, the Federal Circuit reversed. </w:t>
      </w:r>
      <w:r w:rsidR="006D72D0" w:rsidRPr="00677ABE">
        <w:rPr>
          <w:rFonts w:cs="Times New Roman"/>
          <w:color w:val="000000" w:themeColor="text1"/>
        </w:rPr>
        <w:t>The</w:t>
      </w:r>
      <w:r w:rsidR="00774D6C" w:rsidRPr="00677ABE">
        <w:rPr>
          <w:rFonts w:cs="Times New Roman"/>
          <w:color w:val="000000" w:themeColor="text1"/>
        </w:rPr>
        <w:t xml:space="preserve"> court</w:t>
      </w:r>
      <w:r w:rsidR="00D337A0" w:rsidRPr="00677ABE">
        <w:rPr>
          <w:rFonts w:cs="Times New Roman"/>
          <w:color w:val="000000" w:themeColor="text1"/>
        </w:rPr>
        <w:t xml:space="preserve"> clarified</w:t>
      </w:r>
      <w:r w:rsidR="00774D6C" w:rsidRPr="00677ABE">
        <w:rPr>
          <w:rFonts w:cs="Times New Roman"/>
          <w:color w:val="000000" w:themeColor="text1"/>
        </w:rPr>
        <w:t xml:space="preserve"> </w:t>
      </w:r>
      <w:r w:rsidR="00CB486D" w:rsidRPr="00677ABE">
        <w:rPr>
          <w:rFonts w:cs="Times New Roman"/>
          <w:color w:val="000000" w:themeColor="text1"/>
        </w:rPr>
        <w:t>that</w:t>
      </w:r>
      <w:r w:rsidR="00FB4B82" w:rsidRPr="00677ABE">
        <w:rPr>
          <w:rFonts w:cs="Times New Roman"/>
          <w:color w:val="000000" w:themeColor="text1"/>
        </w:rPr>
        <w:t xml:space="preserve"> </w:t>
      </w:r>
      <w:r w:rsidR="00774D6C" w:rsidRPr="00677ABE">
        <w:rPr>
          <w:rFonts w:cs="Times New Roman"/>
          <w:color w:val="000000" w:themeColor="text1"/>
        </w:rPr>
        <w:t xml:space="preserve">“a design patent is indefinite under </w:t>
      </w:r>
      <w:r w:rsidR="00AC00E6">
        <w:rPr>
          <w:rFonts w:cs="Times New Roman"/>
          <w:color w:val="000000" w:themeColor="text1"/>
        </w:rPr>
        <w:t>§ </w:t>
      </w:r>
      <w:r w:rsidR="00774D6C" w:rsidRPr="00677ABE">
        <w:rPr>
          <w:rFonts w:cs="Times New Roman"/>
          <w:color w:val="000000" w:themeColor="text1"/>
        </w:rPr>
        <w:t>112 if one skilled in the art, viewing the design as would an ordinary observer, would not understand the scope of the design with reasonable certainty based on the claim and visual disclosure.”</w:t>
      </w:r>
      <w:r w:rsidR="00FB4B82" w:rsidRPr="00677ABE">
        <w:rPr>
          <w:rStyle w:val="FootnoteReference"/>
          <w:rFonts w:cs="Times New Roman"/>
          <w:color w:val="000000" w:themeColor="text1"/>
        </w:rPr>
        <w:footnoteReference w:id="1163"/>
      </w:r>
      <w:r w:rsidR="002F1F67" w:rsidRPr="00677ABE">
        <w:rPr>
          <w:rFonts w:cs="Times New Roman"/>
          <w:color w:val="000000" w:themeColor="text1"/>
        </w:rPr>
        <w:t xml:space="preserve"> </w:t>
      </w:r>
      <w:r w:rsidR="00920190" w:rsidRPr="00677ABE">
        <w:rPr>
          <w:rFonts w:cs="Times New Roman"/>
          <w:color w:val="000000" w:themeColor="text1"/>
        </w:rPr>
        <w:t>So</w:t>
      </w:r>
      <w:r w:rsidR="00067EC2" w:rsidRPr="00677ABE">
        <w:rPr>
          <w:rFonts w:cs="Times New Roman"/>
          <w:color w:val="000000" w:themeColor="text1"/>
        </w:rPr>
        <w:t xml:space="preserve"> long as such reasonable certainty </w:t>
      </w:r>
      <w:r w:rsidR="006F4C92" w:rsidRPr="00677ABE">
        <w:rPr>
          <w:rFonts w:cs="Times New Roman"/>
          <w:color w:val="000000" w:themeColor="text1"/>
        </w:rPr>
        <w:t>holds</w:t>
      </w:r>
      <w:r w:rsidR="007104B0" w:rsidRPr="00677ABE">
        <w:rPr>
          <w:rFonts w:cs="Times New Roman"/>
          <w:color w:val="000000" w:themeColor="text1"/>
        </w:rPr>
        <w:t xml:space="preserve">, </w:t>
      </w:r>
      <w:r w:rsidR="004155F5" w:rsidRPr="00677ABE">
        <w:rPr>
          <w:rFonts w:cs="Times New Roman"/>
          <w:color w:val="000000" w:themeColor="text1"/>
        </w:rPr>
        <w:t>“</w:t>
      </w:r>
      <w:r w:rsidR="007104B0" w:rsidRPr="00677ABE">
        <w:rPr>
          <w:rFonts w:cs="Times New Roman"/>
          <w:color w:val="000000" w:themeColor="text1"/>
        </w:rPr>
        <w:t>a design patent can disclose multiple embodiments within its single claim</w:t>
      </w:r>
      <w:r w:rsidR="004155F5" w:rsidRPr="00677ABE">
        <w:rPr>
          <w:rFonts w:cs="Times New Roman"/>
          <w:color w:val="000000" w:themeColor="text1"/>
        </w:rPr>
        <w:t> . . . </w:t>
      </w:r>
      <w:r w:rsidR="007104B0" w:rsidRPr="00677ABE">
        <w:rPr>
          <w:rFonts w:cs="Times New Roman"/>
          <w:color w:val="000000" w:themeColor="text1"/>
        </w:rPr>
        <w:t>.</w:t>
      </w:r>
      <w:r w:rsidR="00FB4B82" w:rsidRPr="00677ABE">
        <w:rPr>
          <w:rFonts w:cs="Times New Roman"/>
          <w:color w:val="000000" w:themeColor="text1"/>
        </w:rPr>
        <w:t>”</w:t>
      </w:r>
      <w:r w:rsidR="00FB4B82" w:rsidRPr="00677ABE">
        <w:rPr>
          <w:rStyle w:val="FootnoteReference"/>
          <w:rFonts w:cs="Times New Roman"/>
          <w:color w:val="000000" w:themeColor="text1"/>
        </w:rPr>
        <w:footnoteReference w:id="1164"/>
      </w:r>
      <w:r w:rsidR="00067EC2" w:rsidRPr="00677ABE">
        <w:rPr>
          <w:rFonts w:cs="Times New Roman"/>
          <w:color w:val="000000" w:themeColor="text1"/>
        </w:rPr>
        <w:t xml:space="preserve"> </w:t>
      </w:r>
      <w:r w:rsidR="00920190" w:rsidRPr="00677ABE">
        <w:rPr>
          <w:rFonts w:cs="Times New Roman"/>
          <w:color w:val="000000" w:themeColor="text1"/>
        </w:rPr>
        <w:t>To illustrate the rule, the court said a two-dimensional,</w:t>
      </w:r>
      <w:r w:rsidR="00CA1462" w:rsidRPr="00677ABE">
        <w:rPr>
          <w:rFonts w:cs="Times New Roman"/>
          <w:color w:val="000000" w:themeColor="text1"/>
        </w:rPr>
        <w:t xml:space="preserve"> plan-only disclosure</w:t>
      </w:r>
      <w:r w:rsidR="00086ECD" w:rsidRPr="00677ABE">
        <w:rPr>
          <w:rFonts w:cs="Times New Roman"/>
          <w:color w:val="000000" w:themeColor="text1"/>
        </w:rPr>
        <w:t xml:space="preserve"> would suffice </w:t>
      </w:r>
      <w:r w:rsidR="00CA1462" w:rsidRPr="00677ABE">
        <w:rPr>
          <w:rFonts w:cs="Times New Roman"/>
          <w:color w:val="000000" w:themeColor="text1"/>
        </w:rPr>
        <w:t xml:space="preserve">for claiming </w:t>
      </w:r>
      <w:r w:rsidR="006F4C92" w:rsidRPr="00677ABE">
        <w:rPr>
          <w:rFonts w:cs="Times New Roman"/>
          <w:color w:val="000000" w:themeColor="text1"/>
        </w:rPr>
        <w:t>an</w:t>
      </w:r>
      <w:r w:rsidR="00CA1462" w:rsidRPr="00677ABE">
        <w:rPr>
          <w:rFonts w:cs="Times New Roman"/>
          <w:color w:val="000000" w:themeColor="text1"/>
        </w:rPr>
        <w:t xml:space="preserve"> ornamental design on </w:t>
      </w:r>
      <w:r w:rsidR="00086ECD" w:rsidRPr="00677ABE">
        <w:rPr>
          <w:rFonts w:cs="Times New Roman"/>
          <w:color w:val="000000" w:themeColor="text1"/>
        </w:rPr>
        <w:t>rug</w:t>
      </w:r>
      <w:r w:rsidR="006F4C92" w:rsidRPr="00677ABE">
        <w:rPr>
          <w:rFonts w:cs="Times New Roman"/>
          <w:color w:val="000000" w:themeColor="text1"/>
        </w:rPr>
        <w:t>s</w:t>
      </w:r>
      <w:r w:rsidR="00920190" w:rsidRPr="00677ABE">
        <w:rPr>
          <w:rFonts w:cs="Times New Roman"/>
          <w:color w:val="000000" w:themeColor="text1"/>
        </w:rPr>
        <w:t xml:space="preserve"> </w:t>
      </w:r>
      <w:r w:rsidR="009B23B7" w:rsidRPr="00677ABE">
        <w:rPr>
          <w:rFonts w:cs="Times New Roman"/>
          <w:color w:val="000000" w:themeColor="text1"/>
        </w:rPr>
        <w:t xml:space="preserve">because any rug’s thickness would be irrelevant to this infringement, </w:t>
      </w:r>
      <w:r w:rsidR="00086ECD" w:rsidRPr="00677ABE">
        <w:rPr>
          <w:rFonts w:cs="Times New Roman"/>
          <w:color w:val="000000" w:themeColor="text1"/>
        </w:rPr>
        <w:t xml:space="preserve">but </w:t>
      </w:r>
      <w:r w:rsidR="009B23B7" w:rsidRPr="00677ABE">
        <w:rPr>
          <w:rFonts w:cs="Times New Roman"/>
          <w:color w:val="000000" w:themeColor="text1"/>
        </w:rPr>
        <w:t>such a plan-only disclosure</w:t>
      </w:r>
      <w:r w:rsidR="006F4C92" w:rsidRPr="00677ABE">
        <w:rPr>
          <w:rFonts w:cs="Times New Roman"/>
          <w:color w:val="000000" w:themeColor="text1"/>
        </w:rPr>
        <w:t xml:space="preserve"> </w:t>
      </w:r>
      <w:r w:rsidR="00086ECD" w:rsidRPr="00677ABE">
        <w:rPr>
          <w:rFonts w:cs="Times New Roman"/>
          <w:color w:val="000000" w:themeColor="text1"/>
        </w:rPr>
        <w:t xml:space="preserve">would not suffice </w:t>
      </w:r>
      <w:r w:rsidR="009B23B7" w:rsidRPr="00677ABE">
        <w:rPr>
          <w:rFonts w:cs="Times New Roman"/>
          <w:color w:val="000000" w:themeColor="text1"/>
        </w:rPr>
        <w:t>for claiming a teapot</w:t>
      </w:r>
      <w:r w:rsidR="007078B8" w:rsidRPr="00677ABE">
        <w:rPr>
          <w:rFonts w:cs="Times New Roman"/>
          <w:color w:val="000000" w:themeColor="text1"/>
        </w:rPr>
        <w:t xml:space="preserve"> because “[t]he article would be infringing from one perspective but not from another.”</w:t>
      </w:r>
      <w:r w:rsidR="007078B8" w:rsidRPr="00677ABE">
        <w:rPr>
          <w:rStyle w:val="FootnoteReference"/>
          <w:rFonts w:cs="Times New Roman"/>
          <w:color w:val="000000" w:themeColor="text1"/>
        </w:rPr>
        <w:footnoteReference w:id="1165"/>
      </w:r>
      <w:r w:rsidR="007078B8" w:rsidRPr="00677ABE">
        <w:rPr>
          <w:rFonts w:cs="Times New Roman"/>
          <w:color w:val="000000" w:themeColor="text1"/>
        </w:rPr>
        <w:t xml:space="preserve"> </w:t>
      </w:r>
      <w:r w:rsidR="009B23B7" w:rsidRPr="00677ABE">
        <w:rPr>
          <w:rFonts w:cs="Times New Roman"/>
          <w:color w:val="000000" w:themeColor="text1"/>
        </w:rPr>
        <w:t>Applying the rule to this case</w:t>
      </w:r>
      <w:r w:rsidR="00067EC2" w:rsidRPr="00677ABE">
        <w:rPr>
          <w:rFonts w:cs="Times New Roman"/>
          <w:color w:val="000000" w:themeColor="text1"/>
        </w:rPr>
        <w:t>, the court found “an infringer is not left in doubt</w:t>
      </w:r>
      <w:r w:rsidR="002F1F67" w:rsidRPr="00677ABE">
        <w:rPr>
          <w:rFonts w:cs="Times New Roman"/>
          <w:color w:val="000000" w:themeColor="text1"/>
        </w:rPr>
        <w:t>,</w:t>
      </w:r>
      <w:r w:rsidR="00067EC2" w:rsidRPr="00677ABE">
        <w:rPr>
          <w:rFonts w:cs="Times New Roman"/>
          <w:color w:val="000000" w:themeColor="text1"/>
        </w:rPr>
        <w:t xml:space="preserve">” </w:t>
      </w:r>
      <w:r w:rsidR="002F1F67" w:rsidRPr="00677ABE">
        <w:rPr>
          <w:rFonts w:cs="Times New Roman"/>
          <w:color w:val="000000" w:themeColor="text1"/>
        </w:rPr>
        <w:t>because</w:t>
      </w:r>
      <w:r w:rsidR="00067EC2" w:rsidRPr="00677ABE">
        <w:rPr>
          <w:rFonts w:cs="Times New Roman"/>
          <w:color w:val="000000" w:themeColor="text1"/>
        </w:rPr>
        <w:t xml:space="preserve"> “Maatita’s two-dimensional drawing clearly demonstrates the perspective from which th</w:t>
      </w:r>
      <w:r w:rsidR="003031DF" w:rsidRPr="00677ABE">
        <w:rPr>
          <w:rFonts w:cs="Times New Roman"/>
          <w:color w:val="000000" w:themeColor="text1"/>
        </w:rPr>
        <w:t>e shoe bottom should be viewed,</w:t>
      </w:r>
      <w:r w:rsidR="00067EC2" w:rsidRPr="00677ABE">
        <w:rPr>
          <w:rFonts w:cs="Times New Roman"/>
          <w:color w:val="000000" w:themeColor="text1"/>
        </w:rPr>
        <w:t>”</w:t>
      </w:r>
      <w:r w:rsidR="00067EC2" w:rsidRPr="00677ABE">
        <w:rPr>
          <w:rStyle w:val="FootnoteReference"/>
          <w:rFonts w:cs="Times New Roman"/>
          <w:color w:val="000000" w:themeColor="text1"/>
        </w:rPr>
        <w:footnoteReference w:id="1166"/>
      </w:r>
      <w:r w:rsidR="003031DF" w:rsidRPr="00677ABE">
        <w:rPr>
          <w:rFonts w:cs="Times New Roman"/>
          <w:color w:val="000000" w:themeColor="text1"/>
        </w:rPr>
        <w:t xml:space="preserve"> </w:t>
      </w:r>
      <w:r w:rsidR="003857D5" w:rsidRPr="00677ABE">
        <w:rPr>
          <w:rFonts w:cs="Times New Roman"/>
          <w:color w:val="000000" w:themeColor="text1"/>
        </w:rPr>
        <w:t>and</w:t>
      </w:r>
      <w:r w:rsidR="003031DF" w:rsidRPr="00677ABE">
        <w:rPr>
          <w:rFonts w:cs="Times New Roman"/>
          <w:color w:val="000000" w:themeColor="text1"/>
        </w:rPr>
        <w:t xml:space="preserve"> a skilled artisan </w:t>
      </w:r>
      <w:r w:rsidR="003857D5" w:rsidRPr="00677ABE">
        <w:rPr>
          <w:rFonts w:cs="Times New Roman"/>
          <w:color w:val="000000" w:themeColor="text1"/>
        </w:rPr>
        <w:t>could</w:t>
      </w:r>
      <w:r w:rsidR="003031DF" w:rsidRPr="00677ABE">
        <w:rPr>
          <w:rFonts w:cs="Times New Roman"/>
          <w:color w:val="000000" w:themeColor="text1"/>
        </w:rPr>
        <w:t xml:space="preserve"> </w:t>
      </w:r>
      <w:r w:rsidR="003857D5" w:rsidRPr="00677ABE">
        <w:rPr>
          <w:rFonts w:cs="Times New Roman"/>
          <w:color w:val="000000" w:themeColor="text1"/>
        </w:rPr>
        <w:t>craft</w:t>
      </w:r>
      <w:r w:rsidR="003031DF" w:rsidRPr="00677ABE">
        <w:rPr>
          <w:rFonts w:cs="Times New Roman"/>
          <w:color w:val="000000" w:themeColor="text1"/>
        </w:rPr>
        <w:t xml:space="preserve"> the design and assess infringement with reasonable certainty.</w:t>
      </w:r>
      <w:r w:rsidR="003031DF" w:rsidRPr="00677ABE">
        <w:rPr>
          <w:rStyle w:val="FootnoteReference"/>
          <w:rFonts w:cs="Times New Roman"/>
          <w:color w:val="000000" w:themeColor="text1"/>
        </w:rPr>
        <w:footnoteReference w:id="1167"/>
      </w:r>
    </w:p>
    <w:sectPr w:rsidR="00407F18" w:rsidRPr="00677ABE" w:rsidSect="00FD2012">
      <w:footerReference w:type="even" r:id="rId7"/>
      <w:footerReference w:type="default" r:id="rId8"/>
      <w:pgSz w:w="12240" w:h="15840"/>
      <w:pgMar w:top="1440" w:right="1800" w:bottom="1440" w:left="180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4066EF" w16cid:durableId="1FA3B39E"/>
  <w16cid:commentId w16cid:paraId="6DDA1E29" w16cid:durableId="1FA54BA4"/>
  <w16cid:commentId w16cid:paraId="547972E0" w16cid:durableId="1FA548FC"/>
  <w16cid:commentId w16cid:paraId="4903D766" w16cid:durableId="1FA3B308"/>
  <w16cid:commentId w16cid:paraId="2D6C3767" w16cid:durableId="1FA3B21B"/>
  <w16cid:commentId w16cid:paraId="65D9CE53" w16cid:durableId="1FA3B215"/>
  <w16cid:commentId w16cid:paraId="6D8617AE" w16cid:durableId="1FA55304"/>
  <w16cid:commentId w16cid:paraId="4795AAEB" w16cid:durableId="1FA3B2C1"/>
  <w16cid:commentId w16cid:paraId="5DCF245E" w16cid:durableId="1FA3B444"/>
  <w16cid:commentId w16cid:paraId="031CCE90" w16cid:durableId="1FA3B3B6"/>
  <w16cid:commentId w16cid:paraId="55124C87" w16cid:durableId="1FA3B2B6"/>
  <w16cid:commentId w16cid:paraId="77CC3EA2" w16cid:durableId="1FA3B147"/>
  <w16cid:commentId w16cid:paraId="6F68FE02" w16cid:durableId="1FA3B12F"/>
  <w16cid:commentId w16cid:paraId="0B2D0D3D" w16cid:durableId="1FA3B2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5EB08" w14:textId="77777777" w:rsidR="00C32E7E" w:rsidRDefault="00C32E7E" w:rsidP="009E5099">
      <w:r>
        <w:separator/>
      </w:r>
    </w:p>
  </w:endnote>
  <w:endnote w:type="continuationSeparator" w:id="0">
    <w:p w14:paraId="1B692156" w14:textId="77777777" w:rsidR="00C32E7E" w:rsidRDefault="00C32E7E" w:rsidP="009E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Corbel"/>
    <w:panose1 w:val="00000000000000000000"/>
    <w:charset w:val="4D"/>
    <w:family w:val="swiss"/>
    <w:notTrueType/>
    <w:pitch w:val="variable"/>
    <w:sig w:usb0="00000001" w:usb1="0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imes Bold">
    <w:altName w:val="Courier New"/>
    <w:charset w:val="00"/>
    <w:family w:val="auto"/>
    <w:pitch w:val="variable"/>
    <w:sig w:usb0="00000001"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161CF" w14:textId="77777777" w:rsidR="00BA22A2" w:rsidRDefault="00BA22A2" w:rsidP="005C32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F2EA63" w14:textId="1F94EC7E" w:rsidR="00BA22A2" w:rsidRDefault="00BA22A2" w:rsidP="00FD20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301F6" w14:textId="050FB2C7" w:rsidR="00BA22A2" w:rsidRDefault="00BA22A2" w:rsidP="005C32AD">
    <w:pPr>
      <w:pStyle w:val="Footer"/>
      <w:framePr w:wrap="around" w:vAnchor="text" w:hAnchor="margin" w:xAlign="right" w:y="1"/>
      <w:rPr>
        <w:rStyle w:val="PageNumber"/>
        <w:rFonts w:cs="Times New Roman"/>
      </w:rPr>
    </w:pPr>
    <w:r w:rsidRPr="00FD2012">
      <w:rPr>
        <w:rStyle w:val="PageNumber"/>
        <w:rFonts w:cs="Times New Roman"/>
      </w:rPr>
      <w:fldChar w:fldCharType="begin"/>
    </w:r>
    <w:r w:rsidRPr="00FD2012">
      <w:rPr>
        <w:rStyle w:val="PageNumber"/>
        <w:rFonts w:cs="Times New Roman"/>
      </w:rPr>
      <w:instrText xml:space="preserve">PAGE  </w:instrText>
    </w:r>
    <w:r w:rsidRPr="00FD2012">
      <w:rPr>
        <w:rStyle w:val="PageNumber"/>
        <w:rFonts w:cs="Times New Roman"/>
      </w:rPr>
      <w:fldChar w:fldCharType="separate"/>
    </w:r>
    <w:r w:rsidR="00B379F8">
      <w:rPr>
        <w:rStyle w:val="PageNumber"/>
        <w:rFonts w:cs="Times New Roman"/>
        <w:noProof/>
      </w:rPr>
      <w:t>56</w:t>
    </w:r>
    <w:r w:rsidRPr="00FD2012">
      <w:rPr>
        <w:rStyle w:val="PageNumber"/>
        <w:rFonts w:cs="Times New Roman"/>
      </w:rPr>
      <w:fldChar w:fldCharType="end"/>
    </w:r>
  </w:p>
  <w:p w14:paraId="4389300F" w14:textId="7A521956" w:rsidR="00BA22A2" w:rsidRDefault="00BA22A2" w:rsidP="00FD20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18C30" w14:textId="77777777" w:rsidR="00C32E7E" w:rsidRDefault="00C32E7E" w:rsidP="009E5099">
      <w:r>
        <w:separator/>
      </w:r>
    </w:p>
  </w:footnote>
  <w:footnote w:type="continuationSeparator" w:id="0">
    <w:p w14:paraId="6ECF7E86" w14:textId="77777777" w:rsidR="00C32E7E" w:rsidRDefault="00C32E7E" w:rsidP="009E5099">
      <w:r>
        <w:continuationSeparator/>
      </w:r>
    </w:p>
  </w:footnote>
  <w:footnote w:id="1">
    <w:p w14:paraId="183B3BC8"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William H. Neukom Professor, Stanford Law School; Partner, Durie Tangri LLP.</w:t>
      </w:r>
    </w:p>
  </w:footnote>
  <w:footnote w:id="2">
    <w:p w14:paraId="33713249"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J.D. expected 2020, Stanford Law School.</w:t>
      </w:r>
    </w:p>
  </w:footnote>
  <w:footnote w:id="3">
    <w:p w14:paraId="18A2F110"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J.D. 2018, Stanford Law School.</w:t>
      </w:r>
    </w:p>
  </w:footnote>
  <w:footnote w:id="4">
    <w:p w14:paraId="227E6351" w14:textId="0E3CBC3F"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Core Wireless Licensing S.A.R.L. v. LG Elecs., Inc., 880 F.3d 1356, 1359 (Fed. Cir. 2018).</w:t>
      </w:r>
    </w:p>
  </w:footnote>
  <w:footnote w:id="5">
    <w:p w14:paraId="65B4E5A7"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6">
    <w:p w14:paraId="67DB1F97"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7">
    <w:p w14:paraId="5C57E195"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8">
    <w:p w14:paraId="32760964"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
    <w:p w14:paraId="75530942"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1362-63.</w:t>
      </w:r>
    </w:p>
  </w:footnote>
  <w:footnote w:id="10">
    <w:p w14:paraId="0D971135"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1363.</w:t>
      </w:r>
    </w:p>
  </w:footnote>
  <w:footnote w:id="11">
    <w:p w14:paraId="777BC4D7"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2">
    <w:p w14:paraId="623B5AD9"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3">
    <w:p w14:paraId="1A1922A8"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4">
    <w:p w14:paraId="5153491E" w14:textId="18A6F78A"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Full disclosure: Mark Lemley represented Blue Coat in this appeal.</w:t>
      </w:r>
    </w:p>
  </w:footnote>
  <w:footnote w:id="15">
    <w:p w14:paraId="0328E5AF" w14:textId="0416302B"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Finjan, Inc. v. Blue Coat Sys., Inc., No. 2016-2520, 2018 WL 341882, at *1 (Fed. Cir. Jan. 10, 2018).</w:t>
      </w:r>
    </w:p>
  </w:footnote>
  <w:footnote w:id="16">
    <w:p w14:paraId="53001F9F"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*3 (emphasis in original).</w:t>
      </w:r>
    </w:p>
  </w:footnote>
  <w:footnote w:id="17">
    <w:p w14:paraId="46CA07AE"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8">
    <w:p w14:paraId="4F9584C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9">
    <w:p w14:paraId="36140669"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*4.</w:t>
      </w:r>
    </w:p>
  </w:footnote>
  <w:footnote w:id="20">
    <w:p w14:paraId="3946B97F"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*3.</w:t>
      </w:r>
    </w:p>
  </w:footnote>
  <w:footnote w:id="21">
    <w:p w14:paraId="6946FE52"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22">
    <w:p w14:paraId="6397910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*4.</w:t>
      </w:r>
    </w:p>
  </w:footnote>
  <w:footnote w:id="23">
    <w:p w14:paraId="48A41322"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24">
    <w:p w14:paraId="597EEBC6"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25">
    <w:p w14:paraId="7527DE66"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26">
    <w:p w14:paraId="2D537197" w14:textId="757C81C6"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Voter Verified, Inc. v. Election Sys. &amp; Software LLC, 887 F.2d 1376, 1379 (2018).</w:t>
      </w:r>
    </w:p>
  </w:footnote>
  <w:footnote w:id="27">
    <w:p w14:paraId="75398A77"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28">
    <w:p w14:paraId="3B81E48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29">
    <w:p w14:paraId="0129CFA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30">
    <w:p w14:paraId="3C106973"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1380.</w:t>
      </w:r>
    </w:p>
  </w:footnote>
  <w:footnote w:id="31">
    <w:p w14:paraId="5CAA3F90"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32">
    <w:p w14:paraId="0A555401"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33">
    <w:p w14:paraId="068451EE"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1381.</w:t>
      </w:r>
    </w:p>
  </w:footnote>
  <w:footnote w:id="34">
    <w:p w14:paraId="1D47C758"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1382.</w:t>
      </w:r>
    </w:p>
  </w:footnote>
  <w:footnote w:id="35">
    <w:p w14:paraId="65B73111"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36">
    <w:p w14:paraId="3FE2388F"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37">
    <w:p w14:paraId="64A0A88E"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1383.</w:t>
      </w:r>
    </w:p>
  </w:footnote>
  <w:footnote w:id="38">
    <w:p w14:paraId="026F2AED"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39">
    <w:p w14:paraId="7DCE89AE"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40">
    <w:p w14:paraId="7784D245"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1384.</w:t>
      </w:r>
    </w:p>
  </w:footnote>
  <w:footnote w:id="41">
    <w:p w14:paraId="3D838DC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1385.</w:t>
      </w:r>
    </w:p>
  </w:footnote>
  <w:footnote w:id="42">
    <w:p w14:paraId="7AE3476F"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43">
    <w:p w14:paraId="2C21C090" w14:textId="35752D6A"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BSG Tech LLC, v. Buyseasons, Inc. 899 F.3d 1281, 1283 (Fed. Cir. 2018).</w:t>
      </w:r>
    </w:p>
  </w:footnote>
  <w:footnote w:id="44">
    <w:p w14:paraId="436E2F38"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1288.</w:t>
      </w:r>
    </w:p>
  </w:footnote>
  <w:footnote w:id="45">
    <w:p w14:paraId="613A2198"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1283-84.</w:t>
      </w:r>
    </w:p>
  </w:footnote>
  <w:footnote w:id="46">
    <w:p w14:paraId="5371F999" w14:textId="4801D99D"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1285 (citing Alice Corp. v. CLS Bank Int'l, 134 S.Ct. 2347, 2355 (2014)). </w:t>
      </w:r>
    </w:p>
  </w:footnote>
  <w:footnote w:id="47">
    <w:p w14:paraId="0E279F09" w14:textId="4DDEA854"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(quoting J.A. 6).</w:t>
      </w:r>
    </w:p>
  </w:footnote>
  <w:footnote w:id="48">
    <w:p w14:paraId="26CF51BE" w14:textId="59ED3A3D"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See id. </w:t>
      </w:r>
      <w:r w:rsidRPr="007F1307">
        <w:rPr>
          <w:rFonts w:cs="Times New Roman"/>
          <w:szCs w:val="22"/>
        </w:rPr>
        <w:t xml:space="preserve">at 1288-89 (stating that arguments for the ’699 patent also apply to ’294); </w:t>
      </w:r>
      <w:r w:rsidRPr="007F1307">
        <w:rPr>
          <w:rFonts w:cs="Times New Roman"/>
          <w:i/>
          <w:szCs w:val="22"/>
        </w:rPr>
        <w:t xml:space="preserve">id. </w:t>
      </w:r>
      <w:r w:rsidRPr="007F1307">
        <w:rPr>
          <w:rFonts w:cs="Times New Roman"/>
          <w:szCs w:val="22"/>
        </w:rPr>
        <w:t xml:space="preserve">at 1289, 1291 (explaining that ’652 was a harder case but fell for reasons similar to the others). </w:t>
      </w:r>
    </w:p>
  </w:footnote>
  <w:footnote w:id="49">
    <w:p w14:paraId="73FF876D" w14:textId="2C7E565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1286 (citing Enfish, LLC v. Microsoft Corp., 822 F.3d 1327, 1336 (Fed. Cir. 2016)).</w:t>
      </w:r>
    </w:p>
  </w:footnote>
  <w:footnote w:id="50">
    <w:p w14:paraId="7A7FB2AC"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1286-87.</w:t>
      </w:r>
    </w:p>
  </w:footnote>
  <w:footnote w:id="51">
    <w:p w14:paraId="0FF669B9" w14:textId="279C7E78"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1287 (citing Content Extraction &amp; Transmission LLC v. Wells Fargo Bank, Nat'l Ass'n, 776 F.3d 1343, 1347 (Fed. Cir. 2014)).</w:t>
      </w:r>
    </w:p>
  </w:footnote>
  <w:footnote w:id="52">
    <w:p w14:paraId="7B428DC9"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1288.</w:t>
      </w:r>
    </w:p>
  </w:footnote>
  <w:footnote w:id="53">
    <w:p w14:paraId="43463EF9"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1289, 1291.</w:t>
      </w:r>
    </w:p>
  </w:footnote>
  <w:footnote w:id="54">
    <w:p w14:paraId="78EAA01C" w14:textId="4735C36D"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1288. In contrast, </w:t>
      </w:r>
      <w:r w:rsidRPr="007F1307">
        <w:rPr>
          <w:rFonts w:cs="Times New Roman"/>
          <w:i/>
          <w:szCs w:val="22"/>
        </w:rPr>
        <w:t>Enfish</w:t>
      </w:r>
      <w:r w:rsidRPr="007F1307">
        <w:rPr>
          <w:rFonts w:cs="Times New Roman"/>
          <w:szCs w:val="22"/>
        </w:rPr>
        <w:t xml:space="preserve"> said its “self-referential table functions . . . differently than conventional database structures” and, evidently, specified how. </w:t>
      </w:r>
      <w:r w:rsidRPr="007F1307">
        <w:rPr>
          <w:rFonts w:cs="Times New Roman"/>
          <w:i/>
          <w:szCs w:val="22"/>
        </w:rPr>
        <w:t xml:space="preserve">Id. </w:t>
      </w:r>
      <w:r w:rsidRPr="007F1307">
        <w:rPr>
          <w:rFonts w:cs="Times New Roman"/>
          <w:szCs w:val="22"/>
        </w:rPr>
        <w:t>(quoting 822 F.3d at 1337).</w:t>
      </w:r>
    </w:p>
  </w:footnote>
  <w:footnote w:id="55">
    <w:p w14:paraId="5C0D4137"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1289.</w:t>
      </w:r>
    </w:p>
  </w:footnote>
  <w:footnote w:id="56">
    <w:p w14:paraId="038BBC51" w14:textId="180C8D0B"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p>
  </w:footnote>
  <w:footnote w:id="57">
    <w:p w14:paraId="2470DA2F" w14:textId="15735965"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1291.</w:t>
      </w:r>
    </w:p>
  </w:footnote>
  <w:footnote w:id="58">
    <w:p w14:paraId="22C42108"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1290-91.</w:t>
      </w:r>
    </w:p>
  </w:footnote>
  <w:footnote w:id="59">
    <w:p w14:paraId="0B3BD35A" w14:textId="2D4409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SAP Am. Inc., v. Investpic, LLC, 898 F.3d 1161, 1163 (Fed. Cir. 2018).</w:t>
      </w:r>
    </w:p>
  </w:footnote>
  <w:footnote w:id="60">
    <w:p w14:paraId="0EDDAE3D" w14:textId="7B9052A0"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1668 (citing </w:t>
      </w:r>
      <w:r w:rsidRPr="007F1307">
        <w:rPr>
          <w:rFonts w:eastAsia="Times New Roman" w:cs="Times New Roman"/>
          <w:iCs/>
          <w:szCs w:val="22"/>
          <w:shd w:val="clear" w:color="auto" w:fill="FFFFFF"/>
        </w:rPr>
        <w:t>Electric Power Group, LLC v. Alstom S.A.</w:t>
      </w:r>
      <w:r w:rsidRPr="007F1307">
        <w:rPr>
          <w:rFonts w:eastAsia="Times New Roman" w:cs="Times New Roman"/>
          <w:szCs w:val="22"/>
          <w:shd w:val="clear" w:color="auto" w:fill="FFFFFF"/>
        </w:rPr>
        <w:t>, 830 F.3d 1350, 1354 (Fed. Cir. 2016)).</w:t>
      </w:r>
    </w:p>
  </w:footnote>
  <w:footnote w:id="61">
    <w:p w14:paraId="1127D8F9" w14:textId="4D21DD0C"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1163-64, 1165.</w:t>
      </w:r>
    </w:p>
  </w:footnote>
  <w:footnote w:id="62">
    <w:p w14:paraId="44D22193" w14:textId="09FA4B9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Only independent claims 1, 11, and 22 survived previous litigation.</w:t>
      </w:r>
      <w:r w:rsidRPr="007F1307">
        <w:rPr>
          <w:rStyle w:val="FootnoteReference"/>
          <w:rFonts w:cs="Times New Roman"/>
          <w:szCs w:val="22"/>
        </w:rPr>
        <w:t xml:space="preserve"> </w:t>
      </w:r>
      <w:r w:rsidRPr="007F1307">
        <w:rPr>
          <w:rFonts w:cs="Times New Roman"/>
          <w:i/>
          <w:szCs w:val="22"/>
        </w:rPr>
        <w:t xml:space="preserve">Id. </w:t>
      </w:r>
      <w:r w:rsidRPr="007F1307">
        <w:rPr>
          <w:rFonts w:cs="Times New Roman"/>
          <w:szCs w:val="22"/>
        </w:rPr>
        <w:t>at 1163.</w:t>
      </w:r>
    </w:p>
  </w:footnote>
  <w:footnote w:id="63">
    <w:p w14:paraId="7465E7CB"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1166.</w:t>
      </w:r>
    </w:p>
  </w:footnote>
  <w:footnote w:id="64">
    <w:p w14:paraId="6401DE79" w14:textId="34C64D85"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1166-67 (citing Alice Corp. Pty. Ltd. v. CLS Bank Int’l, 134 S.Ct. 2347, 2354 (2014)).</w:t>
      </w:r>
    </w:p>
  </w:footnote>
  <w:footnote w:id="65">
    <w:p w14:paraId="36C0BE7F" w14:textId="1CC6D240"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1667-68 (citing McRO, Inc. v. Bandai Namco Games [Am.] Inc., 837 F.3d 1299 (Fed. Cir. 2016)).</w:t>
      </w:r>
    </w:p>
  </w:footnote>
  <w:footnote w:id="66">
    <w:p w14:paraId="39139E2C" w14:textId="51680979"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1170 (citing Mayo Collaborative Servs. v. Prometheus Labs., Inc., 566 U.S. 66, 73 (2012)).</w:t>
      </w:r>
    </w:p>
  </w:footnote>
  <w:footnote w:id="67">
    <w:p w14:paraId="40A7C23F" w14:textId="003BF5B0"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Interval Licensing LLC v. AOL, Inc., 896 F.3d 1335, 1337-38 (Fed. Cir. 2018). Note this case was appealed anew after having been appealed and remanded once on another issue. </w:t>
      </w:r>
      <w:r w:rsidRPr="007F1307">
        <w:rPr>
          <w:rFonts w:cs="Times New Roman"/>
          <w:i/>
          <w:szCs w:val="22"/>
        </w:rPr>
        <w:t xml:space="preserve">Id. </w:t>
      </w:r>
    </w:p>
  </w:footnote>
  <w:footnote w:id="68">
    <w:p w14:paraId="7ED3B091"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1338.</w:t>
      </w:r>
    </w:p>
  </w:footnote>
  <w:footnote w:id="69">
    <w:p w14:paraId="1A29A809"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1341.</w:t>
      </w:r>
    </w:p>
  </w:footnote>
  <w:footnote w:id="70">
    <w:p w14:paraId="4B201066"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1339.</w:t>
      </w:r>
    </w:p>
  </w:footnote>
  <w:footnote w:id="71">
    <w:p w14:paraId="2821FC90" w14:textId="04B005B1"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1341 (citing Alice Corp. Pty. v. CLS Bank [Int’l], 134 S.Ct. 2347 (2014)).</w:t>
      </w:r>
    </w:p>
  </w:footnote>
  <w:footnote w:id="72">
    <w:p w14:paraId="3AE2DC2E" w14:textId="27C76DDF"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(quoting Interval Licensing LLC v. AOL, Inc., 193 F.Supp.3d 1184, 1188 (W.D. Wash. 2016)).</w:t>
      </w:r>
    </w:p>
  </w:footnote>
  <w:footnote w:id="73">
    <w:p w14:paraId="2C25AF92"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1341.</w:t>
      </w:r>
    </w:p>
  </w:footnote>
  <w:footnote w:id="74">
    <w:p w14:paraId="6960C4AE" w14:textId="7D28A27D" w:rsidR="00BA22A2" w:rsidRPr="007F1307" w:rsidRDefault="00BA22A2" w:rsidP="00AE50AD">
      <w:pPr>
        <w:pStyle w:val="FootnoteText"/>
        <w:rPr>
          <w:rFonts w:eastAsia="Times New Roman"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1344 (disapproving “</w:t>
      </w:r>
      <w:r w:rsidRPr="007F1307">
        <w:rPr>
          <w:rFonts w:eastAsia="Times New Roman" w:cs="Times New Roman"/>
          <w:szCs w:val="22"/>
          <w:shd w:val="clear" w:color="auto" w:fill="FFFFFF"/>
        </w:rPr>
        <w:t>the result-centric construction of the claimed ‘attention manager’”).</w:t>
      </w:r>
    </w:p>
  </w:footnote>
  <w:footnote w:id="75">
    <w:p w14:paraId="2B57B5F1" w14:textId="605FDA5D"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w:t>
      </w:r>
    </w:p>
  </w:footnote>
  <w:footnote w:id="76">
    <w:p w14:paraId="5EEBA488"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1345.</w:t>
      </w:r>
    </w:p>
  </w:footnote>
  <w:footnote w:id="77">
    <w:p w14:paraId="1113E846"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1345-46.</w:t>
      </w:r>
    </w:p>
  </w:footnote>
  <w:footnote w:id="78">
    <w:p w14:paraId="43C28A5D"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1347-48.</w:t>
      </w:r>
    </w:p>
  </w:footnote>
  <w:footnote w:id="79">
    <w:p w14:paraId="1942EFD3"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1348 (Plager, J., concurring-in-part and dissenting-in-part).</w:t>
      </w:r>
    </w:p>
  </w:footnote>
  <w:footnote w:id="80">
    <w:p w14:paraId="1F1BD761" w14:textId="57C10366"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1351.</w:t>
      </w:r>
    </w:p>
  </w:footnote>
  <w:footnote w:id="81">
    <w:p w14:paraId="0A226115" w14:textId="3C34D9E1"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p>
  </w:footnote>
  <w:footnote w:id="82">
    <w:p w14:paraId="63F328FC" w14:textId="382B4394"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(citing articles); </w:t>
      </w:r>
      <w:r w:rsidRPr="007F1307">
        <w:rPr>
          <w:rFonts w:cs="Times New Roman"/>
          <w:i/>
          <w:szCs w:val="22"/>
        </w:rPr>
        <w:t xml:space="preserve">id. </w:t>
      </w:r>
      <w:r w:rsidRPr="007F1307">
        <w:rPr>
          <w:rFonts w:cs="Times New Roman"/>
          <w:szCs w:val="22"/>
        </w:rPr>
        <w:t>at 1354-55 (explaining why Congress jettisoned this “elusive” inquiry).</w:t>
      </w:r>
    </w:p>
  </w:footnote>
  <w:footnote w:id="83">
    <w:p w14:paraId="59781385"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1354.</w:t>
      </w:r>
    </w:p>
  </w:footnote>
  <w:footnote w:id="84">
    <w:p w14:paraId="531A66C0"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1354-55.</w:t>
      </w:r>
    </w:p>
  </w:footnote>
  <w:footnote w:id="85">
    <w:p w14:paraId="6E91B539"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1356.</w:t>
      </w:r>
    </w:p>
  </w:footnote>
  <w:footnote w:id="86">
    <w:p w14:paraId="66E24FBB"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1355-56.</w:t>
      </w:r>
    </w:p>
  </w:footnote>
  <w:footnote w:id="87">
    <w:p w14:paraId="131994E0" w14:textId="1E9D2AB9"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Id.</w:t>
      </w:r>
    </w:p>
  </w:footnote>
  <w:footnote w:id="88">
    <w:p w14:paraId="28ABBE74" w14:textId="1E4DBD7B"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Praxair Distrib. Inc. v. Mallinckrodt Hosp. Prods. IP Ltd., 890 F.3d 1024, v1028 1033 (Fed. Cir. 2018).</w:t>
      </w:r>
    </w:p>
  </w:footnote>
  <w:footnote w:id="89">
    <w:p w14:paraId="5FB623DB"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1029.</w:t>
      </w:r>
    </w:p>
  </w:footnote>
  <w:footnote w:id="90">
    <w:p w14:paraId="698A7FD8"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1028.</w:t>
      </w:r>
    </w:p>
  </w:footnote>
  <w:footnote w:id="91">
    <w:p w14:paraId="015761E8" w14:textId="6DAE2ACE"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1040 (Newman, J., concurring); </w:t>
      </w:r>
      <w:r w:rsidRPr="007F1307">
        <w:rPr>
          <w:rFonts w:cs="Times New Roman"/>
          <w:i/>
          <w:szCs w:val="22"/>
        </w:rPr>
        <w:t xml:space="preserve">but cf. id. </w:t>
      </w:r>
      <w:r w:rsidRPr="007F1307">
        <w:rPr>
          <w:rFonts w:cs="Times New Roman"/>
          <w:szCs w:val="22"/>
        </w:rPr>
        <w:t>at 1038 (explaining the Federal Circuit assessed the issue because the PTAB had raised the issue and the parties had briefed it).</w:t>
      </w:r>
    </w:p>
  </w:footnote>
  <w:footnote w:id="92">
    <w:p w14:paraId="1053ABFE" w14:textId="69D93A2A"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1033. </w:t>
      </w:r>
    </w:p>
  </w:footnote>
  <w:footnote w:id="93">
    <w:p w14:paraId="3AB09EBA" w14:textId="4DAD051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p>
  </w:footnote>
  <w:footnote w:id="94">
    <w:p w14:paraId="74F9F747"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1029-30.</w:t>
      </w:r>
    </w:p>
  </w:footnote>
  <w:footnote w:id="95">
    <w:p w14:paraId="3490597D"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1031.</w:t>
      </w:r>
    </w:p>
  </w:footnote>
  <w:footnote w:id="96">
    <w:p w14:paraId="20C5E7DB" w14:textId="377D62A9"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See id. </w:t>
      </w:r>
      <w:r w:rsidRPr="007F1307">
        <w:rPr>
          <w:rFonts w:cs="Times New Roman"/>
          <w:szCs w:val="22"/>
        </w:rPr>
        <w:t>at 1030.</w:t>
      </w:r>
    </w:p>
  </w:footnote>
  <w:footnote w:id="97">
    <w:p w14:paraId="7001F7A5" w14:textId="055EB4A8"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And, harmlessly, claim 11. </w:t>
      </w:r>
      <w:r w:rsidRPr="007F1307">
        <w:rPr>
          <w:rFonts w:cs="Times New Roman"/>
          <w:i/>
          <w:szCs w:val="22"/>
        </w:rPr>
        <w:t xml:space="preserve">Id. </w:t>
      </w:r>
      <w:r w:rsidRPr="007F1307">
        <w:rPr>
          <w:rFonts w:cs="Times New Roman"/>
          <w:szCs w:val="22"/>
        </w:rPr>
        <w:t>at 1037.</w:t>
      </w:r>
    </w:p>
  </w:footnote>
  <w:footnote w:id="98">
    <w:p w14:paraId="6C1D7C9F"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1033.</w:t>
      </w:r>
    </w:p>
  </w:footnote>
  <w:footnote w:id="99">
    <w:p w14:paraId="4242C85D" w14:textId="2254301D"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1034 (describing “pharmaceutically acceptable” language).</w:t>
      </w:r>
    </w:p>
  </w:footnote>
  <w:footnote w:id="100">
    <w:p w14:paraId="11F929B4"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1035 (“[P]rinted matter cannot be brought within the ambit of patent eligibility by showing that it was surprising.”).</w:t>
      </w:r>
    </w:p>
  </w:footnote>
  <w:footnote w:id="101">
    <w:p w14:paraId="78D70295" w14:textId="409A3815"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1035.</w:t>
      </w:r>
    </w:p>
  </w:footnote>
  <w:footnote w:id="102">
    <w:p w14:paraId="7E22E38D"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1036. </w:t>
      </w:r>
    </w:p>
  </w:footnote>
  <w:footnote w:id="103">
    <w:p w14:paraId="1B808732"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1038, 1039.</w:t>
      </w:r>
    </w:p>
  </w:footnote>
  <w:footnote w:id="104">
    <w:p w14:paraId="2CCF3D17"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1041.</w:t>
      </w:r>
    </w:p>
  </w:footnote>
  <w:footnote w:id="105">
    <w:p w14:paraId="678E9138" w14:textId="480929AB"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Berkheimer v. HP Inc., 881 F.3d 1360, 1363 (Fed. Cir. 2018).</w:t>
      </w:r>
    </w:p>
  </w:footnote>
  <w:footnote w:id="106">
    <w:p w14:paraId="6365FA3E"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1367.</w:t>
      </w:r>
    </w:p>
  </w:footnote>
  <w:footnote w:id="107">
    <w:p w14:paraId="5A3E01C0"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1368.</w:t>
      </w:r>
    </w:p>
  </w:footnote>
  <w:footnote w:id="108">
    <w:p w14:paraId="17D60BC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09">
    <w:p w14:paraId="098F8447"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1369.</w:t>
      </w:r>
    </w:p>
  </w:footnote>
  <w:footnote w:id="110">
    <w:p w14:paraId="61D2523C"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11">
    <w:p w14:paraId="5CA9BBB6"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1369-70.</w:t>
      </w:r>
    </w:p>
  </w:footnote>
  <w:footnote w:id="112">
    <w:p w14:paraId="76930EE1"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1370.</w:t>
      </w:r>
    </w:p>
  </w:footnote>
  <w:footnote w:id="113">
    <w:p w14:paraId="02AEBECF"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1368.</w:t>
      </w:r>
    </w:p>
  </w:footnote>
  <w:footnote w:id="114">
    <w:p w14:paraId="04DAC26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w:t>
      </w:r>
    </w:p>
  </w:footnote>
  <w:footnote w:id="115">
    <w:p w14:paraId="57617E0E" w14:textId="18330E0F"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Aatrix Software, Inc. v. Green Shades Software, Inc., 882 F.3d 1121, 1123 (Fed. Cir. 2018).</w:t>
      </w:r>
    </w:p>
  </w:footnote>
  <w:footnote w:id="116">
    <w:p w14:paraId="522DC13B"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1123.</w:t>
      </w:r>
    </w:p>
  </w:footnote>
  <w:footnote w:id="117">
    <w:p w14:paraId="405AE367"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1128.</w:t>
      </w:r>
    </w:p>
  </w:footnote>
  <w:footnote w:id="118">
    <w:p w14:paraId="79D2C0A1"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w:t>
      </w:r>
    </w:p>
  </w:footnote>
  <w:footnote w:id="119">
    <w:p w14:paraId="2534D501"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1125.</w:t>
      </w:r>
    </w:p>
  </w:footnote>
  <w:footnote w:id="120">
    <w:p w14:paraId="76DC4C38"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1127.</w:t>
      </w:r>
    </w:p>
  </w:footnote>
  <w:footnote w:id="121">
    <w:p w14:paraId="7C64FDC5"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22">
    <w:p w14:paraId="49687177"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23">
    <w:p w14:paraId="46D5C8A8"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1126.</w:t>
      </w:r>
    </w:p>
  </w:footnote>
  <w:footnote w:id="124">
    <w:p w14:paraId="127FBA7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1130 (Reyna, J., dissenting).</w:t>
      </w:r>
    </w:p>
  </w:footnote>
  <w:footnote w:id="125">
    <w:p w14:paraId="4921FEA3"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26">
    <w:p w14:paraId="38329A04"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27">
    <w:p w14:paraId="084B6D63"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28">
    <w:p w14:paraId="50B031F3" w14:textId="4C0A315B"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Exergen Corp. v. Kaz USA, Inc., 2018 WL 1193529, at *1 (Fed. Cir. Mar. 8, 2018).</w:t>
      </w:r>
    </w:p>
  </w:footnote>
  <w:footnote w:id="129">
    <w:p w14:paraId="12791FF5"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30">
    <w:p w14:paraId="4BCBA3F7"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w:t>
      </w:r>
    </w:p>
  </w:footnote>
  <w:footnote w:id="131">
    <w:p w14:paraId="5E5E09C7"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*3.</w:t>
      </w:r>
    </w:p>
  </w:footnote>
  <w:footnote w:id="132">
    <w:p w14:paraId="58AA0955"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w:t>
      </w:r>
    </w:p>
  </w:footnote>
  <w:footnote w:id="133">
    <w:p w14:paraId="0E34ED41"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34">
    <w:p w14:paraId="1F7E9541"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35">
    <w:p w14:paraId="5630B2C2"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36">
    <w:p w14:paraId="254695A5"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37">
    <w:p w14:paraId="1FE79444"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38">
    <w:p w14:paraId="122FA675"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*6.</w:t>
      </w:r>
    </w:p>
  </w:footnote>
  <w:footnote w:id="139">
    <w:p w14:paraId="4911A15B"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40">
    <w:p w14:paraId="44680B81"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41">
    <w:p w14:paraId="668E3FD5"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*10 (Hughes, J., dissenting).</w:t>
      </w:r>
    </w:p>
  </w:footnote>
  <w:footnote w:id="142">
    <w:p w14:paraId="7A33C4C3"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*11.</w:t>
      </w:r>
    </w:p>
  </w:footnote>
  <w:footnote w:id="143">
    <w:p w14:paraId="2F106CBE"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44">
    <w:p w14:paraId="24289143"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45">
    <w:p w14:paraId="435981D2"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46">
    <w:p w14:paraId="5C767DA2" w14:textId="77777777" w:rsidR="00BA22A2" w:rsidRPr="007F1307" w:rsidRDefault="00BA22A2" w:rsidP="00913BF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Data Engine Techs. LLC v. Google LLC, 906 F.3d 999, 1002, (Fed. Cir. 2018).</w:t>
      </w:r>
    </w:p>
  </w:footnote>
  <w:footnote w:id="147">
    <w:p w14:paraId="48BE9166" w14:textId="77777777" w:rsidR="00BA22A2" w:rsidRPr="007F1307" w:rsidRDefault="00BA22A2" w:rsidP="00913BF0">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148">
    <w:p w14:paraId="51DCD3A4" w14:textId="77777777" w:rsidR="00BA22A2" w:rsidRPr="007F1307" w:rsidRDefault="00BA22A2" w:rsidP="00913BF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149">
    <w:p w14:paraId="1FB00F66" w14:textId="77777777" w:rsidR="00BA22A2" w:rsidRPr="007F1307" w:rsidRDefault="00BA22A2" w:rsidP="00913BF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1004 (quoting </w:t>
      </w:r>
      <w:r w:rsidRPr="007F1307">
        <w:rPr>
          <w:rFonts w:cs="Times New Roman"/>
          <w:i/>
          <w:szCs w:val="22"/>
        </w:rPr>
        <w:t xml:space="preserve">PC World </w:t>
      </w:r>
      <w:r w:rsidRPr="007F1307">
        <w:rPr>
          <w:rFonts w:cs="Times New Roman"/>
          <w:szCs w:val="22"/>
        </w:rPr>
        <w:t>article in J.A. 981).</w:t>
      </w:r>
    </w:p>
  </w:footnote>
  <w:footnote w:id="150">
    <w:p w14:paraId="404B8735" w14:textId="77777777" w:rsidR="00BA22A2" w:rsidRPr="007F1307" w:rsidRDefault="00BA22A2" w:rsidP="00913BF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1006.</w:t>
      </w:r>
    </w:p>
  </w:footnote>
  <w:footnote w:id="151">
    <w:p w14:paraId="2C8EDD36" w14:textId="77777777" w:rsidR="00BA22A2" w:rsidRPr="007F1307" w:rsidRDefault="00BA22A2" w:rsidP="00913BF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(quoting Data Engines Techs. LLC v. Google Inc., 211 F.Supp.3d 669, 678 (D. Del. 2016)).</w:t>
      </w:r>
    </w:p>
  </w:footnote>
  <w:footnote w:id="152">
    <w:p w14:paraId="7FC93C1A" w14:textId="77777777" w:rsidR="00BA22A2" w:rsidRPr="007F1307" w:rsidRDefault="00BA22A2" w:rsidP="00913BF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53">
    <w:p w14:paraId="6613A954" w14:textId="77777777" w:rsidR="00BA22A2" w:rsidRPr="007F1307" w:rsidRDefault="00BA22A2" w:rsidP="00913BF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Because the appeal arose from a judgment on the pleadings, the court applied Third Circuit review standards, which is </w:t>
      </w:r>
      <w:r w:rsidRPr="007F1307">
        <w:rPr>
          <w:rFonts w:cs="Times New Roman"/>
          <w:i/>
          <w:szCs w:val="22"/>
        </w:rPr>
        <w:t xml:space="preserve">de novo </w:t>
      </w:r>
      <w:r w:rsidRPr="007F1307">
        <w:rPr>
          <w:rFonts w:cs="Times New Roman"/>
          <w:szCs w:val="22"/>
        </w:rPr>
        <w:t xml:space="preserve">review. </w:t>
      </w:r>
      <w:r w:rsidRPr="007F1307">
        <w:rPr>
          <w:rFonts w:cs="Times New Roman"/>
          <w:i/>
          <w:szCs w:val="22"/>
        </w:rPr>
        <w:t xml:space="preserve">Id. </w:t>
      </w:r>
      <w:r w:rsidRPr="007F1307">
        <w:rPr>
          <w:rFonts w:cs="Times New Roman"/>
          <w:szCs w:val="22"/>
        </w:rPr>
        <w:t>at 1007 (citing authorities).</w:t>
      </w:r>
    </w:p>
  </w:footnote>
  <w:footnote w:id="154">
    <w:p w14:paraId="1B53ED56" w14:textId="77777777" w:rsidR="00BA22A2" w:rsidRPr="007F1307" w:rsidRDefault="00BA22A2" w:rsidP="00913BF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(setting out the test for § 101 established by Alice Corp. v. CLS Bank International, 573 U.S. 208 (2014)).</w:t>
      </w:r>
    </w:p>
  </w:footnote>
  <w:footnote w:id="155">
    <w:p w14:paraId="7DC4AC58" w14:textId="77777777" w:rsidR="00BA22A2" w:rsidRPr="007F1307" w:rsidRDefault="00BA22A2" w:rsidP="00913BF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1008-09. It was a “specific structure” performing a “specific function.” </w:t>
      </w:r>
      <w:r w:rsidRPr="007F1307">
        <w:rPr>
          <w:rFonts w:cs="Times New Roman"/>
          <w:i/>
          <w:szCs w:val="22"/>
        </w:rPr>
        <w:t xml:space="preserve">Id. </w:t>
      </w:r>
      <w:r w:rsidRPr="007F1307">
        <w:rPr>
          <w:rFonts w:cs="Times New Roman"/>
          <w:szCs w:val="22"/>
        </w:rPr>
        <w:t>at 1010-11.</w:t>
      </w:r>
    </w:p>
  </w:footnote>
  <w:footnote w:id="156">
    <w:p w14:paraId="7D149D55" w14:textId="77777777" w:rsidR="00BA22A2" w:rsidRPr="007A0BB6" w:rsidRDefault="00BA22A2" w:rsidP="00913BF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1010 (citing Affinity Labs of Texas, LLC v. DirecTV, LLC, 838 F.3d 1253 (Fed. Cir. 2016)). The other cases Google cited were Intellectual Ventures I LLC v. Capital One Financial Corp., 850 F.3d 1332 (Fed. Cir. 2017) (dealing with manipulating data in XML documents) and Intellectual Ventures I LLC v. Erie Indemnity Co., 850 F.3d 1315 (Fed. Cir. 2017) (dealing with tagging data for use in indexes). </w:t>
      </w:r>
      <w:r w:rsidRPr="007F1307">
        <w:rPr>
          <w:rFonts w:cs="Times New Roman"/>
          <w:i/>
          <w:szCs w:val="22"/>
        </w:rPr>
        <w:t xml:space="preserve">Id. </w:t>
      </w:r>
      <w:r>
        <w:rPr>
          <w:rFonts w:cs="Times New Roman"/>
          <w:szCs w:val="22"/>
        </w:rPr>
        <w:t xml:space="preserve">The court also raised precedent from </w:t>
      </w:r>
      <w:r>
        <w:rPr>
          <w:rFonts w:cs="Times New Roman"/>
          <w:i/>
          <w:szCs w:val="22"/>
        </w:rPr>
        <w:t xml:space="preserve">Core </w:t>
      </w:r>
      <w:r w:rsidRPr="007A0BB6">
        <w:rPr>
          <w:rFonts w:cs="Times New Roman"/>
          <w:i/>
          <w:szCs w:val="22"/>
        </w:rPr>
        <w:t>Wireless</w:t>
      </w:r>
      <w:r>
        <w:rPr>
          <w:rFonts w:cs="Times New Roman"/>
          <w:szCs w:val="22"/>
        </w:rPr>
        <w:t xml:space="preserve">, </w:t>
      </w:r>
      <w:r>
        <w:rPr>
          <w:rFonts w:cs="Times New Roman"/>
          <w:i/>
          <w:szCs w:val="22"/>
        </w:rPr>
        <w:t>i</w:t>
      </w:r>
      <w:r w:rsidRPr="007F1307">
        <w:rPr>
          <w:rFonts w:cs="Times New Roman"/>
          <w:i/>
          <w:szCs w:val="22"/>
        </w:rPr>
        <w:t xml:space="preserve">d. </w:t>
      </w:r>
      <w:r w:rsidRPr="007F1307">
        <w:rPr>
          <w:rFonts w:cs="Times New Roman"/>
          <w:szCs w:val="22"/>
        </w:rPr>
        <w:t>at 1009 (citing Core Wireless Licensing S.A.R.L. v. LG Elecs., Inc., 880 F.3d 1356, 1361 (Fed. Cir. 2018))</w:t>
      </w:r>
      <w:r>
        <w:rPr>
          <w:rFonts w:cs="Times New Roman"/>
          <w:szCs w:val="22"/>
        </w:rPr>
        <w:t xml:space="preserve">, </w:t>
      </w:r>
      <w:r w:rsidRPr="007A0BB6">
        <w:rPr>
          <w:rFonts w:cs="Times New Roman"/>
          <w:szCs w:val="22"/>
        </w:rPr>
        <w:t>and</w:t>
      </w:r>
      <w:r>
        <w:rPr>
          <w:rFonts w:cs="Times New Roman"/>
          <w:szCs w:val="22"/>
        </w:rPr>
        <w:t xml:space="preserve"> </w:t>
      </w:r>
      <w:r>
        <w:rPr>
          <w:rFonts w:cs="Times New Roman"/>
          <w:i/>
          <w:szCs w:val="22"/>
        </w:rPr>
        <w:t>Trading Technologies</w:t>
      </w:r>
      <w:r>
        <w:rPr>
          <w:rFonts w:cs="Times New Roman"/>
          <w:szCs w:val="22"/>
        </w:rPr>
        <w:t xml:space="preserve">, </w:t>
      </w:r>
      <w:r>
        <w:rPr>
          <w:rFonts w:cs="Times New Roman"/>
          <w:i/>
          <w:szCs w:val="22"/>
        </w:rPr>
        <w:t>i</w:t>
      </w:r>
      <w:r w:rsidRPr="007F1307">
        <w:rPr>
          <w:rFonts w:cs="Times New Roman"/>
          <w:i/>
          <w:szCs w:val="22"/>
        </w:rPr>
        <w:t xml:space="preserve">d. </w:t>
      </w:r>
      <w:r w:rsidRPr="007F1307">
        <w:rPr>
          <w:rFonts w:cs="Times New Roman"/>
          <w:szCs w:val="22"/>
        </w:rPr>
        <w:t>(citing Trading Technologies International, Inc. v. CQG, Inc. 675 F. App’x 1001 (Fed. Cir. 2017)).</w:t>
      </w:r>
    </w:p>
  </w:footnote>
  <w:footnote w:id="157">
    <w:p w14:paraId="1AE4BF57" w14:textId="77777777" w:rsidR="00BA22A2" w:rsidRDefault="00BA22A2" w:rsidP="00913BF0">
      <w:pPr>
        <w:pStyle w:val="FootnoteText"/>
      </w:pPr>
      <w:r>
        <w:rPr>
          <w:rStyle w:val="FootnoteReference"/>
        </w:rPr>
        <w:footnoteRef/>
      </w:r>
      <w:r>
        <w:t xml:space="preserve"> </w:t>
      </w:r>
      <w:r w:rsidRPr="007F1307">
        <w:rPr>
          <w:rFonts w:cs="Times New Roman"/>
          <w:i/>
          <w:szCs w:val="22"/>
        </w:rPr>
        <w:t xml:space="preserve">Id. </w:t>
      </w:r>
      <w:r w:rsidRPr="007F1307">
        <w:rPr>
          <w:rFonts w:cs="Times New Roman"/>
          <w:szCs w:val="22"/>
        </w:rPr>
        <w:t>at 1010 (citing Affinity Labs of Texas, LLC v. DirecTV, LLC, 838 F.3d 1253 (Fed. Cir. 2016</w:t>
      </w:r>
      <w:r>
        <w:rPr>
          <w:rFonts w:cs="Times New Roman"/>
          <w:szCs w:val="22"/>
        </w:rPr>
        <w:t>)).</w:t>
      </w:r>
    </w:p>
  </w:footnote>
  <w:footnote w:id="158">
    <w:p w14:paraId="548D3104" w14:textId="77777777" w:rsidR="00BA22A2" w:rsidRPr="007F1307" w:rsidRDefault="00BA22A2" w:rsidP="00913BF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1011 (“It is not enough, however, to merely trace the invention to some real-world analogy [i.e., to tabs that ‘existed outside the context of electronic spreadsheets’]. The eligibility question is not whether anyone has ever used tabs to organize information. That question is reserved for §§ 102 and 103.”).</w:t>
      </w:r>
      <w:r>
        <w:rPr>
          <w:rFonts w:cs="Times New Roman"/>
          <w:szCs w:val="22"/>
        </w:rPr>
        <w:t xml:space="preserve">  W</w:t>
      </w:r>
      <w:r w:rsidRPr="00300BD8">
        <w:rPr>
          <w:rFonts w:cs="Times New Roman"/>
          <w:color w:val="000000" w:themeColor="text1"/>
        </w:rPr>
        <w:t xml:space="preserve">hether something conventional </w:t>
      </w:r>
      <w:r>
        <w:rPr>
          <w:rFonts w:cs="Times New Roman"/>
          <w:color w:val="000000" w:themeColor="text1"/>
        </w:rPr>
        <w:t xml:space="preserve">fails not only for non-obviousness under § 103 but also always for abstractness under § 101 </w:t>
      </w:r>
      <w:r w:rsidRPr="00300BD8">
        <w:rPr>
          <w:rFonts w:cs="Times New Roman"/>
          <w:color w:val="000000" w:themeColor="text1"/>
        </w:rPr>
        <w:t xml:space="preserve">was not explicitly addressed. </w:t>
      </w:r>
    </w:p>
  </w:footnote>
  <w:footnote w:id="159">
    <w:p w14:paraId="479E3A13" w14:textId="77777777" w:rsidR="00BA22A2" w:rsidRPr="007F1307" w:rsidRDefault="00BA22A2" w:rsidP="00913BF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1008.</w:t>
      </w:r>
    </w:p>
  </w:footnote>
  <w:footnote w:id="160">
    <w:p w14:paraId="1C26B9A8" w14:textId="77777777" w:rsidR="00BA22A2" w:rsidRPr="0062189F" w:rsidRDefault="00BA22A2" w:rsidP="00913BF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Pr>
          <w:rFonts w:cs="Times New Roman"/>
          <w:i/>
          <w:szCs w:val="22"/>
        </w:rPr>
        <w:t xml:space="preserve"> </w:t>
      </w:r>
      <w:r>
        <w:rPr>
          <w:rFonts w:cs="Times New Roman"/>
          <w:szCs w:val="22"/>
        </w:rPr>
        <w:t>at 1011.</w:t>
      </w:r>
    </w:p>
  </w:footnote>
  <w:footnote w:id="161">
    <w:p w14:paraId="14AD11D7" w14:textId="77777777" w:rsidR="00BA22A2" w:rsidRPr="007F1307" w:rsidRDefault="00BA22A2" w:rsidP="00913BF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1013.</w:t>
      </w:r>
    </w:p>
  </w:footnote>
  <w:footnote w:id="162">
    <w:p w14:paraId="4E92143C" w14:textId="77777777" w:rsidR="00BA22A2" w:rsidRPr="007F1307" w:rsidRDefault="00BA22A2" w:rsidP="00913BF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63">
    <w:p w14:paraId="236506DB" w14:textId="298C6370"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Vanda Pharms. Inc. v. West-Ward Pharms. Int’l Ltd., 887 F.3d 1117, 1121 (Fed. Cir. 2018).</w:t>
      </w:r>
    </w:p>
  </w:footnote>
  <w:footnote w:id="164">
    <w:p w14:paraId="75C4D726"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65">
    <w:p w14:paraId="1B7EB39C"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66">
    <w:p w14:paraId="66BD233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1135.</w:t>
      </w:r>
    </w:p>
  </w:footnote>
  <w:footnote w:id="167">
    <w:p w14:paraId="00FDC483"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(emphasis in original).</w:t>
      </w:r>
    </w:p>
  </w:footnote>
  <w:footnote w:id="168">
    <w:p w14:paraId="226897E7"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69">
    <w:p w14:paraId="2198493F"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70">
    <w:p w14:paraId="6A3EAA12"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1141 (Prost, C.J., dissenting).</w:t>
      </w:r>
    </w:p>
  </w:footnote>
  <w:footnote w:id="171">
    <w:p w14:paraId="010F753C"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1142.</w:t>
      </w:r>
    </w:p>
  </w:footnote>
  <w:footnote w:id="172">
    <w:p w14:paraId="49111DD1"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1143.</w:t>
      </w:r>
    </w:p>
  </w:footnote>
  <w:footnote w:id="173">
    <w:p w14:paraId="483CB2B3" w14:textId="77777777" w:rsidR="00BA22A2" w:rsidRPr="007F1307" w:rsidRDefault="00BA22A2" w:rsidP="009914D5">
      <w:pPr>
        <w:rPr>
          <w:rFonts w:cs="Times New Roman"/>
          <w:sz w:val="22"/>
          <w:szCs w:val="22"/>
        </w:rPr>
      </w:pPr>
      <w:r w:rsidRPr="007F1307">
        <w:rPr>
          <w:rStyle w:val="FootnoteReference"/>
          <w:rFonts w:cs="Times New Roman"/>
          <w:sz w:val="22"/>
          <w:szCs w:val="22"/>
        </w:rPr>
        <w:footnoteRef/>
      </w:r>
      <w:r w:rsidRPr="007F1307">
        <w:rPr>
          <w:rFonts w:cs="Times New Roman"/>
          <w:sz w:val="22"/>
          <w:szCs w:val="22"/>
        </w:rPr>
        <w:t xml:space="preserve"> </w:t>
      </w:r>
      <w:r w:rsidRPr="007F1307">
        <w:rPr>
          <w:rFonts w:eastAsia="Times New Roman" w:cs="Times New Roman"/>
          <w:color w:val="000000"/>
          <w:sz w:val="22"/>
          <w:szCs w:val="22"/>
        </w:rPr>
        <w:t>Roche Molecular Systs., Inc., v. Cepheid, 905 F.3d 1363, 1365 (Fed. Cir. 2018).</w:t>
      </w:r>
    </w:p>
  </w:footnote>
  <w:footnote w:id="174">
    <w:p w14:paraId="5BA059DD" w14:textId="77777777" w:rsidR="00BA22A2" w:rsidRPr="007F1307" w:rsidRDefault="00BA22A2" w:rsidP="009914D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1365-66.</w:t>
      </w:r>
    </w:p>
  </w:footnote>
  <w:footnote w:id="175">
    <w:p w14:paraId="31A44F26" w14:textId="77777777" w:rsidR="00BA22A2" w:rsidRPr="007F1307" w:rsidRDefault="00BA22A2" w:rsidP="009914D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1367-68.</w:t>
      </w:r>
    </w:p>
  </w:footnote>
  <w:footnote w:id="176">
    <w:p w14:paraId="077D32CF" w14:textId="77777777" w:rsidR="00BA22A2" w:rsidRPr="007F1307" w:rsidRDefault="00BA22A2" w:rsidP="009914D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1365.</w:t>
      </w:r>
    </w:p>
  </w:footnote>
  <w:footnote w:id="177">
    <w:p w14:paraId="6912E60B" w14:textId="77777777" w:rsidR="00BA22A2" w:rsidRPr="007F1307" w:rsidRDefault="00BA22A2" w:rsidP="009914D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1368-69 (describing the standard under Alice Corp. v. CLS Bank Int’l, 573 U.S. 208 (2014), and its progeny).</w:t>
      </w:r>
    </w:p>
  </w:footnote>
  <w:footnote w:id="178">
    <w:p w14:paraId="151032B4" w14:textId="77777777" w:rsidR="00BA22A2" w:rsidRPr="007F1307" w:rsidRDefault="00BA22A2" w:rsidP="009914D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1369-70 (describing law under In re BRCA1- &amp; BRCA2-Based Hereditary Cancer Test Patent Litig., 774 F.3d 755 (Fed. Cir. 2014)).</w:t>
      </w:r>
    </w:p>
  </w:footnote>
  <w:footnote w:id="179">
    <w:p w14:paraId="6B200DC9" w14:textId="77777777" w:rsidR="00BA22A2" w:rsidRPr="007F1307" w:rsidRDefault="00BA22A2" w:rsidP="00C85DCE">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1369-70 (citing Ass’n for Molecular Pathology v. Myriad Genetics, Inc., 569 U.S. 576 (2013) and In re BRCA1- &amp; BRCA2-Based Hereditary Cancer Test Patent Litig., 774 F.3d 755 (Fed. Cir. 2014)). Also, the </w:t>
      </w:r>
      <w:r w:rsidRPr="007F1307">
        <w:rPr>
          <w:rFonts w:cs="Times New Roman"/>
          <w:i/>
          <w:szCs w:val="22"/>
        </w:rPr>
        <w:t>linear</w:t>
      </w:r>
      <w:r w:rsidRPr="007F1307">
        <w:rPr>
          <w:rFonts w:cs="Times New Roman"/>
          <w:szCs w:val="22"/>
        </w:rPr>
        <w:t xml:space="preserve"> structure of these MTB primers—which Roche argued was different from the </w:t>
      </w:r>
      <w:r w:rsidRPr="007F1307">
        <w:rPr>
          <w:rFonts w:cs="Times New Roman"/>
          <w:i/>
          <w:szCs w:val="22"/>
        </w:rPr>
        <w:t>circular</w:t>
      </w:r>
      <w:r w:rsidRPr="007F1307">
        <w:rPr>
          <w:rFonts w:cs="Times New Roman"/>
          <w:szCs w:val="22"/>
        </w:rPr>
        <w:t xml:space="preserve"> structure of MTB’s chromosomal DNA—was not part of the patent claims. </w:t>
      </w:r>
      <w:r w:rsidRPr="007F1307">
        <w:rPr>
          <w:rFonts w:cs="Times New Roman"/>
          <w:i/>
          <w:szCs w:val="22"/>
        </w:rPr>
        <w:t xml:space="preserve">Id. </w:t>
      </w:r>
      <w:r w:rsidRPr="007F1307">
        <w:rPr>
          <w:rFonts w:cs="Times New Roman"/>
          <w:szCs w:val="22"/>
        </w:rPr>
        <w:t>at 1370.</w:t>
      </w:r>
    </w:p>
  </w:footnote>
  <w:footnote w:id="180">
    <w:p w14:paraId="2975DCCA" w14:textId="77777777" w:rsidR="00BA22A2" w:rsidRPr="007F1307" w:rsidRDefault="00BA22A2" w:rsidP="009914D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at 1371.</w:t>
      </w:r>
    </w:p>
  </w:footnote>
  <w:footnote w:id="181">
    <w:p w14:paraId="1058D48B" w14:textId="77777777" w:rsidR="00BA22A2" w:rsidRPr="007F1307" w:rsidRDefault="00BA22A2" w:rsidP="009914D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1372.</w:t>
      </w:r>
    </w:p>
  </w:footnote>
  <w:footnote w:id="182">
    <w:p w14:paraId="3ADE9DF5" w14:textId="77777777" w:rsidR="00BA22A2" w:rsidRPr="007F1307" w:rsidRDefault="00BA22A2" w:rsidP="009914D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1371. It didn’t help the patent holder’s cause that the Summary of Invention included the words “heretofore </w:t>
      </w:r>
      <w:r w:rsidRPr="007F1307">
        <w:rPr>
          <w:rFonts w:cs="Times New Roman"/>
          <w:i/>
          <w:szCs w:val="22"/>
        </w:rPr>
        <w:t>undiscovered</w:t>
      </w:r>
      <w:r w:rsidRPr="007F1307">
        <w:rPr>
          <w:rFonts w:cs="Times New Roman"/>
          <w:szCs w:val="22"/>
        </w:rPr>
        <w:t xml:space="preserve">.” </w:t>
      </w:r>
      <w:r w:rsidRPr="007F1307">
        <w:rPr>
          <w:rFonts w:cs="Times New Roman"/>
          <w:i/>
          <w:szCs w:val="22"/>
        </w:rPr>
        <w:t xml:space="preserve">Id. </w:t>
      </w:r>
      <w:r w:rsidRPr="007F1307">
        <w:rPr>
          <w:rFonts w:cs="Times New Roman"/>
          <w:szCs w:val="22"/>
        </w:rPr>
        <w:t>(quoting ‘723 patent col. 2 ll. 60–65 (emphasis added)).</w:t>
      </w:r>
    </w:p>
  </w:footnote>
  <w:footnote w:id="183">
    <w:p w14:paraId="095E8218" w14:textId="77777777" w:rsidR="00BA22A2" w:rsidRPr="007F1307" w:rsidRDefault="00BA22A2" w:rsidP="009914D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1372. Roche’s other attempts “to limit the breadth of the method claims by showing alternative uses of MTB DNA outside of the scope of the claims” did not save the claims. </w:t>
      </w:r>
      <w:r w:rsidRPr="007F1307">
        <w:rPr>
          <w:rFonts w:cs="Times New Roman"/>
          <w:i/>
          <w:szCs w:val="22"/>
        </w:rPr>
        <w:t xml:space="preserve">Id. </w:t>
      </w:r>
      <w:r w:rsidRPr="007F1307">
        <w:rPr>
          <w:rFonts w:cs="Times New Roman"/>
          <w:szCs w:val="22"/>
        </w:rPr>
        <w:t>at 1374.</w:t>
      </w:r>
    </w:p>
  </w:footnote>
  <w:footnote w:id="184">
    <w:p w14:paraId="09B18E24" w14:textId="77777777" w:rsidR="00BA22A2" w:rsidRPr="007F1307" w:rsidRDefault="00BA22A2" w:rsidP="009914D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1381 (O’Malley, J., concurring).</w:t>
      </w:r>
    </w:p>
  </w:footnote>
  <w:footnote w:id="185">
    <w:p w14:paraId="7BA6B020" w14:textId="77777777" w:rsidR="00BA22A2" w:rsidRPr="007F1307" w:rsidRDefault="00BA22A2" w:rsidP="009914D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1375 (O’Malley, J., concurring).</w:t>
      </w:r>
    </w:p>
  </w:footnote>
  <w:footnote w:id="186">
    <w:p w14:paraId="44BFAC8B" w14:textId="77777777" w:rsidR="00BA22A2" w:rsidRPr="007F1307" w:rsidRDefault="00BA22A2" w:rsidP="009914D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1375 (O’Malley, J., concurring).</w:t>
      </w:r>
    </w:p>
  </w:footnote>
  <w:footnote w:id="187">
    <w:p w14:paraId="084B2026" w14:textId="77777777" w:rsidR="00BA22A2" w:rsidRPr="007F1307" w:rsidRDefault="00BA22A2" w:rsidP="009914D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188">
    <w:p w14:paraId="451D0881" w14:textId="77777777" w:rsidR="00BA22A2" w:rsidRPr="007F1307" w:rsidRDefault="00BA22A2" w:rsidP="009914D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See Id.</w:t>
      </w:r>
      <w:r w:rsidRPr="007F1307">
        <w:rPr>
          <w:rFonts w:cs="Times New Roman"/>
          <w:szCs w:val="22"/>
        </w:rPr>
        <w:t xml:space="preserve"> at 1380 (O’Malley, J., concurring).</w:t>
      </w:r>
    </w:p>
  </w:footnote>
  <w:footnote w:id="189">
    <w:p w14:paraId="05DC0745" w14:textId="7F0B6636" w:rsidR="00BA22A2" w:rsidRPr="007F1307" w:rsidRDefault="00BA22A2" w:rsidP="009914D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1377 (O’Malley, J., concurring) (</w:t>
      </w:r>
      <w:r w:rsidRPr="00300BD8">
        <w:rPr>
          <w:rFonts w:cs="Times New Roman"/>
          <w:color w:val="000000" w:themeColor="text1"/>
        </w:rPr>
        <w:t>“</w:t>
      </w:r>
      <w:r>
        <w:rPr>
          <w:rFonts w:cs="Times New Roman"/>
          <w:color w:val="000000" w:themeColor="text1"/>
        </w:rPr>
        <w:t>[W]</w:t>
      </w:r>
      <w:r w:rsidRPr="00300BD8">
        <w:rPr>
          <w:rFonts w:cs="Times New Roman"/>
          <w:color w:val="000000" w:themeColor="text1"/>
        </w:rPr>
        <w:t>hile ‘cDNA retains the naturally occurring exons of DNA, . . . it is distinct from the DNA from which it was derived[] because the intron sequences are removed.’”</w:t>
      </w:r>
      <w:r>
        <w:rPr>
          <w:rFonts w:cs="Times New Roman"/>
          <w:color w:val="000000" w:themeColor="text1"/>
        </w:rPr>
        <w:t xml:space="preserve"> (</w:t>
      </w:r>
      <w:r w:rsidRPr="007F1307">
        <w:rPr>
          <w:rFonts w:cs="Times New Roman"/>
          <w:szCs w:val="22"/>
        </w:rPr>
        <w:t>quoting Myriad Genetics, Inc., 569 U.S. at 595)</w:t>
      </w:r>
      <w:r>
        <w:rPr>
          <w:rFonts w:cs="Times New Roman"/>
          <w:szCs w:val="22"/>
        </w:rPr>
        <w:t>).</w:t>
      </w:r>
    </w:p>
  </w:footnote>
  <w:footnote w:id="190">
    <w:p w14:paraId="650FA3B4" w14:textId="77777777" w:rsidR="00BA22A2" w:rsidRPr="007F1307" w:rsidRDefault="00BA22A2" w:rsidP="009914D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1377-78 (O’Malley, J., concurring).</w:t>
      </w:r>
    </w:p>
  </w:footnote>
  <w:footnote w:id="191">
    <w:p w14:paraId="24080EBA" w14:textId="77777777" w:rsidR="00BA22A2" w:rsidRPr="007F1307" w:rsidRDefault="00BA22A2" w:rsidP="009914D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1378 (O’Malley, J., concurring) (describing features of primers and expert testimony).</w:t>
      </w:r>
    </w:p>
  </w:footnote>
  <w:footnote w:id="192">
    <w:p w14:paraId="3137F5A4" w14:textId="77777777" w:rsidR="00BA22A2" w:rsidRPr="007F1307" w:rsidRDefault="00BA22A2" w:rsidP="009914D5">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1380 (O’Malley, J., concurring) (quoting Myriad Genetics, Inc., 569 U.S. at 595).</w:t>
      </w:r>
    </w:p>
  </w:footnote>
  <w:footnote w:id="193">
    <w:p w14:paraId="0BF0FC4E" w14:textId="77777777" w:rsidR="00BA22A2" w:rsidRPr="007F1307" w:rsidRDefault="00BA22A2" w:rsidP="00141B3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1380 (O’Malley, J., concurring) </w:t>
      </w:r>
      <w:r>
        <w:rPr>
          <w:rFonts w:cs="Times New Roman"/>
          <w:szCs w:val="22"/>
        </w:rPr>
        <w:t xml:space="preserve">(emphasizing that primers have </w:t>
      </w:r>
      <w:r w:rsidRPr="00300BD8">
        <w:rPr>
          <w:rFonts w:cs="Times New Roman"/>
          <w:color w:val="000000" w:themeColor="text1"/>
        </w:rPr>
        <w:t xml:space="preserve">“a different </w:t>
      </w:r>
      <w:r w:rsidRPr="00300BD8">
        <w:rPr>
          <w:rFonts w:cs="Times New Roman"/>
          <w:i/>
          <w:color w:val="000000" w:themeColor="text1"/>
        </w:rPr>
        <w:t>structure</w:t>
      </w:r>
      <w:r w:rsidRPr="00300BD8">
        <w:rPr>
          <w:rFonts w:cs="Times New Roman"/>
          <w:color w:val="000000" w:themeColor="text1"/>
        </w:rPr>
        <w:t xml:space="preserve"> from anything found in nature, [and] a different </w:t>
      </w:r>
      <w:r w:rsidRPr="00300BD8">
        <w:rPr>
          <w:rFonts w:cs="Times New Roman"/>
          <w:i/>
          <w:color w:val="000000" w:themeColor="text1"/>
        </w:rPr>
        <w:t>function</w:t>
      </w:r>
      <w:r w:rsidRPr="00300BD8">
        <w:rPr>
          <w:rFonts w:cs="Times New Roman"/>
          <w:color w:val="000000" w:themeColor="text1"/>
        </w:rPr>
        <w:t xml:space="preserve"> from that of native DNA”</w:t>
      </w:r>
      <w:r w:rsidRPr="007F1307">
        <w:rPr>
          <w:rFonts w:cs="Times New Roman"/>
          <w:szCs w:val="22"/>
        </w:rPr>
        <w:t xml:space="preserve"> (emphasis original)</w:t>
      </w:r>
      <w:r>
        <w:rPr>
          <w:rFonts w:cs="Times New Roman"/>
          <w:szCs w:val="22"/>
        </w:rPr>
        <w:t>).</w:t>
      </w:r>
    </w:p>
  </w:footnote>
  <w:footnote w:id="194">
    <w:p w14:paraId="4E1FC3FF" w14:textId="58AD8D79"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Intellectual Ventures I LLC v. T-Mobile USA, Inc., Nos. 2017-2434 &amp; 2017-2435, 2018 U.S. App. LEXIS 24997, at *1 (Fed. Cir. Sept. 4, 2018).</w:t>
      </w:r>
    </w:p>
  </w:footnote>
  <w:footnote w:id="195">
    <w:p w14:paraId="7FC557A6"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*5-*6.</w:t>
      </w:r>
    </w:p>
  </w:footnote>
  <w:footnote w:id="196">
    <w:p w14:paraId="3D2B0B66" w14:textId="737E6A6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97">
    <w:p w14:paraId="55F91BC1"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*6.</w:t>
      </w:r>
    </w:p>
  </w:footnote>
  <w:footnote w:id="198">
    <w:p w14:paraId="50AA90E8"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*7.</w:t>
      </w:r>
    </w:p>
  </w:footnote>
  <w:footnote w:id="199">
    <w:p w14:paraId="3A85ED4C"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*19.</w:t>
      </w:r>
    </w:p>
  </w:footnote>
  <w:footnote w:id="200">
    <w:p w14:paraId="3EED4E5B" w14:textId="55F3445C"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*20 (citations and quotations to the patent omitted).</w:t>
      </w:r>
    </w:p>
  </w:footnote>
  <w:footnote w:id="201">
    <w:p w14:paraId="30E3D96B" w14:textId="0760D5DD"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*20 (quoting Datamize, LLC v. Plumtree Software, Inc., 417 F.3d 1342, 1350-51 (Fed. Cir. 2005)).</w:t>
      </w:r>
    </w:p>
  </w:footnote>
  <w:footnote w:id="202">
    <w:p w14:paraId="5E702948" w14:textId="7E1F91D9"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Diebold Nixdorf, Inc. v. Int’l Trade Comm’n, 899 F.3d 1291 (Fed. Cir. 2018).</w:t>
      </w:r>
    </w:p>
  </w:footnote>
  <w:footnote w:id="203">
    <w:p w14:paraId="0FECA925" w14:textId="4AB5063F"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1294.</w:t>
      </w:r>
    </w:p>
  </w:footnote>
  <w:footnote w:id="204">
    <w:p w14:paraId="052198D5" w14:textId="16498099"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1296 (citation omitted).</w:t>
      </w:r>
    </w:p>
  </w:footnote>
  <w:footnote w:id="205">
    <w:p w14:paraId="74F0D32E" w14:textId="69FC26F8"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1303; </w:t>
      </w:r>
      <w:r w:rsidRPr="007F1307">
        <w:rPr>
          <w:rFonts w:cs="Times New Roman"/>
          <w:i/>
          <w:szCs w:val="22"/>
        </w:rPr>
        <w:t xml:space="preserve">see also id. </w:t>
      </w:r>
      <w:r w:rsidRPr="007F1307">
        <w:rPr>
          <w:rFonts w:cs="Times New Roman"/>
          <w:szCs w:val="22"/>
        </w:rPr>
        <w:t>at 1297 (explaining reviewing standard).</w:t>
      </w:r>
    </w:p>
  </w:footnote>
  <w:footnote w:id="206">
    <w:p w14:paraId="5A54E508" w14:textId="5496622E"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1298.</w:t>
      </w:r>
    </w:p>
  </w:footnote>
  <w:footnote w:id="207">
    <w:p w14:paraId="6E77A941" w14:textId="6D46ED12"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1298-99.</w:t>
      </w:r>
    </w:p>
  </w:footnote>
  <w:footnote w:id="208">
    <w:p w14:paraId="7FA50BCF" w14:textId="26378683"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1300-01.</w:t>
      </w:r>
    </w:p>
  </w:footnote>
  <w:footnote w:id="209">
    <w:p w14:paraId="79C3054C" w14:textId="1DD920B5"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1301 n.5</w:t>
      </w:r>
    </w:p>
  </w:footnote>
  <w:footnote w:id="210">
    <w:p w14:paraId="49AF339D" w14:textId="6E7CA3B9"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1302; </w:t>
      </w:r>
      <w:r w:rsidRPr="007F1307">
        <w:rPr>
          <w:rFonts w:cs="Times New Roman"/>
          <w:i/>
          <w:szCs w:val="22"/>
        </w:rPr>
        <w:t xml:space="preserve">see also id. </w:t>
      </w:r>
      <w:r w:rsidRPr="007F1307">
        <w:rPr>
          <w:rFonts w:cs="Times New Roman"/>
          <w:szCs w:val="22"/>
        </w:rPr>
        <w:t>at 1296 (explaining when and why limitation was added).</w:t>
      </w:r>
    </w:p>
  </w:footnote>
  <w:footnote w:id="211">
    <w:p w14:paraId="615BE360" w14:textId="496EC143"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1303.</w:t>
      </w:r>
    </w:p>
  </w:footnote>
  <w:footnote w:id="212">
    <w:p w14:paraId="374951BB" w14:textId="415087D3"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Zeroclick, LLC, v. Apple Inc., 891 F.3d 1003, 1006 &amp; n.2 (Fed. Cir. 2018).</w:t>
      </w:r>
    </w:p>
  </w:footnote>
  <w:footnote w:id="213">
    <w:p w14:paraId="53118E97" w14:textId="09D11D98"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1005-06.</w:t>
      </w:r>
    </w:p>
  </w:footnote>
  <w:footnote w:id="214">
    <w:p w14:paraId="63980C7F"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1007.</w:t>
      </w:r>
    </w:p>
  </w:footnote>
  <w:footnote w:id="215">
    <w:p w14:paraId="5B245594"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1008 (as characterized by the reviewing court).</w:t>
      </w:r>
    </w:p>
  </w:footnote>
  <w:footnote w:id="216">
    <w:p w14:paraId="1BF3E8C2" w14:textId="77777777" w:rsidR="00BA22A2" w:rsidRPr="007F1307" w:rsidRDefault="00BA22A2" w:rsidP="00AE50AD">
      <w:pPr>
        <w:pStyle w:val="FootnoteText"/>
        <w:rPr>
          <w:rFonts w:cs="Times New Roman"/>
          <w:i/>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1006. </w:t>
      </w:r>
    </w:p>
  </w:footnote>
  <w:footnote w:id="217">
    <w:p w14:paraId="773513B8"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1008.</w:t>
      </w:r>
    </w:p>
  </w:footnote>
  <w:footnote w:id="218">
    <w:p w14:paraId="4A42715B"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1009.</w:t>
      </w:r>
    </w:p>
  </w:footnote>
  <w:footnote w:id="219">
    <w:p w14:paraId="72037F1B"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1008.</w:t>
      </w:r>
    </w:p>
  </w:footnote>
  <w:footnote w:id="220">
    <w:p w14:paraId="0B3020DA"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1009.</w:t>
      </w:r>
    </w:p>
  </w:footnote>
  <w:footnote w:id="221">
    <w:p w14:paraId="4D8D7514" w14:textId="0A359C5A"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Knowles Elecs. LLC v. Cirrus Logic, Inc., 883 F.3d 1358, 1361 (Fed. Cir. 2018).</w:t>
      </w:r>
    </w:p>
  </w:footnote>
  <w:footnote w:id="222">
    <w:p w14:paraId="46D161D2"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1365.</w:t>
      </w:r>
    </w:p>
  </w:footnote>
  <w:footnote w:id="223">
    <w:p w14:paraId="69A2A228"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224">
    <w:p w14:paraId="1F33D5D0"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1366.</w:t>
      </w:r>
    </w:p>
  </w:footnote>
  <w:footnote w:id="225">
    <w:p w14:paraId="229E5B04"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226">
    <w:p w14:paraId="301662C0"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227">
    <w:p w14:paraId="65D71F5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228">
    <w:p w14:paraId="08DB14CC"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w:t>
      </w:r>
    </w:p>
  </w:footnote>
  <w:footnote w:id="229">
    <w:p w14:paraId="57B979B3"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w:t>
      </w:r>
    </w:p>
  </w:footnote>
  <w:footnote w:id="230">
    <w:p w14:paraId="017EAC96"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w:t>
      </w:r>
    </w:p>
  </w:footnote>
  <w:footnote w:id="231">
    <w:p w14:paraId="4A9A3D11" w14:textId="54956329" w:rsidR="00BA22A2" w:rsidRPr="007F1307" w:rsidRDefault="00BA22A2" w:rsidP="00AE50AD">
      <w:pPr>
        <w:pStyle w:val="FootnoteText"/>
        <w:rPr>
          <w:rFonts w:cs="Times New Roman"/>
          <w:i/>
          <w:szCs w:val="22"/>
        </w:rPr>
      </w:pPr>
      <w:r w:rsidRPr="007F1307">
        <w:rPr>
          <w:rStyle w:val="FootnoteReference"/>
          <w:rFonts w:cs="Times New Roman"/>
          <w:color w:val="000000" w:themeColor="text1"/>
          <w:szCs w:val="22"/>
        </w:rPr>
        <w:footnoteRef/>
      </w:r>
      <w:r w:rsidRPr="007F1307">
        <w:rPr>
          <w:rFonts w:cs="Times New Roman"/>
          <w:szCs w:val="22"/>
        </w:rPr>
        <w:t xml:space="preserve"> General Hosp. Corp. v. Sienna Biopharms. Inc., 888 F.3d 1368, 1370 (Fed. Cir. 2018). </w:t>
      </w:r>
    </w:p>
  </w:footnote>
  <w:footnote w:id="232">
    <w:p w14:paraId="2D7F230A" w14:textId="2A172896" w:rsidR="00BA22A2" w:rsidRPr="007F1307" w:rsidRDefault="00BA22A2" w:rsidP="00AE50AD">
      <w:pPr>
        <w:pStyle w:val="FootnoteText"/>
        <w:rPr>
          <w:rFonts w:cs="Times New Roman"/>
          <w:i/>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Id.</w:t>
      </w:r>
    </w:p>
  </w:footnote>
  <w:footnote w:id="233">
    <w:p w14:paraId="0170132C"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Id.</w:t>
      </w:r>
    </w:p>
  </w:footnote>
  <w:footnote w:id="234">
    <w:p w14:paraId="439C3EF9"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1370-71.</w:t>
      </w:r>
    </w:p>
  </w:footnote>
  <w:footnote w:id="235">
    <w:p w14:paraId="5C28B4F1"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The testimony focused on converting the optical density given in the description back to the units of concentration of particles per ml given in the claim.</w:t>
      </w:r>
    </w:p>
  </w:footnote>
  <w:footnote w:id="236">
    <w:p w14:paraId="20B268BB" w14:textId="7CE01DB5"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1371. Note that GHC also moved to add a new claim—evidently to claim compositions with concentrations corresponding to those in the written description—but this was denied in part because Sienna failed to show interference-in-fact with Sienna’s ’941 patent. </w:t>
      </w:r>
      <w:r w:rsidRPr="007F1307">
        <w:rPr>
          <w:rFonts w:cs="Times New Roman"/>
          <w:i/>
          <w:szCs w:val="22"/>
        </w:rPr>
        <w:t>Id.</w:t>
      </w:r>
    </w:p>
  </w:footnote>
  <w:footnote w:id="237">
    <w:p w14:paraId="7FE8C2ED"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Id.</w:t>
      </w:r>
    </w:p>
  </w:footnote>
  <w:footnote w:id="238">
    <w:p w14:paraId="2F0EC6F7"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1372 (describing compositions of 4.10 x 10</w:t>
      </w:r>
      <w:r w:rsidRPr="007F1307">
        <w:rPr>
          <w:rFonts w:cs="Times New Roman"/>
          <w:szCs w:val="22"/>
          <w:vertAlign w:val="superscript"/>
        </w:rPr>
        <w:t>11</w:t>
      </w:r>
      <w:r w:rsidRPr="007F1307">
        <w:rPr>
          <w:rFonts w:cs="Times New Roman"/>
          <w:szCs w:val="22"/>
        </w:rPr>
        <w:t xml:space="preserve"> (below the claimed range of 5.94 x 10</w:t>
      </w:r>
      <w:r w:rsidRPr="007F1307">
        <w:rPr>
          <w:rFonts w:cs="Times New Roman"/>
          <w:szCs w:val="22"/>
          <w:vertAlign w:val="superscript"/>
        </w:rPr>
        <w:t>11</w:t>
      </w:r>
      <w:r w:rsidRPr="007F1307">
        <w:rPr>
          <w:rFonts w:cs="Times New Roman"/>
          <w:szCs w:val="22"/>
        </w:rPr>
        <w:t xml:space="preserve"> to 7.26 x 10</w:t>
      </w:r>
      <w:r w:rsidRPr="007F1307">
        <w:rPr>
          <w:rFonts w:cs="Times New Roman"/>
          <w:szCs w:val="22"/>
          <w:vertAlign w:val="superscript"/>
        </w:rPr>
        <w:t>11</w:t>
      </w:r>
      <w:r w:rsidRPr="007F1307">
        <w:rPr>
          <w:rFonts w:cs="Times New Roman"/>
          <w:szCs w:val="22"/>
        </w:rPr>
        <w:t>), 4.46 x 10</w:t>
      </w:r>
      <w:r w:rsidRPr="007F1307">
        <w:rPr>
          <w:rFonts w:cs="Times New Roman"/>
          <w:szCs w:val="22"/>
          <w:vertAlign w:val="superscript"/>
        </w:rPr>
        <w:t>11</w:t>
      </w:r>
      <w:r w:rsidRPr="007F1307">
        <w:rPr>
          <w:rFonts w:cs="Times New Roman"/>
          <w:szCs w:val="22"/>
        </w:rPr>
        <w:t xml:space="preserve"> (below), 7.77 x 10</w:t>
      </w:r>
      <w:r w:rsidRPr="007F1307">
        <w:rPr>
          <w:rFonts w:cs="Times New Roman"/>
          <w:szCs w:val="22"/>
          <w:vertAlign w:val="superscript"/>
        </w:rPr>
        <w:t>11</w:t>
      </w:r>
      <w:r w:rsidRPr="007F1307">
        <w:rPr>
          <w:rFonts w:cs="Times New Roman"/>
          <w:szCs w:val="22"/>
        </w:rPr>
        <w:t xml:space="preserve"> (above), 8.44 x 10</w:t>
      </w:r>
      <w:r w:rsidRPr="007F1307">
        <w:rPr>
          <w:rFonts w:cs="Times New Roman"/>
          <w:szCs w:val="22"/>
          <w:vertAlign w:val="superscript"/>
        </w:rPr>
        <w:t>11</w:t>
      </w:r>
      <w:r w:rsidRPr="007F1307">
        <w:rPr>
          <w:rFonts w:cs="Times New Roman"/>
          <w:szCs w:val="22"/>
        </w:rPr>
        <w:t xml:space="preserve"> (above), 9.31 x 10</w:t>
      </w:r>
      <w:r w:rsidRPr="007F1307">
        <w:rPr>
          <w:rFonts w:cs="Times New Roman"/>
          <w:szCs w:val="22"/>
          <w:vertAlign w:val="superscript"/>
        </w:rPr>
        <w:t>11</w:t>
      </w:r>
      <w:r w:rsidRPr="007F1307">
        <w:rPr>
          <w:rFonts w:cs="Times New Roman"/>
          <w:szCs w:val="22"/>
        </w:rPr>
        <w:t xml:space="preserve"> (above), 22 x 10</w:t>
      </w:r>
      <w:r w:rsidRPr="007F1307">
        <w:rPr>
          <w:rFonts w:cs="Times New Roman"/>
          <w:szCs w:val="22"/>
          <w:vertAlign w:val="superscript"/>
        </w:rPr>
        <w:t>11</w:t>
      </w:r>
      <w:r w:rsidRPr="007F1307">
        <w:rPr>
          <w:rFonts w:cs="Times New Roman"/>
          <w:szCs w:val="22"/>
        </w:rPr>
        <w:t xml:space="preserve"> (above), and 24 x 10</w:t>
      </w:r>
      <w:r w:rsidRPr="007F1307">
        <w:rPr>
          <w:rFonts w:cs="Times New Roman"/>
          <w:szCs w:val="22"/>
          <w:vertAlign w:val="superscript"/>
        </w:rPr>
        <w:t>11</w:t>
      </w:r>
      <w:r w:rsidRPr="007F1307">
        <w:rPr>
          <w:rFonts w:cs="Times New Roman"/>
          <w:szCs w:val="22"/>
        </w:rPr>
        <w:t xml:space="preserve"> (above) particles per ml).</w:t>
      </w:r>
    </w:p>
  </w:footnote>
  <w:footnote w:id="239">
    <w:p w14:paraId="64F3CFB0" w14:textId="56BFB574"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1372 (citing Purdue Pharma L.P. v. Faulding Inc., 230 F.3d 1320, 1323 (Fed. Cir. 2000).</w:t>
      </w:r>
    </w:p>
  </w:footnote>
  <w:footnote w:id="240">
    <w:p w14:paraId="78738A98" w14:textId="24FE905D"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1372-73 (citing Eiselstein v. Frank, 52 F.3d 1035, 1040 (Fed. Cir. 1995)).</w:t>
      </w:r>
    </w:p>
  </w:footnote>
  <w:footnote w:id="241">
    <w:p w14:paraId="68DF11E3" w14:textId="1B997C25"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Id.</w:t>
      </w:r>
    </w:p>
  </w:footnote>
  <w:footnote w:id="242">
    <w:p w14:paraId="0398EC7F" w14:textId="597D6574"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Trustees of Boston Univ. v. Everlight Elecs. Co., 896 F.3d 1357, 1358 (Fed. Cir. 2018); </w:t>
      </w:r>
      <w:r w:rsidRPr="007F1307">
        <w:rPr>
          <w:rFonts w:cs="Times New Roman"/>
          <w:i/>
          <w:szCs w:val="22"/>
        </w:rPr>
        <w:t xml:space="preserve">id. </w:t>
      </w:r>
      <w:r w:rsidRPr="007F1307">
        <w:rPr>
          <w:rFonts w:cs="Times New Roman"/>
          <w:szCs w:val="22"/>
        </w:rPr>
        <w:t>at 1364-65.</w:t>
      </w:r>
    </w:p>
  </w:footnote>
  <w:footnote w:id="243">
    <w:p w14:paraId="1CB5809B"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1364.</w:t>
      </w:r>
    </w:p>
  </w:footnote>
  <w:footnote w:id="244">
    <w:p w14:paraId="7A13842F"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1360</w:t>
      </w:r>
    </w:p>
  </w:footnote>
  <w:footnote w:id="245">
    <w:p w14:paraId="59C30306" w14:textId="3CE0AA01"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(quoting ’738 patent col. 7 l. 42–col. 8 l. 9). </w:t>
      </w:r>
    </w:p>
  </w:footnote>
  <w:footnote w:id="246">
    <w:p w14:paraId="2957D213"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1360.</w:t>
      </w:r>
    </w:p>
  </w:footnote>
  <w:footnote w:id="247">
    <w:p w14:paraId="2922F507"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1364.</w:t>
      </w:r>
    </w:p>
  </w:footnote>
  <w:footnote w:id="248">
    <w:p w14:paraId="3D1EC404"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1362.</w:t>
      </w:r>
    </w:p>
  </w:footnote>
  <w:footnote w:id="249">
    <w:p w14:paraId="6052A950"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1364.</w:t>
      </w:r>
    </w:p>
  </w:footnote>
  <w:footnote w:id="250">
    <w:p w14:paraId="5E36566D"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1361.</w:t>
      </w:r>
    </w:p>
  </w:footnote>
  <w:footnote w:id="251">
    <w:p w14:paraId="659E70CE"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w:t>
      </w:r>
    </w:p>
  </w:footnote>
  <w:footnote w:id="252">
    <w:p w14:paraId="0A5A8D8B"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(citation omitted).</w:t>
      </w:r>
    </w:p>
  </w:footnote>
  <w:footnote w:id="253">
    <w:p w14:paraId="4EF4C6E4" w14:textId="47DC533E"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p>
  </w:footnote>
  <w:footnote w:id="254">
    <w:p w14:paraId="1F7EF7EA"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1364.</w:t>
      </w:r>
    </w:p>
  </w:footnote>
  <w:footnote w:id="255">
    <w:p w14:paraId="64F992BD" w14:textId="2320746D"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(quoting Nat’l Recovery Techs., Inc. v. Magnetic Separation Sys., Inc., 166 F.3d 1190, 1195–96 (Fed. Cir. 1999)).</w:t>
      </w:r>
    </w:p>
  </w:footnote>
  <w:footnote w:id="256">
    <w:p w14:paraId="6E90B5F3" w14:textId="77777777" w:rsidR="00BA22A2" w:rsidRPr="007F1307" w:rsidRDefault="00BA22A2" w:rsidP="00F874E5">
      <w:pPr>
        <w:rPr>
          <w:rFonts w:cs="Times New Roman"/>
          <w:sz w:val="22"/>
          <w:szCs w:val="22"/>
        </w:rPr>
      </w:pPr>
      <w:r w:rsidRPr="007F1307">
        <w:rPr>
          <w:rStyle w:val="FootnoteReference"/>
          <w:rFonts w:cs="Times New Roman"/>
          <w:sz w:val="22"/>
          <w:szCs w:val="22"/>
        </w:rPr>
        <w:footnoteRef/>
      </w:r>
      <w:r w:rsidRPr="007F1307">
        <w:rPr>
          <w:rFonts w:cs="Times New Roman"/>
          <w:sz w:val="22"/>
          <w:szCs w:val="22"/>
        </w:rPr>
        <w:t xml:space="preserve"> GoPro, Inc. v. Contour IP Holding LLC, Nos. 2017-1894, 2017-1936, 2018 WL 5660650, at *1 (Fed. Cir. July 27, 2018, modified Nov. 1, 2018). Full disclosure: Mark Lemley represented GoPro, Inc., in this matter. </w:t>
      </w:r>
    </w:p>
  </w:footnote>
  <w:footnote w:id="257">
    <w:p w14:paraId="40A1141A" w14:textId="77777777" w:rsidR="00BA22A2" w:rsidRPr="007F1307" w:rsidRDefault="00BA22A2" w:rsidP="00F874E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*3.</w:t>
      </w:r>
    </w:p>
  </w:footnote>
  <w:footnote w:id="258">
    <w:p w14:paraId="7E8D07C7" w14:textId="77777777" w:rsidR="00BA22A2" w:rsidRPr="007F1307" w:rsidRDefault="00BA22A2" w:rsidP="00F874E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w:t>
      </w:r>
    </w:p>
  </w:footnote>
  <w:footnote w:id="259">
    <w:p w14:paraId="03705170" w14:textId="77777777" w:rsidR="00BA22A2" w:rsidRPr="007F1307" w:rsidRDefault="00BA22A2" w:rsidP="00F874E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w:t>
      </w:r>
    </w:p>
  </w:footnote>
  <w:footnote w:id="260">
    <w:p w14:paraId="06F0D7C9" w14:textId="77777777" w:rsidR="00BA22A2" w:rsidRPr="007F1307" w:rsidRDefault="00BA22A2" w:rsidP="00F874E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 3 (Fed. Cir. July 27, 2018, modified Nov. 1, 2018).</w:t>
      </w:r>
    </w:p>
  </w:footnote>
  <w:footnote w:id="261">
    <w:p w14:paraId="6092DFEE" w14:textId="4FB1A7FB" w:rsidR="00BA22A2" w:rsidRPr="000C0995" w:rsidRDefault="00BA22A2" w:rsidP="00F874E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Pr>
          <w:rFonts w:cs="Times New Roman"/>
          <w:szCs w:val="22"/>
        </w:rPr>
        <w:t>The court does not tell whether the PTAB addressed the other alleged channels of distribution.</w:t>
      </w:r>
    </w:p>
  </w:footnote>
  <w:footnote w:id="262">
    <w:p w14:paraId="7DA5AA37" w14:textId="77777777" w:rsidR="00BA22A2" w:rsidRPr="007F1307" w:rsidRDefault="00BA22A2" w:rsidP="00F874E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w:t>
      </w:r>
    </w:p>
  </w:footnote>
  <w:footnote w:id="263">
    <w:p w14:paraId="577FEA61" w14:textId="77777777" w:rsidR="00BA22A2" w:rsidRPr="007F1307" w:rsidRDefault="00BA22A2" w:rsidP="00F874E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w:t>
      </w:r>
    </w:p>
  </w:footnote>
  <w:footnote w:id="264">
    <w:p w14:paraId="614F6261" w14:textId="77777777" w:rsidR="00BA22A2" w:rsidRPr="007F1307" w:rsidRDefault="00BA22A2" w:rsidP="00F874E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265">
    <w:p w14:paraId="3D7E0698" w14:textId="77777777" w:rsidR="00BA22A2" w:rsidRPr="007F1307" w:rsidRDefault="00BA22A2" w:rsidP="00F874E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*4.</w:t>
      </w:r>
    </w:p>
  </w:footnote>
  <w:footnote w:id="266">
    <w:p w14:paraId="4834DA72" w14:textId="3120B31E" w:rsidR="00BA22A2" w:rsidRPr="0045445A" w:rsidRDefault="00BA22A2">
      <w:pPr>
        <w:pStyle w:val="FootnoteText"/>
      </w:pPr>
      <w:r>
        <w:rPr>
          <w:rStyle w:val="FootnoteReference"/>
        </w:rPr>
        <w:footnoteRef/>
      </w:r>
      <w:r>
        <w:t xml:space="preserve"> </w:t>
      </w:r>
      <w:r>
        <w:rPr>
          <w:i/>
        </w:rPr>
        <w:t>Id.</w:t>
      </w:r>
    </w:p>
  </w:footnote>
  <w:footnote w:id="267">
    <w:p w14:paraId="00809AF1" w14:textId="5F74C57F"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Helsinn Healthcare S.A. v. Teva Pharmaceutical USA, Inc., 2017 WL 1541518, at *11 (Fed. Cir. 2017).</w:t>
      </w:r>
    </w:p>
  </w:footnote>
  <w:footnote w:id="268">
    <w:p w14:paraId="60C4C92B"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U.S. Patent Nos. 7,947,724; 7,947,725; 7,960,424; and 8,598,219 (collectively, “the patents-in-suit”).</w:t>
      </w:r>
    </w:p>
  </w:footnote>
  <w:footnote w:id="269">
    <w:p w14:paraId="78666A9C" w14:textId="6DEB41CA"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Helsinn, 2017 WL 1541518, at *1. </w:t>
      </w:r>
    </w:p>
  </w:footnote>
  <w:footnote w:id="270">
    <w:p w14:paraId="0C14CEDF"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271">
    <w:p w14:paraId="1550FF94"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*2.</w:t>
      </w:r>
    </w:p>
  </w:footnote>
  <w:footnote w:id="272">
    <w:p w14:paraId="5F699DF1"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*3.</w:t>
      </w:r>
    </w:p>
  </w:footnote>
  <w:footnote w:id="273">
    <w:p w14:paraId="71DD03D5"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w:t>
      </w:r>
    </w:p>
  </w:footnote>
  <w:footnote w:id="274">
    <w:p w14:paraId="46E9080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275">
    <w:p w14:paraId="74E6B65B"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*4.</w:t>
      </w:r>
    </w:p>
  </w:footnote>
  <w:footnote w:id="276">
    <w:p w14:paraId="51EEC6E1"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277">
    <w:p w14:paraId="50508F76" w14:textId="44879494"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35 U.S.C. § 102(b) (2006).</w:t>
      </w:r>
    </w:p>
  </w:footnote>
  <w:footnote w:id="278">
    <w:p w14:paraId="3D9C8705" w14:textId="7B7C780A"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35 U.S.C. § 102(a)(1) (emphasis added).</w:t>
      </w:r>
    </w:p>
  </w:footnote>
  <w:footnote w:id="279">
    <w:p w14:paraId="38F4ACE6"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Helsinn, 2017 WL 1541518, at *8.</w:t>
      </w:r>
    </w:p>
  </w:footnote>
  <w:footnote w:id="280">
    <w:p w14:paraId="1D99C47B" w14:textId="61E36534"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*10. </w:t>
      </w:r>
      <w:r w:rsidRPr="007F1307">
        <w:rPr>
          <w:rFonts w:cs="Times New Roman"/>
          <w:i/>
          <w:szCs w:val="22"/>
        </w:rPr>
        <w:t>See also</w:t>
      </w:r>
      <w:r w:rsidRPr="007F1307">
        <w:rPr>
          <w:rFonts w:cs="Times New Roman"/>
          <w:szCs w:val="22"/>
        </w:rPr>
        <w:t xml:space="preserve"> </w:t>
      </w:r>
      <w:r w:rsidRPr="007F1307">
        <w:rPr>
          <w:rFonts w:cs="Times New Roman"/>
          <w:i/>
          <w:szCs w:val="22"/>
        </w:rPr>
        <w:t>id.</w:t>
      </w:r>
      <w:r w:rsidRPr="007F1307">
        <w:rPr>
          <w:rFonts w:cs="Times New Roman"/>
          <w:szCs w:val="22"/>
        </w:rPr>
        <w:t xml:space="preserve"> (“Failing to find such a sale invalidating . . . ‘would materially retard the progress of science and the useful arts, and give a premium to those who should be least prompt to communicate their discoveries.’”) (internal citation omitted).</w:t>
      </w:r>
    </w:p>
  </w:footnote>
  <w:footnote w:id="281">
    <w:p w14:paraId="2F135CC1"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282">
    <w:p w14:paraId="14DA2930"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11.</w:t>
      </w:r>
    </w:p>
  </w:footnote>
  <w:footnote w:id="283">
    <w:p w14:paraId="106ADE72"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284">
    <w:p w14:paraId="35A9DF3C" w14:textId="56BF564C"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The Medicines Co. v. Hospira Inc., 881 F.3d 1347, 1353-54 (Fed. Cir. 2018).</w:t>
      </w:r>
    </w:p>
  </w:footnote>
  <w:footnote w:id="285">
    <w:p w14:paraId="50E5D95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1350.</w:t>
      </w:r>
    </w:p>
  </w:footnote>
  <w:footnote w:id="286">
    <w:p w14:paraId="1CD09316"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1351.</w:t>
      </w:r>
    </w:p>
  </w:footnote>
  <w:footnote w:id="287">
    <w:p w14:paraId="08A785B7"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(internal citations omitted).</w:t>
      </w:r>
    </w:p>
  </w:footnote>
  <w:footnote w:id="288">
    <w:p w14:paraId="1DC18557"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289">
    <w:p w14:paraId="24251580"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w:t>
      </w:r>
    </w:p>
  </w:footnote>
  <w:footnote w:id="290">
    <w:p w14:paraId="3DB6A07F"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291">
    <w:p w14:paraId="22380F8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1351-52.</w:t>
      </w:r>
    </w:p>
  </w:footnote>
  <w:footnote w:id="292">
    <w:p w14:paraId="5BB8EE15"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1353-54.</w:t>
      </w:r>
    </w:p>
  </w:footnote>
  <w:footnote w:id="293">
    <w:p w14:paraId="60928A5F" w14:textId="17FA16B0"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Microsoft Corp. v. Biscotti, Inc., 878 F.3d 1052, 1054 (Fed. Cir. 2017).</w:t>
      </w:r>
    </w:p>
  </w:footnote>
  <w:footnote w:id="294">
    <w:p w14:paraId="70D34A2E"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1054-56.</w:t>
      </w:r>
    </w:p>
  </w:footnote>
  <w:footnote w:id="295">
    <w:p w14:paraId="74D1C796"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1062-67.</w:t>
      </w:r>
    </w:p>
  </w:footnote>
  <w:footnote w:id="296">
    <w:p w14:paraId="2EE2AF84"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1067.</w:t>
      </w:r>
    </w:p>
  </w:footnote>
  <w:footnote w:id="297">
    <w:p w14:paraId="497435B1"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298">
    <w:p w14:paraId="0A3C9FDF"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299">
    <w:p w14:paraId="52CDD5F3"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w:t>
      </w:r>
    </w:p>
  </w:footnote>
  <w:footnote w:id="300">
    <w:p w14:paraId="3D959E00"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1068.</w:t>
      </w:r>
    </w:p>
  </w:footnote>
  <w:footnote w:id="301">
    <w:p w14:paraId="2FDB2DDC"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w:t>
      </w:r>
    </w:p>
  </w:footnote>
  <w:footnote w:id="302">
    <w:p w14:paraId="067B0BD2" w14:textId="284BF80E"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(quoting Net MoneyIN, Inc. v. VeriSign, Inc., 545 F.3d 1359, 1369 (Fed. Cir. 2008)).</w:t>
      </w:r>
    </w:p>
  </w:footnote>
  <w:footnote w:id="303">
    <w:p w14:paraId="398121ED" w14:textId="684B0326"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(quoting Kennametal, Inc. v. Ingersoll Cutting Tool Co., 780 F.3d 1376, 1381 (Fed. Cir. 2015)).</w:t>
      </w:r>
    </w:p>
  </w:footnote>
  <w:footnote w:id="304">
    <w:p w14:paraId="29FF4223"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1069.</w:t>
      </w:r>
    </w:p>
  </w:footnote>
  <w:footnote w:id="305">
    <w:p w14:paraId="409905AB"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1070-73.</w:t>
      </w:r>
    </w:p>
  </w:footnote>
  <w:footnote w:id="306">
    <w:p w14:paraId="497B3980"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1077-86.</w:t>
      </w:r>
    </w:p>
  </w:footnote>
  <w:footnote w:id="307">
    <w:p w14:paraId="1759CF2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1077.</w:t>
      </w:r>
    </w:p>
  </w:footnote>
  <w:footnote w:id="308">
    <w:p w14:paraId="46B5232A" w14:textId="352A0863"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Polara Eng’g Inc. v. Campbell Co., 894 F.3d 1339, 1349 (Fed. Cir. 2018). The appeal addressed other issues not discussed here. </w:t>
      </w:r>
    </w:p>
  </w:footnote>
  <w:footnote w:id="309">
    <w:p w14:paraId="2E12CFBC"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1343-44.</w:t>
      </w:r>
    </w:p>
  </w:footnote>
  <w:footnote w:id="310">
    <w:p w14:paraId="22B83218" w14:textId="11E6CEF1"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1344 (quoting ’476 patent col. 2 11. 21-24).</w:t>
      </w:r>
    </w:p>
  </w:footnote>
  <w:footnote w:id="311">
    <w:p w14:paraId="0F66918C" w14:textId="77777777" w:rsidR="00BA22A2" w:rsidRPr="007F1307" w:rsidRDefault="00BA22A2" w:rsidP="00AE50AD">
      <w:pPr>
        <w:pStyle w:val="FootnoteText"/>
        <w:rPr>
          <w:rFonts w:cs="Times New Roman"/>
          <w:i/>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Id.</w:t>
      </w:r>
    </w:p>
  </w:footnote>
  <w:footnote w:id="312">
    <w:p w14:paraId="6CEA5EA1" w14:textId="76AEA925"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(describing the application date, the critical date, and the testing dates in this case falling under the pre–AIA 35 U.S.C. § 102(b) (2006) regime).</w:t>
      </w:r>
    </w:p>
  </w:footnote>
  <w:footnote w:id="313">
    <w:p w14:paraId="763D3E39"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1344-45.</w:t>
      </w:r>
    </w:p>
  </w:footnote>
  <w:footnote w:id="314">
    <w:p w14:paraId="2688F4BD"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1344.</w:t>
      </w:r>
    </w:p>
  </w:footnote>
  <w:footnote w:id="315">
    <w:p w14:paraId="6F21BD04"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1350.</w:t>
      </w:r>
    </w:p>
  </w:footnote>
  <w:footnote w:id="316">
    <w:p w14:paraId="7C5D31CB"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1351.</w:t>
      </w:r>
    </w:p>
  </w:footnote>
  <w:footnote w:id="317">
    <w:p w14:paraId="1E4C35F4" w14:textId="4C731EA6"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1348-49 (quoting Clock Spring, L.P. v. Wrapmaster, Inc., 560 F.3d 1317, 1327 (Fed. Cir. 2009)) (describing thirteen factors for evaluating whether a use is experimental).</w:t>
      </w:r>
    </w:p>
  </w:footnote>
  <w:footnote w:id="318">
    <w:p w14:paraId="6CBE9932"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1347 (recounting procedural history).</w:t>
      </w:r>
    </w:p>
  </w:footnote>
  <w:footnote w:id="319">
    <w:p w14:paraId="38CB1247" w14:textId="04B226AF"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1348 (citing Clock Spring, 560 F.3d at 1327).</w:t>
      </w:r>
    </w:p>
  </w:footnote>
  <w:footnote w:id="320">
    <w:p w14:paraId="5D89E51C"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w:t>
      </w:r>
      <w:r w:rsidRPr="007F1307">
        <w:rPr>
          <w:rFonts w:cs="Times New Roman"/>
          <w:i/>
          <w:szCs w:val="22"/>
        </w:rPr>
        <w:t>see also</w:t>
      </w:r>
      <w:r w:rsidRPr="007F1307">
        <w:rPr>
          <w:rFonts w:cs="Times New Roman"/>
          <w:szCs w:val="22"/>
        </w:rPr>
        <w:t xml:space="preserve">, </w:t>
      </w:r>
      <w:r w:rsidRPr="007F1307">
        <w:rPr>
          <w:rFonts w:cs="Times New Roman"/>
          <w:i/>
          <w:szCs w:val="22"/>
        </w:rPr>
        <w:t>e.g.</w:t>
      </w:r>
      <w:r w:rsidRPr="007F1307">
        <w:rPr>
          <w:rFonts w:cs="Times New Roman"/>
          <w:szCs w:val="22"/>
        </w:rPr>
        <w:t xml:space="preserve">, </w:t>
      </w:r>
      <w:r w:rsidRPr="007F1307">
        <w:rPr>
          <w:rFonts w:cs="Times New Roman"/>
          <w:i/>
          <w:szCs w:val="22"/>
        </w:rPr>
        <w:t xml:space="preserve">id. </w:t>
      </w:r>
      <w:r w:rsidRPr="007F1307">
        <w:rPr>
          <w:rFonts w:cs="Times New Roman"/>
          <w:szCs w:val="22"/>
        </w:rPr>
        <w:t>at 1345 (recounting modifications made).</w:t>
      </w:r>
    </w:p>
  </w:footnote>
  <w:footnote w:id="321">
    <w:p w14:paraId="0E274050"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1349.</w:t>
      </w:r>
    </w:p>
  </w:footnote>
  <w:footnote w:id="322">
    <w:p w14:paraId="12DAE813"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See id.</w:t>
      </w:r>
    </w:p>
  </w:footnote>
  <w:footnote w:id="323">
    <w:p w14:paraId="7305DE6A" w14:textId="7644C49C"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1350 (citing City of Elizabeth v. Am. Nicholson Pavement Co., 97 U.S. 126, 136 (1877)). </w:t>
      </w:r>
    </w:p>
  </w:footnote>
  <w:footnote w:id="324">
    <w:p w14:paraId="694B358D" w14:textId="77777777" w:rsidR="00BA22A2" w:rsidRPr="007F1307" w:rsidRDefault="00BA22A2" w:rsidP="001C125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Natural Alternatives Int’l, Inc. v. Iancu, 904 F.3d 1375, 1377 (Fed. Cir. 2018). </w:t>
      </w:r>
      <w:r w:rsidRPr="007F1307">
        <w:rPr>
          <w:rFonts w:cs="Times New Roman"/>
          <w:i/>
          <w:szCs w:val="22"/>
        </w:rPr>
        <w:t xml:space="preserve">See also </w:t>
      </w:r>
      <w:r w:rsidRPr="007F1307">
        <w:rPr>
          <w:rFonts w:cs="Times New Roman"/>
          <w:szCs w:val="22"/>
        </w:rPr>
        <w:t>Natural Alternatives Int’l, Inc. v. Iancu, 738 Fed.Appx. 1016 (Fed. Cir. Oct. 1, 2018) (unpublished) (affirming PTAB’s final determination on priority as to the ‘422 for the same reasons given in the companion decision regarding the ‘381 patent).</w:t>
      </w:r>
    </w:p>
  </w:footnote>
  <w:footnote w:id="325">
    <w:p w14:paraId="05525325" w14:textId="77777777" w:rsidR="00BA22A2" w:rsidRPr="007F1307" w:rsidRDefault="00BA22A2" w:rsidP="001C125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Natural Alternatives Int’l v. Iancu, 904 F.3d at 1377.</w:t>
      </w:r>
    </w:p>
  </w:footnote>
  <w:footnote w:id="326">
    <w:p w14:paraId="424C5BA7" w14:textId="77777777" w:rsidR="00BA22A2" w:rsidRPr="007F1307" w:rsidRDefault="00BA22A2" w:rsidP="001C1255">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327">
    <w:p w14:paraId="4DDDF56D" w14:textId="77777777" w:rsidR="00BA22A2" w:rsidRPr="007F1307" w:rsidRDefault="00BA22A2" w:rsidP="00332AF4">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328">
    <w:p w14:paraId="0664EBC4" w14:textId="77777777" w:rsidR="00BA22A2" w:rsidRPr="007F1307" w:rsidRDefault="00BA22A2" w:rsidP="001C1255">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329">
    <w:p w14:paraId="68B5665D" w14:textId="77777777" w:rsidR="00BA22A2" w:rsidRPr="007F1307" w:rsidRDefault="00BA22A2" w:rsidP="001C125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1378.</w:t>
      </w:r>
    </w:p>
  </w:footnote>
  <w:footnote w:id="330">
    <w:p w14:paraId="1224E56A" w14:textId="77777777" w:rsidR="00BA22A2" w:rsidRPr="007F1307" w:rsidRDefault="00BA22A2" w:rsidP="001C1255">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331">
    <w:p w14:paraId="2C81CF01" w14:textId="77777777" w:rsidR="00BA22A2" w:rsidRPr="007F1307" w:rsidRDefault="00BA22A2" w:rsidP="001C125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1377.</w:t>
      </w:r>
    </w:p>
  </w:footnote>
  <w:footnote w:id="332">
    <w:p w14:paraId="0AEF1562" w14:textId="77777777" w:rsidR="00BA22A2" w:rsidRPr="007F1307" w:rsidRDefault="00BA22A2" w:rsidP="001C125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1379 (citing 35 U.S.C. § 120 (2000) (then in effect)).</w:t>
      </w:r>
    </w:p>
  </w:footnote>
  <w:footnote w:id="333">
    <w:p w14:paraId="1114170A" w14:textId="77777777" w:rsidR="00BA22A2" w:rsidRPr="007F1307" w:rsidRDefault="00BA22A2" w:rsidP="001C1255">
      <w:pPr>
        <w:rPr>
          <w:rFonts w:cs="Times New Roman"/>
          <w:sz w:val="22"/>
          <w:szCs w:val="22"/>
        </w:rPr>
      </w:pPr>
      <w:r w:rsidRPr="007F1307">
        <w:rPr>
          <w:rStyle w:val="FootnoteReference"/>
          <w:rFonts w:cs="Times New Roman"/>
          <w:sz w:val="22"/>
          <w:szCs w:val="22"/>
        </w:rPr>
        <w:footnoteRef/>
      </w:r>
      <w:r w:rsidRPr="007F1307">
        <w:rPr>
          <w:rFonts w:cs="Times New Roman"/>
          <w:sz w:val="22"/>
          <w:szCs w:val="22"/>
        </w:rPr>
        <w:t xml:space="preserve"> </w:t>
      </w:r>
      <w:r w:rsidRPr="007F1307">
        <w:rPr>
          <w:rFonts w:cs="Times New Roman"/>
          <w:i/>
          <w:sz w:val="22"/>
          <w:szCs w:val="22"/>
        </w:rPr>
        <w:t xml:space="preserve">Id. </w:t>
      </w:r>
      <w:r w:rsidRPr="007F1307">
        <w:rPr>
          <w:rFonts w:cs="Times New Roman"/>
          <w:sz w:val="22"/>
          <w:szCs w:val="22"/>
        </w:rPr>
        <w:t>at 1380.</w:t>
      </w:r>
    </w:p>
  </w:footnote>
  <w:footnote w:id="334">
    <w:p w14:paraId="4AC48438" w14:textId="77777777" w:rsidR="00BA22A2" w:rsidRPr="007F1307" w:rsidRDefault="00BA22A2" w:rsidP="001C125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1379.</w:t>
      </w:r>
    </w:p>
  </w:footnote>
  <w:footnote w:id="335">
    <w:p w14:paraId="70112AEA" w14:textId="77777777" w:rsidR="00BA22A2" w:rsidRPr="007F1307" w:rsidRDefault="00BA22A2" w:rsidP="001C1255">
      <w:pPr>
        <w:rPr>
          <w:rFonts w:cs="Times New Roman"/>
          <w:sz w:val="22"/>
          <w:szCs w:val="22"/>
        </w:rPr>
      </w:pPr>
      <w:r w:rsidRPr="007F1307">
        <w:rPr>
          <w:rStyle w:val="FootnoteReference"/>
          <w:rFonts w:cs="Times New Roman"/>
          <w:sz w:val="22"/>
          <w:szCs w:val="22"/>
        </w:rPr>
        <w:footnoteRef/>
      </w:r>
      <w:r w:rsidRPr="007F1307">
        <w:rPr>
          <w:rFonts w:cs="Times New Roman"/>
          <w:sz w:val="22"/>
          <w:szCs w:val="22"/>
        </w:rPr>
        <w:t xml:space="preserve">The MPEP states that “cancellation of a benefit claim to a prior application may be considered as a showing that the applicant is intentionally waiving the benefit claim to the prior application in the instant application.” </w:t>
      </w:r>
      <w:r w:rsidRPr="007F1307">
        <w:rPr>
          <w:rFonts w:cs="Times New Roman"/>
          <w:i/>
          <w:sz w:val="22"/>
          <w:szCs w:val="22"/>
        </w:rPr>
        <w:t xml:space="preserve">Id. </w:t>
      </w:r>
      <w:r w:rsidRPr="007F1307">
        <w:rPr>
          <w:rFonts w:cs="Times New Roman"/>
          <w:sz w:val="22"/>
          <w:szCs w:val="22"/>
        </w:rPr>
        <w:t>at 1381 (quoting MPEP § 201.11(III)(G) (8th ed., Rev. 1) (2003); MPEP § 211.02(a)(III) (9th ed., Rev. 7) (2015)).</w:t>
      </w:r>
    </w:p>
  </w:footnote>
  <w:footnote w:id="336">
    <w:p w14:paraId="5DA8334A" w14:textId="77777777" w:rsidR="00BA22A2" w:rsidRPr="007F1307" w:rsidRDefault="00BA22A2" w:rsidP="001C125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1381.</w:t>
      </w:r>
    </w:p>
  </w:footnote>
  <w:footnote w:id="337">
    <w:p w14:paraId="18C48776" w14:textId="77777777" w:rsidR="00BA22A2" w:rsidRPr="007F1307" w:rsidRDefault="00BA22A2" w:rsidP="001C1255">
      <w:pPr>
        <w:rPr>
          <w:rFonts w:cs="Times New Roman"/>
          <w:sz w:val="22"/>
          <w:szCs w:val="22"/>
        </w:rPr>
      </w:pPr>
      <w:r w:rsidRPr="007F1307">
        <w:rPr>
          <w:rStyle w:val="FootnoteReference"/>
          <w:rFonts w:cs="Times New Roman"/>
          <w:sz w:val="22"/>
          <w:szCs w:val="22"/>
        </w:rPr>
        <w:footnoteRef/>
      </w:r>
      <w:r w:rsidRPr="007F1307">
        <w:rPr>
          <w:rFonts w:cs="Times New Roman"/>
          <w:sz w:val="22"/>
          <w:szCs w:val="22"/>
        </w:rPr>
        <w:t xml:space="preserve"> </w:t>
      </w:r>
      <w:r w:rsidRPr="007F1307">
        <w:rPr>
          <w:rFonts w:cs="Times New Roman"/>
          <w:i/>
          <w:sz w:val="22"/>
          <w:szCs w:val="22"/>
        </w:rPr>
        <w:t xml:space="preserve">Id. </w:t>
      </w:r>
      <w:r w:rsidRPr="007F1307">
        <w:rPr>
          <w:rFonts w:cs="Times New Roman"/>
          <w:sz w:val="22"/>
          <w:szCs w:val="22"/>
        </w:rPr>
        <w:t>at 1382 (quoting Godfrey v. Eames, 68 U.S. 317, 326, 1 Wall. 317, 17 L.Ed. 684 (1863)).</w:t>
      </w:r>
    </w:p>
  </w:footnote>
  <w:footnote w:id="338">
    <w:p w14:paraId="468D6AB8" w14:textId="77777777" w:rsidR="00BA22A2" w:rsidRPr="007F1307" w:rsidRDefault="00BA22A2" w:rsidP="001C125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1383.</w:t>
      </w:r>
    </w:p>
  </w:footnote>
  <w:footnote w:id="339">
    <w:p w14:paraId="4075527E" w14:textId="3B9918A3"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Regents of the Univ. of California v. Broad Inst., Inc., No. 2017-1907, 2018 WL 4288968 at *1-2 (Fed. Cir. Sept. 10, 2018).</w:t>
      </w:r>
    </w:p>
  </w:footnote>
  <w:footnote w:id="340">
    <w:p w14:paraId="751B24AA" w14:textId="119054C0"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*6. </w:t>
      </w:r>
    </w:p>
  </w:footnote>
  <w:footnote w:id="341">
    <w:p w14:paraId="2D5A7456"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w:t>
      </w:r>
    </w:p>
  </w:footnote>
  <w:footnote w:id="342">
    <w:p w14:paraId="022DD459" w14:textId="25C618C4"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p>
  </w:footnote>
  <w:footnote w:id="343">
    <w:p w14:paraId="33380A4A" w14:textId="3BB0E68E"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p>
  </w:footnote>
  <w:footnote w:id="344">
    <w:p w14:paraId="07EF75F5" w14:textId="0C8996C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p>
  </w:footnote>
  <w:footnote w:id="345">
    <w:p w14:paraId="088CDD8C" w14:textId="23AC5376"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CRISPR-Cas systems do not naturally occur in eukaryotes. </w:t>
      </w:r>
      <w:r w:rsidRPr="007F1307">
        <w:rPr>
          <w:rFonts w:cs="Times New Roman"/>
          <w:i/>
          <w:szCs w:val="22"/>
        </w:rPr>
        <w:t xml:space="preserve">Id. </w:t>
      </w:r>
      <w:r w:rsidRPr="007F1307">
        <w:rPr>
          <w:rFonts w:cs="Times New Roman"/>
          <w:szCs w:val="22"/>
        </w:rPr>
        <w:t xml:space="preserve">at *1, *2. </w:t>
      </w:r>
    </w:p>
  </w:footnote>
  <w:footnote w:id="346">
    <w:p w14:paraId="0CD77617"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*6; </w:t>
      </w:r>
      <w:r w:rsidRPr="007F1307">
        <w:rPr>
          <w:rFonts w:cs="Times New Roman"/>
          <w:i/>
          <w:szCs w:val="22"/>
        </w:rPr>
        <w:t xml:space="preserve">see also </w:t>
      </w:r>
      <w:r w:rsidRPr="007F1307">
        <w:rPr>
          <w:rFonts w:cs="Times New Roman"/>
          <w:szCs w:val="22"/>
        </w:rPr>
        <w:t>Appellant’s Brief at 39 (explaining they also used similar conventional techniques as they attempted to apply the method).</w:t>
      </w:r>
    </w:p>
  </w:footnote>
  <w:footnote w:id="347">
    <w:p w14:paraId="1F1BF76A" w14:textId="673EA60C"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*2. Note that the PTAB finds non-interference if neither claim would have anticipated the other if prior art. </w:t>
      </w:r>
      <w:r w:rsidRPr="007F1307">
        <w:rPr>
          <w:rFonts w:cs="Times New Roman"/>
          <w:i/>
          <w:szCs w:val="22"/>
        </w:rPr>
        <w:t xml:space="preserve">Id. </w:t>
      </w:r>
      <w:r w:rsidRPr="007F1307">
        <w:rPr>
          <w:rFonts w:cs="Times New Roman"/>
          <w:szCs w:val="22"/>
        </w:rPr>
        <w:t xml:space="preserve">at *3. A claim does not anticipate another if its teachings do not make the other’s obvious. </w:t>
      </w:r>
      <w:r w:rsidRPr="007F1307">
        <w:rPr>
          <w:rFonts w:cs="Times New Roman"/>
          <w:i/>
          <w:szCs w:val="22"/>
        </w:rPr>
        <w:t xml:space="preserve">Id. </w:t>
      </w:r>
      <w:r w:rsidRPr="007F1307">
        <w:rPr>
          <w:rFonts w:cs="Times New Roman"/>
          <w:szCs w:val="22"/>
        </w:rPr>
        <w:t xml:space="preserve">A latter’s teachings do not obviously follow from an earlier’s if a skilled artisan, despite having motivation to modify or combine earlier teachings to accomplish the latter’s goals, would not have had a reasonable expectation of success in doing so. </w:t>
      </w:r>
      <w:r w:rsidRPr="007F1307">
        <w:rPr>
          <w:rFonts w:cs="Times New Roman"/>
          <w:i/>
          <w:szCs w:val="22"/>
        </w:rPr>
        <w:t xml:space="preserve">Id. </w:t>
      </w:r>
    </w:p>
  </w:footnote>
  <w:footnote w:id="348">
    <w:p w14:paraId="3222907C" w14:textId="4A3036FB"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*3 (explaining that the standard for a finding of non-interference under § 102(g) for reasons of nonobviousness is the same as that for non-obviousness under § 103). </w:t>
      </w:r>
    </w:p>
  </w:footnote>
  <w:footnote w:id="349">
    <w:p w14:paraId="730DAD46"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*5.</w:t>
      </w:r>
    </w:p>
  </w:footnote>
  <w:footnote w:id="350">
    <w:p w14:paraId="6EBD5A87" w14:textId="3DBC0F76" w:rsidR="00BA22A2" w:rsidRPr="007F1307" w:rsidRDefault="00BA22A2" w:rsidP="00AE50AD">
      <w:pPr>
        <w:pStyle w:val="FootnoteText"/>
        <w:rPr>
          <w:rFonts w:cs="Times New Roman"/>
          <w:i/>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*3-*4. </w:t>
      </w:r>
    </w:p>
  </w:footnote>
  <w:footnote w:id="351">
    <w:p w14:paraId="7146CFDF"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*4 (quotations and citations omitted).</w:t>
      </w:r>
    </w:p>
  </w:footnote>
  <w:footnote w:id="352">
    <w:p w14:paraId="44A18E54" w14:textId="72A9E6A6"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p>
  </w:footnote>
  <w:footnote w:id="353">
    <w:p w14:paraId="04DE1126" w14:textId="7B02703A"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p>
  </w:footnote>
  <w:footnote w:id="354">
    <w:p w14:paraId="5644901B" w14:textId="3ADBA494"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*6 (citing Monarch Knitting Mach. Corp. v. Sulzer Morat GmbH, 139 F.3d 877, 883 (Fed. Cir. 1998)).</w:t>
      </w:r>
    </w:p>
  </w:footnote>
  <w:footnote w:id="355">
    <w:p w14:paraId="1F594995" w14:textId="60C64524"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*5 (citing KSR Int’l Co. v. Teleflex Inc., 550 U.S. 398, 418, 420, (2007))</w:t>
      </w:r>
    </w:p>
  </w:footnote>
  <w:footnote w:id="356">
    <w:p w14:paraId="297F4121" w14:textId="1B7402BD"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p>
  </w:footnote>
  <w:footnote w:id="357">
    <w:p w14:paraId="69F3D32F" w14:textId="7DAD3B86"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Droplets, Inc. v. E*Trade Bank, 887 F.3d 1309, 1311 (Fed. Cir. 2018). </w:t>
      </w:r>
    </w:p>
  </w:footnote>
  <w:footnote w:id="358">
    <w:p w14:paraId="49F9ADA1"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1313.</w:t>
      </w:r>
    </w:p>
  </w:footnote>
  <w:footnote w:id="359">
    <w:p w14:paraId="0A86E77D"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360">
    <w:p w14:paraId="746B4C65"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361">
    <w:p w14:paraId="535EC26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1314.</w:t>
      </w:r>
    </w:p>
  </w:footnote>
  <w:footnote w:id="362">
    <w:p w14:paraId="755542EF"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1315.</w:t>
      </w:r>
    </w:p>
  </w:footnote>
  <w:footnote w:id="363">
    <w:p w14:paraId="62F5B046" w14:textId="1C0D359F"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(quoting 35 U.S.C. § 120) (emphasis added).</w:t>
      </w:r>
    </w:p>
  </w:footnote>
  <w:footnote w:id="364">
    <w:p w14:paraId="06786B8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1320. </w:t>
      </w:r>
    </w:p>
  </w:footnote>
  <w:footnote w:id="365">
    <w:p w14:paraId="0C1130FE" w14:textId="7333A413"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Acorda Therapeutics, Inc. v. Roxane Labs., Inc., Nos. 2017-2078 &amp; 2017-2134, 2018 WL 4288982, at *1, *20 (Fed. Cir. Sept. 10, 2018).</w:t>
      </w:r>
    </w:p>
  </w:footnote>
  <w:footnote w:id="366">
    <w:p w14:paraId="0A91363A"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w:t>
      </w:r>
    </w:p>
  </w:footnote>
  <w:footnote w:id="367">
    <w:p w14:paraId="7FD9FA27"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*20.</w:t>
      </w:r>
    </w:p>
  </w:footnote>
  <w:footnote w:id="368">
    <w:p w14:paraId="685E9503" w14:textId="367DDB07" w:rsidR="00BA22A2" w:rsidRPr="007F1307" w:rsidRDefault="00BA22A2" w:rsidP="00AE50AD">
      <w:pPr>
        <w:pStyle w:val="FootnoteText"/>
        <w:rPr>
          <w:rFonts w:cs="Times New Roman"/>
          <w:szCs w:val="22"/>
          <w:lang w:val="es-ES"/>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*18 (summarizing Merck &amp; Co. v. Teva [Pharms.] </w:t>
      </w:r>
      <w:r w:rsidRPr="007F1307">
        <w:rPr>
          <w:rFonts w:cs="Times New Roman"/>
          <w:szCs w:val="22"/>
          <w:lang w:val="es-ES"/>
        </w:rPr>
        <w:t>USA, Inc., 395 F.3d 1364 (Fed. Cir. 2005)).</w:t>
      </w:r>
    </w:p>
  </w:footnote>
  <w:footnote w:id="369">
    <w:p w14:paraId="0F879532" w14:textId="14B585D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*19 (summarizing Merck Sharp &amp; Dohme Corp. v. Hospira, Inc., 874 F.3d 724 (Fed. Cir. 2017)).</w:t>
      </w:r>
    </w:p>
  </w:footnote>
  <w:footnote w:id="370">
    <w:p w14:paraId="5F73515D"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*21.</w:t>
      </w:r>
    </w:p>
  </w:footnote>
  <w:footnote w:id="371">
    <w:p w14:paraId="66055172"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*19.</w:t>
      </w:r>
    </w:p>
  </w:footnote>
  <w:footnote w:id="372">
    <w:p w14:paraId="75127B7F"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*20.</w:t>
      </w:r>
    </w:p>
  </w:footnote>
  <w:footnote w:id="373">
    <w:p w14:paraId="6118A55B"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*21.</w:t>
      </w:r>
    </w:p>
  </w:footnote>
  <w:footnote w:id="374">
    <w:p w14:paraId="098C7565"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*22.</w:t>
      </w:r>
    </w:p>
  </w:footnote>
  <w:footnote w:id="375">
    <w:p w14:paraId="6C80554B" w14:textId="36A229CA"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*21 (discussing 35 U.S.C. § 271(e)(1)).</w:t>
      </w:r>
    </w:p>
  </w:footnote>
  <w:footnote w:id="376">
    <w:p w14:paraId="12550187"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*18.</w:t>
      </w:r>
    </w:p>
  </w:footnote>
  <w:footnote w:id="377">
    <w:p w14:paraId="62286571"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*22, *32-*33 (Newman, J., dissenting).</w:t>
      </w:r>
    </w:p>
  </w:footnote>
  <w:footnote w:id="378">
    <w:p w14:paraId="42C8923E"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*32 (Newman, J., dissenting) (citation omitted).</w:t>
      </w:r>
    </w:p>
  </w:footnote>
  <w:footnote w:id="379">
    <w:p w14:paraId="239F2779"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(“Commercial success is measured against the products available for the same purpose, not against infringing copies of the patented product.”).</w:t>
      </w:r>
    </w:p>
  </w:footnote>
  <w:footnote w:id="380">
    <w:p w14:paraId="7FCF3FFB" w14:textId="2917EEC1"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E.I. DuPont de Nemours &amp; Co. v. Synvina C.V., No. 2017-1977, 2018 WL 4390796 at *14 (Fed. Cir. Sept. 17, 2018).</w:t>
      </w:r>
    </w:p>
  </w:footnote>
  <w:footnote w:id="381">
    <w:p w14:paraId="4CD66A6E" w14:textId="2C66B976"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*9 (quoting Galderma Labs., L.P. v. Tolmar, Inc., 737 F.3d 731, 738 (Fed. Cir. 2013)).</w:t>
      </w:r>
    </w:p>
  </w:footnote>
  <w:footnote w:id="382">
    <w:p w14:paraId="58BDEDAE"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w:t>
      </w:r>
    </w:p>
  </w:footnote>
  <w:footnote w:id="383">
    <w:p w14:paraId="0953FF63"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*4 (showing table of conditions including temperature, solvent, and catalyst).</w:t>
      </w:r>
    </w:p>
  </w:footnote>
  <w:footnote w:id="384">
    <w:p w14:paraId="76791DE7"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*3.</w:t>
      </w:r>
    </w:p>
  </w:footnote>
  <w:footnote w:id="385">
    <w:p w14:paraId="1F7D15D0" w14:textId="36444A98"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*8 (citing Dynamic Drinkware, LLC v. National Graphics, Inc., 800 F.3d 1375, 1379 (Fed. Cir. 2015) (treating burdens of persuasion and production for anticipation in an IPR)).</w:t>
      </w:r>
    </w:p>
  </w:footnote>
  <w:footnote w:id="386">
    <w:p w14:paraId="1CBA9FCF"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(citing In re Magnum Oil Tools [Int’l], Ltd., 829 F.3d 1364, 1375 (Fed. Cir. 2016) (treating burdens of persuasion and production for nonobviousness)).</w:t>
      </w:r>
    </w:p>
  </w:footnote>
  <w:footnote w:id="387">
    <w:p w14:paraId="3E919A79"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w:t>
      </w:r>
    </w:p>
  </w:footnote>
  <w:footnote w:id="388">
    <w:p w14:paraId="72DFD85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*8 (citing Galderma, 737 F.3d at 738).</w:t>
      </w:r>
    </w:p>
  </w:footnote>
  <w:footnote w:id="389">
    <w:p w14:paraId="107C61C6"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*9.</w:t>
      </w:r>
    </w:p>
  </w:footnote>
  <w:footnote w:id="390">
    <w:p w14:paraId="0EBF9152"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391">
    <w:p w14:paraId="6636A697"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*10.</w:t>
      </w:r>
    </w:p>
  </w:footnote>
  <w:footnote w:id="392">
    <w:p w14:paraId="59A1EAB6"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*9, *14. Note that there were other issues on review. </w:t>
      </w:r>
    </w:p>
  </w:footnote>
  <w:footnote w:id="393">
    <w:p w14:paraId="76D74407" w14:textId="79CE0EA8"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DSS Tech. Mgmt., Inc. v. Apple Inc., No. 2016-2523, 2018 WL 1439893, at *1 (Fed. Cir. Mar. 23, 2018).</w:t>
      </w:r>
    </w:p>
  </w:footnote>
  <w:footnote w:id="394">
    <w:p w14:paraId="3B59AADE"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*5.</w:t>
      </w:r>
    </w:p>
  </w:footnote>
  <w:footnote w:id="395">
    <w:p w14:paraId="79FCD6E5" w14:textId="57C1268B"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(quoting Arendi S.A.R.L. v. Apple Inc., 832 F.3d 1355, 1362 (Fed. Cir. 2016) (emphasis in original).</w:t>
      </w:r>
    </w:p>
  </w:footnote>
  <w:footnote w:id="396">
    <w:p w14:paraId="73CCFDA2"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(citing quoting Arendi, 832 F.3d at 1363) (internal quotation marks excluded).</w:t>
      </w:r>
    </w:p>
  </w:footnote>
  <w:footnote w:id="397">
    <w:p w14:paraId="1A2B262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398">
    <w:p w14:paraId="0463EBE8"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399">
    <w:p w14:paraId="085DE42C"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(quoting Arendi, 832 F.3d at 1362).</w:t>
      </w:r>
    </w:p>
  </w:footnote>
  <w:footnote w:id="400">
    <w:p w14:paraId="15072B01"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*6.</w:t>
      </w:r>
    </w:p>
  </w:footnote>
  <w:footnote w:id="401">
    <w:p w14:paraId="4F096F9F"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402">
    <w:p w14:paraId="380C11AF"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403">
    <w:p w14:paraId="420F4822"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404">
    <w:p w14:paraId="5F4F06DC"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w:t>
      </w:r>
    </w:p>
  </w:footnote>
  <w:footnote w:id="405">
    <w:p w14:paraId="75C6FCD6"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*7 (Newman, J., dissenting).</w:t>
      </w:r>
    </w:p>
  </w:footnote>
  <w:footnote w:id="406">
    <w:p w14:paraId="6DDE928E"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407">
    <w:p w14:paraId="0EA93252"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*8.</w:t>
      </w:r>
    </w:p>
  </w:footnote>
  <w:footnote w:id="408">
    <w:p w14:paraId="0BFC3A73"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*8.</w:t>
      </w:r>
    </w:p>
  </w:footnote>
  <w:footnote w:id="409">
    <w:p w14:paraId="665B0C44"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*12.</w:t>
      </w:r>
    </w:p>
  </w:footnote>
  <w:footnote w:id="410">
    <w:p w14:paraId="78AEA04B" w14:textId="77777777" w:rsidR="00BA22A2" w:rsidRPr="007F1307" w:rsidRDefault="00BA22A2" w:rsidP="009D5D38">
      <w:pPr>
        <w:pStyle w:val="FootnoteText"/>
        <w:rPr>
          <w:rFonts w:cs="Times New Roman"/>
          <w:szCs w:val="22"/>
        </w:rPr>
      </w:pPr>
      <w:r w:rsidRPr="007F1307">
        <w:rPr>
          <w:rStyle w:val="FootnoteReference"/>
          <w:rFonts w:cs="Times New Roman"/>
          <w:szCs w:val="22"/>
        </w:rPr>
        <w:footnoteRef/>
      </w:r>
      <w:r w:rsidRPr="007F1307">
        <w:rPr>
          <w:rFonts w:cs="Times New Roman"/>
          <w:i/>
          <w:szCs w:val="22"/>
        </w:rPr>
        <w:t xml:space="preserve"> </w:t>
      </w:r>
      <w:r w:rsidRPr="007F1307">
        <w:rPr>
          <w:rFonts w:cs="Times New Roman"/>
          <w:szCs w:val="22"/>
        </w:rPr>
        <w:t>In re Copaxone Consolidated Cases, No. 2017-1575, 2018 U.S. App. LEXIS 28751, at *2-3 (Fed. Cir. Oct. 12, 2018).</w:t>
      </w:r>
    </w:p>
  </w:footnote>
  <w:footnote w:id="411">
    <w:p w14:paraId="5E4861CB" w14:textId="77777777" w:rsidR="00BA22A2" w:rsidRPr="007F1307" w:rsidRDefault="00BA22A2" w:rsidP="009D5D3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See, e.g.</w:t>
      </w:r>
      <w:r w:rsidRPr="007F1307">
        <w:rPr>
          <w:rFonts w:cs="Times New Roman"/>
          <w:szCs w:val="22"/>
        </w:rPr>
        <w:t xml:space="preserve">, </w:t>
      </w:r>
      <w:r w:rsidRPr="007F1307">
        <w:rPr>
          <w:rFonts w:cs="Times New Roman"/>
          <w:i/>
          <w:szCs w:val="22"/>
        </w:rPr>
        <w:t xml:space="preserve">Id. </w:t>
      </w:r>
      <w:r w:rsidRPr="007F1307">
        <w:rPr>
          <w:rFonts w:cs="Times New Roman"/>
          <w:szCs w:val="22"/>
        </w:rPr>
        <w:t>at *24-27.</w:t>
      </w:r>
    </w:p>
  </w:footnote>
  <w:footnote w:id="412">
    <w:p w14:paraId="19DC8F07" w14:textId="77777777" w:rsidR="00BA22A2" w:rsidRPr="007F1307" w:rsidRDefault="00BA22A2" w:rsidP="009D5D3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*3-4.</w:t>
      </w:r>
    </w:p>
  </w:footnote>
  <w:footnote w:id="413">
    <w:p w14:paraId="3D67B0B2" w14:textId="77777777" w:rsidR="00BA22A2" w:rsidRPr="007F1307" w:rsidRDefault="00BA22A2" w:rsidP="009D5D3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*4, *6-7.</w:t>
      </w:r>
    </w:p>
  </w:footnote>
  <w:footnote w:id="414">
    <w:p w14:paraId="4DF27C7F" w14:textId="77777777" w:rsidR="00BA22A2" w:rsidRPr="007F1307" w:rsidRDefault="00BA22A2" w:rsidP="009D5D3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*7-8.</w:t>
      </w:r>
    </w:p>
  </w:footnote>
  <w:footnote w:id="415">
    <w:p w14:paraId="6A9EFA30" w14:textId="77777777" w:rsidR="00BA22A2" w:rsidRPr="007F1307" w:rsidRDefault="00BA22A2" w:rsidP="009D5D3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*8.</w:t>
      </w:r>
    </w:p>
  </w:footnote>
  <w:footnote w:id="416">
    <w:p w14:paraId="6FF0EC69" w14:textId="77777777" w:rsidR="00BA22A2" w:rsidRPr="007F1307" w:rsidRDefault="00BA22A2" w:rsidP="009D5D3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*9. </w:t>
      </w:r>
    </w:p>
  </w:footnote>
  <w:footnote w:id="417">
    <w:p w14:paraId="08AA6458" w14:textId="77777777" w:rsidR="00BA22A2" w:rsidRPr="007F1307" w:rsidRDefault="00BA22A2" w:rsidP="009D5D3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*9-10 (citing Teva’s 2007 research), </w:t>
      </w:r>
      <w:r w:rsidRPr="007F1307">
        <w:rPr>
          <w:rFonts w:cs="Times New Roman"/>
          <w:i/>
          <w:szCs w:val="22"/>
        </w:rPr>
        <w:t xml:space="preserve">Id. </w:t>
      </w:r>
      <w:r w:rsidRPr="007F1307">
        <w:rPr>
          <w:rFonts w:cs="Times New Roman"/>
          <w:szCs w:val="22"/>
        </w:rPr>
        <w:t xml:space="preserve">at *10 (FORTE 2008); </w:t>
      </w:r>
      <w:r w:rsidRPr="007F1307">
        <w:rPr>
          <w:rFonts w:cs="Times New Roman"/>
          <w:i/>
          <w:szCs w:val="22"/>
        </w:rPr>
        <w:t xml:space="preserve">Id. </w:t>
      </w:r>
      <w:r w:rsidRPr="007F1307">
        <w:rPr>
          <w:rFonts w:cs="Times New Roman"/>
          <w:szCs w:val="22"/>
        </w:rPr>
        <w:t xml:space="preserve">at *10-12 (Khan 2008). </w:t>
      </w:r>
    </w:p>
  </w:footnote>
  <w:footnote w:id="418">
    <w:p w14:paraId="0BD8428A" w14:textId="77777777" w:rsidR="00BA22A2" w:rsidRPr="007F1307" w:rsidRDefault="00BA22A2" w:rsidP="009D5D3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Teva’s own Phase III trial protocol for COPAXONE suggested that the “the natural next step [after the studies would be] to reduce the dosing regimen of GA and find the optimal regimen that [would] improve the convenience of treatment and reduce the burden and adverse events associated with daily subcutaneous injections.” </w:t>
      </w:r>
      <w:r w:rsidRPr="007F1307">
        <w:rPr>
          <w:rFonts w:cs="Times New Roman"/>
          <w:i/>
          <w:szCs w:val="22"/>
        </w:rPr>
        <w:t xml:space="preserve">Id. </w:t>
      </w:r>
      <w:r w:rsidRPr="007F1307">
        <w:rPr>
          <w:rFonts w:cs="Times New Roman"/>
          <w:szCs w:val="22"/>
        </w:rPr>
        <w:t xml:space="preserve">at *13-14 (quoting J.A. 8266) (bracketed text modified). This and one other piece of evidence were admitted to show the state of the art at the critical date, even though they were published after the critical date and not admitted as prior art. </w:t>
      </w:r>
      <w:r w:rsidRPr="007F1307">
        <w:rPr>
          <w:rFonts w:cs="Times New Roman"/>
          <w:i/>
          <w:szCs w:val="22"/>
        </w:rPr>
        <w:t xml:space="preserve">Id. </w:t>
      </w:r>
      <w:r w:rsidRPr="007F1307">
        <w:rPr>
          <w:rFonts w:cs="Times New Roman"/>
          <w:szCs w:val="22"/>
        </w:rPr>
        <w:t xml:space="preserve">at *12-14. </w:t>
      </w:r>
    </w:p>
  </w:footnote>
  <w:footnote w:id="419">
    <w:p w14:paraId="027D4EF3" w14:textId="77777777" w:rsidR="00BA22A2" w:rsidRPr="007F1307" w:rsidRDefault="00BA22A2" w:rsidP="009D5D3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*14.</w:t>
      </w:r>
    </w:p>
  </w:footnote>
  <w:footnote w:id="420">
    <w:p w14:paraId="1C4A7734" w14:textId="77777777" w:rsidR="00BA22A2" w:rsidRPr="007F1307" w:rsidRDefault="00BA22A2" w:rsidP="009D5D3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*16. </w:t>
      </w:r>
    </w:p>
  </w:footnote>
  <w:footnote w:id="421">
    <w:p w14:paraId="6FCBBED6" w14:textId="77777777" w:rsidR="00BA22A2" w:rsidRPr="007F1307" w:rsidRDefault="00BA22A2" w:rsidP="009D5D3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*16.</w:t>
      </w:r>
    </w:p>
  </w:footnote>
  <w:footnote w:id="422">
    <w:p w14:paraId="1D4C2825" w14:textId="77777777" w:rsidR="00BA22A2" w:rsidRPr="007F1307" w:rsidRDefault="00BA22A2" w:rsidP="009D5D3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*27 (quoting Opening Br. 42).</w:t>
      </w:r>
    </w:p>
  </w:footnote>
  <w:footnote w:id="423">
    <w:p w14:paraId="0DACE57E" w14:textId="77777777" w:rsidR="00BA22A2" w:rsidRPr="007F1307" w:rsidRDefault="00BA22A2" w:rsidP="009D5D3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*26-27.</w:t>
      </w:r>
    </w:p>
  </w:footnote>
  <w:footnote w:id="424">
    <w:p w14:paraId="3CECC247" w14:textId="77777777" w:rsidR="00BA22A2" w:rsidRPr="007F1307" w:rsidRDefault="00BA22A2" w:rsidP="009D5D3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*17, *31 (suggesting also that trial evidence showed a still more-limited number of schedules would be likely to succeed given patient compliance problems, e.g., patients prefer to inject on fixed weekdays rather than every other day).</w:t>
      </w:r>
    </w:p>
  </w:footnote>
  <w:footnote w:id="425">
    <w:p w14:paraId="61E5FDC6" w14:textId="77777777" w:rsidR="00BA22A2" w:rsidRPr="007F1307" w:rsidRDefault="00BA22A2" w:rsidP="009D5D3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*29-30 (following reasoning of Hoffmann-La Roche Inc. v. Apotex Inc., 748 F.3d 1326, 1329 (Fed. Cir. 2014)).</w:t>
      </w:r>
    </w:p>
  </w:footnote>
  <w:footnote w:id="426">
    <w:p w14:paraId="4F4588EB" w14:textId="77777777" w:rsidR="00BA22A2" w:rsidRPr="007F1307" w:rsidRDefault="00BA22A2" w:rsidP="009D5D3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*29.</w:t>
      </w:r>
    </w:p>
  </w:footnote>
  <w:footnote w:id="427">
    <w:p w14:paraId="39A2801B" w14:textId="77777777" w:rsidR="00BA22A2" w:rsidRPr="007F1307" w:rsidRDefault="00BA22A2" w:rsidP="009D5D3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*35 (quoting J.A. 20689).</w:t>
      </w:r>
    </w:p>
  </w:footnote>
  <w:footnote w:id="428">
    <w:p w14:paraId="2A195265" w14:textId="77777777" w:rsidR="00BA22A2" w:rsidRPr="007F1307" w:rsidRDefault="00BA22A2" w:rsidP="009D5D3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*35 (quoting J.A. 20689).</w:t>
      </w:r>
    </w:p>
  </w:footnote>
  <w:footnote w:id="429">
    <w:p w14:paraId="287AA437" w14:textId="77777777" w:rsidR="00BA22A2" w:rsidRPr="007F1307" w:rsidRDefault="00BA22A2" w:rsidP="009D5D3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*32-33 (quoting In re Cyclobenzaprine Hydrochloride Extended-Release Capsule Patent Litigation, 676 F.3d 1063, 1063, 1070 (Fed. Cir. 2012)).</w:t>
      </w:r>
    </w:p>
  </w:footnote>
  <w:footnote w:id="430">
    <w:p w14:paraId="03FA9C50" w14:textId="77777777" w:rsidR="00BA22A2" w:rsidRPr="007F1307" w:rsidRDefault="00BA22A2" w:rsidP="009D5D3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*35.</w:t>
      </w:r>
    </w:p>
  </w:footnote>
  <w:footnote w:id="431">
    <w:p w14:paraId="404B63BB" w14:textId="77777777" w:rsidR="00BA22A2" w:rsidRPr="007F1307" w:rsidRDefault="00BA22A2" w:rsidP="009D5D3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*35-38. The expert admitted prescribing the 20mg daily drug as an off-label every-other-day drug to improve tolerance. Teva’s drug trial protocol, used not as prior art but as evidence of the state of art, suggested similarly. </w:t>
      </w:r>
      <w:r w:rsidRPr="007F1307">
        <w:rPr>
          <w:rFonts w:cs="Times New Roman"/>
          <w:i/>
          <w:szCs w:val="22"/>
        </w:rPr>
        <w:t>Id.</w:t>
      </w:r>
    </w:p>
  </w:footnote>
  <w:footnote w:id="432">
    <w:p w14:paraId="273DDF64" w14:textId="77777777" w:rsidR="00BA22A2" w:rsidRPr="007F1307" w:rsidRDefault="00BA22A2" w:rsidP="009D5D3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*39.</w:t>
      </w:r>
    </w:p>
  </w:footnote>
  <w:footnote w:id="433">
    <w:p w14:paraId="0BAFCCBC" w14:textId="77777777" w:rsidR="00BA22A2" w:rsidRPr="007F1307" w:rsidRDefault="00BA22A2" w:rsidP="009D5D3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*41 (quoting the expert as stating that, with a decrease in frequency, “there would, by definition, then also be a decrease in the severity of the adverse events” (quoting J.A. 5523)).</w:t>
      </w:r>
    </w:p>
  </w:footnote>
  <w:footnote w:id="434">
    <w:p w14:paraId="3A9CD01C" w14:textId="50DBB588"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Monsanto Tech. LLC v. E.I. DuPont de Nemours &amp; Co., 878 F.3d 1336, 1338 (Fed. Cir. Jan. 5, 2018).</w:t>
      </w:r>
    </w:p>
  </w:footnote>
  <w:footnote w:id="435">
    <w:p w14:paraId="2CE8A5E7"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1340.</w:t>
      </w:r>
    </w:p>
  </w:footnote>
  <w:footnote w:id="436">
    <w:p w14:paraId="74315FB0"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1343.</w:t>
      </w:r>
    </w:p>
  </w:footnote>
  <w:footnote w:id="437">
    <w:p w14:paraId="2530DBCC"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1345.</w:t>
      </w:r>
    </w:p>
  </w:footnote>
  <w:footnote w:id="438">
    <w:p w14:paraId="5E6CFA7F"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439">
    <w:p w14:paraId="15D2CEB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440">
    <w:p w14:paraId="53518152"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441">
    <w:p w14:paraId="78DB1920"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442">
    <w:p w14:paraId="085FE7E0"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443">
    <w:p w14:paraId="624F2A9B"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1347.</w:t>
      </w:r>
    </w:p>
  </w:footnote>
  <w:footnote w:id="444">
    <w:p w14:paraId="7EC2F97F" w14:textId="24206B20"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Endo Pharms. Sols. Inc. v. Custopharm Inc., 894 F.3d 1374, 1376, 1378 (Fed. Cir. 2018).</w:t>
      </w:r>
    </w:p>
  </w:footnote>
  <w:footnote w:id="445">
    <w:p w14:paraId="23C9AC61"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1376-77.</w:t>
      </w:r>
    </w:p>
  </w:footnote>
  <w:footnote w:id="446">
    <w:p w14:paraId="0AE6CC59" w14:textId="7279F33E"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1376-78. Prior publications regarding similar treatments disclosed a higher TU dosage, did not disclose the use of a co-solvent, and did not disclose an injection schedule.</w:t>
      </w:r>
    </w:p>
  </w:footnote>
  <w:footnote w:id="447">
    <w:p w14:paraId="533A3445"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1378.</w:t>
      </w:r>
    </w:p>
  </w:footnote>
  <w:footnote w:id="448">
    <w:p w14:paraId="7AF40EE8"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1378-79</w:t>
      </w:r>
    </w:p>
  </w:footnote>
  <w:footnote w:id="449">
    <w:p w14:paraId="3DFF27ED"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1379-86.</w:t>
      </w:r>
    </w:p>
  </w:footnote>
  <w:footnote w:id="450">
    <w:p w14:paraId="621AC274" w14:textId="4B7575A1"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1379. </w:t>
      </w:r>
    </w:p>
  </w:footnote>
  <w:footnote w:id="451">
    <w:p w14:paraId="00AB93BB"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1381-82</w:t>
      </w:r>
    </w:p>
  </w:footnote>
  <w:footnote w:id="452">
    <w:p w14:paraId="65566DC8" w14:textId="156C5BB2"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Arctic Cat Inc. v. Bombardier Recreational Prods. Inc., 876 F.3d 1350, 1356 (Fed. Cir. 2017).</w:t>
      </w:r>
    </w:p>
  </w:footnote>
  <w:footnote w:id="453">
    <w:p w14:paraId="3FBE9109"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1357.</w:t>
      </w:r>
    </w:p>
  </w:footnote>
  <w:footnote w:id="454">
    <w:p w14:paraId="0CCED805"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455">
    <w:p w14:paraId="7641F1CF"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456">
    <w:p w14:paraId="5AE682A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457">
    <w:p w14:paraId="582FA652"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1361.</w:t>
      </w:r>
    </w:p>
  </w:footnote>
  <w:footnote w:id="458">
    <w:p w14:paraId="370C8D94"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459">
    <w:p w14:paraId="77A02EEB"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1362.</w:t>
      </w:r>
    </w:p>
  </w:footnote>
  <w:footnote w:id="460">
    <w:p w14:paraId="5734EA80"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461">
    <w:p w14:paraId="24151787"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462">
    <w:p w14:paraId="58346684"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463">
    <w:p w14:paraId="6D4DB2F0"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1363.</w:t>
      </w:r>
    </w:p>
  </w:footnote>
  <w:footnote w:id="464">
    <w:p w14:paraId="58D68AFC"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465">
    <w:p w14:paraId="399ED1AB"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1364-65.</w:t>
      </w:r>
    </w:p>
  </w:footnote>
  <w:footnote w:id="466">
    <w:p w14:paraId="1CDE6B15"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w:t>
      </w:r>
    </w:p>
  </w:footnote>
  <w:footnote w:id="467">
    <w:p w14:paraId="1BBED5EE"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468">
    <w:p w14:paraId="4609FE84" w14:textId="3AAD8171"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Am. Innotek, Inc. v. United States, 706 Fed. Appx. 686, 686 (Fed. Cir. 2017).</w:t>
      </w:r>
    </w:p>
  </w:footnote>
  <w:footnote w:id="469">
    <w:p w14:paraId="0875FAAE" w14:textId="4A0B2ECB"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(quoting Am. Innotek v. United States, 128 Fed. Cl. 135, 163 (2016)).</w:t>
      </w:r>
    </w:p>
  </w:footnote>
  <w:footnote w:id="470">
    <w:p w14:paraId="311E87D4"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471">
    <w:p w14:paraId="7B4DA6B4" w14:textId="1C32770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(quoting Apple Inc. v. Samsung Elcs. Co., Ltd., 839 F.3d 1034, 1048 (Fed. Cir. 2016) (en banc), </w:t>
      </w:r>
      <w:r w:rsidRPr="007F1307">
        <w:rPr>
          <w:rFonts w:cs="Times New Roman"/>
          <w:i/>
          <w:szCs w:val="22"/>
        </w:rPr>
        <w:t>cert. denied</w:t>
      </w:r>
      <w:r w:rsidRPr="007F1307">
        <w:rPr>
          <w:rFonts w:cs="Times New Roman"/>
          <w:szCs w:val="22"/>
        </w:rPr>
        <w:t xml:space="preserve">, 138 S. Ct. 420 (2017)). </w:t>
      </w:r>
    </w:p>
  </w:footnote>
  <w:footnote w:id="472">
    <w:p w14:paraId="2AB6AAD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In re</w:t>
      </w:r>
      <w:r w:rsidRPr="007F1307">
        <w:rPr>
          <w:rFonts w:cs="Times New Roman"/>
          <w:szCs w:val="22"/>
        </w:rPr>
        <w:t xml:space="preserve"> Janssen Biotech, Inc., No. 2017-1257, 2018 WL 503335, at *1 (Fed. Cir. Jan. 23, 2018).</w:t>
      </w:r>
    </w:p>
  </w:footnote>
  <w:footnote w:id="473">
    <w:p w14:paraId="3CC59D81"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*1-2.</w:t>
      </w:r>
    </w:p>
  </w:footnote>
  <w:footnote w:id="474">
    <w:p w14:paraId="043820B4"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*2-3.</w:t>
      </w:r>
    </w:p>
  </w:footnote>
  <w:footnote w:id="475">
    <w:p w14:paraId="784B4DC3"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*3.</w:t>
      </w:r>
    </w:p>
  </w:footnote>
  <w:footnote w:id="476">
    <w:p w14:paraId="7BF330C4"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477">
    <w:p w14:paraId="3BA2C404"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w:t>
      </w:r>
    </w:p>
  </w:footnote>
  <w:footnote w:id="478">
    <w:p w14:paraId="6E46AE2F"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w:t>
      </w:r>
    </w:p>
  </w:footnote>
  <w:footnote w:id="479">
    <w:p w14:paraId="28952E06"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*4.</w:t>
      </w:r>
    </w:p>
  </w:footnote>
  <w:footnote w:id="480">
    <w:p w14:paraId="7E1353D9"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*5.</w:t>
      </w:r>
    </w:p>
  </w:footnote>
  <w:footnote w:id="481">
    <w:p w14:paraId="4684AA76"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*4.</w:t>
      </w:r>
    </w:p>
  </w:footnote>
  <w:footnote w:id="482">
    <w:p w14:paraId="6A8C49CE"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790 F.3d 1349 (Fed. Cir. 2015).</w:t>
      </w:r>
    </w:p>
  </w:footnote>
  <w:footnote w:id="483">
    <w:p w14:paraId="22F854FB"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1354-55.</w:t>
      </w:r>
    </w:p>
  </w:footnote>
  <w:footnote w:id="484">
    <w:p w14:paraId="2BE0DF4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In re</w:t>
      </w:r>
      <w:r w:rsidRPr="007F1307">
        <w:rPr>
          <w:rFonts w:cs="Times New Roman"/>
          <w:szCs w:val="22"/>
        </w:rPr>
        <w:t xml:space="preserve"> Janssen, 2018 WL 503335, at *5.</w:t>
      </w:r>
    </w:p>
  </w:footnote>
  <w:footnote w:id="485">
    <w:p w14:paraId="6CE356B3"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*6.</w:t>
      </w:r>
    </w:p>
  </w:footnote>
  <w:footnote w:id="486">
    <w:p w14:paraId="6882070A"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487">
    <w:p w14:paraId="5F54E7C4"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488">
    <w:p w14:paraId="574C41F0"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w:t>
      </w:r>
    </w:p>
  </w:footnote>
  <w:footnote w:id="489">
    <w:p w14:paraId="238A7812"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*7.</w:t>
      </w:r>
    </w:p>
  </w:footnote>
  <w:footnote w:id="490">
    <w:p w14:paraId="122D02E3"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491">
    <w:p w14:paraId="63D488B8"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w:t>
      </w:r>
    </w:p>
  </w:footnote>
  <w:footnote w:id="492">
    <w:p w14:paraId="6B8DD4E8"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*7-8.</w:t>
      </w:r>
    </w:p>
  </w:footnote>
  <w:footnote w:id="493">
    <w:p w14:paraId="6F22780E" w14:textId="2B315C05"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UCB, Inc. v. Accord Healthcare, Inc., 890 F.3d 1313, 1317 (Fed. Cir. 2018); </w:t>
      </w:r>
      <w:r w:rsidRPr="007F1307">
        <w:rPr>
          <w:rFonts w:cs="Times New Roman"/>
          <w:i/>
          <w:szCs w:val="22"/>
        </w:rPr>
        <w:t xml:space="preserve">see also id. </w:t>
      </w:r>
      <w:r w:rsidRPr="007F1307">
        <w:rPr>
          <w:rFonts w:cs="Times New Roman"/>
          <w:szCs w:val="22"/>
        </w:rPr>
        <w:t>at 1334 (Prost, C.J., dissenting).</w:t>
      </w:r>
    </w:p>
  </w:footnote>
  <w:footnote w:id="494">
    <w:p w14:paraId="1864B437"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1317-22 (summarizing patents, state of art).</w:t>
      </w:r>
    </w:p>
  </w:footnote>
  <w:footnote w:id="495">
    <w:p w14:paraId="6A6250A9"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1318.</w:t>
      </w:r>
    </w:p>
  </w:footnote>
  <w:footnote w:id="496">
    <w:p w14:paraId="58BD4374" w14:textId="7C047F53"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p>
  </w:footnote>
  <w:footnote w:id="497">
    <w:p w14:paraId="6FD18DBB" w14:textId="5E9DC093"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1317-22. The ’551 patent disclosed the species having unsubstituted benzyl at R, unsubstituted methyl at R1, and nonaromatic methoxymethyl at R3 in the compound’s R stereoisomer. </w:t>
      </w:r>
      <w:r w:rsidRPr="007F1307">
        <w:rPr>
          <w:rFonts w:cs="Times New Roman"/>
          <w:i/>
          <w:szCs w:val="22"/>
        </w:rPr>
        <w:t xml:space="preserve">Id. </w:t>
      </w:r>
      <w:r w:rsidRPr="007F1307">
        <w:rPr>
          <w:rFonts w:cs="Times New Roman"/>
          <w:szCs w:val="22"/>
        </w:rPr>
        <w:t>at 1318.</w:t>
      </w:r>
    </w:p>
  </w:footnote>
  <w:footnote w:id="498">
    <w:p w14:paraId="553741E8"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Cf. id. </w:t>
      </w:r>
      <w:r w:rsidRPr="007F1307">
        <w:rPr>
          <w:rFonts w:cs="Times New Roman"/>
          <w:szCs w:val="22"/>
        </w:rPr>
        <w:t xml:space="preserve">at 1322. For instance, the Kohn 1987 reference held constant the correct molecules in R and R1 while testing R3, </w:t>
      </w:r>
      <w:r w:rsidRPr="007F1307">
        <w:rPr>
          <w:rFonts w:cs="Times New Roman"/>
          <w:i/>
          <w:szCs w:val="22"/>
        </w:rPr>
        <w:t xml:space="preserve">id. </w:t>
      </w:r>
      <w:r w:rsidRPr="007F1307">
        <w:rPr>
          <w:rFonts w:cs="Times New Roman"/>
          <w:szCs w:val="22"/>
        </w:rPr>
        <w:t xml:space="preserve">at 1318, but this failed to measure what portion of the efficacy was attributable to R and R1, </w:t>
      </w:r>
      <w:r w:rsidRPr="007F1307">
        <w:rPr>
          <w:rFonts w:cs="Times New Roman"/>
          <w:i/>
          <w:szCs w:val="22"/>
        </w:rPr>
        <w:t xml:space="preserve">id. </w:t>
      </w:r>
      <w:r w:rsidRPr="007F1307">
        <w:rPr>
          <w:rFonts w:cs="Times New Roman"/>
          <w:szCs w:val="22"/>
        </w:rPr>
        <w:t>at 1322.</w:t>
      </w:r>
    </w:p>
  </w:footnote>
  <w:footnote w:id="499">
    <w:p w14:paraId="43E84E9A" w14:textId="299C09CD"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Cf. id. </w:t>
      </w:r>
      <w:r w:rsidRPr="007F1307">
        <w:rPr>
          <w:rFonts w:cs="Times New Roman"/>
          <w:szCs w:val="22"/>
        </w:rPr>
        <w:t xml:space="preserve">at 1319. For instance, the LeGall 1987 reference selected three of the four values but taught away from one of the three it had selected, preferring “heteroaromatic groups in R3” to nonaromatics. </w:t>
      </w:r>
      <w:r w:rsidRPr="007F1307">
        <w:rPr>
          <w:rFonts w:cs="Times New Roman"/>
          <w:i/>
          <w:szCs w:val="22"/>
        </w:rPr>
        <w:t>Id.</w:t>
      </w:r>
      <w:r w:rsidRPr="007F1307">
        <w:rPr>
          <w:rFonts w:cs="Times New Roman"/>
          <w:szCs w:val="22"/>
        </w:rPr>
        <w:t xml:space="preserve"> </w:t>
      </w:r>
    </w:p>
  </w:footnote>
  <w:footnote w:id="500">
    <w:p w14:paraId="421C444F"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1328.</w:t>
      </w:r>
    </w:p>
  </w:footnote>
  <w:footnote w:id="501">
    <w:p w14:paraId="517566C9"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1324.</w:t>
      </w:r>
    </w:p>
  </w:footnote>
  <w:footnote w:id="502">
    <w:p w14:paraId="1FF50FED"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1329.</w:t>
      </w:r>
    </w:p>
  </w:footnote>
  <w:footnote w:id="503">
    <w:p w14:paraId="1770C7F3"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1324-25.</w:t>
      </w:r>
    </w:p>
  </w:footnote>
  <w:footnote w:id="504">
    <w:p w14:paraId="5CB36861"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1327.</w:t>
      </w:r>
    </w:p>
  </w:footnote>
  <w:footnote w:id="505">
    <w:p w14:paraId="69B8266E" w14:textId="57AE64FE"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1329 (citation omitted). </w:t>
      </w:r>
    </w:p>
  </w:footnote>
  <w:footnote w:id="506">
    <w:p w14:paraId="58A737F4" w14:textId="6230C135"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p>
  </w:footnote>
  <w:footnote w:id="507">
    <w:p w14:paraId="221A7E5C" w14:textId="7E745570"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1333 (stating also that about 75% of the inventor’s earlier experimental compounds (many published) used the correct molecules in positions R and R3).</w:t>
      </w:r>
    </w:p>
  </w:footnote>
  <w:footnote w:id="508">
    <w:p w14:paraId="6D6E466B"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1335.</w:t>
      </w:r>
    </w:p>
  </w:footnote>
  <w:footnote w:id="509">
    <w:p w14:paraId="3A905D26"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1326.</w:t>
      </w:r>
    </w:p>
  </w:footnote>
  <w:footnote w:id="510">
    <w:p w14:paraId="10A2C8C8"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In re Nordt Dev. Co., LLC, 881 F.3d 1371 (Fed. Cir. Feb. 8, 2018).</w:t>
      </w:r>
    </w:p>
  </w:footnote>
  <w:footnote w:id="511">
    <w:p w14:paraId="4FFD61C5"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1372.</w:t>
      </w:r>
    </w:p>
  </w:footnote>
  <w:footnote w:id="512">
    <w:p w14:paraId="469C967C"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1374.</w:t>
      </w:r>
    </w:p>
  </w:footnote>
  <w:footnote w:id="513">
    <w:p w14:paraId="0045FDA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514">
    <w:p w14:paraId="1821752C" w14:textId="70B963E0"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1375 (quoting 3M Innovative Props. Co. v. Avery Dennison Corp., 350 F.3d 1365, 1371-72 (Fed. Cir. 2003)).</w:t>
      </w:r>
    </w:p>
  </w:footnote>
  <w:footnote w:id="515">
    <w:p w14:paraId="5698C99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w:t>
      </w:r>
    </w:p>
  </w:footnote>
  <w:footnote w:id="516">
    <w:p w14:paraId="3E7B6FD2"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517">
    <w:p w14:paraId="207DAAE6"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518">
    <w:p w14:paraId="0CDE49CC" w14:textId="1FC3B854"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Blackbird Tech LLC v. ELB Elecs., Inc., 895 F.3d 1374, 1375 (Fed. Cir. 2018).</w:t>
      </w:r>
    </w:p>
  </w:footnote>
  <w:footnote w:id="519">
    <w:p w14:paraId="46C1BCA6"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1376.</w:t>
      </w:r>
    </w:p>
  </w:footnote>
  <w:footnote w:id="520">
    <w:p w14:paraId="116F0639"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Id.</w:t>
      </w:r>
    </w:p>
  </w:footnote>
  <w:footnote w:id="521">
    <w:p w14:paraId="139A14E7" w14:textId="67661635"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1376-77 (citing reviewing standards).</w:t>
      </w:r>
    </w:p>
  </w:footnote>
  <w:footnote w:id="522">
    <w:p w14:paraId="6B4E6AFB"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1379.</w:t>
      </w:r>
    </w:p>
  </w:footnote>
  <w:footnote w:id="523">
    <w:p w14:paraId="5D37CD04"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1377.</w:t>
      </w:r>
    </w:p>
  </w:footnote>
  <w:footnote w:id="524">
    <w:p w14:paraId="40C0E7F2"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p>
  </w:footnote>
  <w:footnote w:id="525">
    <w:p w14:paraId="438F126B" w14:textId="1702FC78"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1378. </w:t>
      </w:r>
    </w:p>
  </w:footnote>
  <w:footnote w:id="526">
    <w:p w14:paraId="62C2751A"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p>
  </w:footnote>
  <w:footnote w:id="527">
    <w:p w14:paraId="5913454E" w14:textId="68286CBE"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1379.</w:t>
      </w:r>
    </w:p>
  </w:footnote>
  <w:footnote w:id="528">
    <w:p w14:paraId="53569987"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1379-82.</w:t>
      </w:r>
    </w:p>
  </w:footnote>
  <w:footnote w:id="529">
    <w:p w14:paraId="3C4CA1DD" w14:textId="6C823605"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1380 (citing Medrad, Inc. v. MRI Devices Corp., 401 F.3d 1313, 1319 (Fed. Cir. 2005)).</w:t>
      </w:r>
    </w:p>
  </w:footnote>
  <w:footnote w:id="530">
    <w:p w14:paraId="62EA829C"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1380. He also argued that “attachment surface” must mean something more than surface for attaching to the illumination surface, else “illumination surface” could be called the same.</w:t>
      </w:r>
    </w:p>
  </w:footnote>
  <w:footnote w:id="531">
    <w:p w14:paraId="59A18704"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at 1381.</w:t>
      </w:r>
    </w:p>
  </w:footnote>
  <w:footnote w:id="532">
    <w:p w14:paraId="24C59752" w14:textId="1536F3B4"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1381 (citing Carman Indus., Inc. v. Wahl, 724 F.2d 932, 937 (Fed. Cir. 1983)).</w:t>
      </w:r>
    </w:p>
  </w:footnote>
  <w:footnote w:id="533">
    <w:p w14:paraId="4B4AE9B9"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1381-82.</w:t>
      </w:r>
    </w:p>
  </w:footnote>
  <w:footnote w:id="534">
    <w:p w14:paraId="13F53C3F" w14:textId="6679D17A"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1382 (quoting Grober v. Mako Prods., Inc., 686 F.3d 1335, 1341 (Fed. Cir. 2012)).</w:t>
      </w:r>
    </w:p>
  </w:footnote>
  <w:footnote w:id="535">
    <w:p w14:paraId="12A5E079" w14:textId="6BAD838B"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Travel Sentry, Inc. v. Tropp, 877 F.3d 1370, 1372 (Fed. Cir. 2017).</w:t>
      </w:r>
    </w:p>
  </w:footnote>
  <w:footnote w:id="536">
    <w:p w14:paraId="00A12C85"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1372-73.</w:t>
      </w:r>
    </w:p>
  </w:footnote>
  <w:footnote w:id="537">
    <w:p w14:paraId="4235A463"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538">
    <w:p w14:paraId="1EF03B0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1380.</w:t>
      </w:r>
    </w:p>
  </w:footnote>
  <w:footnote w:id="539">
    <w:p w14:paraId="0115C21B" w14:textId="5A72AB1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Akamai Techs., Inc. v. Limelight Networks, Inc., 797 F.3d 1020 (Fed. Cir. 2015) (en banc).</w:t>
      </w:r>
    </w:p>
  </w:footnote>
  <w:footnote w:id="540">
    <w:p w14:paraId="3AC4469F" w14:textId="1B923A38"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Eli Lilly and Co. v. Teva Parenteral Meds., Inc., 845 F.3d 1357 (Fed. Cir. 2017).</w:t>
      </w:r>
    </w:p>
  </w:footnote>
  <w:footnote w:id="541">
    <w:p w14:paraId="16D6202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Travel Sentry, 877 F.3d at 1380.</w:t>
      </w:r>
    </w:p>
  </w:footnote>
  <w:footnote w:id="542">
    <w:p w14:paraId="2F9D1832"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1373-74.</w:t>
      </w:r>
    </w:p>
  </w:footnote>
  <w:footnote w:id="543">
    <w:p w14:paraId="38B5F255"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1381.</w:t>
      </w:r>
    </w:p>
  </w:footnote>
  <w:footnote w:id="544">
    <w:p w14:paraId="371E7B40"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1382.</w:t>
      </w:r>
    </w:p>
  </w:footnote>
  <w:footnote w:id="545">
    <w:p w14:paraId="276B0DF5"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1382-83</w:t>
      </w:r>
    </w:p>
  </w:footnote>
  <w:footnote w:id="546">
    <w:p w14:paraId="51034353"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547">
    <w:p w14:paraId="053AA065"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1383.</w:t>
      </w:r>
    </w:p>
  </w:footnote>
  <w:footnote w:id="548">
    <w:p w14:paraId="352802FB"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1384.</w:t>
      </w:r>
    </w:p>
  </w:footnote>
  <w:footnote w:id="549">
    <w:p w14:paraId="5B072B2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w:t>
      </w:r>
    </w:p>
  </w:footnote>
  <w:footnote w:id="550">
    <w:p w14:paraId="3D104EF0" w14:textId="76709179"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Metro-Goldwyn-Mayer Studios Inc. v. Grokster, Ltd., 545 U.S. 913 (2005).</w:t>
      </w:r>
    </w:p>
  </w:footnote>
  <w:footnote w:id="551">
    <w:p w14:paraId="35B1351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Travel Sentry, 877 F.3d at 1385.</w:t>
      </w:r>
    </w:p>
  </w:footnote>
  <w:footnote w:id="552">
    <w:p w14:paraId="0898DB17" w14:textId="59F78B02"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Core Wireless Licensing S.A.R.L. v. Apple Inc., 899 F.3d 1356, 1358 (Fed. Cir. 2018).</w:t>
      </w:r>
    </w:p>
  </w:footnote>
  <w:footnote w:id="553">
    <w:p w14:paraId="64B45102" w14:textId="7BDEE4F9"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1368 (quoting Therasense, Inc. v. Becton, Dickinson &amp; Co., 649 F.3d 1276, 1292 (Fed. Cir. 2011)).</w:t>
      </w:r>
    </w:p>
  </w:footnote>
  <w:footnote w:id="554">
    <w:p w14:paraId="4F7BB4CC" w14:textId="6F3A16F9"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1358-59.</w:t>
      </w:r>
    </w:p>
  </w:footnote>
  <w:footnote w:id="555">
    <w:p w14:paraId="57D3E8AC"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1359.</w:t>
      </w:r>
    </w:p>
  </w:footnote>
  <w:footnote w:id="556">
    <w:p w14:paraId="77920445"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1366.</w:t>
      </w:r>
    </w:p>
  </w:footnote>
  <w:footnote w:id="557">
    <w:p w14:paraId="37BAB996" w14:textId="11638665"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Finish law evidently did not require the patents be disclosed for three years.</w:t>
      </w:r>
    </w:p>
  </w:footnote>
  <w:footnote w:id="558">
    <w:p w14:paraId="116E8656" w14:textId="2590ECF5"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1365.</w:t>
      </w:r>
    </w:p>
  </w:footnote>
  <w:footnote w:id="559">
    <w:p w14:paraId="582458B9" w14:textId="43DF2F3F"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p>
  </w:footnote>
  <w:footnote w:id="560">
    <w:p w14:paraId="056C95FD" w14:textId="6282439E"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(quoting Hynix Semiconductor Inc. v. Rambus Inc., 645 F.3d 1336, 1348 (Fed. Cir. 2011)).</w:t>
      </w:r>
    </w:p>
  </w:footnote>
  <w:footnote w:id="561">
    <w:p w14:paraId="31C2CA27" w14:textId="77777777" w:rsidR="00BA22A2" w:rsidRPr="007F1307" w:rsidRDefault="00BA22A2" w:rsidP="00AE50AD">
      <w:pPr>
        <w:pStyle w:val="FootnoteText"/>
        <w:rPr>
          <w:rFonts w:cs="Times New Roman"/>
          <w:i/>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p>
  </w:footnote>
  <w:footnote w:id="562">
    <w:p w14:paraId="4F569877"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1366.</w:t>
      </w:r>
    </w:p>
  </w:footnote>
  <w:footnote w:id="563">
    <w:p w14:paraId="18D1F956" w14:textId="559925FD"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p>
  </w:footnote>
  <w:footnote w:id="564">
    <w:p w14:paraId="0EA44CFA" w14:textId="4FC57BA6"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1368 (explaining possible interpretations of the district court opinion).</w:t>
      </w:r>
    </w:p>
  </w:footnote>
  <w:footnote w:id="565">
    <w:p w14:paraId="4A571070"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1367.</w:t>
      </w:r>
    </w:p>
  </w:footnote>
  <w:footnote w:id="566">
    <w:p w14:paraId="1D3A6EC4" w14:textId="0EAFB075"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1367-68. </w:t>
      </w:r>
    </w:p>
  </w:footnote>
  <w:footnote w:id="567">
    <w:p w14:paraId="716FA774"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1367 (citing Hynix, 645 F.3d at 1348).</w:t>
      </w:r>
    </w:p>
  </w:footnote>
  <w:footnote w:id="568">
    <w:p w14:paraId="70952B9F"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1368 (explaining possible interpretations of the district court opinion).</w:t>
      </w:r>
    </w:p>
  </w:footnote>
  <w:footnote w:id="569">
    <w:p w14:paraId="1CCA4554" w14:textId="77777777" w:rsidR="00BA22A2" w:rsidRPr="007F1307" w:rsidRDefault="00BA22A2" w:rsidP="00AE50AD">
      <w:pPr>
        <w:pStyle w:val="FootnoteText"/>
        <w:rPr>
          <w:rFonts w:cs="Times New Roman"/>
          <w:szCs w:val="22"/>
          <w:u w:val="single"/>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1369 (explaining remand).</w:t>
      </w:r>
    </w:p>
  </w:footnote>
  <w:footnote w:id="570">
    <w:p w14:paraId="28911093" w14:textId="6681208B"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Power Integrations, Inc. v. Fairchild Semiconductor Int’l, Inc., Nos. 2016-2691 &amp; 2017-1875, 2018 WL 4501536, at *1 (Fed. Cir. July 3, 2018, modified Sept. 20, 2018). </w:t>
      </w:r>
    </w:p>
  </w:footnote>
  <w:footnote w:id="571">
    <w:p w14:paraId="60359F2F" w14:textId="4A4C3C8F"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572">
    <w:p w14:paraId="0428B6C1"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*6.</w:t>
      </w:r>
    </w:p>
  </w:footnote>
  <w:footnote w:id="573">
    <w:p w14:paraId="28F7B413" w14:textId="155A88AD"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574">
    <w:p w14:paraId="41C40BF4" w14:textId="32C04E43"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*7. </w:t>
      </w:r>
    </w:p>
  </w:footnote>
  <w:footnote w:id="575">
    <w:p w14:paraId="190B5B52" w14:textId="16873B61"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(quoting J.A. 2283 (emphasis in original)).</w:t>
      </w:r>
    </w:p>
  </w:footnote>
  <w:footnote w:id="576">
    <w:p w14:paraId="63BB1DCC"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*6.</w:t>
      </w:r>
    </w:p>
  </w:footnote>
  <w:footnote w:id="577">
    <w:p w14:paraId="1C73001D" w14:textId="28065594"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(citing Festo Corp. v. Shoketsu Kinzoku Kogyo Kabushiki Co., 535 U.S. 722, 733–34 (2002)).</w:t>
      </w:r>
    </w:p>
  </w:footnote>
  <w:footnote w:id="578">
    <w:p w14:paraId="02D82CAF" w14:textId="2A65BBBE"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*6 (citing Abtox, Inc. v. Exitron Corp., 122 F.3d 1019, 1027 (Fed. Cir. 1997)).</w:t>
      </w:r>
    </w:p>
  </w:footnote>
  <w:footnote w:id="579">
    <w:p w14:paraId="3A36E860"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*7.</w:t>
      </w:r>
    </w:p>
  </w:footnote>
  <w:footnote w:id="580">
    <w:p w14:paraId="677D8A8F"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*8.</w:t>
      </w:r>
    </w:p>
  </w:footnote>
  <w:footnote w:id="581">
    <w:p w14:paraId="625684C4" w14:textId="00FBBE9F"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Gilead Scis., Inc. v. Merck &amp; Co., Inc., 888 F.3d 1231, 1232-34 (Fed. Cir. 2018).</w:t>
      </w:r>
    </w:p>
  </w:footnote>
  <w:footnote w:id="582">
    <w:p w14:paraId="2C3030CA"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1240.</w:t>
      </w:r>
      <w:r w:rsidRPr="007F1307">
        <w:rPr>
          <w:rFonts w:cs="Times New Roman"/>
          <w:i/>
          <w:szCs w:val="22"/>
        </w:rPr>
        <w:t xml:space="preserve"> </w:t>
      </w:r>
    </w:p>
  </w:footnote>
  <w:footnote w:id="583">
    <w:p w14:paraId="4FCC8A33"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584">
    <w:p w14:paraId="74DEB80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1242.</w:t>
      </w:r>
    </w:p>
  </w:footnote>
  <w:footnote w:id="585">
    <w:p w14:paraId="1F475EF5"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1242-43.</w:t>
      </w:r>
    </w:p>
  </w:footnote>
  <w:footnote w:id="586">
    <w:p w14:paraId="10129248"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1240.</w:t>
      </w:r>
    </w:p>
  </w:footnote>
  <w:footnote w:id="587">
    <w:p w14:paraId="33828D41"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1243. </w:t>
      </w:r>
    </w:p>
  </w:footnote>
  <w:footnote w:id="588">
    <w:p w14:paraId="3271B9D3"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589">
    <w:p w14:paraId="4FF2AADE"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590">
    <w:p w14:paraId="2B91F0F9"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591">
    <w:p w14:paraId="18D650A2"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1244.</w:t>
      </w:r>
    </w:p>
  </w:footnote>
  <w:footnote w:id="592">
    <w:p w14:paraId="70E017F6"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1244-46.</w:t>
      </w:r>
    </w:p>
  </w:footnote>
  <w:footnote w:id="593">
    <w:p w14:paraId="600432A6"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1247.</w:t>
      </w:r>
    </w:p>
  </w:footnote>
  <w:footnote w:id="594">
    <w:p w14:paraId="1C17F4EE"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595">
    <w:p w14:paraId="5E1C1425"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596">
    <w:p w14:paraId="763DA66E"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597">
    <w:p w14:paraId="3626C5BE"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598">
    <w:p w14:paraId="06298C39" w14:textId="47B1DF0E"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Energy Heating, LLC v. Heat On-The-Fly, LLC, 889 F.3d 1291, 1296 (Fed. Cir. 2018).</w:t>
      </w:r>
    </w:p>
  </w:footnote>
  <w:footnote w:id="599">
    <w:p w14:paraId="02F51338"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1300.</w:t>
      </w:r>
    </w:p>
  </w:footnote>
  <w:footnote w:id="600">
    <w:p w14:paraId="0EEEFAC7" w14:textId="1EA36235"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1296-97 (quoting ’993 patent col. 1 ll. 28-30, 36-37). Prior art required preheating water that stood in large tanks, rather than heating, as it were, “on-the-fly” in the lines. </w:t>
      </w:r>
      <w:r w:rsidRPr="007F1307">
        <w:rPr>
          <w:rFonts w:cs="Times New Roman"/>
          <w:i/>
          <w:szCs w:val="22"/>
        </w:rPr>
        <w:t xml:space="preserve">Id. </w:t>
      </w:r>
      <w:r w:rsidRPr="007F1307">
        <w:rPr>
          <w:rFonts w:cs="Times New Roman"/>
          <w:szCs w:val="22"/>
        </w:rPr>
        <w:t>at 1297.</w:t>
      </w:r>
    </w:p>
  </w:footnote>
  <w:footnote w:id="601">
    <w:p w14:paraId="011756F3"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1297.</w:t>
      </w:r>
    </w:p>
  </w:footnote>
  <w:footnote w:id="602">
    <w:p w14:paraId="776F6AA9"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1297-98.</w:t>
      </w:r>
    </w:p>
  </w:footnote>
  <w:footnote w:id="603">
    <w:p w14:paraId="085BD30E" w14:textId="787D4991"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1298. ’</w:t>
      </w:r>
    </w:p>
  </w:footnote>
  <w:footnote w:id="604">
    <w:p w14:paraId="45BC7044" w14:textId="1BE7A3EA"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1298-99. </w:t>
      </w:r>
    </w:p>
  </w:footnote>
  <w:footnote w:id="605">
    <w:p w14:paraId="692BB2AC"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1302.</w:t>
      </w:r>
    </w:p>
  </w:footnote>
  <w:footnote w:id="606">
    <w:p w14:paraId="4C7265BF" w14:textId="3AE5BF05" w:rsidR="00BA22A2" w:rsidRPr="007F1307" w:rsidRDefault="00BA22A2" w:rsidP="00AE50AD">
      <w:pPr>
        <w:pStyle w:val="FootnoteText"/>
        <w:rPr>
          <w:rFonts w:cs="Times New Roman"/>
          <w:i/>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1299</w:t>
      </w:r>
      <w:r w:rsidRPr="007F1307">
        <w:rPr>
          <w:rFonts w:cs="Times New Roman"/>
          <w:i/>
          <w:szCs w:val="22"/>
        </w:rPr>
        <w:t>.</w:t>
      </w:r>
    </w:p>
  </w:footnote>
  <w:footnote w:id="607">
    <w:p w14:paraId="5BB6347D"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1301-02.</w:t>
      </w:r>
    </w:p>
  </w:footnote>
  <w:footnote w:id="608">
    <w:p w14:paraId="78089305" w14:textId="25E0AABE"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See id. </w:t>
      </w:r>
      <w:r w:rsidRPr="007F1307">
        <w:rPr>
          <w:rFonts w:cs="Times New Roman"/>
          <w:szCs w:val="22"/>
        </w:rPr>
        <w:t xml:space="preserve">at 1302 (discussing this second defense theory); </w:t>
      </w:r>
      <w:r w:rsidRPr="007F1307">
        <w:rPr>
          <w:rFonts w:cs="Times New Roman"/>
          <w:i/>
          <w:szCs w:val="22"/>
        </w:rPr>
        <w:t xml:space="preserve">id. </w:t>
      </w:r>
      <w:r w:rsidRPr="007F1307">
        <w:rPr>
          <w:rFonts w:cs="Times New Roman"/>
          <w:szCs w:val="22"/>
        </w:rPr>
        <w:t>at 1299 (citing</w:t>
      </w:r>
      <w:r w:rsidRPr="007F1307">
        <w:rPr>
          <w:rFonts w:cs="Times New Roman"/>
          <w:i/>
          <w:szCs w:val="22"/>
        </w:rPr>
        <w:t xml:space="preserve"> </w:t>
      </w:r>
      <w:r w:rsidRPr="007F1307">
        <w:rPr>
          <w:rFonts w:cs="Times New Roman"/>
          <w:szCs w:val="22"/>
        </w:rPr>
        <w:t>T</w:t>
      </w:r>
      <w:r w:rsidRPr="007F1307">
        <w:rPr>
          <w:rFonts w:cs="Times New Roman"/>
          <w:iCs/>
          <w:szCs w:val="22"/>
        </w:rPr>
        <w:t>herasense, Inc. v. Becton, Dickinson &amp; Co.</w:t>
      </w:r>
      <w:r w:rsidRPr="007F1307">
        <w:rPr>
          <w:rFonts w:cs="Times New Roman"/>
          <w:szCs w:val="22"/>
        </w:rPr>
        <w:t>, 649 F.3d 1276, 1290 (Fed. Cir. 2011) (en banc)).</w:t>
      </w:r>
    </w:p>
  </w:footnote>
  <w:footnote w:id="609">
    <w:p w14:paraId="7BFD316E"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1302.</w:t>
      </w:r>
    </w:p>
  </w:footnote>
  <w:footnote w:id="610">
    <w:p w14:paraId="3B5E4AAA"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1302-03.</w:t>
      </w:r>
    </w:p>
  </w:footnote>
  <w:footnote w:id="611">
    <w:p w14:paraId="2B631F6B"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iCs/>
          <w:szCs w:val="22"/>
        </w:rPr>
        <w:t xml:space="preserve"> </w:t>
      </w:r>
      <w:r w:rsidRPr="007F1307">
        <w:rPr>
          <w:rFonts w:cs="Times New Roman"/>
          <w:i/>
          <w:iCs/>
          <w:szCs w:val="22"/>
        </w:rPr>
        <w:t xml:space="preserve">Id. </w:t>
      </w:r>
      <w:r w:rsidRPr="007F1307">
        <w:rPr>
          <w:rFonts w:cs="Times New Roman"/>
          <w:iCs/>
          <w:szCs w:val="22"/>
        </w:rPr>
        <w:t xml:space="preserve">at 1303. </w:t>
      </w:r>
    </w:p>
  </w:footnote>
  <w:footnote w:id="612">
    <w:p w14:paraId="42B5D328" w14:textId="0C41541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Promega Corp. v. Life Techs. Corp., 2013-1011, 2017 WL 5242434, at *1 (Fed. Cir. Nov. 13, 2017).</w:t>
      </w:r>
    </w:p>
  </w:footnote>
  <w:footnote w:id="613">
    <w:p w14:paraId="54728CEE"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614">
    <w:p w14:paraId="499579C6"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615">
    <w:p w14:paraId="066D8FA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616">
    <w:p w14:paraId="342DA528"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617">
    <w:p w14:paraId="5625CA0B" w14:textId="5C63FBB6"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szCs w:val="22"/>
          <w:lang w:eastAsia="x-none"/>
        </w:rPr>
        <w:t>Life Techs. Corp. v. Promega Corp., 137 S. Ct. 734, 743 (2017).</w:t>
      </w:r>
    </w:p>
  </w:footnote>
  <w:footnote w:id="618">
    <w:p w14:paraId="02C4F206" w14:textId="11584EB3"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Promega Corp. v. Life Techs. Corp., 2017 WL 5242434, at *1.</w:t>
      </w:r>
    </w:p>
  </w:footnote>
  <w:footnote w:id="619">
    <w:p w14:paraId="5885847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*7.</w:t>
      </w:r>
    </w:p>
  </w:footnote>
  <w:footnote w:id="620">
    <w:p w14:paraId="15383449"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*8.</w:t>
      </w:r>
    </w:p>
  </w:footnote>
  <w:footnote w:id="621">
    <w:p w14:paraId="283A9795"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w:t>
      </w:r>
    </w:p>
  </w:footnote>
  <w:footnote w:id="622">
    <w:p w14:paraId="6AD5F868"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Full disclosure: Mark Lemley represented Blue Coat in this appeal.</w:t>
      </w:r>
    </w:p>
  </w:footnote>
  <w:footnote w:id="623">
    <w:p w14:paraId="2DA7A059" w14:textId="5911809D"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Finjan, Inc. v. Blue Coat Sys., Inc., No. 2016-2520, 2018 WL 341882, at *1 (Fed. Cir. Jan. 10, 2018).</w:t>
      </w:r>
    </w:p>
  </w:footnote>
  <w:footnote w:id="624">
    <w:p w14:paraId="12BF45D6"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625">
    <w:p w14:paraId="4EE6CB81"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w:t>
      </w:r>
    </w:p>
  </w:footnote>
  <w:footnote w:id="626">
    <w:p w14:paraId="0719E683"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*9.</w:t>
      </w:r>
    </w:p>
  </w:footnote>
  <w:footnote w:id="627">
    <w:p w14:paraId="07ACF07B"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w:t>
      </w:r>
    </w:p>
  </w:footnote>
  <w:footnote w:id="628">
    <w:p w14:paraId="10925DB4"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w:t>
      </w:r>
    </w:p>
  </w:footnote>
  <w:footnote w:id="629">
    <w:p w14:paraId="5A216CA6" w14:textId="39D6EC8B"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(citing Ericsson, Inc. v. D-Link Sys., Inc., 773 F.3d 1201, 1226 (Fed. Cir. 2014)).</w:t>
      </w:r>
    </w:p>
  </w:footnote>
  <w:footnote w:id="630">
    <w:p w14:paraId="4F52073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631">
    <w:p w14:paraId="18EC1DA1"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*10.</w:t>
      </w:r>
    </w:p>
  </w:footnote>
  <w:footnote w:id="632">
    <w:p w14:paraId="35396FFF"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w:t>
      </w:r>
    </w:p>
  </w:footnote>
  <w:footnote w:id="633">
    <w:p w14:paraId="778A608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w:t>
      </w:r>
    </w:p>
  </w:footnote>
  <w:footnote w:id="634">
    <w:p w14:paraId="12A6F60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635">
    <w:p w14:paraId="2A399801"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636">
    <w:p w14:paraId="7E8924F1" w14:textId="21DA2342"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Exmark Mfg. Co. Inc. v. Briggs &amp; Stratton Prods. Grp., LLC, No. 2016-2197, 2018 WL 385497, at *1 (Fed. Cir. Jan. 12, 2018).</w:t>
      </w:r>
    </w:p>
  </w:footnote>
  <w:footnote w:id="637">
    <w:p w14:paraId="6E5B35CC"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*9.</w:t>
      </w:r>
    </w:p>
  </w:footnote>
  <w:footnote w:id="638">
    <w:p w14:paraId="3C2BC3E1"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*10 (emphasis in original).</w:t>
      </w:r>
    </w:p>
  </w:footnote>
  <w:footnote w:id="639">
    <w:p w14:paraId="76065073"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640">
    <w:p w14:paraId="6B493114"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641">
    <w:p w14:paraId="71ECBC48"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642">
    <w:p w14:paraId="22000547"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*12.</w:t>
      </w:r>
    </w:p>
  </w:footnote>
  <w:footnote w:id="643">
    <w:p w14:paraId="75D736A7"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*11.</w:t>
      </w:r>
    </w:p>
  </w:footnote>
  <w:footnote w:id="644">
    <w:p w14:paraId="5C5897E8"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645">
    <w:p w14:paraId="4DC88735"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646">
    <w:p w14:paraId="20F7D39F"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647">
    <w:p w14:paraId="5E7E4CA8"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*12.</w:t>
      </w:r>
    </w:p>
  </w:footnote>
  <w:footnote w:id="648">
    <w:p w14:paraId="2E4FB754"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649">
    <w:p w14:paraId="4338D361"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650">
    <w:p w14:paraId="7611FD1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651">
    <w:p w14:paraId="1624942B" w14:textId="0DA51E1B"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Power Integrations, Inc. v. Fairchild Semiconductor Int’l, Inc., Nos. 2016-2691 &amp; 2017-1875, 2018 WL 4501536, at *1 (Fed. Cir. 2018). </w:t>
      </w:r>
    </w:p>
  </w:footnote>
  <w:footnote w:id="652">
    <w:p w14:paraId="1454FF21"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 </w:t>
      </w:r>
    </w:p>
  </w:footnote>
  <w:footnote w:id="653">
    <w:p w14:paraId="1BCC4FBC" w14:textId="6A7A4866"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Note there were two damages trials. At the first, Power Integrations disclaimed reliance on the entire market value rule, yet did not apportion a reasonable royalty payment to the patented features. After the contemporaneous </w:t>
      </w:r>
      <w:r w:rsidRPr="007F1307">
        <w:rPr>
          <w:rFonts w:cs="Times New Roman"/>
          <w:i/>
          <w:szCs w:val="22"/>
        </w:rPr>
        <w:t>VirnetX</w:t>
      </w:r>
      <w:r w:rsidRPr="007F1307">
        <w:rPr>
          <w:rFonts w:cs="Times New Roman"/>
          <w:szCs w:val="22"/>
        </w:rPr>
        <w:t xml:space="preserve"> decision newly required such apportionment, the district court granted a new damages trial. </w:t>
      </w:r>
      <w:r w:rsidRPr="007F1307">
        <w:rPr>
          <w:rFonts w:cs="Times New Roman"/>
          <w:i/>
          <w:szCs w:val="22"/>
        </w:rPr>
        <w:t xml:space="preserve">Id. </w:t>
      </w:r>
      <w:r w:rsidRPr="007F1307">
        <w:rPr>
          <w:rFonts w:cs="Times New Roman"/>
          <w:szCs w:val="22"/>
        </w:rPr>
        <w:t>at *2 (discussing VirnetX, Inc. v. Cisco Systems, Inc., 767 F.3d 1308, 1329 (Fed. Cir. 2014)).</w:t>
      </w:r>
    </w:p>
  </w:footnote>
  <w:footnote w:id="654">
    <w:p w14:paraId="081BA25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w:t>
      </w:r>
    </w:p>
  </w:footnote>
  <w:footnote w:id="655">
    <w:p w14:paraId="34A1137E"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*10.</w:t>
      </w:r>
    </w:p>
  </w:footnote>
  <w:footnote w:id="656">
    <w:p w14:paraId="27306CB4"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*8 (citing VirnetX, 767 F.3d at 1327).</w:t>
      </w:r>
    </w:p>
  </w:footnote>
  <w:footnote w:id="657">
    <w:p w14:paraId="07C70199" w14:textId="3E191CC6"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*10 (citing LaserDynamics v. Quanta Computer, Inc., 694 F.3d 51, 67 (C.A. Fed. 2012)).</w:t>
      </w:r>
    </w:p>
  </w:footnote>
  <w:footnote w:id="658">
    <w:p w14:paraId="7894F3A4" w14:textId="769BDB0B"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659">
    <w:p w14:paraId="0553C91A" w14:textId="76F1B8ED"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(citing Power Integrations, Inc. v. Fairchild Semiconductor Int’l, Inc., 843 F.3d 1315 (Fed. Cir. 2016)).</w:t>
      </w:r>
    </w:p>
  </w:footnote>
  <w:footnote w:id="660">
    <w:p w14:paraId="5121D76D" w14:textId="50F47C14"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Westerngeco LLC v. Ion Geophysical Corp., 138 S.Ct. 2129, 2134 (2018).</w:t>
      </w:r>
    </w:p>
  </w:footnote>
  <w:footnote w:id="661">
    <w:p w14:paraId="1A52590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662">
    <w:p w14:paraId="642F0324"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663">
    <w:p w14:paraId="7A98577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2142 (Gorsuch, J., with Breyer, J., dissenting).</w:t>
      </w:r>
    </w:p>
  </w:footnote>
  <w:footnote w:id="664">
    <w:p w14:paraId="41614754"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2135.</w:t>
      </w:r>
    </w:p>
  </w:footnote>
  <w:footnote w:id="665">
    <w:p w14:paraId="4BFA312A" w14:textId="606CCD3E"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2135-36. A decision in </w:t>
      </w:r>
      <w:r w:rsidRPr="007F1307">
        <w:rPr>
          <w:rFonts w:cs="Times New Roman"/>
          <w:i/>
          <w:szCs w:val="22"/>
        </w:rPr>
        <w:t>Halo Electronics</w:t>
      </w:r>
      <w:r w:rsidRPr="007F1307">
        <w:rPr>
          <w:rFonts w:cs="Times New Roman"/>
          <w:szCs w:val="22"/>
        </w:rPr>
        <w:t xml:space="preserve"> had warranted the earlier remand from the Supreme Court. </w:t>
      </w:r>
      <w:r w:rsidRPr="007F1307">
        <w:rPr>
          <w:rFonts w:cs="Times New Roman"/>
          <w:i/>
          <w:szCs w:val="22"/>
        </w:rPr>
        <w:t xml:space="preserve">Id. </w:t>
      </w:r>
      <w:r w:rsidRPr="007F1307">
        <w:rPr>
          <w:rFonts w:cs="Times New Roman"/>
          <w:szCs w:val="22"/>
        </w:rPr>
        <w:t>(citing Halo Electronics, Inc. v. Pulse Electronics, Inc., 136 S.Ct. 1923 (2016)).</w:t>
      </w:r>
    </w:p>
  </w:footnote>
  <w:footnote w:id="666">
    <w:p w14:paraId="583CF551"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2136.</w:t>
      </w:r>
    </w:p>
  </w:footnote>
  <w:footnote w:id="667">
    <w:p w14:paraId="359C1532" w14:textId="3974513D"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(citing Foley Bros., Inc. v. Filardo, 336 U.S. 281, 285, 69 S.Ct. 575, 93 L.Ed. 680 (1949)).</w:t>
      </w:r>
    </w:p>
  </w:footnote>
  <w:footnote w:id="668">
    <w:p w14:paraId="3FE5E0CD" w14:textId="211B0DF5"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(citing Morrison v. National Australia Bank Ltd., 561 U.S. 247, 255 (2010)).</w:t>
      </w:r>
    </w:p>
  </w:footnote>
  <w:footnote w:id="669">
    <w:p w14:paraId="70EDF6CE" w14:textId="7FDAE6DB"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(citing RJR Nabisco, Inc. v. European Community, 136 S.Ct. 2090, 2101 (2016)). </w:t>
      </w:r>
    </w:p>
  </w:footnote>
  <w:footnote w:id="670">
    <w:p w14:paraId="742230F9"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671">
    <w:p w14:paraId="5EBDAF46" w14:textId="2067E070"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2137 (quoting RJR Nabisco, 136 S.Ct. at 2101). </w:t>
      </w:r>
    </w:p>
  </w:footnote>
  <w:footnote w:id="672">
    <w:p w14:paraId="2DFA0325"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2138.</w:t>
      </w:r>
    </w:p>
  </w:footnote>
  <w:footnote w:id="673">
    <w:p w14:paraId="6B577FC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674">
    <w:p w14:paraId="16CEC1C1" w14:textId="5ECF810A"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2137 (quoting General Motors Corp. v. Devex Corp., 461 U.S. 648, 655 (1983)).</w:t>
      </w:r>
    </w:p>
  </w:footnote>
  <w:footnote w:id="675">
    <w:p w14:paraId="14EBBA58"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2139 (quoting General Motors Corp., 461 U.S. at 655).</w:t>
      </w:r>
    </w:p>
  </w:footnote>
  <w:footnote w:id="676">
    <w:p w14:paraId="32588269"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(Gorsuch, J., with Breyer, J., dissenting).</w:t>
      </w:r>
    </w:p>
  </w:footnote>
  <w:footnote w:id="677">
    <w:p w14:paraId="088FB1B7"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2142.</w:t>
      </w:r>
    </w:p>
  </w:footnote>
  <w:footnote w:id="678">
    <w:p w14:paraId="0BA17C78"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w:t>
      </w:r>
    </w:p>
  </w:footnote>
  <w:footnote w:id="679">
    <w:p w14:paraId="4D30C9E8"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2139.</w:t>
      </w:r>
    </w:p>
  </w:footnote>
  <w:footnote w:id="680">
    <w:p w14:paraId="63BE999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2140.</w:t>
      </w:r>
    </w:p>
  </w:footnote>
  <w:footnote w:id="681">
    <w:p w14:paraId="2828D5D0" w14:textId="77777777" w:rsidR="00BA22A2" w:rsidRPr="007F1307" w:rsidRDefault="00BA22A2" w:rsidP="0035257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See </w:t>
      </w:r>
      <w:r w:rsidRPr="007F1307">
        <w:rPr>
          <w:rFonts w:cs="Times New Roman"/>
          <w:szCs w:val="22"/>
        </w:rPr>
        <w:t>Gust, Inc. v. AlphaCap Ventures, LLC, 905 F.3d 1321, 1325 (Fed. Cir. 2018).</w:t>
      </w:r>
    </w:p>
  </w:footnote>
  <w:footnote w:id="682">
    <w:p w14:paraId="419F46B5" w14:textId="77777777" w:rsidR="00BA22A2" w:rsidRPr="007F1307" w:rsidRDefault="00BA22A2" w:rsidP="0035257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1328 (“On its face, § 1927 only applies to actions that result in unreasonable and vexatious multiplication of proceedings,” thereby “exclude[ing the] filing of a baseless complaint, which is properly analyzed under Fed. R. Civ. P. 11.”).</w:t>
      </w:r>
    </w:p>
  </w:footnote>
  <w:footnote w:id="683">
    <w:p w14:paraId="166865CC" w14:textId="77777777" w:rsidR="00BA22A2" w:rsidRPr="007F1307" w:rsidRDefault="00BA22A2" w:rsidP="0035257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1325.</w:t>
      </w:r>
    </w:p>
  </w:footnote>
  <w:footnote w:id="684">
    <w:p w14:paraId="3E1606FF" w14:textId="77777777" w:rsidR="00BA22A2" w:rsidRPr="007F1307" w:rsidRDefault="00BA22A2" w:rsidP="0035257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1325 (first citing Alice Corp. Pty. Ltd. v. 2014 CLS Bank Int’l, 573 U.S. 208 (2014), then citing Kickstarter, Inc. v. Fan Funded, LLC, No. 11-cv-6909, 2015 WL 3947178 (S.D.N.Y. June 29, 2015), aff’d 654 F. App’x 481 (Fed. Cir. 2016)); </w:t>
      </w:r>
      <w:r w:rsidRPr="007F1307">
        <w:rPr>
          <w:rFonts w:cs="Times New Roman"/>
          <w:i/>
          <w:szCs w:val="22"/>
        </w:rPr>
        <w:t xml:space="preserve">see also Id. </w:t>
      </w:r>
      <w:r w:rsidRPr="007F1307">
        <w:rPr>
          <w:rFonts w:cs="Times New Roman"/>
          <w:szCs w:val="22"/>
        </w:rPr>
        <w:t>at 1326.</w:t>
      </w:r>
    </w:p>
  </w:footnote>
  <w:footnote w:id="685">
    <w:p w14:paraId="6E172DD7" w14:textId="77777777" w:rsidR="00BA22A2" w:rsidRPr="007F1307" w:rsidRDefault="00BA22A2" w:rsidP="0035257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1325-26.</w:t>
      </w:r>
    </w:p>
  </w:footnote>
  <w:footnote w:id="686">
    <w:p w14:paraId="0A467CB5" w14:textId="77777777" w:rsidR="00BA22A2" w:rsidRPr="007F1307" w:rsidRDefault="00BA22A2" w:rsidP="0035257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1326.</w:t>
      </w:r>
    </w:p>
  </w:footnote>
  <w:footnote w:id="687">
    <w:p w14:paraId="4D2AD8EF" w14:textId="77777777" w:rsidR="00BA22A2" w:rsidRPr="007F1307" w:rsidRDefault="00BA22A2" w:rsidP="0035257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688">
    <w:p w14:paraId="7FD136F7" w14:textId="77777777" w:rsidR="00BA22A2" w:rsidRPr="007F1307" w:rsidRDefault="00BA22A2" w:rsidP="0035257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689">
    <w:p w14:paraId="1836A263" w14:textId="77777777" w:rsidR="00BA22A2" w:rsidRPr="007F1307" w:rsidRDefault="00BA22A2" w:rsidP="0035257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1326-27.</w:t>
      </w:r>
    </w:p>
  </w:footnote>
  <w:footnote w:id="690">
    <w:p w14:paraId="03005ECD" w14:textId="77777777" w:rsidR="00BA22A2" w:rsidRPr="007F1307" w:rsidRDefault="00BA22A2" w:rsidP="0035257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Fee awards are reviewed under the law of the regional circuit, here the Second Circuit, which applies an abuse-of-discretion analysis. </w:t>
      </w:r>
      <w:r w:rsidRPr="007F1307">
        <w:rPr>
          <w:rFonts w:cs="Times New Roman"/>
          <w:i/>
          <w:szCs w:val="22"/>
        </w:rPr>
        <w:t xml:space="preserve">Id. </w:t>
      </w:r>
      <w:r w:rsidRPr="007F1307">
        <w:rPr>
          <w:rFonts w:cs="Times New Roman"/>
          <w:szCs w:val="22"/>
        </w:rPr>
        <w:t>at 1327.</w:t>
      </w:r>
    </w:p>
  </w:footnote>
  <w:footnote w:id="691">
    <w:p w14:paraId="40417FBE" w14:textId="77777777" w:rsidR="00BA22A2" w:rsidRPr="007F1307" w:rsidRDefault="00BA22A2" w:rsidP="0035257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1328 (quoting Dow Chem. Pac. Ltd. v. Rascator Maritime S.A., 782 F.2d 329, 344 (2d Cir. 1986)).</w:t>
      </w:r>
    </w:p>
  </w:footnote>
  <w:footnote w:id="692">
    <w:p w14:paraId="2BCE6861" w14:textId="77777777" w:rsidR="00BA22A2" w:rsidRPr="007F1307" w:rsidRDefault="00BA22A2" w:rsidP="0035257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1327 (quoting Advanced Magnetic Closures, Inc. v. Rome Fastener Corp., 607 F.3d 817, 833 (Fed. Cir. 2010) (citing Eisemann v. Greene, 204 F.3d 393, 396 (2d Cir. 2000))).</w:t>
      </w:r>
    </w:p>
  </w:footnote>
  <w:footnote w:id="693">
    <w:p w14:paraId="28871F3E" w14:textId="77777777" w:rsidR="00BA22A2" w:rsidRPr="007F1307" w:rsidRDefault="00BA22A2" w:rsidP="0035257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1328-29. Wading into the underlying patent-eligibility questions under relevant precedents, the court found them less dispositive on the facts presented than had the district court. </w:t>
      </w:r>
      <w:r w:rsidRPr="007F1307">
        <w:rPr>
          <w:rFonts w:cs="Times New Roman"/>
          <w:i/>
          <w:szCs w:val="22"/>
        </w:rPr>
        <w:t xml:space="preserve">Id. </w:t>
      </w:r>
      <w:r w:rsidRPr="007F1307">
        <w:rPr>
          <w:rFonts w:cs="Times New Roman"/>
          <w:szCs w:val="22"/>
        </w:rPr>
        <w:t>at 1330.</w:t>
      </w:r>
    </w:p>
  </w:footnote>
  <w:footnote w:id="694">
    <w:p w14:paraId="62C6445F" w14:textId="77777777" w:rsidR="00BA22A2" w:rsidRPr="007F1307" w:rsidRDefault="00BA22A2" w:rsidP="0035257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1329.</w:t>
      </w:r>
    </w:p>
  </w:footnote>
  <w:footnote w:id="695">
    <w:p w14:paraId="6B39C8DA" w14:textId="77777777" w:rsidR="00BA22A2" w:rsidRPr="007F1307" w:rsidRDefault="00BA22A2" w:rsidP="0035257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1331-32. The court also reiterated that </w:t>
      </w:r>
      <w:r w:rsidRPr="007F1307">
        <w:rPr>
          <w:rFonts w:cs="Times New Roman"/>
          <w:i/>
          <w:szCs w:val="22"/>
        </w:rPr>
        <w:t xml:space="preserve">Alice </w:t>
      </w:r>
      <w:r w:rsidRPr="007F1307">
        <w:rPr>
          <w:rFonts w:cs="Times New Roman"/>
          <w:szCs w:val="22"/>
        </w:rPr>
        <w:t xml:space="preserve">was not yet well-understood. </w:t>
      </w:r>
      <w:r w:rsidRPr="007F1307">
        <w:rPr>
          <w:rFonts w:cs="Times New Roman"/>
          <w:i/>
          <w:szCs w:val="22"/>
        </w:rPr>
        <w:t>Id.</w:t>
      </w:r>
    </w:p>
  </w:footnote>
  <w:footnote w:id="696">
    <w:p w14:paraId="22DB32F5" w14:textId="77777777" w:rsidR="00BA22A2" w:rsidRPr="007F1307" w:rsidRDefault="00BA22A2" w:rsidP="0035257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1333.</w:t>
      </w:r>
    </w:p>
  </w:footnote>
  <w:footnote w:id="697">
    <w:p w14:paraId="4E3E99E0" w14:textId="77777777" w:rsidR="00BA22A2" w:rsidRPr="007F1307" w:rsidRDefault="00BA22A2" w:rsidP="0035257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698">
    <w:p w14:paraId="52A1FB0B" w14:textId="77777777" w:rsidR="00BA22A2" w:rsidRPr="007F1307" w:rsidRDefault="00BA22A2" w:rsidP="0035257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1334.</w:t>
      </w:r>
    </w:p>
  </w:footnote>
  <w:footnote w:id="699">
    <w:p w14:paraId="2B28B894" w14:textId="77777777" w:rsidR="00BA22A2" w:rsidRPr="007F1307" w:rsidRDefault="00BA22A2" w:rsidP="0035257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1328.</w:t>
      </w:r>
    </w:p>
  </w:footnote>
  <w:footnote w:id="700">
    <w:p w14:paraId="543DC89A" w14:textId="77777777" w:rsidR="00BA22A2" w:rsidRPr="007F1307" w:rsidRDefault="00BA22A2" w:rsidP="0035257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701">
    <w:p w14:paraId="614596AF" w14:textId="77777777" w:rsidR="00BA22A2" w:rsidRPr="007F1307" w:rsidRDefault="00BA22A2" w:rsidP="0035257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1341 (Wallach, J., dissenting).</w:t>
      </w:r>
    </w:p>
  </w:footnote>
  <w:footnote w:id="702">
    <w:p w14:paraId="45B29024" w14:textId="77777777" w:rsidR="00BA22A2" w:rsidRPr="007F1307" w:rsidRDefault="00BA22A2" w:rsidP="0035257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1336-37 (Wallach, J., dissenting) (discussing the patent claims here under </w:t>
      </w:r>
      <w:r w:rsidRPr="007F1307">
        <w:rPr>
          <w:rFonts w:cs="Times New Roman"/>
          <w:i/>
          <w:szCs w:val="22"/>
        </w:rPr>
        <w:t>Alice</w:t>
      </w:r>
      <w:r w:rsidRPr="007F1307">
        <w:rPr>
          <w:rFonts w:cs="Times New Roman"/>
          <w:szCs w:val="22"/>
        </w:rPr>
        <w:t>).</w:t>
      </w:r>
    </w:p>
  </w:footnote>
  <w:footnote w:id="703">
    <w:p w14:paraId="6E508360" w14:textId="77777777" w:rsidR="00BA22A2" w:rsidRPr="007F1307" w:rsidRDefault="00BA22A2" w:rsidP="0035257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1337-38 (Wallach, J., dissenting) (discussing the precedent).</w:t>
      </w:r>
    </w:p>
  </w:footnote>
  <w:footnote w:id="704">
    <w:p w14:paraId="21CCF2F6" w14:textId="77777777" w:rsidR="00BA22A2" w:rsidRPr="007F1307" w:rsidRDefault="00BA22A2" w:rsidP="0035257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1338-39 (Wallach, J., dissenting).</w:t>
      </w:r>
    </w:p>
  </w:footnote>
  <w:footnote w:id="705">
    <w:p w14:paraId="4E918F39" w14:textId="77777777" w:rsidR="00BA22A2" w:rsidRPr="007F1307" w:rsidRDefault="00BA22A2" w:rsidP="0035257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at </w:t>
      </w:r>
      <w:r w:rsidRPr="007F1307">
        <w:rPr>
          <w:rFonts w:cs="Times New Roman"/>
          <w:szCs w:val="22"/>
        </w:rPr>
        <w:t>1340-41 (Wallach, J., dissenting).</w:t>
      </w:r>
    </w:p>
  </w:footnote>
  <w:footnote w:id="706">
    <w:p w14:paraId="41305EF7" w14:textId="77777777" w:rsidR="00BA22A2" w:rsidRPr="007F1307" w:rsidRDefault="00BA22A2" w:rsidP="00352570">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1339 (Wallach, J., dissenting) (quoting EconNet LP v. Flagstar Bancorp, 653 F.3d 1314, 1328 (Fed. Cir. 2011) (emphasis added)).</w:t>
      </w:r>
    </w:p>
  </w:footnote>
  <w:footnote w:id="707">
    <w:p w14:paraId="656F14BD" w14:textId="73E823CA"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Inventor Holdings, LLC v. Bed Bath &amp; Beyond, Inc., 876 F.3d 1372, 1373 (Fed. Cir. 2017).</w:t>
      </w:r>
    </w:p>
  </w:footnote>
  <w:footnote w:id="708">
    <w:p w14:paraId="717B7DC2" w14:textId="634B59A8"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Alice Corp. v. CLS Bank Int’l, 134 S. Ct. 2347 (2014).</w:t>
      </w:r>
    </w:p>
  </w:footnote>
  <w:footnote w:id="709">
    <w:p w14:paraId="29947948"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Inventor Holdings, 876 F.3d at 1373.</w:t>
      </w:r>
    </w:p>
  </w:footnote>
  <w:footnote w:id="710">
    <w:p w14:paraId="3FFD9819"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711">
    <w:p w14:paraId="7EC0C1DB"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712">
    <w:p w14:paraId="43D9F967"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1373-74.</w:t>
      </w:r>
    </w:p>
  </w:footnote>
  <w:footnote w:id="713">
    <w:p w14:paraId="1C41AE3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1377-78.</w:t>
      </w:r>
    </w:p>
  </w:footnote>
  <w:footnote w:id="714">
    <w:p w14:paraId="1EC59754"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1379.</w:t>
      </w:r>
    </w:p>
  </w:footnote>
  <w:footnote w:id="715">
    <w:p w14:paraId="1D4B2418"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716">
    <w:p w14:paraId="66B4777F"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717">
    <w:p w14:paraId="615292BB" w14:textId="6790207D"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In re</w:t>
      </w:r>
      <w:r w:rsidRPr="007F1307">
        <w:rPr>
          <w:rFonts w:cs="Times New Roman"/>
          <w:szCs w:val="22"/>
        </w:rPr>
        <w:t xml:space="preserve"> Rembrandt Techs. LP Patent Litigation, 899 F.3d 1254, 1260, 1280 (Fed. Cir. 2018).</w:t>
      </w:r>
    </w:p>
  </w:footnote>
  <w:footnote w:id="718">
    <w:p w14:paraId="37D401FA"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1260.</w:t>
      </w:r>
    </w:p>
  </w:footnote>
  <w:footnote w:id="719">
    <w:p w14:paraId="5B5C98D4"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1260-62. It bought six from Paradyne, and later two more from Zhone.</w:t>
      </w:r>
    </w:p>
  </w:footnote>
  <w:footnote w:id="720">
    <w:p w14:paraId="0A5FE206" w14:textId="58A3B875"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1265 (summarizing).</w:t>
      </w:r>
    </w:p>
  </w:footnote>
  <w:footnote w:id="721">
    <w:p w14:paraId="1B6EADF7" w14:textId="28286C01"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1261 (discussing revival); </w:t>
      </w:r>
      <w:r w:rsidRPr="007F1307">
        <w:rPr>
          <w:rFonts w:cs="Times New Roman"/>
          <w:i/>
          <w:szCs w:val="22"/>
        </w:rPr>
        <w:t xml:space="preserve">id. </w:t>
      </w:r>
      <w:r w:rsidRPr="007F1307">
        <w:rPr>
          <w:rFonts w:cs="Times New Roman"/>
          <w:szCs w:val="22"/>
        </w:rPr>
        <w:t xml:space="preserve">at 1272-75 (evaluating district court’s finding that the improper revival amounted to inequitable conduct). </w:t>
      </w:r>
    </w:p>
  </w:footnote>
  <w:footnote w:id="722">
    <w:p w14:paraId="00148F89"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1269-1271.</w:t>
      </w:r>
    </w:p>
  </w:footnote>
  <w:footnote w:id="723">
    <w:p w14:paraId="2FD33417"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1267-69.</w:t>
      </w:r>
    </w:p>
  </w:footnote>
  <w:footnote w:id="724">
    <w:p w14:paraId="54822E79" w14:textId="7CFB5F52"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1266; </w:t>
      </w:r>
      <w:r w:rsidRPr="007F1307">
        <w:rPr>
          <w:rFonts w:cs="Times New Roman"/>
          <w:i/>
          <w:szCs w:val="22"/>
        </w:rPr>
        <w:t xml:space="preserve">id. </w:t>
      </w:r>
      <w:r w:rsidRPr="007F1307">
        <w:rPr>
          <w:rFonts w:cs="Times New Roman"/>
          <w:szCs w:val="22"/>
        </w:rPr>
        <w:t>at 1278 (“The district court’s order said nothing about the ’627 patent.”)</w:t>
      </w:r>
    </w:p>
  </w:footnote>
  <w:footnote w:id="725">
    <w:p w14:paraId="213DB073"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1278.</w:t>
      </w:r>
    </w:p>
  </w:footnote>
  <w:footnote w:id="726">
    <w:p w14:paraId="56A6F31C"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1266.</w:t>
      </w:r>
    </w:p>
  </w:footnote>
  <w:footnote w:id="727">
    <w:p w14:paraId="5DC95003"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1280.</w:t>
      </w:r>
    </w:p>
  </w:footnote>
  <w:footnote w:id="728">
    <w:p w14:paraId="0F0F70F0" w14:textId="1F693604"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1278 (citing Cent. Soya Co. v. Geo. A. Hormel &amp; Co., 723 F.2d 1573, 1578 (Fed. Cir. 1983)).</w:t>
      </w:r>
    </w:p>
  </w:footnote>
  <w:footnote w:id="729">
    <w:p w14:paraId="5E6C659A" w14:textId="0B1F431B"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(quoting Goodyear Tire &amp; Rubber Co. v. Haeger, 137 S.Ct. 1178, 1186 &amp; n.5 (2017)).</w:t>
      </w:r>
    </w:p>
  </w:footnote>
  <w:footnote w:id="730">
    <w:p w14:paraId="7F82AA8B" w14:textId="3CA03CA1"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(quoting Rambus Inc. v. Infineon Techs. AG, 318 F.3d 1081, 1106 (Fed. Cir. 2003)).</w:t>
      </w:r>
    </w:p>
  </w:footnote>
  <w:footnote w:id="731">
    <w:p w14:paraId="52D5A263" w14:textId="1B91DACA"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(quoting Highmark, Inc. v. Allcare Health Mgmt. Sys., Inc., 687 F.3d 1300, 1316 (Fed. Cir. 2012), vacated on other grounds, 134 S.Ct. 1744 (2014)).</w:t>
      </w:r>
    </w:p>
  </w:footnote>
  <w:footnote w:id="732">
    <w:p w14:paraId="68C38E99"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1279.</w:t>
      </w:r>
    </w:p>
  </w:footnote>
  <w:footnote w:id="733">
    <w:p w14:paraId="31426D3B" w14:textId="564C11DB"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(citing Monolithic Power Systems, Inc. v. O2 Micro Int’l Ltd., 726 F.3d 1359, 1369 (Fed. Cir. 2013)).</w:t>
      </w:r>
    </w:p>
  </w:footnote>
  <w:footnote w:id="734">
    <w:p w14:paraId="5C654E9E" w14:textId="5284C559"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1265 (explaining excluded categories); </w:t>
      </w:r>
      <w:r w:rsidRPr="007F1307">
        <w:rPr>
          <w:rFonts w:cs="Times New Roman"/>
          <w:i/>
          <w:szCs w:val="22"/>
        </w:rPr>
        <w:t xml:space="preserve">id. </w:t>
      </w:r>
      <w:r w:rsidRPr="007F1307">
        <w:rPr>
          <w:rFonts w:cs="Times New Roman"/>
          <w:szCs w:val="22"/>
        </w:rPr>
        <w:t>at 1280 (evaluating ’627-related fee awards).</w:t>
      </w:r>
    </w:p>
  </w:footnote>
  <w:footnote w:id="735">
    <w:p w14:paraId="3585E99A"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1279.</w:t>
      </w:r>
    </w:p>
  </w:footnote>
  <w:footnote w:id="736">
    <w:p w14:paraId="6D5F897E" w14:textId="40CAEA40"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p>
  </w:footnote>
  <w:footnote w:id="737">
    <w:p w14:paraId="052A8ABB"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1280.</w:t>
      </w:r>
    </w:p>
  </w:footnote>
  <w:footnote w:id="738">
    <w:p w14:paraId="21D47939" w14:textId="43896CDF"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p>
  </w:footnote>
  <w:footnote w:id="739">
    <w:p w14:paraId="4C18E766" w14:textId="5EDF4A3F"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(quoting, in the last quote selected, Goodyear Tire &amp; Rubber Co. v. Haeger, 137 S.Ct. 1178, 1187 (2017)).</w:t>
      </w:r>
    </w:p>
  </w:footnote>
  <w:footnote w:id="740">
    <w:p w14:paraId="7272081F" w14:textId="504A350F"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Stone Basket Innovations, LLC v. Cook Med. LLC, 892 F.3d 1175, 1184 (Fed. Cir. 2018).</w:t>
      </w:r>
    </w:p>
  </w:footnote>
  <w:footnote w:id="741">
    <w:p w14:paraId="1BAE85D3" w14:textId="0B1C012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1181 (citing Aten Int’l Co. v. Uni- class Tech., No. CV 15-04424-AG (AJWx), slip op. at 5 (C.D. Cal. Mar. 30, 2018)).</w:t>
      </w:r>
    </w:p>
  </w:footnote>
  <w:footnote w:id="742">
    <w:p w14:paraId="1150AD2C" w14:textId="678F6DF8"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1177.</w:t>
      </w:r>
    </w:p>
  </w:footnote>
  <w:footnote w:id="743">
    <w:p w14:paraId="5F102954"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1179.</w:t>
      </w:r>
    </w:p>
  </w:footnote>
  <w:footnote w:id="744">
    <w:p w14:paraId="6D1BDA80" w14:textId="00BBE563"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1178.</w:t>
      </w:r>
    </w:p>
  </w:footnote>
  <w:footnote w:id="745">
    <w:p w14:paraId="0A0E6C23" w14:textId="66D44CEC"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(explaining standard of review).</w:t>
      </w:r>
    </w:p>
  </w:footnote>
  <w:footnote w:id="746">
    <w:p w14:paraId="66572E6A" w14:textId="58ECD4B4"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1178 (quoting Octane Fitness, LLC v. ICON Health &amp; Fitness, Inc., 134 S.Ct. 1749, 1756 (2014)).</w:t>
      </w:r>
    </w:p>
  </w:footnote>
  <w:footnote w:id="747">
    <w:p w14:paraId="399C7F16" w14:textId="1800ADBE"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Cf. id. </w:t>
      </w:r>
    </w:p>
  </w:footnote>
  <w:footnote w:id="748">
    <w:p w14:paraId="43C43C05" w14:textId="3A248F49"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1182 (citing </w:t>
      </w:r>
      <w:r w:rsidRPr="007F1307">
        <w:rPr>
          <w:rFonts w:cs="Times New Roman"/>
          <w:iCs/>
          <w:szCs w:val="22"/>
        </w:rPr>
        <w:t>Rothschild Connected Devices Innovations, LLC v. Guardian Prot. Servs.</w:t>
      </w:r>
      <w:r w:rsidRPr="007F1307">
        <w:rPr>
          <w:rFonts w:cs="Times New Roman"/>
          <w:i/>
          <w:iCs/>
          <w:szCs w:val="22"/>
        </w:rPr>
        <w:t xml:space="preserve">, </w:t>
      </w:r>
      <w:r w:rsidRPr="007F1307">
        <w:rPr>
          <w:rFonts w:cs="Times New Roman"/>
          <w:iCs/>
          <w:szCs w:val="22"/>
        </w:rPr>
        <w:t>Inc.</w:t>
      </w:r>
      <w:r w:rsidRPr="007F1307">
        <w:rPr>
          <w:rFonts w:cs="Times New Roman"/>
          <w:szCs w:val="22"/>
        </w:rPr>
        <w:t>, 858 F.3d 1383, 1386 (Fed. Cir. 2017)).</w:t>
      </w:r>
    </w:p>
  </w:footnote>
  <w:footnote w:id="749">
    <w:p w14:paraId="5A3F5B2A" w14:textId="7DD59A6F"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1181 (quoting Aten Int’l Co., slip op. at 5).</w:t>
      </w:r>
    </w:p>
  </w:footnote>
  <w:footnote w:id="750">
    <w:p w14:paraId="4B9941CF"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1179.</w:t>
      </w:r>
    </w:p>
  </w:footnote>
  <w:footnote w:id="751">
    <w:p w14:paraId="517E7D16"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1179-80.</w:t>
      </w:r>
    </w:p>
  </w:footnote>
  <w:footnote w:id="752">
    <w:p w14:paraId="7C919B7E"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1181.</w:t>
      </w:r>
    </w:p>
  </w:footnote>
  <w:footnote w:id="753">
    <w:p w14:paraId="79071D31" w14:textId="1B94F673"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1182 (citing </w:t>
      </w:r>
      <w:r w:rsidRPr="007F1307">
        <w:rPr>
          <w:rFonts w:cs="Times New Roman"/>
          <w:iCs/>
          <w:szCs w:val="22"/>
        </w:rPr>
        <w:t>Rothschild Connected Devices Innovations, 8</w:t>
      </w:r>
      <w:r w:rsidRPr="007F1307">
        <w:rPr>
          <w:rFonts w:cs="Times New Roman"/>
          <w:szCs w:val="22"/>
        </w:rPr>
        <w:t>58 F.3d at 1386).</w:t>
      </w:r>
    </w:p>
  </w:footnote>
  <w:footnote w:id="754">
    <w:p w14:paraId="20F7DAB6" w14:textId="1313C728"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1181 (quoting Aten Int’l Co., slip op. at 5).</w:t>
      </w:r>
    </w:p>
  </w:footnote>
  <w:footnote w:id="755">
    <w:p w14:paraId="5F8E3FF9" w14:textId="4E3EF866"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NantKwest, Inc. v. Iancu, 898 F.3d 1177, 1180 (Fed. Cir. 2018) (en banc).</w:t>
      </w:r>
    </w:p>
  </w:footnote>
  <w:footnote w:id="756">
    <w:p w14:paraId="6F3914B6"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1183.</w:t>
      </w:r>
    </w:p>
  </w:footnote>
  <w:footnote w:id="757">
    <w:p w14:paraId="7BDC817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1180.</w:t>
      </w:r>
    </w:p>
  </w:footnote>
  <w:footnote w:id="758">
    <w:p w14:paraId="55600CCC" w14:textId="11225C39"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(quoting 35 U.S.C. § 145 (1180)).</w:t>
      </w:r>
    </w:p>
  </w:footnote>
  <w:footnote w:id="759">
    <w:p w14:paraId="60D7C21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1183.</w:t>
      </w:r>
    </w:p>
  </w:footnote>
  <w:footnote w:id="760">
    <w:p w14:paraId="503E5109" w14:textId="22B56810"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761">
    <w:p w14:paraId="01B7AE33" w14:textId="2465ED6E"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762">
    <w:p w14:paraId="3CCFB24E" w14:textId="15249E91"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1181 (citing Alyeska Pipeline [Serv. Co. v. Wilderness Soc’y], 421 U.S. [240,] 260–62, 269 [(1975)]).</w:t>
      </w:r>
    </w:p>
  </w:footnote>
  <w:footnote w:id="763">
    <w:p w14:paraId="06F83946" w14:textId="1790CADE"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1196 (Prost, C.J., dissenting) (citing 784 F.3d 219, 223–24 (4th Cir. 2015), cert. denied </w:t>
      </w:r>
      <w:r w:rsidRPr="007F1307">
        <w:rPr>
          <w:rFonts w:cs="Times New Roman"/>
          <w:i/>
          <w:szCs w:val="22"/>
        </w:rPr>
        <w:t>sub nom.</w:t>
      </w:r>
      <w:r w:rsidRPr="007F1307">
        <w:rPr>
          <w:rFonts w:cs="Times New Roman"/>
          <w:szCs w:val="22"/>
        </w:rPr>
        <w:t xml:space="preserve"> Shammas v. Hirshfeld, 136 S.Ct. 1376 (2016)); </w:t>
      </w:r>
      <w:r w:rsidRPr="007F1307">
        <w:rPr>
          <w:rFonts w:cs="Times New Roman"/>
          <w:i/>
          <w:szCs w:val="22"/>
        </w:rPr>
        <w:t xml:space="preserve">see also id. </w:t>
      </w:r>
      <w:r w:rsidRPr="007F1307">
        <w:rPr>
          <w:rFonts w:cs="Times New Roman"/>
          <w:szCs w:val="22"/>
        </w:rPr>
        <w:t>at 1183, 1185.</w:t>
      </w:r>
    </w:p>
  </w:footnote>
  <w:footnote w:id="764">
    <w:p w14:paraId="7BB9EB39" w14:textId="6C5F0D06"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1182 (citing Summit Valley Indus., Inc. v. Local 112, United Bhd. of Carpenters, 456 U.S. 717, 721–22 (1982)).</w:t>
      </w:r>
    </w:p>
  </w:footnote>
  <w:footnote w:id="765">
    <w:p w14:paraId="2681DDC6"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1192 (citing cases interpreting various statutes).</w:t>
      </w:r>
    </w:p>
  </w:footnote>
  <w:footnote w:id="766">
    <w:p w14:paraId="5F25B657" w14:textId="1138A3FB"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i/>
          <w:szCs w:val="22"/>
        </w:rPr>
        <w:t xml:space="preserve">Id. </w:t>
      </w:r>
      <w:r w:rsidRPr="007F1307">
        <w:rPr>
          <w:rFonts w:cs="Times New Roman"/>
          <w:szCs w:val="22"/>
        </w:rPr>
        <w:t>at 1182 (citing Baker Botts L.L.P. v. ASARCO LLC, 135 S.Ct. 2158, 2164 (2015) (quoting 28 U.S.C. § 2412(d)(1)(A)).</w:t>
      </w:r>
    </w:p>
  </w:footnote>
  <w:footnote w:id="767">
    <w:p w14:paraId="44D11766"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1180, 1181.</w:t>
      </w:r>
    </w:p>
  </w:footnote>
  <w:footnote w:id="768">
    <w:p w14:paraId="247B7E32"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1187.</w:t>
      </w:r>
    </w:p>
  </w:footnote>
  <w:footnote w:id="769">
    <w:p w14:paraId="30A50B59"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1190.</w:t>
      </w:r>
    </w:p>
  </w:footnote>
  <w:footnote w:id="770">
    <w:p w14:paraId="46B11E3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1188-89.</w:t>
      </w:r>
    </w:p>
  </w:footnote>
  <w:footnote w:id="771">
    <w:p w14:paraId="13E1D9E3"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1191-92.</w:t>
      </w:r>
    </w:p>
  </w:footnote>
  <w:footnote w:id="772">
    <w:p w14:paraId="5A709721"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1192-93.</w:t>
      </w:r>
    </w:p>
  </w:footnote>
  <w:footnote w:id="773">
    <w:p w14:paraId="2C62B9A3" w14:textId="7D76DD8A"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1194; </w:t>
      </w:r>
      <w:r w:rsidRPr="007F1307">
        <w:rPr>
          <w:rFonts w:cs="Times New Roman"/>
          <w:i/>
          <w:szCs w:val="22"/>
        </w:rPr>
        <w:t>see also</w:t>
      </w:r>
      <w:r w:rsidRPr="007F1307">
        <w:rPr>
          <w:rFonts w:cs="Times New Roman"/>
          <w:szCs w:val="22"/>
        </w:rPr>
        <w:t xml:space="preserve"> </w:t>
      </w:r>
      <w:r w:rsidRPr="007F1307">
        <w:rPr>
          <w:rFonts w:cs="Times New Roman"/>
          <w:i/>
          <w:szCs w:val="22"/>
        </w:rPr>
        <w:t xml:space="preserve">id. </w:t>
      </w:r>
      <w:r w:rsidRPr="007F1307">
        <w:rPr>
          <w:rFonts w:cs="Times New Roman"/>
          <w:szCs w:val="22"/>
        </w:rPr>
        <w:t>at 1195 (rejecting the dissent’s arguments comparing text with another part of the Patent Act that specifies that “expenses” covers the salaries of some PTO employees).</w:t>
      </w:r>
    </w:p>
  </w:footnote>
  <w:footnote w:id="774">
    <w:p w14:paraId="6278643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1195.</w:t>
      </w:r>
    </w:p>
  </w:footnote>
  <w:footnote w:id="775">
    <w:p w14:paraId="22068C3B" w14:textId="408DFAC5"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Xitronix Corp. v. KLA-Tencor Corp., 882 F.3d 1075, 1075-76 (Fed. Cir. 2018).</w:t>
      </w:r>
    </w:p>
  </w:footnote>
  <w:footnote w:id="776">
    <w:p w14:paraId="703E7DAF"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1076.</w:t>
      </w:r>
    </w:p>
  </w:footnote>
  <w:footnote w:id="777">
    <w:p w14:paraId="2868A301"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1077.</w:t>
      </w:r>
    </w:p>
  </w:footnote>
  <w:footnote w:id="778">
    <w:p w14:paraId="51421DB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1078.</w:t>
      </w:r>
    </w:p>
  </w:footnote>
  <w:footnote w:id="779">
    <w:p w14:paraId="707B4388" w14:textId="47CEF52C"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(quoting Gunn v. Minton, 568 U.S. 251, 259 (2013)).</w:t>
      </w:r>
    </w:p>
  </w:footnote>
  <w:footnote w:id="780">
    <w:p w14:paraId="43DAA5E0"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w:t>
      </w:r>
    </w:p>
  </w:footnote>
  <w:footnote w:id="781">
    <w:p w14:paraId="361A6AC0"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782">
    <w:p w14:paraId="2E7E2291"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783">
    <w:p w14:paraId="3800CDD9"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(citing In re Ciprofloxacin Hydrochloride Antitrust Litigation, 544 F.3d 1323 (Fed. Cir. 2008)).</w:t>
      </w:r>
    </w:p>
  </w:footnote>
  <w:footnote w:id="784">
    <w:p w14:paraId="11E5C804"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785">
    <w:p w14:paraId="0606C520" w14:textId="4C562F55"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Xitronix Corp. v. Kla-Tencor Corp., 892 F.3d 1194, 1195 (Fed. Cir. 2018).</w:t>
      </w:r>
    </w:p>
  </w:footnote>
  <w:footnote w:id="786">
    <w:p w14:paraId="1D91C14C"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1202 (listing four reasons). For clarity and completeness, the summary’s listed reasons have been reordered and expanded with others stated throughout the dissent.</w:t>
      </w:r>
    </w:p>
  </w:footnote>
  <w:footnote w:id="787">
    <w:p w14:paraId="7BB137FA" w14:textId="6043F2F4"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1199 (citing South Corp. v. United States, 690 F.2d 1368, 1370 n.2 (Fed. Cir. 1982) (en banc)). </w:t>
      </w:r>
    </w:p>
  </w:footnote>
  <w:footnote w:id="788">
    <w:p w14:paraId="58BD7AF0"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1196 (citing Gunn, 568 U.S. at 251 (2013)).</w:t>
      </w:r>
    </w:p>
  </w:footnote>
  <w:footnote w:id="789">
    <w:p w14:paraId="7822329C"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1198 (citing Gunn, 568 U.S. at 251 (2013)).</w:t>
      </w:r>
    </w:p>
  </w:footnote>
  <w:footnote w:id="790">
    <w:p w14:paraId="52FC7A50"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1202.</w:t>
      </w:r>
    </w:p>
  </w:footnote>
  <w:footnote w:id="791">
    <w:p w14:paraId="3AED41C7" w14:textId="65B2005C"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1196-97 (discussing 28 U.S.C. § 1295(a)(1)).</w:t>
      </w:r>
    </w:p>
  </w:footnote>
  <w:footnote w:id="792">
    <w:p w14:paraId="3B014CA7" w14:textId="23976D65"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1198-99 (discussing reasoning in Madtad Eng’g, Inc. v. USPTO, 756 F.3d 1366, 1370 (Fed. Cir. 2014)).</w:t>
      </w:r>
    </w:p>
  </w:footnote>
  <w:footnote w:id="793">
    <w:p w14:paraId="3BE688F2"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1202.</w:t>
      </w:r>
    </w:p>
  </w:footnote>
  <w:footnote w:id="794">
    <w:p w14:paraId="1620836F" w14:textId="283D202E"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Cf. id. </w:t>
      </w:r>
      <w:r w:rsidRPr="007F1307">
        <w:rPr>
          <w:rFonts w:cs="Times New Roman"/>
          <w:szCs w:val="22"/>
        </w:rPr>
        <w:t>at 1197-98 (citing Christianson v. Colt Indus. Operating Corp., 486 U.S. 800, 803 (1988)).</w:t>
      </w:r>
    </w:p>
  </w:footnote>
  <w:footnote w:id="795">
    <w:p w14:paraId="785EF2CB"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See id. </w:t>
      </w:r>
      <w:r w:rsidRPr="007F1307">
        <w:rPr>
          <w:rFonts w:cs="Times New Roman"/>
          <w:szCs w:val="22"/>
        </w:rPr>
        <w:t xml:space="preserve">at 1195 (citing Transfer order at 1078); </w:t>
      </w:r>
      <w:r w:rsidRPr="007F1307">
        <w:rPr>
          <w:rFonts w:cs="Times New Roman"/>
          <w:i/>
          <w:szCs w:val="22"/>
        </w:rPr>
        <w:t xml:space="preserve">id. </w:t>
      </w:r>
      <w:r w:rsidRPr="007F1307">
        <w:rPr>
          <w:rFonts w:cs="Times New Roman"/>
          <w:szCs w:val="22"/>
        </w:rPr>
        <w:t xml:space="preserve">at 1198 (citing Gunn, 568 U.S. at 251); </w:t>
      </w:r>
      <w:r w:rsidRPr="007F1307">
        <w:rPr>
          <w:rFonts w:cs="Times New Roman"/>
          <w:i/>
          <w:szCs w:val="22"/>
        </w:rPr>
        <w:t xml:space="preserve">id. </w:t>
      </w:r>
      <w:r w:rsidRPr="007F1307">
        <w:rPr>
          <w:rFonts w:cs="Times New Roman"/>
          <w:szCs w:val="22"/>
        </w:rPr>
        <w:t>at 1201-02 (discussing cases).</w:t>
      </w:r>
    </w:p>
  </w:footnote>
  <w:footnote w:id="796">
    <w:p w14:paraId="6D953BCC"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See id. </w:t>
      </w:r>
      <w:r w:rsidRPr="007F1307">
        <w:rPr>
          <w:rFonts w:cs="Times New Roman"/>
          <w:szCs w:val="22"/>
        </w:rPr>
        <w:t>at 1200-01 (discussing In re Lipitor Antitrust Litigation, 855 F.3d 126 (3d Cir. 2017), which held that because other antitrust theories besides the Walker Process claim were presented the case should be litigated in the Third Circuit).</w:t>
      </w:r>
    </w:p>
  </w:footnote>
  <w:footnote w:id="797">
    <w:p w14:paraId="6EC1EB55" w14:textId="75EFA91D"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Applications in Internet Time, LLC v. RPX Corp., 897 F.3d 1336, 1338 (Fed. Cir. 2018). </w:t>
      </w:r>
    </w:p>
  </w:footnote>
  <w:footnote w:id="798">
    <w:p w14:paraId="206E042E" w14:textId="21BC2153"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1339 (citing Compl., Applications in Internet Time, LLC v. Salesforce.com, Inc., No. 3:13-cv-00628 (D. Nev. Nov. 8, 2013), ECF No. 1).</w:t>
      </w:r>
    </w:p>
  </w:footnote>
  <w:footnote w:id="799">
    <w:p w14:paraId="37A32C8E" w14:textId="6C723D06"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800">
    <w:p w14:paraId="42F4AE11" w14:textId="759C01D1"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801">
    <w:p w14:paraId="037B3F55" w14:textId="7CFEABD4"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802">
    <w:p w14:paraId="2A395022"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1340.</w:t>
      </w:r>
    </w:p>
  </w:footnote>
  <w:footnote w:id="803">
    <w:p w14:paraId="73C4014A" w14:textId="5112DC6D"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(quoting J.A. 71, 72).</w:t>
      </w:r>
    </w:p>
  </w:footnote>
  <w:footnote w:id="804">
    <w:p w14:paraId="41726506"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1340-41 (quoting J.A. 80-81, 1229 ¶ 20).</w:t>
      </w:r>
    </w:p>
  </w:footnote>
  <w:footnote w:id="805">
    <w:p w14:paraId="5C9A7BCF"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1343.</w:t>
      </w:r>
    </w:p>
  </w:footnote>
  <w:footnote w:id="806">
    <w:p w14:paraId="03DE8B0F" w14:textId="2DBA705B"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1356; </w:t>
      </w:r>
      <w:r w:rsidRPr="007F1307">
        <w:rPr>
          <w:rFonts w:cs="Times New Roman"/>
          <w:i/>
          <w:szCs w:val="22"/>
        </w:rPr>
        <w:t xml:space="preserve">see also id. </w:t>
      </w:r>
      <w:r w:rsidRPr="007F1307">
        <w:rPr>
          <w:rFonts w:cs="Times New Roman"/>
          <w:szCs w:val="22"/>
        </w:rPr>
        <w:t xml:space="preserve">at 1346. Note that only recently did the Federal Circuit rule that it could review determinations of time bars under § 315(b). </w:t>
      </w:r>
      <w:r w:rsidRPr="007F1307">
        <w:rPr>
          <w:rFonts w:cs="Times New Roman"/>
          <w:i/>
          <w:szCs w:val="22"/>
        </w:rPr>
        <w:t xml:space="preserve">Id. </w:t>
      </w:r>
      <w:r w:rsidRPr="007F1307">
        <w:rPr>
          <w:rFonts w:cs="Times New Roman"/>
          <w:szCs w:val="22"/>
        </w:rPr>
        <w:t>at 1344 (citation omitted).</w:t>
      </w:r>
    </w:p>
  </w:footnote>
  <w:footnote w:id="807">
    <w:p w14:paraId="0B8975E6" w14:textId="32A4C2F5"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1345 (citing Chevron, U.S.A., Inc. v. Natural Resources Defense Council, Inc., 467 U.S. 837 (1984)).</w:t>
      </w:r>
    </w:p>
  </w:footnote>
  <w:footnote w:id="808">
    <w:p w14:paraId="337CBBEB" w14:textId="0567D844"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1345 (citing Chevron, 467 U.S. at 842-43).</w:t>
      </w:r>
    </w:p>
  </w:footnote>
  <w:footnote w:id="809">
    <w:p w14:paraId="728C07A2" w14:textId="79B379FD"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1351 (explaining this was “dictated by the language, structure, purpose, and legislative history of § 315(b)”); </w:t>
      </w:r>
      <w:r w:rsidRPr="007F1307">
        <w:rPr>
          <w:rFonts w:cs="Times New Roman"/>
          <w:i/>
          <w:szCs w:val="22"/>
        </w:rPr>
        <w:t xml:space="preserve">id. </w:t>
      </w:r>
      <w:r w:rsidRPr="007F1307">
        <w:rPr>
          <w:rFonts w:cs="Times New Roman"/>
          <w:szCs w:val="22"/>
        </w:rPr>
        <w:t>at 1350 (citing statements by Senators Kyl and Schumer).</w:t>
      </w:r>
    </w:p>
  </w:footnote>
  <w:footnote w:id="810">
    <w:p w14:paraId="3EDBE9CF" w14:textId="7259653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Proxies and privies would be unable to petition directly for IPR under § 315(a) if they had already initiated district court action, under § 315(b) if they had already declined to petition for IPR for more than a year since receiving an infringement complaint, or under § 315(e) if they had already reached a final written decision. </w:t>
      </w:r>
      <w:r w:rsidRPr="007F1307">
        <w:rPr>
          <w:rFonts w:cs="Times New Roman"/>
          <w:i/>
          <w:szCs w:val="22"/>
        </w:rPr>
        <w:t xml:space="preserve">See id. </w:t>
      </w:r>
      <w:r w:rsidRPr="007F1307">
        <w:rPr>
          <w:rFonts w:cs="Times New Roman"/>
          <w:szCs w:val="22"/>
        </w:rPr>
        <w:t>at 1348.</w:t>
      </w:r>
    </w:p>
  </w:footnote>
  <w:footnote w:id="811">
    <w:p w14:paraId="5341E529" w14:textId="3423C0D6"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1346-47 (emphasis added).</w:t>
      </w:r>
    </w:p>
  </w:footnote>
  <w:footnote w:id="812">
    <w:p w14:paraId="14865376" w14:textId="7F6C3100"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In other words, the court did not proceed to </w:t>
      </w:r>
      <w:r w:rsidRPr="007F1307">
        <w:rPr>
          <w:rFonts w:cs="Times New Roman"/>
          <w:i/>
          <w:szCs w:val="22"/>
        </w:rPr>
        <w:t>Chevron</w:t>
      </w:r>
      <w:r w:rsidRPr="007F1307">
        <w:rPr>
          <w:rFonts w:cs="Times New Roman"/>
          <w:szCs w:val="22"/>
        </w:rPr>
        <w:t xml:space="preserve">’s second step. </w:t>
      </w:r>
      <w:r w:rsidRPr="007F1307">
        <w:rPr>
          <w:rFonts w:cs="Times New Roman"/>
          <w:i/>
          <w:szCs w:val="22"/>
        </w:rPr>
        <w:t xml:space="preserve">Id. </w:t>
      </w:r>
      <w:r w:rsidRPr="007F1307">
        <w:rPr>
          <w:rFonts w:cs="Times New Roman"/>
          <w:szCs w:val="22"/>
        </w:rPr>
        <w:t>at 1351.</w:t>
      </w:r>
    </w:p>
  </w:footnote>
  <w:footnote w:id="813">
    <w:p w14:paraId="003C8095" w14:textId="3F10AE25"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1351 (quoting Office Patent Trial Practice Guide, 77 Fed. Reg. 48,756, 48,759 (Aug. 14, 2012)). </w:t>
      </w:r>
      <w:r w:rsidRPr="007F1307">
        <w:rPr>
          <w:rFonts w:cs="Times New Roman"/>
          <w:i/>
          <w:szCs w:val="22"/>
        </w:rPr>
        <w:t xml:space="preserve">See also id. </w:t>
      </w:r>
      <w:r w:rsidRPr="007F1307">
        <w:rPr>
          <w:rFonts w:cs="Times New Roman"/>
          <w:szCs w:val="22"/>
        </w:rPr>
        <w:t>at 1342 (citing similar criteria).</w:t>
      </w:r>
    </w:p>
  </w:footnote>
  <w:footnote w:id="814">
    <w:p w14:paraId="2C1D75C6" w14:textId="3D235969"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See, e.g.</w:t>
      </w:r>
      <w:r w:rsidRPr="007F1307">
        <w:rPr>
          <w:rFonts w:cs="Times New Roman"/>
          <w:szCs w:val="22"/>
        </w:rPr>
        <w:t xml:space="preserve">, </w:t>
      </w:r>
      <w:r w:rsidRPr="007F1307">
        <w:rPr>
          <w:rFonts w:cs="Times New Roman"/>
          <w:i/>
          <w:szCs w:val="22"/>
        </w:rPr>
        <w:t xml:space="preserve">id. </w:t>
      </w:r>
      <w:r w:rsidRPr="007F1307">
        <w:rPr>
          <w:rFonts w:cs="Times New Roman"/>
          <w:szCs w:val="22"/>
        </w:rPr>
        <w:t>at 1342-43 (citing Office Patent Trial Practice Guide, 77 Fed. Reg. at 48,759).</w:t>
      </w:r>
    </w:p>
  </w:footnote>
  <w:footnote w:id="815">
    <w:p w14:paraId="013BF5C4" w14:textId="3B04C236"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1342 (citing Office Patent Trial Practice Guide, 77 Fed. Reg. at 48,759-60).</w:t>
      </w:r>
    </w:p>
  </w:footnote>
  <w:footnote w:id="816">
    <w:p w14:paraId="745010FB" w14:textId="3B8CF226"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1356-57 (discussing here and throughout Charles Alan Wright, Arthur R. Miller, &amp; Mary Kay Kane, Federal Practice &amp; Procedure §§ 1541, 1543, 1545 (3d ed. 2018)).</w:t>
      </w:r>
    </w:p>
  </w:footnote>
  <w:footnote w:id="817">
    <w:p w14:paraId="3EA8508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1357-58.</w:t>
      </w:r>
    </w:p>
  </w:footnote>
  <w:footnote w:id="818">
    <w:p w14:paraId="1686F2C9" w14:textId="7AE000C0"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1343 (citing Zerto, Inc. v. EMC Corp., Case IPR2014-01295, slip op. at 6–7 (PTAB Mar. 3, 2015) (Paper 34)).</w:t>
      </w:r>
    </w:p>
  </w:footnote>
  <w:footnote w:id="819">
    <w:p w14:paraId="521CCBA1" w14:textId="15E3C389"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(citation omitted).</w:t>
      </w:r>
    </w:p>
  </w:footnote>
  <w:footnote w:id="820">
    <w:p w14:paraId="35BCCBB0"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1351.</w:t>
      </w:r>
    </w:p>
  </w:footnote>
  <w:footnote w:id="821">
    <w:p w14:paraId="2BEB3BEC" w14:textId="6ABBEDC1"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1357-58</w:t>
      </w:r>
    </w:p>
  </w:footnote>
  <w:footnote w:id="822">
    <w:p w14:paraId="4A233FD9" w14:textId="0739AADB"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1355 (citing Global-Tech Appliances, Inc. v. SEB S.A., 563 U.S. 754, 769 (2011)).</w:t>
      </w:r>
    </w:p>
  </w:footnote>
  <w:footnote w:id="823">
    <w:p w14:paraId="4555475E"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1353. </w:t>
      </w:r>
    </w:p>
  </w:footnote>
  <w:footnote w:id="824">
    <w:p w14:paraId="742EA929" w14:textId="22ADE41B"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1352-53 (discussing this and treating trade associations under the Trial Practice Guide).</w:t>
      </w:r>
    </w:p>
  </w:footnote>
  <w:footnote w:id="825">
    <w:p w14:paraId="739FAB53"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1358-61.</w:t>
      </w:r>
    </w:p>
  </w:footnote>
  <w:footnote w:id="826">
    <w:p w14:paraId="4F7C889C"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1364-65.</w:t>
      </w:r>
    </w:p>
  </w:footnote>
  <w:footnote w:id="827">
    <w:p w14:paraId="7791B371"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1363.</w:t>
      </w:r>
    </w:p>
  </w:footnote>
  <w:footnote w:id="828">
    <w:p w14:paraId="1726B7C5" w14:textId="5196B082"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St. Regis Mohawk Tribe v. Mylan Pharms. Inc., 896 F.3d 1322, 1325 (Fed. Cir. 2018).</w:t>
      </w:r>
    </w:p>
  </w:footnote>
  <w:footnote w:id="829">
    <w:p w14:paraId="4364C4E7"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1329.</w:t>
      </w:r>
    </w:p>
  </w:footnote>
  <w:footnote w:id="830">
    <w:p w14:paraId="0FEA19EA" w14:textId="107065C3"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1325 (citing 5 U.S.C. § 706).</w:t>
      </w:r>
    </w:p>
  </w:footnote>
  <w:footnote w:id="831">
    <w:p w14:paraId="22F0D571"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1325 (citation omitted).</w:t>
      </w:r>
    </w:p>
  </w:footnote>
  <w:footnote w:id="832">
    <w:p w14:paraId="0C3902B5" w14:textId="237CB91A"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1325-26 (citing cases). </w:t>
      </w:r>
    </w:p>
  </w:footnote>
  <w:footnote w:id="833">
    <w:p w14:paraId="02298524"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1326. Mylan also presented alternative grounds. </w:t>
      </w:r>
      <w:r w:rsidRPr="007F1307">
        <w:rPr>
          <w:rFonts w:cs="Times New Roman"/>
          <w:i/>
          <w:szCs w:val="22"/>
        </w:rPr>
        <w:t>Id.</w:t>
      </w:r>
    </w:p>
  </w:footnote>
  <w:footnote w:id="834">
    <w:p w14:paraId="0DE57013" w14:textId="6469CF4A"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1327 (citing Oil States Energy Services v. Greene’s Energy Group, LLC, 138 S.Ct. 1365 (2018)).</w:t>
      </w:r>
    </w:p>
  </w:footnote>
  <w:footnote w:id="835">
    <w:p w14:paraId="36095302" w14:textId="6AD94E68"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(citing SAS Institute Inc. v. Iancu, 138 S.Ct. 1348 (2018)).</w:t>
      </w:r>
    </w:p>
  </w:footnote>
  <w:footnote w:id="836">
    <w:p w14:paraId="1EC256DC"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1326.</w:t>
      </w:r>
    </w:p>
  </w:footnote>
  <w:footnote w:id="837">
    <w:p w14:paraId="208AF550"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1327.</w:t>
      </w:r>
    </w:p>
  </w:footnote>
  <w:footnote w:id="838">
    <w:p w14:paraId="100BE094" w14:textId="338026FE"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1327-28 (citing Fed. Maritime Comm’n v. S.C. State Ports Auth., 535 U.S. 743, 764 (2002))</w:t>
      </w:r>
    </w:p>
  </w:footnote>
  <w:footnote w:id="839">
    <w:p w14:paraId="32B34AD5"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1328.</w:t>
      </w:r>
    </w:p>
  </w:footnote>
  <w:footnote w:id="840">
    <w:p w14:paraId="234AA8A5"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1329 (citation omitted).</w:t>
      </w:r>
    </w:p>
  </w:footnote>
  <w:footnote w:id="841">
    <w:p w14:paraId="02347E90" w14:textId="6F93F623"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p>
  </w:footnote>
  <w:footnote w:id="842">
    <w:p w14:paraId="0B18338D"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1335 (Dyk, J., concurring).</w:t>
      </w:r>
    </w:p>
  </w:footnote>
  <w:footnote w:id="843">
    <w:p w14:paraId="6A6D9784" w14:textId="6CD351ED"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Mercasia USA, Ltd. v. Zhu, No. 3:17-CV-718 JD, 2018 WL 3833520, at *1 (N.D. Ind. Aug. 13, 2018).</w:t>
      </w:r>
    </w:p>
  </w:footnote>
  <w:footnote w:id="844">
    <w:p w14:paraId="181BA08B" w14:textId="0DF475AC"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p>
  </w:footnote>
  <w:footnote w:id="845">
    <w:p w14:paraId="76EAB921"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w:t>
      </w:r>
    </w:p>
  </w:footnote>
  <w:footnote w:id="846">
    <w:p w14:paraId="60CF003D" w14:textId="10E2E159"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(quoting Wordtech Sys., Inc. v. Integrated Networks Solutions, Inc., 609 F.3d 1308, 1313 (Fed. Cir. 2010)).</w:t>
      </w:r>
    </w:p>
  </w:footnote>
  <w:footnote w:id="847">
    <w:p w14:paraId="616DA68E" w14:textId="00A90C4E"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*3.</w:t>
      </w:r>
    </w:p>
  </w:footnote>
  <w:footnote w:id="848">
    <w:p w14:paraId="0D7EA9C5" w14:textId="751F5A60"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(citing Secon Serv. Sys. v. St. Joseph Bank &amp; Trust Co., 855 F.2d 406, 413 (7th Cir. 1988)).</w:t>
      </w:r>
    </w:p>
  </w:footnote>
  <w:footnote w:id="849">
    <w:p w14:paraId="4F43B15F" w14:textId="455CF6AB"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(citing Escobedo v. BHM Health Assocs., Inc., 818 N.E.2d 930, 933 (Ind. 2004)).</w:t>
      </w:r>
    </w:p>
  </w:footnote>
  <w:footnote w:id="850">
    <w:p w14:paraId="72F87C4D" w14:textId="2E52445D"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(summarizing factors for finding either prong according to Indiana’s law).</w:t>
      </w:r>
    </w:p>
  </w:footnote>
  <w:footnote w:id="851">
    <w:p w14:paraId="41C57A4D" w14:textId="25157BE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p>
  </w:footnote>
  <w:footnote w:id="852">
    <w:p w14:paraId="4FF1BE34" w14:textId="4FF36795"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*4 (citing CBR Event Decorators, Inc. v. Gates, 962 N.E.2d 1276, 1282–83 (Ind. Ct. App. 2012)).</w:t>
      </w:r>
    </w:p>
  </w:footnote>
  <w:footnote w:id="853">
    <w:p w14:paraId="02D530F2" w14:textId="443F17C5"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p>
  </w:footnote>
  <w:footnote w:id="854">
    <w:p w14:paraId="47C35F5F" w14:textId="437FCC04"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p>
  </w:footnote>
  <w:footnote w:id="855">
    <w:p w14:paraId="2D2EA6D7"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*4 &amp; n.4.</w:t>
      </w:r>
    </w:p>
  </w:footnote>
  <w:footnote w:id="856">
    <w:p w14:paraId="63482666" w14:textId="79F78752" w:rsidR="00BA22A2" w:rsidRPr="007F1307" w:rsidRDefault="00BA22A2" w:rsidP="0069275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eastAsia="Times New Roman" w:cs="Times New Roman"/>
          <w:color w:val="000000"/>
          <w:szCs w:val="22"/>
        </w:rPr>
        <w:t>In re Google Inc., No. 2018-152, 2018 WL 5536478, at *1 (Fed. Cir. Oct. 29, 2018).</w:t>
      </w:r>
    </w:p>
  </w:footnote>
  <w:footnote w:id="857">
    <w:p w14:paraId="61F5FA1C" w14:textId="77777777" w:rsidR="00BA22A2" w:rsidRPr="007F1307" w:rsidRDefault="00BA22A2" w:rsidP="0069275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(quoting </w:t>
      </w:r>
      <w:r w:rsidRPr="007F1307">
        <w:rPr>
          <w:rFonts w:eastAsia="Times New Roman" w:cs="Times New Roman"/>
          <w:color w:val="000000"/>
          <w:szCs w:val="22"/>
        </w:rPr>
        <w:t>Amended Complaint at 2–3, SEVEN Networks, LLC v. Google LLC, 2:17- CV-00442 (E.D. Tex. Aug. 22, 2017), ECF No. 34).</w:t>
      </w:r>
    </w:p>
  </w:footnote>
  <w:footnote w:id="858">
    <w:p w14:paraId="3488E2F5" w14:textId="77777777" w:rsidR="00BA22A2" w:rsidRPr="007F1307" w:rsidRDefault="00BA22A2" w:rsidP="0069275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w:t>
      </w:r>
    </w:p>
  </w:footnote>
  <w:footnote w:id="859">
    <w:p w14:paraId="0277A23B" w14:textId="77777777" w:rsidR="00BA22A2" w:rsidRPr="007F1307" w:rsidRDefault="00BA22A2" w:rsidP="00692758">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 (citing In re Cray Inc., 871 F.3d 1355 (Fed. Cir. 2017)).</w:t>
      </w:r>
    </w:p>
  </w:footnote>
  <w:footnote w:id="860">
    <w:p w14:paraId="42976103" w14:textId="77777777" w:rsidR="00BA22A2" w:rsidRPr="007F1307" w:rsidRDefault="00BA22A2" w:rsidP="0069275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w:t>
      </w:r>
    </w:p>
  </w:footnote>
  <w:footnote w:id="861">
    <w:p w14:paraId="4471970B" w14:textId="77777777" w:rsidR="00BA22A2" w:rsidRPr="007F1307" w:rsidRDefault="00BA22A2" w:rsidP="00692758">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862">
    <w:p w14:paraId="54BC6181" w14:textId="77777777" w:rsidR="00BA22A2" w:rsidRPr="007F1307" w:rsidRDefault="00BA22A2" w:rsidP="00692758">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863">
    <w:p w14:paraId="59F569E7" w14:textId="77777777" w:rsidR="00BA22A2" w:rsidRPr="007F1307" w:rsidRDefault="00BA22A2" w:rsidP="0069275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w:t>
      </w:r>
    </w:p>
  </w:footnote>
  <w:footnote w:id="864">
    <w:p w14:paraId="36ECAD2B" w14:textId="7137CF79" w:rsidR="00BA22A2" w:rsidRPr="00D03546" w:rsidRDefault="00BA22A2" w:rsidP="00692758">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See Id. </w:t>
      </w:r>
      <w:r w:rsidRPr="007F1307">
        <w:rPr>
          <w:rFonts w:cs="Times New Roman"/>
          <w:szCs w:val="22"/>
        </w:rPr>
        <w:t>at *2 (quoting In re Micron Tech., Inc., 875 F.3d 1091, 1095 (Fed. Cir. 2017)).</w:t>
      </w:r>
      <w:r>
        <w:rPr>
          <w:rFonts w:cs="Times New Roman"/>
          <w:szCs w:val="22"/>
        </w:rPr>
        <w:t xml:space="preserve"> Indeed, the court said that any lack of clarity in the district decision counseled waiting until clear contrasting decisions in multiple circuits forced reassessment. </w:t>
      </w:r>
      <w:r>
        <w:rPr>
          <w:rFonts w:cs="Times New Roman"/>
          <w:i/>
          <w:szCs w:val="22"/>
        </w:rPr>
        <w:t>Id.</w:t>
      </w:r>
    </w:p>
  </w:footnote>
  <w:footnote w:id="865">
    <w:p w14:paraId="3A517140" w14:textId="77777777" w:rsidR="00BA22A2" w:rsidRPr="007F1307" w:rsidRDefault="00BA22A2" w:rsidP="0069275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*3.</w:t>
      </w:r>
    </w:p>
  </w:footnote>
  <w:footnote w:id="866">
    <w:p w14:paraId="617277CB" w14:textId="77777777" w:rsidR="00BA22A2" w:rsidRPr="007F1307" w:rsidRDefault="00BA22A2" w:rsidP="0069275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867">
    <w:p w14:paraId="7F6A94E3" w14:textId="77777777" w:rsidR="00BA22A2" w:rsidRPr="007F1307" w:rsidRDefault="00BA22A2" w:rsidP="0069275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868">
    <w:p w14:paraId="36DEC91E" w14:textId="77777777" w:rsidR="00BA22A2" w:rsidRPr="007F1307" w:rsidRDefault="00BA22A2" w:rsidP="0069275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869">
    <w:p w14:paraId="23BB7150" w14:textId="0243D73B" w:rsidR="00BA22A2" w:rsidRPr="007F1307" w:rsidRDefault="00BA22A2" w:rsidP="003437F7">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See </w:t>
      </w:r>
      <w:r>
        <w:rPr>
          <w:rFonts w:cs="Times New Roman"/>
          <w:i/>
          <w:szCs w:val="22"/>
        </w:rPr>
        <w:t>i</w:t>
      </w:r>
      <w:r w:rsidRPr="007F1307">
        <w:rPr>
          <w:rFonts w:cs="Times New Roman"/>
          <w:i/>
          <w:szCs w:val="22"/>
        </w:rPr>
        <w:t xml:space="preserve">d. </w:t>
      </w:r>
      <w:r w:rsidRPr="007F1307">
        <w:rPr>
          <w:rFonts w:cs="Times New Roman"/>
          <w:szCs w:val="22"/>
        </w:rPr>
        <w:t>at *4 (Reyna, J., dissenting)</w:t>
      </w:r>
    </w:p>
  </w:footnote>
  <w:footnote w:id="870">
    <w:p w14:paraId="1BD65918" w14:textId="2DBA0B17" w:rsidR="00BA22A2" w:rsidRPr="003437F7" w:rsidRDefault="00BA22A2" w:rsidP="00692758">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*4 (Reyna, J., dissenting) (citing TC Heartland </w:t>
      </w:r>
      <w:r w:rsidRPr="007F1307">
        <w:rPr>
          <w:rFonts w:eastAsia="Times New Roman" w:cs="Times New Roman"/>
          <w:color w:val="000000"/>
          <w:szCs w:val="22"/>
        </w:rPr>
        <w:t>LLC v. Kraft Foods Group Brands LLC, 137 S. Ct. 1514 (2017)).</w:t>
      </w:r>
    </w:p>
  </w:footnote>
  <w:footnote w:id="871">
    <w:p w14:paraId="604E0A0C" w14:textId="77777777" w:rsidR="00BA22A2" w:rsidRPr="007F1307" w:rsidRDefault="00BA22A2" w:rsidP="0069275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*5 (Reyna, J., dissenting) (quoting In re Cray Inc., 871 F.3d 1355, 1362 (Fed. Cir. 2017)).</w:t>
      </w:r>
    </w:p>
  </w:footnote>
  <w:footnote w:id="872">
    <w:p w14:paraId="2CE44BB9" w14:textId="77777777" w:rsidR="00BA22A2" w:rsidRPr="007F1307" w:rsidRDefault="00BA22A2" w:rsidP="0069275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*5 (Reyna, J., dissenting) (citing In re Cray Inc., 871 F.3d at 1361).</w:t>
      </w:r>
    </w:p>
  </w:footnote>
  <w:footnote w:id="873">
    <w:p w14:paraId="4D39B81F" w14:textId="77777777" w:rsidR="00BA22A2" w:rsidRPr="007F1307" w:rsidRDefault="00BA22A2" w:rsidP="0069275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*5 (Reyna, J. dissenting).</w:t>
      </w:r>
    </w:p>
  </w:footnote>
  <w:footnote w:id="874">
    <w:p w14:paraId="3A5954C7" w14:textId="77777777" w:rsidR="00BA22A2" w:rsidRPr="007F1307" w:rsidRDefault="00BA22A2" w:rsidP="0069275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875">
    <w:p w14:paraId="10163621" w14:textId="77777777" w:rsidR="00BA22A2" w:rsidRPr="007F1307" w:rsidRDefault="00BA22A2" w:rsidP="0069275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876">
    <w:p w14:paraId="3F274FAD" w14:textId="77777777" w:rsidR="00BA22A2" w:rsidRPr="007F1307" w:rsidRDefault="00BA22A2" w:rsidP="00692758">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*6 (Reyha, J., dissenting).</w:t>
      </w:r>
    </w:p>
  </w:footnote>
  <w:footnote w:id="877">
    <w:p w14:paraId="4376411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In re Micron Techs. Inc., No 2017-138, 2017 WL 5474215, at *1 (Fed. Cir. Nov. 15, 2017).</w:t>
      </w:r>
    </w:p>
  </w:footnote>
  <w:footnote w:id="878">
    <w:p w14:paraId="2AACD718"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879">
    <w:p w14:paraId="43C47A3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880">
    <w:p w14:paraId="6391D9FC"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881">
    <w:p w14:paraId="6D648D5C"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*3.</w:t>
      </w:r>
    </w:p>
  </w:footnote>
  <w:footnote w:id="882">
    <w:p w14:paraId="458FE314"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*6.</w:t>
      </w:r>
    </w:p>
  </w:footnote>
  <w:footnote w:id="883">
    <w:p w14:paraId="3C075C65" w14:textId="01809743"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(quoting Link v. Wabash R. Co., 370 U.S. 626, 630-31 (1962)).</w:t>
      </w:r>
    </w:p>
  </w:footnote>
  <w:footnote w:id="884">
    <w:p w14:paraId="01705846" w14:textId="184A82F9"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*7 (quoting Degen v. United States, 517 U.S. 820, 823-24 (1996)).</w:t>
      </w:r>
    </w:p>
  </w:footnote>
  <w:footnote w:id="885">
    <w:p w14:paraId="4DF73724"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w:t>
      </w:r>
    </w:p>
  </w:footnote>
  <w:footnote w:id="886">
    <w:p w14:paraId="200B4562"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*8.</w:t>
      </w:r>
    </w:p>
  </w:footnote>
  <w:footnote w:id="887">
    <w:p w14:paraId="6B7195B8"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888">
    <w:p w14:paraId="7F899ADE"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889">
    <w:p w14:paraId="6FB0C2A1"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Full disclosure: Mark Lemley represented BigCommerce in this appeal.</w:t>
      </w:r>
    </w:p>
  </w:footnote>
  <w:footnote w:id="890">
    <w:p w14:paraId="6B278B54"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In re BigCommerce, Inc., No. 2018-120, 2018 WL 2207265, at *1 (Fed. Cir. May 15, 2018).</w:t>
      </w:r>
    </w:p>
  </w:footnote>
  <w:footnote w:id="891">
    <w:p w14:paraId="671904A2"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892">
    <w:p w14:paraId="45D3A314"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893">
    <w:p w14:paraId="63240324"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894">
    <w:p w14:paraId="779963D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895">
    <w:p w14:paraId="529891F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The district court also determined that BigCommerce waived its right to challenge venue against one of the two respondents, but the Federal Circuit determined that the waiver determination was clearly incorrect. </w:t>
      </w:r>
      <w:r w:rsidRPr="007F1307">
        <w:rPr>
          <w:rFonts w:cs="Times New Roman"/>
          <w:i/>
          <w:szCs w:val="22"/>
        </w:rPr>
        <w:t xml:space="preserve">Id. </w:t>
      </w:r>
      <w:r w:rsidRPr="007F1307">
        <w:rPr>
          <w:rFonts w:cs="Times New Roman"/>
          <w:szCs w:val="22"/>
        </w:rPr>
        <w:t>at *1-2.</w:t>
      </w:r>
    </w:p>
  </w:footnote>
  <w:footnote w:id="896">
    <w:p w14:paraId="4225710D"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897">
    <w:p w14:paraId="316EC6E8"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w:t>
      </w:r>
    </w:p>
  </w:footnote>
  <w:footnote w:id="898">
    <w:p w14:paraId="01D17B31"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w:t>
      </w:r>
    </w:p>
  </w:footnote>
  <w:footnote w:id="899">
    <w:p w14:paraId="5C6FB029"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*3.</w:t>
      </w:r>
    </w:p>
  </w:footnote>
  <w:footnote w:id="900">
    <w:p w14:paraId="43C5F8ED" w14:textId="71DE0A91"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(quoting 28 U.S.C. § 1400(b) (emphasis added)).</w:t>
      </w:r>
    </w:p>
  </w:footnote>
  <w:footnote w:id="901">
    <w:p w14:paraId="1CEB7963"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02">
    <w:p w14:paraId="109C83EA"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03">
    <w:p w14:paraId="5F7D5D48"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*4.</w:t>
      </w:r>
    </w:p>
  </w:footnote>
  <w:footnote w:id="904">
    <w:p w14:paraId="6770729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*3.</w:t>
      </w:r>
    </w:p>
  </w:footnote>
  <w:footnote w:id="905">
    <w:p w14:paraId="5FE9DA9C"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*4.</w:t>
      </w:r>
    </w:p>
  </w:footnote>
  <w:footnote w:id="906">
    <w:p w14:paraId="297469E4"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07">
    <w:p w14:paraId="720F13C9"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08">
    <w:p w14:paraId="4776FC8E"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*6.</w:t>
      </w:r>
    </w:p>
  </w:footnote>
  <w:footnote w:id="909">
    <w:p w14:paraId="450542D1"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In re ZTE (USA) Inc., No. 2018-113, 2018 WL 2187782, at *1 (Fed. Cir. May 14, 2018).</w:t>
      </w:r>
    </w:p>
  </w:footnote>
  <w:footnote w:id="910">
    <w:p w14:paraId="75E1161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w:t>
      </w:r>
    </w:p>
  </w:footnote>
  <w:footnote w:id="911">
    <w:p w14:paraId="5719DCE7"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12">
    <w:p w14:paraId="163C74B2"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13">
    <w:p w14:paraId="28557DEC"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*4. </w:t>
      </w:r>
    </w:p>
  </w:footnote>
  <w:footnote w:id="914">
    <w:p w14:paraId="72CC957B"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15">
    <w:p w14:paraId="2D8F8C37"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16">
    <w:p w14:paraId="7702EF9F"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17">
    <w:p w14:paraId="42227755" w14:textId="77777777" w:rsidR="00BA22A2" w:rsidRPr="007F1307" w:rsidRDefault="00BA22A2" w:rsidP="000D3CB7">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In re HTC Corp.</w:t>
      </w:r>
      <w:r w:rsidRPr="007F1307">
        <w:rPr>
          <w:rFonts w:cs="Times New Roman"/>
          <w:szCs w:val="22"/>
        </w:rPr>
        <w:t xml:space="preserve">, No. 2018-130, 2018 WL 2123357, at *1 (Fed. Cir. May 9, 2018). </w:t>
      </w:r>
    </w:p>
  </w:footnote>
  <w:footnote w:id="918">
    <w:p w14:paraId="3F48C2E2" w14:textId="77777777" w:rsidR="00BA22A2" w:rsidRPr="007F1307" w:rsidRDefault="00BA22A2" w:rsidP="000D3CB7">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w:t>
      </w:r>
    </w:p>
  </w:footnote>
  <w:footnote w:id="919">
    <w:p w14:paraId="65692B1F" w14:textId="77777777" w:rsidR="00BA22A2" w:rsidRPr="007F1307" w:rsidRDefault="00BA22A2" w:rsidP="000D3CB7">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20">
    <w:p w14:paraId="0EA827FF" w14:textId="77777777" w:rsidR="00BA22A2" w:rsidRPr="007F1307" w:rsidRDefault="00BA22A2" w:rsidP="000D3CB7">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*3.</w:t>
      </w:r>
    </w:p>
  </w:footnote>
  <w:footnote w:id="921">
    <w:p w14:paraId="64130C0B" w14:textId="77777777" w:rsidR="00BA22A2" w:rsidRPr="007F1307" w:rsidRDefault="00BA22A2" w:rsidP="000D3CB7">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922">
    <w:p w14:paraId="49C1FADB" w14:textId="77777777" w:rsidR="00BA22A2" w:rsidRPr="007F1307" w:rsidRDefault="00BA22A2" w:rsidP="000D3CB7">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23">
    <w:p w14:paraId="31C17CE0" w14:textId="77777777" w:rsidR="00BA22A2" w:rsidRPr="007F1307" w:rsidRDefault="00BA22A2" w:rsidP="000D3CB7">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*4.</w:t>
      </w:r>
    </w:p>
  </w:footnote>
  <w:footnote w:id="924">
    <w:p w14:paraId="66E064A1" w14:textId="77777777" w:rsidR="00BA22A2" w:rsidRPr="007F1307" w:rsidRDefault="00BA22A2" w:rsidP="000D3CB7">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(citing </w:t>
      </w:r>
      <w:r w:rsidRPr="007F1307">
        <w:rPr>
          <w:rFonts w:cs="Times New Roman"/>
          <w:i/>
          <w:szCs w:val="22"/>
        </w:rPr>
        <w:t>Brunette Mach. Works, Ltd. v. Kockum Indus., Inc.</w:t>
      </w:r>
      <w:r w:rsidRPr="007F1307">
        <w:rPr>
          <w:rFonts w:cs="Times New Roman"/>
          <w:szCs w:val="22"/>
        </w:rPr>
        <w:t xml:space="preserve"> 406 U.S. 706, (1972)).</w:t>
      </w:r>
    </w:p>
  </w:footnote>
  <w:footnote w:id="925">
    <w:p w14:paraId="49816ABA" w14:textId="77777777" w:rsidR="00BA22A2" w:rsidRPr="007F1307" w:rsidRDefault="00BA22A2" w:rsidP="000D3CB7">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926">
    <w:p w14:paraId="04E82D2D" w14:textId="77777777" w:rsidR="00BA22A2" w:rsidRPr="007F1307" w:rsidRDefault="00BA22A2" w:rsidP="000D3CB7">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927">
    <w:p w14:paraId="5A19D563" w14:textId="77777777" w:rsidR="00BA22A2" w:rsidRPr="007F1307" w:rsidRDefault="00BA22A2" w:rsidP="000D3CB7">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*9.</w:t>
      </w:r>
    </w:p>
  </w:footnote>
  <w:footnote w:id="928">
    <w:p w14:paraId="727C23BB"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In re Silver, 540 S.W.3d 530, 532 (Tex. 2018).</w:t>
      </w:r>
    </w:p>
  </w:footnote>
  <w:footnote w:id="929">
    <w:p w14:paraId="1F73AFB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533 (quoting Tex. R. Evid. 503(a)(3)).</w:t>
      </w:r>
    </w:p>
  </w:footnote>
  <w:footnote w:id="930">
    <w:p w14:paraId="34293089"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535-36.</w:t>
      </w:r>
    </w:p>
  </w:footnote>
  <w:footnote w:id="931">
    <w:p w14:paraId="2B37D9E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536.</w:t>
      </w:r>
    </w:p>
  </w:footnote>
  <w:footnote w:id="932">
    <w:p w14:paraId="18B030FE" w14:textId="67C9E4CC"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(quoting 37 C.F.R. § 11.5(b)(1)(i) (2017)).</w:t>
      </w:r>
    </w:p>
  </w:footnote>
  <w:footnote w:id="933">
    <w:p w14:paraId="3A543639"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34">
    <w:p w14:paraId="4BB0FA27"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536-38.</w:t>
      </w:r>
    </w:p>
  </w:footnote>
  <w:footnote w:id="935">
    <w:p w14:paraId="5F799504"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820 F.3d 1287 (Fed. Cir. 2016).</w:t>
      </w:r>
    </w:p>
  </w:footnote>
  <w:footnote w:id="936">
    <w:p w14:paraId="5656950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37">
    <w:p w14:paraId="52A091A0"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373 U.S. 379 (1963).</w:t>
      </w:r>
    </w:p>
  </w:footnote>
  <w:footnote w:id="938">
    <w:p w14:paraId="74FF7DA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1296.</w:t>
      </w:r>
    </w:p>
  </w:footnote>
  <w:footnote w:id="939">
    <w:p w14:paraId="1C8238F6" w14:textId="26F2F3ED"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AIDS Healthcare Found., Inc. v. Gilead Scis., Inc., No. 2016-2425, 2018 WL 2168658, at *1 (Fed. Cir. May 11, 2018).</w:t>
      </w:r>
    </w:p>
  </w:footnote>
  <w:footnote w:id="940">
    <w:p w14:paraId="4ACFF308"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41">
    <w:p w14:paraId="26AB668E"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42">
    <w:p w14:paraId="188A179A"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43">
    <w:p w14:paraId="04B82366"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*6.</w:t>
      </w:r>
    </w:p>
  </w:footnote>
  <w:footnote w:id="944">
    <w:p w14:paraId="2732B93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w:t>
      </w:r>
    </w:p>
  </w:footnote>
  <w:footnote w:id="945">
    <w:p w14:paraId="5FF8B03F"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46">
    <w:p w14:paraId="628E5A58"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*3.</w:t>
      </w:r>
    </w:p>
  </w:footnote>
  <w:footnote w:id="947">
    <w:p w14:paraId="0A2CCCAC"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948">
    <w:p w14:paraId="73B488C5"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949">
    <w:p w14:paraId="6FEFE6CC"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w:t>
      </w:r>
    </w:p>
  </w:footnote>
  <w:footnote w:id="950">
    <w:p w14:paraId="61761C6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*4. </w:t>
      </w:r>
    </w:p>
  </w:footnote>
  <w:footnote w:id="951">
    <w:p w14:paraId="0B2CF58A"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952">
    <w:p w14:paraId="56D4593E"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953">
    <w:p w14:paraId="2B707C83"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54">
    <w:p w14:paraId="15657107"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*5.</w:t>
      </w:r>
    </w:p>
  </w:footnote>
  <w:footnote w:id="955">
    <w:p w14:paraId="6FADDF4C"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56">
    <w:p w14:paraId="7C5C6AEE"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57">
    <w:p w14:paraId="7BA195FC" w14:textId="660F3283"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Nalco Co. v. Chem-Mod, LLC, 883 F.3d 1337, 1342 (Fed. Cir. 2018).</w:t>
      </w:r>
    </w:p>
  </w:footnote>
  <w:footnote w:id="958">
    <w:p w14:paraId="0103DE03"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59">
    <w:p w14:paraId="0C68B724"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60">
    <w:p w14:paraId="28468D56"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61">
    <w:p w14:paraId="35A8F67F"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62">
    <w:p w14:paraId="2E052497"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1344 (emphasis added).</w:t>
      </w:r>
    </w:p>
  </w:footnote>
  <w:footnote w:id="963">
    <w:p w14:paraId="16598AB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1343. </w:t>
      </w:r>
    </w:p>
  </w:footnote>
  <w:footnote w:id="964">
    <w:p w14:paraId="042BBB32"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965">
    <w:p w14:paraId="1CB9146E"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1343-46.</w:t>
      </w:r>
    </w:p>
  </w:footnote>
  <w:footnote w:id="966">
    <w:p w14:paraId="03517A56"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1344.</w:t>
      </w:r>
    </w:p>
  </w:footnote>
  <w:footnote w:id="967">
    <w:p w14:paraId="67CED576"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1346.</w:t>
      </w:r>
    </w:p>
  </w:footnote>
  <w:footnote w:id="968">
    <w:p w14:paraId="04DFEDC2"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69">
    <w:p w14:paraId="1DB0E673"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1342.</w:t>
      </w:r>
    </w:p>
  </w:footnote>
  <w:footnote w:id="970">
    <w:p w14:paraId="26857B62"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1349.</w:t>
      </w:r>
    </w:p>
  </w:footnote>
  <w:footnote w:id="971">
    <w:p w14:paraId="69DB1B84"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72">
    <w:p w14:paraId="15BB8AA5"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73">
    <w:p w14:paraId="56C2A0CD"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74">
    <w:p w14:paraId="039FAF8B"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75">
    <w:p w14:paraId="201E1D86"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1350. </w:t>
      </w:r>
    </w:p>
  </w:footnote>
  <w:footnote w:id="976">
    <w:p w14:paraId="02A37572" w14:textId="713AB0AA"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Oil States Energy Servs., LLC v. Greene’s Energy Grp., LLC, 2018 WL 1914662, at *3 (U.S. Apr. 24, 2018).</w:t>
      </w:r>
    </w:p>
  </w:footnote>
  <w:footnote w:id="977">
    <w:p w14:paraId="53DD59B3"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*5.</w:t>
      </w:r>
    </w:p>
  </w:footnote>
  <w:footnote w:id="978">
    <w:p w14:paraId="6DC70636" w14:textId="35A4FC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(quoting Crowell v. Benson, 285 U.S. 22, 50 (1932)).</w:t>
      </w:r>
    </w:p>
  </w:footnote>
  <w:footnote w:id="979">
    <w:p w14:paraId="074642D3"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80">
    <w:p w14:paraId="2D7E6036" w14:textId="71F907E6"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*6 (quoting United States v. Duell, 172 U.S. 576, 582-83 (1899)).</w:t>
      </w:r>
    </w:p>
  </w:footnote>
  <w:footnote w:id="981">
    <w:p w14:paraId="643DBD00" w14:textId="17C65296"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(citing United States v. Am. Bell Tel. Co., 128 U.S. 315 (1888)).</w:t>
      </w:r>
    </w:p>
  </w:footnote>
  <w:footnote w:id="982">
    <w:p w14:paraId="2F888A7C" w14:textId="75CD5566"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(quoting Seymour v. Osborne, 11 Wall. 516, 533 (1871)).</w:t>
      </w:r>
    </w:p>
  </w:footnote>
  <w:footnote w:id="983">
    <w:p w14:paraId="24357697"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*6.</w:t>
      </w:r>
    </w:p>
  </w:footnote>
  <w:footnote w:id="984">
    <w:p w14:paraId="32133388"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w:t>
      </w:r>
    </w:p>
  </w:footnote>
  <w:footnote w:id="985">
    <w:p w14:paraId="25ACB67C"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*7.</w:t>
      </w:r>
    </w:p>
  </w:footnote>
  <w:footnote w:id="986">
    <w:p w14:paraId="6DE170DC"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87">
    <w:p w14:paraId="7CB3A280"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88">
    <w:p w14:paraId="126E0F00" w14:textId="23FEA7D6"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(quoting Cuozzo Speed Technologies, LLC v. Lee, 136 S. Ct. 2131, 2137 (2016)).</w:t>
      </w:r>
    </w:p>
  </w:footnote>
  <w:footnote w:id="989">
    <w:p w14:paraId="23422847"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90">
    <w:p w14:paraId="3C0FE4E4"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*8.</w:t>
      </w:r>
    </w:p>
  </w:footnote>
  <w:footnote w:id="991">
    <w:p w14:paraId="48CCC20A" w14:textId="7D937D59"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*9 (quoting Stern v. Marshall, 564 U.S. 462 (2011)).</w:t>
      </w:r>
    </w:p>
  </w:footnote>
  <w:footnote w:id="992">
    <w:p w14:paraId="723CD0D9"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93">
    <w:p w14:paraId="2224FF28"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94">
    <w:p w14:paraId="005D71C9"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995">
    <w:p w14:paraId="1BE2CDB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*10.</w:t>
      </w:r>
    </w:p>
  </w:footnote>
  <w:footnote w:id="996">
    <w:p w14:paraId="66FB9B75"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w:t>
      </w:r>
    </w:p>
  </w:footnote>
  <w:footnote w:id="997">
    <w:p w14:paraId="5D87D0E3"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*11.</w:t>
      </w:r>
    </w:p>
  </w:footnote>
  <w:footnote w:id="998">
    <w:p w14:paraId="3E657832"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w:t>
      </w:r>
    </w:p>
  </w:footnote>
  <w:footnote w:id="999">
    <w:p w14:paraId="55C0E6F0"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(Gorsuch, J., dissenting).</w:t>
      </w:r>
    </w:p>
  </w:footnote>
  <w:footnote w:id="1000">
    <w:p w14:paraId="646857AF"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001">
    <w:p w14:paraId="11F8ADE4"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002">
    <w:p w14:paraId="0C33CB17"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003">
    <w:p w14:paraId="3A02DADE"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w:t>
      </w:r>
    </w:p>
  </w:footnote>
  <w:footnote w:id="1004">
    <w:p w14:paraId="1A934241"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(emphasis in original)</w:t>
      </w:r>
    </w:p>
  </w:footnote>
  <w:footnote w:id="1005">
    <w:p w14:paraId="1E6175A8"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*14.</w:t>
      </w:r>
    </w:p>
  </w:footnote>
  <w:footnote w:id="1006">
    <w:p w14:paraId="1BEB70CB"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007">
    <w:p w14:paraId="3252EF84"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008">
    <w:p w14:paraId="32BB77A4"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*15.</w:t>
      </w:r>
    </w:p>
  </w:footnote>
  <w:footnote w:id="1009">
    <w:p w14:paraId="5CE99C81" w14:textId="1A5C0A3A"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(quoting Hovey v. Henry, 12 F.Cas. 603, 604 (No. 6,742) (C.C.D.Mass. 1846) (Woodbury, J.)).</w:t>
      </w:r>
    </w:p>
  </w:footnote>
  <w:footnote w:id="1010">
    <w:p w14:paraId="0925D71C"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011">
    <w:p w14:paraId="0BBA0346" w14:textId="3D9835AC"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*16 (citing McCormick Harvesting Machine Co. v. Aultman, 169 U.S. 606 (1898)).</w:t>
      </w:r>
    </w:p>
  </w:footnote>
  <w:footnote w:id="1012">
    <w:p w14:paraId="7A1C4D72"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013">
    <w:p w14:paraId="2AD41762" w14:textId="7CA9061F"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SAS Inst. Inc. v. Iancu, No. 16-969, 2018 WL 1914661, at *2 (U.S. Apr. 24, 2018).</w:t>
      </w:r>
    </w:p>
  </w:footnote>
  <w:footnote w:id="1014">
    <w:p w14:paraId="2591E5F1" w14:textId="17236BBD"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35 U.S.C. § 318(a).</w:t>
      </w:r>
    </w:p>
  </w:footnote>
  <w:footnote w:id="1015">
    <w:p w14:paraId="692F1222"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SAS</w:t>
      </w:r>
      <w:r w:rsidRPr="007F1307">
        <w:rPr>
          <w:rFonts w:cs="Times New Roman"/>
          <w:szCs w:val="22"/>
        </w:rPr>
        <w:t>, 2018 WL 1914661, at *2.</w:t>
      </w:r>
    </w:p>
  </w:footnote>
  <w:footnote w:id="1016">
    <w:p w14:paraId="4DD79C69"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*4.</w:t>
      </w:r>
    </w:p>
  </w:footnote>
  <w:footnote w:id="1017">
    <w:p w14:paraId="63983DDC"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*5.</w:t>
      </w:r>
    </w:p>
  </w:footnote>
  <w:footnote w:id="1018">
    <w:p w14:paraId="628A1954"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019">
    <w:p w14:paraId="66FAA7BF"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020">
    <w:p w14:paraId="39022A5F"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021">
    <w:p w14:paraId="23204C24"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*7.</w:t>
      </w:r>
    </w:p>
  </w:footnote>
  <w:footnote w:id="1022">
    <w:p w14:paraId="2915BB73"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023">
    <w:p w14:paraId="41C4F15C"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024">
    <w:p w14:paraId="3B6C344F"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*8.</w:t>
      </w:r>
    </w:p>
  </w:footnote>
  <w:footnote w:id="1025">
    <w:p w14:paraId="411F8507"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*9.</w:t>
      </w:r>
    </w:p>
  </w:footnote>
  <w:footnote w:id="1026">
    <w:p w14:paraId="713F3E93"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*9-10 (Ginsburg, J., dissenting).</w:t>
      </w:r>
    </w:p>
  </w:footnote>
  <w:footnote w:id="1027">
    <w:p w14:paraId="22506FDC"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*10.</w:t>
      </w:r>
    </w:p>
  </w:footnote>
  <w:footnote w:id="1028">
    <w:p w14:paraId="02E0187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*10 (Breyer, J., dissenting).</w:t>
      </w:r>
    </w:p>
  </w:footnote>
  <w:footnote w:id="1029">
    <w:p w14:paraId="6A17B3B8"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030">
    <w:p w14:paraId="2A568AE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*13. </w:t>
      </w:r>
    </w:p>
  </w:footnote>
  <w:footnote w:id="1031">
    <w:p w14:paraId="551C0128"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*14.</w:t>
      </w:r>
    </w:p>
  </w:footnote>
  <w:footnote w:id="1032">
    <w:p w14:paraId="2E6546AE"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033">
    <w:p w14:paraId="7E55514E"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034">
    <w:p w14:paraId="77F8C81C" w14:textId="301E50F3"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Adidas AG v. Nike, Inc., 894 F.3d 1256, 1258 (Fed. Cir. 2018).</w:t>
      </w:r>
    </w:p>
  </w:footnote>
  <w:footnote w:id="1035">
    <w:p w14:paraId="1E21CA7E" w14:textId="22E7B554"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Specifically, claims 1-13 of the ’598 patent and claims 1-9 of the ’749 patent. </w:t>
      </w:r>
      <w:r w:rsidRPr="007F1307">
        <w:rPr>
          <w:rFonts w:cs="Times New Roman"/>
          <w:i/>
          <w:szCs w:val="22"/>
        </w:rPr>
        <w:t xml:space="preserve">Id. </w:t>
      </w:r>
      <w:r w:rsidRPr="007F1307">
        <w:rPr>
          <w:rFonts w:cs="Times New Roman"/>
          <w:szCs w:val="22"/>
        </w:rPr>
        <w:t>at 1257.</w:t>
      </w:r>
    </w:p>
  </w:footnote>
  <w:footnote w:id="1036">
    <w:p w14:paraId="1162020B" w14:textId="742D22C6"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Specifically, (1) Reed and Nishida, and (2) Castello, Fujiwara, and Nishida. </w:t>
      </w:r>
      <w:r w:rsidRPr="007F1307">
        <w:rPr>
          <w:rFonts w:cs="Times New Roman"/>
          <w:i/>
          <w:szCs w:val="22"/>
        </w:rPr>
        <w:t xml:space="preserve">Id. </w:t>
      </w:r>
    </w:p>
  </w:footnote>
  <w:footnote w:id="1037">
    <w:p w14:paraId="6C8672C1" w14:textId="50F8F6BA"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1257.</w:t>
      </w:r>
    </w:p>
  </w:footnote>
  <w:footnote w:id="1038">
    <w:p w14:paraId="0418E4B4" w14:textId="257D7878"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1258 (quoting </w:t>
      </w:r>
      <w:r w:rsidRPr="007F1307">
        <w:rPr>
          <w:rFonts w:cs="Times New Roman"/>
          <w:i/>
          <w:szCs w:val="22"/>
        </w:rPr>
        <w:t>SAS Institute</w:t>
      </w:r>
      <w:r w:rsidRPr="007F1307">
        <w:rPr>
          <w:rFonts w:cs="Times New Roman"/>
          <w:szCs w:val="22"/>
        </w:rPr>
        <w:t>, 138 S.Ct. at 1355-56).</w:t>
      </w:r>
    </w:p>
  </w:footnote>
  <w:footnote w:id="1039">
    <w:p w14:paraId="1259EA7D" w14:textId="2C566A28"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1257.</w:t>
      </w:r>
    </w:p>
  </w:footnote>
  <w:footnote w:id="1040">
    <w:p w14:paraId="53CCBD30" w14:textId="1F0FCCB6"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(quoting </w:t>
      </w:r>
      <w:r w:rsidRPr="007F1307">
        <w:rPr>
          <w:rFonts w:cs="Times New Roman"/>
          <w:i/>
          <w:szCs w:val="22"/>
        </w:rPr>
        <w:t>SAS Institute</w:t>
      </w:r>
      <w:r w:rsidRPr="007F1307">
        <w:rPr>
          <w:rFonts w:cs="Times New Roman"/>
          <w:szCs w:val="22"/>
        </w:rPr>
        <w:t>, 138 S.Ct. at 1355, 1356).</w:t>
      </w:r>
    </w:p>
  </w:footnote>
  <w:footnote w:id="1041">
    <w:p w14:paraId="06E4EA1B" w14:textId="25814DD9"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1258 (citing </w:t>
      </w:r>
      <w:r w:rsidRPr="007F1307">
        <w:rPr>
          <w:rFonts w:cs="Times New Roman"/>
          <w:i/>
          <w:szCs w:val="22"/>
        </w:rPr>
        <w:t>PGS Geophysical AS v. Iancu</w:t>
      </w:r>
      <w:r w:rsidRPr="007F1307">
        <w:rPr>
          <w:rFonts w:cs="Times New Roman"/>
          <w:szCs w:val="22"/>
        </w:rPr>
        <w:t>, 891 F.3d 1354, 1360 (Fed. Cir. June 7, 2018)).</w:t>
      </w:r>
    </w:p>
  </w:footnote>
  <w:footnote w:id="1042">
    <w:p w14:paraId="3C68ADBA" w14:textId="3B1D73EA" w:rsidR="00BA22A2" w:rsidRPr="007F1307" w:rsidRDefault="00BA22A2" w:rsidP="00AE50AD">
      <w:pPr>
        <w:pStyle w:val="FootnoteText"/>
        <w:rPr>
          <w:rFonts w:cs="Times New Roman"/>
          <w:i/>
          <w:szCs w:val="22"/>
        </w:rPr>
      </w:pPr>
      <w:r w:rsidRPr="007F1307">
        <w:rPr>
          <w:rStyle w:val="FootnoteReference"/>
          <w:rFonts w:cs="Times New Roman"/>
          <w:color w:val="000000" w:themeColor="text1"/>
          <w:szCs w:val="22"/>
        </w:rPr>
        <w:footnoteRef/>
      </w:r>
      <w:r w:rsidRPr="007F1307">
        <w:rPr>
          <w:rFonts w:cs="Times New Roman"/>
          <w:szCs w:val="22"/>
        </w:rPr>
        <w:t xml:space="preserve"> Alcatel-Lucent USA Inc. v. Oyster Optics, LLC, No. IPR2018-00070, 2018 WL 4191599 at *1 &amp; n.1 (P.T.A.B. Aug. 31, 2018) (citing </w:t>
      </w:r>
      <w:r w:rsidRPr="007F1307">
        <w:rPr>
          <w:rFonts w:cs="Times New Roman"/>
          <w:i/>
          <w:szCs w:val="22"/>
        </w:rPr>
        <w:t>SAS Institute Inc. v. Iancu</w:t>
      </w:r>
      <w:r w:rsidRPr="007F1307">
        <w:rPr>
          <w:rFonts w:cs="Times New Roman"/>
          <w:szCs w:val="22"/>
        </w:rPr>
        <w:t>, 138 S.Ct. 1348 (2018)).</w:t>
      </w:r>
    </w:p>
  </w:footnote>
  <w:footnote w:id="1043">
    <w:p w14:paraId="16DD8141"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w:t>
      </w:r>
    </w:p>
  </w:footnote>
  <w:footnote w:id="1044">
    <w:p w14:paraId="4AB4556F"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w:t>
      </w:r>
    </w:p>
  </w:footnote>
  <w:footnote w:id="1045">
    <w:p w14:paraId="033E4D5B"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w:t>
      </w:r>
    </w:p>
  </w:footnote>
  <w:footnote w:id="1046">
    <w:p w14:paraId="082A6139"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w:t>
      </w:r>
    </w:p>
  </w:footnote>
  <w:footnote w:id="1047">
    <w:p w14:paraId="668E8D2C" w14:textId="77777777" w:rsidR="00BA22A2" w:rsidRPr="007F1307" w:rsidRDefault="00BA22A2" w:rsidP="00107F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Bennett Regulator Guards, Inc. v. Atlanta Gas Light Co., 905 F.3d 1311, 1313 (Fed. Cir. 2018).</w:t>
      </w:r>
    </w:p>
  </w:footnote>
  <w:footnote w:id="1048">
    <w:p w14:paraId="05CAB5EB" w14:textId="77777777" w:rsidR="00BA22A2" w:rsidRPr="007F1307" w:rsidRDefault="00BA22A2" w:rsidP="00107F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049">
    <w:p w14:paraId="4CB19F2F" w14:textId="77777777" w:rsidR="00BA22A2" w:rsidRPr="007F1307" w:rsidRDefault="00BA22A2" w:rsidP="00107F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(quoting statute).</w:t>
      </w:r>
    </w:p>
  </w:footnote>
  <w:footnote w:id="1050">
    <w:p w14:paraId="5534AB5C" w14:textId="77777777" w:rsidR="00BA22A2" w:rsidRPr="007F1307" w:rsidRDefault="00BA22A2" w:rsidP="00107F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It also reached substantive issues and applied sanctions not at issue here. </w:t>
      </w:r>
      <w:r w:rsidRPr="007F1307">
        <w:rPr>
          <w:rFonts w:cs="Times New Roman"/>
          <w:i/>
          <w:szCs w:val="22"/>
        </w:rPr>
        <w:t xml:space="preserve">Id. </w:t>
      </w:r>
      <w:r w:rsidRPr="007F1307">
        <w:rPr>
          <w:rFonts w:cs="Times New Roman"/>
          <w:szCs w:val="22"/>
        </w:rPr>
        <w:t>at 1314.</w:t>
      </w:r>
    </w:p>
  </w:footnote>
  <w:footnote w:id="1051">
    <w:p w14:paraId="609EC7BB" w14:textId="77777777" w:rsidR="00BA22A2" w:rsidRPr="007F1307" w:rsidRDefault="00BA22A2" w:rsidP="00107F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1315 (citing Click-to-Call Techs., LP v. Ingenio, Inc., 899 F.3d 1321, 1329–32 (Fed. Cir. 2018)).</w:t>
      </w:r>
    </w:p>
  </w:footnote>
  <w:footnote w:id="1052">
    <w:p w14:paraId="46612C92" w14:textId="77777777" w:rsidR="00BA22A2" w:rsidRPr="007F1307" w:rsidRDefault="00BA22A2" w:rsidP="00107F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1053">
    <w:p w14:paraId="18F7BC80" w14:textId="77777777" w:rsidR="00BA22A2" w:rsidRPr="007F1307" w:rsidRDefault="00BA22A2" w:rsidP="00107F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1315.</w:t>
      </w:r>
    </w:p>
  </w:footnote>
  <w:footnote w:id="1054">
    <w:p w14:paraId="73073DB5" w14:textId="77777777" w:rsidR="00BA22A2" w:rsidRPr="007F1307" w:rsidRDefault="00BA22A2" w:rsidP="00107F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055">
    <w:p w14:paraId="74ED6C69"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803 F.3d 652 (Fed. Cir. 2015).</w:t>
      </w:r>
    </w:p>
  </w:footnote>
  <w:footnote w:id="1056">
    <w:p w14:paraId="5364FECA" w14:textId="0BBF75DF"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Wi-Fi One, LLC v. Broadcom Corp., 878 F.3d 1364, 1367 (Fed. Cir. 2018).</w:t>
      </w:r>
    </w:p>
  </w:footnote>
  <w:footnote w:id="1057">
    <w:p w14:paraId="648F74F4" w14:textId="384063A4"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1368 (quoting 35 U.S.C. § 314(d)) (emphasis in original).</w:t>
      </w:r>
    </w:p>
  </w:footnote>
  <w:footnote w:id="1058">
    <w:p w14:paraId="6E86B238" w14:textId="18261BEC"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35 U.S.C. § 315(b).</w:t>
      </w:r>
    </w:p>
  </w:footnote>
  <w:footnote w:id="1059">
    <w:p w14:paraId="406FF8AB"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Wi-Fi One, 878 F.3d at 1368-69.</w:t>
      </w:r>
    </w:p>
  </w:footnote>
  <w:footnote w:id="1060">
    <w:p w14:paraId="22A3885F"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136 S. Ct. 2131 (2016).</w:t>
      </w:r>
    </w:p>
  </w:footnote>
  <w:footnote w:id="1061">
    <w:p w14:paraId="76B36C97" w14:textId="5DE7E6E3"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Wi-Fi One, 878 F.3d at 1369 (quoting 35 U.S.C. § 312(a)(3)).</w:t>
      </w:r>
    </w:p>
  </w:footnote>
  <w:footnote w:id="1062">
    <w:p w14:paraId="5C59D304"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1369 (quoting Cuozzo, 136 S. Ct. at 2142).</w:t>
      </w:r>
    </w:p>
  </w:footnote>
  <w:footnote w:id="1063">
    <w:p w14:paraId="7D012B86"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1369-70.</w:t>
      </w:r>
    </w:p>
  </w:footnote>
  <w:footnote w:id="1064">
    <w:p w14:paraId="30EFA32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1372.</w:t>
      </w:r>
    </w:p>
  </w:footnote>
  <w:footnote w:id="1065">
    <w:p w14:paraId="7453B39C"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066">
    <w:p w14:paraId="4A1E65B3"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067">
    <w:p w14:paraId="0B3071F3"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1373.</w:t>
      </w:r>
    </w:p>
  </w:footnote>
  <w:footnote w:id="1068">
    <w:p w14:paraId="5C903CA9"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w:t>
      </w:r>
    </w:p>
  </w:footnote>
  <w:footnote w:id="1069">
    <w:p w14:paraId="247400E1"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1375 (O’Malley, J., concurring).</w:t>
      </w:r>
    </w:p>
  </w:footnote>
  <w:footnote w:id="1070">
    <w:p w14:paraId="11527748"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1376.</w:t>
      </w:r>
    </w:p>
  </w:footnote>
  <w:footnote w:id="1071">
    <w:p w14:paraId="23B6B9D5"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1377 (Hughes, J., dissenting).</w:t>
      </w:r>
    </w:p>
  </w:footnote>
  <w:footnote w:id="1072">
    <w:p w14:paraId="3403EE75"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1378.</w:t>
      </w:r>
    </w:p>
  </w:footnote>
  <w:footnote w:id="1073">
    <w:p w14:paraId="15DFBC53"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074">
    <w:p w14:paraId="43486A02"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(quoting Cuozzo, 136 S. Ct. at 2141).</w:t>
      </w:r>
    </w:p>
  </w:footnote>
  <w:footnote w:id="1075">
    <w:p w14:paraId="4C17AEDC"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076">
    <w:p w14:paraId="439C097C" w14:textId="326CC00C"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CRFD Research, Inc. v. Matal, 876 F.3d 1330, 1344-46 (Fed. Cir. Dec. 5, 2017).</w:t>
      </w:r>
    </w:p>
  </w:footnote>
  <w:footnote w:id="1077">
    <w:p w14:paraId="5424B289"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1344.</w:t>
      </w:r>
    </w:p>
  </w:footnote>
  <w:footnote w:id="1078">
    <w:p w14:paraId="1EE21F78"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1346.</w:t>
      </w:r>
    </w:p>
  </w:footnote>
  <w:footnote w:id="1079">
    <w:p w14:paraId="63DDEF12"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1344.</w:t>
      </w:r>
    </w:p>
  </w:footnote>
  <w:footnote w:id="1080">
    <w:p w14:paraId="54297362"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1344-45.</w:t>
      </w:r>
    </w:p>
  </w:footnote>
  <w:footnote w:id="1081">
    <w:p w14:paraId="553C5B61"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1346.</w:t>
      </w:r>
    </w:p>
  </w:footnote>
  <w:footnote w:id="1082">
    <w:p w14:paraId="078A7DD8"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1083">
    <w:p w14:paraId="670A86A2"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Id.</w:t>
      </w:r>
    </w:p>
  </w:footnote>
  <w:footnote w:id="1084">
    <w:p w14:paraId="19DBD36A" w14:textId="3B44DA2F"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Knowles Elecs. LLC v. Iancu, 886 F.3d 1369, 1371 (Fed. Cir. Apr. 6, 2018).</w:t>
      </w:r>
    </w:p>
  </w:footnote>
  <w:footnote w:id="1085">
    <w:p w14:paraId="214A45D4"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1378 (Newman, J., dissenting).</w:t>
      </w:r>
    </w:p>
  </w:footnote>
  <w:footnote w:id="1086">
    <w:p w14:paraId="396591F6"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087">
    <w:p w14:paraId="089D49D6" w14:textId="7C562296"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1372 n.2 (quoting 35 U.S.C. § 143).</w:t>
      </w:r>
    </w:p>
  </w:footnote>
  <w:footnote w:id="1088">
    <w:p w14:paraId="15264474" w14:textId="6AB2D020"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(quoting Cuozzo Speed Techs., LLC v. Lee, 136 S. Ct. 2131, 2144 (2016)).</w:t>
      </w:r>
    </w:p>
  </w:footnote>
  <w:footnote w:id="1089">
    <w:p w14:paraId="781CC1F8"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1378 (Newman, J., dissenting). </w:t>
      </w:r>
    </w:p>
  </w:footnote>
  <w:footnote w:id="1090">
    <w:p w14:paraId="024A5144"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091">
    <w:p w14:paraId="781C4F14"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1380. </w:t>
      </w:r>
    </w:p>
  </w:footnote>
  <w:footnote w:id="1092">
    <w:p w14:paraId="7112A701"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1093">
    <w:p w14:paraId="739DC221"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094">
    <w:p w14:paraId="062D5411" w14:textId="0A599821"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(quoting Diamond v. Charles, 476 U.S. 54, 68 (1986)).</w:t>
      </w:r>
    </w:p>
  </w:footnote>
  <w:footnote w:id="1095">
    <w:p w14:paraId="13FECF32"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1381.</w:t>
      </w:r>
    </w:p>
  </w:footnote>
  <w:footnote w:id="1096">
    <w:p w14:paraId="10F7B2EE" w14:textId="3BE977AA"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Ericsson Inc. v. Intellectual Ventures I LLC, No. 2017-1521, 2018 WL 4055815, at *6 (Fed. Cir. Aug. 27, 2018).</w:t>
      </w:r>
    </w:p>
  </w:footnote>
  <w:footnote w:id="1097">
    <w:p w14:paraId="09980BFD"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 *5.</w:t>
      </w:r>
    </w:p>
  </w:footnote>
  <w:footnote w:id="1098">
    <w:p w14:paraId="29108CE1"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*2 (summarizing prior art).</w:t>
      </w:r>
    </w:p>
  </w:footnote>
  <w:footnote w:id="1099">
    <w:p w14:paraId="7AF94E67"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*3.</w:t>
      </w:r>
    </w:p>
  </w:footnote>
  <w:footnote w:id="1100">
    <w:p w14:paraId="4941CE3D" w14:textId="5549BAC2"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(citing standard in Phillips v. AWH Corp., 415 F.3d 1303 (Fed. Cir. 2005) (en banc)).</w:t>
      </w:r>
    </w:p>
  </w:footnote>
  <w:footnote w:id="1101">
    <w:p w14:paraId="7C91C7B5"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*5.</w:t>
      </w:r>
    </w:p>
  </w:footnote>
  <w:footnote w:id="1102">
    <w:p w14:paraId="7FA76AE1"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*4.</w:t>
      </w:r>
    </w:p>
  </w:footnote>
  <w:footnote w:id="1103">
    <w:p w14:paraId="54BC2AF4" w14:textId="390F15B1"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p>
  </w:footnote>
  <w:footnote w:id="1104">
    <w:p w14:paraId="51C8BE29" w14:textId="6F5828E5"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(explaining review standard). </w:t>
      </w:r>
    </w:p>
  </w:footnote>
  <w:footnote w:id="1105">
    <w:p w14:paraId="1D341DD6"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*5.</w:t>
      </w:r>
    </w:p>
  </w:footnote>
  <w:footnote w:id="1106">
    <w:p w14:paraId="085C8BDE" w14:textId="5E5FB1C9"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*6 (citing Ariosa Diagnostics v. Verinata Health, Inc., 805 F.3d 1359 (Fed. Cir. 2015).</w:t>
      </w:r>
    </w:p>
  </w:footnote>
  <w:footnote w:id="1107">
    <w:p w14:paraId="736966A4" w14:textId="29DE89C8"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(citing Intelligent Bio-Systems, Inc. v. Illumina Cambridge Ltd., 821 F.3d 1359, 1370 (Fed. Cir. 2016)).</w:t>
      </w:r>
    </w:p>
  </w:footnote>
  <w:footnote w:id="1108">
    <w:p w14:paraId="2084893B" w14:textId="5640A0FE"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p>
  </w:footnote>
  <w:footnote w:id="1109">
    <w:p w14:paraId="2D93A1DB"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*5.</w:t>
      </w:r>
    </w:p>
  </w:footnote>
  <w:footnote w:id="1110">
    <w:p w14:paraId="13B52734" w14:textId="033357C3"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In re </w:t>
      </w:r>
      <w:r w:rsidRPr="007F1307">
        <w:rPr>
          <w:rFonts w:cs="Times New Roman"/>
          <w:szCs w:val="22"/>
        </w:rPr>
        <w:t>Hodges, 882 F.3d 1107, 1111, 1113-14 (Fed. Cir. 2018).</w:t>
      </w:r>
    </w:p>
  </w:footnote>
  <w:footnote w:id="1111">
    <w:p w14:paraId="4B97F4B5"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1110. </w:t>
      </w:r>
    </w:p>
  </w:footnote>
  <w:footnote w:id="1112">
    <w:p w14:paraId="1F93B25A" w14:textId="1A59D801"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(quoting J.A. 56).</w:t>
      </w:r>
    </w:p>
  </w:footnote>
  <w:footnote w:id="1113">
    <w:p w14:paraId="002DDE12"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1119-20 (Wallach, J., dissenting) (summarizing dispute).</w:t>
      </w:r>
    </w:p>
  </w:footnote>
  <w:footnote w:id="1114">
    <w:p w14:paraId="73B55D6B" w14:textId="345869F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1113.</w:t>
      </w:r>
    </w:p>
  </w:footnote>
  <w:footnote w:id="1115">
    <w:p w14:paraId="0EE1A6DA"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1109.</w:t>
      </w:r>
    </w:p>
  </w:footnote>
  <w:footnote w:id="1116">
    <w:p w14:paraId="572C95B5"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1113.</w:t>
      </w:r>
    </w:p>
  </w:footnote>
  <w:footnote w:id="1117">
    <w:p w14:paraId="4A10EDDB"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1113-14.</w:t>
      </w:r>
    </w:p>
  </w:footnote>
  <w:footnote w:id="1118">
    <w:p w14:paraId="70394F87" w14:textId="07914E6E"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p>
  </w:footnote>
  <w:footnote w:id="1119">
    <w:p w14:paraId="79D6912D"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1121.</w:t>
      </w:r>
    </w:p>
  </w:footnote>
  <w:footnote w:id="1120">
    <w:p w14:paraId="378C6A80"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1118 (citing cases).</w:t>
      </w:r>
    </w:p>
  </w:footnote>
  <w:footnote w:id="1121">
    <w:p w14:paraId="20DE93C8"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1119.</w:t>
      </w:r>
    </w:p>
  </w:footnote>
  <w:footnote w:id="1122">
    <w:p w14:paraId="182F708D" w14:textId="36DB3342"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1121 (citing SCA Hygiene Prods. Aktiebolag v. First Quality Baby Prods., LLC, 137 S.Ct. 954, 964 (2017)).</w:t>
      </w:r>
    </w:p>
  </w:footnote>
  <w:footnote w:id="1123">
    <w:p w14:paraId="45FE34C3" w14:textId="44842B84"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Exmark Mfg. Co. Inc. v. Briggs &amp; Stratton Prods. Grp., LLC, No. 2016-2197, 2018 WL 385497, at *1 (Fed. Cir. Jan. 12, 2018).</w:t>
      </w:r>
    </w:p>
  </w:footnote>
  <w:footnote w:id="1124">
    <w:p w14:paraId="443B085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w:t>
      </w:r>
    </w:p>
  </w:footnote>
  <w:footnote w:id="1125">
    <w:p w14:paraId="27BCA45D"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w:t>
      </w:r>
    </w:p>
  </w:footnote>
  <w:footnote w:id="1126">
    <w:p w14:paraId="0AFA4FB1"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at *4.</w:t>
      </w:r>
    </w:p>
  </w:footnote>
  <w:footnote w:id="1127">
    <w:p w14:paraId="3FCFECD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w:t>
      </w:r>
    </w:p>
  </w:footnote>
  <w:footnote w:id="1128">
    <w:p w14:paraId="26BE3FD6" w14:textId="3FBE9C75"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r w:rsidRPr="007F1307">
        <w:rPr>
          <w:rFonts w:cs="Times New Roman"/>
          <w:szCs w:val="22"/>
        </w:rPr>
        <w:t xml:space="preserve"> (quoting Pfizer, Inc. v. Apotex, Inc., 480 F.3d 1348, 1359 (Fed. Cir. 2007)).</w:t>
      </w:r>
    </w:p>
  </w:footnote>
  <w:footnote w:id="1129">
    <w:p w14:paraId="6BA3CA02"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No. 93-1074, 1994 WL 712487 (Fed. Cir. 1994) (non-precedential).</w:t>
      </w:r>
    </w:p>
  </w:footnote>
  <w:footnote w:id="1130">
    <w:p w14:paraId="0589A3B2"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Exmark, 2018 WL 385497, at *5.</w:t>
      </w:r>
    </w:p>
  </w:footnote>
  <w:footnote w:id="1131">
    <w:p w14:paraId="0C59859C"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132">
    <w:p w14:paraId="61677003" w14:textId="7777777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133">
    <w:p w14:paraId="584101B9"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134">
    <w:p w14:paraId="50EBFFDB"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135">
    <w:p w14:paraId="6E5B7334" w14:textId="2030E6E7"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*4. The trial court “reason[ed] that our decisions in </w:t>
      </w:r>
      <w:r w:rsidRPr="007F1307">
        <w:rPr>
          <w:rFonts w:cs="Times New Roman"/>
          <w:i/>
          <w:szCs w:val="22"/>
        </w:rPr>
        <w:t>In re Magnum Oil Tools International, Ltd.</w:t>
      </w:r>
      <w:r w:rsidRPr="007F1307">
        <w:rPr>
          <w:rFonts w:cs="Times New Roman"/>
          <w:szCs w:val="22"/>
        </w:rPr>
        <w:t xml:space="preserve">, 829 F.3d 1364, 1375 (Fed. Cir. 2016), and </w:t>
      </w:r>
      <w:r w:rsidRPr="007F1307">
        <w:rPr>
          <w:rFonts w:cs="Times New Roman"/>
          <w:i/>
          <w:szCs w:val="22"/>
        </w:rPr>
        <w:t>Dynamic Drinkware, LLC v. National Graphics, Inc.</w:t>
      </w:r>
      <w:r w:rsidRPr="007F1307">
        <w:rPr>
          <w:rFonts w:cs="Times New Roman"/>
          <w:szCs w:val="22"/>
        </w:rPr>
        <w:t xml:space="preserve">, 800 F.3d 1375, 1378 (Fed. Cir. 2015), foreclosed such a framework in an IPR.” </w:t>
      </w:r>
      <w:r w:rsidRPr="007F1307">
        <w:rPr>
          <w:rFonts w:cs="Times New Roman"/>
          <w:i/>
          <w:szCs w:val="22"/>
        </w:rPr>
        <w:t>Id.</w:t>
      </w:r>
    </w:p>
  </w:footnote>
  <w:footnote w:id="1136">
    <w:p w14:paraId="1D4C5969"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*5.</w:t>
      </w:r>
    </w:p>
  </w:footnote>
  <w:footnote w:id="1137">
    <w:p w14:paraId="4A4B3E8A"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*5-*6.</w:t>
      </w:r>
    </w:p>
  </w:footnote>
  <w:footnote w:id="1138">
    <w:p w14:paraId="2A9A3179" w14:textId="7F564B64" w:rsidR="00BA22A2" w:rsidRPr="007F1307" w:rsidRDefault="00BA22A2" w:rsidP="00AE50AD">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Cf. id. </w:t>
      </w:r>
      <w:r w:rsidRPr="007F1307">
        <w:rPr>
          <w:rFonts w:cs="Times New Roman"/>
          <w:szCs w:val="22"/>
        </w:rPr>
        <w:t>at *5 (citing Consumer Watchdog v. Wis. Alumni Research Found., 753 F.3d 1258, 1261 (Fed. Cir. 2014)).</w:t>
      </w:r>
    </w:p>
  </w:footnote>
  <w:footnote w:id="1139">
    <w:p w14:paraId="7C46CD8D" w14:textId="511DB42F"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(citing U.S. Const. Art. III, § 2).</w:t>
      </w:r>
    </w:p>
  </w:footnote>
  <w:footnote w:id="1140">
    <w:p w14:paraId="5367789F" w14:textId="3DC0059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(quoting Spokeo, Inc. v. Robins, 136 S.Ct. 1540, 1547 (2016)).</w:t>
      </w:r>
    </w:p>
  </w:footnote>
  <w:footnote w:id="1141">
    <w:p w14:paraId="438B56E9" w14:textId="3354379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*6 (quoting ABB Inc. v. Cooper Indus., LLC, 635 F.3d 1345, 1348 (Fed. Cir. 2011)).</w:t>
      </w:r>
    </w:p>
  </w:footnote>
  <w:footnote w:id="1142">
    <w:p w14:paraId="5391F8BE" w14:textId="77777777"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*5-*6.</w:t>
      </w:r>
    </w:p>
  </w:footnote>
  <w:footnote w:id="1143">
    <w:p w14:paraId="574E3DD5" w14:textId="3CB32CEA"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JTEKT Corp. v. GKN Automotive Ltd., 898 F.3d 1217, 1221 (Fed. Cir. Aug. 3, 2018).</w:t>
      </w:r>
    </w:p>
  </w:footnote>
  <w:footnote w:id="1144">
    <w:p w14:paraId="6FA6EE11"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1219.</w:t>
      </w:r>
    </w:p>
  </w:footnote>
  <w:footnote w:id="1145">
    <w:p w14:paraId="7207EC46" w14:textId="6176BDE6"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p>
  </w:footnote>
  <w:footnote w:id="1146">
    <w:p w14:paraId="35001B10" w14:textId="5E04B2C9"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(citing Phigenix, Inc. v. Immunogen, Inc., 845 F.3d 1168, 1172 n.2 (Fed. Cir. 2017)).</w:t>
      </w:r>
    </w:p>
  </w:footnote>
  <w:footnote w:id="1147">
    <w:p w14:paraId="601B025D" w14:textId="7343319D"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1221 (citing DaimlerChrysler Corp. v. Cuno, 547 U.S. 332, 342 (2006)).</w:t>
      </w:r>
    </w:p>
  </w:footnote>
  <w:footnote w:id="1148">
    <w:p w14:paraId="0736838E"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1220 (citation omitted).</w:t>
      </w:r>
    </w:p>
  </w:footnote>
  <w:footnote w:id="1149">
    <w:p w14:paraId="516182ED"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1221 (citing J.A. 1644 at ¶ 23).</w:t>
      </w:r>
    </w:p>
  </w:footnote>
  <w:footnote w:id="1150">
    <w:p w14:paraId="24E89B9C" w14:textId="0DA9B608"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(citing MedImmune, Inc. v. Genentech, Inc., 549 U.S. 118, 134 (2007)).</w:t>
      </w:r>
    </w:p>
  </w:footnote>
  <w:footnote w:id="1151">
    <w:p w14:paraId="652464DD" w14:textId="77777777" w:rsidR="00BA22A2" w:rsidRPr="007F1307" w:rsidRDefault="00BA22A2" w:rsidP="000A50F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Return Mail, Inc. v. U.S. Postal Service, No. 1-1594, 2018 WL 2364663 (U.S. Oct. 26, 2018).</w:t>
      </w:r>
    </w:p>
  </w:footnote>
  <w:footnote w:id="1152">
    <w:p w14:paraId="403E4BFA" w14:textId="77777777" w:rsidR="00BA22A2" w:rsidRPr="007F1307" w:rsidRDefault="00BA22A2" w:rsidP="000A50F5">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Petition for a Writ of Certiorari for Appellant, Return Mail, Inc. v. U.S. Postal Service, 2018 WL 2412130, at *I (U.S. May 14, 2018) (No. 17-1594).</w:t>
      </w:r>
    </w:p>
  </w:footnote>
  <w:footnote w:id="1153">
    <w:p w14:paraId="30F5798F" w14:textId="77777777" w:rsidR="00BA22A2" w:rsidRPr="007F1307" w:rsidRDefault="00BA22A2" w:rsidP="000A50F5">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154">
    <w:p w14:paraId="54451E37" w14:textId="77777777" w:rsidR="00BA22A2" w:rsidRPr="007F1307" w:rsidRDefault="00BA22A2" w:rsidP="000A50F5">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155">
    <w:p w14:paraId="7AA517D1" w14:textId="77777777" w:rsidR="00BA22A2" w:rsidRPr="007F1307" w:rsidRDefault="00BA22A2" w:rsidP="000A50F5">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156">
    <w:p w14:paraId="2A8FA616" w14:textId="77777777" w:rsidR="00BA22A2" w:rsidRPr="007F1307" w:rsidRDefault="00BA22A2" w:rsidP="000A50F5">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157">
    <w:p w14:paraId="63E368E4" w14:textId="77777777" w:rsidR="00BA22A2" w:rsidRPr="007F1307" w:rsidRDefault="00BA22A2" w:rsidP="000A50F5">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158">
    <w:p w14:paraId="263BD6EF" w14:textId="77777777" w:rsidR="00BA22A2" w:rsidRPr="007F1307" w:rsidRDefault="00BA22A2" w:rsidP="000A50F5">
      <w:pPr>
        <w:pStyle w:val="FootnoteText"/>
        <w:rPr>
          <w:rFonts w:cs="Times New Roman"/>
          <w:i/>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Id.</w:t>
      </w:r>
    </w:p>
  </w:footnote>
  <w:footnote w:id="1159">
    <w:p w14:paraId="0E0FA4F8" w14:textId="77777777" w:rsidR="00BA22A2" w:rsidRPr="007F1307" w:rsidRDefault="00BA22A2" w:rsidP="00E877EF">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 xml:space="preserve">See </w:t>
      </w:r>
      <w:r w:rsidRPr="007F1307">
        <w:rPr>
          <w:rFonts w:cs="Times New Roman"/>
          <w:szCs w:val="22"/>
        </w:rPr>
        <w:t>Return Mail, Inc., 2018 WL 2364663, at *1.</w:t>
      </w:r>
    </w:p>
  </w:footnote>
  <w:footnote w:id="1160">
    <w:p w14:paraId="31E93CC4" w14:textId="0A79462B" w:rsidR="00BA22A2" w:rsidRPr="007F1307" w:rsidRDefault="00BA22A2" w:rsidP="00AE50AD">
      <w:pPr>
        <w:pStyle w:val="FootnoteText"/>
        <w:rPr>
          <w:rFonts w:cs="Times New Roman"/>
          <w:szCs w:val="22"/>
        </w:rPr>
      </w:pPr>
      <w:r w:rsidRPr="007F1307">
        <w:rPr>
          <w:rStyle w:val="FootnoteReference"/>
          <w:rFonts w:cs="Times New Roman"/>
          <w:szCs w:val="22"/>
        </w:rPr>
        <w:footnoteRef/>
      </w:r>
      <w:r w:rsidRPr="007F1307">
        <w:rPr>
          <w:rFonts w:cs="Times New Roman"/>
          <w:szCs w:val="22"/>
        </w:rPr>
        <w:t xml:space="preserve"> </w:t>
      </w:r>
      <w:r w:rsidRPr="007F1307">
        <w:rPr>
          <w:rFonts w:cs="Times New Roman"/>
          <w:i/>
          <w:szCs w:val="22"/>
        </w:rPr>
        <w:t>See In re</w:t>
      </w:r>
      <w:r w:rsidRPr="007F1307">
        <w:rPr>
          <w:rFonts w:cs="Times New Roman"/>
          <w:szCs w:val="22"/>
        </w:rPr>
        <w:t xml:space="preserve"> Maatita, 2017-2013, 2018 WL 3965892, at *3-4 (Fed. Cir. 2018).</w:t>
      </w:r>
    </w:p>
  </w:footnote>
  <w:footnote w:id="1161">
    <w:p w14:paraId="1BD681D1" w14:textId="77777777"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*4 (paraphrasing).</w:t>
      </w:r>
    </w:p>
  </w:footnote>
  <w:footnote w:id="1162">
    <w:p w14:paraId="718AB689" w14:textId="66928812"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*1.</w:t>
      </w:r>
    </w:p>
  </w:footnote>
  <w:footnote w:id="1163">
    <w:p w14:paraId="2F655E0F" w14:textId="42BA3B06"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*3.</w:t>
      </w:r>
    </w:p>
  </w:footnote>
  <w:footnote w:id="1164">
    <w:p w14:paraId="08A202FF" w14:textId="40546963"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*4.</w:t>
      </w:r>
    </w:p>
  </w:footnote>
  <w:footnote w:id="1165">
    <w:p w14:paraId="51F6B3DC" w14:textId="1504CAD8"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at *5.</w:t>
      </w:r>
    </w:p>
  </w:footnote>
  <w:footnote w:id="1166">
    <w:p w14:paraId="580FDF39" w14:textId="73EAEE1D"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p>
  </w:footnote>
  <w:footnote w:id="1167">
    <w:p w14:paraId="1A3BE61F" w14:textId="4E9F38A3" w:rsidR="00BA22A2" w:rsidRPr="007F1307" w:rsidRDefault="00BA22A2" w:rsidP="00AE50AD">
      <w:pPr>
        <w:pStyle w:val="FootnoteText"/>
        <w:rPr>
          <w:rFonts w:cs="Times New Roman"/>
          <w:szCs w:val="22"/>
        </w:rPr>
      </w:pPr>
      <w:r w:rsidRPr="007F1307">
        <w:rPr>
          <w:rStyle w:val="FootnoteReference"/>
          <w:rFonts w:cs="Times New Roman"/>
          <w:color w:val="000000" w:themeColor="text1"/>
          <w:szCs w:val="22"/>
        </w:rPr>
        <w:footnoteRef/>
      </w:r>
      <w:r w:rsidRPr="007F1307">
        <w:rPr>
          <w:rFonts w:cs="Times New Roman"/>
          <w:szCs w:val="22"/>
        </w:rPr>
        <w:t xml:space="preserve"> </w:t>
      </w:r>
      <w:r w:rsidRPr="007F1307">
        <w:rPr>
          <w:rFonts w:cs="Times New Roman"/>
          <w:i/>
          <w:szCs w:val="22"/>
        </w:rPr>
        <w:t xml:space="preserve">Id. </w:t>
      </w:r>
      <w:r w:rsidRPr="007F1307">
        <w:rPr>
          <w:rFonts w:cs="Times New Roman"/>
          <w:szCs w:val="22"/>
        </w:rPr>
        <w:t xml:space="preserve">at *3 (citing Carnegie Steel Co. v. Cambria Iron Co., 185 U.S. 403, 437 (1902)). The court discussed the relationship between enablement and definiteness. </w:t>
      </w:r>
      <w:r w:rsidRPr="007F1307">
        <w:rPr>
          <w:rFonts w:cs="Times New Roman"/>
          <w:i/>
          <w:szCs w:val="22"/>
        </w:rPr>
        <w:t xml:space="preserve">Id. </w:t>
      </w:r>
      <w:r w:rsidRPr="007F1307">
        <w:rPr>
          <w:rFonts w:cs="Times New Roman"/>
          <w:szCs w:val="22"/>
        </w:rPr>
        <w:t>at *3. Both have parallels in the relationship between anticipation and infringement analysis.</w:t>
      </w:r>
      <w:r w:rsidRPr="007F1307">
        <w:rPr>
          <w:rFonts w:cs="Times New Roman"/>
          <w:i/>
          <w:szCs w:val="22"/>
        </w:rPr>
        <w:t xml:space="preserve"> Id.</w:t>
      </w:r>
      <w:r w:rsidRPr="007F1307">
        <w:rPr>
          <w:rFonts w:cs="Times New Roman"/>
          <w:szCs w:val="22"/>
        </w:rPr>
        <w:t xml:space="preserve"> at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CD0D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A64CF"/>
    <w:multiLevelType w:val="hybridMultilevel"/>
    <w:tmpl w:val="571093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6415D4"/>
    <w:multiLevelType w:val="hybridMultilevel"/>
    <w:tmpl w:val="16AADC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636D2B"/>
    <w:multiLevelType w:val="hybridMultilevel"/>
    <w:tmpl w:val="A986E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95364"/>
    <w:multiLevelType w:val="hybridMultilevel"/>
    <w:tmpl w:val="F394F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87045B"/>
    <w:multiLevelType w:val="hybridMultilevel"/>
    <w:tmpl w:val="8E421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F1770"/>
    <w:multiLevelType w:val="hybridMultilevel"/>
    <w:tmpl w:val="8E421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A3021"/>
    <w:multiLevelType w:val="hybridMultilevel"/>
    <w:tmpl w:val="17B8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70D6F"/>
    <w:multiLevelType w:val="hybridMultilevel"/>
    <w:tmpl w:val="107E1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F7433"/>
    <w:multiLevelType w:val="hybridMultilevel"/>
    <w:tmpl w:val="8E421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F4855"/>
    <w:multiLevelType w:val="hybridMultilevel"/>
    <w:tmpl w:val="8E421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51387"/>
    <w:multiLevelType w:val="hybridMultilevel"/>
    <w:tmpl w:val="8C66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032C3"/>
    <w:multiLevelType w:val="hybridMultilevel"/>
    <w:tmpl w:val="3FB6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90CA3"/>
    <w:multiLevelType w:val="hybridMultilevel"/>
    <w:tmpl w:val="F8B0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A2B39"/>
    <w:multiLevelType w:val="hybridMultilevel"/>
    <w:tmpl w:val="8E421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F4043"/>
    <w:multiLevelType w:val="hybridMultilevel"/>
    <w:tmpl w:val="3168D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067970"/>
    <w:multiLevelType w:val="hybridMultilevel"/>
    <w:tmpl w:val="38768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350844"/>
    <w:multiLevelType w:val="hybridMultilevel"/>
    <w:tmpl w:val="8E421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DE4FB3"/>
    <w:multiLevelType w:val="hybridMultilevel"/>
    <w:tmpl w:val="8A3E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3"/>
  </w:num>
  <w:num w:numId="4">
    <w:abstractNumId w:val="16"/>
  </w:num>
  <w:num w:numId="5">
    <w:abstractNumId w:val="8"/>
  </w:num>
  <w:num w:numId="6">
    <w:abstractNumId w:val="7"/>
  </w:num>
  <w:num w:numId="7">
    <w:abstractNumId w:val="11"/>
  </w:num>
  <w:num w:numId="8">
    <w:abstractNumId w:val="12"/>
  </w:num>
  <w:num w:numId="9">
    <w:abstractNumId w:val="15"/>
  </w:num>
  <w:num w:numId="10">
    <w:abstractNumId w:val="17"/>
  </w:num>
  <w:num w:numId="11">
    <w:abstractNumId w:val="3"/>
  </w:num>
  <w:num w:numId="12">
    <w:abstractNumId w:val="14"/>
  </w:num>
  <w:num w:numId="13">
    <w:abstractNumId w:val="18"/>
  </w:num>
  <w:num w:numId="14">
    <w:abstractNumId w:val="6"/>
  </w:num>
  <w:num w:numId="15">
    <w:abstractNumId w:val="9"/>
  </w:num>
  <w:num w:numId="16">
    <w:abstractNumId w:val="10"/>
  </w:num>
  <w:num w:numId="17">
    <w:abstractNumId w:val="5"/>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es-ES"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099"/>
    <w:rsid w:val="00000F67"/>
    <w:rsid w:val="00001791"/>
    <w:rsid w:val="00001842"/>
    <w:rsid w:val="00001BF0"/>
    <w:rsid w:val="00002C26"/>
    <w:rsid w:val="000040EC"/>
    <w:rsid w:val="00004BA1"/>
    <w:rsid w:val="00004CB6"/>
    <w:rsid w:val="000060D2"/>
    <w:rsid w:val="000061BF"/>
    <w:rsid w:val="0000673F"/>
    <w:rsid w:val="0000789A"/>
    <w:rsid w:val="000109B7"/>
    <w:rsid w:val="00010CF0"/>
    <w:rsid w:val="00010EEA"/>
    <w:rsid w:val="0001126D"/>
    <w:rsid w:val="000112D0"/>
    <w:rsid w:val="0001149F"/>
    <w:rsid w:val="000114B6"/>
    <w:rsid w:val="000127B7"/>
    <w:rsid w:val="000132B7"/>
    <w:rsid w:val="000132CA"/>
    <w:rsid w:val="00014002"/>
    <w:rsid w:val="00014880"/>
    <w:rsid w:val="000168F7"/>
    <w:rsid w:val="000172F4"/>
    <w:rsid w:val="00020347"/>
    <w:rsid w:val="00020753"/>
    <w:rsid w:val="00021996"/>
    <w:rsid w:val="00021F04"/>
    <w:rsid w:val="000226AD"/>
    <w:rsid w:val="0002282A"/>
    <w:rsid w:val="00023117"/>
    <w:rsid w:val="00023196"/>
    <w:rsid w:val="000234C7"/>
    <w:rsid w:val="000304B6"/>
    <w:rsid w:val="000308D3"/>
    <w:rsid w:val="000314BB"/>
    <w:rsid w:val="000339C3"/>
    <w:rsid w:val="00035103"/>
    <w:rsid w:val="000362B9"/>
    <w:rsid w:val="00041114"/>
    <w:rsid w:val="0004126B"/>
    <w:rsid w:val="0004230F"/>
    <w:rsid w:val="00042891"/>
    <w:rsid w:val="0004339E"/>
    <w:rsid w:val="0004506B"/>
    <w:rsid w:val="000450EA"/>
    <w:rsid w:val="00045B97"/>
    <w:rsid w:val="00047C6D"/>
    <w:rsid w:val="00051A3E"/>
    <w:rsid w:val="00051DE0"/>
    <w:rsid w:val="00052679"/>
    <w:rsid w:val="000534B5"/>
    <w:rsid w:val="00053A50"/>
    <w:rsid w:val="00054804"/>
    <w:rsid w:val="00054C30"/>
    <w:rsid w:val="00055AEC"/>
    <w:rsid w:val="00056BA9"/>
    <w:rsid w:val="00056C8D"/>
    <w:rsid w:val="00057657"/>
    <w:rsid w:val="00057DB3"/>
    <w:rsid w:val="00060261"/>
    <w:rsid w:val="000606EB"/>
    <w:rsid w:val="000638DD"/>
    <w:rsid w:val="00064253"/>
    <w:rsid w:val="000646D7"/>
    <w:rsid w:val="00064C8E"/>
    <w:rsid w:val="00065102"/>
    <w:rsid w:val="00065706"/>
    <w:rsid w:val="0006631E"/>
    <w:rsid w:val="0006685C"/>
    <w:rsid w:val="0006690A"/>
    <w:rsid w:val="000669A7"/>
    <w:rsid w:val="00066F4D"/>
    <w:rsid w:val="00067EC2"/>
    <w:rsid w:val="0007045F"/>
    <w:rsid w:val="00070ED2"/>
    <w:rsid w:val="00071633"/>
    <w:rsid w:val="000717D5"/>
    <w:rsid w:val="00071B92"/>
    <w:rsid w:val="00072245"/>
    <w:rsid w:val="000744DF"/>
    <w:rsid w:val="00076EB4"/>
    <w:rsid w:val="00076EBA"/>
    <w:rsid w:val="00077022"/>
    <w:rsid w:val="00077142"/>
    <w:rsid w:val="00077320"/>
    <w:rsid w:val="00077509"/>
    <w:rsid w:val="000816F7"/>
    <w:rsid w:val="0008253F"/>
    <w:rsid w:val="000833ED"/>
    <w:rsid w:val="00083ABD"/>
    <w:rsid w:val="000851FF"/>
    <w:rsid w:val="000854E0"/>
    <w:rsid w:val="0008584A"/>
    <w:rsid w:val="00086ECD"/>
    <w:rsid w:val="000871D5"/>
    <w:rsid w:val="00087284"/>
    <w:rsid w:val="00091136"/>
    <w:rsid w:val="0009136B"/>
    <w:rsid w:val="00091FB2"/>
    <w:rsid w:val="00093E1B"/>
    <w:rsid w:val="00094BA6"/>
    <w:rsid w:val="00094CAB"/>
    <w:rsid w:val="000952C0"/>
    <w:rsid w:val="00097537"/>
    <w:rsid w:val="000A0089"/>
    <w:rsid w:val="000A0214"/>
    <w:rsid w:val="000A04A5"/>
    <w:rsid w:val="000A133F"/>
    <w:rsid w:val="000A143C"/>
    <w:rsid w:val="000A1C5E"/>
    <w:rsid w:val="000A2C79"/>
    <w:rsid w:val="000A2D38"/>
    <w:rsid w:val="000A3A70"/>
    <w:rsid w:val="000A3FFD"/>
    <w:rsid w:val="000A4D68"/>
    <w:rsid w:val="000A50F5"/>
    <w:rsid w:val="000A6ECA"/>
    <w:rsid w:val="000B11BC"/>
    <w:rsid w:val="000B1205"/>
    <w:rsid w:val="000B13BB"/>
    <w:rsid w:val="000B16B0"/>
    <w:rsid w:val="000B1AC3"/>
    <w:rsid w:val="000B2BD6"/>
    <w:rsid w:val="000B4061"/>
    <w:rsid w:val="000B4405"/>
    <w:rsid w:val="000B46DD"/>
    <w:rsid w:val="000B5007"/>
    <w:rsid w:val="000B5040"/>
    <w:rsid w:val="000B5260"/>
    <w:rsid w:val="000B612E"/>
    <w:rsid w:val="000B6F0B"/>
    <w:rsid w:val="000B765A"/>
    <w:rsid w:val="000B782B"/>
    <w:rsid w:val="000B790B"/>
    <w:rsid w:val="000B7B8D"/>
    <w:rsid w:val="000B7FCD"/>
    <w:rsid w:val="000C010D"/>
    <w:rsid w:val="000C0995"/>
    <w:rsid w:val="000C1A00"/>
    <w:rsid w:val="000C1D0D"/>
    <w:rsid w:val="000C2EF5"/>
    <w:rsid w:val="000C355F"/>
    <w:rsid w:val="000C3852"/>
    <w:rsid w:val="000C3EDB"/>
    <w:rsid w:val="000C61AA"/>
    <w:rsid w:val="000C67F9"/>
    <w:rsid w:val="000C6A1E"/>
    <w:rsid w:val="000C6C18"/>
    <w:rsid w:val="000D0B11"/>
    <w:rsid w:val="000D149C"/>
    <w:rsid w:val="000D1958"/>
    <w:rsid w:val="000D1AD9"/>
    <w:rsid w:val="000D1E01"/>
    <w:rsid w:val="000D26DE"/>
    <w:rsid w:val="000D2D20"/>
    <w:rsid w:val="000D3CB7"/>
    <w:rsid w:val="000D3EDC"/>
    <w:rsid w:val="000D44EA"/>
    <w:rsid w:val="000D5C34"/>
    <w:rsid w:val="000D61A0"/>
    <w:rsid w:val="000D75E0"/>
    <w:rsid w:val="000E1398"/>
    <w:rsid w:val="000E1B9D"/>
    <w:rsid w:val="000E1F5D"/>
    <w:rsid w:val="000E2033"/>
    <w:rsid w:val="000E3288"/>
    <w:rsid w:val="000E3C3A"/>
    <w:rsid w:val="000E40D2"/>
    <w:rsid w:val="000E5092"/>
    <w:rsid w:val="000E6836"/>
    <w:rsid w:val="000E6D19"/>
    <w:rsid w:val="000E7FF0"/>
    <w:rsid w:val="000F02F1"/>
    <w:rsid w:val="000F0A59"/>
    <w:rsid w:val="000F0AF4"/>
    <w:rsid w:val="000F0FD7"/>
    <w:rsid w:val="000F1022"/>
    <w:rsid w:val="000F160E"/>
    <w:rsid w:val="000F23DA"/>
    <w:rsid w:val="000F4043"/>
    <w:rsid w:val="000F4087"/>
    <w:rsid w:val="000F53FE"/>
    <w:rsid w:val="000F5AA7"/>
    <w:rsid w:val="000F7411"/>
    <w:rsid w:val="000F7DE0"/>
    <w:rsid w:val="00100DB8"/>
    <w:rsid w:val="001010C9"/>
    <w:rsid w:val="001012A0"/>
    <w:rsid w:val="00102561"/>
    <w:rsid w:val="00103D3E"/>
    <w:rsid w:val="00105586"/>
    <w:rsid w:val="001058C3"/>
    <w:rsid w:val="00106CBC"/>
    <w:rsid w:val="00106E0D"/>
    <w:rsid w:val="00107A47"/>
    <w:rsid w:val="00107D56"/>
    <w:rsid w:val="00107FAD"/>
    <w:rsid w:val="00110781"/>
    <w:rsid w:val="00110AB6"/>
    <w:rsid w:val="00110AC0"/>
    <w:rsid w:val="0011105B"/>
    <w:rsid w:val="00111A96"/>
    <w:rsid w:val="00111ECD"/>
    <w:rsid w:val="00113261"/>
    <w:rsid w:val="00113DFC"/>
    <w:rsid w:val="001153EC"/>
    <w:rsid w:val="001157AE"/>
    <w:rsid w:val="00116601"/>
    <w:rsid w:val="0011701D"/>
    <w:rsid w:val="00117A16"/>
    <w:rsid w:val="00117BF9"/>
    <w:rsid w:val="00117DEF"/>
    <w:rsid w:val="001206A0"/>
    <w:rsid w:val="00120C9E"/>
    <w:rsid w:val="00120F66"/>
    <w:rsid w:val="0012104F"/>
    <w:rsid w:val="001213F8"/>
    <w:rsid w:val="0012183A"/>
    <w:rsid w:val="00121A4A"/>
    <w:rsid w:val="00121EC3"/>
    <w:rsid w:val="00121F3D"/>
    <w:rsid w:val="00122C63"/>
    <w:rsid w:val="00123037"/>
    <w:rsid w:val="001235E2"/>
    <w:rsid w:val="00125067"/>
    <w:rsid w:val="00126E31"/>
    <w:rsid w:val="00130548"/>
    <w:rsid w:val="0013080D"/>
    <w:rsid w:val="00130A01"/>
    <w:rsid w:val="001312A6"/>
    <w:rsid w:val="001318C2"/>
    <w:rsid w:val="001321B6"/>
    <w:rsid w:val="001327BE"/>
    <w:rsid w:val="001350CE"/>
    <w:rsid w:val="00135A9F"/>
    <w:rsid w:val="001361DC"/>
    <w:rsid w:val="0013659B"/>
    <w:rsid w:val="001366B1"/>
    <w:rsid w:val="001366EE"/>
    <w:rsid w:val="0013777D"/>
    <w:rsid w:val="0013777F"/>
    <w:rsid w:val="00137C78"/>
    <w:rsid w:val="00140081"/>
    <w:rsid w:val="0014136E"/>
    <w:rsid w:val="00141373"/>
    <w:rsid w:val="00141B3D"/>
    <w:rsid w:val="00141C4C"/>
    <w:rsid w:val="00143206"/>
    <w:rsid w:val="00143A93"/>
    <w:rsid w:val="00143C3F"/>
    <w:rsid w:val="001446AA"/>
    <w:rsid w:val="00147540"/>
    <w:rsid w:val="00150F93"/>
    <w:rsid w:val="001539B9"/>
    <w:rsid w:val="00153BF7"/>
    <w:rsid w:val="00153EE1"/>
    <w:rsid w:val="001550C0"/>
    <w:rsid w:val="00155D08"/>
    <w:rsid w:val="00155E23"/>
    <w:rsid w:val="00157C12"/>
    <w:rsid w:val="001629E5"/>
    <w:rsid w:val="001632C4"/>
    <w:rsid w:val="00165DAA"/>
    <w:rsid w:val="00166F20"/>
    <w:rsid w:val="00167815"/>
    <w:rsid w:val="00167C28"/>
    <w:rsid w:val="00170694"/>
    <w:rsid w:val="00170911"/>
    <w:rsid w:val="001710D8"/>
    <w:rsid w:val="0017124F"/>
    <w:rsid w:val="00171A76"/>
    <w:rsid w:val="00171DD4"/>
    <w:rsid w:val="00172746"/>
    <w:rsid w:val="00173E08"/>
    <w:rsid w:val="0017445A"/>
    <w:rsid w:val="001746EB"/>
    <w:rsid w:val="001748C5"/>
    <w:rsid w:val="001748DA"/>
    <w:rsid w:val="00174EA4"/>
    <w:rsid w:val="00175905"/>
    <w:rsid w:val="00175D29"/>
    <w:rsid w:val="00176407"/>
    <w:rsid w:val="001765FE"/>
    <w:rsid w:val="00177B98"/>
    <w:rsid w:val="00177F35"/>
    <w:rsid w:val="00185404"/>
    <w:rsid w:val="001854AB"/>
    <w:rsid w:val="00185F65"/>
    <w:rsid w:val="0018775C"/>
    <w:rsid w:val="00187DAE"/>
    <w:rsid w:val="00190B28"/>
    <w:rsid w:val="00191332"/>
    <w:rsid w:val="00191B0F"/>
    <w:rsid w:val="00191BB6"/>
    <w:rsid w:val="00191BFA"/>
    <w:rsid w:val="00195496"/>
    <w:rsid w:val="00195830"/>
    <w:rsid w:val="001963CB"/>
    <w:rsid w:val="0019682E"/>
    <w:rsid w:val="00196D3A"/>
    <w:rsid w:val="001A0AAE"/>
    <w:rsid w:val="001A14AE"/>
    <w:rsid w:val="001A222C"/>
    <w:rsid w:val="001A271A"/>
    <w:rsid w:val="001A298C"/>
    <w:rsid w:val="001A48A9"/>
    <w:rsid w:val="001A5DF1"/>
    <w:rsid w:val="001A5E2A"/>
    <w:rsid w:val="001A63EA"/>
    <w:rsid w:val="001A686F"/>
    <w:rsid w:val="001B04CF"/>
    <w:rsid w:val="001B0A52"/>
    <w:rsid w:val="001B1AD0"/>
    <w:rsid w:val="001B5F0D"/>
    <w:rsid w:val="001B5FF0"/>
    <w:rsid w:val="001B6ADF"/>
    <w:rsid w:val="001B7D0D"/>
    <w:rsid w:val="001C04E6"/>
    <w:rsid w:val="001C0614"/>
    <w:rsid w:val="001C0982"/>
    <w:rsid w:val="001C1255"/>
    <w:rsid w:val="001C1CB6"/>
    <w:rsid w:val="001C28F4"/>
    <w:rsid w:val="001C3C53"/>
    <w:rsid w:val="001C46BF"/>
    <w:rsid w:val="001C4856"/>
    <w:rsid w:val="001C4D1A"/>
    <w:rsid w:val="001C4E9C"/>
    <w:rsid w:val="001C594A"/>
    <w:rsid w:val="001C7322"/>
    <w:rsid w:val="001D04FC"/>
    <w:rsid w:val="001D05D5"/>
    <w:rsid w:val="001D19F8"/>
    <w:rsid w:val="001D2B19"/>
    <w:rsid w:val="001D4514"/>
    <w:rsid w:val="001D4AD9"/>
    <w:rsid w:val="001D6016"/>
    <w:rsid w:val="001D7933"/>
    <w:rsid w:val="001E02ED"/>
    <w:rsid w:val="001E0609"/>
    <w:rsid w:val="001E0C35"/>
    <w:rsid w:val="001E0C93"/>
    <w:rsid w:val="001E132F"/>
    <w:rsid w:val="001E276A"/>
    <w:rsid w:val="001E2D62"/>
    <w:rsid w:val="001E2F31"/>
    <w:rsid w:val="001E30DA"/>
    <w:rsid w:val="001E377E"/>
    <w:rsid w:val="001E57D3"/>
    <w:rsid w:val="001E5A55"/>
    <w:rsid w:val="001E68ED"/>
    <w:rsid w:val="001E691F"/>
    <w:rsid w:val="001E7DB1"/>
    <w:rsid w:val="001F1B35"/>
    <w:rsid w:val="001F1C2A"/>
    <w:rsid w:val="001F1F80"/>
    <w:rsid w:val="001F2160"/>
    <w:rsid w:val="001F31D5"/>
    <w:rsid w:val="001F4488"/>
    <w:rsid w:val="001F63FC"/>
    <w:rsid w:val="00200A33"/>
    <w:rsid w:val="00201BBA"/>
    <w:rsid w:val="002020E8"/>
    <w:rsid w:val="00203194"/>
    <w:rsid w:val="00203A71"/>
    <w:rsid w:val="00205051"/>
    <w:rsid w:val="00206FD4"/>
    <w:rsid w:val="0020779C"/>
    <w:rsid w:val="00212F03"/>
    <w:rsid w:val="002131FE"/>
    <w:rsid w:val="0021426E"/>
    <w:rsid w:val="00215000"/>
    <w:rsid w:val="00215307"/>
    <w:rsid w:val="002164B6"/>
    <w:rsid w:val="00217DD3"/>
    <w:rsid w:val="00220BAF"/>
    <w:rsid w:val="002219D5"/>
    <w:rsid w:val="00221AB9"/>
    <w:rsid w:val="00222BB2"/>
    <w:rsid w:val="00222DCA"/>
    <w:rsid w:val="00223C68"/>
    <w:rsid w:val="00223E08"/>
    <w:rsid w:val="00224D77"/>
    <w:rsid w:val="0022606B"/>
    <w:rsid w:val="00226643"/>
    <w:rsid w:val="00227278"/>
    <w:rsid w:val="00227A83"/>
    <w:rsid w:val="00227B1F"/>
    <w:rsid w:val="002305C7"/>
    <w:rsid w:val="00231CA6"/>
    <w:rsid w:val="00233723"/>
    <w:rsid w:val="002342B6"/>
    <w:rsid w:val="00235386"/>
    <w:rsid w:val="00235767"/>
    <w:rsid w:val="00235CDC"/>
    <w:rsid w:val="00241203"/>
    <w:rsid w:val="002416A7"/>
    <w:rsid w:val="00241E97"/>
    <w:rsid w:val="0024221E"/>
    <w:rsid w:val="002427BC"/>
    <w:rsid w:val="00245996"/>
    <w:rsid w:val="002466CE"/>
    <w:rsid w:val="00246C26"/>
    <w:rsid w:val="00247406"/>
    <w:rsid w:val="0024779D"/>
    <w:rsid w:val="00247A4A"/>
    <w:rsid w:val="00251231"/>
    <w:rsid w:val="002515C8"/>
    <w:rsid w:val="00251827"/>
    <w:rsid w:val="002527C3"/>
    <w:rsid w:val="00252809"/>
    <w:rsid w:val="00252EE8"/>
    <w:rsid w:val="00253067"/>
    <w:rsid w:val="00253BAB"/>
    <w:rsid w:val="00253C96"/>
    <w:rsid w:val="00254E3C"/>
    <w:rsid w:val="002551F9"/>
    <w:rsid w:val="00256049"/>
    <w:rsid w:val="00256B7B"/>
    <w:rsid w:val="0025742D"/>
    <w:rsid w:val="00260324"/>
    <w:rsid w:val="002618CD"/>
    <w:rsid w:val="00261ED7"/>
    <w:rsid w:val="00262696"/>
    <w:rsid w:val="00262854"/>
    <w:rsid w:val="00264A5B"/>
    <w:rsid w:val="0026606A"/>
    <w:rsid w:val="00266B93"/>
    <w:rsid w:val="00267C7F"/>
    <w:rsid w:val="00270496"/>
    <w:rsid w:val="002704CC"/>
    <w:rsid w:val="00270E8B"/>
    <w:rsid w:val="00270F03"/>
    <w:rsid w:val="002716F3"/>
    <w:rsid w:val="002742FA"/>
    <w:rsid w:val="00274655"/>
    <w:rsid w:val="002766D9"/>
    <w:rsid w:val="00276E5D"/>
    <w:rsid w:val="00277A91"/>
    <w:rsid w:val="002808F7"/>
    <w:rsid w:val="002815F4"/>
    <w:rsid w:val="002818F8"/>
    <w:rsid w:val="00282EBE"/>
    <w:rsid w:val="00282FCA"/>
    <w:rsid w:val="002835C4"/>
    <w:rsid w:val="00285EBB"/>
    <w:rsid w:val="002865CF"/>
    <w:rsid w:val="00286CA7"/>
    <w:rsid w:val="00287156"/>
    <w:rsid w:val="002871F1"/>
    <w:rsid w:val="002876A5"/>
    <w:rsid w:val="00287D4B"/>
    <w:rsid w:val="0029023A"/>
    <w:rsid w:val="002934E7"/>
    <w:rsid w:val="002951EA"/>
    <w:rsid w:val="00295B73"/>
    <w:rsid w:val="00296192"/>
    <w:rsid w:val="00297173"/>
    <w:rsid w:val="00297E45"/>
    <w:rsid w:val="002A08D5"/>
    <w:rsid w:val="002A27A4"/>
    <w:rsid w:val="002A5631"/>
    <w:rsid w:val="002A59B0"/>
    <w:rsid w:val="002A6148"/>
    <w:rsid w:val="002A6CFD"/>
    <w:rsid w:val="002A6D07"/>
    <w:rsid w:val="002A707B"/>
    <w:rsid w:val="002B00CD"/>
    <w:rsid w:val="002B209B"/>
    <w:rsid w:val="002B2D11"/>
    <w:rsid w:val="002B3614"/>
    <w:rsid w:val="002B3CF9"/>
    <w:rsid w:val="002B3EC8"/>
    <w:rsid w:val="002B5524"/>
    <w:rsid w:val="002B5E5B"/>
    <w:rsid w:val="002B7101"/>
    <w:rsid w:val="002C0B24"/>
    <w:rsid w:val="002C1187"/>
    <w:rsid w:val="002C183D"/>
    <w:rsid w:val="002C1EB2"/>
    <w:rsid w:val="002C2670"/>
    <w:rsid w:val="002C3348"/>
    <w:rsid w:val="002C45A2"/>
    <w:rsid w:val="002C49BA"/>
    <w:rsid w:val="002C4D03"/>
    <w:rsid w:val="002C4DFA"/>
    <w:rsid w:val="002C5323"/>
    <w:rsid w:val="002C64E0"/>
    <w:rsid w:val="002D015B"/>
    <w:rsid w:val="002D01A5"/>
    <w:rsid w:val="002D03F9"/>
    <w:rsid w:val="002D14A6"/>
    <w:rsid w:val="002D41A6"/>
    <w:rsid w:val="002D48D2"/>
    <w:rsid w:val="002D68CE"/>
    <w:rsid w:val="002D6E45"/>
    <w:rsid w:val="002D7127"/>
    <w:rsid w:val="002D7A41"/>
    <w:rsid w:val="002D7B67"/>
    <w:rsid w:val="002E05BD"/>
    <w:rsid w:val="002E0F0D"/>
    <w:rsid w:val="002E0F40"/>
    <w:rsid w:val="002E1C6A"/>
    <w:rsid w:val="002E2FCA"/>
    <w:rsid w:val="002E31D7"/>
    <w:rsid w:val="002E3532"/>
    <w:rsid w:val="002E373B"/>
    <w:rsid w:val="002E3A45"/>
    <w:rsid w:val="002E3FB4"/>
    <w:rsid w:val="002E41EF"/>
    <w:rsid w:val="002E5AF3"/>
    <w:rsid w:val="002E60CB"/>
    <w:rsid w:val="002E60F6"/>
    <w:rsid w:val="002E65DD"/>
    <w:rsid w:val="002E6830"/>
    <w:rsid w:val="002E73D4"/>
    <w:rsid w:val="002E7E35"/>
    <w:rsid w:val="002F0127"/>
    <w:rsid w:val="002F02E8"/>
    <w:rsid w:val="002F0F22"/>
    <w:rsid w:val="002F1017"/>
    <w:rsid w:val="002F1A61"/>
    <w:rsid w:val="002F1F67"/>
    <w:rsid w:val="002F29B6"/>
    <w:rsid w:val="002F2F54"/>
    <w:rsid w:val="002F3D6E"/>
    <w:rsid w:val="002F4C8A"/>
    <w:rsid w:val="002F4DDF"/>
    <w:rsid w:val="002F673E"/>
    <w:rsid w:val="002F77D7"/>
    <w:rsid w:val="003004F3"/>
    <w:rsid w:val="00301A7B"/>
    <w:rsid w:val="00302624"/>
    <w:rsid w:val="00302B6A"/>
    <w:rsid w:val="003031DF"/>
    <w:rsid w:val="0030351A"/>
    <w:rsid w:val="003042C7"/>
    <w:rsid w:val="00304A24"/>
    <w:rsid w:val="00307063"/>
    <w:rsid w:val="0031043D"/>
    <w:rsid w:val="003104DA"/>
    <w:rsid w:val="00310677"/>
    <w:rsid w:val="00310CD0"/>
    <w:rsid w:val="0031135E"/>
    <w:rsid w:val="00311707"/>
    <w:rsid w:val="00311ADD"/>
    <w:rsid w:val="00312220"/>
    <w:rsid w:val="00313544"/>
    <w:rsid w:val="00313563"/>
    <w:rsid w:val="00313DC8"/>
    <w:rsid w:val="00314119"/>
    <w:rsid w:val="0031427F"/>
    <w:rsid w:val="003143C5"/>
    <w:rsid w:val="00317025"/>
    <w:rsid w:val="00321C58"/>
    <w:rsid w:val="00321D83"/>
    <w:rsid w:val="00321EE7"/>
    <w:rsid w:val="003239BD"/>
    <w:rsid w:val="00323B1C"/>
    <w:rsid w:val="00325B09"/>
    <w:rsid w:val="003262D6"/>
    <w:rsid w:val="003266C1"/>
    <w:rsid w:val="00331B90"/>
    <w:rsid w:val="00332AF4"/>
    <w:rsid w:val="00332BA1"/>
    <w:rsid w:val="00333680"/>
    <w:rsid w:val="0033420D"/>
    <w:rsid w:val="00334754"/>
    <w:rsid w:val="00334EC2"/>
    <w:rsid w:val="003363B1"/>
    <w:rsid w:val="00336E4F"/>
    <w:rsid w:val="0033785B"/>
    <w:rsid w:val="00342010"/>
    <w:rsid w:val="003420BF"/>
    <w:rsid w:val="003428CC"/>
    <w:rsid w:val="00342B9C"/>
    <w:rsid w:val="003430C8"/>
    <w:rsid w:val="003437F7"/>
    <w:rsid w:val="00343969"/>
    <w:rsid w:val="003439A6"/>
    <w:rsid w:val="003456AC"/>
    <w:rsid w:val="00346C2B"/>
    <w:rsid w:val="00346D9F"/>
    <w:rsid w:val="00347940"/>
    <w:rsid w:val="00350E19"/>
    <w:rsid w:val="0035179D"/>
    <w:rsid w:val="003520AE"/>
    <w:rsid w:val="00352570"/>
    <w:rsid w:val="003525FA"/>
    <w:rsid w:val="00352B32"/>
    <w:rsid w:val="00353981"/>
    <w:rsid w:val="00353FF4"/>
    <w:rsid w:val="003543C9"/>
    <w:rsid w:val="0035461A"/>
    <w:rsid w:val="00354AB4"/>
    <w:rsid w:val="0035525A"/>
    <w:rsid w:val="00357646"/>
    <w:rsid w:val="00357754"/>
    <w:rsid w:val="0035783C"/>
    <w:rsid w:val="003644AC"/>
    <w:rsid w:val="003648E7"/>
    <w:rsid w:val="00365251"/>
    <w:rsid w:val="003657FB"/>
    <w:rsid w:val="003660C8"/>
    <w:rsid w:val="0036776C"/>
    <w:rsid w:val="00370148"/>
    <w:rsid w:val="00372998"/>
    <w:rsid w:val="00372BB2"/>
    <w:rsid w:val="00373F96"/>
    <w:rsid w:val="003746F0"/>
    <w:rsid w:val="003754B7"/>
    <w:rsid w:val="00376B8B"/>
    <w:rsid w:val="00376CD5"/>
    <w:rsid w:val="00376D4D"/>
    <w:rsid w:val="0038054B"/>
    <w:rsid w:val="00380665"/>
    <w:rsid w:val="00381549"/>
    <w:rsid w:val="00382203"/>
    <w:rsid w:val="00382CB1"/>
    <w:rsid w:val="003845C9"/>
    <w:rsid w:val="003857D5"/>
    <w:rsid w:val="003869D2"/>
    <w:rsid w:val="00386B7A"/>
    <w:rsid w:val="00386B98"/>
    <w:rsid w:val="003911C4"/>
    <w:rsid w:val="0039129F"/>
    <w:rsid w:val="00392B8D"/>
    <w:rsid w:val="00393BAD"/>
    <w:rsid w:val="00393CE8"/>
    <w:rsid w:val="00394722"/>
    <w:rsid w:val="00394B70"/>
    <w:rsid w:val="003955FB"/>
    <w:rsid w:val="003963EA"/>
    <w:rsid w:val="003A0AF3"/>
    <w:rsid w:val="003A122D"/>
    <w:rsid w:val="003A1ACD"/>
    <w:rsid w:val="003A252D"/>
    <w:rsid w:val="003A28F2"/>
    <w:rsid w:val="003A2BEA"/>
    <w:rsid w:val="003A39B4"/>
    <w:rsid w:val="003A4E05"/>
    <w:rsid w:val="003A4E17"/>
    <w:rsid w:val="003A57CB"/>
    <w:rsid w:val="003A7703"/>
    <w:rsid w:val="003B01ED"/>
    <w:rsid w:val="003B0A16"/>
    <w:rsid w:val="003B0CA3"/>
    <w:rsid w:val="003B1B84"/>
    <w:rsid w:val="003B2633"/>
    <w:rsid w:val="003B2F14"/>
    <w:rsid w:val="003B3161"/>
    <w:rsid w:val="003B3C03"/>
    <w:rsid w:val="003B59BC"/>
    <w:rsid w:val="003B5A3E"/>
    <w:rsid w:val="003B6626"/>
    <w:rsid w:val="003B7578"/>
    <w:rsid w:val="003C246A"/>
    <w:rsid w:val="003C2F5F"/>
    <w:rsid w:val="003C444D"/>
    <w:rsid w:val="003C7CBA"/>
    <w:rsid w:val="003C7D87"/>
    <w:rsid w:val="003D1426"/>
    <w:rsid w:val="003D1E78"/>
    <w:rsid w:val="003D2161"/>
    <w:rsid w:val="003D356D"/>
    <w:rsid w:val="003D3FC7"/>
    <w:rsid w:val="003D4E89"/>
    <w:rsid w:val="003D4EC7"/>
    <w:rsid w:val="003D536B"/>
    <w:rsid w:val="003D5590"/>
    <w:rsid w:val="003D5EB8"/>
    <w:rsid w:val="003D6188"/>
    <w:rsid w:val="003E017F"/>
    <w:rsid w:val="003E080A"/>
    <w:rsid w:val="003E61ED"/>
    <w:rsid w:val="003E6827"/>
    <w:rsid w:val="003E6BE6"/>
    <w:rsid w:val="003E7B27"/>
    <w:rsid w:val="003F0246"/>
    <w:rsid w:val="003F0714"/>
    <w:rsid w:val="003F07AF"/>
    <w:rsid w:val="003F0BC5"/>
    <w:rsid w:val="003F273B"/>
    <w:rsid w:val="003F2EF2"/>
    <w:rsid w:val="003F3F30"/>
    <w:rsid w:val="003F45BB"/>
    <w:rsid w:val="003F50A5"/>
    <w:rsid w:val="003F6D76"/>
    <w:rsid w:val="003F773E"/>
    <w:rsid w:val="0040169E"/>
    <w:rsid w:val="00401E42"/>
    <w:rsid w:val="00401F1F"/>
    <w:rsid w:val="00402069"/>
    <w:rsid w:val="00402815"/>
    <w:rsid w:val="00403D3C"/>
    <w:rsid w:val="004042EA"/>
    <w:rsid w:val="004058B0"/>
    <w:rsid w:val="00405C01"/>
    <w:rsid w:val="00406636"/>
    <w:rsid w:val="0040678F"/>
    <w:rsid w:val="0040729E"/>
    <w:rsid w:val="00407F18"/>
    <w:rsid w:val="00410057"/>
    <w:rsid w:val="00410058"/>
    <w:rsid w:val="00410379"/>
    <w:rsid w:val="00411FC4"/>
    <w:rsid w:val="00412DDC"/>
    <w:rsid w:val="004155F5"/>
    <w:rsid w:val="004171A6"/>
    <w:rsid w:val="00417941"/>
    <w:rsid w:val="004203DF"/>
    <w:rsid w:val="00420AA8"/>
    <w:rsid w:val="00421713"/>
    <w:rsid w:val="00421B08"/>
    <w:rsid w:val="00421CA6"/>
    <w:rsid w:val="0042250D"/>
    <w:rsid w:val="00422C14"/>
    <w:rsid w:val="004239D3"/>
    <w:rsid w:val="00423D20"/>
    <w:rsid w:val="00424ED9"/>
    <w:rsid w:val="004255E4"/>
    <w:rsid w:val="00426053"/>
    <w:rsid w:val="004269DA"/>
    <w:rsid w:val="00427A8F"/>
    <w:rsid w:val="00427E2B"/>
    <w:rsid w:val="00430FA0"/>
    <w:rsid w:val="004318D3"/>
    <w:rsid w:val="00432312"/>
    <w:rsid w:val="00432872"/>
    <w:rsid w:val="00433030"/>
    <w:rsid w:val="004341B9"/>
    <w:rsid w:val="0043498E"/>
    <w:rsid w:val="004349DF"/>
    <w:rsid w:val="0043553A"/>
    <w:rsid w:val="0043593B"/>
    <w:rsid w:val="004363E1"/>
    <w:rsid w:val="00436810"/>
    <w:rsid w:val="004370E5"/>
    <w:rsid w:val="0043727A"/>
    <w:rsid w:val="004372C7"/>
    <w:rsid w:val="004375AD"/>
    <w:rsid w:val="00437B0C"/>
    <w:rsid w:val="00437D8D"/>
    <w:rsid w:val="00440EAE"/>
    <w:rsid w:val="004413D2"/>
    <w:rsid w:val="0044185A"/>
    <w:rsid w:val="004438B5"/>
    <w:rsid w:val="00443DAC"/>
    <w:rsid w:val="00445DC8"/>
    <w:rsid w:val="00447A1D"/>
    <w:rsid w:val="00450350"/>
    <w:rsid w:val="00450407"/>
    <w:rsid w:val="00450696"/>
    <w:rsid w:val="00451247"/>
    <w:rsid w:val="004530E4"/>
    <w:rsid w:val="00453530"/>
    <w:rsid w:val="004537E2"/>
    <w:rsid w:val="00453B8A"/>
    <w:rsid w:val="0045445A"/>
    <w:rsid w:val="00454998"/>
    <w:rsid w:val="00455278"/>
    <w:rsid w:val="00455DDA"/>
    <w:rsid w:val="00456232"/>
    <w:rsid w:val="00456A2D"/>
    <w:rsid w:val="00457CD9"/>
    <w:rsid w:val="0046060E"/>
    <w:rsid w:val="00461E07"/>
    <w:rsid w:val="00462919"/>
    <w:rsid w:val="00463C9B"/>
    <w:rsid w:val="00464128"/>
    <w:rsid w:val="00464A7C"/>
    <w:rsid w:val="0046504E"/>
    <w:rsid w:val="00466C9C"/>
    <w:rsid w:val="00467593"/>
    <w:rsid w:val="004705F6"/>
    <w:rsid w:val="004713DC"/>
    <w:rsid w:val="00471918"/>
    <w:rsid w:val="00471A9F"/>
    <w:rsid w:val="00471E92"/>
    <w:rsid w:val="004722FB"/>
    <w:rsid w:val="00472693"/>
    <w:rsid w:val="00472728"/>
    <w:rsid w:val="00473BE1"/>
    <w:rsid w:val="00475CCC"/>
    <w:rsid w:val="004767DA"/>
    <w:rsid w:val="00483821"/>
    <w:rsid w:val="00484761"/>
    <w:rsid w:val="00484E62"/>
    <w:rsid w:val="0048555A"/>
    <w:rsid w:val="00486450"/>
    <w:rsid w:val="00486965"/>
    <w:rsid w:val="00486E27"/>
    <w:rsid w:val="004874BF"/>
    <w:rsid w:val="00490EFA"/>
    <w:rsid w:val="004912F1"/>
    <w:rsid w:val="004925E4"/>
    <w:rsid w:val="00495905"/>
    <w:rsid w:val="0049682C"/>
    <w:rsid w:val="004974D5"/>
    <w:rsid w:val="00497811"/>
    <w:rsid w:val="00497891"/>
    <w:rsid w:val="004A155A"/>
    <w:rsid w:val="004A1F7C"/>
    <w:rsid w:val="004A21BC"/>
    <w:rsid w:val="004A2777"/>
    <w:rsid w:val="004A2AEB"/>
    <w:rsid w:val="004A3405"/>
    <w:rsid w:val="004A4C4D"/>
    <w:rsid w:val="004A4D8D"/>
    <w:rsid w:val="004A5444"/>
    <w:rsid w:val="004A656E"/>
    <w:rsid w:val="004B07B6"/>
    <w:rsid w:val="004B134B"/>
    <w:rsid w:val="004B1696"/>
    <w:rsid w:val="004B3614"/>
    <w:rsid w:val="004B3D95"/>
    <w:rsid w:val="004B4B0C"/>
    <w:rsid w:val="004B567D"/>
    <w:rsid w:val="004B5786"/>
    <w:rsid w:val="004B5DC6"/>
    <w:rsid w:val="004B6012"/>
    <w:rsid w:val="004B6F60"/>
    <w:rsid w:val="004B7CAF"/>
    <w:rsid w:val="004C0135"/>
    <w:rsid w:val="004C2508"/>
    <w:rsid w:val="004C2E6E"/>
    <w:rsid w:val="004C5312"/>
    <w:rsid w:val="004C54D2"/>
    <w:rsid w:val="004C6EAF"/>
    <w:rsid w:val="004D048B"/>
    <w:rsid w:val="004D077B"/>
    <w:rsid w:val="004D0C79"/>
    <w:rsid w:val="004D232B"/>
    <w:rsid w:val="004D23A3"/>
    <w:rsid w:val="004D2DB1"/>
    <w:rsid w:val="004D34CA"/>
    <w:rsid w:val="004D358F"/>
    <w:rsid w:val="004D36FE"/>
    <w:rsid w:val="004D3882"/>
    <w:rsid w:val="004D4103"/>
    <w:rsid w:val="004D42B6"/>
    <w:rsid w:val="004D646E"/>
    <w:rsid w:val="004D7E98"/>
    <w:rsid w:val="004E0B27"/>
    <w:rsid w:val="004E10CF"/>
    <w:rsid w:val="004E2B72"/>
    <w:rsid w:val="004E6401"/>
    <w:rsid w:val="004E65D6"/>
    <w:rsid w:val="004E71D9"/>
    <w:rsid w:val="004E7215"/>
    <w:rsid w:val="004E7B07"/>
    <w:rsid w:val="004F0C6A"/>
    <w:rsid w:val="004F12EA"/>
    <w:rsid w:val="004F4B37"/>
    <w:rsid w:val="004F52F3"/>
    <w:rsid w:val="004F5F8A"/>
    <w:rsid w:val="004F5F99"/>
    <w:rsid w:val="004F63B1"/>
    <w:rsid w:val="00500492"/>
    <w:rsid w:val="00500F37"/>
    <w:rsid w:val="00502174"/>
    <w:rsid w:val="0050470C"/>
    <w:rsid w:val="00504A40"/>
    <w:rsid w:val="00504AB5"/>
    <w:rsid w:val="00505D57"/>
    <w:rsid w:val="00505EA7"/>
    <w:rsid w:val="00507735"/>
    <w:rsid w:val="005108C3"/>
    <w:rsid w:val="00512CDF"/>
    <w:rsid w:val="0051361D"/>
    <w:rsid w:val="0051364E"/>
    <w:rsid w:val="005139D9"/>
    <w:rsid w:val="00513CEB"/>
    <w:rsid w:val="00513D0C"/>
    <w:rsid w:val="00514398"/>
    <w:rsid w:val="0051583B"/>
    <w:rsid w:val="00515CDB"/>
    <w:rsid w:val="00516023"/>
    <w:rsid w:val="005166A1"/>
    <w:rsid w:val="00517234"/>
    <w:rsid w:val="00520228"/>
    <w:rsid w:val="00520343"/>
    <w:rsid w:val="00520439"/>
    <w:rsid w:val="0052048F"/>
    <w:rsid w:val="00520A51"/>
    <w:rsid w:val="00521151"/>
    <w:rsid w:val="00521FBA"/>
    <w:rsid w:val="00522778"/>
    <w:rsid w:val="00522A54"/>
    <w:rsid w:val="0052459F"/>
    <w:rsid w:val="00524D8D"/>
    <w:rsid w:val="00525B6B"/>
    <w:rsid w:val="00525F31"/>
    <w:rsid w:val="0052620F"/>
    <w:rsid w:val="00526C60"/>
    <w:rsid w:val="00526F73"/>
    <w:rsid w:val="005319C4"/>
    <w:rsid w:val="0053269B"/>
    <w:rsid w:val="00534543"/>
    <w:rsid w:val="005347FC"/>
    <w:rsid w:val="00534FFD"/>
    <w:rsid w:val="00535FD8"/>
    <w:rsid w:val="00536DD4"/>
    <w:rsid w:val="00536F6D"/>
    <w:rsid w:val="00537164"/>
    <w:rsid w:val="00537DEC"/>
    <w:rsid w:val="00537E25"/>
    <w:rsid w:val="005407F7"/>
    <w:rsid w:val="00541FC1"/>
    <w:rsid w:val="00542A9B"/>
    <w:rsid w:val="0054322C"/>
    <w:rsid w:val="00543543"/>
    <w:rsid w:val="00545A8C"/>
    <w:rsid w:val="00545E73"/>
    <w:rsid w:val="005466A8"/>
    <w:rsid w:val="00546A52"/>
    <w:rsid w:val="00547AF6"/>
    <w:rsid w:val="00550052"/>
    <w:rsid w:val="005506EC"/>
    <w:rsid w:val="00552008"/>
    <w:rsid w:val="00553BDA"/>
    <w:rsid w:val="00553ED7"/>
    <w:rsid w:val="00554693"/>
    <w:rsid w:val="00555216"/>
    <w:rsid w:val="00555FC2"/>
    <w:rsid w:val="0055678B"/>
    <w:rsid w:val="00556C5B"/>
    <w:rsid w:val="00557C91"/>
    <w:rsid w:val="00557F7F"/>
    <w:rsid w:val="005625DA"/>
    <w:rsid w:val="00563A2C"/>
    <w:rsid w:val="00565774"/>
    <w:rsid w:val="00565B27"/>
    <w:rsid w:val="00566532"/>
    <w:rsid w:val="00566B9D"/>
    <w:rsid w:val="00566CC4"/>
    <w:rsid w:val="005676A7"/>
    <w:rsid w:val="00567D52"/>
    <w:rsid w:val="00570DAA"/>
    <w:rsid w:val="00570F03"/>
    <w:rsid w:val="005721AA"/>
    <w:rsid w:val="00572D45"/>
    <w:rsid w:val="00573A25"/>
    <w:rsid w:val="005745DC"/>
    <w:rsid w:val="00575A47"/>
    <w:rsid w:val="00575ADD"/>
    <w:rsid w:val="00576A8A"/>
    <w:rsid w:val="00576F07"/>
    <w:rsid w:val="00577032"/>
    <w:rsid w:val="0057730D"/>
    <w:rsid w:val="005801AC"/>
    <w:rsid w:val="005812B3"/>
    <w:rsid w:val="00582FC9"/>
    <w:rsid w:val="00583043"/>
    <w:rsid w:val="005830C5"/>
    <w:rsid w:val="0058325A"/>
    <w:rsid w:val="005844FC"/>
    <w:rsid w:val="00586D06"/>
    <w:rsid w:val="005872B8"/>
    <w:rsid w:val="0059017F"/>
    <w:rsid w:val="005901B9"/>
    <w:rsid w:val="00591409"/>
    <w:rsid w:val="00591846"/>
    <w:rsid w:val="00591CC6"/>
    <w:rsid w:val="00592060"/>
    <w:rsid w:val="00592CF3"/>
    <w:rsid w:val="0059319C"/>
    <w:rsid w:val="005931DE"/>
    <w:rsid w:val="00593F76"/>
    <w:rsid w:val="0059496F"/>
    <w:rsid w:val="0059535E"/>
    <w:rsid w:val="0059590A"/>
    <w:rsid w:val="005959F5"/>
    <w:rsid w:val="00595E66"/>
    <w:rsid w:val="00595F29"/>
    <w:rsid w:val="0059642A"/>
    <w:rsid w:val="00597335"/>
    <w:rsid w:val="00597E7A"/>
    <w:rsid w:val="005A1078"/>
    <w:rsid w:val="005A2933"/>
    <w:rsid w:val="005A2ACA"/>
    <w:rsid w:val="005A2C61"/>
    <w:rsid w:val="005A35A3"/>
    <w:rsid w:val="005A5058"/>
    <w:rsid w:val="005A602C"/>
    <w:rsid w:val="005A6645"/>
    <w:rsid w:val="005A70AA"/>
    <w:rsid w:val="005B0251"/>
    <w:rsid w:val="005B1184"/>
    <w:rsid w:val="005B1EE8"/>
    <w:rsid w:val="005B1F62"/>
    <w:rsid w:val="005B7E37"/>
    <w:rsid w:val="005C196F"/>
    <w:rsid w:val="005C2658"/>
    <w:rsid w:val="005C2A68"/>
    <w:rsid w:val="005C2CA3"/>
    <w:rsid w:val="005C32AD"/>
    <w:rsid w:val="005C35A7"/>
    <w:rsid w:val="005C49E3"/>
    <w:rsid w:val="005C561A"/>
    <w:rsid w:val="005C5A63"/>
    <w:rsid w:val="005C6AEC"/>
    <w:rsid w:val="005C73C8"/>
    <w:rsid w:val="005C7BF4"/>
    <w:rsid w:val="005D00AB"/>
    <w:rsid w:val="005D052E"/>
    <w:rsid w:val="005D0AE6"/>
    <w:rsid w:val="005D0C7F"/>
    <w:rsid w:val="005D1E2E"/>
    <w:rsid w:val="005D69BA"/>
    <w:rsid w:val="005E1592"/>
    <w:rsid w:val="005E174D"/>
    <w:rsid w:val="005E1E57"/>
    <w:rsid w:val="005E274E"/>
    <w:rsid w:val="005E35E3"/>
    <w:rsid w:val="005E3D70"/>
    <w:rsid w:val="005E5BFA"/>
    <w:rsid w:val="005E5ED5"/>
    <w:rsid w:val="005E6450"/>
    <w:rsid w:val="005E6D61"/>
    <w:rsid w:val="005E6E7E"/>
    <w:rsid w:val="005F0053"/>
    <w:rsid w:val="005F133A"/>
    <w:rsid w:val="005F157C"/>
    <w:rsid w:val="005F530E"/>
    <w:rsid w:val="005F59EB"/>
    <w:rsid w:val="005F75D1"/>
    <w:rsid w:val="00600F3F"/>
    <w:rsid w:val="006044C4"/>
    <w:rsid w:val="00604BF6"/>
    <w:rsid w:val="00604E9C"/>
    <w:rsid w:val="0060542A"/>
    <w:rsid w:val="00605442"/>
    <w:rsid w:val="006069A9"/>
    <w:rsid w:val="006070A0"/>
    <w:rsid w:val="00607D58"/>
    <w:rsid w:val="0061076E"/>
    <w:rsid w:val="00610ACF"/>
    <w:rsid w:val="006119FC"/>
    <w:rsid w:val="00611B98"/>
    <w:rsid w:val="00613182"/>
    <w:rsid w:val="006144E6"/>
    <w:rsid w:val="00614B5B"/>
    <w:rsid w:val="0061741C"/>
    <w:rsid w:val="00617B2E"/>
    <w:rsid w:val="00617DB6"/>
    <w:rsid w:val="00620228"/>
    <w:rsid w:val="00620DE6"/>
    <w:rsid w:val="0062189F"/>
    <w:rsid w:val="006219C9"/>
    <w:rsid w:val="0062307B"/>
    <w:rsid w:val="006233FB"/>
    <w:rsid w:val="0062483A"/>
    <w:rsid w:val="0062486E"/>
    <w:rsid w:val="00625FD0"/>
    <w:rsid w:val="00626A01"/>
    <w:rsid w:val="00626B75"/>
    <w:rsid w:val="0063345A"/>
    <w:rsid w:val="006335BC"/>
    <w:rsid w:val="00633720"/>
    <w:rsid w:val="00635F28"/>
    <w:rsid w:val="00635FEB"/>
    <w:rsid w:val="00636DF2"/>
    <w:rsid w:val="006374A1"/>
    <w:rsid w:val="00637D66"/>
    <w:rsid w:val="00637FA0"/>
    <w:rsid w:val="006406B3"/>
    <w:rsid w:val="00641C05"/>
    <w:rsid w:val="00643FF8"/>
    <w:rsid w:val="006447EE"/>
    <w:rsid w:val="00645BFB"/>
    <w:rsid w:val="00646577"/>
    <w:rsid w:val="00646BFD"/>
    <w:rsid w:val="00646DC0"/>
    <w:rsid w:val="00647A8A"/>
    <w:rsid w:val="006504D2"/>
    <w:rsid w:val="006516A3"/>
    <w:rsid w:val="0065234C"/>
    <w:rsid w:val="006523A3"/>
    <w:rsid w:val="00653780"/>
    <w:rsid w:val="006542F8"/>
    <w:rsid w:val="006545DF"/>
    <w:rsid w:val="0065632A"/>
    <w:rsid w:val="0065693F"/>
    <w:rsid w:val="00657169"/>
    <w:rsid w:val="006612AA"/>
    <w:rsid w:val="00661451"/>
    <w:rsid w:val="0066213D"/>
    <w:rsid w:val="00663751"/>
    <w:rsid w:val="0066457A"/>
    <w:rsid w:val="006645E0"/>
    <w:rsid w:val="006648FE"/>
    <w:rsid w:val="006649D6"/>
    <w:rsid w:val="00665627"/>
    <w:rsid w:val="00666269"/>
    <w:rsid w:val="0066628F"/>
    <w:rsid w:val="00666585"/>
    <w:rsid w:val="00666A27"/>
    <w:rsid w:val="00666CFB"/>
    <w:rsid w:val="00667904"/>
    <w:rsid w:val="00670AAC"/>
    <w:rsid w:val="00671DD4"/>
    <w:rsid w:val="0067310A"/>
    <w:rsid w:val="0067324B"/>
    <w:rsid w:val="006744C3"/>
    <w:rsid w:val="00674625"/>
    <w:rsid w:val="006746A2"/>
    <w:rsid w:val="006757AE"/>
    <w:rsid w:val="0067607A"/>
    <w:rsid w:val="00677207"/>
    <w:rsid w:val="006775A7"/>
    <w:rsid w:val="00677ABE"/>
    <w:rsid w:val="00677BA8"/>
    <w:rsid w:val="00680562"/>
    <w:rsid w:val="006808BD"/>
    <w:rsid w:val="00680E4F"/>
    <w:rsid w:val="006811AB"/>
    <w:rsid w:val="006820D6"/>
    <w:rsid w:val="00682E4A"/>
    <w:rsid w:val="00683006"/>
    <w:rsid w:val="00683A1D"/>
    <w:rsid w:val="00684475"/>
    <w:rsid w:val="00684778"/>
    <w:rsid w:val="00684994"/>
    <w:rsid w:val="0068513D"/>
    <w:rsid w:val="0068551C"/>
    <w:rsid w:val="00685D13"/>
    <w:rsid w:val="00690458"/>
    <w:rsid w:val="00690902"/>
    <w:rsid w:val="00690A93"/>
    <w:rsid w:val="00690EF1"/>
    <w:rsid w:val="00691452"/>
    <w:rsid w:val="00691A48"/>
    <w:rsid w:val="00692758"/>
    <w:rsid w:val="00693AD6"/>
    <w:rsid w:val="006944F6"/>
    <w:rsid w:val="00695673"/>
    <w:rsid w:val="00695AB7"/>
    <w:rsid w:val="00696B7C"/>
    <w:rsid w:val="00697A49"/>
    <w:rsid w:val="006A0965"/>
    <w:rsid w:val="006A0CFA"/>
    <w:rsid w:val="006A0E60"/>
    <w:rsid w:val="006A1395"/>
    <w:rsid w:val="006A38EC"/>
    <w:rsid w:val="006A3D7A"/>
    <w:rsid w:val="006A5726"/>
    <w:rsid w:val="006A5E55"/>
    <w:rsid w:val="006A7432"/>
    <w:rsid w:val="006A76DC"/>
    <w:rsid w:val="006A7C38"/>
    <w:rsid w:val="006B00BB"/>
    <w:rsid w:val="006B0E43"/>
    <w:rsid w:val="006B11EF"/>
    <w:rsid w:val="006B11F3"/>
    <w:rsid w:val="006B1803"/>
    <w:rsid w:val="006B243E"/>
    <w:rsid w:val="006B3461"/>
    <w:rsid w:val="006B430D"/>
    <w:rsid w:val="006B7089"/>
    <w:rsid w:val="006B78DA"/>
    <w:rsid w:val="006C0BB5"/>
    <w:rsid w:val="006C161F"/>
    <w:rsid w:val="006C169E"/>
    <w:rsid w:val="006C1806"/>
    <w:rsid w:val="006C1A5E"/>
    <w:rsid w:val="006C1C6B"/>
    <w:rsid w:val="006C3578"/>
    <w:rsid w:val="006C577B"/>
    <w:rsid w:val="006C5BB2"/>
    <w:rsid w:val="006C6773"/>
    <w:rsid w:val="006C7469"/>
    <w:rsid w:val="006D0D36"/>
    <w:rsid w:val="006D25D9"/>
    <w:rsid w:val="006D438F"/>
    <w:rsid w:val="006D4A44"/>
    <w:rsid w:val="006D521C"/>
    <w:rsid w:val="006D5D66"/>
    <w:rsid w:val="006D72D0"/>
    <w:rsid w:val="006D75C8"/>
    <w:rsid w:val="006E176D"/>
    <w:rsid w:val="006E2768"/>
    <w:rsid w:val="006E2B2A"/>
    <w:rsid w:val="006E3726"/>
    <w:rsid w:val="006E49FD"/>
    <w:rsid w:val="006E4ACD"/>
    <w:rsid w:val="006E4E4B"/>
    <w:rsid w:val="006E5BBD"/>
    <w:rsid w:val="006E638D"/>
    <w:rsid w:val="006E63B0"/>
    <w:rsid w:val="006E79B2"/>
    <w:rsid w:val="006F0987"/>
    <w:rsid w:val="006F0DE0"/>
    <w:rsid w:val="006F1172"/>
    <w:rsid w:val="006F218A"/>
    <w:rsid w:val="006F30AD"/>
    <w:rsid w:val="006F400A"/>
    <w:rsid w:val="006F4103"/>
    <w:rsid w:val="006F4C92"/>
    <w:rsid w:val="006F58D1"/>
    <w:rsid w:val="006F67F2"/>
    <w:rsid w:val="006F6DF9"/>
    <w:rsid w:val="006F6E45"/>
    <w:rsid w:val="006F7014"/>
    <w:rsid w:val="0070070C"/>
    <w:rsid w:val="007008BE"/>
    <w:rsid w:val="00700B9E"/>
    <w:rsid w:val="007011A5"/>
    <w:rsid w:val="00701628"/>
    <w:rsid w:val="0070177A"/>
    <w:rsid w:val="00701B56"/>
    <w:rsid w:val="00702BC9"/>
    <w:rsid w:val="007032DA"/>
    <w:rsid w:val="007058C5"/>
    <w:rsid w:val="007078B8"/>
    <w:rsid w:val="00707B72"/>
    <w:rsid w:val="00707F48"/>
    <w:rsid w:val="007104B0"/>
    <w:rsid w:val="007111C0"/>
    <w:rsid w:val="00711584"/>
    <w:rsid w:val="00712C22"/>
    <w:rsid w:val="00712E24"/>
    <w:rsid w:val="00713773"/>
    <w:rsid w:val="00713A17"/>
    <w:rsid w:val="00716002"/>
    <w:rsid w:val="00717B2A"/>
    <w:rsid w:val="007206A2"/>
    <w:rsid w:val="00720AD5"/>
    <w:rsid w:val="00720D55"/>
    <w:rsid w:val="00721A62"/>
    <w:rsid w:val="00721F7B"/>
    <w:rsid w:val="007224A3"/>
    <w:rsid w:val="00723C7B"/>
    <w:rsid w:val="00724677"/>
    <w:rsid w:val="007246CE"/>
    <w:rsid w:val="00725CC6"/>
    <w:rsid w:val="00726FBD"/>
    <w:rsid w:val="00727D11"/>
    <w:rsid w:val="007300A4"/>
    <w:rsid w:val="00730E15"/>
    <w:rsid w:val="0073279E"/>
    <w:rsid w:val="00732E33"/>
    <w:rsid w:val="007334C7"/>
    <w:rsid w:val="007359E4"/>
    <w:rsid w:val="00735CE3"/>
    <w:rsid w:val="00736521"/>
    <w:rsid w:val="00736CFC"/>
    <w:rsid w:val="00737D8E"/>
    <w:rsid w:val="00740BAC"/>
    <w:rsid w:val="007418AD"/>
    <w:rsid w:val="00743106"/>
    <w:rsid w:val="007434C0"/>
    <w:rsid w:val="00744E06"/>
    <w:rsid w:val="007461EB"/>
    <w:rsid w:val="007477D9"/>
    <w:rsid w:val="00747A5F"/>
    <w:rsid w:val="00750179"/>
    <w:rsid w:val="007507CC"/>
    <w:rsid w:val="00750ACC"/>
    <w:rsid w:val="007511A0"/>
    <w:rsid w:val="00751311"/>
    <w:rsid w:val="007514B7"/>
    <w:rsid w:val="00752A63"/>
    <w:rsid w:val="00753F52"/>
    <w:rsid w:val="007550C9"/>
    <w:rsid w:val="00755286"/>
    <w:rsid w:val="00756E3C"/>
    <w:rsid w:val="007614BF"/>
    <w:rsid w:val="007615DD"/>
    <w:rsid w:val="00761C55"/>
    <w:rsid w:val="00763111"/>
    <w:rsid w:val="007644F1"/>
    <w:rsid w:val="00764CFC"/>
    <w:rsid w:val="007661F1"/>
    <w:rsid w:val="00766B14"/>
    <w:rsid w:val="00767501"/>
    <w:rsid w:val="00770AEB"/>
    <w:rsid w:val="00771590"/>
    <w:rsid w:val="00771F21"/>
    <w:rsid w:val="007723C6"/>
    <w:rsid w:val="00772C81"/>
    <w:rsid w:val="00772F8F"/>
    <w:rsid w:val="00774D6C"/>
    <w:rsid w:val="00774E6B"/>
    <w:rsid w:val="00775606"/>
    <w:rsid w:val="00776DC5"/>
    <w:rsid w:val="007773CC"/>
    <w:rsid w:val="00777BE1"/>
    <w:rsid w:val="007805B0"/>
    <w:rsid w:val="0078227F"/>
    <w:rsid w:val="00782696"/>
    <w:rsid w:val="00782AB2"/>
    <w:rsid w:val="00783E46"/>
    <w:rsid w:val="007849CB"/>
    <w:rsid w:val="00785250"/>
    <w:rsid w:val="00785812"/>
    <w:rsid w:val="00786388"/>
    <w:rsid w:val="00786FB9"/>
    <w:rsid w:val="0078796B"/>
    <w:rsid w:val="00787F03"/>
    <w:rsid w:val="0079078F"/>
    <w:rsid w:val="00790FA3"/>
    <w:rsid w:val="00790FF5"/>
    <w:rsid w:val="00791AF6"/>
    <w:rsid w:val="0079279E"/>
    <w:rsid w:val="007927EC"/>
    <w:rsid w:val="007948FB"/>
    <w:rsid w:val="00795629"/>
    <w:rsid w:val="00795C83"/>
    <w:rsid w:val="00796BA7"/>
    <w:rsid w:val="00797286"/>
    <w:rsid w:val="00797B6A"/>
    <w:rsid w:val="007A0A9A"/>
    <w:rsid w:val="007A0BB6"/>
    <w:rsid w:val="007A0CAE"/>
    <w:rsid w:val="007A1741"/>
    <w:rsid w:val="007A1F42"/>
    <w:rsid w:val="007A253A"/>
    <w:rsid w:val="007A263E"/>
    <w:rsid w:val="007A32A9"/>
    <w:rsid w:val="007A49A2"/>
    <w:rsid w:val="007A4AE4"/>
    <w:rsid w:val="007A5058"/>
    <w:rsid w:val="007A5609"/>
    <w:rsid w:val="007A5B79"/>
    <w:rsid w:val="007A652A"/>
    <w:rsid w:val="007A7535"/>
    <w:rsid w:val="007B0D85"/>
    <w:rsid w:val="007B23ED"/>
    <w:rsid w:val="007B472F"/>
    <w:rsid w:val="007B7B60"/>
    <w:rsid w:val="007B7CE1"/>
    <w:rsid w:val="007B7EEA"/>
    <w:rsid w:val="007C04B8"/>
    <w:rsid w:val="007C11EA"/>
    <w:rsid w:val="007C23BB"/>
    <w:rsid w:val="007C2FA1"/>
    <w:rsid w:val="007C4171"/>
    <w:rsid w:val="007C53E1"/>
    <w:rsid w:val="007C78C7"/>
    <w:rsid w:val="007C7FDE"/>
    <w:rsid w:val="007D0629"/>
    <w:rsid w:val="007D078D"/>
    <w:rsid w:val="007D0ADA"/>
    <w:rsid w:val="007D0EA7"/>
    <w:rsid w:val="007D14EA"/>
    <w:rsid w:val="007D195D"/>
    <w:rsid w:val="007D1BBD"/>
    <w:rsid w:val="007D22CA"/>
    <w:rsid w:val="007D2A3D"/>
    <w:rsid w:val="007D30F4"/>
    <w:rsid w:val="007D3249"/>
    <w:rsid w:val="007D42A1"/>
    <w:rsid w:val="007D4DE2"/>
    <w:rsid w:val="007D5250"/>
    <w:rsid w:val="007D5EE5"/>
    <w:rsid w:val="007D6127"/>
    <w:rsid w:val="007D6A63"/>
    <w:rsid w:val="007D727E"/>
    <w:rsid w:val="007E056B"/>
    <w:rsid w:val="007E07D7"/>
    <w:rsid w:val="007E09AE"/>
    <w:rsid w:val="007E0A69"/>
    <w:rsid w:val="007E1280"/>
    <w:rsid w:val="007E2372"/>
    <w:rsid w:val="007E23E1"/>
    <w:rsid w:val="007E28A5"/>
    <w:rsid w:val="007E29E7"/>
    <w:rsid w:val="007E2A3B"/>
    <w:rsid w:val="007E3B4E"/>
    <w:rsid w:val="007E483C"/>
    <w:rsid w:val="007E53EE"/>
    <w:rsid w:val="007E63A3"/>
    <w:rsid w:val="007E64B8"/>
    <w:rsid w:val="007E652B"/>
    <w:rsid w:val="007E7FDA"/>
    <w:rsid w:val="007F0AE6"/>
    <w:rsid w:val="007F10EC"/>
    <w:rsid w:val="007F1307"/>
    <w:rsid w:val="007F1757"/>
    <w:rsid w:val="007F3B59"/>
    <w:rsid w:val="007F6513"/>
    <w:rsid w:val="00800049"/>
    <w:rsid w:val="00800E18"/>
    <w:rsid w:val="00800EFC"/>
    <w:rsid w:val="00801715"/>
    <w:rsid w:val="008018F1"/>
    <w:rsid w:val="00802184"/>
    <w:rsid w:val="00803415"/>
    <w:rsid w:val="00803770"/>
    <w:rsid w:val="00803F41"/>
    <w:rsid w:val="00804959"/>
    <w:rsid w:val="00806D2A"/>
    <w:rsid w:val="00806F00"/>
    <w:rsid w:val="00807977"/>
    <w:rsid w:val="00807F64"/>
    <w:rsid w:val="008117A8"/>
    <w:rsid w:val="00811CB5"/>
    <w:rsid w:val="00814978"/>
    <w:rsid w:val="00814D1B"/>
    <w:rsid w:val="00815849"/>
    <w:rsid w:val="00816CB1"/>
    <w:rsid w:val="00816CD5"/>
    <w:rsid w:val="00816D05"/>
    <w:rsid w:val="00817305"/>
    <w:rsid w:val="00817781"/>
    <w:rsid w:val="00817875"/>
    <w:rsid w:val="00817F73"/>
    <w:rsid w:val="00820CF6"/>
    <w:rsid w:val="00821713"/>
    <w:rsid w:val="008218FF"/>
    <w:rsid w:val="00821B15"/>
    <w:rsid w:val="00822067"/>
    <w:rsid w:val="008224EF"/>
    <w:rsid w:val="00823391"/>
    <w:rsid w:val="0082411C"/>
    <w:rsid w:val="00824717"/>
    <w:rsid w:val="00826106"/>
    <w:rsid w:val="008262CB"/>
    <w:rsid w:val="00826FA0"/>
    <w:rsid w:val="0082768A"/>
    <w:rsid w:val="00827737"/>
    <w:rsid w:val="008279DC"/>
    <w:rsid w:val="00827A5C"/>
    <w:rsid w:val="00830738"/>
    <w:rsid w:val="00830E3E"/>
    <w:rsid w:val="00832029"/>
    <w:rsid w:val="00832A69"/>
    <w:rsid w:val="0083348F"/>
    <w:rsid w:val="008344EC"/>
    <w:rsid w:val="008352D4"/>
    <w:rsid w:val="008405B6"/>
    <w:rsid w:val="008415A1"/>
    <w:rsid w:val="008416C5"/>
    <w:rsid w:val="0084219C"/>
    <w:rsid w:val="00843564"/>
    <w:rsid w:val="00847498"/>
    <w:rsid w:val="00850379"/>
    <w:rsid w:val="008504CF"/>
    <w:rsid w:val="00850B70"/>
    <w:rsid w:val="00850D45"/>
    <w:rsid w:val="00850E17"/>
    <w:rsid w:val="00851295"/>
    <w:rsid w:val="00851938"/>
    <w:rsid w:val="008522CC"/>
    <w:rsid w:val="008526B2"/>
    <w:rsid w:val="00853C6B"/>
    <w:rsid w:val="00853E79"/>
    <w:rsid w:val="00853EF2"/>
    <w:rsid w:val="0085466D"/>
    <w:rsid w:val="00856AEC"/>
    <w:rsid w:val="00857D4B"/>
    <w:rsid w:val="00857E4B"/>
    <w:rsid w:val="00857F23"/>
    <w:rsid w:val="0086030C"/>
    <w:rsid w:val="00861C09"/>
    <w:rsid w:val="00862A90"/>
    <w:rsid w:val="00862CF6"/>
    <w:rsid w:val="00863A06"/>
    <w:rsid w:val="0086436F"/>
    <w:rsid w:val="008649CF"/>
    <w:rsid w:val="0086677C"/>
    <w:rsid w:val="00866DF1"/>
    <w:rsid w:val="0086701D"/>
    <w:rsid w:val="008672DF"/>
    <w:rsid w:val="0086760E"/>
    <w:rsid w:val="00872B37"/>
    <w:rsid w:val="008739BC"/>
    <w:rsid w:val="008741D0"/>
    <w:rsid w:val="00874289"/>
    <w:rsid w:val="00874360"/>
    <w:rsid w:val="008746AF"/>
    <w:rsid w:val="0087480D"/>
    <w:rsid w:val="0088011C"/>
    <w:rsid w:val="0088190F"/>
    <w:rsid w:val="008838EB"/>
    <w:rsid w:val="0088442C"/>
    <w:rsid w:val="00884C40"/>
    <w:rsid w:val="008856F9"/>
    <w:rsid w:val="008861C7"/>
    <w:rsid w:val="00886625"/>
    <w:rsid w:val="008866B4"/>
    <w:rsid w:val="008868F5"/>
    <w:rsid w:val="0088696A"/>
    <w:rsid w:val="00887BEF"/>
    <w:rsid w:val="008905B4"/>
    <w:rsid w:val="00890E39"/>
    <w:rsid w:val="00891441"/>
    <w:rsid w:val="0089197F"/>
    <w:rsid w:val="00891E9E"/>
    <w:rsid w:val="008920EA"/>
    <w:rsid w:val="00893989"/>
    <w:rsid w:val="008951AD"/>
    <w:rsid w:val="008959A4"/>
    <w:rsid w:val="00897569"/>
    <w:rsid w:val="008A10EA"/>
    <w:rsid w:val="008A287D"/>
    <w:rsid w:val="008A2CC3"/>
    <w:rsid w:val="008A2D42"/>
    <w:rsid w:val="008A4423"/>
    <w:rsid w:val="008A48FA"/>
    <w:rsid w:val="008A5415"/>
    <w:rsid w:val="008A690F"/>
    <w:rsid w:val="008B05ED"/>
    <w:rsid w:val="008B1B45"/>
    <w:rsid w:val="008B2AE2"/>
    <w:rsid w:val="008B2CE9"/>
    <w:rsid w:val="008B3885"/>
    <w:rsid w:val="008B393E"/>
    <w:rsid w:val="008B3A78"/>
    <w:rsid w:val="008B54CB"/>
    <w:rsid w:val="008B554C"/>
    <w:rsid w:val="008B6409"/>
    <w:rsid w:val="008B691E"/>
    <w:rsid w:val="008B7A72"/>
    <w:rsid w:val="008C169C"/>
    <w:rsid w:val="008C23AE"/>
    <w:rsid w:val="008C39AC"/>
    <w:rsid w:val="008C3E14"/>
    <w:rsid w:val="008C580C"/>
    <w:rsid w:val="008C5841"/>
    <w:rsid w:val="008C5C94"/>
    <w:rsid w:val="008C5EF9"/>
    <w:rsid w:val="008C6103"/>
    <w:rsid w:val="008C64F5"/>
    <w:rsid w:val="008C7B17"/>
    <w:rsid w:val="008D02A8"/>
    <w:rsid w:val="008D1861"/>
    <w:rsid w:val="008D1E1D"/>
    <w:rsid w:val="008D2089"/>
    <w:rsid w:val="008D313B"/>
    <w:rsid w:val="008D4E5F"/>
    <w:rsid w:val="008D6207"/>
    <w:rsid w:val="008D6250"/>
    <w:rsid w:val="008D768B"/>
    <w:rsid w:val="008D793E"/>
    <w:rsid w:val="008E03B5"/>
    <w:rsid w:val="008E03E5"/>
    <w:rsid w:val="008E060D"/>
    <w:rsid w:val="008E240B"/>
    <w:rsid w:val="008E2A9D"/>
    <w:rsid w:val="008E2CB3"/>
    <w:rsid w:val="008E38D8"/>
    <w:rsid w:val="008E440B"/>
    <w:rsid w:val="008E4698"/>
    <w:rsid w:val="008E49C5"/>
    <w:rsid w:val="008E4EF7"/>
    <w:rsid w:val="008E509C"/>
    <w:rsid w:val="008E5A8E"/>
    <w:rsid w:val="008E5BCC"/>
    <w:rsid w:val="008E611B"/>
    <w:rsid w:val="008F1B18"/>
    <w:rsid w:val="008F1C70"/>
    <w:rsid w:val="008F28F8"/>
    <w:rsid w:val="008F293A"/>
    <w:rsid w:val="008F4720"/>
    <w:rsid w:val="008F60B6"/>
    <w:rsid w:val="008F6A1B"/>
    <w:rsid w:val="00900AC9"/>
    <w:rsid w:val="009011E9"/>
    <w:rsid w:val="0090253C"/>
    <w:rsid w:val="00906464"/>
    <w:rsid w:val="00906893"/>
    <w:rsid w:val="00906C1D"/>
    <w:rsid w:val="00910600"/>
    <w:rsid w:val="00910682"/>
    <w:rsid w:val="0091068D"/>
    <w:rsid w:val="0091077C"/>
    <w:rsid w:val="00910CE5"/>
    <w:rsid w:val="00910FC7"/>
    <w:rsid w:val="0091111A"/>
    <w:rsid w:val="0091132D"/>
    <w:rsid w:val="00911E2E"/>
    <w:rsid w:val="009122A0"/>
    <w:rsid w:val="009126CB"/>
    <w:rsid w:val="00913ABA"/>
    <w:rsid w:val="00913BF0"/>
    <w:rsid w:val="00914684"/>
    <w:rsid w:val="009166CB"/>
    <w:rsid w:val="00916F43"/>
    <w:rsid w:val="00916FA6"/>
    <w:rsid w:val="009175D4"/>
    <w:rsid w:val="00920190"/>
    <w:rsid w:val="00920896"/>
    <w:rsid w:val="009208FC"/>
    <w:rsid w:val="00921CD3"/>
    <w:rsid w:val="00923A8D"/>
    <w:rsid w:val="00924190"/>
    <w:rsid w:val="00924B02"/>
    <w:rsid w:val="00925016"/>
    <w:rsid w:val="00925B3C"/>
    <w:rsid w:val="00926AC3"/>
    <w:rsid w:val="00930F9A"/>
    <w:rsid w:val="0093162A"/>
    <w:rsid w:val="00936694"/>
    <w:rsid w:val="00937808"/>
    <w:rsid w:val="00937D88"/>
    <w:rsid w:val="00937F49"/>
    <w:rsid w:val="00940762"/>
    <w:rsid w:val="009410EB"/>
    <w:rsid w:val="00941136"/>
    <w:rsid w:val="009415AE"/>
    <w:rsid w:val="009441DE"/>
    <w:rsid w:val="0094499B"/>
    <w:rsid w:val="00945A30"/>
    <w:rsid w:val="00945FC4"/>
    <w:rsid w:val="00946523"/>
    <w:rsid w:val="0095094C"/>
    <w:rsid w:val="00950EC8"/>
    <w:rsid w:val="00952A9F"/>
    <w:rsid w:val="00952F2B"/>
    <w:rsid w:val="00953492"/>
    <w:rsid w:val="00954B5D"/>
    <w:rsid w:val="0095587C"/>
    <w:rsid w:val="009572A3"/>
    <w:rsid w:val="00957C9A"/>
    <w:rsid w:val="00957E8F"/>
    <w:rsid w:val="00960C4B"/>
    <w:rsid w:val="00961162"/>
    <w:rsid w:val="00962998"/>
    <w:rsid w:val="00963114"/>
    <w:rsid w:val="009639AE"/>
    <w:rsid w:val="00963C97"/>
    <w:rsid w:val="00964086"/>
    <w:rsid w:val="00964688"/>
    <w:rsid w:val="00964E13"/>
    <w:rsid w:val="009656DB"/>
    <w:rsid w:val="009660BA"/>
    <w:rsid w:val="009663C7"/>
    <w:rsid w:val="00966643"/>
    <w:rsid w:val="00967AAA"/>
    <w:rsid w:val="0097053D"/>
    <w:rsid w:val="00970D62"/>
    <w:rsid w:val="0097409C"/>
    <w:rsid w:val="0097584A"/>
    <w:rsid w:val="0097675D"/>
    <w:rsid w:val="00977145"/>
    <w:rsid w:val="0098142B"/>
    <w:rsid w:val="0098340A"/>
    <w:rsid w:val="00984613"/>
    <w:rsid w:val="00984AAD"/>
    <w:rsid w:val="00985180"/>
    <w:rsid w:val="0098594B"/>
    <w:rsid w:val="0098613D"/>
    <w:rsid w:val="00986647"/>
    <w:rsid w:val="009869F6"/>
    <w:rsid w:val="00987548"/>
    <w:rsid w:val="0099039A"/>
    <w:rsid w:val="00990780"/>
    <w:rsid w:val="009912B6"/>
    <w:rsid w:val="009913C0"/>
    <w:rsid w:val="009914D5"/>
    <w:rsid w:val="009921D5"/>
    <w:rsid w:val="00992A32"/>
    <w:rsid w:val="00993C37"/>
    <w:rsid w:val="00993CD1"/>
    <w:rsid w:val="00993FDA"/>
    <w:rsid w:val="00995AB5"/>
    <w:rsid w:val="009972DF"/>
    <w:rsid w:val="00997CCF"/>
    <w:rsid w:val="009A0498"/>
    <w:rsid w:val="009A1023"/>
    <w:rsid w:val="009A13AE"/>
    <w:rsid w:val="009A2632"/>
    <w:rsid w:val="009A2A3E"/>
    <w:rsid w:val="009A3F0A"/>
    <w:rsid w:val="009A475D"/>
    <w:rsid w:val="009A6D16"/>
    <w:rsid w:val="009A76CC"/>
    <w:rsid w:val="009B1FCA"/>
    <w:rsid w:val="009B23B7"/>
    <w:rsid w:val="009B2917"/>
    <w:rsid w:val="009B4A25"/>
    <w:rsid w:val="009B4E1A"/>
    <w:rsid w:val="009B5536"/>
    <w:rsid w:val="009B5E70"/>
    <w:rsid w:val="009B6AC5"/>
    <w:rsid w:val="009B71FF"/>
    <w:rsid w:val="009B7EF0"/>
    <w:rsid w:val="009C111D"/>
    <w:rsid w:val="009C14A8"/>
    <w:rsid w:val="009C1BED"/>
    <w:rsid w:val="009C2A91"/>
    <w:rsid w:val="009C3624"/>
    <w:rsid w:val="009C3EE3"/>
    <w:rsid w:val="009C5358"/>
    <w:rsid w:val="009C5648"/>
    <w:rsid w:val="009C60D2"/>
    <w:rsid w:val="009C6910"/>
    <w:rsid w:val="009C6BD0"/>
    <w:rsid w:val="009C70CA"/>
    <w:rsid w:val="009C77EA"/>
    <w:rsid w:val="009C7AB2"/>
    <w:rsid w:val="009D0731"/>
    <w:rsid w:val="009D2025"/>
    <w:rsid w:val="009D252E"/>
    <w:rsid w:val="009D2637"/>
    <w:rsid w:val="009D277C"/>
    <w:rsid w:val="009D5D38"/>
    <w:rsid w:val="009D61FE"/>
    <w:rsid w:val="009E0761"/>
    <w:rsid w:val="009E08FF"/>
    <w:rsid w:val="009E1C53"/>
    <w:rsid w:val="009E336E"/>
    <w:rsid w:val="009E4341"/>
    <w:rsid w:val="009E4857"/>
    <w:rsid w:val="009E4F30"/>
    <w:rsid w:val="009E503E"/>
    <w:rsid w:val="009E5099"/>
    <w:rsid w:val="009E5194"/>
    <w:rsid w:val="009E5290"/>
    <w:rsid w:val="009E5594"/>
    <w:rsid w:val="009E637A"/>
    <w:rsid w:val="009E7442"/>
    <w:rsid w:val="009E796A"/>
    <w:rsid w:val="009E7ADF"/>
    <w:rsid w:val="009E7DFB"/>
    <w:rsid w:val="009F0AB8"/>
    <w:rsid w:val="009F1C97"/>
    <w:rsid w:val="009F2036"/>
    <w:rsid w:val="009F55BF"/>
    <w:rsid w:val="009F7310"/>
    <w:rsid w:val="009F75BC"/>
    <w:rsid w:val="009F7FB7"/>
    <w:rsid w:val="00A01972"/>
    <w:rsid w:val="00A02315"/>
    <w:rsid w:val="00A02A57"/>
    <w:rsid w:val="00A0380E"/>
    <w:rsid w:val="00A04AEC"/>
    <w:rsid w:val="00A06370"/>
    <w:rsid w:val="00A068CC"/>
    <w:rsid w:val="00A073F0"/>
    <w:rsid w:val="00A07E63"/>
    <w:rsid w:val="00A10750"/>
    <w:rsid w:val="00A1087E"/>
    <w:rsid w:val="00A10A16"/>
    <w:rsid w:val="00A11730"/>
    <w:rsid w:val="00A12B18"/>
    <w:rsid w:val="00A132D2"/>
    <w:rsid w:val="00A13355"/>
    <w:rsid w:val="00A150CD"/>
    <w:rsid w:val="00A161FF"/>
    <w:rsid w:val="00A20A67"/>
    <w:rsid w:val="00A21DE7"/>
    <w:rsid w:val="00A22535"/>
    <w:rsid w:val="00A23140"/>
    <w:rsid w:val="00A237F6"/>
    <w:rsid w:val="00A2384E"/>
    <w:rsid w:val="00A239C6"/>
    <w:rsid w:val="00A26E45"/>
    <w:rsid w:val="00A26F65"/>
    <w:rsid w:val="00A31FD2"/>
    <w:rsid w:val="00A3267B"/>
    <w:rsid w:val="00A329DD"/>
    <w:rsid w:val="00A346E3"/>
    <w:rsid w:val="00A34960"/>
    <w:rsid w:val="00A34BDC"/>
    <w:rsid w:val="00A3547E"/>
    <w:rsid w:val="00A358CF"/>
    <w:rsid w:val="00A35FD5"/>
    <w:rsid w:val="00A40859"/>
    <w:rsid w:val="00A408C1"/>
    <w:rsid w:val="00A40F3E"/>
    <w:rsid w:val="00A4165D"/>
    <w:rsid w:val="00A42505"/>
    <w:rsid w:val="00A42C32"/>
    <w:rsid w:val="00A42C80"/>
    <w:rsid w:val="00A4352C"/>
    <w:rsid w:val="00A452E5"/>
    <w:rsid w:val="00A464C6"/>
    <w:rsid w:val="00A46AB3"/>
    <w:rsid w:val="00A47513"/>
    <w:rsid w:val="00A5004F"/>
    <w:rsid w:val="00A5088C"/>
    <w:rsid w:val="00A5090E"/>
    <w:rsid w:val="00A50C57"/>
    <w:rsid w:val="00A51072"/>
    <w:rsid w:val="00A51CBE"/>
    <w:rsid w:val="00A52942"/>
    <w:rsid w:val="00A52956"/>
    <w:rsid w:val="00A52AFC"/>
    <w:rsid w:val="00A52F33"/>
    <w:rsid w:val="00A53122"/>
    <w:rsid w:val="00A53539"/>
    <w:rsid w:val="00A53777"/>
    <w:rsid w:val="00A53819"/>
    <w:rsid w:val="00A538A9"/>
    <w:rsid w:val="00A53DBD"/>
    <w:rsid w:val="00A53EFF"/>
    <w:rsid w:val="00A55416"/>
    <w:rsid w:val="00A56BDE"/>
    <w:rsid w:val="00A56DF1"/>
    <w:rsid w:val="00A574AE"/>
    <w:rsid w:val="00A575D0"/>
    <w:rsid w:val="00A6140D"/>
    <w:rsid w:val="00A627A0"/>
    <w:rsid w:val="00A628CE"/>
    <w:rsid w:val="00A62F5D"/>
    <w:rsid w:val="00A6656D"/>
    <w:rsid w:val="00A669ED"/>
    <w:rsid w:val="00A66A62"/>
    <w:rsid w:val="00A67495"/>
    <w:rsid w:val="00A67F1E"/>
    <w:rsid w:val="00A707C7"/>
    <w:rsid w:val="00A70AA4"/>
    <w:rsid w:val="00A7128F"/>
    <w:rsid w:val="00A71FDC"/>
    <w:rsid w:val="00A72D0F"/>
    <w:rsid w:val="00A7359A"/>
    <w:rsid w:val="00A736FE"/>
    <w:rsid w:val="00A73AE7"/>
    <w:rsid w:val="00A74CB6"/>
    <w:rsid w:val="00A76442"/>
    <w:rsid w:val="00A76513"/>
    <w:rsid w:val="00A765D0"/>
    <w:rsid w:val="00A82AAB"/>
    <w:rsid w:val="00A82B44"/>
    <w:rsid w:val="00A86C4C"/>
    <w:rsid w:val="00A877A0"/>
    <w:rsid w:val="00A87882"/>
    <w:rsid w:val="00A87FA1"/>
    <w:rsid w:val="00A90201"/>
    <w:rsid w:val="00A9083C"/>
    <w:rsid w:val="00A912D3"/>
    <w:rsid w:val="00A91642"/>
    <w:rsid w:val="00A919C6"/>
    <w:rsid w:val="00A91A49"/>
    <w:rsid w:val="00A92B73"/>
    <w:rsid w:val="00A935F8"/>
    <w:rsid w:val="00A942E6"/>
    <w:rsid w:val="00A947F9"/>
    <w:rsid w:val="00A94ADA"/>
    <w:rsid w:val="00A94DB6"/>
    <w:rsid w:val="00A9551A"/>
    <w:rsid w:val="00A9597F"/>
    <w:rsid w:val="00A95EF6"/>
    <w:rsid w:val="00A95F5A"/>
    <w:rsid w:val="00A9637E"/>
    <w:rsid w:val="00A965D5"/>
    <w:rsid w:val="00A967B5"/>
    <w:rsid w:val="00A96D4F"/>
    <w:rsid w:val="00A97555"/>
    <w:rsid w:val="00A97562"/>
    <w:rsid w:val="00AA1C8E"/>
    <w:rsid w:val="00AA2735"/>
    <w:rsid w:val="00AA2800"/>
    <w:rsid w:val="00AA2820"/>
    <w:rsid w:val="00AA2D64"/>
    <w:rsid w:val="00AA5594"/>
    <w:rsid w:val="00AA79C5"/>
    <w:rsid w:val="00AA7DC5"/>
    <w:rsid w:val="00AB04DE"/>
    <w:rsid w:val="00AB14C1"/>
    <w:rsid w:val="00AB2566"/>
    <w:rsid w:val="00AB29B6"/>
    <w:rsid w:val="00AB40AE"/>
    <w:rsid w:val="00AB5528"/>
    <w:rsid w:val="00AB5E09"/>
    <w:rsid w:val="00AB5EAF"/>
    <w:rsid w:val="00AB6A64"/>
    <w:rsid w:val="00AC00E6"/>
    <w:rsid w:val="00AC02CA"/>
    <w:rsid w:val="00AC32D6"/>
    <w:rsid w:val="00AC3C2F"/>
    <w:rsid w:val="00AC608F"/>
    <w:rsid w:val="00AC6721"/>
    <w:rsid w:val="00AC75D0"/>
    <w:rsid w:val="00AD0857"/>
    <w:rsid w:val="00AD35A3"/>
    <w:rsid w:val="00AD3A92"/>
    <w:rsid w:val="00AD55D8"/>
    <w:rsid w:val="00AD5A61"/>
    <w:rsid w:val="00AD7764"/>
    <w:rsid w:val="00AD78E1"/>
    <w:rsid w:val="00AE0187"/>
    <w:rsid w:val="00AE018A"/>
    <w:rsid w:val="00AE0802"/>
    <w:rsid w:val="00AE0E48"/>
    <w:rsid w:val="00AE1EF4"/>
    <w:rsid w:val="00AE2BE6"/>
    <w:rsid w:val="00AE326A"/>
    <w:rsid w:val="00AE50AD"/>
    <w:rsid w:val="00AE62B1"/>
    <w:rsid w:val="00AE7DF5"/>
    <w:rsid w:val="00AF3AAB"/>
    <w:rsid w:val="00AF5508"/>
    <w:rsid w:val="00AF6F68"/>
    <w:rsid w:val="00AF7334"/>
    <w:rsid w:val="00AF7A1B"/>
    <w:rsid w:val="00B00124"/>
    <w:rsid w:val="00B00773"/>
    <w:rsid w:val="00B008D5"/>
    <w:rsid w:val="00B00CCB"/>
    <w:rsid w:val="00B020D3"/>
    <w:rsid w:val="00B03EF6"/>
    <w:rsid w:val="00B0435D"/>
    <w:rsid w:val="00B05033"/>
    <w:rsid w:val="00B05164"/>
    <w:rsid w:val="00B05F1E"/>
    <w:rsid w:val="00B07718"/>
    <w:rsid w:val="00B078F7"/>
    <w:rsid w:val="00B07F15"/>
    <w:rsid w:val="00B1087F"/>
    <w:rsid w:val="00B10B5F"/>
    <w:rsid w:val="00B11877"/>
    <w:rsid w:val="00B11CB4"/>
    <w:rsid w:val="00B11E40"/>
    <w:rsid w:val="00B12E8E"/>
    <w:rsid w:val="00B14683"/>
    <w:rsid w:val="00B14B94"/>
    <w:rsid w:val="00B17A8F"/>
    <w:rsid w:val="00B21006"/>
    <w:rsid w:val="00B21962"/>
    <w:rsid w:val="00B23194"/>
    <w:rsid w:val="00B237CF"/>
    <w:rsid w:val="00B23A12"/>
    <w:rsid w:val="00B23F93"/>
    <w:rsid w:val="00B2460B"/>
    <w:rsid w:val="00B26733"/>
    <w:rsid w:val="00B308AB"/>
    <w:rsid w:val="00B32455"/>
    <w:rsid w:val="00B3301C"/>
    <w:rsid w:val="00B335E9"/>
    <w:rsid w:val="00B3369A"/>
    <w:rsid w:val="00B344BE"/>
    <w:rsid w:val="00B34D85"/>
    <w:rsid w:val="00B34E1C"/>
    <w:rsid w:val="00B350B9"/>
    <w:rsid w:val="00B3513C"/>
    <w:rsid w:val="00B36CE8"/>
    <w:rsid w:val="00B379F8"/>
    <w:rsid w:val="00B43501"/>
    <w:rsid w:val="00B437A6"/>
    <w:rsid w:val="00B442BC"/>
    <w:rsid w:val="00B45315"/>
    <w:rsid w:val="00B455E5"/>
    <w:rsid w:val="00B479E8"/>
    <w:rsid w:val="00B50061"/>
    <w:rsid w:val="00B50A6F"/>
    <w:rsid w:val="00B51F15"/>
    <w:rsid w:val="00B520CE"/>
    <w:rsid w:val="00B524BC"/>
    <w:rsid w:val="00B5304E"/>
    <w:rsid w:val="00B53847"/>
    <w:rsid w:val="00B53C00"/>
    <w:rsid w:val="00B548D1"/>
    <w:rsid w:val="00B55894"/>
    <w:rsid w:val="00B561B8"/>
    <w:rsid w:val="00B56D9D"/>
    <w:rsid w:val="00B57B43"/>
    <w:rsid w:val="00B57E7F"/>
    <w:rsid w:val="00B622DD"/>
    <w:rsid w:val="00B626CC"/>
    <w:rsid w:val="00B649F1"/>
    <w:rsid w:val="00B654DB"/>
    <w:rsid w:val="00B67B0A"/>
    <w:rsid w:val="00B7105B"/>
    <w:rsid w:val="00B713C5"/>
    <w:rsid w:val="00B71E76"/>
    <w:rsid w:val="00B72833"/>
    <w:rsid w:val="00B74716"/>
    <w:rsid w:val="00B75576"/>
    <w:rsid w:val="00B757BB"/>
    <w:rsid w:val="00B75C0A"/>
    <w:rsid w:val="00B8197F"/>
    <w:rsid w:val="00B8219F"/>
    <w:rsid w:val="00B82760"/>
    <w:rsid w:val="00B829C6"/>
    <w:rsid w:val="00B8320F"/>
    <w:rsid w:val="00B835E2"/>
    <w:rsid w:val="00B84561"/>
    <w:rsid w:val="00B84919"/>
    <w:rsid w:val="00B8521D"/>
    <w:rsid w:val="00B8637D"/>
    <w:rsid w:val="00B8654E"/>
    <w:rsid w:val="00B86770"/>
    <w:rsid w:val="00B90CD7"/>
    <w:rsid w:val="00B91501"/>
    <w:rsid w:val="00B92805"/>
    <w:rsid w:val="00B92EFB"/>
    <w:rsid w:val="00B9376C"/>
    <w:rsid w:val="00B941D7"/>
    <w:rsid w:val="00B946C8"/>
    <w:rsid w:val="00B966FD"/>
    <w:rsid w:val="00B968C8"/>
    <w:rsid w:val="00B97733"/>
    <w:rsid w:val="00BA22A2"/>
    <w:rsid w:val="00BA2AAC"/>
    <w:rsid w:val="00BA4399"/>
    <w:rsid w:val="00BA4A7B"/>
    <w:rsid w:val="00BA4FB7"/>
    <w:rsid w:val="00BA6A3C"/>
    <w:rsid w:val="00BA6E23"/>
    <w:rsid w:val="00BA6F5D"/>
    <w:rsid w:val="00BB0A06"/>
    <w:rsid w:val="00BB15E1"/>
    <w:rsid w:val="00BB16B0"/>
    <w:rsid w:val="00BB2B6F"/>
    <w:rsid w:val="00BB2EA8"/>
    <w:rsid w:val="00BB2FF4"/>
    <w:rsid w:val="00BB3945"/>
    <w:rsid w:val="00BB452B"/>
    <w:rsid w:val="00BB571B"/>
    <w:rsid w:val="00BB6142"/>
    <w:rsid w:val="00BB71E3"/>
    <w:rsid w:val="00BB7463"/>
    <w:rsid w:val="00BC0183"/>
    <w:rsid w:val="00BC1152"/>
    <w:rsid w:val="00BC1480"/>
    <w:rsid w:val="00BC1BAA"/>
    <w:rsid w:val="00BC2AF7"/>
    <w:rsid w:val="00BC3045"/>
    <w:rsid w:val="00BC380D"/>
    <w:rsid w:val="00BC3D81"/>
    <w:rsid w:val="00BC4A24"/>
    <w:rsid w:val="00BC73EF"/>
    <w:rsid w:val="00BC7ADD"/>
    <w:rsid w:val="00BD05DA"/>
    <w:rsid w:val="00BD0B7A"/>
    <w:rsid w:val="00BD2BCD"/>
    <w:rsid w:val="00BD2E42"/>
    <w:rsid w:val="00BD380D"/>
    <w:rsid w:val="00BD3C53"/>
    <w:rsid w:val="00BD4009"/>
    <w:rsid w:val="00BD6A9A"/>
    <w:rsid w:val="00BE0936"/>
    <w:rsid w:val="00BE24D5"/>
    <w:rsid w:val="00BE26FF"/>
    <w:rsid w:val="00BE3410"/>
    <w:rsid w:val="00BE44A0"/>
    <w:rsid w:val="00BE50E6"/>
    <w:rsid w:val="00BE6499"/>
    <w:rsid w:val="00BE6F12"/>
    <w:rsid w:val="00BE77DE"/>
    <w:rsid w:val="00BE7B27"/>
    <w:rsid w:val="00BE7C20"/>
    <w:rsid w:val="00BF0594"/>
    <w:rsid w:val="00BF11E8"/>
    <w:rsid w:val="00BF1A89"/>
    <w:rsid w:val="00BF2F80"/>
    <w:rsid w:val="00BF328B"/>
    <w:rsid w:val="00BF346E"/>
    <w:rsid w:val="00BF3790"/>
    <w:rsid w:val="00BF4FA3"/>
    <w:rsid w:val="00BF5198"/>
    <w:rsid w:val="00BF5745"/>
    <w:rsid w:val="00BF5CD0"/>
    <w:rsid w:val="00BF5D4C"/>
    <w:rsid w:val="00C01357"/>
    <w:rsid w:val="00C02FDD"/>
    <w:rsid w:val="00C034A0"/>
    <w:rsid w:val="00C03869"/>
    <w:rsid w:val="00C05071"/>
    <w:rsid w:val="00C052C7"/>
    <w:rsid w:val="00C05315"/>
    <w:rsid w:val="00C0765A"/>
    <w:rsid w:val="00C07726"/>
    <w:rsid w:val="00C0780F"/>
    <w:rsid w:val="00C0792F"/>
    <w:rsid w:val="00C10D08"/>
    <w:rsid w:val="00C1111E"/>
    <w:rsid w:val="00C13A34"/>
    <w:rsid w:val="00C1446D"/>
    <w:rsid w:val="00C14C66"/>
    <w:rsid w:val="00C15A5F"/>
    <w:rsid w:val="00C16592"/>
    <w:rsid w:val="00C16695"/>
    <w:rsid w:val="00C176E4"/>
    <w:rsid w:val="00C17B14"/>
    <w:rsid w:val="00C17EDA"/>
    <w:rsid w:val="00C200C2"/>
    <w:rsid w:val="00C2012C"/>
    <w:rsid w:val="00C206B2"/>
    <w:rsid w:val="00C208B3"/>
    <w:rsid w:val="00C225F6"/>
    <w:rsid w:val="00C236BD"/>
    <w:rsid w:val="00C24FF2"/>
    <w:rsid w:val="00C25850"/>
    <w:rsid w:val="00C27A61"/>
    <w:rsid w:val="00C327B3"/>
    <w:rsid w:val="00C3297C"/>
    <w:rsid w:val="00C32E7E"/>
    <w:rsid w:val="00C339F9"/>
    <w:rsid w:val="00C3659D"/>
    <w:rsid w:val="00C36753"/>
    <w:rsid w:val="00C37636"/>
    <w:rsid w:val="00C377AF"/>
    <w:rsid w:val="00C37F29"/>
    <w:rsid w:val="00C42EFF"/>
    <w:rsid w:val="00C47321"/>
    <w:rsid w:val="00C47364"/>
    <w:rsid w:val="00C5132F"/>
    <w:rsid w:val="00C52FD5"/>
    <w:rsid w:val="00C53200"/>
    <w:rsid w:val="00C5329C"/>
    <w:rsid w:val="00C53736"/>
    <w:rsid w:val="00C56670"/>
    <w:rsid w:val="00C56E3E"/>
    <w:rsid w:val="00C56F0E"/>
    <w:rsid w:val="00C57548"/>
    <w:rsid w:val="00C6052B"/>
    <w:rsid w:val="00C615E3"/>
    <w:rsid w:val="00C630C2"/>
    <w:rsid w:val="00C63AC1"/>
    <w:rsid w:val="00C63EC5"/>
    <w:rsid w:val="00C643B7"/>
    <w:rsid w:val="00C65188"/>
    <w:rsid w:val="00C661E9"/>
    <w:rsid w:val="00C66E9C"/>
    <w:rsid w:val="00C67545"/>
    <w:rsid w:val="00C67894"/>
    <w:rsid w:val="00C711BE"/>
    <w:rsid w:val="00C7161C"/>
    <w:rsid w:val="00C716A1"/>
    <w:rsid w:val="00C722DB"/>
    <w:rsid w:val="00C73F02"/>
    <w:rsid w:val="00C74BF0"/>
    <w:rsid w:val="00C757F9"/>
    <w:rsid w:val="00C76166"/>
    <w:rsid w:val="00C77A2A"/>
    <w:rsid w:val="00C8204C"/>
    <w:rsid w:val="00C82CD7"/>
    <w:rsid w:val="00C82DE8"/>
    <w:rsid w:val="00C8569D"/>
    <w:rsid w:val="00C85DCE"/>
    <w:rsid w:val="00C8602C"/>
    <w:rsid w:val="00C861C6"/>
    <w:rsid w:val="00C864AE"/>
    <w:rsid w:val="00C86533"/>
    <w:rsid w:val="00C87B26"/>
    <w:rsid w:val="00C87D29"/>
    <w:rsid w:val="00C90D5C"/>
    <w:rsid w:val="00C91C73"/>
    <w:rsid w:val="00C91E1F"/>
    <w:rsid w:val="00C932FD"/>
    <w:rsid w:val="00C93C67"/>
    <w:rsid w:val="00C965BF"/>
    <w:rsid w:val="00C96E1C"/>
    <w:rsid w:val="00CA1462"/>
    <w:rsid w:val="00CA285A"/>
    <w:rsid w:val="00CA2890"/>
    <w:rsid w:val="00CA2983"/>
    <w:rsid w:val="00CA2C0A"/>
    <w:rsid w:val="00CA2F0E"/>
    <w:rsid w:val="00CA38E4"/>
    <w:rsid w:val="00CA48AD"/>
    <w:rsid w:val="00CA5DDF"/>
    <w:rsid w:val="00CA6254"/>
    <w:rsid w:val="00CA6657"/>
    <w:rsid w:val="00CB0398"/>
    <w:rsid w:val="00CB0567"/>
    <w:rsid w:val="00CB3186"/>
    <w:rsid w:val="00CB3F16"/>
    <w:rsid w:val="00CB40F2"/>
    <w:rsid w:val="00CB486D"/>
    <w:rsid w:val="00CB4C87"/>
    <w:rsid w:val="00CB5D95"/>
    <w:rsid w:val="00CB6BB0"/>
    <w:rsid w:val="00CC02EB"/>
    <w:rsid w:val="00CC2A21"/>
    <w:rsid w:val="00CC2E5E"/>
    <w:rsid w:val="00CC4B5F"/>
    <w:rsid w:val="00CC5810"/>
    <w:rsid w:val="00CC71C4"/>
    <w:rsid w:val="00CD14F3"/>
    <w:rsid w:val="00CD15A6"/>
    <w:rsid w:val="00CD232B"/>
    <w:rsid w:val="00CD3634"/>
    <w:rsid w:val="00CD7A0A"/>
    <w:rsid w:val="00CE0049"/>
    <w:rsid w:val="00CE0F29"/>
    <w:rsid w:val="00CE1C3F"/>
    <w:rsid w:val="00CE40F1"/>
    <w:rsid w:val="00CE58FB"/>
    <w:rsid w:val="00CE6982"/>
    <w:rsid w:val="00CE6E73"/>
    <w:rsid w:val="00CE72A5"/>
    <w:rsid w:val="00CE76F5"/>
    <w:rsid w:val="00CE7717"/>
    <w:rsid w:val="00CF11C1"/>
    <w:rsid w:val="00CF21BC"/>
    <w:rsid w:val="00CF233D"/>
    <w:rsid w:val="00CF2521"/>
    <w:rsid w:val="00CF34A5"/>
    <w:rsid w:val="00CF390A"/>
    <w:rsid w:val="00CF392E"/>
    <w:rsid w:val="00CF3E1E"/>
    <w:rsid w:val="00CF4643"/>
    <w:rsid w:val="00CF5E99"/>
    <w:rsid w:val="00CF5F3A"/>
    <w:rsid w:val="00CF6261"/>
    <w:rsid w:val="00CF6F09"/>
    <w:rsid w:val="00CF7992"/>
    <w:rsid w:val="00CF79AE"/>
    <w:rsid w:val="00CF7CD5"/>
    <w:rsid w:val="00D01B2C"/>
    <w:rsid w:val="00D03546"/>
    <w:rsid w:val="00D035A1"/>
    <w:rsid w:val="00D036C0"/>
    <w:rsid w:val="00D04106"/>
    <w:rsid w:val="00D048A7"/>
    <w:rsid w:val="00D0538C"/>
    <w:rsid w:val="00D06822"/>
    <w:rsid w:val="00D07244"/>
    <w:rsid w:val="00D07751"/>
    <w:rsid w:val="00D07D77"/>
    <w:rsid w:val="00D10320"/>
    <w:rsid w:val="00D117C4"/>
    <w:rsid w:val="00D127A2"/>
    <w:rsid w:val="00D127A8"/>
    <w:rsid w:val="00D12BBD"/>
    <w:rsid w:val="00D12C1F"/>
    <w:rsid w:val="00D13E1D"/>
    <w:rsid w:val="00D13F62"/>
    <w:rsid w:val="00D147BE"/>
    <w:rsid w:val="00D15319"/>
    <w:rsid w:val="00D156A2"/>
    <w:rsid w:val="00D169F7"/>
    <w:rsid w:val="00D1755D"/>
    <w:rsid w:val="00D175AD"/>
    <w:rsid w:val="00D21FBC"/>
    <w:rsid w:val="00D244DD"/>
    <w:rsid w:val="00D26177"/>
    <w:rsid w:val="00D2629B"/>
    <w:rsid w:val="00D265E6"/>
    <w:rsid w:val="00D269E8"/>
    <w:rsid w:val="00D2764A"/>
    <w:rsid w:val="00D312F1"/>
    <w:rsid w:val="00D319CB"/>
    <w:rsid w:val="00D31D28"/>
    <w:rsid w:val="00D326AB"/>
    <w:rsid w:val="00D337A0"/>
    <w:rsid w:val="00D33AC6"/>
    <w:rsid w:val="00D34D6A"/>
    <w:rsid w:val="00D35DC9"/>
    <w:rsid w:val="00D36FD3"/>
    <w:rsid w:val="00D37DD7"/>
    <w:rsid w:val="00D40A7D"/>
    <w:rsid w:val="00D40F20"/>
    <w:rsid w:val="00D4128F"/>
    <w:rsid w:val="00D42A1D"/>
    <w:rsid w:val="00D42E88"/>
    <w:rsid w:val="00D430D0"/>
    <w:rsid w:val="00D43145"/>
    <w:rsid w:val="00D43338"/>
    <w:rsid w:val="00D44B1B"/>
    <w:rsid w:val="00D477A3"/>
    <w:rsid w:val="00D502BE"/>
    <w:rsid w:val="00D5105B"/>
    <w:rsid w:val="00D51B1C"/>
    <w:rsid w:val="00D51CA6"/>
    <w:rsid w:val="00D521BE"/>
    <w:rsid w:val="00D536F2"/>
    <w:rsid w:val="00D538B5"/>
    <w:rsid w:val="00D552D7"/>
    <w:rsid w:val="00D55605"/>
    <w:rsid w:val="00D55DC1"/>
    <w:rsid w:val="00D564D8"/>
    <w:rsid w:val="00D56783"/>
    <w:rsid w:val="00D57F53"/>
    <w:rsid w:val="00D619A9"/>
    <w:rsid w:val="00D62561"/>
    <w:rsid w:val="00D625DB"/>
    <w:rsid w:val="00D6387E"/>
    <w:rsid w:val="00D6395F"/>
    <w:rsid w:val="00D64818"/>
    <w:rsid w:val="00D6537A"/>
    <w:rsid w:val="00D653D3"/>
    <w:rsid w:val="00D65A3D"/>
    <w:rsid w:val="00D6640A"/>
    <w:rsid w:val="00D66791"/>
    <w:rsid w:val="00D67FA3"/>
    <w:rsid w:val="00D7063F"/>
    <w:rsid w:val="00D709DD"/>
    <w:rsid w:val="00D71630"/>
    <w:rsid w:val="00D7181B"/>
    <w:rsid w:val="00D71848"/>
    <w:rsid w:val="00D71857"/>
    <w:rsid w:val="00D728B5"/>
    <w:rsid w:val="00D728D3"/>
    <w:rsid w:val="00D735F7"/>
    <w:rsid w:val="00D746DC"/>
    <w:rsid w:val="00D75220"/>
    <w:rsid w:val="00D75273"/>
    <w:rsid w:val="00D755EC"/>
    <w:rsid w:val="00D763AC"/>
    <w:rsid w:val="00D769AF"/>
    <w:rsid w:val="00D7799E"/>
    <w:rsid w:val="00D802E2"/>
    <w:rsid w:val="00D810E1"/>
    <w:rsid w:val="00D82B82"/>
    <w:rsid w:val="00D82BAE"/>
    <w:rsid w:val="00D84A38"/>
    <w:rsid w:val="00D8562B"/>
    <w:rsid w:val="00D87149"/>
    <w:rsid w:val="00D879F5"/>
    <w:rsid w:val="00D90A44"/>
    <w:rsid w:val="00D9220B"/>
    <w:rsid w:val="00D97BC1"/>
    <w:rsid w:val="00DA165A"/>
    <w:rsid w:val="00DA1EBC"/>
    <w:rsid w:val="00DA3BFD"/>
    <w:rsid w:val="00DA4D56"/>
    <w:rsid w:val="00DA5AD0"/>
    <w:rsid w:val="00DA5F6B"/>
    <w:rsid w:val="00DA61EF"/>
    <w:rsid w:val="00DA74A4"/>
    <w:rsid w:val="00DB0621"/>
    <w:rsid w:val="00DB11F9"/>
    <w:rsid w:val="00DB1A8F"/>
    <w:rsid w:val="00DB1E92"/>
    <w:rsid w:val="00DB2727"/>
    <w:rsid w:val="00DB3406"/>
    <w:rsid w:val="00DB3C55"/>
    <w:rsid w:val="00DB47BF"/>
    <w:rsid w:val="00DB4D38"/>
    <w:rsid w:val="00DB58B5"/>
    <w:rsid w:val="00DB5B88"/>
    <w:rsid w:val="00DB6143"/>
    <w:rsid w:val="00DB6C59"/>
    <w:rsid w:val="00DB76FE"/>
    <w:rsid w:val="00DC0023"/>
    <w:rsid w:val="00DC047B"/>
    <w:rsid w:val="00DC1585"/>
    <w:rsid w:val="00DC1BB0"/>
    <w:rsid w:val="00DC1E9F"/>
    <w:rsid w:val="00DC30F9"/>
    <w:rsid w:val="00DC3405"/>
    <w:rsid w:val="00DC4F82"/>
    <w:rsid w:val="00DC5AF1"/>
    <w:rsid w:val="00DC5D2B"/>
    <w:rsid w:val="00DC6E2C"/>
    <w:rsid w:val="00DC6EE8"/>
    <w:rsid w:val="00DC7146"/>
    <w:rsid w:val="00DD0842"/>
    <w:rsid w:val="00DD16BF"/>
    <w:rsid w:val="00DD2EC7"/>
    <w:rsid w:val="00DD4D45"/>
    <w:rsid w:val="00DD52A4"/>
    <w:rsid w:val="00DD65F3"/>
    <w:rsid w:val="00DD68DD"/>
    <w:rsid w:val="00DD6BDB"/>
    <w:rsid w:val="00DE2951"/>
    <w:rsid w:val="00DE3591"/>
    <w:rsid w:val="00DE3697"/>
    <w:rsid w:val="00DE3999"/>
    <w:rsid w:val="00DE45FC"/>
    <w:rsid w:val="00DE4D27"/>
    <w:rsid w:val="00DE5960"/>
    <w:rsid w:val="00DE59D4"/>
    <w:rsid w:val="00DE5A3D"/>
    <w:rsid w:val="00DE5A5D"/>
    <w:rsid w:val="00DE71D9"/>
    <w:rsid w:val="00DE7378"/>
    <w:rsid w:val="00DE7FA7"/>
    <w:rsid w:val="00DF0EC5"/>
    <w:rsid w:val="00DF132B"/>
    <w:rsid w:val="00DF1D5E"/>
    <w:rsid w:val="00DF1F22"/>
    <w:rsid w:val="00DF5FDB"/>
    <w:rsid w:val="00DF600B"/>
    <w:rsid w:val="00DF6FBF"/>
    <w:rsid w:val="00E01278"/>
    <w:rsid w:val="00E02215"/>
    <w:rsid w:val="00E0300F"/>
    <w:rsid w:val="00E038D1"/>
    <w:rsid w:val="00E03B00"/>
    <w:rsid w:val="00E04F90"/>
    <w:rsid w:val="00E130F5"/>
    <w:rsid w:val="00E137CB"/>
    <w:rsid w:val="00E138B9"/>
    <w:rsid w:val="00E146C9"/>
    <w:rsid w:val="00E16D42"/>
    <w:rsid w:val="00E175B3"/>
    <w:rsid w:val="00E177EE"/>
    <w:rsid w:val="00E204AE"/>
    <w:rsid w:val="00E20F8A"/>
    <w:rsid w:val="00E2280A"/>
    <w:rsid w:val="00E22C13"/>
    <w:rsid w:val="00E23068"/>
    <w:rsid w:val="00E245F7"/>
    <w:rsid w:val="00E24FE3"/>
    <w:rsid w:val="00E2565E"/>
    <w:rsid w:val="00E25B53"/>
    <w:rsid w:val="00E275A6"/>
    <w:rsid w:val="00E30B09"/>
    <w:rsid w:val="00E30EED"/>
    <w:rsid w:val="00E31041"/>
    <w:rsid w:val="00E31F48"/>
    <w:rsid w:val="00E324D8"/>
    <w:rsid w:val="00E33215"/>
    <w:rsid w:val="00E3359C"/>
    <w:rsid w:val="00E34583"/>
    <w:rsid w:val="00E3517D"/>
    <w:rsid w:val="00E378BC"/>
    <w:rsid w:val="00E378E2"/>
    <w:rsid w:val="00E403DD"/>
    <w:rsid w:val="00E40ECB"/>
    <w:rsid w:val="00E40F84"/>
    <w:rsid w:val="00E4212A"/>
    <w:rsid w:val="00E4298E"/>
    <w:rsid w:val="00E431AB"/>
    <w:rsid w:val="00E4332A"/>
    <w:rsid w:val="00E4338A"/>
    <w:rsid w:val="00E45B18"/>
    <w:rsid w:val="00E464A3"/>
    <w:rsid w:val="00E46B20"/>
    <w:rsid w:val="00E4700E"/>
    <w:rsid w:val="00E47780"/>
    <w:rsid w:val="00E47F12"/>
    <w:rsid w:val="00E502C5"/>
    <w:rsid w:val="00E51C6B"/>
    <w:rsid w:val="00E51E71"/>
    <w:rsid w:val="00E54E33"/>
    <w:rsid w:val="00E55553"/>
    <w:rsid w:val="00E5577C"/>
    <w:rsid w:val="00E55E3E"/>
    <w:rsid w:val="00E600E8"/>
    <w:rsid w:val="00E60873"/>
    <w:rsid w:val="00E62E8B"/>
    <w:rsid w:val="00E63920"/>
    <w:rsid w:val="00E64E07"/>
    <w:rsid w:val="00E656C6"/>
    <w:rsid w:val="00E65A89"/>
    <w:rsid w:val="00E67EA3"/>
    <w:rsid w:val="00E70AA6"/>
    <w:rsid w:val="00E70DAA"/>
    <w:rsid w:val="00E70DAE"/>
    <w:rsid w:val="00E71A01"/>
    <w:rsid w:val="00E73812"/>
    <w:rsid w:val="00E73DF0"/>
    <w:rsid w:val="00E74ACF"/>
    <w:rsid w:val="00E7544E"/>
    <w:rsid w:val="00E7593A"/>
    <w:rsid w:val="00E76016"/>
    <w:rsid w:val="00E804DC"/>
    <w:rsid w:val="00E80FD0"/>
    <w:rsid w:val="00E81B1F"/>
    <w:rsid w:val="00E82085"/>
    <w:rsid w:val="00E8382A"/>
    <w:rsid w:val="00E83B9A"/>
    <w:rsid w:val="00E83D23"/>
    <w:rsid w:val="00E83EBC"/>
    <w:rsid w:val="00E877EF"/>
    <w:rsid w:val="00E87A59"/>
    <w:rsid w:val="00E90B4E"/>
    <w:rsid w:val="00E93182"/>
    <w:rsid w:val="00E93817"/>
    <w:rsid w:val="00E94953"/>
    <w:rsid w:val="00E94E32"/>
    <w:rsid w:val="00E954D0"/>
    <w:rsid w:val="00E95CA2"/>
    <w:rsid w:val="00E963C5"/>
    <w:rsid w:val="00E9682D"/>
    <w:rsid w:val="00E96A7A"/>
    <w:rsid w:val="00E97220"/>
    <w:rsid w:val="00EA1D81"/>
    <w:rsid w:val="00EA1DE3"/>
    <w:rsid w:val="00EA2132"/>
    <w:rsid w:val="00EA2AF1"/>
    <w:rsid w:val="00EA3167"/>
    <w:rsid w:val="00EA4589"/>
    <w:rsid w:val="00EA581B"/>
    <w:rsid w:val="00EA656F"/>
    <w:rsid w:val="00EA76D3"/>
    <w:rsid w:val="00EB1105"/>
    <w:rsid w:val="00EB157F"/>
    <w:rsid w:val="00EB1DE0"/>
    <w:rsid w:val="00EB2099"/>
    <w:rsid w:val="00EB29EB"/>
    <w:rsid w:val="00EB4427"/>
    <w:rsid w:val="00EB47B2"/>
    <w:rsid w:val="00EB68A8"/>
    <w:rsid w:val="00EB74AB"/>
    <w:rsid w:val="00EB76C8"/>
    <w:rsid w:val="00EC28A3"/>
    <w:rsid w:val="00EC523C"/>
    <w:rsid w:val="00EC5974"/>
    <w:rsid w:val="00EC5B2F"/>
    <w:rsid w:val="00EC6421"/>
    <w:rsid w:val="00EC6AFB"/>
    <w:rsid w:val="00EC7C55"/>
    <w:rsid w:val="00ED1F9D"/>
    <w:rsid w:val="00ED2020"/>
    <w:rsid w:val="00ED2C02"/>
    <w:rsid w:val="00ED48C8"/>
    <w:rsid w:val="00ED493D"/>
    <w:rsid w:val="00ED7AA6"/>
    <w:rsid w:val="00ED7F12"/>
    <w:rsid w:val="00EE0389"/>
    <w:rsid w:val="00EE0472"/>
    <w:rsid w:val="00EE29D6"/>
    <w:rsid w:val="00EE3D0A"/>
    <w:rsid w:val="00EE3DC1"/>
    <w:rsid w:val="00EE3FBE"/>
    <w:rsid w:val="00EE49E8"/>
    <w:rsid w:val="00EE5269"/>
    <w:rsid w:val="00EE53CC"/>
    <w:rsid w:val="00EE657B"/>
    <w:rsid w:val="00EF0EEC"/>
    <w:rsid w:val="00EF1206"/>
    <w:rsid w:val="00EF2973"/>
    <w:rsid w:val="00EF2F4D"/>
    <w:rsid w:val="00EF3651"/>
    <w:rsid w:val="00EF42A4"/>
    <w:rsid w:val="00EF473F"/>
    <w:rsid w:val="00EF47BF"/>
    <w:rsid w:val="00EF4A4E"/>
    <w:rsid w:val="00EF4C33"/>
    <w:rsid w:val="00EF51C7"/>
    <w:rsid w:val="00EF60EC"/>
    <w:rsid w:val="00EF6D7F"/>
    <w:rsid w:val="00EF79DA"/>
    <w:rsid w:val="00F01416"/>
    <w:rsid w:val="00F02390"/>
    <w:rsid w:val="00F02C9C"/>
    <w:rsid w:val="00F02F86"/>
    <w:rsid w:val="00F0336A"/>
    <w:rsid w:val="00F038FC"/>
    <w:rsid w:val="00F050B1"/>
    <w:rsid w:val="00F062C9"/>
    <w:rsid w:val="00F071F8"/>
    <w:rsid w:val="00F10024"/>
    <w:rsid w:val="00F10105"/>
    <w:rsid w:val="00F1044A"/>
    <w:rsid w:val="00F11E0A"/>
    <w:rsid w:val="00F127A5"/>
    <w:rsid w:val="00F12AF4"/>
    <w:rsid w:val="00F1320E"/>
    <w:rsid w:val="00F14B12"/>
    <w:rsid w:val="00F14C15"/>
    <w:rsid w:val="00F167F7"/>
    <w:rsid w:val="00F168B9"/>
    <w:rsid w:val="00F168BA"/>
    <w:rsid w:val="00F16C8D"/>
    <w:rsid w:val="00F17BB4"/>
    <w:rsid w:val="00F20876"/>
    <w:rsid w:val="00F20B84"/>
    <w:rsid w:val="00F213B6"/>
    <w:rsid w:val="00F21938"/>
    <w:rsid w:val="00F21F2B"/>
    <w:rsid w:val="00F22151"/>
    <w:rsid w:val="00F229CF"/>
    <w:rsid w:val="00F2327A"/>
    <w:rsid w:val="00F23BC6"/>
    <w:rsid w:val="00F252BB"/>
    <w:rsid w:val="00F27000"/>
    <w:rsid w:val="00F27707"/>
    <w:rsid w:val="00F277DE"/>
    <w:rsid w:val="00F27BFC"/>
    <w:rsid w:val="00F30399"/>
    <w:rsid w:val="00F30BAE"/>
    <w:rsid w:val="00F31398"/>
    <w:rsid w:val="00F32267"/>
    <w:rsid w:val="00F32312"/>
    <w:rsid w:val="00F3347C"/>
    <w:rsid w:val="00F33561"/>
    <w:rsid w:val="00F34166"/>
    <w:rsid w:val="00F347A2"/>
    <w:rsid w:val="00F349CE"/>
    <w:rsid w:val="00F34FCE"/>
    <w:rsid w:val="00F35118"/>
    <w:rsid w:val="00F3516E"/>
    <w:rsid w:val="00F351C8"/>
    <w:rsid w:val="00F35569"/>
    <w:rsid w:val="00F35EDD"/>
    <w:rsid w:val="00F3666A"/>
    <w:rsid w:val="00F36815"/>
    <w:rsid w:val="00F40C67"/>
    <w:rsid w:val="00F40D54"/>
    <w:rsid w:val="00F414F2"/>
    <w:rsid w:val="00F42CCD"/>
    <w:rsid w:val="00F43FAB"/>
    <w:rsid w:val="00F44FAB"/>
    <w:rsid w:val="00F46010"/>
    <w:rsid w:val="00F46102"/>
    <w:rsid w:val="00F46E7A"/>
    <w:rsid w:val="00F473B0"/>
    <w:rsid w:val="00F51934"/>
    <w:rsid w:val="00F53087"/>
    <w:rsid w:val="00F55E98"/>
    <w:rsid w:val="00F565C0"/>
    <w:rsid w:val="00F56A41"/>
    <w:rsid w:val="00F56A59"/>
    <w:rsid w:val="00F6127C"/>
    <w:rsid w:val="00F644AD"/>
    <w:rsid w:val="00F6488E"/>
    <w:rsid w:val="00F649F9"/>
    <w:rsid w:val="00F65C3C"/>
    <w:rsid w:val="00F6604D"/>
    <w:rsid w:val="00F66282"/>
    <w:rsid w:val="00F66EAD"/>
    <w:rsid w:val="00F66FEA"/>
    <w:rsid w:val="00F673DF"/>
    <w:rsid w:val="00F67DB9"/>
    <w:rsid w:val="00F72D32"/>
    <w:rsid w:val="00F74360"/>
    <w:rsid w:val="00F747BF"/>
    <w:rsid w:val="00F74928"/>
    <w:rsid w:val="00F74DCD"/>
    <w:rsid w:val="00F7607E"/>
    <w:rsid w:val="00F763EC"/>
    <w:rsid w:val="00F77455"/>
    <w:rsid w:val="00F7755A"/>
    <w:rsid w:val="00F8184E"/>
    <w:rsid w:val="00F81E67"/>
    <w:rsid w:val="00F82A43"/>
    <w:rsid w:val="00F83BBF"/>
    <w:rsid w:val="00F84157"/>
    <w:rsid w:val="00F853AA"/>
    <w:rsid w:val="00F85862"/>
    <w:rsid w:val="00F86DC8"/>
    <w:rsid w:val="00F874E5"/>
    <w:rsid w:val="00F87CF3"/>
    <w:rsid w:val="00F903F1"/>
    <w:rsid w:val="00F90554"/>
    <w:rsid w:val="00F90E87"/>
    <w:rsid w:val="00F91599"/>
    <w:rsid w:val="00F91CCC"/>
    <w:rsid w:val="00F923A2"/>
    <w:rsid w:val="00F9244B"/>
    <w:rsid w:val="00F9297A"/>
    <w:rsid w:val="00F93A67"/>
    <w:rsid w:val="00F93CFA"/>
    <w:rsid w:val="00F942E5"/>
    <w:rsid w:val="00F95408"/>
    <w:rsid w:val="00F96420"/>
    <w:rsid w:val="00F96C95"/>
    <w:rsid w:val="00FA048D"/>
    <w:rsid w:val="00FA0F91"/>
    <w:rsid w:val="00FA15F8"/>
    <w:rsid w:val="00FA2147"/>
    <w:rsid w:val="00FA23F4"/>
    <w:rsid w:val="00FA3030"/>
    <w:rsid w:val="00FA52EE"/>
    <w:rsid w:val="00FA56D1"/>
    <w:rsid w:val="00FA58FB"/>
    <w:rsid w:val="00FA5B6B"/>
    <w:rsid w:val="00FA5D71"/>
    <w:rsid w:val="00FB0BE7"/>
    <w:rsid w:val="00FB13CD"/>
    <w:rsid w:val="00FB26B6"/>
    <w:rsid w:val="00FB28DA"/>
    <w:rsid w:val="00FB4B82"/>
    <w:rsid w:val="00FB5861"/>
    <w:rsid w:val="00FB7773"/>
    <w:rsid w:val="00FB79F0"/>
    <w:rsid w:val="00FB7B55"/>
    <w:rsid w:val="00FC28D9"/>
    <w:rsid w:val="00FC64A4"/>
    <w:rsid w:val="00FC76C6"/>
    <w:rsid w:val="00FD0E6A"/>
    <w:rsid w:val="00FD12D9"/>
    <w:rsid w:val="00FD2012"/>
    <w:rsid w:val="00FD2053"/>
    <w:rsid w:val="00FD37B5"/>
    <w:rsid w:val="00FD4E04"/>
    <w:rsid w:val="00FD5353"/>
    <w:rsid w:val="00FD658A"/>
    <w:rsid w:val="00FD67CD"/>
    <w:rsid w:val="00FD6E66"/>
    <w:rsid w:val="00FD7B46"/>
    <w:rsid w:val="00FE1107"/>
    <w:rsid w:val="00FE27AC"/>
    <w:rsid w:val="00FE2D9B"/>
    <w:rsid w:val="00FE35A5"/>
    <w:rsid w:val="00FE4542"/>
    <w:rsid w:val="00FE522F"/>
    <w:rsid w:val="00FE779D"/>
    <w:rsid w:val="00FF054A"/>
    <w:rsid w:val="00FF0AC0"/>
    <w:rsid w:val="00FF1222"/>
    <w:rsid w:val="00FF1D14"/>
    <w:rsid w:val="00FF24B9"/>
    <w:rsid w:val="00FF366A"/>
    <w:rsid w:val="00FF3BC8"/>
    <w:rsid w:val="00FF51BC"/>
    <w:rsid w:val="00FF5C41"/>
    <w:rsid w:val="00FF6223"/>
    <w:rsid w:val="00FF6EF8"/>
    <w:rsid w:val="00FF7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B99B4"/>
  <w14:defaultImageDpi w14:val="300"/>
  <w15:docId w15:val="{ACCBDC2A-1C55-49CF-BF9A-5B7D6917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Theme="minorEastAsia" w:hAnsi="Source Sans Pro"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B84"/>
    <w:pPr>
      <w:contextualSpacing/>
    </w:pPr>
    <w:rPr>
      <w:rFonts w:ascii="Times New Roman" w:hAnsi="Times New Roman"/>
    </w:rPr>
  </w:style>
  <w:style w:type="paragraph" w:styleId="Heading1">
    <w:name w:val="heading 1"/>
    <w:basedOn w:val="Normal"/>
    <w:next w:val="Normal"/>
    <w:link w:val="Heading1Char"/>
    <w:uiPriority w:val="9"/>
    <w:qFormat/>
    <w:rsid w:val="00F050B1"/>
    <w:pPr>
      <w:keepNext/>
      <w:keepLines/>
      <w:spacing w:after="480"/>
      <w:outlineLvl w:val="0"/>
    </w:pPr>
    <w:rPr>
      <w:rFonts w:eastAsiaTheme="majorEastAsia" w:cstheme="majorBidi"/>
      <w:b/>
      <w:bCs/>
      <w:szCs w:val="32"/>
    </w:rPr>
  </w:style>
  <w:style w:type="paragraph" w:styleId="Heading2">
    <w:name w:val="heading 2"/>
    <w:basedOn w:val="TOC2"/>
    <w:next w:val="Normal"/>
    <w:link w:val="Heading2Char"/>
    <w:uiPriority w:val="9"/>
    <w:unhideWhenUsed/>
    <w:qFormat/>
    <w:rsid w:val="00F050B1"/>
    <w:pPr>
      <w:keepNext/>
      <w:spacing w:before="480" w:after="360"/>
      <w:outlineLvl w:val="1"/>
    </w:pPr>
  </w:style>
  <w:style w:type="paragraph" w:styleId="Heading3">
    <w:name w:val="heading 3"/>
    <w:basedOn w:val="TOC3"/>
    <w:next w:val="Normal"/>
    <w:link w:val="Heading3Char"/>
    <w:uiPriority w:val="9"/>
    <w:unhideWhenUsed/>
    <w:qFormat/>
    <w:rsid w:val="00F050B1"/>
    <w:pPr>
      <w:keepNext/>
      <w:spacing w:before="480" w:after="160"/>
      <w:ind w:left="0"/>
      <w:outlineLvl w:val="2"/>
    </w:pPr>
    <w:rPr>
      <w:b/>
      <w:i/>
    </w:rPr>
  </w:style>
  <w:style w:type="paragraph" w:styleId="Heading4">
    <w:name w:val="heading 4"/>
    <w:basedOn w:val="Normal"/>
    <w:next w:val="Normal"/>
    <w:link w:val="Heading4Char"/>
    <w:uiPriority w:val="9"/>
    <w:semiHidden/>
    <w:unhideWhenUsed/>
    <w:qFormat/>
    <w:rsid w:val="006746A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Authorities">
    <w:name w:val="table of authorities"/>
    <w:basedOn w:val="Normal"/>
    <w:next w:val="Normal"/>
    <w:uiPriority w:val="99"/>
    <w:rsid w:val="00DE5960"/>
    <w:pPr>
      <w:spacing w:before="120" w:after="120"/>
      <w:ind w:left="240" w:hanging="240"/>
    </w:pPr>
    <w:rPr>
      <w:rFonts w:eastAsia="Times New Roman" w:cs="Times New Roman"/>
      <w:szCs w:val="20"/>
    </w:rPr>
  </w:style>
  <w:style w:type="paragraph" w:styleId="TOAHeading">
    <w:name w:val="toa heading"/>
    <w:basedOn w:val="Normal"/>
    <w:next w:val="Normal"/>
    <w:uiPriority w:val="99"/>
    <w:qFormat/>
    <w:rsid w:val="00DE5960"/>
    <w:pPr>
      <w:spacing w:before="240" w:after="120"/>
      <w:jc w:val="center"/>
    </w:pPr>
    <w:rPr>
      <w:rFonts w:eastAsia="Times New Roman" w:cs="Times New Roman"/>
      <w:smallCaps/>
      <w:szCs w:val="22"/>
      <w:u w:val="single"/>
    </w:rPr>
  </w:style>
  <w:style w:type="character" w:customStyle="1" w:styleId="Heading1Char">
    <w:name w:val="Heading 1 Char"/>
    <w:basedOn w:val="DefaultParagraphFont"/>
    <w:link w:val="Heading1"/>
    <w:uiPriority w:val="9"/>
    <w:rsid w:val="00F050B1"/>
    <w:rPr>
      <w:rFonts w:ascii="Times New Roman" w:eastAsiaTheme="majorEastAsia" w:hAnsi="Times New Roman" w:cstheme="majorBidi"/>
      <w:b/>
      <w:bCs/>
      <w:szCs w:val="32"/>
    </w:rPr>
  </w:style>
  <w:style w:type="paragraph" w:styleId="FootnoteText">
    <w:name w:val="footnote text"/>
    <w:basedOn w:val="Normal"/>
    <w:link w:val="FootnoteTextChar"/>
    <w:uiPriority w:val="99"/>
    <w:unhideWhenUsed/>
    <w:rsid w:val="00AE50AD"/>
    <w:rPr>
      <w:sz w:val="22"/>
    </w:rPr>
  </w:style>
  <w:style w:type="character" w:customStyle="1" w:styleId="FootnoteTextChar">
    <w:name w:val="Footnote Text Char"/>
    <w:basedOn w:val="DefaultParagraphFont"/>
    <w:link w:val="FootnoteText"/>
    <w:uiPriority w:val="99"/>
    <w:rsid w:val="00AE50AD"/>
    <w:rPr>
      <w:rFonts w:ascii="Times New Roman" w:hAnsi="Times New Roman"/>
      <w:sz w:val="22"/>
    </w:rPr>
  </w:style>
  <w:style w:type="character" w:styleId="FootnoteReference">
    <w:name w:val="footnote reference"/>
    <w:basedOn w:val="DefaultParagraphFont"/>
    <w:uiPriority w:val="99"/>
    <w:unhideWhenUsed/>
    <w:rsid w:val="009E5099"/>
    <w:rPr>
      <w:vertAlign w:val="superscript"/>
    </w:rPr>
  </w:style>
  <w:style w:type="character" w:styleId="CommentReference">
    <w:name w:val="annotation reference"/>
    <w:basedOn w:val="DefaultParagraphFont"/>
    <w:uiPriority w:val="99"/>
    <w:semiHidden/>
    <w:unhideWhenUsed/>
    <w:rsid w:val="009E5099"/>
    <w:rPr>
      <w:sz w:val="18"/>
      <w:szCs w:val="18"/>
    </w:rPr>
  </w:style>
  <w:style w:type="paragraph" w:styleId="CommentText">
    <w:name w:val="annotation text"/>
    <w:basedOn w:val="Normal"/>
    <w:link w:val="CommentTextChar"/>
    <w:uiPriority w:val="99"/>
    <w:unhideWhenUsed/>
    <w:rsid w:val="009E5099"/>
  </w:style>
  <w:style w:type="character" w:customStyle="1" w:styleId="CommentTextChar">
    <w:name w:val="Comment Text Char"/>
    <w:basedOn w:val="DefaultParagraphFont"/>
    <w:link w:val="CommentText"/>
    <w:uiPriority w:val="99"/>
    <w:rsid w:val="009E5099"/>
  </w:style>
  <w:style w:type="paragraph" w:styleId="BalloonText">
    <w:name w:val="Balloon Text"/>
    <w:basedOn w:val="Normal"/>
    <w:link w:val="BalloonTextChar"/>
    <w:uiPriority w:val="99"/>
    <w:semiHidden/>
    <w:unhideWhenUsed/>
    <w:rsid w:val="002D7127"/>
    <w:rPr>
      <w:rFonts w:cs="Times New Roman"/>
      <w:sz w:val="18"/>
      <w:szCs w:val="18"/>
    </w:rPr>
  </w:style>
  <w:style w:type="character" w:customStyle="1" w:styleId="BalloonTextChar">
    <w:name w:val="Balloon Text Char"/>
    <w:basedOn w:val="DefaultParagraphFont"/>
    <w:link w:val="BalloonText"/>
    <w:uiPriority w:val="99"/>
    <w:semiHidden/>
    <w:rsid w:val="002D7127"/>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F600B"/>
    <w:rPr>
      <w:b/>
      <w:bCs/>
      <w:sz w:val="20"/>
      <w:szCs w:val="20"/>
    </w:rPr>
  </w:style>
  <w:style w:type="character" w:customStyle="1" w:styleId="CommentSubjectChar">
    <w:name w:val="Comment Subject Char"/>
    <w:basedOn w:val="CommentTextChar"/>
    <w:link w:val="CommentSubject"/>
    <w:uiPriority w:val="99"/>
    <w:semiHidden/>
    <w:rsid w:val="00DF600B"/>
    <w:rPr>
      <w:b/>
      <w:bCs/>
      <w:sz w:val="20"/>
      <w:szCs w:val="20"/>
    </w:rPr>
  </w:style>
  <w:style w:type="paragraph" w:customStyle="1" w:styleId="Footnotes">
    <w:name w:val="Footnotes"/>
    <w:basedOn w:val="FootnoteText"/>
    <w:qFormat/>
    <w:rsid w:val="00A9083C"/>
    <w:rPr>
      <w:rFonts w:cs="Times New Roman"/>
      <w:szCs w:val="22"/>
    </w:rPr>
  </w:style>
  <w:style w:type="paragraph" w:styleId="ListParagraph">
    <w:name w:val="List Paragraph"/>
    <w:basedOn w:val="Normal"/>
    <w:uiPriority w:val="34"/>
    <w:qFormat/>
    <w:rsid w:val="002E73D4"/>
    <w:pPr>
      <w:ind w:left="720"/>
    </w:pPr>
  </w:style>
  <w:style w:type="character" w:styleId="Emphasis">
    <w:name w:val="Emphasis"/>
    <w:basedOn w:val="DefaultParagraphFont"/>
    <w:uiPriority w:val="20"/>
    <w:qFormat/>
    <w:rsid w:val="00EA2132"/>
    <w:rPr>
      <w:i/>
      <w:iCs/>
    </w:rPr>
  </w:style>
  <w:style w:type="character" w:customStyle="1" w:styleId="apple-converted-space">
    <w:name w:val="apple-converted-space"/>
    <w:basedOn w:val="DefaultParagraphFont"/>
    <w:rsid w:val="00EA2132"/>
  </w:style>
  <w:style w:type="character" w:customStyle="1" w:styleId="costarpage">
    <w:name w:val="co_starpage"/>
    <w:basedOn w:val="DefaultParagraphFont"/>
    <w:rsid w:val="00354AB4"/>
  </w:style>
  <w:style w:type="paragraph" w:styleId="NormalWeb">
    <w:name w:val="Normal (Web)"/>
    <w:basedOn w:val="Normal"/>
    <w:uiPriority w:val="99"/>
    <w:unhideWhenUsed/>
    <w:rsid w:val="003C7D87"/>
    <w:pPr>
      <w:spacing w:before="100" w:beforeAutospacing="1" w:after="100" w:afterAutospacing="1"/>
    </w:pPr>
    <w:rPr>
      <w:rFonts w:eastAsia="Times New Roman" w:cs="Times New Roman"/>
    </w:rPr>
  </w:style>
  <w:style w:type="character" w:styleId="Hyperlink">
    <w:name w:val="Hyperlink"/>
    <w:basedOn w:val="DefaultParagraphFont"/>
    <w:uiPriority w:val="99"/>
    <w:semiHidden/>
    <w:unhideWhenUsed/>
    <w:rsid w:val="00A237F6"/>
    <w:rPr>
      <w:color w:val="0000FF"/>
      <w:u w:val="single"/>
    </w:rPr>
  </w:style>
  <w:style w:type="paragraph" w:styleId="TOC2">
    <w:name w:val="toc 2"/>
    <w:basedOn w:val="Normal"/>
    <w:next w:val="Normal"/>
    <w:autoRedefine/>
    <w:uiPriority w:val="39"/>
    <w:unhideWhenUsed/>
    <w:rsid w:val="0091068D"/>
    <w:pPr>
      <w:spacing w:before="240"/>
    </w:pPr>
    <w:rPr>
      <w:b/>
      <w:bCs/>
      <w:szCs w:val="20"/>
    </w:rPr>
  </w:style>
  <w:style w:type="paragraph" w:styleId="TOC1">
    <w:name w:val="toc 1"/>
    <w:basedOn w:val="Normal"/>
    <w:next w:val="Normal"/>
    <w:autoRedefine/>
    <w:uiPriority w:val="39"/>
    <w:unhideWhenUsed/>
    <w:rsid w:val="007359E4"/>
    <w:pPr>
      <w:tabs>
        <w:tab w:val="right" w:leader="dot" w:pos="8630"/>
      </w:tabs>
      <w:spacing w:before="480" w:after="240"/>
    </w:pPr>
    <w:rPr>
      <w:rFonts w:ascii="Times Bold" w:hAnsi="Times Bold"/>
      <w:b/>
      <w:bCs/>
      <w:caps/>
      <w:spacing w:val="-4"/>
    </w:rPr>
  </w:style>
  <w:style w:type="paragraph" w:styleId="TOC3">
    <w:name w:val="toc 3"/>
    <w:basedOn w:val="Normal"/>
    <w:next w:val="Normal"/>
    <w:autoRedefine/>
    <w:uiPriority w:val="39"/>
    <w:unhideWhenUsed/>
    <w:rsid w:val="00AA7DC5"/>
    <w:pPr>
      <w:tabs>
        <w:tab w:val="right" w:leader="dot" w:pos="8630"/>
      </w:tabs>
      <w:ind w:left="720" w:hanging="360"/>
    </w:pPr>
    <w:rPr>
      <w:noProof/>
    </w:rPr>
  </w:style>
  <w:style w:type="paragraph" w:styleId="TOC4">
    <w:name w:val="toc 4"/>
    <w:basedOn w:val="Normal"/>
    <w:next w:val="Normal"/>
    <w:autoRedefine/>
    <w:uiPriority w:val="39"/>
    <w:unhideWhenUsed/>
    <w:rsid w:val="009B2917"/>
    <w:pPr>
      <w:ind w:left="480"/>
    </w:pPr>
    <w:rPr>
      <w:rFonts w:asciiTheme="minorHAnsi" w:hAnsiTheme="minorHAnsi"/>
      <w:sz w:val="20"/>
      <w:szCs w:val="20"/>
    </w:rPr>
  </w:style>
  <w:style w:type="paragraph" w:styleId="TOC5">
    <w:name w:val="toc 5"/>
    <w:basedOn w:val="Normal"/>
    <w:next w:val="Normal"/>
    <w:autoRedefine/>
    <w:uiPriority w:val="39"/>
    <w:unhideWhenUsed/>
    <w:rsid w:val="009B2917"/>
    <w:pPr>
      <w:ind w:left="720"/>
    </w:pPr>
    <w:rPr>
      <w:rFonts w:asciiTheme="minorHAnsi" w:hAnsiTheme="minorHAnsi"/>
      <w:sz w:val="20"/>
      <w:szCs w:val="20"/>
    </w:rPr>
  </w:style>
  <w:style w:type="paragraph" w:styleId="TOC6">
    <w:name w:val="toc 6"/>
    <w:basedOn w:val="Normal"/>
    <w:next w:val="Normal"/>
    <w:autoRedefine/>
    <w:uiPriority w:val="39"/>
    <w:unhideWhenUsed/>
    <w:rsid w:val="009B2917"/>
    <w:pPr>
      <w:ind w:left="960"/>
    </w:pPr>
    <w:rPr>
      <w:rFonts w:asciiTheme="minorHAnsi" w:hAnsiTheme="minorHAnsi"/>
      <w:sz w:val="20"/>
      <w:szCs w:val="20"/>
    </w:rPr>
  </w:style>
  <w:style w:type="paragraph" w:styleId="TOC7">
    <w:name w:val="toc 7"/>
    <w:basedOn w:val="Normal"/>
    <w:next w:val="Normal"/>
    <w:autoRedefine/>
    <w:uiPriority w:val="39"/>
    <w:unhideWhenUsed/>
    <w:rsid w:val="009B2917"/>
    <w:pPr>
      <w:ind w:left="1200"/>
    </w:pPr>
    <w:rPr>
      <w:rFonts w:asciiTheme="minorHAnsi" w:hAnsiTheme="minorHAnsi"/>
      <w:sz w:val="20"/>
      <w:szCs w:val="20"/>
    </w:rPr>
  </w:style>
  <w:style w:type="paragraph" w:styleId="TOC8">
    <w:name w:val="toc 8"/>
    <w:basedOn w:val="Normal"/>
    <w:next w:val="Normal"/>
    <w:autoRedefine/>
    <w:uiPriority w:val="39"/>
    <w:unhideWhenUsed/>
    <w:rsid w:val="009B2917"/>
    <w:pPr>
      <w:ind w:left="1440"/>
    </w:pPr>
    <w:rPr>
      <w:rFonts w:asciiTheme="minorHAnsi" w:hAnsiTheme="minorHAnsi"/>
      <w:sz w:val="20"/>
      <w:szCs w:val="20"/>
    </w:rPr>
  </w:style>
  <w:style w:type="paragraph" w:styleId="TOC9">
    <w:name w:val="toc 9"/>
    <w:basedOn w:val="Normal"/>
    <w:next w:val="Normal"/>
    <w:autoRedefine/>
    <w:uiPriority w:val="39"/>
    <w:unhideWhenUsed/>
    <w:rsid w:val="009B2917"/>
    <w:pPr>
      <w:ind w:left="1680"/>
    </w:pPr>
    <w:rPr>
      <w:rFonts w:asciiTheme="minorHAnsi" w:hAnsiTheme="minorHAnsi"/>
      <w:sz w:val="20"/>
      <w:szCs w:val="20"/>
    </w:rPr>
  </w:style>
  <w:style w:type="character" w:customStyle="1" w:styleId="Heading3Char">
    <w:name w:val="Heading 3 Char"/>
    <w:basedOn w:val="DefaultParagraphFont"/>
    <w:link w:val="Heading3"/>
    <w:uiPriority w:val="9"/>
    <w:rsid w:val="00F050B1"/>
    <w:rPr>
      <w:rFonts w:ascii="Times New Roman" w:hAnsi="Times New Roman"/>
      <w:b/>
      <w:i/>
      <w:noProof/>
    </w:rPr>
  </w:style>
  <w:style w:type="character" w:customStyle="1" w:styleId="Heading2Char">
    <w:name w:val="Heading 2 Char"/>
    <w:basedOn w:val="DefaultParagraphFont"/>
    <w:link w:val="Heading2"/>
    <w:uiPriority w:val="9"/>
    <w:rsid w:val="00F050B1"/>
    <w:rPr>
      <w:rFonts w:ascii="Times New Roman" w:hAnsi="Times New Roman"/>
      <w:b/>
      <w:bCs/>
      <w:szCs w:val="20"/>
    </w:rPr>
  </w:style>
  <w:style w:type="character" w:customStyle="1" w:styleId="Heading4Char">
    <w:name w:val="Heading 4 Char"/>
    <w:basedOn w:val="DefaultParagraphFont"/>
    <w:link w:val="Heading4"/>
    <w:uiPriority w:val="9"/>
    <w:semiHidden/>
    <w:rsid w:val="006746A2"/>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5347FC"/>
  </w:style>
  <w:style w:type="paragraph" w:styleId="Footer">
    <w:name w:val="footer"/>
    <w:basedOn w:val="Normal"/>
    <w:link w:val="FooterChar"/>
    <w:uiPriority w:val="99"/>
    <w:unhideWhenUsed/>
    <w:rsid w:val="00FD2012"/>
    <w:pPr>
      <w:tabs>
        <w:tab w:val="center" w:pos="4320"/>
        <w:tab w:val="right" w:pos="8640"/>
      </w:tabs>
    </w:pPr>
  </w:style>
  <w:style w:type="character" w:customStyle="1" w:styleId="FooterChar">
    <w:name w:val="Footer Char"/>
    <w:basedOn w:val="DefaultParagraphFont"/>
    <w:link w:val="Footer"/>
    <w:uiPriority w:val="99"/>
    <w:rsid w:val="00FD2012"/>
  </w:style>
  <w:style w:type="character" w:styleId="PageNumber">
    <w:name w:val="page number"/>
    <w:basedOn w:val="DefaultParagraphFont"/>
    <w:uiPriority w:val="99"/>
    <w:semiHidden/>
    <w:unhideWhenUsed/>
    <w:rsid w:val="00FD2012"/>
  </w:style>
  <w:style w:type="paragraph" w:styleId="Header">
    <w:name w:val="header"/>
    <w:basedOn w:val="Normal"/>
    <w:link w:val="HeaderChar"/>
    <w:uiPriority w:val="99"/>
    <w:unhideWhenUsed/>
    <w:rsid w:val="00FD2012"/>
    <w:pPr>
      <w:tabs>
        <w:tab w:val="center" w:pos="4320"/>
        <w:tab w:val="right" w:pos="8640"/>
      </w:tabs>
    </w:pPr>
  </w:style>
  <w:style w:type="character" w:customStyle="1" w:styleId="HeaderChar">
    <w:name w:val="Header Char"/>
    <w:basedOn w:val="DefaultParagraphFont"/>
    <w:link w:val="Header"/>
    <w:uiPriority w:val="99"/>
    <w:rsid w:val="00FD2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6744">
      <w:bodyDiv w:val="1"/>
      <w:marLeft w:val="0"/>
      <w:marRight w:val="0"/>
      <w:marTop w:val="0"/>
      <w:marBottom w:val="0"/>
      <w:divBdr>
        <w:top w:val="none" w:sz="0" w:space="0" w:color="auto"/>
        <w:left w:val="none" w:sz="0" w:space="0" w:color="auto"/>
        <w:bottom w:val="none" w:sz="0" w:space="0" w:color="auto"/>
        <w:right w:val="none" w:sz="0" w:space="0" w:color="auto"/>
      </w:divBdr>
    </w:div>
    <w:div w:id="23751630">
      <w:bodyDiv w:val="1"/>
      <w:marLeft w:val="0"/>
      <w:marRight w:val="0"/>
      <w:marTop w:val="0"/>
      <w:marBottom w:val="0"/>
      <w:divBdr>
        <w:top w:val="none" w:sz="0" w:space="0" w:color="auto"/>
        <w:left w:val="none" w:sz="0" w:space="0" w:color="auto"/>
        <w:bottom w:val="none" w:sz="0" w:space="0" w:color="auto"/>
        <w:right w:val="none" w:sz="0" w:space="0" w:color="auto"/>
      </w:divBdr>
    </w:div>
    <w:div w:id="52120835">
      <w:bodyDiv w:val="1"/>
      <w:marLeft w:val="0"/>
      <w:marRight w:val="0"/>
      <w:marTop w:val="0"/>
      <w:marBottom w:val="0"/>
      <w:divBdr>
        <w:top w:val="none" w:sz="0" w:space="0" w:color="auto"/>
        <w:left w:val="none" w:sz="0" w:space="0" w:color="auto"/>
        <w:bottom w:val="none" w:sz="0" w:space="0" w:color="auto"/>
        <w:right w:val="none" w:sz="0" w:space="0" w:color="auto"/>
      </w:divBdr>
      <w:divsChild>
        <w:div w:id="1190215868">
          <w:marLeft w:val="0"/>
          <w:marRight w:val="0"/>
          <w:marTop w:val="0"/>
          <w:marBottom w:val="0"/>
          <w:divBdr>
            <w:top w:val="none" w:sz="0" w:space="0" w:color="auto"/>
            <w:left w:val="none" w:sz="0" w:space="0" w:color="auto"/>
            <w:bottom w:val="none" w:sz="0" w:space="0" w:color="auto"/>
            <w:right w:val="none" w:sz="0" w:space="0" w:color="auto"/>
          </w:divBdr>
          <w:divsChild>
            <w:div w:id="660234445">
              <w:marLeft w:val="0"/>
              <w:marRight w:val="0"/>
              <w:marTop w:val="0"/>
              <w:marBottom w:val="0"/>
              <w:divBdr>
                <w:top w:val="none" w:sz="0" w:space="0" w:color="auto"/>
                <w:left w:val="none" w:sz="0" w:space="0" w:color="auto"/>
                <w:bottom w:val="none" w:sz="0" w:space="0" w:color="auto"/>
                <w:right w:val="none" w:sz="0" w:space="0" w:color="auto"/>
              </w:divBdr>
              <w:divsChild>
                <w:div w:id="155536143">
                  <w:marLeft w:val="0"/>
                  <w:marRight w:val="0"/>
                  <w:marTop w:val="0"/>
                  <w:marBottom w:val="0"/>
                  <w:divBdr>
                    <w:top w:val="none" w:sz="0" w:space="0" w:color="auto"/>
                    <w:left w:val="none" w:sz="0" w:space="0" w:color="auto"/>
                    <w:bottom w:val="none" w:sz="0" w:space="0" w:color="auto"/>
                    <w:right w:val="none" w:sz="0" w:space="0" w:color="auto"/>
                  </w:divBdr>
                  <w:divsChild>
                    <w:div w:id="16120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84367">
      <w:bodyDiv w:val="1"/>
      <w:marLeft w:val="0"/>
      <w:marRight w:val="0"/>
      <w:marTop w:val="0"/>
      <w:marBottom w:val="0"/>
      <w:divBdr>
        <w:top w:val="none" w:sz="0" w:space="0" w:color="auto"/>
        <w:left w:val="none" w:sz="0" w:space="0" w:color="auto"/>
        <w:bottom w:val="none" w:sz="0" w:space="0" w:color="auto"/>
        <w:right w:val="none" w:sz="0" w:space="0" w:color="auto"/>
      </w:divBdr>
      <w:divsChild>
        <w:div w:id="1014266668">
          <w:marLeft w:val="0"/>
          <w:marRight w:val="0"/>
          <w:marTop w:val="0"/>
          <w:marBottom w:val="0"/>
          <w:divBdr>
            <w:top w:val="none" w:sz="0" w:space="0" w:color="auto"/>
            <w:left w:val="none" w:sz="0" w:space="0" w:color="auto"/>
            <w:bottom w:val="none" w:sz="0" w:space="0" w:color="auto"/>
            <w:right w:val="none" w:sz="0" w:space="0" w:color="auto"/>
          </w:divBdr>
          <w:divsChild>
            <w:div w:id="142738834">
              <w:marLeft w:val="0"/>
              <w:marRight w:val="0"/>
              <w:marTop w:val="0"/>
              <w:marBottom w:val="0"/>
              <w:divBdr>
                <w:top w:val="none" w:sz="0" w:space="0" w:color="auto"/>
                <w:left w:val="none" w:sz="0" w:space="0" w:color="auto"/>
                <w:bottom w:val="none" w:sz="0" w:space="0" w:color="auto"/>
                <w:right w:val="none" w:sz="0" w:space="0" w:color="auto"/>
              </w:divBdr>
              <w:divsChild>
                <w:div w:id="2047870713">
                  <w:marLeft w:val="0"/>
                  <w:marRight w:val="0"/>
                  <w:marTop w:val="0"/>
                  <w:marBottom w:val="0"/>
                  <w:divBdr>
                    <w:top w:val="none" w:sz="0" w:space="0" w:color="auto"/>
                    <w:left w:val="none" w:sz="0" w:space="0" w:color="auto"/>
                    <w:bottom w:val="none" w:sz="0" w:space="0" w:color="auto"/>
                    <w:right w:val="none" w:sz="0" w:space="0" w:color="auto"/>
                  </w:divBdr>
                  <w:divsChild>
                    <w:div w:id="16044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2098">
      <w:bodyDiv w:val="1"/>
      <w:marLeft w:val="0"/>
      <w:marRight w:val="0"/>
      <w:marTop w:val="0"/>
      <w:marBottom w:val="0"/>
      <w:divBdr>
        <w:top w:val="none" w:sz="0" w:space="0" w:color="auto"/>
        <w:left w:val="none" w:sz="0" w:space="0" w:color="auto"/>
        <w:bottom w:val="none" w:sz="0" w:space="0" w:color="auto"/>
        <w:right w:val="none" w:sz="0" w:space="0" w:color="auto"/>
      </w:divBdr>
      <w:divsChild>
        <w:div w:id="1100954902">
          <w:marLeft w:val="0"/>
          <w:marRight w:val="0"/>
          <w:marTop w:val="0"/>
          <w:marBottom w:val="0"/>
          <w:divBdr>
            <w:top w:val="none" w:sz="0" w:space="0" w:color="auto"/>
            <w:left w:val="none" w:sz="0" w:space="0" w:color="auto"/>
            <w:bottom w:val="none" w:sz="0" w:space="0" w:color="auto"/>
            <w:right w:val="none" w:sz="0" w:space="0" w:color="auto"/>
          </w:divBdr>
          <w:divsChild>
            <w:div w:id="1590039054">
              <w:marLeft w:val="0"/>
              <w:marRight w:val="0"/>
              <w:marTop w:val="0"/>
              <w:marBottom w:val="0"/>
              <w:divBdr>
                <w:top w:val="none" w:sz="0" w:space="0" w:color="auto"/>
                <w:left w:val="none" w:sz="0" w:space="0" w:color="auto"/>
                <w:bottom w:val="none" w:sz="0" w:space="0" w:color="auto"/>
                <w:right w:val="none" w:sz="0" w:space="0" w:color="auto"/>
              </w:divBdr>
              <w:divsChild>
                <w:div w:id="213086999">
                  <w:marLeft w:val="0"/>
                  <w:marRight w:val="0"/>
                  <w:marTop w:val="0"/>
                  <w:marBottom w:val="0"/>
                  <w:divBdr>
                    <w:top w:val="none" w:sz="0" w:space="0" w:color="auto"/>
                    <w:left w:val="none" w:sz="0" w:space="0" w:color="auto"/>
                    <w:bottom w:val="none" w:sz="0" w:space="0" w:color="auto"/>
                    <w:right w:val="none" w:sz="0" w:space="0" w:color="auto"/>
                  </w:divBdr>
                  <w:divsChild>
                    <w:div w:id="109497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5813">
      <w:bodyDiv w:val="1"/>
      <w:marLeft w:val="0"/>
      <w:marRight w:val="0"/>
      <w:marTop w:val="0"/>
      <w:marBottom w:val="0"/>
      <w:divBdr>
        <w:top w:val="none" w:sz="0" w:space="0" w:color="auto"/>
        <w:left w:val="none" w:sz="0" w:space="0" w:color="auto"/>
        <w:bottom w:val="none" w:sz="0" w:space="0" w:color="auto"/>
        <w:right w:val="none" w:sz="0" w:space="0" w:color="auto"/>
      </w:divBdr>
      <w:divsChild>
        <w:div w:id="446392064">
          <w:marLeft w:val="0"/>
          <w:marRight w:val="0"/>
          <w:marTop w:val="0"/>
          <w:marBottom w:val="0"/>
          <w:divBdr>
            <w:top w:val="none" w:sz="0" w:space="0" w:color="auto"/>
            <w:left w:val="none" w:sz="0" w:space="0" w:color="auto"/>
            <w:bottom w:val="none" w:sz="0" w:space="0" w:color="auto"/>
            <w:right w:val="none" w:sz="0" w:space="0" w:color="auto"/>
          </w:divBdr>
          <w:divsChild>
            <w:div w:id="1182352753">
              <w:marLeft w:val="0"/>
              <w:marRight w:val="0"/>
              <w:marTop w:val="0"/>
              <w:marBottom w:val="0"/>
              <w:divBdr>
                <w:top w:val="none" w:sz="0" w:space="0" w:color="auto"/>
                <w:left w:val="none" w:sz="0" w:space="0" w:color="auto"/>
                <w:bottom w:val="none" w:sz="0" w:space="0" w:color="auto"/>
                <w:right w:val="none" w:sz="0" w:space="0" w:color="auto"/>
              </w:divBdr>
              <w:divsChild>
                <w:div w:id="550338330">
                  <w:marLeft w:val="0"/>
                  <w:marRight w:val="0"/>
                  <w:marTop w:val="0"/>
                  <w:marBottom w:val="0"/>
                  <w:divBdr>
                    <w:top w:val="none" w:sz="0" w:space="0" w:color="auto"/>
                    <w:left w:val="none" w:sz="0" w:space="0" w:color="auto"/>
                    <w:bottom w:val="none" w:sz="0" w:space="0" w:color="auto"/>
                    <w:right w:val="none" w:sz="0" w:space="0" w:color="auto"/>
                  </w:divBdr>
                  <w:divsChild>
                    <w:div w:id="1581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807">
      <w:bodyDiv w:val="1"/>
      <w:marLeft w:val="0"/>
      <w:marRight w:val="0"/>
      <w:marTop w:val="0"/>
      <w:marBottom w:val="0"/>
      <w:divBdr>
        <w:top w:val="none" w:sz="0" w:space="0" w:color="auto"/>
        <w:left w:val="none" w:sz="0" w:space="0" w:color="auto"/>
        <w:bottom w:val="none" w:sz="0" w:space="0" w:color="auto"/>
        <w:right w:val="none" w:sz="0" w:space="0" w:color="auto"/>
      </w:divBdr>
      <w:divsChild>
        <w:div w:id="1189370403">
          <w:marLeft w:val="0"/>
          <w:marRight w:val="0"/>
          <w:marTop w:val="0"/>
          <w:marBottom w:val="0"/>
          <w:divBdr>
            <w:top w:val="none" w:sz="0" w:space="0" w:color="auto"/>
            <w:left w:val="none" w:sz="0" w:space="0" w:color="auto"/>
            <w:bottom w:val="none" w:sz="0" w:space="0" w:color="auto"/>
            <w:right w:val="none" w:sz="0" w:space="0" w:color="auto"/>
          </w:divBdr>
          <w:divsChild>
            <w:div w:id="1962956067">
              <w:marLeft w:val="0"/>
              <w:marRight w:val="0"/>
              <w:marTop w:val="0"/>
              <w:marBottom w:val="0"/>
              <w:divBdr>
                <w:top w:val="none" w:sz="0" w:space="0" w:color="auto"/>
                <w:left w:val="none" w:sz="0" w:space="0" w:color="auto"/>
                <w:bottom w:val="none" w:sz="0" w:space="0" w:color="auto"/>
                <w:right w:val="none" w:sz="0" w:space="0" w:color="auto"/>
              </w:divBdr>
              <w:divsChild>
                <w:div w:id="554316596">
                  <w:marLeft w:val="0"/>
                  <w:marRight w:val="0"/>
                  <w:marTop w:val="0"/>
                  <w:marBottom w:val="0"/>
                  <w:divBdr>
                    <w:top w:val="none" w:sz="0" w:space="0" w:color="auto"/>
                    <w:left w:val="none" w:sz="0" w:space="0" w:color="auto"/>
                    <w:bottom w:val="none" w:sz="0" w:space="0" w:color="auto"/>
                    <w:right w:val="none" w:sz="0" w:space="0" w:color="auto"/>
                  </w:divBdr>
                  <w:divsChild>
                    <w:div w:id="15756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0767">
      <w:bodyDiv w:val="1"/>
      <w:marLeft w:val="0"/>
      <w:marRight w:val="0"/>
      <w:marTop w:val="0"/>
      <w:marBottom w:val="0"/>
      <w:divBdr>
        <w:top w:val="none" w:sz="0" w:space="0" w:color="auto"/>
        <w:left w:val="none" w:sz="0" w:space="0" w:color="auto"/>
        <w:bottom w:val="none" w:sz="0" w:space="0" w:color="auto"/>
        <w:right w:val="none" w:sz="0" w:space="0" w:color="auto"/>
      </w:divBdr>
      <w:divsChild>
        <w:div w:id="531698549">
          <w:marLeft w:val="0"/>
          <w:marRight w:val="0"/>
          <w:marTop w:val="0"/>
          <w:marBottom w:val="0"/>
          <w:divBdr>
            <w:top w:val="none" w:sz="0" w:space="0" w:color="auto"/>
            <w:left w:val="none" w:sz="0" w:space="0" w:color="auto"/>
            <w:bottom w:val="none" w:sz="0" w:space="0" w:color="auto"/>
            <w:right w:val="none" w:sz="0" w:space="0" w:color="auto"/>
          </w:divBdr>
          <w:divsChild>
            <w:div w:id="683096846">
              <w:marLeft w:val="0"/>
              <w:marRight w:val="0"/>
              <w:marTop w:val="0"/>
              <w:marBottom w:val="0"/>
              <w:divBdr>
                <w:top w:val="none" w:sz="0" w:space="0" w:color="auto"/>
                <w:left w:val="none" w:sz="0" w:space="0" w:color="auto"/>
                <w:bottom w:val="none" w:sz="0" w:space="0" w:color="auto"/>
                <w:right w:val="none" w:sz="0" w:space="0" w:color="auto"/>
              </w:divBdr>
              <w:divsChild>
                <w:div w:id="456990293">
                  <w:marLeft w:val="0"/>
                  <w:marRight w:val="0"/>
                  <w:marTop w:val="0"/>
                  <w:marBottom w:val="0"/>
                  <w:divBdr>
                    <w:top w:val="none" w:sz="0" w:space="0" w:color="auto"/>
                    <w:left w:val="none" w:sz="0" w:space="0" w:color="auto"/>
                    <w:bottom w:val="none" w:sz="0" w:space="0" w:color="auto"/>
                    <w:right w:val="none" w:sz="0" w:space="0" w:color="auto"/>
                  </w:divBdr>
                  <w:divsChild>
                    <w:div w:id="5313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75203">
      <w:bodyDiv w:val="1"/>
      <w:marLeft w:val="0"/>
      <w:marRight w:val="0"/>
      <w:marTop w:val="0"/>
      <w:marBottom w:val="0"/>
      <w:divBdr>
        <w:top w:val="none" w:sz="0" w:space="0" w:color="auto"/>
        <w:left w:val="none" w:sz="0" w:space="0" w:color="auto"/>
        <w:bottom w:val="none" w:sz="0" w:space="0" w:color="auto"/>
        <w:right w:val="none" w:sz="0" w:space="0" w:color="auto"/>
      </w:divBdr>
      <w:divsChild>
        <w:div w:id="1572080948">
          <w:marLeft w:val="0"/>
          <w:marRight w:val="0"/>
          <w:marTop w:val="0"/>
          <w:marBottom w:val="0"/>
          <w:divBdr>
            <w:top w:val="none" w:sz="0" w:space="0" w:color="auto"/>
            <w:left w:val="none" w:sz="0" w:space="0" w:color="auto"/>
            <w:bottom w:val="none" w:sz="0" w:space="0" w:color="auto"/>
            <w:right w:val="none" w:sz="0" w:space="0" w:color="auto"/>
          </w:divBdr>
          <w:divsChild>
            <w:div w:id="811752884">
              <w:marLeft w:val="0"/>
              <w:marRight w:val="0"/>
              <w:marTop w:val="0"/>
              <w:marBottom w:val="0"/>
              <w:divBdr>
                <w:top w:val="none" w:sz="0" w:space="0" w:color="auto"/>
                <w:left w:val="none" w:sz="0" w:space="0" w:color="auto"/>
                <w:bottom w:val="none" w:sz="0" w:space="0" w:color="auto"/>
                <w:right w:val="none" w:sz="0" w:space="0" w:color="auto"/>
              </w:divBdr>
              <w:divsChild>
                <w:div w:id="1728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7414">
      <w:bodyDiv w:val="1"/>
      <w:marLeft w:val="0"/>
      <w:marRight w:val="0"/>
      <w:marTop w:val="0"/>
      <w:marBottom w:val="0"/>
      <w:divBdr>
        <w:top w:val="none" w:sz="0" w:space="0" w:color="auto"/>
        <w:left w:val="none" w:sz="0" w:space="0" w:color="auto"/>
        <w:bottom w:val="none" w:sz="0" w:space="0" w:color="auto"/>
        <w:right w:val="none" w:sz="0" w:space="0" w:color="auto"/>
      </w:divBdr>
      <w:divsChild>
        <w:div w:id="374239217">
          <w:marLeft w:val="0"/>
          <w:marRight w:val="0"/>
          <w:marTop w:val="0"/>
          <w:marBottom w:val="0"/>
          <w:divBdr>
            <w:top w:val="none" w:sz="0" w:space="0" w:color="auto"/>
            <w:left w:val="none" w:sz="0" w:space="0" w:color="auto"/>
            <w:bottom w:val="none" w:sz="0" w:space="0" w:color="auto"/>
            <w:right w:val="none" w:sz="0" w:space="0" w:color="auto"/>
          </w:divBdr>
          <w:divsChild>
            <w:div w:id="948393080">
              <w:marLeft w:val="0"/>
              <w:marRight w:val="0"/>
              <w:marTop w:val="0"/>
              <w:marBottom w:val="0"/>
              <w:divBdr>
                <w:top w:val="none" w:sz="0" w:space="0" w:color="auto"/>
                <w:left w:val="none" w:sz="0" w:space="0" w:color="auto"/>
                <w:bottom w:val="none" w:sz="0" w:space="0" w:color="auto"/>
                <w:right w:val="none" w:sz="0" w:space="0" w:color="auto"/>
              </w:divBdr>
              <w:divsChild>
                <w:div w:id="6089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9215">
      <w:bodyDiv w:val="1"/>
      <w:marLeft w:val="0"/>
      <w:marRight w:val="0"/>
      <w:marTop w:val="0"/>
      <w:marBottom w:val="0"/>
      <w:divBdr>
        <w:top w:val="none" w:sz="0" w:space="0" w:color="auto"/>
        <w:left w:val="none" w:sz="0" w:space="0" w:color="auto"/>
        <w:bottom w:val="none" w:sz="0" w:space="0" w:color="auto"/>
        <w:right w:val="none" w:sz="0" w:space="0" w:color="auto"/>
      </w:divBdr>
      <w:divsChild>
        <w:div w:id="502742087">
          <w:marLeft w:val="0"/>
          <w:marRight w:val="0"/>
          <w:marTop w:val="0"/>
          <w:marBottom w:val="0"/>
          <w:divBdr>
            <w:top w:val="none" w:sz="0" w:space="0" w:color="auto"/>
            <w:left w:val="none" w:sz="0" w:space="0" w:color="auto"/>
            <w:bottom w:val="none" w:sz="0" w:space="0" w:color="auto"/>
            <w:right w:val="none" w:sz="0" w:space="0" w:color="auto"/>
          </w:divBdr>
          <w:divsChild>
            <w:div w:id="475267800">
              <w:marLeft w:val="0"/>
              <w:marRight w:val="0"/>
              <w:marTop w:val="0"/>
              <w:marBottom w:val="0"/>
              <w:divBdr>
                <w:top w:val="none" w:sz="0" w:space="0" w:color="auto"/>
                <w:left w:val="none" w:sz="0" w:space="0" w:color="auto"/>
                <w:bottom w:val="none" w:sz="0" w:space="0" w:color="auto"/>
                <w:right w:val="none" w:sz="0" w:space="0" w:color="auto"/>
              </w:divBdr>
              <w:divsChild>
                <w:div w:id="211794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5522">
      <w:bodyDiv w:val="1"/>
      <w:marLeft w:val="0"/>
      <w:marRight w:val="0"/>
      <w:marTop w:val="0"/>
      <w:marBottom w:val="0"/>
      <w:divBdr>
        <w:top w:val="none" w:sz="0" w:space="0" w:color="auto"/>
        <w:left w:val="none" w:sz="0" w:space="0" w:color="auto"/>
        <w:bottom w:val="none" w:sz="0" w:space="0" w:color="auto"/>
        <w:right w:val="none" w:sz="0" w:space="0" w:color="auto"/>
      </w:divBdr>
      <w:divsChild>
        <w:div w:id="254826786">
          <w:marLeft w:val="0"/>
          <w:marRight w:val="0"/>
          <w:marTop w:val="0"/>
          <w:marBottom w:val="0"/>
          <w:divBdr>
            <w:top w:val="none" w:sz="0" w:space="0" w:color="auto"/>
            <w:left w:val="none" w:sz="0" w:space="0" w:color="auto"/>
            <w:bottom w:val="none" w:sz="0" w:space="0" w:color="auto"/>
            <w:right w:val="none" w:sz="0" w:space="0" w:color="auto"/>
          </w:divBdr>
          <w:divsChild>
            <w:div w:id="869032907">
              <w:marLeft w:val="0"/>
              <w:marRight w:val="0"/>
              <w:marTop w:val="0"/>
              <w:marBottom w:val="0"/>
              <w:divBdr>
                <w:top w:val="none" w:sz="0" w:space="0" w:color="auto"/>
                <w:left w:val="none" w:sz="0" w:space="0" w:color="auto"/>
                <w:bottom w:val="none" w:sz="0" w:space="0" w:color="auto"/>
                <w:right w:val="none" w:sz="0" w:space="0" w:color="auto"/>
              </w:divBdr>
              <w:divsChild>
                <w:div w:id="220866808">
                  <w:marLeft w:val="0"/>
                  <w:marRight w:val="0"/>
                  <w:marTop w:val="0"/>
                  <w:marBottom w:val="0"/>
                  <w:divBdr>
                    <w:top w:val="none" w:sz="0" w:space="0" w:color="auto"/>
                    <w:left w:val="none" w:sz="0" w:space="0" w:color="auto"/>
                    <w:bottom w:val="none" w:sz="0" w:space="0" w:color="auto"/>
                    <w:right w:val="none" w:sz="0" w:space="0" w:color="auto"/>
                  </w:divBdr>
                  <w:divsChild>
                    <w:div w:id="23266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2878">
      <w:bodyDiv w:val="1"/>
      <w:marLeft w:val="0"/>
      <w:marRight w:val="0"/>
      <w:marTop w:val="0"/>
      <w:marBottom w:val="0"/>
      <w:divBdr>
        <w:top w:val="none" w:sz="0" w:space="0" w:color="auto"/>
        <w:left w:val="none" w:sz="0" w:space="0" w:color="auto"/>
        <w:bottom w:val="none" w:sz="0" w:space="0" w:color="auto"/>
        <w:right w:val="none" w:sz="0" w:space="0" w:color="auto"/>
      </w:divBdr>
    </w:div>
    <w:div w:id="199973947">
      <w:bodyDiv w:val="1"/>
      <w:marLeft w:val="0"/>
      <w:marRight w:val="0"/>
      <w:marTop w:val="0"/>
      <w:marBottom w:val="0"/>
      <w:divBdr>
        <w:top w:val="none" w:sz="0" w:space="0" w:color="auto"/>
        <w:left w:val="none" w:sz="0" w:space="0" w:color="auto"/>
        <w:bottom w:val="none" w:sz="0" w:space="0" w:color="auto"/>
        <w:right w:val="none" w:sz="0" w:space="0" w:color="auto"/>
      </w:divBdr>
      <w:divsChild>
        <w:div w:id="939532164">
          <w:marLeft w:val="0"/>
          <w:marRight w:val="0"/>
          <w:marTop w:val="0"/>
          <w:marBottom w:val="0"/>
          <w:divBdr>
            <w:top w:val="none" w:sz="0" w:space="0" w:color="auto"/>
            <w:left w:val="none" w:sz="0" w:space="0" w:color="auto"/>
            <w:bottom w:val="none" w:sz="0" w:space="0" w:color="auto"/>
            <w:right w:val="none" w:sz="0" w:space="0" w:color="auto"/>
          </w:divBdr>
          <w:divsChild>
            <w:div w:id="441648557">
              <w:marLeft w:val="0"/>
              <w:marRight w:val="0"/>
              <w:marTop w:val="0"/>
              <w:marBottom w:val="0"/>
              <w:divBdr>
                <w:top w:val="none" w:sz="0" w:space="0" w:color="auto"/>
                <w:left w:val="none" w:sz="0" w:space="0" w:color="auto"/>
                <w:bottom w:val="none" w:sz="0" w:space="0" w:color="auto"/>
                <w:right w:val="none" w:sz="0" w:space="0" w:color="auto"/>
              </w:divBdr>
              <w:divsChild>
                <w:div w:id="172915765">
                  <w:marLeft w:val="0"/>
                  <w:marRight w:val="0"/>
                  <w:marTop w:val="0"/>
                  <w:marBottom w:val="0"/>
                  <w:divBdr>
                    <w:top w:val="none" w:sz="0" w:space="0" w:color="auto"/>
                    <w:left w:val="none" w:sz="0" w:space="0" w:color="auto"/>
                    <w:bottom w:val="none" w:sz="0" w:space="0" w:color="auto"/>
                    <w:right w:val="none" w:sz="0" w:space="0" w:color="auto"/>
                  </w:divBdr>
                  <w:divsChild>
                    <w:div w:id="58237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9014">
      <w:bodyDiv w:val="1"/>
      <w:marLeft w:val="0"/>
      <w:marRight w:val="0"/>
      <w:marTop w:val="0"/>
      <w:marBottom w:val="0"/>
      <w:divBdr>
        <w:top w:val="none" w:sz="0" w:space="0" w:color="auto"/>
        <w:left w:val="none" w:sz="0" w:space="0" w:color="auto"/>
        <w:bottom w:val="none" w:sz="0" w:space="0" w:color="auto"/>
        <w:right w:val="none" w:sz="0" w:space="0" w:color="auto"/>
      </w:divBdr>
    </w:div>
    <w:div w:id="213857571">
      <w:bodyDiv w:val="1"/>
      <w:marLeft w:val="0"/>
      <w:marRight w:val="0"/>
      <w:marTop w:val="0"/>
      <w:marBottom w:val="0"/>
      <w:divBdr>
        <w:top w:val="none" w:sz="0" w:space="0" w:color="auto"/>
        <w:left w:val="none" w:sz="0" w:space="0" w:color="auto"/>
        <w:bottom w:val="none" w:sz="0" w:space="0" w:color="auto"/>
        <w:right w:val="none" w:sz="0" w:space="0" w:color="auto"/>
      </w:divBdr>
      <w:divsChild>
        <w:div w:id="313871806">
          <w:marLeft w:val="0"/>
          <w:marRight w:val="0"/>
          <w:marTop w:val="0"/>
          <w:marBottom w:val="0"/>
          <w:divBdr>
            <w:top w:val="none" w:sz="0" w:space="0" w:color="auto"/>
            <w:left w:val="none" w:sz="0" w:space="0" w:color="auto"/>
            <w:bottom w:val="none" w:sz="0" w:space="0" w:color="auto"/>
            <w:right w:val="none" w:sz="0" w:space="0" w:color="auto"/>
          </w:divBdr>
          <w:divsChild>
            <w:div w:id="1156384942">
              <w:marLeft w:val="0"/>
              <w:marRight w:val="0"/>
              <w:marTop w:val="0"/>
              <w:marBottom w:val="0"/>
              <w:divBdr>
                <w:top w:val="none" w:sz="0" w:space="0" w:color="auto"/>
                <w:left w:val="none" w:sz="0" w:space="0" w:color="auto"/>
                <w:bottom w:val="none" w:sz="0" w:space="0" w:color="auto"/>
                <w:right w:val="none" w:sz="0" w:space="0" w:color="auto"/>
              </w:divBdr>
              <w:divsChild>
                <w:div w:id="2089381901">
                  <w:marLeft w:val="0"/>
                  <w:marRight w:val="0"/>
                  <w:marTop w:val="0"/>
                  <w:marBottom w:val="0"/>
                  <w:divBdr>
                    <w:top w:val="none" w:sz="0" w:space="0" w:color="auto"/>
                    <w:left w:val="none" w:sz="0" w:space="0" w:color="auto"/>
                    <w:bottom w:val="none" w:sz="0" w:space="0" w:color="auto"/>
                    <w:right w:val="none" w:sz="0" w:space="0" w:color="auto"/>
                  </w:divBdr>
                  <w:divsChild>
                    <w:div w:id="19299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55977">
      <w:bodyDiv w:val="1"/>
      <w:marLeft w:val="0"/>
      <w:marRight w:val="0"/>
      <w:marTop w:val="0"/>
      <w:marBottom w:val="0"/>
      <w:divBdr>
        <w:top w:val="none" w:sz="0" w:space="0" w:color="auto"/>
        <w:left w:val="none" w:sz="0" w:space="0" w:color="auto"/>
        <w:bottom w:val="none" w:sz="0" w:space="0" w:color="auto"/>
        <w:right w:val="none" w:sz="0" w:space="0" w:color="auto"/>
      </w:divBdr>
      <w:divsChild>
        <w:div w:id="550964842">
          <w:marLeft w:val="0"/>
          <w:marRight w:val="0"/>
          <w:marTop w:val="0"/>
          <w:marBottom w:val="0"/>
          <w:divBdr>
            <w:top w:val="none" w:sz="0" w:space="0" w:color="auto"/>
            <w:left w:val="none" w:sz="0" w:space="0" w:color="auto"/>
            <w:bottom w:val="none" w:sz="0" w:space="0" w:color="auto"/>
            <w:right w:val="none" w:sz="0" w:space="0" w:color="auto"/>
          </w:divBdr>
          <w:divsChild>
            <w:div w:id="671688911">
              <w:marLeft w:val="0"/>
              <w:marRight w:val="0"/>
              <w:marTop w:val="0"/>
              <w:marBottom w:val="0"/>
              <w:divBdr>
                <w:top w:val="none" w:sz="0" w:space="0" w:color="auto"/>
                <w:left w:val="none" w:sz="0" w:space="0" w:color="auto"/>
                <w:bottom w:val="none" w:sz="0" w:space="0" w:color="auto"/>
                <w:right w:val="none" w:sz="0" w:space="0" w:color="auto"/>
              </w:divBdr>
              <w:divsChild>
                <w:div w:id="12962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51274">
      <w:bodyDiv w:val="1"/>
      <w:marLeft w:val="0"/>
      <w:marRight w:val="0"/>
      <w:marTop w:val="0"/>
      <w:marBottom w:val="0"/>
      <w:divBdr>
        <w:top w:val="none" w:sz="0" w:space="0" w:color="auto"/>
        <w:left w:val="none" w:sz="0" w:space="0" w:color="auto"/>
        <w:bottom w:val="none" w:sz="0" w:space="0" w:color="auto"/>
        <w:right w:val="none" w:sz="0" w:space="0" w:color="auto"/>
      </w:divBdr>
      <w:divsChild>
        <w:div w:id="848251896">
          <w:marLeft w:val="0"/>
          <w:marRight w:val="0"/>
          <w:marTop w:val="0"/>
          <w:marBottom w:val="0"/>
          <w:divBdr>
            <w:top w:val="none" w:sz="0" w:space="0" w:color="auto"/>
            <w:left w:val="none" w:sz="0" w:space="0" w:color="auto"/>
            <w:bottom w:val="none" w:sz="0" w:space="0" w:color="auto"/>
            <w:right w:val="none" w:sz="0" w:space="0" w:color="auto"/>
          </w:divBdr>
          <w:divsChild>
            <w:div w:id="1671131922">
              <w:marLeft w:val="0"/>
              <w:marRight w:val="0"/>
              <w:marTop w:val="0"/>
              <w:marBottom w:val="0"/>
              <w:divBdr>
                <w:top w:val="none" w:sz="0" w:space="0" w:color="auto"/>
                <w:left w:val="none" w:sz="0" w:space="0" w:color="auto"/>
                <w:bottom w:val="none" w:sz="0" w:space="0" w:color="auto"/>
                <w:right w:val="none" w:sz="0" w:space="0" w:color="auto"/>
              </w:divBdr>
              <w:divsChild>
                <w:div w:id="459962936">
                  <w:marLeft w:val="0"/>
                  <w:marRight w:val="0"/>
                  <w:marTop w:val="0"/>
                  <w:marBottom w:val="0"/>
                  <w:divBdr>
                    <w:top w:val="none" w:sz="0" w:space="0" w:color="auto"/>
                    <w:left w:val="none" w:sz="0" w:space="0" w:color="auto"/>
                    <w:bottom w:val="none" w:sz="0" w:space="0" w:color="auto"/>
                    <w:right w:val="none" w:sz="0" w:space="0" w:color="auto"/>
                  </w:divBdr>
                  <w:divsChild>
                    <w:div w:id="1505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25658">
      <w:bodyDiv w:val="1"/>
      <w:marLeft w:val="0"/>
      <w:marRight w:val="0"/>
      <w:marTop w:val="0"/>
      <w:marBottom w:val="0"/>
      <w:divBdr>
        <w:top w:val="none" w:sz="0" w:space="0" w:color="auto"/>
        <w:left w:val="none" w:sz="0" w:space="0" w:color="auto"/>
        <w:bottom w:val="none" w:sz="0" w:space="0" w:color="auto"/>
        <w:right w:val="none" w:sz="0" w:space="0" w:color="auto"/>
      </w:divBdr>
    </w:div>
    <w:div w:id="257105833">
      <w:bodyDiv w:val="1"/>
      <w:marLeft w:val="0"/>
      <w:marRight w:val="0"/>
      <w:marTop w:val="0"/>
      <w:marBottom w:val="0"/>
      <w:divBdr>
        <w:top w:val="none" w:sz="0" w:space="0" w:color="auto"/>
        <w:left w:val="none" w:sz="0" w:space="0" w:color="auto"/>
        <w:bottom w:val="none" w:sz="0" w:space="0" w:color="auto"/>
        <w:right w:val="none" w:sz="0" w:space="0" w:color="auto"/>
      </w:divBdr>
      <w:divsChild>
        <w:div w:id="1514807372">
          <w:marLeft w:val="0"/>
          <w:marRight w:val="0"/>
          <w:marTop w:val="0"/>
          <w:marBottom w:val="0"/>
          <w:divBdr>
            <w:top w:val="none" w:sz="0" w:space="0" w:color="auto"/>
            <w:left w:val="none" w:sz="0" w:space="0" w:color="auto"/>
            <w:bottom w:val="none" w:sz="0" w:space="0" w:color="auto"/>
            <w:right w:val="none" w:sz="0" w:space="0" w:color="auto"/>
          </w:divBdr>
          <w:divsChild>
            <w:div w:id="1848060169">
              <w:marLeft w:val="0"/>
              <w:marRight w:val="0"/>
              <w:marTop w:val="0"/>
              <w:marBottom w:val="0"/>
              <w:divBdr>
                <w:top w:val="none" w:sz="0" w:space="0" w:color="auto"/>
                <w:left w:val="none" w:sz="0" w:space="0" w:color="auto"/>
                <w:bottom w:val="none" w:sz="0" w:space="0" w:color="auto"/>
                <w:right w:val="none" w:sz="0" w:space="0" w:color="auto"/>
              </w:divBdr>
              <w:divsChild>
                <w:div w:id="12399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2920">
      <w:bodyDiv w:val="1"/>
      <w:marLeft w:val="0"/>
      <w:marRight w:val="0"/>
      <w:marTop w:val="0"/>
      <w:marBottom w:val="0"/>
      <w:divBdr>
        <w:top w:val="none" w:sz="0" w:space="0" w:color="auto"/>
        <w:left w:val="none" w:sz="0" w:space="0" w:color="auto"/>
        <w:bottom w:val="none" w:sz="0" w:space="0" w:color="auto"/>
        <w:right w:val="none" w:sz="0" w:space="0" w:color="auto"/>
      </w:divBdr>
      <w:divsChild>
        <w:div w:id="715084556">
          <w:marLeft w:val="0"/>
          <w:marRight w:val="0"/>
          <w:marTop w:val="0"/>
          <w:marBottom w:val="0"/>
          <w:divBdr>
            <w:top w:val="none" w:sz="0" w:space="0" w:color="auto"/>
            <w:left w:val="none" w:sz="0" w:space="0" w:color="auto"/>
            <w:bottom w:val="none" w:sz="0" w:space="0" w:color="auto"/>
            <w:right w:val="none" w:sz="0" w:space="0" w:color="auto"/>
          </w:divBdr>
          <w:divsChild>
            <w:div w:id="1039935819">
              <w:marLeft w:val="0"/>
              <w:marRight w:val="0"/>
              <w:marTop w:val="0"/>
              <w:marBottom w:val="0"/>
              <w:divBdr>
                <w:top w:val="none" w:sz="0" w:space="0" w:color="auto"/>
                <w:left w:val="none" w:sz="0" w:space="0" w:color="auto"/>
                <w:bottom w:val="none" w:sz="0" w:space="0" w:color="auto"/>
                <w:right w:val="none" w:sz="0" w:space="0" w:color="auto"/>
              </w:divBdr>
              <w:divsChild>
                <w:div w:id="1735280330">
                  <w:marLeft w:val="0"/>
                  <w:marRight w:val="0"/>
                  <w:marTop w:val="0"/>
                  <w:marBottom w:val="0"/>
                  <w:divBdr>
                    <w:top w:val="none" w:sz="0" w:space="0" w:color="auto"/>
                    <w:left w:val="none" w:sz="0" w:space="0" w:color="auto"/>
                    <w:bottom w:val="none" w:sz="0" w:space="0" w:color="auto"/>
                    <w:right w:val="none" w:sz="0" w:space="0" w:color="auto"/>
                  </w:divBdr>
                  <w:divsChild>
                    <w:div w:id="13009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187848">
      <w:bodyDiv w:val="1"/>
      <w:marLeft w:val="0"/>
      <w:marRight w:val="0"/>
      <w:marTop w:val="0"/>
      <w:marBottom w:val="0"/>
      <w:divBdr>
        <w:top w:val="none" w:sz="0" w:space="0" w:color="auto"/>
        <w:left w:val="none" w:sz="0" w:space="0" w:color="auto"/>
        <w:bottom w:val="none" w:sz="0" w:space="0" w:color="auto"/>
        <w:right w:val="none" w:sz="0" w:space="0" w:color="auto"/>
      </w:divBdr>
    </w:div>
    <w:div w:id="283928282">
      <w:bodyDiv w:val="1"/>
      <w:marLeft w:val="0"/>
      <w:marRight w:val="0"/>
      <w:marTop w:val="0"/>
      <w:marBottom w:val="0"/>
      <w:divBdr>
        <w:top w:val="none" w:sz="0" w:space="0" w:color="auto"/>
        <w:left w:val="none" w:sz="0" w:space="0" w:color="auto"/>
        <w:bottom w:val="none" w:sz="0" w:space="0" w:color="auto"/>
        <w:right w:val="none" w:sz="0" w:space="0" w:color="auto"/>
      </w:divBdr>
      <w:divsChild>
        <w:div w:id="781875916">
          <w:marLeft w:val="0"/>
          <w:marRight w:val="0"/>
          <w:marTop w:val="0"/>
          <w:marBottom w:val="0"/>
          <w:divBdr>
            <w:top w:val="none" w:sz="0" w:space="0" w:color="auto"/>
            <w:left w:val="none" w:sz="0" w:space="0" w:color="auto"/>
            <w:bottom w:val="none" w:sz="0" w:space="0" w:color="auto"/>
            <w:right w:val="none" w:sz="0" w:space="0" w:color="auto"/>
          </w:divBdr>
          <w:divsChild>
            <w:div w:id="1216356936">
              <w:marLeft w:val="0"/>
              <w:marRight w:val="0"/>
              <w:marTop w:val="0"/>
              <w:marBottom w:val="0"/>
              <w:divBdr>
                <w:top w:val="none" w:sz="0" w:space="0" w:color="auto"/>
                <w:left w:val="none" w:sz="0" w:space="0" w:color="auto"/>
                <w:bottom w:val="none" w:sz="0" w:space="0" w:color="auto"/>
                <w:right w:val="none" w:sz="0" w:space="0" w:color="auto"/>
              </w:divBdr>
              <w:divsChild>
                <w:div w:id="392853444">
                  <w:marLeft w:val="0"/>
                  <w:marRight w:val="0"/>
                  <w:marTop w:val="0"/>
                  <w:marBottom w:val="0"/>
                  <w:divBdr>
                    <w:top w:val="none" w:sz="0" w:space="0" w:color="auto"/>
                    <w:left w:val="none" w:sz="0" w:space="0" w:color="auto"/>
                    <w:bottom w:val="none" w:sz="0" w:space="0" w:color="auto"/>
                    <w:right w:val="none" w:sz="0" w:space="0" w:color="auto"/>
                  </w:divBdr>
                  <w:divsChild>
                    <w:div w:id="9268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88517">
      <w:bodyDiv w:val="1"/>
      <w:marLeft w:val="0"/>
      <w:marRight w:val="0"/>
      <w:marTop w:val="0"/>
      <w:marBottom w:val="0"/>
      <w:divBdr>
        <w:top w:val="none" w:sz="0" w:space="0" w:color="auto"/>
        <w:left w:val="none" w:sz="0" w:space="0" w:color="auto"/>
        <w:bottom w:val="none" w:sz="0" w:space="0" w:color="auto"/>
        <w:right w:val="none" w:sz="0" w:space="0" w:color="auto"/>
      </w:divBdr>
      <w:divsChild>
        <w:div w:id="1276139273">
          <w:marLeft w:val="0"/>
          <w:marRight w:val="0"/>
          <w:marTop w:val="0"/>
          <w:marBottom w:val="0"/>
          <w:divBdr>
            <w:top w:val="none" w:sz="0" w:space="0" w:color="auto"/>
            <w:left w:val="none" w:sz="0" w:space="0" w:color="auto"/>
            <w:bottom w:val="none" w:sz="0" w:space="0" w:color="auto"/>
            <w:right w:val="none" w:sz="0" w:space="0" w:color="auto"/>
          </w:divBdr>
          <w:divsChild>
            <w:div w:id="202906825">
              <w:marLeft w:val="0"/>
              <w:marRight w:val="0"/>
              <w:marTop w:val="0"/>
              <w:marBottom w:val="0"/>
              <w:divBdr>
                <w:top w:val="none" w:sz="0" w:space="0" w:color="auto"/>
                <w:left w:val="none" w:sz="0" w:space="0" w:color="auto"/>
                <w:bottom w:val="none" w:sz="0" w:space="0" w:color="auto"/>
                <w:right w:val="none" w:sz="0" w:space="0" w:color="auto"/>
              </w:divBdr>
              <w:divsChild>
                <w:div w:id="1849784619">
                  <w:marLeft w:val="0"/>
                  <w:marRight w:val="0"/>
                  <w:marTop w:val="0"/>
                  <w:marBottom w:val="0"/>
                  <w:divBdr>
                    <w:top w:val="none" w:sz="0" w:space="0" w:color="auto"/>
                    <w:left w:val="none" w:sz="0" w:space="0" w:color="auto"/>
                    <w:bottom w:val="none" w:sz="0" w:space="0" w:color="auto"/>
                    <w:right w:val="none" w:sz="0" w:space="0" w:color="auto"/>
                  </w:divBdr>
                  <w:divsChild>
                    <w:div w:id="84944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07061">
      <w:bodyDiv w:val="1"/>
      <w:marLeft w:val="0"/>
      <w:marRight w:val="0"/>
      <w:marTop w:val="0"/>
      <w:marBottom w:val="0"/>
      <w:divBdr>
        <w:top w:val="none" w:sz="0" w:space="0" w:color="auto"/>
        <w:left w:val="none" w:sz="0" w:space="0" w:color="auto"/>
        <w:bottom w:val="none" w:sz="0" w:space="0" w:color="auto"/>
        <w:right w:val="none" w:sz="0" w:space="0" w:color="auto"/>
      </w:divBdr>
    </w:div>
    <w:div w:id="308170136">
      <w:bodyDiv w:val="1"/>
      <w:marLeft w:val="0"/>
      <w:marRight w:val="0"/>
      <w:marTop w:val="0"/>
      <w:marBottom w:val="0"/>
      <w:divBdr>
        <w:top w:val="none" w:sz="0" w:space="0" w:color="auto"/>
        <w:left w:val="none" w:sz="0" w:space="0" w:color="auto"/>
        <w:bottom w:val="none" w:sz="0" w:space="0" w:color="auto"/>
        <w:right w:val="none" w:sz="0" w:space="0" w:color="auto"/>
      </w:divBdr>
      <w:divsChild>
        <w:div w:id="168952042">
          <w:marLeft w:val="0"/>
          <w:marRight w:val="0"/>
          <w:marTop w:val="0"/>
          <w:marBottom w:val="0"/>
          <w:divBdr>
            <w:top w:val="none" w:sz="0" w:space="0" w:color="auto"/>
            <w:left w:val="none" w:sz="0" w:space="0" w:color="auto"/>
            <w:bottom w:val="none" w:sz="0" w:space="0" w:color="auto"/>
            <w:right w:val="none" w:sz="0" w:space="0" w:color="auto"/>
          </w:divBdr>
          <w:divsChild>
            <w:div w:id="527067857">
              <w:marLeft w:val="0"/>
              <w:marRight w:val="0"/>
              <w:marTop w:val="0"/>
              <w:marBottom w:val="0"/>
              <w:divBdr>
                <w:top w:val="none" w:sz="0" w:space="0" w:color="auto"/>
                <w:left w:val="none" w:sz="0" w:space="0" w:color="auto"/>
                <w:bottom w:val="none" w:sz="0" w:space="0" w:color="auto"/>
                <w:right w:val="none" w:sz="0" w:space="0" w:color="auto"/>
              </w:divBdr>
              <w:divsChild>
                <w:div w:id="771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89704">
      <w:bodyDiv w:val="1"/>
      <w:marLeft w:val="0"/>
      <w:marRight w:val="0"/>
      <w:marTop w:val="0"/>
      <w:marBottom w:val="0"/>
      <w:divBdr>
        <w:top w:val="none" w:sz="0" w:space="0" w:color="auto"/>
        <w:left w:val="none" w:sz="0" w:space="0" w:color="auto"/>
        <w:bottom w:val="none" w:sz="0" w:space="0" w:color="auto"/>
        <w:right w:val="none" w:sz="0" w:space="0" w:color="auto"/>
      </w:divBdr>
    </w:div>
    <w:div w:id="341856045">
      <w:bodyDiv w:val="1"/>
      <w:marLeft w:val="0"/>
      <w:marRight w:val="0"/>
      <w:marTop w:val="0"/>
      <w:marBottom w:val="0"/>
      <w:divBdr>
        <w:top w:val="none" w:sz="0" w:space="0" w:color="auto"/>
        <w:left w:val="none" w:sz="0" w:space="0" w:color="auto"/>
        <w:bottom w:val="none" w:sz="0" w:space="0" w:color="auto"/>
        <w:right w:val="none" w:sz="0" w:space="0" w:color="auto"/>
      </w:divBdr>
      <w:divsChild>
        <w:div w:id="533159836">
          <w:marLeft w:val="0"/>
          <w:marRight w:val="0"/>
          <w:marTop w:val="0"/>
          <w:marBottom w:val="0"/>
          <w:divBdr>
            <w:top w:val="none" w:sz="0" w:space="0" w:color="auto"/>
            <w:left w:val="none" w:sz="0" w:space="0" w:color="auto"/>
            <w:bottom w:val="none" w:sz="0" w:space="0" w:color="auto"/>
            <w:right w:val="none" w:sz="0" w:space="0" w:color="auto"/>
          </w:divBdr>
          <w:divsChild>
            <w:div w:id="1643608737">
              <w:marLeft w:val="0"/>
              <w:marRight w:val="0"/>
              <w:marTop w:val="0"/>
              <w:marBottom w:val="0"/>
              <w:divBdr>
                <w:top w:val="none" w:sz="0" w:space="0" w:color="auto"/>
                <w:left w:val="none" w:sz="0" w:space="0" w:color="auto"/>
                <w:bottom w:val="none" w:sz="0" w:space="0" w:color="auto"/>
                <w:right w:val="none" w:sz="0" w:space="0" w:color="auto"/>
              </w:divBdr>
              <w:divsChild>
                <w:div w:id="9774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07755">
      <w:bodyDiv w:val="1"/>
      <w:marLeft w:val="0"/>
      <w:marRight w:val="0"/>
      <w:marTop w:val="0"/>
      <w:marBottom w:val="0"/>
      <w:divBdr>
        <w:top w:val="none" w:sz="0" w:space="0" w:color="auto"/>
        <w:left w:val="none" w:sz="0" w:space="0" w:color="auto"/>
        <w:bottom w:val="none" w:sz="0" w:space="0" w:color="auto"/>
        <w:right w:val="none" w:sz="0" w:space="0" w:color="auto"/>
      </w:divBdr>
      <w:divsChild>
        <w:div w:id="107742913">
          <w:marLeft w:val="0"/>
          <w:marRight w:val="0"/>
          <w:marTop w:val="0"/>
          <w:marBottom w:val="0"/>
          <w:divBdr>
            <w:top w:val="none" w:sz="0" w:space="0" w:color="auto"/>
            <w:left w:val="none" w:sz="0" w:space="0" w:color="auto"/>
            <w:bottom w:val="none" w:sz="0" w:space="0" w:color="auto"/>
            <w:right w:val="none" w:sz="0" w:space="0" w:color="auto"/>
          </w:divBdr>
          <w:divsChild>
            <w:div w:id="1270312214">
              <w:marLeft w:val="0"/>
              <w:marRight w:val="0"/>
              <w:marTop w:val="0"/>
              <w:marBottom w:val="0"/>
              <w:divBdr>
                <w:top w:val="none" w:sz="0" w:space="0" w:color="auto"/>
                <w:left w:val="none" w:sz="0" w:space="0" w:color="auto"/>
                <w:bottom w:val="none" w:sz="0" w:space="0" w:color="auto"/>
                <w:right w:val="none" w:sz="0" w:space="0" w:color="auto"/>
              </w:divBdr>
              <w:divsChild>
                <w:div w:id="1881626355">
                  <w:marLeft w:val="0"/>
                  <w:marRight w:val="0"/>
                  <w:marTop w:val="0"/>
                  <w:marBottom w:val="0"/>
                  <w:divBdr>
                    <w:top w:val="none" w:sz="0" w:space="0" w:color="auto"/>
                    <w:left w:val="none" w:sz="0" w:space="0" w:color="auto"/>
                    <w:bottom w:val="none" w:sz="0" w:space="0" w:color="auto"/>
                    <w:right w:val="none" w:sz="0" w:space="0" w:color="auto"/>
                  </w:divBdr>
                  <w:divsChild>
                    <w:div w:id="7706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117619">
      <w:bodyDiv w:val="1"/>
      <w:marLeft w:val="0"/>
      <w:marRight w:val="0"/>
      <w:marTop w:val="0"/>
      <w:marBottom w:val="0"/>
      <w:divBdr>
        <w:top w:val="none" w:sz="0" w:space="0" w:color="auto"/>
        <w:left w:val="none" w:sz="0" w:space="0" w:color="auto"/>
        <w:bottom w:val="none" w:sz="0" w:space="0" w:color="auto"/>
        <w:right w:val="none" w:sz="0" w:space="0" w:color="auto"/>
      </w:divBdr>
    </w:div>
    <w:div w:id="362294353">
      <w:bodyDiv w:val="1"/>
      <w:marLeft w:val="0"/>
      <w:marRight w:val="0"/>
      <w:marTop w:val="0"/>
      <w:marBottom w:val="0"/>
      <w:divBdr>
        <w:top w:val="none" w:sz="0" w:space="0" w:color="auto"/>
        <w:left w:val="none" w:sz="0" w:space="0" w:color="auto"/>
        <w:bottom w:val="none" w:sz="0" w:space="0" w:color="auto"/>
        <w:right w:val="none" w:sz="0" w:space="0" w:color="auto"/>
      </w:divBdr>
      <w:divsChild>
        <w:div w:id="159395697">
          <w:marLeft w:val="0"/>
          <w:marRight w:val="0"/>
          <w:marTop w:val="0"/>
          <w:marBottom w:val="0"/>
          <w:divBdr>
            <w:top w:val="none" w:sz="0" w:space="0" w:color="auto"/>
            <w:left w:val="none" w:sz="0" w:space="0" w:color="auto"/>
            <w:bottom w:val="none" w:sz="0" w:space="0" w:color="auto"/>
            <w:right w:val="none" w:sz="0" w:space="0" w:color="auto"/>
          </w:divBdr>
          <w:divsChild>
            <w:div w:id="1344625527">
              <w:marLeft w:val="0"/>
              <w:marRight w:val="0"/>
              <w:marTop w:val="0"/>
              <w:marBottom w:val="0"/>
              <w:divBdr>
                <w:top w:val="none" w:sz="0" w:space="0" w:color="auto"/>
                <w:left w:val="none" w:sz="0" w:space="0" w:color="auto"/>
                <w:bottom w:val="none" w:sz="0" w:space="0" w:color="auto"/>
                <w:right w:val="none" w:sz="0" w:space="0" w:color="auto"/>
              </w:divBdr>
              <w:divsChild>
                <w:div w:id="1359353936">
                  <w:marLeft w:val="0"/>
                  <w:marRight w:val="0"/>
                  <w:marTop w:val="0"/>
                  <w:marBottom w:val="0"/>
                  <w:divBdr>
                    <w:top w:val="none" w:sz="0" w:space="0" w:color="auto"/>
                    <w:left w:val="none" w:sz="0" w:space="0" w:color="auto"/>
                    <w:bottom w:val="none" w:sz="0" w:space="0" w:color="auto"/>
                    <w:right w:val="none" w:sz="0" w:space="0" w:color="auto"/>
                  </w:divBdr>
                  <w:divsChild>
                    <w:div w:id="15002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6527">
      <w:bodyDiv w:val="1"/>
      <w:marLeft w:val="0"/>
      <w:marRight w:val="0"/>
      <w:marTop w:val="0"/>
      <w:marBottom w:val="0"/>
      <w:divBdr>
        <w:top w:val="none" w:sz="0" w:space="0" w:color="auto"/>
        <w:left w:val="none" w:sz="0" w:space="0" w:color="auto"/>
        <w:bottom w:val="none" w:sz="0" w:space="0" w:color="auto"/>
        <w:right w:val="none" w:sz="0" w:space="0" w:color="auto"/>
      </w:divBdr>
      <w:divsChild>
        <w:div w:id="1891107964">
          <w:marLeft w:val="0"/>
          <w:marRight w:val="0"/>
          <w:marTop w:val="0"/>
          <w:marBottom w:val="0"/>
          <w:divBdr>
            <w:top w:val="none" w:sz="0" w:space="0" w:color="auto"/>
            <w:left w:val="none" w:sz="0" w:space="0" w:color="auto"/>
            <w:bottom w:val="none" w:sz="0" w:space="0" w:color="auto"/>
            <w:right w:val="none" w:sz="0" w:space="0" w:color="auto"/>
          </w:divBdr>
          <w:divsChild>
            <w:div w:id="802624666">
              <w:marLeft w:val="0"/>
              <w:marRight w:val="0"/>
              <w:marTop w:val="0"/>
              <w:marBottom w:val="0"/>
              <w:divBdr>
                <w:top w:val="none" w:sz="0" w:space="0" w:color="auto"/>
                <w:left w:val="none" w:sz="0" w:space="0" w:color="auto"/>
                <w:bottom w:val="none" w:sz="0" w:space="0" w:color="auto"/>
                <w:right w:val="none" w:sz="0" w:space="0" w:color="auto"/>
              </w:divBdr>
              <w:divsChild>
                <w:div w:id="1946886498">
                  <w:marLeft w:val="0"/>
                  <w:marRight w:val="0"/>
                  <w:marTop w:val="0"/>
                  <w:marBottom w:val="0"/>
                  <w:divBdr>
                    <w:top w:val="none" w:sz="0" w:space="0" w:color="auto"/>
                    <w:left w:val="none" w:sz="0" w:space="0" w:color="auto"/>
                    <w:bottom w:val="none" w:sz="0" w:space="0" w:color="auto"/>
                    <w:right w:val="none" w:sz="0" w:space="0" w:color="auto"/>
                  </w:divBdr>
                  <w:divsChild>
                    <w:div w:id="13368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988619">
      <w:bodyDiv w:val="1"/>
      <w:marLeft w:val="0"/>
      <w:marRight w:val="0"/>
      <w:marTop w:val="0"/>
      <w:marBottom w:val="0"/>
      <w:divBdr>
        <w:top w:val="none" w:sz="0" w:space="0" w:color="auto"/>
        <w:left w:val="none" w:sz="0" w:space="0" w:color="auto"/>
        <w:bottom w:val="none" w:sz="0" w:space="0" w:color="auto"/>
        <w:right w:val="none" w:sz="0" w:space="0" w:color="auto"/>
      </w:divBdr>
      <w:divsChild>
        <w:div w:id="1651640828">
          <w:marLeft w:val="0"/>
          <w:marRight w:val="0"/>
          <w:marTop w:val="0"/>
          <w:marBottom w:val="0"/>
          <w:divBdr>
            <w:top w:val="none" w:sz="0" w:space="0" w:color="auto"/>
            <w:left w:val="none" w:sz="0" w:space="0" w:color="auto"/>
            <w:bottom w:val="none" w:sz="0" w:space="0" w:color="auto"/>
            <w:right w:val="none" w:sz="0" w:space="0" w:color="auto"/>
          </w:divBdr>
          <w:divsChild>
            <w:div w:id="1909725412">
              <w:marLeft w:val="0"/>
              <w:marRight w:val="0"/>
              <w:marTop w:val="0"/>
              <w:marBottom w:val="0"/>
              <w:divBdr>
                <w:top w:val="none" w:sz="0" w:space="0" w:color="auto"/>
                <w:left w:val="none" w:sz="0" w:space="0" w:color="auto"/>
                <w:bottom w:val="none" w:sz="0" w:space="0" w:color="auto"/>
                <w:right w:val="none" w:sz="0" w:space="0" w:color="auto"/>
              </w:divBdr>
              <w:divsChild>
                <w:div w:id="408701156">
                  <w:marLeft w:val="0"/>
                  <w:marRight w:val="0"/>
                  <w:marTop w:val="0"/>
                  <w:marBottom w:val="0"/>
                  <w:divBdr>
                    <w:top w:val="none" w:sz="0" w:space="0" w:color="auto"/>
                    <w:left w:val="none" w:sz="0" w:space="0" w:color="auto"/>
                    <w:bottom w:val="none" w:sz="0" w:space="0" w:color="auto"/>
                    <w:right w:val="none" w:sz="0" w:space="0" w:color="auto"/>
                  </w:divBdr>
                  <w:divsChild>
                    <w:div w:id="15167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755099">
      <w:bodyDiv w:val="1"/>
      <w:marLeft w:val="0"/>
      <w:marRight w:val="0"/>
      <w:marTop w:val="0"/>
      <w:marBottom w:val="0"/>
      <w:divBdr>
        <w:top w:val="none" w:sz="0" w:space="0" w:color="auto"/>
        <w:left w:val="none" w:sz="0" w:space="0" w:color="auto"/>
        <w:bottom w:val="none" w:sz="0" w:space="0" w:color="auto"/>
        <w:right w:val="none" w:sz="0" w:space="0" w:color="auto"/>
      </w:divBdr>
      <w:divsChild>
        <w:div w:id="1301105817">
          <w:marLeft w:val="0"/>
          <w:marRight w:val="0"/>
          <w:marTop w:val="0"/>
          <w:marBottom w:val="0"/>
          <w:divBdr>
            <w:top w:val="none" w:sz="0" w:space="0" w:color="auto"/>
            <w:left w:val="none" w:sz="0" w:space="0" w:color="auto"/>
            <w:bottom w:val="none" w:sz="0" w:space="0" w:color="auto"/>
            <w:right w:val="none" w:sz="0" w:space="0" w:color="auto"/>
          </w:divBdr>
          <w:divsChild>
            <w:div w:id="2054963300">
              <w:marLeft w:val="0"/>
              <w:marRight w:val="0"/>
              <w:marTop w:val="0"/>
              <w:marBottom w:val="0"/>
              <w:divBdr>
                <w:top w:val="none" w:sz="0" w:space="0" w:color="auto"/>
                <w:left w:val="none" w:sz="0" w:space="0" w:color="auto"/>
                <w:bottom w:val="none" w:sz="0" w:space="0" w:color="auto"/>
                <w:right w:val="none" w:sz="0" w:space="0" w:color="auto"/>
              </w:divBdr>
              <w:divsChild>
                <w:div w:id="850951637">
                  <w:marLeft w:val="0"/>
                  <w:marRight w:val="0"/>
                  <w:marTop w:val="0"/>
                  <w:marBottom w:val="0"/>
                  <w:divBdr>
                    <w:top w:val="none" w:sz="0" w:space="0" w:color="auto"/>
                    <w:left w:val="none" w:sz="0" w:space="0" w:color="auto"/>
                    <w:bottom w:val="none" w:sz="0" w:space="0" w:color="auto"/>
                    <w:right w:val="none" w:sz="0" w:space="0" w:color="auto"/>
                  </w:divBdr>
                  <w:divsChild>
                    <w:div w:id="5237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771537">
      <w:bodyDiv w:val="1"/>
      <w:marLeft w:val="0"/>
      <w:marRight w:val="0"/>
      <w:marTop w:val="0"/>
      <w:marBottom w:val="0"/>
      <w:divBdr>
        <w:top w:val="none" w:sz="0" w:space="0" w:color="auto"/>
        <w:left w:val="none" w:sz="0" w:space="0" w:color="auto"/>
        <w:bottom w:val="none" w:sz="0" w:space="0" w:color="auto"/>
        <w:right w:val="none" w:sz="0" w:space="0" w:color="auto"/>
      </w:divBdr>
      <w:divsChild>
        <w:div w:id="961838329">
          <w:marLeft w:val="0"/>
          <w:marRight w:val="0"/>
          <w:marTop w:val="0"/>
          <w:marBottom w:val="0"/>
          <w:divBdr>
            <w:top w:val="none" w:sz="0" w:space="0" w:color="auto"/>
            <w:left w:val="none" w:sz="0" w:space="0" w:color="auto"/>
            <w:bottom w:val="none" w:sz="0" w:space="0" w:color="auto"/>
            <w:right w:val="none" w:sz="0" w:space="0" w:color="auto"/>
          </w:divBdr>
          <w:divsChild>
            <w:div w:id="1309170939">
              <w:marLeft w:val="0"/>
              <w:marRight w:val="0"/>
              <w:marTop w:val="0"/>
              <w:marBottom w:val="0"/>
              <w:divBdr>
                <w:top w:val="none" w:sz="0" w:space="0" w:color="auto"/>
                <w:left w:val="none" w:sz="0" w:space="0" w:color="auto"/>
                <w:bottom w:val="none" w:sz="0" w:space="0" w:color="auto"/>
                <w:right w:val="none" w:sz="0" w:space="0" w:color="auto"/>
              </w:divBdr>
              <w:divsChild>
                <w:div w:id="157577052">
                  <w:marLeft w:val="0"/>
                  <w:marRight w:val="0"/>
                  <w:marTop w:val="0"/>
                  <w:marBottom w:val="0"/>
                  <w:divBdr>
                    <w:top w:val="none" w:sz="0" w:space="0" w:color="auto"/>
                    <w:left w:val="none" w:sz="0" w:space="0" w:color="auto"/>
                    <w:bottom w:val="none" w:sz="0" w:space="0" w:color="auto"/>
                    <w:right w:val="none" w:sz="0" w:space="0" w:color="auto"/>
                  </w:divBdr>
                  <w:divsChild>
                    <w:div w:id="9895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38653">
      <w:bodyDiv w:val="1"/>
      <w:marLeft w:val="0"/>
      <w:marRight w:val="0"/>
      <w:marTop w:val="0"/>
      <w:marBottom w:val="0"/>
      <w:divBdr>
        <w:top w:val="none" w:sz="0" w:space="0" w:color="auto"/>
        <w:left w:val="none" w:sz="0" w:space="0" w:color="auto"/>
        <w:bottom w:val="none" w:sz="0" w:space="0" w:color="auto"/>
        <w:right w:val="none" w:sz="0" w:space="0" w:color="auto"/>
      </w:divBdr>
      <w:divsChild>
        <w:div w:id="419326991">
          <w:marLeft w:val="0"/>
          <w:marRight w:val="0"/>
          <w:marTop w:val="0"/>
          <w:marBottom w:val="0"/>
          <w:divBdr>
            <w:top w:val="none" w:sz="0" w:space="0" w:color="auto"/>
            <w:left w:val="none" w:sz="0" w:space="0" w:color="auto"/>
            <w:bottom w:val="none" w:sz="0" w:space="0" w:color="auto"/>
            <w:right w:val="none" w:sz="0" w:space="0" w:color="auto"/>
          </w:divBdr>
          <w:divsChild>
            <w:div w:id="1709839265">
              <w:marLeft w:val="0"/>
              <w:marRight w:val="0"/>
              <w:marTop w:val="0"/>
              <w:marBottom w:val="0"/>
              <w:divBdr>
                <w:top w:val="none" w:sz="0" w:space="0" w:color="auto"/>
                <w:left w:val="none" w:sz="0" w:space="0" w:color="auto"/>
                <w:bottom w:val="none" w:sz="0" w:space="0" w:color="auto"/>
                <w:right w:val="none" w:sz="0" w:space="0" w:color="auto"/>
              </w:divBdr>
              <w:divsChild>
                <w:div w:id="9045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026984">
      <w:bodyDiv w:val="1"/>
      <w:marLeft w:val="0"/>
      <w:marRight w:val="0"/>
      <w:marTop w:val="0"/>
      <w:marBottom w:val="0"/>
      <w:divBdr>
        <w:top w:val="none" w:sz="0" w:space="0" w:color="auto"/>
        <w:left w:val="none" w:sz="0" w:space="0" w:color="auto"/>
        <w:bottom w:val="none" w:sz="0" w:space="0" w:color="auto"/>
        <w:right w:val="none" w:sz="0" w:space="0" w:color="auto"/>
      </w:divBdr>
      <w:divsChild>
        <w:div w:id="1744329128">
          <w:marLeft w:val="0"/>
          <w:marRight w:val="0"/>
          <w:marTop w:val="0"/>
          <w:marBottom w:val="0"/>
          <w:divBdr>
            <w:top w:val="none" w:sz="0" w:space="0" w:color="auto"/>
            <w:left w:val="none" w:sz="0" w:space="0" w:color="auto"/>
            <w:bottom w:val="none" w:sz="0" w:space="0" w:color="auto"/>
            <w:right w:val="none" w:sz="0" w:space="0" w:color="auto"/>
          </w:divBdr>
          <w:divsChild>
            <w:div w:id="516189591">
              <w:marLeft w:val="0"/>
              <w:marRight w:val="0"/>
              <w:marTop w:val="0"/>
              <w:marBottom w:val="0"/>
              <w:divBdr>
                <w:top w:val="none" w:sz="0" w:space="0" w:color="auto"/>
                <w:left w:val="none" w:sz="0" w:space="0" w:color="auto"/>
                <w:bottom w:val="none" w:sz="0" w:space="0" w:color="auto"/>
                <w:right w:val="none" w:sz="0" w:space="0" w:color="auto"/>
              </w:divBdr>
              <w:divsChild>
                <w:div w:id="575627538">
                  <w:marLeft w:val="0"/>
                  <w:marRight w:val="0"/>
                  <w:marTop w:val="0"/>
                  <w:marBottom w:val="0"/>
                  <w:divBdr>
                    <w:top w:val="none" w:sz="0" w:space="0" w:color="auto"/>
                    <w:left w:val="none" w:sz="0" w:space="0" w:color="auto"/>
                    <w:bottom w:val="none" w:sz="0" w:space="0" w:color="auto"/>
                    <w:right w:val="none" w:sz="0" w:space="0" w:color="auto"/>
                  </w:divBdr>
                  <w:divsChild>
                    <w:div w:id="20763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0491">
      <w:bodyDiv w:val="1"/>
      <w:marLeft w:val="0"/>
      <w:marRight w:val="0"/>
      <w:marTop w:val="0"/>
      <w:marBottom w:val="0"/>
      <w:divBdr>
        <w:top w:val="none" w:sz="0" w:space="0" w:color="auto"/>
        <w:left w:val="none" w:sz="0" w:space="0" w:color="auto"/>
        <w:bottom w:val="none" w:sz="0" w:space="0" w:color="auto"/>
        <w:right w:val="none" w:sz="0" w:space="0" w:color="auto"/>
      </w:divBdr>
      <w:divsChild>
        <w:div w:id="583756615">
          <w:marLeft w:val="0"/>
          <w:marRight w:val="0"/>
          <w:marTop w:val="0"/>
          <w:marBottom w:val="0"/>
          <w:divBdr>
            <w:top w:val="none" w:sz="0" w:space="0" w:color="auto"/>
            <w:left w:val="none" w:sz="0" w:space="0" w:color="auto"/>
            <w:bottom w:val="none" w:sz="0" w:space="0" w:color="auto"/>
            <w:right w:val="none" w:sz="0" w:space="0" w:color="auto"/>
          </w:divBdr>
          <w:divsChild>
            <w:div w:id="29108478">
              <w:marLeft w:val="0"/>
              <w:marRight w:val="0"/>
              <w:marTop w:val="0"/>
              <w:marBottom w:val="0"/>
              <w:divBdr>
                <w:top w:val="none" w:sz="0" w:space="0" w:color="auto"/>
                <w:left w:val="none" w:sz="0" w:space="0" w:color="auto"/>
                <w:bottom w:val="none" w:sz="0" w:space="0" w:color="auto"/>
                <w:right w:val="none" w:sz="0" w:space="0" w:color="auto"/>
              </w:divBdr>
              <w:divsChild>
                <w:div w:id="1284115994">
                  <w:marLeft w:val="0"/>
                  <w:marRight w:val="0"/>
                  <w:marTop w:val="0"/>
                  <w:marBottom w:val="0"/>
                  <w:divBdr>
                    <w:top w:val="none" w:sz="0" w:space="0" w:color="auto"/>
                    <w:left w:val="none" w:sz="0" w:space="0" w:color="auto"/>
                    <w:bottom w:val="none" w:sz="0" w:space="0" w:color="auto"/>
                    <w:right w:val="none" w:sz="0" w:space="0" w:color="auto"/>
                  </w:divBdr>
                  <w:divsChild>
                    <w:div w:id="3417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489342">
      <w:bodyDiv w:val="1"/>
      <w:marLeft w:val="0"/>
      <w:marRight w:val="0"/>
      <w:marTop w:val="0"/>
      <w:marBottom w:val="0"/>
      <w:divBdr>
        <w:top w:val="none" w:sz="0" w:space="0" w:color="auto"/>
        <w:left w:val="none" w:sz="0" w:space="0" w:color="auto"/>
        <w:bottom w:val="none" w:sz="0" w:space="0" w:color="auto"/>
        <w:right w:val="none" w:sz="0" w:space="0" w:color="auto"/>
      </w:divBdr>
      <w:divsChild>
        <w:div w:id="541478154">
          <w:marLeft w:val="0"/>
          <w:marRight w:val="0"/>
          <w:marTop w:val="0"/>
          <w:marBottom w:val="0"/>
          <w:divBdr>
            <w:top w:val="none" w:sz="0" w:space="0" w:color="auto"/>
            <w:left w:val="none" w:sz="0" w:space="0" w:color="auto"/>
            <w:bottom w:val="none" w:sz="0" w:space="0" w:color="auto"/>
            <w:right w:val="none" w:sz="0" w:space="0" w:color="auto"/>
          </w:divBdr>
          <w:divsChild>
            <w:div w:id="1240991131">
              <w:marLeft w:val="0"/>
              <w:marRight w:val="0"/>
              <w:marTop w:val="0"/>
              <w:marBottom w:val="0"/>
              <w:divBdr>
                <w:top w:val="none" w:sz="0" w:space="0" w:color="auto"/>
                <w:left w:val="none" w:sz="0" w:space="0" w:color="auto"/>
                <w:bottom w:val="none" w:sz="0" w:space="0" w:color="auto"/>
                <w:right w:val="none" w:sz="0" w:space="0" w:color="auto"/>
              </w:divBdr>
              <w:divsChild>
                <w:div w:id="626355043">
                  <w:marLeft w:val="0"/>
                  <w:marRight w:val="0"/>
                  <w:marTop w:val="0"/>
                  <w:marBottom w:val="0"/>
                  <w:divBdr>
                    <w:top w:val="none" w:sz="0" w:space="0" w:color="auto"/>
                    <w:left w:val="none" w:sz="0" w:space="0" w:color="auto"/>
                    <w:bottom w:val="none" w:sz="0" w:space="0" w:color="auto"/>
                    <w:right w:val="none" w:sz="0" w:space="0" w:color="auto"/>
                  </w:divBdr>
                  <w:divsChild>
                    <w:div w:id="10472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60095">
      <w:bodyDiv w:val="1"/>
      <w:marLeft w:val="0"/>
      <w:marRight w:val="0"/>
      <w:marTop w:val="0"/>
      <w:marBottom w:val="0"/>
      <w:divBdr>
        <w:top w:val="none" w:sz="0" w:space="0" w:color="auto"/>
        <w:left w:val="none" w:sz="0" w:space="0" w:color="auto"/>
        <w:bottom w:val="none" w:sz="0" w:space="0" w:color="auto"/>
        <w:right w:val="none" w:sz="0" w:space="0" w:color="auto"/>
      </w:divBdr>
      <w:divsChild>
        <w:div w:id="558172668">
          <w:marLeft w:val="0"/>
          <w:marRight w:val="0"/>
          <w:marTop w:val="0"/>
          <w:marBottom w:val="0"/>
          <w:divBdr>
            <w:top w:val="none" w:sz="0" w:space="0" w:color="auto"/>
            <w:left w:val="none" w:sz="0" w:space="0" w:color="auto"/>
            <w:bottom w:val="none" w:sz="0" w:space="0" w:color="auto"/>
            <w:right w:val="none" w:sz="0" w:space="0" w:color="auto"/>
          </w:divBdr>
          <w:divsChild>
            <w:div w:id="771705658">
              <w:marLeft w:val="0"/>
              <w:marRight w:val="0"/>
              <w:marTop w:val="0"/>
              <w:marBottom w:val="0"/>
              <w:divBdr>
                <w:top w:val="none" w:sz="0" w:space="0" w:color="auto"/>
                <w:left w:val="none" w:sz="0" w:space="0" w:color="auto"/>
                <w:bottom w:val="none" w:sz="0" w:space="0" w:color="auto"/>
                <w:right w:val="none" w:sz="0" w:space="0" w:color="auto"/>
              </w:divBdr>
              <w:divsChild>
                <w:div w:id="1922642982">
                  <w:marLeft w:val="0"/>
                  <w:marRight w:val="0"/>
                  <w:marTop w:val="0"/>
                  <w:marBottom w:val="0"/>
                  <w:divBdr>
                    <w:top w:val="none" w:sz="0" w:space="0" w:color="auto"/>
                    <w:left w:val="none" w:sz="0" w:space="0" w:color="auto"/>
                    <w:bottom w:val="none" w:sz="0" w:space="0" w:color="auto"/>
                    <w:right w:val="none" w:sz="0" w:space="0" w:color="auto"/>
                  </w:divBdr>
                  <w:divsChild>
                    <w:div w:id="15564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12775">
          <w:marLeft w:val="0"/>
          <w:marRight w:val="0"/>
          <w:marTop w:val="0"/>
          <w:marBottom w:val="0"/>
          <w:divBdr>
            <w:top w:val="none" w:sz="0" w:space="0" w:color="auto"/>
            <w:left w:val="none" w:sz="0" w:space="0" w:color="auto"/>
            <w:bottom w:val="none" w:sz="0" w:space="0" w:color="auto"/>
            <w:right w:val="none" w:sz="0" w:space="0" w:color="auto"/>
          </w:divBdr>
          <w:divsChild>
            <w:div w:id="1520467709">
              <w:marLeft w:val="0"/>
              <w:marRight w:val="0"/>
              <w:marTop w:val="0"/>
              <w:marBottom w:val="0"/>
              <w:divBdr>
                <w:top w:val="none" w:sz="0" w:space="0" w:color="auto"/>
                <w:left w:val="none" w:sz="0" w:space="0" w:color="auto"/>
                <w:bottom w:val="none" w:sz="0" w:space="0" w:color="auto"/>
                <w:right w:val="none" w:sz="0" w:space="0" w:color="auto"/>
              </w:divBdr>
              <w:divsChild>
                <w:div w:id="601380602">
                  <w:marLeft w:val="0"/>
                  <w:marRight w:val="0"/>
                  <w:marTop w:val="0"/>
                  <w:marBottom w:val="0"/>
                  <w:divBdr>
                    <w:top w:val="none" w:sz="0" w:space="0" w:color="auto"/>
                    <w:left w:val="none" w:sz="0" w:space="0" w:color="auto"/>
                    <w:bottom w:val="none" w:sz="0" w:space="0" w:color="auto"/>
                    <w:right w:val="none" w:sz="0" w:space="0" w:color="auto"/>
                  </w:divBdr>
                  <w:divsChild>
                    <w:div w:id="1642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90664">
      <w:bodyDiv w:val="1"/>
      <w:marLeft w:val="0"/>
      <w:marRight w:val="0"/>
      <w:marTop w:val="0"/>
      <w:marBottom w:val="0"/>
      <w:divBdr>
        <w:top w:val="none" w:sz="0" w:space="0" w:color="auto"/>
        <w:left w:val="none" w:sz="0" w:space="0" w:color="auto"/>
        <w:bottom w:val="none" w:sz="0" w:space="0" w:color="auto"/>
        <w:right w:val="none" w:sz="0" w:space="0" w:color="auto"/>
      </w:divBdr>
      <w:divsChild>
        <w:div w:id="1844855570">
          <w:marLeft w:val="0"/>
          <w:marRight w:val="0"/>
          <w:marTop w:val="0"/>
          <w:marBottom w:val="0"/>
          <w:divBdr>
            <w:top w:val="none" w:sz="0" w:space="0" w:color="auto"/>
            <w:left w:val="none" w:sz="0" w:space="0" w:color="auto"/>
            <w:bottom w:val="none" w:sz="0" w:space="0" w:color="auto"/>
            <w:right w:val="none" w:sz="0" w:space="0" w:color="auto"/>
          </w:divBdr>
          <w:divsChild>
            <w:div w:id="861093992">
              <w:marLeft w:val="0"/>
              <w:marRight w:val="0"/>
              <w:marTop w:val="0"/>
              <w:marBottom w:val="0"/>
              <w:divBdr>
                <w:top w:val="none" w:sz="0" w:space="0" w:color="auto"/>
                <w:left w:val="none" w:sz="0" w:space="0" w:color="auto"/>
                <w:bottom w:val="none" w:sz="0" w:space="0" w:color="auto"/>
                <w:right w:val="none" w:sz="0" w:space="0" w:color="auto"/>
              </w:divBdr>
              <w:divsChild>
                <w:div w:id="10858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78007">
      <w:bodyDiv w:val="1"/>
      <w:marLeft w:val="0"/>
      <w:marRight w:val="0"/>
      <w:marTop w:val="0"/>
      <w:marBottom w:val="0"/>
      <w:divBdr>
        <w:top w:val="none" w:sz="0" w:space="0" w:color="auto"/>
        <w:left w:val="none" w:sz="0" w:space="0" w:color="auto"/>
        <w:bottom w:val="none" w:sz="0" w:space="0" w:color="auto"/>
        <w:right w:val="none" w:sz="0" w:space="0" w:color="auto"/>
      </w:divBdr>
      <w:divsChild>
        <w:div w:id="1776754197">
          <w:marLeft w:val="0"/>
          <w:marRight w:val="0"/>
          <w:marTop w:val="0"/>
          <w:marBottom w:val="0"/>
          <w:divBdr>
            <w:top w:val="none" w:sz="0" w:space="0" w:color="auto"/>
            <w:left w:val="none" w:sz="0" w:space="0" w:color="auto"/>
            <w:bottom w:val="none" w:sz="0" w:space="0" w:color="auto"/>
            <w:right w:val="none" w:sz="0" w:space="0" w:color="auto"/>
          </w:divBdr>
          <w:divsChild>
            <w:div w:id="45641251">
              <w:marLeft w:val="0"/>
              <w:marRight w:val="0"/>
              <w:marTop w:val="0"/>
              <w:marBottom w:val="0"/>
              <w:divBdr>
                <w:top w:val="none" w:sz="0" w:space="0" w:color="auto"/>
                <w:left w:val="none" w:sz="0" w:space="0" w:color="auto"/>
                <w:bottom w:val="none" w:sz="0" w:space="0" w:color="auto"/>
                <w:right w:val="none" w:sz="0" w:space="0" w:color="auto"/>
              </w:divBdr>
              <w:divsChild>
                <w:div w:id="2071148001">
                  <w:marLeft w:val="0"/>
                  <w:marRight w:val="0"/>
                  <w:marTop w:val="0"/>
                  <w:marBottom w:val="0"/>
                  <w:divBdr>
                    <w:top w:val="none" w:sz="0" w:space="0" w:color="auto"/>
                    <w:left w:val="none" w:sz="0" w:space="0" w:color="auto"/>
                    <w:bottom w:val="none" w:sz="0" w:space="0" w:color="auto"/>
                    <w:right w:val="none" w:sz="0" w:space="0" w:color="auto"/>
                  </w:divBdr>
                  <w:divsChild>
                    <w:div w:id="29926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26065">
      <w:bodyDiv w:val="1"/>
      <w:marLeft w:val="0"/>
      <w:marRight w:val="0"/>
      <w:marTop w:val="0"/>
      <w:marBottom w:val="0"/>
      <w:divBdr>
        <w:top w:val="none" w:sz="0" w:space="0" w:color="auto"/>
        <w:left w:val="none" w:sz="0" w:space="0" w:color="auto"/>
        <w:bottom w:val="none" w:sz="0" w:space="0" w:color="auto"/>
        <w:right w:val="none" w:sz="0" w:space="0" w:color="auto"/>
      </w:divBdr>
    </w:div>
    <w:div w:id="450128895">
      <w:bodyDiv w:val="1"/>
      <w:marLeft w:val="0"/>
      <w:marRight w:val="0"/>
      <w:marTop w:val="0"/>
      <w:marBottom w:val="0"/>
      <w:divBdr>
        <w:top w:val="none" w:sz="0" w:space="0" w:color="auto"/>
        <w:left w:val="none" w:sz="0" w:space="0" w:color="auto"/>
        <w:bottom w:val="none" w:sz="0" w:space="0" w:color="auto"/>
        <w:right w:val="none" w:sz="0" w:space="0" w:color="auto"/>
      </w:divBdr>
      <w:divsChild>
        <w:div w:id="1487235837">
          <w:marLeft w:val="0"/>
          <w:marRight w:val="0"/>
          <w:marTop w:val="0"/>
          <w:marBottom w:val="0"/>
          <w:divBdr>
            <w:top w:val="none" w:sz="0" w:space="0" w:color="auto"/>
            <w:left w:val="none" w:sz="0" w:space="0" w:color="auto"/>
            <w:bottom w:val="none" w:sz="0" w:space="0" w:color="auto"/>
            <w:right w:val="none" w:sz="0" w:space="0" w:color="auto"/>
          </w:divBdr>
          <w:divsChild>
            <w:div w:id="1471362594">
              <w:marLeft w:val="0"/>
              <w:marRight w:val="0"/>
              <w:marTop w:val="0"/>
              <w:marBottom w:val="0"/>
              <w:divBdr>
                <w:top w:val="none" w:sz="0" w:space="0" w:color="auto"/>
                <w:left w:val="none" w:sz="0" w:space="0" w:color="auto"/>
                <w:bottom w:val="none" w:sz="0" w:space="0" w:color="auto"/>
                <w:right w:val="none" w:sz="0" w:space="0" w:color="auto"/>
              </w:divBdr>
              <w:divsChild>
                <w:div w:id="1419863199">
                  <w:marLeft w:val="0"/>
                  <w:marRight w:val="0"/>
                  <w:marTop w:val="0"/>
                  <w:marBottom w:val="0"/>
                  <w:divBdr>
                    <w:top w:val="none" w:sz="0" w:space="0" w:color="auto"/>
                    <w:left w:val="none" w:sz="0" w:space="0" w:color="auto"/>
                    <w:bottom w:val="none" w:sz="0" w:space="0" w:color="auto"/>
                    <w:right w:val="none" w:sz="0" w:space="0" w:color="auto"/>
                  </w:divBdr>
                  <w:divsChild>
                    <w:div w:id="7216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88410">
      <w:bodyDiv w:val="1"/>
      <w:marLeft w:val="0"/>
      <w:marRight w:val="0"/>
      <w:marTop w:val="0"/>
      <w:marBottom w:val="0"/>
      <w:divBdr>
        <w:top w:val="none" w:sz="0" w:space="0" w:color="auto"/>
        <w:left w:val="none" w:sz="0" w:space="0" w:color="auto"/>
        <w:bottom w:val="none" w:sz="0" w:space="0" w:color="auto"/>
        <w:right w:val="none" w:sz="0" w:space="0" w:color="auto"/>
      </w:divBdr>
      <w:divsChild>
        <w:div w:id="1704818517">
          <w:marLeft w:val="0"/>
          <w:marRight w:val="0"/>
          <w:marTop w:val="0"/>
          <w:marBottom w:val="0"/>
          <w:divBdr>
            <w:top w:val="none" w:sz="0" w:space="0" w:color="auto"/>
            <w:left w:val="none" w:sz="0" w:space="0" w:color="auto"/>
            <w:bottom w:val="none" w:sz="0" w:space="0" w:color="auto"/>
            <w:right w:val="none" w:sz="0" w:space="0" w:color="auto"/>
          </w:divBdr>
          <w:divsChild>
            <w:div w:id="1969581436">
              <w:marLeft w:val="0"/>
              <w:marRight w:val="0"/>
              <w:marTop w:val="0"/>
              <w:marBottom w:val="0"/>
              <w:divBdr>
                <w:top w:val="none" w:sz="0" w:space="0" w:color="auto"/>
                <w:left w:val="none" w:sz="0" w:space="0" w:color="auto"/>
                <w:bottom w:val="none" w:sz="0" w:space="0" w:color="auto"/>
                <w:right w:val="none" w:sz="0" w:space="0" w:color="auto"/>
              </w:divBdr>
              <w:divsChild>
                <w:div w:id="1514685084">
                  <w:marLeft w:val="0"/>
                  <w:marRight w:val="0"/>
                  <w:marTop w:val="0"/>
                  <w:marBottom w:val="0"/>
                  <w:divBdr>
                    <w:top w:val="none" w:sz="0" w:space="0" w:color="auto"/>
                    <w:left w:val="none" w:sz="0" w:space="0" w:color="auto"/>
                    <w:bottom w:val="none" w:sz="0" w:space="0" w:color="auto"/>
                    <w:right w:val="none" w:sz="0" w:space="0" w:color="auto"/>
                  </w:divBdr>
                  <w:divsChild>
                    <w:div w:id="21242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118002">
      <w:bodyDiv w:val="1"/>
      <w:marLeft w:val="0"/>
      <w:marRight w:val="0"/>
      <w:marTop w:val="0"/>
      <w:marBottom w:val="0"/>
      <w:divBdr>
        <w:top w:val="none" w:sz="0" w:space="0" w:color="auto"/>
        <w:left w:val="none" w:sz="0" w:space="0" w:color="auto"/>
        <w:bottom w:val="none" w:sz="0" w:space="0" w:color="auto"/>
        <w:right w:val="none" w:sz="0" w:space="0" w:color="auto"/>
      </w:divBdr>
      <w:divsChild>
        <w:div w:id="1012729937">
          <w:marLeft w:val="0"/>
          <w:marRight w:val="0"/>
          <w:marTop w:val="0"/>
          <w:marBottom w:val="0"/>
          <w:divBdr>
            <w:top w:val="none" w:sz="0" w:space="0" w:color="auto"/>
            <w:left w:val="none" w:sz="0" w:space="0" w:color="auto"/>
            <w:bottom w:val="none" w:sz="0" w:space="0" w:color="auto"/>
            <w:right w:val="none" w:sz="0" w:space="0" w:color="auto"/>
          </w:divBdr>
          <w:divsChild>
            <w:div w:id="1271857183">
              <w:marLeft w:val="0"/>
              <w:marRight w:val="0"/>
              <w:marTop w:val="0"/>
              <w:marBottom w:val="0"/>
              <w:divBdr>
                <w:top w:val="none" w:sz="0" w:space="0" w:color="auto"/>
                <w:left w:val="none" w:sz="0" w:space="0" w:color="auto"/>
                <w:bottom w:val="none" w:sz="0" w:space="0" w:color="auto"/>
                <w:right w:val="none" w:sz="0" w:space="0" w:color="auto"/>
              </w:divBdr>
              <w:divsChild>
                <w:div w:id="20134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22017">
      <w:bodyDiv w:val="1"/>
      <w:marLeft w:val="0"/>
      <w:marRight w:val="0"/>
      <w:marTop w:val="0"/>
      <w:marBottom w:val="0"/>
      <w:divBdr>
        <w:top w:val="none" w:sz="0" w:space="0" w:color="auto"/>
        <w:left w:val="none" w:sz="0" w:space="0" w:color="auto"/>
        <w:bottom w:val="none" w:sz="0" w:space="0" w:color="auto"/>
        <w:right w:val="none" w:sz="0" w:space="0" w:color="auto"/>
      </w:divBdr>
    </w:div>
    <w:div w:id="524827019">
      <w:bodyDiv w:val="1"/>
      <w:marLeft w:val="0"/>
      <w:marRight w:val="0"/>
      <w:marTop w:val="0"/>
      <w:marBottom w:val="0"/>
      <w:divBdr>
        <w:top w:val="none" w:sz="0" w:space="0" w:color="auto"/>
        <w:left w:val="none" w:sz="0" w:space="0" w:color="auto"/>
        <w:bottom w:val="none" w:sz="0" w:space="0" w:color="auto"/>
        <w:right w:val="none" w:sz="0" w:space="0" w:color="auto"/>
      </w:divBdr>
      <w:divsChild>
        <w:div w:id="1040201379">
          <w:marLeft w:val="0"/>
          <w:marRight w:val="0"/>
          <w:marTop w:val="0"/>
          <w:marBottom w:val="0"/>
          <w:divBdr>
            <w:top w:val="none" w:sz="0" w:space="0" w:color="auto"/>
            <w:left w:val="none" w:sz="0" w:space="0" w:color="auto"/>
            <w:bottom w:val="none" w:sz="0" w:space="0" w:color="auto"/>
            <w:right w:val="none" w:sz="0" w:space="0" w:color="auto"/>
          </w:divBdr>
          <w:divsChild>
            <w:div w:id="1401369225">
              <w:marLeft w:val="0"/>
              <w:marRight w:val="0"/>
              <w:marTop w:val="0"/>
              <w:marBottom w:val="0"/>
              <w:divBdr>
                <w:top w:val="none" w:sz="0" w:space="0" w:color="auto"/>
                <w:left w:val="none" w:sz="0" w:space="0" w:color="auto"/>
                <w:bottom w:val="none" w:sz="0" w:space="0" w:color="auto"/>
                <w:right w:val="none" w:sz="0" w:space="0" w:color="auto"/>
              </w:divBdr>
              <w:divsChild>
                <w:div w:id="1995066619">
                  <w:marLeft w:val="0"/>
                  <w:marRight w:val="0"/>
                  <w:marTop w:val="0"/>
                  <w:marBottom w:val="0"/>
                  <w:divBdr>
                    <w:top w:val="none" w:sz="0" w:space="0" w:color="auto"/>
                    <w:left w:val="none" w:sz="0" w:space="0" w:color="auto"/>
                    <w:bottom w:val="none" w:sz="0" w:space="0" w:color="auto"/>
                    <w:right w:val="none" w:sz="0" w:space="0" w:color="auto"/>
                  </w:divBdr>
                  <w:divsChild>
                    <w:div w:id="579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185056">
      <w:bodyDiv w:val="1"/>
      <w:marLeft w:val="0"/>
      <w:marRight w:val="0"/>
      <w:marTop w:val="0"/>
      <w:marBottom w:val="0"/>
      <w:divBdr>
        <w:top w:val="none" w:sz="0" w:space="0" w:color="auto"/>
        <w:left w:val="none" w:sz="0" w:space="0" w:color="auto"/>
        <w:bottom w:val="none" w:sz="0" w:space="0" w:color="auto"/>
        <w:right w:val="none" w:sz="0" w:space="0" w:color="auto"/>
      </w:divBdr>
      <w:divsChild>
        <w:div w:id="1993562092">
          <w:marLeft w:val="0"/>
          <w:marRight w:val="0"/>
          <w:marTop w:val="0"/>
          <w:marBottom w:val="0"/>
          <w:divBdr>
            <w:top w:val="none" w:sz="0" w:space="0" w:color="auto"/>
            <w:left w:val="none" w:sz="0" w:space="0" w:color="auto"/>
            <w:bottom w:val="none" w:sz="0" w:space="0" w:color="auto"/>
            <w:right w:val="none" w:sz="0" w:space="0" w:color="auto"/>
          </w:divBdr>
          <w:divsChild>
            <w:div w:id="1696031063">
              <w:marLeft w:val="0"/>
              <w:marRight w:val="0"/>
              <w:marTop w:val="0"/>
              <w:marBottom w:val="0"/>
              <w:divBdr>
                <w:top w:val="none" w:sz="0" w:space="0" w:color="auto"/>
                <w:left w:val="none" w:sz="0" w:space="0" w:color="auto"/>
                <w:bottom w:val="none" w:sz="0" w:space="0" w:color="auto"/>
                <w:right w:val="none" w:sz="0" w:space="0" w:color="auto"/>
              </w:divBdr>
              <w:divsChild>
                <w:div w:id="763888112">
                  <w:marLeft w:val="0"/>
                  <w:marRight w:val="0"/>
                  <w:marTop w:val="0"/>
                  <w:marBottom w:val="0"/>
                  <w:divBdr>
                    <w:top w:val="none" w:sz="0" w:space="0" w:color="auto"/>
                    <w:left w:val="none" w:sz="0" w:space="0" w:color="auto"/>
                    <w:bottom w:val="none" w:sz="0" w:space="0" w:color="auto"/>
                    <w:right w:val="none" w:sz="0" w:space="0" w:color="auto"/>
                  </w:divBdr>
                  <w:divsChild>
                    <w:div w:id="11107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692050">
      <w:bodyDiv w:val="1"/>
      <w:marLeft w:val="0"/>
      <w:marRight w:val="0"/>
      <w:marTop w:val="0"/>
      <w:marBottom w:val="0"/>
      <w:divBdr>
        <w:top w:val="none" w:sz="0" w:space="0" w:color="auto"/>
        <w:left w:val="none" w:sz="0" w:space="0" w:color="auto"/>
        <w:bottom w:val="none" w:sz="0" w:space="0" w:color="auto"/>
        <w:right w:val="none" w:sz="0" w:space="0" w:color="auto"/>
      </w:divBdr>
      <w:divsChild>
        <w:div w:id="938610580">
          <w:marLeft w:val="0"/>
          <w:marRight w:val="0"/>
          <w:marTop w:val="0"/>
          <w:marBottom w:val="0"/>
          <w:divBdr>
            <w:top w:val="none" w:sz="0" w:space="0" w:color="auto"/>
            <w:left w:val="none" w:sz="0" w:space="0" w:color="auto"/>
            <w:bottom w:val="none" w:sz="0" w:space="0" w:color="auto"/>
            <w:right w:val="none" w:sz="0" w:space="0" w:color="auto"/>
          </w:divBdr>
          <w:divsChild>
            <w:div w:id="671688448">
              <w:marLeft w:val="0"/>
              <w:marRight w:val="0"/>
              <w:marTop w:val="0"/>
              <w:marBottom w:val="0"/>
              <w:divBdr>
                <w:top w:val="none" w:sz="0" w:space="0" w:color="auto"/>
                <w:left w:val="none" w:sz="0" w:space="0" w:color="auto"/>
                <w:bottom w:val="none" w:sz="0" w:space="0" w:color="auto"/>
                <w:right w:val="none" w:sz="0" w:space="0" w:color="auto"/>
              </w:divBdr>
              <w:divsChild>
                <w:div w:id="10394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38402">
      <w:bodyDiv w:val="1"/>
      <w:marLeft w:val="0"/>
      <w:marRight w:val="0"/>
      <w:marTop w:val="0"/>
      <w:marBottom w:val="0"/>
      <w:divBdr>
        <w:top w:val="none" w:sz="0" w:space="0" w:color="auto"/>
        <w:left w:val="none" w:sz="0" w:space="0" w:color="auto"/>
        <w:bottom w:val="none" w:sz="0" w:space="0" w:color="auto"/>
        <w:right w:val="none" w:sz="0" w:space="0" w:color="auto"/>
      </w:divBdr>
      <w:divsChild>
        <w:div w:id="623927047">
          <w:marLeft w:val="0"/>
          <w:marRight w:val="0"/>
          <w:marTop w:val="0"/>
          <w:marBottom w:val="0"/>
          <w:divBdr>
            <w:top w:val="none" w:sz="0" w:space="0" w:color="auto"/>
            <w:left w:val="none" w:sz="0" w:space="0" w:color="auto"/>
            <w:bottom w:val="none" w:sz="0" w:space="0" w:color="auto"/>
            <w:right w:val="none" w:sz="0" w:space="0" w:color="auto"/>
          </w:divBdr>
          <w:divsChild>
            <w:div w:id="1923441655">
              <w:marLeft w:val="0"/>
              <w:marRight w:val="0"/>
              <w:marTop w:val="0"/>
              <w:marBottom w:val="0"/>
              <w:divBdr>
                <w:top w:val="none" w:sz="0" w:space="0" w:color="auto"/>
                <w:left w:val="none" w:sz="0" w:space="0" w:color="auto"/>
                <w:bottom w:val="none" w:sz="0" w:space="0" w:color="auto"/>
                <w:right w:val="none" w:sz="0" w:space="0" w:color="auto"/>
              </w:divBdr>
              <w:divsChild>
                <w:div w:id="181170006">
                  <w:marLeft w:val="0"/>
                  <w:marRight w:val="0"/>
                  <w:marTop w:val="0"/>
                  <w:marBottom w:val="0"/>
                  <w:divBdr>
                    <w:top w:val="none" w:sz="0" w:space="0" w:color="auto"/>
                    <w:left w:val="none" w:sz="0" w:space="0" w:color="auto"/>
                    <w:bottom w:val="none" w:sz="0" w:space="0" w:color="auto"/>
                    <w:right w:val="none" w:sz="0" w:space="0" w:color="auto"/>
                  </w:divBdr>
                  <w:divsChild>
                    <w:div w:id="14651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61435">
      <w:bodyDiv w:val="1"/>
      <w:marLeft w:val="0"/>
      <w:marRight w:val="0"/>
      <w:marTop w:val="0"/>
      <w:marBottom w:val="0"/>
      <w:divBdr>
        <w:top w:val="none" w:sz="0" w:space="0" w:color="auto"/>
        <w:left w:val="none" w:sz="0" w:space="0" w:color="auto"/>
        <w:bottom w:val="none" w:sz="0" w:space="0" w:color="auto"/>
        <w:right w:val="none" w:sz="0" w:space="0" w:color="auto"/>
      </w:divBdr>
    </w:div>
    <w:div w:id="575630487">
      <w:bodyDiv w:val="1"/>
      <w:marLeft w:val="0"/>
      <w:marRight w:val="0"/>
      <w:marTop w:val="0"/>
      <w:marBottom w:val="0"/>
      <w:divBdr>
        <w:top w:val="none" w:sz="0" w:space="0" w:color="auto"/>
        <w:left w:val="none" w:sz="0" w:space="0" w:color="auto"/>
        <w:bottom w:val="none" w:sz="0" w:space="0" w:color="auto"/>
        <w:right w:val="none" w:sz="0" w:space="0" w:color="auto"/>
      </w:divBdr>
      <w:divsChild>
        <w:div w:id="940840106">
          <w:marLeft w:val="0"/>
          <w:marRight w:val="0"/>
          <w:marTop w:val="0"/>
          <w:marBottom w:val="0"/>
          <w:divBdr>
            <w:top w:val="none" w:sz="0" w:space="0" w:color="auto"/>
            <w:left w:val="none" w:sz="0" w:space="0" w:color="auto"/>
            <w:bottom w:val="none" w:sz="0" w:space="0" w:color="auto"/>
            <w:right w:val="none" w:sz="0" w:space="0" w:color="auto"/>
          </w:divBdr>
          <w:divsChild>
            <w:div w:id="745422470">
              <w:marLeft w:val="0"/>
              <w:marRight w:val="0"/>
              <w:marTop w:val="0"/>
              <w:marBottom w:val="0"/>
              <w:divBdr>
                <w:top w:val="none" w:sz="0" w:space="0" w:color="auto"/>
                <w:left w:val="none" w:sz="0" w:space="0" w:color="auto"/>
                <w:bottom w:val="none" w:sz="0" w:space="0" w:color="auto"/>
                <w:right w:val="none" w:sz="0" w:space="0" w:color="auto"/>
              </w:divBdr>
              <w:divsChild>
                <w:div w:id="520320910">
                  <w:marLeft w:val="0"/>
                  <w:marRight w:val="0"/>
                  <w:marTop w:val="0"/>
                  <w:marBottom w:val="0"/>
                  <w:divBdr>
                    <w:top w:val="none" w:sz="0" w:space="0" w:color="auto"/>
                    <w:left w:val="none" w:sz="0" w:space="0" w:color="auto"/>
                    <w:bottom w:val="none" w:sz="0" w:space="0" w:color="auto"/>
                    <w:right w:val="none" w:sz="0" w:space="0" w:color="auto"/>
                  </w:divBdr>
                  <w:divsChild>
                    <w:div w:id="18053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34239">
          <w:marLeft w:val="0"/>
          <w:marRight w:val="0"/>
          <w:marTop w:val="0"/>
          <w:marBottom w:val="0"/>
          <w:divBdr>
            <w:top w:val="none" w:sz="0" w:space="0" w:color="auto"/>
            <w:left w:val="none" w:sz="0" w:space="0" w:color="auto"/>
            <w:bottom w:val="none" w:sz="0" w:space="0" w:color="auto"/>
            <w:right w:val="none" w:sz="0" w:space="0" w:color="auto"/>
          </w:divBdr>
          <w:divsChild>
            <w:div w:id="1369792655">
              <w:marLeft w:val="0"/>
              <w:marRight w:val="0"/>
              <w:marTop w:val="0"/>
              <w:marBottom w:val="0"/>
              <w:divBdr>
                <w:top w:val="none" w:sz="0" w:space="0" w:color="auto"/>
                <w:left w:val="none" w:sz="0" w:space="0" w:color="auto"/>
                <w:bottom w:val="none" w:sz="0" w:space="0" w:color="auto"/>
                <w:right w:val="none" w:sz="0" w:space="0" w:color="auto"/>
              </w:divBdr>
              <w:divsChild>
                <w:div w:id="1580360303">
                  <w:marLeft w:val="0"/>
                  <w:marRight w:val="0"/>
                  <w:marTop w:val="0"/>
                  <w:marBottom w:val="0"/>
                  <w:divBdr>
                    <w:top w:val="none" w:sz="0" w:space="0" w:color="auto"/>
                    <w:left w:val="none" w:sz="0" w:space="0" w:color="auto"/>
                    <w:bottom w:val="none" w:sz="0" w:space="0" w:color="auto"/>
                    <w:right w:val="none" w:sz="0" w:space="0" w:color="auto"/>
                  </w:divBdr>
                  <w:divsChild>
                    <w:div w:id="12449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374851">
      <w:bodyDiv w:val="1"/>
      <w:marLeft w:val="0"/>
      <w:marRight w:val="0"/>
      <w:marTop w:val="0"/>
      <w:marBottom w:val="0"/>
      <w:divBdr>
        <w:top w:val="none" w:sz="0" w:space="0" w:color="auto"/>
        <w:left w:val="none" w:sz="0" w:space="0" w:color="auto"/>
        <w:bottom w:val="none" w:sz="0" w:space="0" w:color="auto"/>
        <w:right w:val="none" w:sz="0" w:space="0" w:color="auto"/>
      </w:divBdr>
      <w:divsChild>
        <w:div w:id="797601994">
          <w:marLeft w:val="0"/>
          <w:marRight w:val="0"/>
          <w:marTop w:val="0"/>
          <w:marBottom w:val="0"/>
          <w:divBdr>
            <w:top w:val="none" w:sz="0" w:space="0" w:color="auto"/>
            <w:left w:val="none" w:sz="0" w:space="0" w:color="auto"/>
            <w:bottom w:val="none" w:sz="0" w:space="0" w:color="auto"/>
            <w:right w:val="none" w:sz="0" w:space="0" w:color="auto"/>
          </w:divBdr>
          <w:divsChild>
            <w:div w:id="394476262">
              <w:marLeft w:val="0"/>
              <w:marRight w:val="0"/>
              <w:marTop w:val="0"/>
              <w:marBottom w:val="0"/>
              <w:divBdr>
                <w:top w:val="none" w:sz="0" w:space="0" w:color="auto"/>
                <w:left w:val="none" w:sz="0" w:space="0" w:color="auto"/>
                <w:bottom w:val="none" w:sz="0" w:space="0" w:color="auto"/>
                <w:right w:val="none" w:sz="0" w:space="0" w:color="auto"/>
              </w:divBdr>
              <w:divsChild>
                <w:div w:id="967516980">
                  <w:marLeft w:val="0"/>
                  <w:marRight w:val="0"/>
                  <w:marTop w:val="0"/>
                  <w:marBottom w:val="0"/>
                  <w:divBdr>
                    <w:top w:val="none" w:sz="0" w:space="0" w:color="auto"/>
                    <w:left w:val="none" w:sz="0" w:space="0" w:color="auto"/>
                    <w:bottom w:val="none" w:sz="0" w:space="0" w:color="auto"/>
                    <w:right w:val="none" w:sz="0" w:space="0" w:color="auto"/>
                  </w:divBdr>
                  <w:divsChild>
                    <w:div w:id="21050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9736">
      <w:bodyDiv w:val="1"/>
      <w:marLeft w:val="0"/>
      <w:marRight w:val="0"/>
      <w:marTop w:val="0"/>
      <w:marBottom w:val="0"/>
      <w:divBdr>
        <w:top w:val="none" w:sz="0" w:space="0" w:color="auto"/>
        <w:left w:val="none" w:sz="0" w:space="0" w:color="auto"/>
        <w:bottom w:val="none" w:sz="0" w:space="0" w:color="auto"/>
        <w:right w:val="none" w:sz="0" w:space="0" w:color="auto"/>
      </w:divBdr>
      <w:divsChild>
        <w:div w:id="1340427811">
          <w:marLeft w:val="0"/>
          <w:marRight w:val="0"/>
          <w:marTop w:val="0"/>
          <w:marBottom w:val="0"/>
          <w:divBdr>
            <w:top w:val="none" w:sz="0" w:space="0" w:color="auto"/>
            <w:left w:val="none" w:sz="0" w:space="0" w:color="auto"/>
            <w:bottom w:val="none" w:sz="0" w:space="0" w:color="auto"/>
            <w:right w:val="none" w:sz="0" w:space="0" w:color="auto"/>
          </w:divBdr>
          <w:divsChild>
            <w:div w:id="1028990871">
              <w:marLeft w:val="0"/>
              <w:marRight w:val="0"/>
              <w:marTop w:val="0"/>
              <w:marBottom w:val="0"/>
              <w:divBdr>
                <w:top w:val="none" w:sz="0" w:space="0" w:color="auto"/>
                <w:left w:val="none" w:sz="0" w:space="0" w:color="auto"/>
                <w:bottom w:val="none" w:sz="0" w:space="0" w:color="auto"/>
                <w:right w:val="none" w:sz="0" w:space="0" w:color="auto"/>
              </w:divBdr>
              <w:divsChild>
                <w:div w:id="564073124">
                  <w:marLeft w:val="0"/>
                  <w:marRight w:val="0"/>
                  <w:marTop w:val="0"/>
                  <w:marBottom w:val="0"/>
                  <w:divBdr>
                    <w:top w:val="none" w:sz="0" w:space="0" w:color="auto"/>
                    <w:left w:val="none" w:sz="0" w:space="0" w:color="auto"/>
                    <w:bottom w:val="none" w:sz="0" w:space="0" w:color="auto"/>
                    <w:right w:val="none" w:sz="0" w:space="0" w:color="auto"/>
                  </w:divBdr>
                  <w:divsChild>
                    <w:div w:id="10043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12857">
      <w:bodyDiv w:val="1"/>
      <w:marLeft w:val="0"/>
      <w:marRight w:val="0"/>
      <w:marTop w:val="0"/>
      <w:marBottom w:val="0"/>
      <w:divBdr>
        <w:top w:val="none" w:sz="0" w:space="0" w:color="auto"/>
        <w:left w:val="none" w:sz="0" w:space="0" w:color="auto"/>
        <w:bottom w:val="none" w:sz="0" w:space="0" w:color="auto"/>
        <w:right w:val="none" w:sz="0" w:space="0" w:color="auto"/>
      </w:divBdr>
      <w:divsChild>
        <w:div w:id="1218515677">
          <w:marLeft w:val="0"/>
          <w:marRight w:val="0"/>
          <w:marTop w:val="0"/>
          <w:marBottom w:val="0"/>
          <w:divBdr>
            <w:top w:val="none" w:sz="0" w:space="0" w:color="auto"/>
            <w:left w:val="none" w:sz="0" w:space="0" w:color="auto"/>
            <w:bottom w:val="none" w:sz="0" w:space="0" w:color="auto"/>
            <w:right w:val="none" w:sz="0" w:space="0" w:color="auto"/>
          </w:divBdr>
          <w:divsChild>
            <w:div w:id="2043438015">
              <w:marLeft w:val="0"/>
              <w:marRight w:val="0"/>
              <w:marTop w:val="0"/>
              <w:marBottom w:val="0"/>
              <w:divBdr>
                <w:top w:val="none" w:sz="0" w:space="0" w:color="auto"/>
                <w:left w:val="none" w:sz="0" w:space="0" w:color="auto"/>
                <w:bottom w:val="none" w:sz="0" w:space="0" w:color="auto"/>
                <w:right w:val="none" w:sz="0" w:space="0" w:color="auto"/>
              </w:divBdr>
              <w:divsChild>
                <w:div w:id="1101219091">
                  <w:marLeft w:val="0"/>
                  <w:marRight w:val="0"/>
                  <w:marTop w:val="0"/>
                  <w:marBottom w:val="0"/>
                  <w:divBdr>
                    <w:top w:val="none" w:sz="0" w:space="0" w:color="auto"/>
                    <w:left w:val="none" w:sz="0" w:space="0" w:color="auto"/>
                    <w:bottom w:val="none" w:sz="0" w:space="0" w:color="auto"/>
                    <w:right w:val="none" w:sz="0" w:space="0" w:color="auto"/>
                  </w:divBdr>
                  <w:divsChild>
                    <w:div w:id="89955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2417">
      <w:bodyDiv w:val="1"/>
      <w:marLeft w:val="0"/>
      <w:marRight w:val="0"/>
      <w:marTop w:val="0"/>
      <w:marBottom w:val="0"/>
      <w:divBdr>
        <w:top w:val="none" w:sz="0" w:space="0" w:color="auto"/>
        <w:left w:val="none" w:sz="0" w:space="0" w:color="auto"/>
        <w:bottom w:val="none" w:sz="0" w:space="0" w:color="auto"/>
        <w:right w:val="none" w:sz="0" w:space="0" w:color="auto"/>
      </w:divBdr>
      <w:divsChild>
        <w:div w:id="624625986">
          <w:marLeft w:val="0"/>
          <w:marRight w:val="0"/>
          <w:marTop w:val="0"/>
          <w:marBottom w:val="0"/>
          <w:divBdr>
            <w:top w:val="none" w:sz="0" w:space="0" w:color="auto"/>
            <w:left w:val="none" w:sz="0" w:space="0" w:color="auto"/>
            <w:bottom w:val="none" w:sz="0" w:space="0" w:color="auto"/>
            <w:right w:val="none" w:sz="0" w:space="0" w:color="auto"/>
          </w:divBdr>
          <w:divsChild>
            <w:div w:id="1793398897">
              <w:marLeft w:val="0"/>
              <w:marRight w:val="0"/>
              <w:marTop w:val="0"/>
              <w:marBottom w:val="0"/>
              <w:divBdr>
                <w:top w:val="none" w:sz="0" w:space="0" w:color="auto"/>
                <w:left w:val="none" w:sz="0" w:space="0" w:color="auto"/>
                <w:bottom w:val="none" w:sz="0" w:space="0" w:color="auto"/>
                <w:right w:val="none" w:sz="0" w:space="0" w:color="auto"/>
              </w:divBdr>
              <w:divsChild>
                <w:div w:id="1375696877">
                  <w:marLeft w:val="0"/>
                  <w:marRight w:val="0"/>
                  <w:marTop w:val="0"/>
                  <w:marBottom w:val="0"/>
                  <w:divBdr>
                    <w:top w:val="none" w:sz="0" w:space="0" w:color="auto"/>
                    <w:left w:val="none" w:sz="0" w:space="0" w:color="auto"/>
                    <w:bottom w:val="none" w:sz="0" w:space="0" w:color="auto"/>
                    <w:right w:val="none" w:sz="0" w:space="0" w:color="auto"/>
                  </w:divBdr>
                  <w:divsChild>
                    <w:div w:id="9817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70214">
      <w:bodyDiv w:val="1"/>
      <w:marLeft w:val="0"/>
      <w:marRight w:val="0"/>
      <w:marTop w:val="0"/>
      <w:marBottom w:val="0"/>
      <w:divBdr>
        <w:top w:val="none" w:sz="0" w:space="0" w:color="auto"/>
        <w:left w:val="none" w:sz="0" w:space="0" w:color="auto"/>
        <w:bottom w:val="none" w:sz="0" w:space="0" w:color="auto"/>
        <w:right w:val="none" w:sz="0" w:space="0" w:color="auto"/>
      </w:divBdr>
      <w:divsChild>
        <w:div w:id="1430274554">
          <w:marLeft w:val="0"/>
          <w:marRight w:val="0"/>
          <w:marTop w:val="0"/>
          <w:marBottom w:val="0"/>
          <w:divBdr>
            <w:top w:val="none" w:sz="0" w:space="0" w:color="auto"/>
            <w:left w:val="none" w:sz="0" w:space="0" w:color="auto"/>
            <w:bottom w:val="none" w:sz="0" w:space="0" w:color="auto"/>
            <w:right w:val="none" w:sz="0" w:space="0" w:color="auto"/>
          </w:divBdr>
          <w:divsChild>
            <w:div w:id="1063599511">
              <w:marLeft w:val="0"/>
              <w:marRight w:val="0"/>
              <w:marTop w:val="0"/>
              <w:marBottom w:val="0"/>
              <w:divBdr>
                <w:top w:val="none" w:sz="0" w:space="0" w:color="auto"/>
                <w:left w:val="none" w:sz="0" w:space="0" w:color="auto"/>
                <w:bottom w:val="none" w:sz="0" w:space="0" w:color="auto"/>
                <w:right w:val="none" w:sz="0" w:space="0" w:color="auto"/>
              </w:divBdr>
              <w:divsChild>
                <w:div w:id="2070616818">
                  <w:marLeft w:val="0"/>
                  <w:marRight w:val="0"/>
                  <w:marTop w:val="0"/>
                  <w:marBottom w:val="0"/>
                  <w:divBdr>
                    <w:top w:val="none" w:sz="0" w:space="0" w:color="auto"/>
                    <w:left w:val="none" w:sz="0" w:space="0" w:color="auto"/>
                    <w:bottom w:val="none" w:sz="0" w:space="0" w:color="auto"/>
                    <w:right w:val="none" w:sz="0" w:space="0" w:color="auto"/>
                  </w:divBdr>
                  <w:divsChild>
                    <w:div w:id="4344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16923">
      <w:bodyDiv w:val="1"/>
      <w:marLeft w:val="0"/>
      <w:marRight w:val="0"/>
      <w:marTop w:val="0"/>
      <w:marBottom w:val="0"/>
      <w:divBdr>
        <w:top w:val="none" w:sz="0" w:space="0" w:color="auto"/>
        <w:left w:val="none" w:sz="0" w:space="0" w:color="auto"/>
        <w:bottom w:val="none" w:sz="0" w:space="0" w:color="auto"/>
        <w:right w:val="none" w:sz="0" w:space="0" w:color="auto"/>
      </w:divBdr>
      <w:divsChild>
        <w:div w:id="531261602">
          <w:marLeft w:val="0"/>
          <w:marRight w:val="0"/>
          <w:marTop w:val="0"/>
          <w:marBottom w:val="0"/>
          <w:divBdr>
            <w:top w:val="none" w:sz="0" w:space="0" w:color="auto"/>
            <w:left w:val="none" w:sz="0" w:space="0" w:color="auto"/>
            <w:bottom w:val="none" w:sz="0" w:space="0" w:color="auto"/>
            <w:right w:val="none" w:sz="0" w:space="0" w:color="auto"/>
          </w:divBdr>
          <w:divsChild>
            <w:div w:id="1253202124">
              <w:marLeft w:val="0"/>
              <w:marRight w:val="0"/>
              <w:marTop w:val="0"/>
              <w:marBottom w:val="0"/>
              <w:divBdr>
                <w:top w:val="none" w:sz="0" w:space="0" w:color="auto"/>
                <w:left w:val="none" w:sz="0" w:space="0" w:color="auto"/>
                <w:bottom w:val="none" w:sz="0" w:space="0" w:color="auto"/>
                <w:right w:val="none" w:sz="0" w:space="0" w:color="auto"/>
              </w:divBdr>
              <w:divsChild>
                <w:div w:id="1026907471">
                  <w:marLeft w:val="0"/>
                  <w:marRight w:val="0"/>
                  <w:marTop w:val="0"/>
                  <w:marBottom w:val="0"/>
                  <w:divBdr>
                    <w:top w:val="none" w:sz="0" w:space="0" w:color="auto"/>
                    <w:left w:val="none" w:sz="0" w:space="0" w:color="auto"/>
                    <w:bottom w:val="none" w:sz="0" w:space="0" w:color="auto"/>
                    <w:right w:val="none" w:sz="0" w:space="0" w:color="auto"/>
                  </w:divBdr>
                  <w:divsChild>
                    <w:div w:id="13969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393179">
      <w:bodyDiv w:val="1"/>
      <w:marLeft w:val="0"/>
      <w:marRight w:val="0"/>
      <w:marTop w:val="0"/>
      <w:marBottom w:val="0"/>
      <w:divBdr>
        <w:top w:val="none" w:sz="0" w:space="0" w:color="auto"/>
        <w:left w:val="none" w:sz="0" w:space="0" w:color="auto"/>
        <w:bottom w:val="none" w:sz="0" w:space="0" w:color="auto"/>
        <w:right w:val="none" w:sz="0" w:space="0" w:color="auto"/>
      </w:divBdr>
    </w:div>
    <w:div w:id="691955438">
      <w:bodyDiv w:val="1"/>
      <w:marLeft w:val="0"/>
      <w:marRight w:val="0"/>
      <w:marTop w:val="0"/>
      <w:marBottom w:val="0"/>
      <w:divBdr>
        <w:top w:val="none" w:sz="0" w:space="0" w:color="auto"/>
        <w:left w:val="none" w:sz="0" w:space="0" w:color="auto"/>
        <w:bottom w:val="none" w:sz="0" w:space="0" w:color="auto"/>
        <w:right w:val="none" w:sz="0" w:space="0" w:color="auto"/>
      </w:divBdr>
      <w:divsChild>
        <w:div w:id="1926453816">
          <w:marLeft w:val="0"/>
          <w:marRight w:val="0"/>
          <w:marTop w:val="0"/>
          <w:marBottom w:val="0"/>
          <w:divBdr>
            <w:top w:val="none" w:sz="0" w:space="0" w:color="auto"/>
            <w:left w:val="none" w:sz="0" w:space="0" w:color="auto"/>
            <w:bottom w:val="none" w:sz="0" w:space="0" w:color="auto"/>
            <w:right w:val="none" w:sz="0" w:space="0" w:color="auto"/>
          </w:divBdr>
          <w:divsChild>
            <w:div w:id="58484329">
              <w:marLeft w:val="0"/>
              <w:marRight w:val="0"/>
              <w:marTop w:val="0"/>
              <w:marBottom w:val="0"/>
              <w:divBdr>
                <w:top w:val="none" w:sz="0" w:space="0" w:color="auto"/>
                <w:left w:val="none" w:sz="0" w:space="0" w:color="auto"/>
                <w:bottom w:val="none" w:sz="0" w:space="0" w:color="auto"/>
                <w:right w:val="none" w:sz="0" w:space="0" w:color="auto"/>
              </w:divBdr>
              <w:divsChild>
                <w:div w:id="578295513">
                  <w:marLeft w:val="0"/>
                  <w:marRight w:val="0"/>
                  <w:marTop w:val="0"/>
                  <w:marBottom w:val="0"/>
                  <w:divBdr>
                    <w:top w:val="none" w:sz="0" w:space="0" w:color="auto"/>
                    <w:left w:val="none" w:sz="0" w:space="0" w:color="auto"/>
                    <w:bottom w:val="none" w:sz="0" w:space="0" w:color="auto"/>
                    <w:right w:val="none" w:sz="0" w:space="0" w:color="auto"/>
                  </w:divBdr>
                  <w:divsChild>
                    <w:div w:id="16632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740920">
      <w:bodyDiv w:val="1"/>
      <w:marLeft w:val="0"/>
      <w:marRight w:val="0"/>
      <w:marTop w:val="0"/>
      <w:marBottom w:val="0"/>
      <w:divBdr>
        <w:top w:val="none" w:sz="0" w:space="0" w:color="auto"/>
        <w:left w:val="none" w:sz="0" w:space="0" w:color="auto"/>
        <w:bottom w:val="none" w:sz="0" w:space="0" w:color="auto"/>
        <w:right w:val="none" w:sz="0" w:space="0" w:color="auto"/>
      </w:divBdr>
      <w:divsChild>
        <w:div w:id="1568110101">
          <w:marLeft w:val="0"/>
          <w:marRight w:val="0"/>
          <w:marTop w:val="0"/>
          <w:marBottom w:val="0"/>
          <w:divBdr>
            <w:top w:val="none" w:sz="0" w:space="0" w:color="auto"/>
            <w:left w:val="none" w:sz="0" w:space="0" w:color="auto"/>
            <w:bottom w:val="none" w:sz="0" w:space="0" w:color="auto"/>
            <w:right w:val="none" w:sz="0" w:space="0" w:color="auto"/>
          </w:divBdr>
          <w:divsChild>
            <w:div w:id="2004581027">
              <w:marLeft w:val="0"/>
              <w:marRight w:val="0"/>
              <w:marTop w:val="0"/>
              <w:marBottom w:val="0"/>
              <w:divBdr>
                <w:top w:val="none" w:sz="0" w:space="0" w:color="auto"/>
                <w:left w:val="none" w:sz="0" w:space="0" w:color="auto"/>
                <w:bottom w:val="none" w:sz="0" w:space="0" w:color="auto"/>
                <w:right w:val="none" w:sz="0" w:space="0" w:color="auto"/>
              </w:divBdr>
              <w:divsChild>
                <w:div w:id="66074377">
                  <w:marLeft w:val="0"/>
                  <w:marRight w:val="0"/>
                  <w:marTop w:val="0"/>
                  <w:marBottom w:val="0"/>
                  <w:divBdr>
                    <w:top w:val="none" w:sz="0" w:space="0" w:color="auto"/>
                    <w:left w:val="none" w:sz="0" w:space="0" w:color="auto"/>
                    <w:bottom w:val="none" w:sz="0" w:space="0" w:color="auto"/>
                    <w:right w:val="none" w:sz="0" w:space="0" w:color="auto"/>
                  </w:divBdr>
                  <w:divsChild>
                    <w:div w:id="36714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067829">
      <w:bodyDiv w:val="1"/>
      <w:marLeft w:val="0"/>
      <w:marRight w:val="0"/>
      <w:marTop w:val="0"/>
      <w:marBottom w:val="0"/>
      <w:divBdr>
        <w:top w:val="none" w:sz="0" w:space="0" w:color="auto"/>
        <w:left w:val="none" w:sz="0" w:space="0" w:color="auto"/>
        <w:bottom w:val="none" w:sz="0" w:space="0" w:color="auto"/>
        <w:right w:val="none" w:sz="0" w:space="0" w:color="auto"/>
      </w:divBdr>
      <w:divsChild>
        <w:div w:id="611087005">
          <w:marLeft w:val="0"/>
          <w:marRight w:val="0"/>
          <w:marTop w:val="0"/>
          <w:marBottom w:val="0"/>
          <w:divBdr>
            <w:top w:val="none" w:sz="0" w:space="0" w:color="auto"/>
            <w:left w:val="none" w:sz="0" w:space="0" w:color="auto"/>
            <w:bottom w:val="none" w:sz="0" w:space="0" w:color="auto"/>
            <w:right w:val="none" w:sz="0" w:space="0" w:color="auto"/>
          </w:divBdr>
          <w:divsChild>
            <w:div w:id="1275479699">
              <w:marLeft w:val="0"/>
              <w:marRight w:val="0"/>
              <w:marTop w:val="0"/>
              <w:marBottom w:val="0"/>
              <w:divBdr>
                <w:top w:val="none" w:sz="0" w:space="0" w:color="auto"/>
                <w:left w:val="none" w:sz="0" w:space="0" w:color="auto"/>
                <w:bottom w:val="none" w:sz="0" w:space="0" w:color="auto"/>
                <w:right w:val="none" w:sz="0" w:space="0" w:color="auto"/>
              </w:divBdr>
              <w:divsChild>
                <w:div w:id="1446653627">
                  <w:marLeft w:val="0"/>
                  <w:marRight w:val="0"/>
                  <w:marTop w:val="0"/>
                  <w:marBottom w:val="0"/>
                  <w:divBdr>
                    <w:top w:val="none" w:sz="0" w:space="0" w:color="auto"/>
                    <w:left w:val="none" w:sz="0" w:space="0" w:color="auto"/>
                    <w:bottom w:val="none" w:sz="0" w:space="0" w:color="auto"/>
                    <w:right w:val="none" w:sz="0" w:space="0" w:color="auto"/>
                  </w:divBdr>
                  <w:divsChild>
                    <w:div w:id="20224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332541">
      <w:bodyDiv w:val="1"/>
      <w:marLeft w:val="0"/>
      <w:marRight w:val="0"/>
      <w:marTop w:val="0"/>
      <w:marBottom w:val="0"/>
      <w:divBdr>
        <w:top w:val="none" w:sz="0" w:space="0" w:color="auto"/>
        <w:left w:val="none" w:sz="0" w:space="0" w:color="auto"/>
        <w:bottom w:val="none" w:sz="0" w:space="0" w:color="auto"/>
        <w:right w:val="none" w:sz="0" w:space="0" w:color="auto"/>
      </w:divBdr>
    </w:div>
    <w:div w:id="728111462">
      <w:bodyDiv w:val="1"/>
      <w:marLeft w:val="0"/>
      <w:marRight w:val="0"/>
      <w:marTop w:val="0"/>
      <w:marBottom w:val="0"/>
      <w:divBdr>
        <w:top w:val="none" w:sz="0" w:space="0" w:color="auto"/>
        <w:left w:val="none" w:sz="0" w:space="0" w:color="auto"/>
        <w:bottom w:val="none" w:sz="0" w:space="0" w:color="auto"/>
        <w:right w:val="none" w:sz="0" w:space="0" w:color="auto"/>
      </w:divBdr>
      <w:divsChild>
        <w:div w:id="723530943">
          <w:marLeft w:val="0"/>
          <w:marRight w:val="0"/>
          <w:marTop w:val="0"/>
          <w:marBottom w:val="0"/>
          <w:divBdr>
            <w:top w:val="none" w:sz="0" w:space="0" w:color="auto"/>
            <w:left w:val="none" w:sz="0" w:space="0" w:color="auto"/>
            <w:bottom w:val="none" w:sz="0" w:space="0" w:color="auto"/>
            <w:right w:val="none" w:sz="0" w:space="0" w:color="auto"/>
          </w:divBdr>
          <w:divsChild>
            <w:div w:id="1451557028">
              <w:marLeft w:val="0"/>
              <w:marRight w:val="0"/>
              <w:marTop w:val="0"/>
              <w:marBottom w:val="0"/>
              <w:divBdr>
                <w:top w:val="none" w:sz="0" w:space="0" w:color="auto"/>
                <w:left w:val="none" w:sz="0" w:space="0" w:color="auto"/>
                <w:bottom w:val="none" w:sz="0" w:space="0" w:color="auto"/>
                <w:right w:val="none" w:sz="0" w:space="0" w:color="auto"/>
              </w:divBdr>
              <w:divsChild>
                <w:div w:id="1978100819">
                  <w:marLeft w:val="0"/>
                  <w:marRight w:val="0"/>
                  <w:marTop w:val="0"/>
                  <w:marBottom w:val="0"/>
                  <w:divBdr>
                    <w:top w:val="none" w:sz="0" w:space="0" w:color="auto"/>
                    <w:left w:val="none" w:sz="0" w:space="0" w:color="auto"/>
                    <w:bottom w:val="none" w:sz="0" w:space="0" w:color="auto"/>
                    <w:right w:val="none" w:sz="0" w:space="0" w:color="auto"/>
                  </w:divBdr>
                  <w:divsChild>
                    <w:div w:id="851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11874">
      <w:bodyDiv w:val="1"/>
      <w:marLeft w:val="0"/>
      <w:marRight w:val="0"/>
      <w:marTop w:val="0"/>
      <w:marBottom w:val="0"/>
      <w:divBdr>
        <w:top w:val="none" w:sz="0" w:space="0" w:color="auto"/>
        <w:left w:val="none" w:sz="0" w:space="0" w:color="auto"/>
        <w:bottom w:val="none" w:sz="0" w:space="0" w:color="auto"/>
        <w:right w:val="none" w:sz="0" w:space="0" w:color="auto"/>
      </w:divBdr>
      <w:divsChild>
        <w:div w:id="554124631">
          <w:marLeft w:val="0"/>
          <w:marRight w:val="0"/>
          <w:marTop w:val="0"/>
          <w:marBottom w:val="0"/>
          <w:divBdr>
            <w:top w:val="none" w:sz="0" w:space="0" w:color="auto"/>
            <w:left w:val="none" w:sz="0" w:space="0" w:color="auto"/>
            <w:bottom w:val="none" w:sz="0" w:space="0" w:color="auto"/>
            <w:right w:val="none" w:sz="0" w:space="0" w:color="auto"/>
          </w:divBdr>
          <w:divsChild>
            <w:div w:id="1284068852">
              <w:marLeft w:val="0"/>
              <w:marRight w:val="0"/>
              <w:marTop w:val="0"/>
              <w:marBottom w:val="0"/>
              <w:divBdr>
                <w:top w:val="none" w:sz="0" w:space="0" w:color="auto"/>
                <w:left w:val="none" w:sz="0" w:space="0" w:color="auto"/>
                <w:bottom w:val="none" w:sz="0" w:space="0" w:color="auto"/>
                <w:right w:val="none" w:sz="0" w:space="0" w:color="auto"/>
              </w:divBdr>
              <w:divsChild>
                <w:div w:id="1430739329">
                  <w:marLeft w:val="0"/>
                  <w:marRight w:val="0"/>
                  <w:marTop w:val="0"/>
                  <w:marBottom w:val="0"/>
                  <w:divBdr>
                    <w:top w:val="none" w:sz="0" w:space="0" w:color="auto"/>
                    <w:left w:val="none" w:sz="0" w:space="0" w:color="auto"/>
                    <w:bottom w:val="none" w:sz="0" w:space="0" w:color="auto"/>
                    <w:right w:val="none" w:sz="0" w:space="0" w:color="auto"/>
                  </w:divBdr>
                  <w:divsChild>
                    <w:div w:id="9394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18488">
      <w:bodyDiv w:val="1"/>
      <w:marLeft w:val="0"/>
      <w:marRight w:val="0"/>
      <w:marTop w:val="0"/>
      <w:marBottom w:val="0"/>
      <w:divBdr>
        <w:top w:val="none" w:sz="0" w:space="0" w:color="auto"/>
        <w:left w:val="none" w:sz="0" w:space="0" w:color="auto"/>
        <w:bottom w:val="none" w:sz="0" w:space="0" w:color="auto"/>
        <w:right w:val="none" w:sz="0" w:space="0" w:color="auto"/>
      </w:divBdr>
      <w:divsChild>
        <w:div w:id="1860240812">
          <w:marLeft w:val="0"/>
          <w:marRight w:val="0"/>
          <w:marTop w:val="0"/>
          <w:marBottom w:val="0"/>
          <w:divBdr>
            <w:top w:val="none" w:sz="0" w:space="0" w:color="auto"/>
            <w:left w:val="none" w:sz="0" w:space="0" w:color="auto"/>
            <w:bottom w:val="none" w:sz="0" w:space="0" w:color="auto"/>
            <w:right w:val="none" w:sz="0" w:space="0" w:color="auto"/>
          </w:divBdr>
          <w:divsChild>
            <w:div w:id="136805941">
              <w:marLeft w:val="0"/>
              <w:marRight w:val="0"/>
              <w:marTop w:val="0"/>
              <w:marBottom w:val="0"/>
              <w:divBdr>
                <w:top w:val="none" w:sz="0" w:space="0" w:color="auto"/>
                <w:left w:val="none" w:sz="0" w:space="0" w:color="auto"/>
                <w:bottom w:val="none" w:sz="0" w:space="0" w:color="auto"/>
                <w:right w:val="none" w:sz="0" w:space="0" w:color="auto"/>
              </w:divBdr>
              <w:divsChild>
                <w:div w:id="1233661138">
                  <w:marLeft w:val="0"/>
                  <w:marRight w:val="0"/>
                  <w:marTop w:val="0"/>
                  <w:marBottom w:val="0"/>
                  <w:divBdr>
                    <w:top w:val="none" w:sz="0" w:space="0" w:color="auto"/>
                    <w:left w:val="none" w:sz="0" w:space="0" w:color="auto"/>
                    <w:bottom w:val="none" w:sz="0" w:space="0" w:color="auto"/>
                    <w:right w:val="none" w:sz="0" w:space="0" w:color="auto"/>
                  </w:divBdr>
                  <w:divsChild>
                    <w:div w:id="7752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157394">
      <w:bodyDiv w:val="1"/>
      <w:marLeft w:val="0"/>
      <w:marRight w:val="0"/>
      <w:marTop w:val="0"/>
      <w:marBottom w:val="0"/>
      <w:divBdr>
        <w:top w:val="none" w:sz="0" w:space="0" w:color="auto"/>
        <w:left w:val="none" w:sz="0" w:space="0" w:color="auto"/>
        <w:bottom w:val="none" w:sz="0" w:space="0" w:color="auto"/>
        <w:right w:val="none" w:sz="0" w:space="0" w:color="auto"/>
      </w:divBdr>
      <w:divsChild>
        <w:div w:id="842432068">
          <w:marLeft w:val="0"/>
          <w:marRight w:val="0"/>
          <w:marTop w:val="0"/>
          <w:marBottom w:val="0"/>
          <w:divBdr>
            <w:top w:val="none" w:sz="0" w:space="0" w:color="auto"/>
            <w:left w:val="none" w:sz="0" w:space="0" w:color="auto"/>
            <w:bottom w:val="none" w:sz="0" w:space="0" w:color="auto"/>
            <w:right w:val="none" w:sz="0" w:space="0" w:color="auto"/>
          </w:divBdr>
          <w:divsChild>
            <w:div w:id="323702617">
              <w:marLeft w:val="0"/>
              <w:marRight w:val="0"/>
              <w:marTop w:val="0"/>
              <w:marBottom w:val="0"/>
              <w:divBdr>
                <w:top w:val="none" w:sz="0" w:space="0" w:color="auto"/>
                <w:left w:val="none" w:sz="0" w:space="0" w:color="auto"/>
                <w:bottom w:val="none" w:sz="0" w:space="0" w:color="auto"/>
                <w:right w:val="none" w:sz="0" w:space="0" w:color="auto"/>
              </w:divBdr>
              <w:divsChild>
                <w:div w:id="677923969">
                  <w:marLeft w:val="0"/>
                  <w:marRight w:val="0"/>
                  <w:marTop w:val="0"/>
                  <w:marBottom w:val="0"/>
                  <w:divBdr>
                    <w:top w:val="none" w:sz="0" w:space="0" w:color="auto"/>
                    <w:left w:val="none" w:sz="0" w:space="0" w:color="auto"/>
                    <w:bottom w:val="none" w:sz="0" w:space="0" w:color="auto"/>
                    <w:right w:val="none" w:sz="0" w:space="0" w:color="auto"/>
                  </w:divBdr>
                  <w:divsChild>
                    <w:div w:id="19431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697787">
      <w:bodyDiv w:val="1"/>
      <w:marLeft w:val="0"/>
      <w:marRight w:val="0"/>
      <w:marTop w:val="0"/>
      <w:marBottom w:val="0"/>
      <w:divBdr>
        <w:top w:val="none" w:sz="0" w:space="0" w:color="auto"/>
        <w:left w:val="none" w:sz="0" w:space="0" w:color="auto"/>
        <w:bottom w:val="none" w:sz="0" w:space="0" w:color="auto"/>
        <w:right w:val="none" w:sz="0" w:space="0" w:color="auto"/>
      </w:divBdr>
      <w:divsChild>
        <w:div w:id="363599017">
          <w:marLeft w:val="0"/>
          <w:marRight w:val="0"/>
          <w:marTop w:val="0"/>
          <w:marBottom w:val="0"/>
          <w:divBdr>
            <w:top w:val="none" w:sz="0" w:space="0" w:color="auto"/>
            <w:left w:val="none" w:sz="0" w:space="0" w:color="auto"/>
            <w:bottom w:val="none" w:sz="0" w:space="0" w:color="auto"/>
            <w:right w:val="none" w:sz="0" w:space="0" w:color="auto"/>
          </w:divBdr>
          <w:divsChild>
            <w:div w:id="2093432720">
              <w:marLeft w:val="0"/>
              <w:marRight w:val="0"/>
              <w:marTop w:val="0"/>
              <w:marBottom w:val="0"/>
              <w:divBdr>
                <w:top w:val="none" w:sz="0" w:space="0" w:color="auto"/>
                <w:left w:val="none" w:sz="0" w:space="0" w:color="auto"/>
                <w:bottom w:val="none" w:sz="0" w:space="0" w:color="auto"/>
                <w:right w:val="none" w:sz="0" w:space="0" w:color="auto"/>
              </w:divBdr>
              <w:divsChild>
                <w:div w:id="1787767621">
                  <w:marLeft w:val="0"/>
                  <w:marRight w:val="0"/>
                  <w:marTop w:val="0"/>
                  <w:marBottom w:val="0"/>
                  <w:divBdr>
                    <w:top w:val="none" w:sz="0" w:space="0" w:color="auto"/>
                    <w:left w:val="none" w:sz="0" w:space="0" w:color="auto"/>
                    <w:bottom w:val="none" w:sz="0" w:space="0" w:color="auto"/>
                    <w:right w:val="none" w:sz="0" w:space="0" w:color="auto"/>
                  </w:divBdr>
                  <w:divsChild>
                    <w:div w:id="512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364926">
      <w:bodyDiv w:val="1"/>
      <w:marLeft w:val="0"/>
      <w:marRight w:val="0"/>
      <w:marTop w:val="0"/>
      <w:marBottom w:val="0"/>
      <w:divBdr>
        <w:top w:val="none" w:sz="0" w:space="0" w:color="auto"/>
        <w:left w:val="none" w:sz="0" w:space="0" w:color="auto"/>
        <w:bottom w:val="none" w:sz="0" w:space="0" w:color="auto"/>
        <w:right w:val="none" w:sz="0" w:space="0" w:color="auto"/>
      </w:divBdr>
      <w:divsChild>
        <w:div w:id="2056420208">
          <w:marLeft w:val="0"/>
          <w:marRight w:val="0"/>
          <w:marTop w:val="0"/>
          <w:marBottom w:val="0"/>
          <w:divBdr>
            <w:top w:val="none" w:sz="0" w:space="0" w:color="auto"/>
            <w:left w:val="none" w:sz="0" w:space="0" w:color="auto"/>
            <w:bottom w:val="none" w:sz="0" w:space="0" w:color="auto"/>
            <w:right w:val="none" w:sz="0" w:space="0" w:color="auto"/>
          </w:divBdr>
          <w:divsChild>
            <w:div w:id="1216046621">
              <w:marLeft w:val="0"/>
              <w:marRight w:val="0"/>
              <w:marTop w:val="0"/>
              <w:marBottom w:val="0"/>
              <w:divBdr>
                <w:top w:val="none" w:sz="0" w:space="0" w:color="auto"/>
                <w:left w:val="none" w:sz="0" w:space="0" w:color="auto"/>
                <w:bottom w:val="none" w:sz="0" w:space="0" w:color="auto"/>
                <w:right w:val="none" w:sz="0" w:space="0" w:color="auto"/>
              </w:divBdr>
              <w:divsChild>
                <w:div w:id="18626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44482">
      <w:bodyDiv w:val="1"/>
      <w:marLeft w:val="0"/>
      <w:marRight w:val="0"/>
      <w:marTop w:val="0"/>
      <w:marBottom w:val="0"/>
      <w:divBdr>
        <w:top w:val="none" w:sz="0" w:space="0" w:color="auto"/>
        <w:left w:val="none" w:sz="0" w:space="0" w:color="auto"/>
        <w:bottom w:val="none" w:sz="0" w:space="0" w:color="auto"/>
        <w:right w:val="none" w:sz="0" w:space="0" w:color="auto"/>
      </w:divBdr>
      <w:divsChild>
        <w:div w:id="811945473">
          <w:marLeft w:val="0"/>
          <w:marRight w:val="0"/>
          <w:marTop w:val="0"/>
          <w:marBottom w:val="0"/>
          <w:divBdr>
            <w:top w:val="none" w:sz="0" w:space="0" w:color="auto"/>
            <w:left w:val="none" w:sz="0" w:space="0" w:color="auto"/>
            <w:bottom w:val="none" w:sz="0" w:space="0" w:color="auto"/>
            <w:right w:val="none" w:sz="0" w:space="0" w:color="auto"/>
          </w:divBdr>
          <w:divsChild>
            <w:div w:id="1451432503">
              <w:marLeft w:val="0"/>
              <w:marRight w:val="0"/>
              <w:marTop w:val="0"/>
              <w:marBottom w:val="0"/>
              <w:divBdr>
                <w:top w:val="none" w:sz="0" w:space="0" w:color="auto"/>
                <w:left w:val="none" w:sz="0" w:space="0" w:color="auto"/>
                <w:bottom w:val="none" w:sz="0" w:space="0" w:color="auto"/>
                <w:right w:val="none" w:sz="0" w:space="0" w:color="auto"/>
              </w:divBdr>
              <w:divsChild>
                <w:div w:id="1418555936">
                  <w:marLeft w:val="0"/>
                  <w:marRight w:val="0"/>
                  <w:marTop w:val="0"/>
                  <w:marBottom w:val="0"/>
                  <w:divBdr>
                    <w:top w:val="none" w:sz="0" w:space="0" w:color="auto"/>
                    <w:left w:val="none" w:sz="0" w:space="0" w:color="auto"/>
                    <w:bottom w:val="none" w:sz="0" w:space="0" w:color="auto"/>
                    <w:right w:val="none" w:sz="0" w:space="0" w:color="auto"/>
                  </w:divBdr>
                  <w:divsChild>
                    <w:div w:id="13215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034797">
      <w:bodyDiv w:val="1"/>
      <w:marLeft w:val="0"/>
      <w:marRight w:val="0"/>
      <w:marTop w:val="0"/>
      <w:marBottom w:val="0"/>
      <w:divBdr>
        <w:top w:val="none" w:sz="0" w:space="0" w:color="auto"/>
        <w:left w:val="none" w:sz="0" w:space="0" w:color="auto"/>
        <w:bottom w:val="none" w:sz="0" w:space="0" w:color="auto"/>
        <w:right w:val="none" w:sz="0" w:space="0" w:color="auto"/>
      </w:divBdr>
      <w:divsChild>
        <w:div w:id="1824270774">
          <w:marLeft w:val="0"/>
          <w:marRight w:val="0"/>
          <w:marTop w:val="0"/>
          <w:marBottom w:val="0"/>
          <w:divBdr>
            <w:top w:val="none" w:sz="0" w:space="0" w:color="auto"/>
            <w:left w:val="none" w:sz="0" w:space="0" w:color="auto"/>
            <w:bottom w:val="none" w:sz="0" w:space="0" w:color="auto"/>
            <w:right w:val="none" w:sz="0" w:space="0" w:color="auto"/>
          </w:divBdr>
          <w:divsChild>
            <w:div w:id="599996833">
              <w:marLeft w:val="0"/>
              <w:marRight w:val="0"/>
              <w:marTop w:val="0"/>
              <w:marBottom w:val="0"/>
              <w:divBdr>
                <w:top w:val="none" w:sz="0" w:space="0" w:color="auto"/>
                <w:left w:val="none" w:sz="0" w:space="0" w:color="auto"/>
                <w:bottom w:val="none" w:sz="0" w:space="0" w:color="auto"/>
                <w:right w:val="none" w:sz="0" w:space="0" w:color="auto"/>
              </w:divBdr>
              <w:divsChild>
                <w:div w:id="884677695">
                  <w:marLeft w:val="0"/>
                  <w:marRight w:val="0"/>
                  <w:marTop w:val="0"/>
                  <w:marBottom w:val="0"/>
                  <w:divBdr>
                    <w:top w:val="none" w:sz="0" w:space="0" w:color="auto"/>
                    <w:left w:val="none" w:sz="0" w:space="0" w:color="auto"/>
                    <w:bottom w:val="none" w:sz="0" w:space="0" w:color="auto"/>
                    <w:right w:val="none" w:sz="0" w:space="0" w:color="auto"/>
                  </w:divBdr>
                  <w:divsChild>
                    <w:div w:id="20176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042340">
      <w:bodyDiv w:val="1"/>
      <w:marLeft w:val="0"/>
      <w:marRight w:val="0"/>
      <w:marTop w:val="0"/>
      <w:marBottom w:val="0"/>
      <w:divBdr>
        <w:top w:val="none" w:sz="0" w:space="0" w:color="auto"/>
        <w:left w:val="none" w:sz="0" w:space="0" w:color="auto"/>
        <w:bottom w:val="none" w:sz="0" w:space="0" w:color="auto"/>
        <w:right w:val="none" w:sz="0" w:space="0" w:color="auto"/>
      </w:divBdr>
      <w:divsChild>
        <w:div w:id="1216816565">
          <w:marLeft w:val="0"/>
          <w:marRight w:val="0"/>
          <w:marTop w:val="0"/>
          <w:marBottom w:val="0"/>
          <w:divBdr>
            <w:top w:val="none" w:sz="0" w:space="0" w:color="auto"/>
            <w:left w:val="none" w:sz="0" w:space="0" w:color="auto"/>
            <w:bottom w:val="none" w:sz="0" w:space="0" w:color="auto"/>
            <w:right w:val="none" w:sz="0" w:space="0" w:color="auto"/>
          </w:divBdr>
          <w:divsChild>
            <w:div w:id="775518555">
              <w:marLeft w:val="0"/>
              <w:marRight w:val="0"/>
              <w:marTop w:val="0"/>
              <w:marBottom w:val="0"/>
              <w:divBdr>
                <w:top w:val="none" w:sz="0" w:space="0" w:color="auto"/>
                <w:left w:val="none" w:sz="0" w:space="0" w:color="auto"/>
                <w:bottom w:val="none" w:sz="0" w:space="0" w:color="auto"/>
                <w:right w:val="none" w:sz="0" w:space="0" w:color="auto"/>
              </w:divBdr>
              <w:divsChild>
                <w:div w:id="1196312542">
                  <w:marLeft w:val="0"/>
                  <w:marRight w:val="0"/>
                  <w:marTop w:val="0"/>
                  <w:marBottom w:val="0"/>
                  <w:divBdr>
                    <w:top w:val="none" w:sz="0" w:space="0" w:color="auto"/>
                    <w:left w:val="none" w:sz="0" w:space="0" w:color="auto"/>
                    <w:bottom w:val="none" w:sz="0" w:space="0" w:color="auto"/>
                    <w:right w:val="none" w:sz="0" w:space="0" w:color="auto"/>
                  </w:divBdr>
                  <w:divsChild>
                    <w:div w:id="8600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206085">
      <w:bodyDiv w:val="1"/>
      <w:marLeft w:val="0"/>
      <w:marRight w:val="0"/>
      <w:marTop w:val="0"/>
      <w:marBottom w:val="0"/>
      <w:divBdr>
        <w:top w:val="none" w:sz="0" w:space="0" w:color="auto"/>
        <w:left w:val="none" w:sz="0" w:space="0" w:color="auto"/>
        <w:bottom w:val="none" w:sz="0" w:space="0" w:color="auto"/>
        <w:right w:val="none" w:sz="0" w:space="0" w:color="auto"/>
      </w:divBdr>
      <w:divsChild>
        <w:div w:id="113066996">
          <w:marLeft w:val="0"/>
          <w:marRight w:val="0"/>
          <w:marTop w:val="0"/>
          <w:marBottom w:val="0"/>
          <w:divBdr>
            <w:top w:val="none" w:sz="0" w:space="0" w:color="auto"/>
            <w:left w:val="none" w:sz="0" w:space="0" w:color="auto"/>
            <w:bottom w:val="none" w:sz="0" w:space="0" w:color="auto"/>
            <w:right w:val="none" w:sz="0" w:space="0" w:color="auto"/>
          </w:divBdr>
        </w:div>
        <w:div w:id="148597817">
          <w:marLeft w:val="0"/>
          <w:marRight w:val="0"/>
          <w:marTop w:val="0"/>
          <w:marBottom w:val="0"/>
          <w:divBdr>
            <w:top w:val="none" w:sz="0" w:space="0" w:color="auto"/>
            <w:left w:val="none" w:sz="0" w:space="0" w:color="auto"/>
            <w:bottom w:val="none" w:sz="0" w:space="0" w:color="auto"/>
            <w:right w:val="none" w:sz="0" w:space="0" w:color="auto"/>
          </w:divBdr>
        </w:div>
        <w:div w:id="233901636">
          <w:marLeft w:val="0"/>
          <w:marRight w:val="0"/>
          <w:marTop w:val="0"/>
          <w:marBottom w:val="0"/>
          <w:divBdr>
            <w:top w:val="none" w:sz="0" w:space="0" w:color="auto"/>
            <w:left w:val="none" w:sz="0" w:space="0" w:color="auto"/>
            <w:bottom w:val="none" w:sz="0" w:space="0" w:color="auto"/>
            <w:right w:val="none" w:sz="0" w:space="0" w:color="auto"/>
          </w:divBdr>
        </w:div>
        <w:div w:id="296494646">
          <w:marLeft w:val="0"/>
          <w:marRight w:val="0"/>
          <w:marTop w:val="0"/>
          <w:marBottom w:val="0"/>
          <w:divBdr>
            <w:top w:val="none" w:sz="0" w:space="0" w:color="auto"/>
            <w:left w:val="none" w:sz="0" w:space="0" w:color="auto"/>
            <w:bottom w:val="none" w:sz="0" w:space="0" w:color="auto"/>
            <w:right w:val="none" w:sz="0" w:space="0" w:color="auto"/>
          </w:divBdr>
        </w:div>
        <w:div w:id="393699446">
          <w:marLeft w:val="0"/>
          <w:marRight w:val="0"/>
          <w:marTop w:val="0"/>
          <w:marBottom w:val="0"/>
          <w:divBdr>
            <w:top w:val="none" w:sz="0" w:space="0" w:color="auto"/>
            <w:left w:val="none" w:sz="0" w:space="0" w:color="auto"/>
            <w:bottom w:val="none" w:sz="0" w:space="0" w:color="auto"/>
            <w:right w:val="none" w:sz="0" w:space="0" w:color="auto"/>
          </w:divBdr>
        </w:div>
        <w:div w:id="414791991">
          <w:marLeft w:val="0"/>
          <w:marRight w:val="0"/>
          <w:marTop w:val="0"/>
          <w:marBottom w:val="0"/>
          <w:divBdr>
            <w:top w:val="none" w:sz="0" w:space="0" w:color="auto"/>
            <w:left w:val="none" w:sz="0" w:space="0" w:color="auto"/>
            <w:bottom w:val="none" w:sz="0" w:space="0" w:color="auto"/>
            <w:right w:val="none" w:sz="0" w:space="0" w:color="auto"/>
          </w:divBdr>
        </w:div>
        <w:div w:id="663052188">
          <w:marLeft w:val="0"/>
          <w:marRight w:val="0"/>
          <w:marTop w:val="0"/>
          <w:marBottom w:val="0"/>
          <w:divBdr>
            <w:top w:val="none" w:sz="0" w:space="0" w:color="auto"/>
            <w:left w:val="none" w:sz="0" w:space="0" w:color="auto"/>
            <w:bottom w:val="none" w:sz="0" w:space="0" w:color="auto"/>
            <w:right w:val="none" w:sz="0" w:space="0" w:color="auto"/>
          </w:divBdr>
        </w:div>
        <w:div w:id="891505447">
          <w:marLeft w:val="0"/>
          <w:marRight w:val="0"/>
          <w:marTop w:val="0"/>
          <w:marBottom w:val="0"/>
          <w:divBdr>
            <w:top w:val="none" w:sz="0" w:space="0" w:color="auto"/>
            <w:left w:val="none" w:sz="0" w:space="0" w:color="auto"/>
            <w:bottom w:val="none" w:sz="0" w:space="0" w:color="auto"/>
            <w:right w:val="none" w:sz="0" w:space="0" w:color="auto"/>
          </w:divBdr>
        </w:div>
        <w:div w:id="939485541">
          <w:marLeft w:val="0"/>
          <w:marRight w:val="0"/>
          <w:marTop w:val="0"/>
          <w:marBottom w:val="0"/>
          <w:divBdr>
            <w:top w:val="none" w:sz="0" w:space="0" w:color="auto"/>
            <w:left w:val="none" w:sz="0" w:space="0" w:color="auto"/>
            <w:bottom w:val="none" w:sz="0" w:space="0" w:color="auto"/>
            <w:right w:val="none" w:sz="0" w:space="0" w:color="auto"/>
          </w:divBdr>
        </w:div>
        <w:div w:id="1165781757">
          <w:marLeft w:val="0"/>
          <w:marRight w:val="0"/>
          <w:marTop w:val="0"/>
          <w:marBottom w:val="0"/>
          <w:divBdr>
            <w:top w:val="none" w:sz="0" w:space="0" w:color="auto"/>
            <w:left w:val="none" w:sz="0" w:space="0" w:color="auto"/>
            <w:bottom w:val="none" w:sz="0" w:space="0" w:color="auto"/>
            <w:right w:val="none" w:sz="0" w:space="0" w:color="auto"/>
          </w:divBdr>
        </w:div>
        <w:div w:id="1333529746">
          <w:marLeft w:val="0"/>
          <w:marRight w:val="0"/>
          <w:marTop w:val="0"/>
          <w:marBottom w:val="0"/>
          <w:divBdr>
            <w:top w:val="none" w:sz="0" w:space="0" w:color="auto"/>
            <w:left w:val="none" w:sz="0" w:space="0" w:color="auto"/>
            <w:bottom w:val="none" w:sz="0" w:space="0" w:color="auto"/>
            <w:right w:val="none" w:sz="0" w:space="0" w:color="auto"/>
          </w:divBdr>
        </w:div>
        <w:div w:id="1382703975">
          <w:marLeft w:val="0"/>
          <w:marRight w:val="0"/>
          <w:marTop w:val="0"/>
          <w:marBottom w:val="0"/>
          <w:divBdr>
            <w:top w:val="none" w:sz="0" w:space="0" w:color="auto"/>
            <w:left w:val="none" w:sz="0" w:space="0" w:color="auto"/>
            <w:bottom w:val="none" w:sz="0" w:space="0" w:color="auto"/>
            <w:right w:val="none" w:sz="0" w:space="0" w:color="auto"/>
          </w:divBdr>
        </w:div>
        <w:div w:id="1645159284">
          <w:marLeft w:val="0"/>
          <w:marRight w:val="0"/>
          <w:marTop w:val="0"/>
          <w:marBottom w:val="0"/>
          <w:divBdr>
            <w:top w:val="none" w:sz="0" w:space="0" w:color="auto"/>
            <w:left w:val="none" w:sz="0" w:space="0" w:color="auto"/>
            <w:bottom w:val="none" w:sz="0" w:space="0" w:color="auto"/>
            <w:right w:val="none" w:sz="0" w:space="0" w:color="auto"/>
          </w:divBdr>
        </w:div>
        <w:div w:id="1833257115">
          <w:marLeft w:val="0"/>
          <w:marRight w:val="0"/>
          <w:marTop w:val="0"/>
          <w:marBottom w:val="0"/>
          <w:divBdr>
            <w:top w:val="none" w:sz="0" w:space="0" w:color="auto"/>
            <w:left w:val="none" w:sz="0" w:space="0" w:color="auto"/>
            <w:bottom w:val="none" w:sz="0" w:space="0" w:color="auto"/>
            <w:right w:val="none" w:sz="0" w:space="0" w:color="auto"/>
          </w:divBdr>
        </w:div>
        <w:div w:id="1842619689">
          <w:marLeft w:val="0"/>
          <w:marRight w:val="0"/>
          <w:marTop w:val="0"/>
          <w:marBottom w:val="0"/>
          <w:divBdr>
            <w:top w:val="none" w:sz="0" w:space="0" w:color="auto"/>
            <w:left w:val="none" w:sz="0" w:space="0" w:color="auto"/>
            <w:bottom w:val="none" w:sz="0" w:space="0" w:color="auto"/>
            <w:right w:val="none" w:sz="0" w:space="0" w:color="auto"/>
          </w:divBdr>
        </w:div>
        <w:div w:id="1870949978">
          <w:marLeft w:val="0"/>
          <w:marRight w:val="0"/>
          <w:marTop w:val="0"/>
          <w:marBottom w:val="0"/>
          <w:divBdr>
            <w:top w:val="none" w:sz="0" w:space="0" w:color="auto"/>
            <w:left w:val="none" w:sz="0" w:space="0" w:color="auto"/>
            <w:bottom w:val="none" w:sz="0" w:space="0" w:color="auto"/>
            <w:right w:val="none" w:sz="0" w:space="0" w:color="auto"/>
          </w:divBdr>
        </w:div>
        <w:div w:id="1877694616">
          <w:marLeft w:val="0"/>
          <w:marRight w:val="0"/>
          <w:marTop w:val="0"/>
          <w:marBottom w:val="0"/>
          <w:divBdr>
            <w:top w:val="none" w:sz="0" w:space="0" w:color="auto"/>
            <w:left w:val="none" w:sz="0" w:space="0" w:color="auto"/>
            <w:bottom w:val="none" w:sz="0" w:space="0" w:color="auto"/>
            <w:right w:val="none" w:sz="0" w:space="0" w:color="auto"/>
          </w:divBdr>
        </w:div>
        <w:div w:id="2070105982">
          <w:marLeft w:val="0"/>
          <w:marRight w:val="0"/>
          <w:marTop w:val="0"/>
          <w:marBottom w:val="0"/>
          <w:divBdr>
            <w:top w:val="none" w:sz="0" w:space="0" w:color="auto"/>
            <w:left w:val="none" w:sz="0" w:space="0" w:color="auto"/>
            <w:bottom w:val="none" w:sz="0" w:space="0" w:color="auto"/>
            <w:right w:val="none" w:sz="0" w:space="0" w:color="auto"/>
          </w:divBdr>
        </w:div>
      </w:divsChild>
    </w:div>
    <w:div w:id="804079922">
      <w:bodyDiv w:val="1"/>
      <w:marLeft w:val="0"/>
      <w:marRight w:val="0"/>
      <w:marTop w:val="0"/>
      <w:marBottom w:val="0"/>
      <w:divBdr>
        <w:top w:val="none" w:sz="0" w:space="0" w:color="auto"/>
        <w:left w:val="none" w:sz="0" w:space="0" w:color="auto"/>
        <w:bottom w:val="none" w:sz="0" w:space="0" w:color="auto"/>
        <w:right w:val="none" w:sz="0" w:space="0" w:color="auto"/>
      </w:divBdr>
      <w:divsChild>
        <w:div w:id="441926488">
          <w:marLeft w:val="0"/>
          <w:marRight w:val="0"/>
          <w:marTop w:val="0"/>
          <w:marBottom w:val="0"/>
          <w:divBdr>
            <w:top w:val="none" w:sz="0" w:space="0" w:color="auto"/>
            <w:left w:val="none" w:sz="0" w:space="0" w:color="auto"/>
            <w:bottom w:val="none" w:sz="0" w:space="0" w:color="auto"/>
            <w:right w:val="none" w:sz="0" w:space="0" w:color="auto"/>
          </w:divBdr>
          <w:divsChild>
            <w:div w:id="1726681920">
              <w:marLeft w:val="0"/>
              <w:marRight w:val="0"/>
              <w:marTop w:val="0"/>
              <w:marBottom w:val="0"/>
              <w:divBdr>
                <w:top w:val="none" w:sz="0" w:space="0" w:color="auto"/>
                <w:left w:val="none" w:sz="0" w:space="0" w:color="auto"/>
                <w:bottom w:val="none" w:sz="0" w:space="0" w:color="auto"/>
                <w:right w:val="none" w:sz="0" w:space="0" w:color="auto"/>
              </w:divBdr>
              <w:divsChild>
                <w:div w:id="112140036">
                  <w:marLeft w:val="0"/>
                  <w:marRight w:val="0"/>
                  <w:marTop w:val="0"/>
                  <w:marBottom w:val="0"/>
                  <w:divBdr>
                    <w:top w:val="none" w:sz="0" w:space="0" w:color="auto"/>
                    <w:left w:val="none" w:sz="0" w:space="0" w:color="auto"/>
                    <w:bottom w:val="none" w:sz="0" w:space="0" w:color="auto"/>
                    <w:right w:val="none" w:sz="0" w:space="0" w:color="auto"/>
                  </w:divBdr>
                  <w:divsChild>
                    <w:div w:id="16932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121707">
      <w:bodyDiv w:val="1"/>
      <w:marLeft w:val="0"/>
      <w:marRight w:val="0"/>
      <w:marTop w:val="0"/>
      <w:marBottom w:val="0"/>
      <w:divBdr>
        <w:top w:val="none" w:sz="0" w:space="0" w:color="auto"/>
        <w:left w:val="none" w:sz="0" w:space="0" w:color="auto"/>
        <w:bottom w:val="none" w:sz="0" w:space="0" w:color="auto"/>
        <w:right w:val="none" w:sz="0" w:space="0" w:color="auto"/>
      </w:divBdr>
      <w:divsChild>
        <w:div w:id="678310997">
          <w:marLeft w:val="0"/>
          <w:marRight w:val="0"/>
          <w:marTop w:val="0"/>
          <w:marBottom w:val="0"/>
          <w:divBdr>
            <w:top w:val="none" w:sz="0" w:space="0" w:color="auto"/>
            <w:left w:val="none" w:sz="0" w:space="0" w:color="auto"/>
            <w:bottom w:val="none" w:sz="0" w:space="0" w:color="auto"/>
            <w:right w:val="none" w:sz="0" w:space="0" w:color="auto"/>
          </w:divBdr>
          <w:divsChild>
            <w:div w:id="196702203">
              <w:marLeft w:val="0"/>
              <w:marRight w:val="0"/>
              <w:marTop w:val="0"/>
              <w:marBottom w:val="0"/>
              <w:divBdr>
                <w:top w:val="none" w:sz="0" w:space="0" w:color="auto"/>
                <w:left w:val="none" w:sz="0" w:space="0" w:color="auto"/>
                <w:bottom w:val="none" w:sz="0" w:space="0" w:color="auto"/>
                <w:right w:val="none" w:sz="0" w:space="0" w:color="auto"/>
              </w:divBdr>
              <w:divsChild>
                <w:div w:id="1193227955">
                  <w:marLeft w:val="0"/>
                  <w:marRight w:val="0"/>
                  <w:marTop w:val="0"/>
                  <w:marBottom w:val="0"/>
                  <w:divBdr>
                    <w:top w:val="none" w:sz="0" w:space="0" w:color="auto"/>
                    <w:left w:val="none" w:sz="0" w:space="0" w:color="auto"/>
                    <w:bottom w:val="none" w:sz="0" w:space="0" w:color="auto"/>
                    <w:right w:val="none" w:sz="0" w:space="0" w:color="auto"/>
                  </w:divBdr>
                  <w:divsChild>
                    <w:div w:id="7885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831484">
      <w:bodyDiv w:val="1"/>
      <w:marLeft w:val="0"/>
      <w:marRight w:val="0"/>
      <w:marTop w:val="0"/>
      <w:marBottom w:val="0"/>
      <w:divBdr>
        <w:top w:val="none" w:sz="0" w:space="0" w:color="auto"/>
        <w:left w:val="none" w:sz="0" w:space="0" w:color="auto"/>
        <w:bottom w:val="none" w:sz="0" w:space="0" w:color="auto"/>
        <w:right w:val="none" w:sz="0" w:space="0" w:color="auto"/>
      </w:divBdr>
      <w:divsChild>
        <w:div w:id="811943308">
          <w:marLeft w:val="0"/>
          <w:marRight w:val="0"/>
          <w:marTop w:val="0"/>
          <w:marBottom w:val="0"/>
          <w:divBdr>
            <w:top w:val="none" w:sz="0" w:space="0" w:color="auto"/>
            <w:left w:val="none" w:sz="0" w:space="0" w:color="auto"/>
            <w:bottom w:val="none" w:sz="0" w:space="0" w:color="auto"/>
            <w:right w:val="none" w:sz="0" w:space="0" w:color="auto"/>
          </w:divBdr>
          <w:divsChild>
            <w:div w:id="337657932">
              <w:marLeft w:val="0"/>
              <w:marRight w:val="0"/>
              <w:marTop w:val="0"/>
              <w:marBottom w:val="0"/>
              <w:divBdr>
                <w:top w:val="none" w:sz="0" w:space="0" w:color="auto"/>
                <w:left w:val="none" w:sz="0" w:space="0" w:color="auto"/>
                <w:bottom w:val="none" w:sz="0" w:space="0" w:color="auto"/>
                <w:right w:val="none" w:sz="0" w:space="0" w:color="auto"/>
              </w:divBdr>
              <w:divsChild>
                <w:div w:id="977297839">
                  <w:marLeft w:val="0"/>
                  <w:marRight w:val="0"/>
                  <w:marTop w:val="0"/>
                  <w:marBottom w:val="0"/>
                  <w:divBdr>
                    <w:top w:val="none" w:sz="0" w:space="0" w:color="auto"/>
                    <w:left w:val="none" w:sz="0" w:space="0" w:color="auto"/>
                    <w:bottom w:val="none" w:sz="0" w:space="0" w:color="auto"/>
                    <w:right w:val="none" w:sz="0" w:space="0" w:color="auto"/>
                  </w:divBdr>
                  <w:divsChild>
                    <w:div w:id="4070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621121">
      <w:bodyDiv w:val="1"/>
      <w:marLeft w:val="0"/>
      <w:marRight w:val="0"/>
      <w:marTop w:val="0"/>
      <w:marBottom w:val="0"/>
      <w:divBdr>
        <w:top w:val="none" w:sz="0" w:space="0" w:color="auto"/>
        <w:left w:val="none" w:sz="0" w:space="0" w:color="auto"/>
        <w:bottom w:val="none" w:sz="0" w:space="0" w:color="auto"/>
        <w:right w:val="none" w:sz="0" w:space="0" w:color="auto"/>
      </w:divBdr>
    </w:div>
    <w:div w:id="834690434">
      <w:bodyDiv w:val="1"/>
      <w:marLeft w:val="0"/>
      <w:marRight w:val="0"/>
      <w:marTop w:val="0"/>
      <w:marBottom w:val="0"/>
      <w:divBdr>
        <w:top w:val="none" w:sz="0" w:space="0" w:color="auto"/>
        <w:left w:val="none" w:sz="0" w:space="0" w:color="auto"/>
        <w:bottom w:val="none" w:sz="0" w:space="0" w:color="auto"/>
        <w:right w:val="none" w:sz="0" w:space="0" w:color="auto"/>
      </w:divBdr>
    </w:div>
    <w:div w:id="837309151">
      <w:bodyDiv w:val="1"/>
      <w:marLeft w:val="0"/>
      <w:marRight w:val="0"/>
      <w:marTop w:val="0"/>
      <w:marBottom w:val="0"/>
      <w:divBdr>
        <w:top w:val="none" w:sz="0" w:space="0" w:color="auto"/>
        <w:left w:val="none" w:sz="0" w:space="0" w:color="auto"/>
        <w:bottom w:val="none" w:sz="0" w:space="0" w:color="auto"/>
        <w:right w:val="none" w:sz="0" w:space="0" w:color="auto"/>
      </w:divBdr>
      <w:divsChild>
        <w:div w:id="1603604405">
          <w:marLeft w:val="0"/>
          <w:marRight w:val="0"/>
          <w:marTop w:val="0"/>
          <w:marBottom w:val="0"/>
          <w:divBdr>
            <w:top w:val="none" w:sz="0" w:space="0" w:color="auto"/>
            <w:left w:val="none" w:sz="0" w:space="0" w:color="auto"/>
            <w:bottom w:val="none" w:sz="0" w:space="0" w:color="auto"/>
            <w:right w:val="none" w:sz="0" w:space="0" w:color="auto"/>
          </w:divBdr>
          <w:divsChild>
            <w:div w:id="278148542">
              <w:marLeft w:val="0"/>
              <w:marRight w:val="0"/>
              <w:marTop w:val="0"/>
              <w:marBottom w:val="0"/>
              <w:divBdr>
                <w:top w:val="none" w:sz="0" w:space="0" w:color="auto"/>
                <w:left w:val="none" w:sz="0" w:space="0" w:color="auto"/>
                <w:bottom w:val="none" w:sz="0" w:space="0" w:color="auto"/>
                <w:right w:val="none" w:sz="0" w:space="0" w:color="auto"/>
              </w:divBdr>
              <w:divsChild>
                <w:div w:id="950430378">
                  <w:marLeft w:val="0"/>
                  <w:marRight w:val="0"/>
                  <w:marTop w:val="0"/>
                  <w:marBottom w:val="0"/>
                  <w:divBdr>
                    <w:top w:val="none" w:sz="0" w:space="0" w:color="auto"/>
                    <w:left w:val="none" w:sz="0" w:space="0" w:color="auto"/>
                    <w:bottom w:val="none" w:sz="0" w:space="0" w:color="auto"/>
                    <w:right w:val="none" w:sz="0" w:space="0" w:color="auto"/>
                  </w:divBdr>
                  <w:divsChild>
                    <w:div w:id="19537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796027">
      <w:bodyDiv w:val="1"/>
      <w:marLeft w:val="0"/>
      <w:marRight w:val="0"/>
      <w:marTop w:val="0"/>
      <w:marBottom w:val="0"/>
      <w:divBdr>
        <w:top w:val="none" w:sz="0" w:space="0" w:color="auto"/>
        <w:left w:val="none" w:sz="0" w:space="0" w:color="auto"/>
        <w:bottom w:val="none" w:sz="0" w:space="0" w:color="auto"/>
        <w:right w:val="none" w:sz="0" w:space="0" w:color="auto"/>
      </w:divBdr>
    </w:div>
    <w:div w:id="908347859">
      <w:bodyDiv w:val="1"/>
      <w:marLeft w:val="0"/>
      <w:marRight w:val="0"/>
      <w:marTop w:val="0"/>
      <w:marBottom w:val="0"/>
      <w:divBdr>
        <w:top w:val="none" w:sz="0" w:space="0" w:color="auto"/>
        <w:left w:val="none" w:sz="0" w:space="0" w:color="auto"/>
        <w:bottom w:val="none" w:sz="0" w:space="0" w:color="auto"/>
        <w:right w:val="none" w:sz="0" w:space="0" w:color="auto"/>
      </w:divBdr>
      <w:divsChild>
        <w:div w:id="771826932">
          <w:marLeft w:val="0"/>
          <w:marRight w:val="0"/>
          <w:marTop w:val="0"/>
          <w:marBottom w:val="0"/>
          <w:divBdr>
            <w:top w:val="none" w:sz="0" w:space="0" w:color="auto"/>
            <w:left w:val="none" w:sz="0" w:space="0" w:color="auto"/>
            <w:bottom w:val="none" w:sz="0" w:space="0" w:color="auto"/>
            <w:right w:val="none" w:sz="0" w:space="0" w:color="auto"/>
          </w:divBdr>
          <w:divsChild>
            <w:div w:id="421075030">
              <w:marLeft w:val="0"/>
              <w:marRight w:val="0"/>
              <w:marTop w:val="0"/>
              <w:marBottom w:val="0"/>
              <w:divBdr>
                <w:top w:val="none" w:sz="0" w:space="0" w:color="auto"/>
                <w:left w:val="none" w:sz="0" w:space="0" w:color="auto"/>
                <w:bottom w:val="none" w:sz="0" w:space="0" w:color="auto"/>
                <w:right w:val="none" w:sz="0" w:space="0" w:color="auto"/>
              </w:divBdr>
              <w:divsChild>
                <w:div w:id="782919584">
                  <w:marLeft w:val="0"/>
                  <w:marRight w:val="0"/>
                  <w:marTop w:val="0"/>
                  <w:marBottom w:val="0"/>
                  <w:divBdr>
                    <w:top w:val="none" w:sz="0" w:space="0" w:color="auto"/>
                    <w:left w:val="none" w:sz="0" w:space="0" w:color="auto"/>
                    <w:bottom w:val="none" w:sz="0" w:space="0" w:color="auto"/>
                    <w:right w:val="none" w:sz="0" w:space="0" w:color="auto"/>
                  </w:divBdr>
                  <w:divsChild>
                    <w:div w:id="5774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040583">
      <w:bodyDiv w:val="1"/>
      <w:marLeft w:val="0"/>
      <w:marRight w:val="0"/>
      <w:marTop w:val="0"/>
      <w:marBottom w:val="0"/>
      <w:divBdr>
        <w:top w:val="none" w:sz="0" w:space="0" w:color="auto"/>
        <w:left w:val="none" w:sz="0" w:space="0" w:color="auto"/>
        <w:bottom w:val="none" w:sz="0" w:space="0" w:color="auto"/>
        <w:right w:val="none" w:sz="0" w:space="0" w:color="auto"/>
      </w:divBdr>
    </w:div>
    <w:div w:id="912154677">
      <w:bodyDiv w:val="1"/>
      <w:marLeft w:val="0"/>
      <w:marRight w:val="0"/>
      <w:marTop w:val="0"/>
      <w:marBottom w:val="0"/>
      <w:divBdr>
        <w:top w:val="none" w:sz="0" w:space="0" w:color="auto"/>
        <w:left w:val="none" w:sz="0" w:space="0" w:color="auto"/>
        <w:bottom w:val="none" w:sz="0" w:space="0" w:color="auto"/>
        <w:right w:val="none" w:sz="0" w:space="0" w:color="auto"/>
      </w:divBdr>
      <w:divsChild>
        <w:div w:id="1314333566">
          <w:marLeft w:val="0"/>
          <w:marRight w:val="0"/>
          <w:marTop w:val="0"/>
          <w:marBottom w:val="0"/>
          <w:divBdr>
            <w:top w:val="none" w:sz="0" w:space="0" w:color="auto"/>
            <w:left w:val="none" w:sz="0" w:space="0" w:color="auto"/>
            <w:bottom w:val="none" w:sz="0" w:space="0" w:color="auto"/>
            <w:right w:val="none" w:sz="0" w:space="0" w:color="auto"/>
          </w:divBdr>
          <w:divsChild>
            <w:div w:id="1006906219">
              <w:marLeft w:val="0"/>
              <w:marRight w:val="0"/>
              <w:marTop w:val="0"/>
              <w:marBottom w:val="0"/>
              <w:divBdr>
                <w:top w:val="none" w:sz="0" w:space="0" w:color="auto"/>
                <w:left w:val="none" w:sz="0" w:space="0" w:color="auto"/>
                <w:bottom w:val="none" w:sz="0" w:space="0" w:color="auto"/>
                <w:right w:val="none" w:sz="0" w:space="0" w:color="auto"/>
              </w:divBdr>
              <w:divsChild>
                <w:div w:id="1298757281">
                  <w:marLeft w:val="0"/>
                  <w:marRight w:val="0"/>
                  <w:marTop w:val="0"/>
                  <w:marBottom w:val="0"/>
                  <w:divBdr>
                    <w:top w:val="none" w:sz="0" w:space="0" w:color="auto"/>
                    <w:left w:val="none" w:sz="0" w:space="0" w:color="auto"/>
                    <w:bottom w:val="none" w:sz="0" w:space="0" w:color="auto"/>
                    <w:right w:val="none" w:sz="0" w:space="0" w:color="auto"/>
                  </w:divBdr>
                  <w:divsChild>
                    <w:div w:id="6213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19743">
      <w:bodyDiv w:val="1"/>
      <w:marLeft w:val="0"/>
      <w:marRight w:val="0"/>
      <w:marTop w:val="0"/>
      <w:marBottom w:val="0"/>
      <w:divBdr>
        <w:top w:val="none" w:sz="0" w:space="0" w:color="auto"/>
        <w:left w:val="none" w:sz="0" w:space="0" w:color="auto"/>
        <w:bottom w:val="none" w:sz="0" w:space="0" w:color="auto"/>
        <w:right w:val="none" w:sz="0" w:space="0" w:color="auto"/>
      </w:divBdr>
      <w:divsChild>
        <w:div w:id="1179156070">
          <w:marLeft w:val="0"/>
          <w:marRight w:val="0"/>
          <w:marTop w:val="0"/>
          <w:marBottom w:val="0"/>
          <w:divBdr>
            <w:top w:val="none" w:sz="0" w:space="0" w:color="auto"/>
            <w:left w:val="none" w:sz="0" w:space="0" w:color="auto"/>
            <w:bottom w:val="none" w:sz="0" w:space="0" w:color="auto"/>
            <w:right w:val="none" w:sz="0" w:space="0" w:color="auto"/>
          </w:divBdr>
          <w:divsChild>
            <w:div w:id="1417901396">
              <w:marLeft w:val="0"/>
              <w:marRight w:val="0"/>
              <w:marTop w:val="0"/>
              <w:marBottom w:val="0"/>
              <w:divBdr>
                <w:top w:val="none" w:sz="0" w:space="0" w:color="auto"/>
                <w:left w:val="none" w:sz="0" w:space="0" w:color="auto"/>
                <w:bottom w:val="none" w:sz="0" w:space="0" w:color="auto"/>
                <w:right w:val="none" w:sz="0" w:space="0" w:color="auto"/>
              </w:divBdr>
              <w:divsChild>
                <w:div w:id="21302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728265">
      <w:bodyDiv w:val="1"/>
      <w:marLeft w:val="0"/>
      <w:marRight w:val="0"/>
      <w:marTop w:val="0"/>
      <w:marBottom w:val="0"/>
      <w:divBdr>
        <w:top w:val="none" w:sz="0" w:space="0" w:color="auto"/>
        <w:left w:val="none" w:sz="0" w:space="0" w:color="auto"/>
        <w:bottom w:val="none" w:sz="0" w:space="0" w:color="auto"/>
        <w:right w:val="none" w:sz="0" w:space="0" w:color="auto"/>
      </w:divBdr>
      <w:divsChild>
        <w:div w:id="862858872">
          <w:marLeft w:val="0"/>
          <w:marRight w:val="0"/>
          <w:marTop w:val="0"/>
          <w:marBottom w:val="0"/>
          <w:divBdr>
            <w:top w:val="none" w:sz="0" w:space="0" w:color="auto"/>
            <w:left w:val="none" w:sz="0" w:space="0" w:color="auto"/>
            <w:bottom w:val="none" w:sz="0" w:space="0" w:color="auto"/>
            <w:right w:val="none" w:sz="0" w:space="0" w:color="auto"/>
          </w:divBdr>
          <w:divsChild>
            <w:div w:id="1089154319">
              <w:marLeft w:val="0"/>
              <w:marRight w:val="0"/>
              <w:marTop w:val="0"/>
              <w:marBottom w:val="0"/>
              <w:divBdr>
                <w:top w:val="none" w:sz="0" w:space="0" w:color="auto"/>
                <w:left w:val="none" w:sz="0" w:space="0" w:color="auto"/>
                <w:bottom w:val="none" w:sz="0" w:space="0" w:color="auto"/>
                <w:right w:val="none" w:sz="0" w:space="0" w:color="auto"/>
              </w:divBdr>
              <w:divsChild>
                <w:div w:id="827795137">
                  <w:marLeft w:val="0"/>
                  <w:marRight w:val="0"/>
                  <w:marTop w:val="0"/>
                  <w:marBottom w:val="0"/>
                  <w:divBdr>
                    <w:top w:val="none" w:sz="0" w:space="0" w:color="auto"/>
                    <w:left w:val="none" w:sz="0" w:space="0" w:color="auto"/>
                    <w:bottom w:val="none" w:sz="0" w:space="0" w:color="auto"/>
                    <w:right w:val="none" w:sz="0" w:space="0" w:color="auto"/>
                  </w:divBdr>
                  <w:divsChild>
                    <w:div w:id="210268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352399">
      <w:bodyDiv w:val="1"/>
      <w:marLeft w:val="0"/>
      <w:marRight w:val="0"/>
      <w:marTop w:val="0"/>
      <w:marBottom w:val="0"/>
      <w:divBdr>
        <w:top w:val="none" w:sz="0" w:space="0" w:color="auto"/>
        <w:left w:val="none" w:sz="0" w:space="0" w:color="auto"/>
        <w:bottom w:val="none" w:sz="0" w:space="0" w:color="auto"/>
        <w:right w:val="none" w:sz="0" w:space="0" w:color="auto"/>
      </w:divBdr>
      <w:divsChild>
        <w:div w:id="223415805">
          <w:marLeft w:val="0"/>
          <w:marRight w:val="0"/>
          <w:marTop w:val="0"/>
          <w:marBottom w:val="0"/>
          <w:divBdr>
            <w:top w:val="none" w:sz="0" w:space="0" w:color="auto"/>
            <w:left w:val="none" w:sz="0" w:space="0" w:color="auto"/>
            <w:bottom w:val="none" w:sz="0" w:space="0" w:color="auto"/>
            <w:right w:val="none" w:sz="0" w:space="0" w:color="auto"/>
          </w:divBdr>
          <w:divsChild>
            <w:div w:id="648292031">
              <w:marLeft w:val="0"/>
              <w:marRight w:val="0"/>
              <w:marTop w:val="0"/>
              <w:marBottom w:val="0"/>
              <w:divBdr>
                <w:top w:val="none" w:sz="0" w:space="0" w:color="auto"/>
                <w:left w:val="none" w:sz="0" w:space="0" w:color="auto"/>
                <w:bottom w:val="none" w:sz="0" w:space="0" w:color="auto"/>
                <w:right w:val="none" w:sz="0" w:space="0" w:color="auto"/>
              </w:divBdr>
              <w:divsChild>
                <w:div w:id="1803883873">
                  <w:marLeft w:val="0"/>
                  <w:marRight w:val="0"/>
                  <w:marTop w:val="0"/>
                  <w:marBottom w:val="0"/>
                  <w:divBdr>
                    <w:top w:val="none" w:sz="0" w:space="0" w:color="auto"/>
                    <w:left w:val="none" w:sz="0" w:space="0" w:color="auto"/>
                    <w:bottom w:val="none" w:sz="0" w:space="0" w:color="auto"/>
                    <w:right w:val="none" w:sz="0" w:space="0" w:color="auto"/>
                  </w:divBdr>
                  <w:divsChild>
                    <w:div w:id="153749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011136">
      <w:bodyDiv w:val="1"/>
      <w:marLeft w:val="0"/>
      <w:marRight w:val="0"/>
      <w:marTop w:val="0"/>
      <w:marBottom w:val="0"/>
      <w:divBdr>
        <w:top w:val="none" w:sz="0" w:space="0" w:color="auto"/>
        <w:left w:val="none" w:sz="0" w:space="0" w:color="auto"/>
        <w:bottom w:val="none" w:sz="0" w:space="0" w:color="auto"/>
        <w:right w:val="none" w:sz="0" w:space="0" w:color="auto"/>
      </w:divBdr>
    </w:div>
    <w:div w:id="969096710">
      <w:bodyDiv w:val="1"/>
      <w:marLeft w:val="0"/>
      <w:marRight w:val="0"/>
      <w:marTop w:val="0"/>
      <w:marBottom w:val="0"/>
      <w:divBdr>
        <w:top w:val="none" w:sz="0" w:space="0" w:color="auto"/>
        <w:left w:val="none" w:sz="0" w:space="0" w:color="auto"/>
        <w:bottom w:val="none" w:sz="0" w:space="0" w:color="auto"/>
        <w:right w:val="none" w:sz="0" w:space="0" w:color="auto"/>
      </w:divBdr>
      <w:divsChild>
        <w:div w:id="1763257065">
          <w:marLeft w:val="0"/>
          <w:marRight w:val="0"/>
          <w:marTop w:val="0"/>
          <w:marBottom w:val="0"/>
          <w:divBdr>
            <w:top w:val="none" w:sz="0" w:space="0" w:color="auto"/>
            <w:left w:val="none" w:sz="0" w:space="0" w:color="auto"/>
            <w:bottom w:val="none" w:sz="0" w:space="0" w:color="auto"/>
            <w:right w:val="none" w:sz="0" w:space="0" w:color="auto"/>
          </w:divBdr>
          <w:divsChild>
            <w:div w:id="668141538">
              <w:marLeft w:val="0"/>
              <w:marRight w:val="0"/>
              <w:marTop w:val="0"/>
              <w:marBottom w:val="0"/>
              <w:divBdr>
                <w:top w:val="none" w:sz="0" w:space="0" w:color="auto"/>
                <w:left w:val="none" w:sz="0" w:space="0" w:color="auto"/>
                <w:bottom w:val="none" w:sz="0" w:space="0" w:color="auto"/>
                <w:right w:val="none" w:sz="0" w:space="0" w:color="auto"/>
              </w:divBdr>
              <w:divsChild>
                <w:div w:id="2135368067">
                  <w:marLeft w:val="0"/>
                  <w:marRight w:val="0"/>
                  <w:marTop w:val="0"/>
                  <w:marBottom w:val="0"/>
                  <w:divBdr>
                    <w:top w:val="none" w:sz="0" w:space="0" w:color="auto"/>
                    <w:left w:val="none" w:sz="0" w:space="0" w:color="auto"/>
                    <w:bottom w:val="none" w:sz="0" w:space="0" w:color="auto"/>
                    <w:right w:val="none" w:sz="0" w:space="0" w:color="auto"/>
                  </w:divBdr>
                  <w:divsChild>
                    <w:div w:id="5220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2498">
      <w:bodyDiv w:val="1"/>
      <w:marLeft w:val="0"/>
      <w:marRight w:val="0"/>
      <w:marTop w:val="0"/>
      <w:marBottom w:val="0"/>
      <w:divBdr>
        <w:top w:val="none" w:sz="0" w:space="0" w:color="auto"/>
        <w:left w:val="none" w:sz="0" w:space="0" w:color="auto"/>
        <w:bottom w:val="none" w:sz="0" w:space="0" w:color="auto"/>
        <w:right w:val="none" w:sz="0" w:space="0" w:color="auto"/>
      </w:divBdr>
      <w:divsChild>
        <w:div w:id="650257956">
          <w:marLeft w:val="0"/>
          <w:marRight w:val="0"/>
          <w:marTop w:val="0"/>
          <w:marBottom w:val="0"/>
          <w:divBdr>
            <w:top w:val="none" w:sz="0" w:space="0" w:color="auto"/>
            <w:left w:val="none" w:sz="0" w:space="0" w:color="auto"/>
            <w:bottom w:val="none" w:sz="0" w:space="0" w:color="auto"/>
            <w:right w:val="none" w:sz="0" w:space="0" w:color="auto"/>
          </w:divBdr>
          <w:divsChild>
            <w:div w:id="579213428">
              <w:marLeft w:val="0"/>
              <w:marRight w:val="0"/>
              <w:marTop w:val="0"/>
              <w:marBottom w:val="0"/>
              <w:divBdr>
                <w:top w:val="none" w:sz="0" w:space="0" w:color="auto"/>
                <w:left w:val="none" w:sz="0" w:space="0" w:color="auto"/>
                <w:bottom w:val="none" w:sz="0" w:space="0" w:color="auto"/>
                <w:right w:val="none" w:sz="0" w:space="0" w:color="auto"/>
              </w:divBdr>
              <w:divsChild>
                <w:div w:id="196615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1788">
      <w:bodyDiv w:val="1"/>
      <w:marLeft w:val="0"/>
      <w:marRight w:val="0"/>
      <w:marTop w:val="0"/>
      <w:marBottom w:val="0"/>
      <w:divBdr>
        <w:top w:val="none" w:sz="0" w:space="0" w:color="auto"/>
        <w:left w:val="none" w:sz="0" w:space="0" w:color="auto"/>
        <w:bottom w:val="none" w:sz="0" w:space="0" w:color="auto"/>
        <w:right w:val="none" w:sz="0" w:space="0" w:color="auto"/>
      </w:divBdr>
      <w:divsChild>
        <w:div w:id="1584803304">
          <w:marLeft w:val="0"/>
          <w:marRight w:val="0"/>
          <w:marTop w:val="0"/>
          <w:marBottom w:val="0"/>
          <w:divBdr>
            <w:top w:val="none" w:sz="0" w:space="0" w:color="auto"/>
            <w:left w:val="none" w:sz="0" w:space="0" w:color="auto"/>
            <w:bottom w:val="none" w:sz="0" w:space="0" w:color="auto"/>
            <w:right w:val="none" w:sz="0" w:space="0" w:color="auto"/>
          </w:divBdr>
          <w:divsChild>
            <w:div w:id="70271437">
              <w:marLeft w:val="0"/>
              <w:marRight w:val="0"/>
              <w:marTop w:val="0"/>
              <w:marBottom w:val="0"/>
              <w:divBdr>
                <w:top w:val="none" w:sz="0" w:space="0" w:color="auto"/>
                <w:left w:val="none" w:sz="0" w:space="0" w:color="auto"/>
                <w:bottom w:val="none" w:sz="0" w:space="0" w:color="auto"/>
                <w:right w:val="none" w:sz="0" w:space="0" w:color="auto"/>
              </w:divBdr>
              <w:divsChild>
                <w:div w:id="20955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1551">
      <w:bodyDiv w:val="1"/>
      <w:marLeft w:val="0"/>
      <w:marRight w:val="0"/>
      <w:marTop w:val="0"/>
      <w:marBottom w:val="0"/>
      <w:divBdr>
        <w:top w:val="none" w:sz="0" w:space="0" w:color="auto"/>
        <w:left w:val="none" w:sz="0" w:space="0" w:color="auto"/>
        <w:bottom w:val="none" w:sz="0" w:space="0" w:color="auto"/>
        <w:right w:val="none" w:sz="0" w:space="0" w:color="auto"/>
      </w:divBdr>
      <w:divsChild>
        <w:div w:id="1800415340">
          <w:marLeft w:val="0"/>
          <w:marRight w:val="0"/>
          <w:marTop w:val="0"/>
          <w:marBottom w:val="0"/>
          <w:divBdr>
            <w:top w:val="none" w:sz="0" w:space="0" w:color="auto"/>
            <w:left w:val="none" w:sz="0" w:space="0" w:color="auto"/>
            <w:bottom w:val="none" w:sz="0" w:space="0" w:color="auto"/>
            <w:right w:val="none" w:sz="0" w:space="0" w:color="auto"/>
          </w:divBdr>
          <w:divsChild>
            <w:div w:id="652029911">
              <w:marLeft w:val="0"/>
              <w:marRight w:val="0"/>
              <w:marTop w:val="0"/>
              <w:marBottom w:val="0"/>
              <w:divBdr>
                <w:top w:val="none" w:sz="0" w:space="0" w:color="auto"/>
                <w:left w:val="none" w:sz="0" w:space="0" w:color="auto"/>
                <w:bottom w:val="none" w:sz="0" w:space="0" w:color="auto"/>
                <w:right w:val="none" w:sz="0" w:space="0" w:color="auto"/>
              </w:divBdr>
              <w:divsChild>
                <w:div w:id="532158220">
                  <w:marLeft w:val="0"/>
                  <w:marRight w:val="0"/>
                  <w:marTop w:val="0"/>
                  <w:marBottom w:val="0"/>
                  <w:divBdr>
                    <w:top w:val="none" w:sz="0" w:space="0" w:color="auto"/>
                    <w:left w:val="none" w:sz="0" w:space="0" w:color="auto"/>
                    <w:bottom w:val="none" w:sz="0" w:space="0" w:color="auto"/>
                    <w:right w:val="none" w:sz="0" w:space="0" w:color="auto"/>
                  </w:divBdr>
                  <w:divsChild>
                    <w:div w:id="17171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638631">
      <w:bodyDiv w:val="1"/>
      <w:marLeft w:val="0"/>
      <w:marRight w:val="0"/>
      <w:marTop w:val="0"/>
      <w:marBottom w:val="0"/>
      <w:divBdr>
        <w:top w:val="none" w:sz="0" w:space="0" w:color="auto"/>
        <w:left w:val="none" w:sz="0" w:space="0" w:color="auto"/>
        <w:bottom w:val="none" w:sz="0" w:space="0" w:color="auto"/>
        <w:right w:val="none" w:sz="0" w:space="0" w:color="auto"/>
      </w:divBdr>
      <w:divsChild>
        <w:div w:id="455178233">
          <w:marLeft w:val="0"/>
          <w:marRight w:val="0"/>
          <w:marTop w:val="0"/>
          <w:marBottom w:val="0"/>
          <w:divBdr>
            <w:top w:val="none" w:sz="0" w:space="0" w:color="auto"/>
            <w:left w:val="none" w:sz="0" w:space="0" w:color="auto"/>
            <w:bottom w:val="none" w:sz="0" w:space="0" w:color="auto"/>
            <w:right w:val="none" w:sz="0" w:space="0" w:color="auto"/>
          </w:divBdr>
          <w:divsChild>
            <w:div w:id="236984579">
              <w:marLeft w:val="0"/>
              <w:marRight w:val="0"/>
              <w:marTop w:val="0"/>
              <w:marBottom w:val="0"/>
              <w:divBdr>
                <w:top w:val="none" w:sz="0" w:space="0" w:color="auto"/>
                <w:left w:val="none" w:sz="0" w:space="0" w:color="auto"/>
                <w:bottom w:val="none" w:sz="0" w:space="0" w:color="auto"/>
                <w:right w:val="none" w:sz="0" w:space="0" w:color="auto"/>
              </w:divBdr>
              <w:divsChild>
                <w:div w:id="235673882">
                  <w:marLeft w:val="0"/>
                  <w:marRight w:val="0"/>
                  <w:marTop w:val="0"/>
                  <w:marBottom w:val="0"/>
                  <w:divBdr>
                    <w:top w:val="none" w:sz="0" w:space="0" w:color="auto"/>
                    <w:left w:val="none" w:sz="0" w:space="0" w:color="auto"/>
                    <w:bottom w:val="none" w:sz="0" w:space="0" w:color="auto"/>
                    <w:right w:val="none" w:sz="0" w:space="0" w:color="auto"/>
                  </w:divBdr>
                  <w:divsChild>
                    <w:div w:id="5615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886468">
      <w:bodyDiv w:val="1"/>
      <w:marLeft w:val="0"/>
      <w:marRight w:val="0"/>
      <w:marTop w:val="0"/>
      <w:marBottom w:val="0"/>
      <w:divBdr>
        <w:top w:val="none" w:sz="0" w:space="0" w:color="auto"/>
        <w:left w:val="none" w:sz="0" w:space="0" w:color="auto"/>
        <w:bottom w:val="none" w:sz="0" w:space="0" w:color="auto"/>
        <w:right w:val="none" w:sz="0" w:space="0" w:color="auto"/>
      </w:divBdr>
      <w:divsChild>
        <w:div w:id="982468094">
          <w:marLeft w:val="0"/>
          <w:marRight w:val="0"/>
          <w:marTop w:val="0"/>
          <w:marBottom w:val="0"/>
          <w:divBdr>
            <w:top w:val="none" w:sz="0" w:space="0" w:color="auto"/>
            <w:left w:val="none" w:sz="0" w:space="0" w:color="auto"/>
            <w:bottom w:val="none" w:sz="0" w:space="0" w:color="auto"/>
            <w:right w:val="none" w:sz="0" w:space="0" w:color="auto"/>
          </w:divBdr>
          <w:divsChild>
            <w:div w:id="996228065">
              <w:marLeft w:val="0"/>
              <w:marRight w:val="0"/>
              <w:marTop w:val="0"/>
              <w:marBottom w:val="0"/>
              <w:divBdr>
                <w:top w:val="none" w:sz="0" w:space="0" w:color="auto"/>
                <w:left w:val="none" w:sz="0" w:space="0" w:color="auto"/>
                <w:bottom w:val="none" w:sz="0" w:space="0" w:color="auto"/>
                <w:right w:val="none" w:sz="0" w:space="0" w:color="auto"/>
              </w:divBdr>
              <w:divsChild>
                <w:div w:id="1394818340">
                  <w:marLeft w:val="0"/>
                  <w:marRight w:val="0"/>
                  <w:marTop w:val="0"/>
                  <w:marBottom w:val="0"/>
                  <w:divBdr>
                    <w:top w:val="none" w:sz="0" w:space="0" w:color="auto"/>
                    <w:left w:val="none" w:sz="0" w:space="0" w:color="auto"/>
                    <w:bottom w:val="none" w:sz="0" w:space="0" w:color="auto"/>
                    <w:right w:val="none" w:sz="0" w:space="0" w:color="auto"/>
                  </w:divBdr>
                  <w:divsChild>
                    <w:div w:id="9586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40278">
      <w:bodyDiv w:val="1"/>
      <w:marLeft w:val="0"/>
      <w:marRight w:val="0"/>
      <w:marTop w:val="0"/>
      <w:marBottom w:val="0"/>
      <w:divBdr>
        <w:top w:val="none" w:sz="0" w:space="0" w:color="auto"/>
        <w:left w:val="none" w:sz="0" w:space="0" w:color="auto"/>
        <w:bottom w:val="none" w:sz="0" w:space="0" w:color="auto"/>
        <w:right w:val="none" w:sz="0" w:space="0" w:color="auto"/>
      </w:divBdr>
      <w:divsChild>
        <w:div w:id="402529741">
          <w:marLeft w:val="0"/>
          <w:marRight w:val="0"/>
          <w:marTop w:val="0"/>
          <w:marBottom w:val="0"/>
          <w:divBdr>
            <w:top w:val="none" w:sz="0" w:space="0" w:color="auto"/>
            <w:left w:val="none" w:sz="0" w:space="0" w:color="auto"/>
            <w:bottom w:val="none" w:sz="0" w:space="0" w:color="auto"/>
            <w:right w:val="none" w:sz="0" w:space="0" w:color="auto"/>
          </w:divBdr>
          <w:divsChild>
            <w:div w:id="861746961">
              <w:marLeft w:val="0"/>
              <w:marRight w:val="0"/>
              <w:marTop w:val="0"/>
              <w:marBottom w:val="0"/>
              <w:divBdr>
                <w:top w:val="none" w:sz="0" w:space="0" w:color="auto"/>
                <w:left w:val="none" w:sz="0" w:space="0" w:color="auto"/>
                <w:bottom w:val="none" w:sz="0" w:space="0" w:color="auto"/>
                <w:right w:val="none" w:sz="0" w:space="0" w:color="auto"/>
              </w:divBdr>
              <w:divsChild>
                <w:div w:id="20522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49927">
      <w:bodyDiv w:val="1"/>
      <w:marLeft w:val="0"/>
      <w:marRight w:val="0"/>
      <w:marTop w:val="0"/>
      <w:marBottom w:val="0"/>
      <w:divBdr>
        <w:top w:val="none" w:sz="0" w:space="0" w:color="auto"/>
        <w:left w:val="none" w:sz="0" w:space="0" w:color="auto"/>
        <w:bottom w:val="none" w:sz="0" w:space="0" w:color="auto"/>
        <w:right w:val="none" w:sz="0" w:space="0" w:color="auto"/>
      </w:divBdr>
      <w:divsChild>
        <w:div w:id="311758711">
          <w:marLeft w:val="0"/>
          <w:marRight w:val="0"/>
          <w:marTop w:val="0"/>
          <w:marBottom w:val="0"/>
          <w:divBdr>
            <w:top w:val="none" w:sz="0" w:space="0" w:color="auto"/>
            <w:left w:val="none" w:sz="0" w:space="0" w:color="auto"/>
            <w:bottom w:val="none" w:sz="0" w:space="0" w:color="auto"/>
            <w:right w:val="none" w:sz="0" w:space="0" w:color="auto"/>
          </w:divBdr>
          <w:divsChild>
            <w:div w:id="200434885">
              <w:marLeft w:val="0"/>
              <w:marRight w:val="0"/>
              <w:marTop w:val="0"/>
              <w:marBottom w:val="0"/>
              <w:divBdr>
                <w:top w:val="none" w:sz="0" w:space="0" w:color="auto"/>
                <w:left w:val="none" w:sz="0" w:space="0" w:color="auto"/>
                <w:bottom w:val="none" w:sz="0" w:space="0" w:color="auto"/>
                <w:right w:val="none" w:sz="0" w:space="0" w:color="auto"/>
              </w:divBdr>
              <w:divsChild>
                <w:div w:id="1532956994">
                  <w:marLeft w:val="0"/>
                  <w:marRight w:val="0"/>
                  <w:marTop w:val="0"/>
                  <w:marBottom w:val="0"/>
                  <w:divBdr>
                    <w:top w:val="none" w:sz="0" w:space="0" w:color="auto"/>
                    <w:left w:val="none" w:sz="0" w:space="0" w:color="auto"/>
                    <w:bottom w:val="none" w:sz="0" w:space="0" w:color="auto"/>
                    <w:right w:val="none" w:sz="0" w:space="0" w:color="auto"/>
                  </w:divBdr>
                  <w:divsChild>
                    <w:div w:id="8960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275954">
      <w:bodyDiv w:val="1"/>
      <w:marLeft w:val="0"/>
      <w:marRight w:val="0"/>
      <w:marTop w:val="0"/>
      <w:marBottom w:val="0"/>
      <w:divBdr>
        <w:top w:val="none" w:sz="0" w:space="0" w:color="auto"/>
        <w:left w:val="none" w:sz="0" w:space="0" w:color="auto"/>
        <w:bottom w:val="none" w:sz="0" w:space="0" w:color="auto"/>
        <w:right w:val="none" w:sz="0" w:space="0" w:color="auto"/>
      </w:divBdr>
      <w:divsChild>
        <w:div w:id="1999989736">
          <w:marLeft w:val="0"/>
          <w:marRight w:val="0"/>
          <w:marTop w:val="0"/>
          <w:marBottom w:val="0"/>
          <w:divBdr>
            <w:top w:val="none" w:sz="0" w:space="0" w:color="auto"/>
            <w:left w:val="none" w:sz="0" w:space="0" w:color="auto"/>
            <w:bottom w:val="none" w:sz="0" w:space="0" w:color="auto"/>
            <w:right w:val="none" w:sz="0" w:space="0" w:color="auto"/>
          </w:divBdr>
          <w:divsChild>
            <w:div w:id="868185930">
              <w:marLeft w:val="0"/>
              <w:marRight w:val="0"/>
              <w:marTop w:val="0"/>
              <w:marBottom w:val="0"/>
              <w:divBdr>
                <w:top w:val="none" w:sz="0" w:space="0" w:color="auto"/>
                <w:left w:val="none" w:sz="0" w:space="0" w:color="auto"/>
                <w:bottom w:val="none" w:sz="0" w:space="0" w:color="auto"/>
                <w:right w:val="none" w:sz="0" w:space="0" w:color="auto"/>
              </w:divBdr>
              <w:divsChild>
                <w:div w:id="1018311818">
                  <w:marLeft w:val="0"/>
                  <w:marRight w:val="0"/>
                  <w:marTop w:val="0"/>
                  <w:marBottom w:val="0"/>
                  <w:divBdr>
                    <w:top w:val="none" w:sz="0" w:space="0" w:color="auto"/>
                    <w:left w:val="none" w:sz="0" w:space="0" w:color="auto"/>
                    <w:bottom w:val="none" w:sz="0" w:space="0" w:color="auto"/>
                    <w:right w:val="none" w:sz="0" w:space="0" w:color="auto"/>
                  </w:divBdr>
                  <w:divsChild>
                    <w:div w:id="18137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322924">
      <w:bodyDiv w:val="1"/>
      <w:marLeft w:val="0"/>
      <w:marRight w:val="0"/>
      <w:marTop w:val="0"/>
      <w:marBottom w:val="0"/>
      <w:divBdr>
        <w:top w:val="none" w:sz="0" w:space="0" w:color="auto"/>
        <w:left w:val="none" w:sz="0" w:space="0" w:color="auto"/>
        <w:bottom w:val="none" w:sz="0" w:space="0" w:color="auto"/>
        <w:right w:val="none" w:sz="0" w:space="0" w:color="auto"/>
      </w:divBdr>
    </w:div>
    <w:div w:id="1125588245">
      <w:bodyDiv w:val="1"/>
      <w:marLeft w:val="0"/>
      <w:marRight w:val="0"/>
      <w:marTop w:val="0"/>
      <w:marBottom w:val="0"/>
      <w:divBdr>
        <w:top w:val="none" w:sz="0" w:space="0" w:color="auto"/>
        <w:left w:val="none" w:sz="0" w:space="0" w:color="auto"/>
        <w:bottom w:val="none" w:sz="0" w:space="0" w:color="auto"/>
        <w:right w:val="none" w:sz="0" w:space="0" w:color="auto"/>
      </w:divBdr>
      <w:divsChild>
        <w:div w:id="1549605678">
          <w:marLeft w:val="0"/>
          <w:marRight w:val="0"/>
          <w:marTop w:val="0"/>
          <w:marBottom w:val="0"/>
          <w:divBdr>
            <w:top w:val="none" w:sz="0" w:space="0" w:color="auto"/>
            <w:left w:val="none" w:sz="0" w:space="0" w:color="auto"/>
            <w:bottom w:val="none" w:sz="0" w:space="0" w:color="auto"/>
            <w:right w:val="none" w:sz="0" w:space="0" w:color="auto"/>
          </w:divBdr>
          <w:divsChild>
            <w:div w:id="447551669">
              <w:marLeft w:val="0"/>
              <w:marRight w:val="0"/>
              <w:marTop w:val="0"/>
              <w:marBottom w:val="0"/>
              <w:divBdr>
                <w:top w:val="none" w:sz="0" w:space="0" w:color="auto"/>
                <w:left w:val="none" w:sz="0" w:space="0" w:color="auto"/>
                <w:bottom w:val="none" w:sz="0" w:space="0" w:color="auto"/>
                <w:right w:val="none" w:sz="0" w:space="0" w:color="auto"/>
              </w:divBdr>
              <w:divsChild>
                <w:div w:id="822157722">
                  <w:marLeft w:val="0"/>
                  <w:marRight w:val="0"/>
                  <w:marTop w:val="0"/>
                  <w:marBottom w:val="0"/>
                  <w:divBdr>
                    <w:top w:val="none" w:sz="0" w:space="0" w:color="auto"/>
                    <w:left w:val="none" w:sz="0" w:space="0" w:color="auto"/>
                    <w:bottom w:val="none" w:sz="0" w:space="0" w:color="auto"/>
                    <w:right w:val="none" w:sz="0" w:space="0" w:color="auto"/>
                  </w:divBdr>
                  <w:divsChild>
                    <w:div w:id="4831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83765">
      <w:bodyDiv w:val="1"/>
      <w:marLeft w:val="0"/>
      <w:marRight w:val="0"/>
      <w:marTop w:val="0"/>
      <w:marBottom w:val="0"/>
      <w:divBdr>
        <w:top w:val="none" w:sz="0" w:space="0" w:color="auto"/>
        <w:left w:val="none" w:sz="0" w:space="0" w:color="auto"/>
        <w:bottom w:val="none" w:sz="0" w:space="0" w:color="auto"/>
        <w:right w:val="none" w:sz="0" w:space="0" w:color="auto"/>
      </w:divBdr>
      <w:divsChild>
        <w:div w:id="757480691">
          <w:marLeft w:val="0"/>
          <w:marRight w:val="0"/>
          <w:marTop w:val="0"/>
          <w:marBottom w:val="0"/>
          <w:divBdr>
            <w:top w:val="none" w:sz="0" w:space="0" w:color="auto"/>
            <w:left w:val="none" w:sz="0" w:space="0" w:color="auto"/>
            <w:bottom w:val="none" w:sz="0" w:space="0" w:color="auto"/>
            <w:right w:val="none" w:sz="0" w:space="0" w:color="auto"/>
          </w:divBdr>
          <w:divsChild>
            <w:div w:id="570894363">
              <w:marLeft w:val="0"/>
              <w:marRight w:val="0"/>
              <w:marTop w:val="0"/>
              <w:marBottom w:val="0"/>
              <w:divBdr>
                <w:top w:val="none" w:sz="0" w:space="0" w:color="auto"/>
                <w:left w:val="none" w:sz="0" w:space="0" w:color="auto"/>
                <w:bottom w:val="none" w:sz="0" w:space="0" w:color="auto"/>
                <w:right w:val="none" w:sz="0" w:space="0" w:color="auto"/>
              </w:divBdr>
              <w:divsChild>
                <w:div w:id="723599675">
                  <w:marLeft w:val="0"/>
                  <w:marRight w:val="0"/>
                  <w:marTop w:val="0"/>
                  <w:marBottom w:val="0"/>
                  <w:divBdr>
                    <w:top w:val="none" w:sz="0" w:space="0" w:color="auto"/>
                    <w:left w:val="none" w:sz="0" w:space="0" w:color="auto"/>
                    <w:bottom w:val="none" w:sz="0" w:space="0" w:color="auto"/>
                    <w:right w:val="none" w:sz="0" w:space="0" w:color="auto"/>
                  </w:divBdr>
                  <w:divsChild>
                    <w:div w:id="13392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124218">
      <w:bodyDiv w:val="1"/>
      <w:marLeft w:val="0"/>
      <w:marRight w:val="0"/>
      <w:marTop w:val="0"/>
      <w:marBottom w:val="0"/>
      <w:divBdr>
        <w:top w:val="none" w:sz="0" w:space="0" w:color="auto"/>
        <w:left w:val="none" w:sz="0" w:space="0" w:color="auto"/>
        <w:bottom w:val="none" w:sz="0" w:space="0" w:color="auto"/>
        <w:right w:val="none" w:sz="0" w:space="0" w:color="auto"/>
      </w:divBdr>
    </w:div>
    <w:div w:id="1167744481">
      <w:bodyDiv w:val="1"/>
      <w:marLeft w:val="0"/>
      <w:marRight w:val="0"/>
      <w:marTop w:val="0"/>
      <w:marBottom w:val="0"/>
      <w:divBdr>
        <w:top w:val="none" w:sz="0" w:space="0" w:color="auto"/>
        <w:left w:val="none" w:sz="0" w:space="0" w:color="auto"/>
        <w:bottom w:val="none" w:sz="0" w:space="0" w:color="auto"/>
        <w:right w:val="none" w:sz="0" w:space="0" w:color="auto"/>
      </w:divBdr>
      <w:divsChild>
        <w:div w:id="1897008201">
          <w:marLeft w:val="0"/>
          <w:marRight w:val="0"/>
          <w:marTop w:val="0"/>
          <w:marBottom w:val="0"/>
          <w:divBdr>
            <w:top w:val="none" w:sz="0" w:space="0" w:color="auto"/>
            <w:left w:val="none" w:sz="0" w:space="0" w:color="auto"/>
            <w:bottom w:val="none" w:sz="0" w:space="0" w:color="auto"/>
            <w:right w:val="none" w:sz="0" w:space="0" w:color="auto"/>
          </w:divBdr>
          <w:divsChild>
            <w:div w:id="1367951071">
              <w:marLeft w:val="0"/>
              <w:marRight w:val="0"/>
              <w:marTop w:val="0"/>
              <w:marBottom w:val="0"/>
              <w:divBdr>
                <w:top w:val="none" w:sz="0" w:space="0" w:color="auto"/>
                <w:left w:val="none" w:sz="0" w:space="0" w:color="auto"/>
                <w:bottom w:val="none" w:sz="0" w:space="0" w:color="auto"/>
                <w:right w:val="none" w:sz="0" w:space="0" w:color="auto"/>
              </w:divBdr>
              <w:divsChild>
                <w:div w:id="1505584060">
                  <w:marLeft w:val="0"/>
                  <w:marRight w:val="0"/>
                  <w:marTop w:val="0"/>
                  <w:marBottom w:val="0"/>
                  <w:divBdr>
                    <w:top w:val="none" w:sz="0" w:space="0" w:color="auto"/>
                    <w:left w:val="none" w:sz="0" w:space="0" w:color="auto"/>
                    <w:bottom w:val="none" w:sz="0" w:space="0" w:color="auto"/>
                    <w:right w:val="none" w:sz="0" w:space="0" w:color="auto"/>
                  </w:divBdr>
                  <w:divsChild>
                    <w:div w:id="15311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105053">
      <w:bodyDiv w:val="1"/>
      <w:marLeft w:val="0"/>
      <w:marRight w:val="0"/>
      <w:marTop w:val="0"/>
      <w:marBottom w:val="0"/>
      <w:divBdr>
        <w:top w:val="none" w:sz="0" w:space="0" w:color="auto"/>
        <w:left w:val="none" w:sz="0" w:space="0" w:color="auto"/>
        <w:bottom w:val="none" w:sz="0" w:space="0" w:color="auto"/>
        <w:right w:val="none" w:sz="0" w:space="0" w:color="auto"/>
      </w:divBdr>
      <w:divsChild>
        <w:div w:id="1116680370">
          <w:marLeft w:val="0"/>
          <w:marRight w:val="0"/>
          <w:marTop w:val="0"/>
          <w:marBottom w:val="0"/>
          <w:divBdr>
            <w:top w:val="none" w:sz="0" w:space="0" w:color="auto"/>
            <w:left w:val="none" w:sz="0" w:space="0" w:color="auto"/>
            <w:bottom w:val="none" w:sz="0" w:space="0" w:color="auto"/>
            <w:right w:val="none" w:sz="0" w:space="0" w:color="auto"/>
          </w:divBdr>
          <w:divsChild>
            <w:div w:id="2137140926">
              <w:marLeft w:val="0"/>
              <w:marRight w:val="0"/>
              <w:marTop w:val="0"/>
              <w:marBottom w:val="0"/>
              <w:divBdr>
                <w:top w:val="none" w:sz="0" w:space="0" w:color="auto"/>
                <w:left w:val="none" w:sz="0" w:space="0" w:color="auto"/>
                <w:bottom w:val="none" w:sz="0" w:space="0" w:color="auto"/>
                <w:right w:val="none" w:sz="0" w:space="0" w:color="auto"/>
              </w:divBdr>
              <w:divsChild>
                <w:div w:id="486433348">
                  <w:marLeft w:val="0"/>
                  <w:marRight w:val="0"/>
                  <w:marTop w:val="0"/>
                  <w:marBottom w:val="0"/>
                  <w:divBdr>
                    <w:top w:val="none" w:sz="0" w:space="0" w:color="auto"/>
                    <w:left w:val="none" w:sz="0" w:space="0" w:color="auto"/>
                    <w:bottom w:val="none" w:sz="0" w:space="0" w:color="auto"/>
                    <w:right w:val="none" w:sz="0" w:space="0" w:color="auto"/>
                  </w:divBdr>
                  <w:divsChild>
                    <w:div w:id="12072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222353">
      <w:bodyDiv w:val="1"/>
      <w:marLeft w:val="0"/>
      <w:marRight w:val="0"/>
      <w:marTop w:val="0"/>
      <w:marBottom w:val="0"/>
      <w:divBdr>
        <w:top w:val="none" w:sz="0" w:space="0" w:color="auto"/>
        <w:left w:val="none" w:sz="0" w:space="0" w:color="auto"/>
        <w:bottom w:val="none" w:sz="0" w:space="0" w:color="auto"/>
        <w:right w:val="none" w:sz="0" w:space="0" w:color="auto"/>
      </w:divBdr>
      <w:divsChild>
        <w:div w:id="158621928">
          <w:marLeft w:val="0"/>
          <w:marRight w:val="0"/>
          <w:marTop w:val="0"/>
          <w:marBottom w:val="0"/>
          <w:divBdr>
            <w:top w:val="none" w:sz="0" w:space="0" w:color="auto"/>
            <w:left w:val="none" w:sz="0" w:space="0" w:color="auto"/>
            <w:bottom w:val="none" w:sz="0" w:space="0" w:color="auto"/>
            <w:right w:val="none" w:sz="0" w:space="0" w:color="auto"/>
          </w:divBdr>
          <w:divsChild>
            <w:div w:id="313803254">
              <w:marLeft w:val="0"/>
              <w:marRight w:val="0"/>
              <w:marTop w:val="0"/>
              <w:marBottom w:val="0"/>
              <w:divBdr>
                <w:top w:val="none" w:sz="0" w:space="0" w:color="auto"/>
                <w:left w:val="none" w:sz="0" w:space="0" w:color="auto"/>
                <w:bottom w:val="none" w:sz="0" w:space="0" w:color="auto"/>
                <w:right w:val="none" w:sz="0" w:space="0" w:color="auto"/>
              </w:divBdr>
              <w:divsChild>
                <w:div w:id="2123256394">
                  <w:marLeft w:val="0"/>
                  <w:marRight w:val="0"/>
                  <w:marTop w:val="0"/>
                  <w:marBottom w:val="0"/>
                  <w:divBdr>
                    <w:top w:val="none" w:sz="0" w:space="0" w:color="auto"/>
                    <w:left w:val="none" w:sz="0" w:space="0" w:color="auto"/>
                    <w:bottom w:val="none" w:sz="0" w:space="0" w:color="auto"/>
                    <w:right w:val="none" w:sz="0" w:space="0" w:color="auto"/>
                  </w:divBdr>
                  <w:divsChild>
                    <w:div w:id="821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113241">
      <w:bodyDiv w:val="1"/>
      <w:marLeft w:val="0"/>
      <w:marRight w:val="0"/>
      <w:marTop w:val="0"/>
      <w:marBottom w:val="0"/>
      <w:divBdr>
        <w:top w:val="none" w:sz="0" w:space="0" w:color="auto"/>
        <w:left w:val="none" w:sz="0" w:space="0" w:color="auto"/>
        <w:bottom w:val="none" w:sz="0" w:space="0" w:color="auto"/>
        <w:right w:val="none" w:sz="0" w:space="0" w:color="auto"/>
      </w:divBdr>
      <w:divsChild>
        <w:div w:id="1396931765">
          <w:marLeft w:val="0"/>
          <w:marRight w:val="0"/>
          <w:marTop w:val="0"/>
          <w:marBottom w:val="0"/>
          <w:divBdr>
            <w:top w:val="none" w:sz="0" w:space="0" w:color="auto"/>
            <w:left w:val="none" w:sz="0" w:space="0" w:color="auto"/>
            <w:bottom w:val="none" w:sz="0" w:space="0" w:color="auto"/>
            <w:right w:val="none" w:sz="0" w:space="0" w:color="auto"/>
          </w:divBdr>
          <w:divsChild>
            <w:div w:id="281308783">
              <w:marLeft w:val="0"/>
              <w:marRight w:val="0"/>
              <w:marTop w:val="0"/>
              <w:marBottom w:val="0"/>
              <w:divBdr>
                <w:top w:val="none" w:sz="0" w:space="0" w:color="auto"/>
                <w:left w:val="none" w:sz="0" w:space="0" w:color="auto"/>
                <w:bottom w:val="none" w:sz="0" w:space="0" w:color="auto"/>
                <w:right w:val="none" w:sz="0" w:space="0" w:color="auto"/>
              </w:divBdr>
              <w:divsChild>
                <w:div w:id="765618764">
                  <w:marLeft w:val="0"/>
                  <w:marRight w:val="0"/>
                  <w:marTop w:val="0"/>
                  <w:marBottom w:val="0"/>
                  <w:divBdr>
                    <w:top w:val="none" w:sz="0" w:space="0" w:color="auto"/>
                    <w:left w:val="none" w:sz="0" w:space="0" w:color="auto"/>
                    <w:bottom w:val="none" w:sz="0" w:space="0" w:color="auto"/>
                    <w:right w:val="none" w:sz="0" w:space="0" w:color="auto"/>
                  </w:divBdr>
                  <w:divsChild>
                    <w:div w:id="10719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333625">
      <w:bodyDiv w:val="1"/>
      <w:marLeft w:val="0"/>
      <w:marRight w:val="0"/>
      <w:marTop w:val="0"/>
      <w:marBottom w:val="0"/>
      <w:divBdr>
        <w:top w:val="none" w:sz="0" w:space="0" w:color="auto"/>
        <w:left w:val="none" w:sz="0" w:space="0" w:color="auto"/>
        <w:bottom w:val="none" w:sz="0" w:space="0" w:color="auto"/>
        <w:right w:val="none" w:sz="0" w:space="0" w:color="auto"/>
      </w:divBdr>
      <w:divsChild>
        <w:div w:id="262494933">
          <w:marLeft w:val="0"/>
          <w:marRight w:val="0"/>
          <w:marTop w:val="0"/>
          <w:marBottom w:val="0"/>
          <w:divBdr>
            <w:top w:val="none" w:sz="0" w:space="0" w:color="auto"/>
            <w:left w:val="none" w:sz="0" w:space="0" w:color="auto"/>
            <w:bottom w:val="none" w:sz="0" w:space="0" w:color="auto"/>
            <w:right w:val="none" w:sz="0" w:space="0" w:color="auto"/>
          </w:divBdr>
          <w:divsChild>
            <w:div w:id="1323045643">
              <w:marLeft w:val="0"/>
              <w:marRight w:val="0"/>
              <w:marTop w:val="0"/>
              <w:marBottom w:val="0"/>
              <w:divBdr>
                <w:top w:val="none" w:sz="0" w:space="0" w:color="auto"/>
                <w:left w:val="none" w:sz="0" w:space="0" w:color="auto"/>
                <w:bottom w:val="none" w:sz="0" w:space="0" w:color="auto"/>
                <w:right w:val="none" w:sz="0" w:space="0" w:color="auto"/>
              </w:divBdr>
              <w:divsChild>
                <w:div w:id="855538318">
                  <w:marLeft w:val="0"/>
                  <w:marRight w:val="0"/>
                  <w:marTop w:val="0"/>
                  <w:marBottom w:val="0"/>
                  <w:divBdr>
                    <w:top w:val="none" w:sz="0" w:space="0" w:color="auto"/>
                    <w:left w:val="none" w:sz="0" w:space="0" w:color="auto"/>
                    <w:bottom w:val="none" w:sz="0" w:space="0" w:color="auto"/>
                    <w:right w:val="none" w:sz="0" w:space="0" w:color="auto"/>
                  </w:divBdr>
                  <w:divsChild>
                    <w:div w:id="5706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73999">
      <w:bodyDiv w:val="1"/>
      <w:marLeft w:val="0"/>
      <w:marRight w:val="0"/>
      <w:marTop w:val="0"/>
      <w:marBottom w:val="0"/>
      <w:divBdr>
        <w:top w:val="none" w:sz="0" w:space="0" w:color="auto"/>
        <w:left w:val="none" w:sz="0" w:space="0" w:color="auto"/>
        <w:bottom w:val="none" w:sz="0" w:space="0" w:color="auto"/>
        <w:right w:val="none" w:sz="0" w:space="0" w:color="auto"/>
      </w:divBdr>
      <w:divsChild>
        <w:div w:id="349379171">
          <w:marLeft w:val="0"/>
          <w:marRight w:val="0"/>
          <w:marTop w:val="0"/>
          <w:marBottom w:val="0"/>
          <w:divBdr>
            <w:top w:val="none" w:sz="0" w:space="0" w:color="auto"/>
            <w:left w:val="none" w:sz="0" w:space="0" w:color="auto"/>
            <w:bottom w:val="none" w:sz="0" w:space="0" w:color="auto"/>
            <w:right w:val="none" w:sz="0" w:space="0" w:color="auto"/>
          </w:divBdr>
          <w:divsChild>
            <w:div w:id="433019430">
              <w:marLeft w:val="0"/>
              <w:marRight w:val="0"/>
              <w:marTop w:val="0"/>
              <w:marBottom w:val="0"/>
              <w:divBdr>
                <w:top w:val="none" w:sz="0" w:space="0" w:color="auto"/>
                <w:left w:val="none" w:sz="0" w:space="0" w:color="auto"/>
                <w:bottom w:val="none" w:sz="0" w:space="0" w:color="auto"/>
                <w:right w:val="none" w:sz="0" w:space="0" w:color="auto"/>
              </w:divBdr>
              <w:divsChild>
                <w:div w:id="489448239">
                  <w:marLeft w:val="0"/>
                  <w:marRight w:val="0"/>
                  <w:marTop w:val="0"/>
                  <w:marBottom w:val="0"/>
                  <w:divBdr>
                    <w:top w:val="none" w:sz="0" w:space="0" w:color="auto"/>
                    <w:left w:val="none" w:sz="0" w:space="0" w:color="auto"/>
                    <w:bottom w:val="none" w:sz="0" w:space="0" w:color="auto"/>
                    <w:right w:val="none" w:sz="0" w:space="0" w:color="auto"/>
                  </w:divBdr>
                  <w:divsChild>
                    <w:div w:id="211008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891391">
      <w:bodyDiv w:val="1"/>
      <w:marLeft w:val="0"/>
      <w:marRight w:val="0"/>
      <w:marTop w:val="0"/>
      <w:marBottom w:val="0"/>
      <w:divBdr>
        <w:top w:val="none" w:sz="0" w:space="0" w:color="auto"/>
        <w:left w:val="none" w:sz="0" w:space="0" w:color="auto"/>
        <w:bottom w:val="none" w:sz="0" w:space="0" w:color="auto"/>
        <w:right w:val="none" w:sz="0" w:space="0" w:color="auto"/>
      </w:divBdr>
    </w:div>
    <w:div w:id="1265963379">
      <w:bodyDiv w:val="1"/>
      <w:marLeft w:val="0"/>
      <w:marRight w:val="0"/>
      <w:marTop w:val="0"/>
      <w:marBottom w:val="0"/>
      <w:divBdr>
        <w:top w:val="none" w:sz="0" w:space="0" w:color="auto"/>
        <w:left w:val="none" w:sz="0" w:space="0" w:color="auto"/>
        <w:bottom w:val="none" w:sz="0" w:space="0" w:color="auto"/>
        <w:right w:val="none" w:sz="0" w:space="0" w:color="auto"/>
      </w:divBdr>
      <w:divsChild>
        <w:div w:id="1837374678">
          <w:marLeft w:val="0"/>
          <w:marRight w:val="0"/>
          <w:marTop w:val="0"/>
          <w:marBottom w:val="0"/>
          <w:divBdr>
            <w:top w:val="none" w:sz="0" w:space="0" w:color="auto"/>
            <w:left w:val="none" w:sz="0" w:space="0" w:color="auto"/>
            <w:bottom w:val="none" w:sz="0" w:space="0" w:color="auto"/>
            <w:right w:val="none" w:sz="0" w:space="0" w:color="auto"/>
          </w:divBdr>
          <w:divsChild>
            <w:div w:id="836532142">
              <w:marLeft w:val="0"/>
              <w:marRight w:val="0"/>
              <w:marTop w:val="0"/>
              <w:marBottom w:val="0"/>
              <w:divBdr>
                <w:top w:val="none" w:sz="0" w:space="0" w:color="auto"/>
                <w:left w:val="none" w:sz="0" w:space="0" w:color="auto"/>
                <w:bottom w:val="none" w:sz="0" w:space="0" w:color="auto"/>
                <w:right w:val="none" w:sz="0" w:space="0" w:color="auto"/>
              </w:divBdr>
              <w:divsChild>
                <w:div w:id="1046368670">
                  <w:marLeft w:val="0"/>
                  <w:marRight w:val="0"/>
                  <w:marTop w:val="0"/>
                  <w:marBottom w:val="0"/>
                  <w:divBdr>
                    <w:top w:val="none" w:sz="0" w:space="0" w:color="auto"/>
                    <w:left w:val="none" w:sz="0" w:space="0" w:color="auto"/>
                    <w:bottom w:val="none" w:sz="0" w:space="0" w:color="auto"/>
                    <w:right w:val="none" w:sz="0" w:space="0" w:color="auto"/>
                  </w:divBdr>
                  <w:divsChild>
                    <w:div w:id="15281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781043">
      <w:bodyDiv w:val="1"/>
      <w:marLeft w:val="0"/>
      <w:marRight w:val="0"/>
      <w:marTop w:val="0"/>
      <w:marBottom w:val="0"/>
      <w:divBdr>
        <w:top w:val="none" w:sz="0" w:space="0" w:color="auto"/>
        <w:left w:val="none" w:sz="0" w:space="0" w:color="auto"/>
        <w:bottom w:val="none" w:sz="0" w:space="0" w:color="auto"/>
        <w:right w:val="none" w:sz="0" w:space="0" w:color="auto"/>
      </w:divBdr>
      <w:divsChild>
        <w:div w:id="1576429630">
          <w:marLeft w:val="0"/>
          <w:marRight w:val="0"/>
          <w:marTop w:val="0"/>
          <w:marBottom w:val="0"/>
          <w:divBdr>
            <w:top w:val="none" w:sz="0" w:space="0" w:color="auto"/>
            <w:left w:val="none" w:sz="0" w:space="0" w:color="auto"/>
            <w:bottom w:val="none" w:sz="0" w:space="0" w:color="auto"/>
            <w:right w:val="none" w:sz="0" w:space="0" w:color="auto"/>
          </w:divBdr>
          <w:divsChild>
            <w:div w:id="172425852">
              <w:marLeft w:val="0"/>
              <w:marRight w:val="0"/>
              <w:marTop w:val="0"/>
              <w:marBottom w:val="0"/>
              <w:divBdr>
                <w:top w:val="none" w:sz="0" w:space="0" w:color="auto"/>
                <w:left w:val="none" w:sz="0" w:space="0" w:color="auto"/>
                <w:bottom w:val="none" w:sz="0" w:space="0" w:color="auto"/>
                <w:right w:val="none" w:sz="0" w:space="0" w:color="auto"/>
              </w:divBdr>
              <w:divsChild>
                <w:div w:id="611210873">
                  <w:marLeft w:val="0"/>
                  <w:marRight w:val="0"/>
                  <w:marTop w:val="0"/>
                  <w:marBottom w:val="0"/>
                  <w:divBdr>
                    <w:top w:val="none" w:sz="0" w:space="0" w:color="auto"/>
                    <w:left w:val="none" w:sz="0" w:space="0" w:color="auto"/>
                    <w:bottom w:val="none" w:sz="0" w:space="0" w:color="auto"/>
                    <w:right w:val="none" w:sz="0" w:space="0" w:color="auto"/>
                  </w:divBdr>
                  <w:divsChild>
                    <w:div w:id="20713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32739">
      <w:bodyDiv w:val="1"/>
      <w:marLeft w:val="0"/>
      <w:marRight w:val="0"/>
      <w:marTop w:val="0"/>
      <w:marBottom w:val="0"/>
      <w:divBdr>
        <w:top w:val="none" w:sz="0" w:space="0" w:color="auto"/>
        <w:left w:val="none" w:sz="0" w:space="0" w:color="auto"/>
        <w:bottom w:val="none" w:sz="0" w:space="0" w:color="auto"/>
        <w:right w:val="none" w:sz="0" w:space="0" w:color="auto"/>
      </w:divBdr>
      <w:divsChild>
        <w:div w:id="1098061337">
          <w:marLeft w:val="0"/>
          <w:marRight w:val="0"/>
          <w:marTop w:val="0"/>
          <w:marBottom w:val="0"/>
          <w:divBdr>
            <w:top w:val="none" w:sz="0" w:space="0" w:color="auto"/>
            <w:left w:val="none" w:sz="0" w:space="0" w:color="auto"/>
            <w:bottom w:val="none" w:sz="0" w:space="0" w:color="auto"/>
            <w:right w:val="none" w:sz="0" w:space="0" w:color="auto"/>
          </w:divBdr>
          <w:divsChild>
            <w:div w:id="332029960">
              <w:marLeft w:val="0"/>
              <w:marRight w:val="0"/>
              <w:marTop w:val="0"/>
              <w:marBottom w:val="0"/>
              <w:divBdr>
                <w:top w:val="none" w:sz="0" w:space="0" w:color="auto"/>
                <w:left w:val="none" w:sz="0" w:space="0" w:color="auto"/>
                <w:bottom w:val="none" w:sz="0" w:space="0" w:color="auto"/>
                <w:right w:val="none" w:sz="0" w:space="0" w:color="auto"/>
              </w:divBdr>
              <w:divsChild>
                <w:div w:id="1629702106">
                  <w:marLeft w:val="0"/>
                  <w:marRight w:val="0"/>
                  <w:marTop w:val="0"/>
                  <w:marBottom w:val="0"/>
                  <w:divBdr>
                    <w:top w:val="none" w:sz="0" w:space="0" w:color="auto"/>
                    <w:left w:val="none" w:sz="0" w:space="0" w:color="auto"/>
                    <w:bottom w:val="none" w:sz="0" w:space="0" w:color="auto"/>
                    <w:right w:val="none" w:sz="0" w:space="0" w:color="auto"/>
                  </w:divBdr>
                  <w:divsChild>
                    <w:div w:id="13840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30189">
      <w:bodyDiv w:val="1"/>
      <w:marLeft w:val="0"/>
      <w:marRight w:val="0"/>
      <w:marTop w:val="0"/>
      <w:marBottom w:val="0"/>
      <w:divBdr>
        <w:top w:val="none" w:sz="0" w:space="0" w:color="auto"/>
        <w:left w:val="none" w:sz="0" w:space="0" w:color="auto"/>
        <w:bottom w:val="none" w:sz="0" w:space="0" w:color="auto"/>
        <w:right w:val="none" w:sz="0" w:space="0" w:color="auto"/>
      </w:divBdr>
      <w:divsChild>
        <w:div w:id="122046197">
          <w:marLeft w:val="0"/>
          <w:marRight w:val="0"/>
          <w:marTop w:val="0"/>
          <w:marBottom w:val="0"/>
          <w:divBdr>
            <w:top w:val="none" w:sz="0" w:space="0" w:color="auto"/>
            <w:left w:val="none" w:sz="0" w:space="0" w:color="auto"/>
            <w:bottom w:val="none" w:sz="0" w:space="0" w:color="auto"/>
            <w:right w:val="none" w:sz="0" w:space="0" w:color="auto"/>
          </w:divBdr>
          <w:divsChild>
            <w:div w:id="456216241">
              <w:marLeft w:val="0"/>
              <w:marRight w:val="0"/>
              <w:marTop w:val="0"/>
              <w:marBottom w:val="0"/>
              <w:divBdr>
                <w:top w:val="none" w:sz="0" w:space="0" w:color="auto"/>
                <w:left w:val="none" w:sz="0" w:space="0" w:color="auto"/>
                <w:bottom w:val="none" w:sz="0" w:space="0" w:color="auto"/>
                <w:right w:val="none" w:sz="0" w:space="0" w:color="auto"/>
              </w:divBdr>
              <w:divsChild>
                <w:div w:id="1073351741">
                  <w:marLeft w:val="0"/>
                  <w:marRight w:val="0"/>
                  <w:marTop w:val="0"/>
                  <w:marBottom w:val="0"/>
                  <w:divBdr>
                    <w:top w:val="none" w:sz="0" w:space="0" w:color="auto"/>
                    <w:left w:val="none" w:sz="0" w:space="0" w:color="auto"/>
                    <w:bottom w:val="none" w:sz="0" w:space="0" w:color="auto"/>
                    <w:right w:val="none" w:sz="0" w:space="0" w:color="auto"/>
                  </w:divBdr>
                  <w:divsChild>
                    <w:div w:id="5191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61009">
      <w:bodyDiv w:val="1"/>
      <w:marLeft w:val="0"/>
      <w:marRight w:val="0"/>
      <w:marTop w:val="0"/>
      <w:marBottom w:val="0"/>
      <w:divBdr>
        <w:top w:val="none" w:sz="0" w:space="0" w:color="auto"/>
        <w:left w:val="none" w:sz="0" w:space="0" w:color="auto"/>
        <w:bottom w:val="none" w:sz="0" w:space="0" w:color="auto"/>
        <w:right w:val="none" w:sz="0" w:space="0" w:color="auto"/>
      </w:divBdr>
      <w:divsChild>
        <w:div w:id="366949191">
          <w:marLeft w:val="0"/>
          <w:marRight w:val="0"/>
          <w:marTop w:val="0"/>
          <w:marBottom w:val="0"/>
          <w:divBdr>
            <w:top w:val="none" w:sz="0" w:space="0" w:color="auto"/>
            <w:left w:val="none" w:sz="0" w:space="0" w:color="auto"/>
            <w:bottom w:val="none" w:sz="0" w:space="0" w:color="auto"/>
            <w:right w:val="none" w:sz="0" w:space="0" w:color="auto"/>
          </w:divBdr>
          <w:divsChild>
            <w:div w:id="1509785046">
              <w:marLeft w:val="0"/>
              <w:marRight w:val="0"/>
              <w:marTop w:val="0"/>
              <w:marBottom w:val="0"/>
              <w:divBdr>
                <w:top w:val="none" w:sz="0" w:space="0" w:color="auto"/>
                <w:left w:val="none" w:sz="0" w:space="0" w:color="auto"/>
                <w:bottom w:val="none" w:sz="0" w:space="0" w:color="auto"/>
                <w:right w:val="none" w:sz="0" w:space="0" w:color="auto"/>
              </w:divBdr>
              <w:divsChild>
                <w:div w:id="360588837">
                  <w:marLeft w:val="0"/>
                  <w:marRight w:val="0"/>
                  <w:marTop w:val="0"/>
                  <w:marBottom w:val="0"/>
                  <w:divBdr>
                    <w:top w:val="none" w:sz="0" w:space="0" w:color="auto"/>
                    <w:left w:val="none" w:sz="0" w:space="0" w:color="auto"/>
                    <w:bottom w:val="none" w:sz="0" w:space="0" w:color="auto"/>
                    <w:right w:val="none" w:sz="0" w:space="0" w:color="auto"/>
                  </w:divBdr>
                  <w:divsChild>
                    <w:div w:id="16534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61875">
          <w:marLeft w:val="0"/>
          <w:marRight w:val="0"/>
          <w:marTop w:val="0"/>
          <w:marBottom w:val="0"/>
          <w:divBdr>
            <w:top w:val="none" w:sz="0" w:space="0" w:color="auto"/>
            <w:left w:val="none" w:sz="0" w:space="0" w:color="auto"/>
            <w:bottom w:val="none" w:sz="0" w:space="0" w:color="auto"/>
            <w:right w:val="none" w:sz="0" w:space="0" w:color="auto"/>
          </w:divBdr>
          <w:divsChild>
            <w:div w:id="1972393019">
              <w:marLeft w:val="0"/>
              <w:marRight w:val="0"/>
              <w:marTop w:val="0"/>
              <w:marBottom w:val="0"/>
              <w:divBdr>
                <w:top w:val="none" w:sz="0" w:space="0" w:color="auto"/>
                <w:left w:val="none" w:sz="0" w:space="0" w:color="auto"/>
                <w:bottom w:val="none" w:sz="0" w:space="0" w:color="auto"/>
                <w:right w:val="none" w:sz="0" w:space="0" w:color="auto"/>
              </w:divBdr>
              <w:divsChild>
                <w:div w:id="1818447614">
                  <w:marLeft w:val="0"/>
                  <w:marRight w:val="0"/>
                  <w:marTop w:val="0"/>
                  <w:marBottom w:val="0"/>
                  <w:divBdr>
                    <w:top w:val="none" w:sz="0" w:space="0" w:color="auto"/>
                    <w:left w:val="none" w:sz="0" w:space="0" w:color="auto"/>
                    <w:bottom w:val="none" w:sz="0" w:space="0" w:color="auto"/>
                    <w:right w:val="none" w:sz="0" w:space="0" w:color="auto"/>
                  </w:divBdr>
                  <w:divsChild>
                    <w:div w:id="79752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46473">
      <w:bodyDiv w:val="1"/>
      <w:marLeft w:val="0"/>
      <w:marRight w:val="0"/>
      <w:marTop w:val="0"/>
      <w:marBottom w:val="0"/>
      <w:divBdr>
        <w:top w:val="none" w:sz="0" w:space="0" w:color="auto"/>
        <w:left w:val="none" w:sz="0" w:space="0" w:color="auto"/>
        <w:bottom w:val="none" w:sz="0" w:space="0" w:color="auto"/>
        <w:right w:val="none" w:sz="0" w:space="0" w:color="auto"/>
      </w:divBdr>
      <w:divsChild>
        <w:div w:id="1733195433">
          <w:marLeft w:val="0"/>
          <w:marRight w:val="0"/>
          <w:marTop w:val="0"/>
          <w:marBottom w:val="0"/>
          <w:divBdr>
            <w:top w:val="none" w:sz="0" w:space="0" w:color="auto"/>
            <w:left w:val="none" w:sz="0" w:space="0" w:color="auto"/>
            <w:bottom w:val="none" w:sz="0" w:space="0" w:color="auto"/>
            <w:right w:val="none" w:sz="0" w:space="0" w:color="auto"/>
          </w:divBdr>
          <w:divsChild>
            <w:div w:id="831988134">
              <w:marLeft w:val="0"/>
              <w:marRight w:val="0"/>
              <w:marTop w:val="0"/>
              <w:marBottom w:val="0"/>
              <w:divBdr>
                <w:top w:val="none" w:sz="0" w:space="0" w:color="auto"/>
                <w:left w:val="none" w:sz="0" w:space="0" w:color="auto"/>
                <w:bottom w:val="none" w:sz="0" w:space="0" w:color="auto"/>
                <w:right w:val="none" w:sz="0" w:space="0" w:color="auto"/>
              </w:divBdr>
              <w:divsChild>
                <w:div w:id="1227448234">
                  <w:marLeft w:val="0"/>
                  <w:marRight w:val="0"/>
                  <w:marTop w:val="0"/>
                  <w:marBottom w:val="0"/>
                  <w:divBdr>
                    <w:top w:val="none" w:sz="0" w:space="0" w:color="auto"/>
                    <w:left w:val="none" w:sz="0" w:space="0" w:color="auto"/>
                    <w:bottom w:val="none" w:sz="0" w:space="0" w:color="auto"/>
                    <w:right w:val="none" w:sz="0" w:space="0" w:color="auto"/>
                  </w:divBdr>
                  <w:divsChild>
                    <w:div w:id="570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733982">
      <w:bodyDiv w:val="1"/>
      <w:marLeft w:val="0"/>
      <w:marRight w:val="0"/>
      <w:marTop w:val="0"/>
      <w:marBottom w:val="0"/>
      <w:divBdr>
        <w:top w:val="none" w:sz="0" w:space="0" w:color="auto"/>
        <w:left w:val="none" w:sz="0" w:space="0" w:color="auto"/>
        <w:bottom w:val="none" w:sz="0" w:space="0" w:color="auto"/>
        <w:right w:val="none" w:sz="0" w:space="0" w:color="auto"/>
      </w:divBdr>
    </w:div>
    <w:div w:id="1340237709">
      <w:bodyDiv w:val="1"/>
      <w:marLeft w:val="0"/>
      <w:marRight w:val="0"/>
      <w:marTop w:val="0"/>
      <w:marBottom w:val="0"/>
      <w:divBdr>
        <w:top w:val="none" w:sz="0" w:space="0" w:color="auto"/>
        <w:left w:val="none" w:sz="0" w:space="0" w:color="auto"/>
        <w:bottom w:val="none" w:sz="0" w:space="0" w:color="auto"/>
        <w:right w:val="none" w:sz="0" w:space="0" w:color="auto"/>
      </w:divBdr>
      <w:divsChild>
        <w:div w:id="217980462">
          <w:marLeft w:val="0"/>
          <w:marRight w:val="0"/>
          <w:marTop w:val="0"/>
          <w:marBottom w:val="0"/>
          <w:divBdr>
            <w:top w:val="none" w:sz="0" w:space="0" w:color="auto"/>
            <w:left w:val="none" w:sz="0" w:space="0" w:color="auto"/>
            <w:bottom w:val="none" w:sz="0" w:space="0" w:color="auto"/>
            <w:right w:val="none" w:sz="0" w:space="0" w:color="auto"/>
          </w:divBdr>
          <w:divsChild>
            <w:div w:id="1163157064">
              <w:marLeft w:val="0"/>
              <w:marRight w:val="0"/>
              <w:marTop w:val="0"/>
              <w:marBottom w:val="0"/>
              <w:divBdr>
                <w:top w:val="none" w:sz="0" w:space="0" w:color="auto"/>
                <w:left w:val="none" w:sz="0" w:space="0" w:color="auto"/>
                <w:bottom w:val="none" w:sz="0" w:space="0" w:color="auto"/>
                <w:right w:val="none" w:sz="0" w:space="0" w:color="auto"/>
              </w:divBdr>
              <w:divsChild>
                <w:div w:id="1265335160">
                  <w:marLeft w:val="0"/>
                  <w:marRight w:val="0"/>
                  <w:marTop w:val="0"/>
                  <w:marBottom w:val="0"/>
                  <w:divBdr>
                    <w:top w:val="none" w:sz="0" w:space="0" w:color="auto"/>
                    <w:left w:val="none" w:sz="0" w:space="0" w:color="auto"/>
                    <w:bottom w:val="none" w:sz="0" w:space="0" w:color="auto"/>
                    <w:right w:val="none" w:sz="0" w:space="0" w:color="auto"/>
                  </w:divBdr>
                  <w:divsChild>
                    <w:div w:id="3000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362322">
          <w:marLeft w:val="0"/>
          <w:marRight w:val="0"/>
          <w:marTop w:val="0"/>
          <w:marBottom w:val="0"/>
          <w:divBdr>
            <w:top w:val="none" w:sz="0" w:space="0" w:color="auto"/>
            <w:left w:val="none" w:sz="0" w:space="0" w:color="auto"/>
            <w:bottom w:val="none" w:sz="0" w:space="0" w:color="auto"/>
            <w:right w:val="none" w:sz="0" w:space="0" w:color="auto"/>
          </w:divBdr>
          <w:divsChild>
            <w:div w:id="582956520">
              <w:marLeft w:val="0"/>
              <w:marRight w:val="0"/>
              <w:marTop w:val="0"/>
              <w:marBottom w:val="0"/>
              <w:divBdr>
                <w:top w:val="none" w:sz="0" w:space="0" w:color="auto"/>
                <w:left w:val="none" w:sz="0" w:space="0" w:color="auto"/>
                <w:bottom w:val="none" w:sz="0" w:space="0" w:color="auto"/>
                <w:right w:val="none" w:sz="0" w:space="0" w:color="auto"/>
              </w:divBdr>
              <w:divsChild>
                <w:div w:id="1458336650">
                  <w:marLeft w:val="0"/>
                  <w:marRight w:val="0"/>
                  <w:marTop w:val="0"/>
                  <w:marBottom w:val="0"/>
                  <w:divBdr>
                    <w:top w:val="none" w:sz="0" w:space="0" w:color="auto"/>
                    <w:left w:val="none" w:sz="0" w:space="0" w:color="auto"/>
                    <w:bottom w:val="none" w:sz="0" w:space="0" w:color="auto"/>
                    <w:right w:val="none" w:sz="0" w:space="0" w:color="auto"/>
                  </w:divBdr>
                  <w:divsChild>
                    <w:div w:id="4002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33658">
      <w:bodyDiv w:val="1"/>
      <w:marLeft w:val="0"/>
      <w:marRight w:val="0"/>
      <w:marTop w:val="0"/>
      <w:marBottom w:val="0"/>
      <w:divBdr>
        <w:top w:val="none" w:sz="0" w:space="0" w:color="auto"/>
        <w:left w:val="none" w:sz="0" w:space="0" w:color="auto"/>
        <w:bottom w:val="none" w:sz="0" w:space="0" w:color="auto"/>
        <w:right w:val="none" w:sz="0" w:space="0" w:color="auto"/>
      </w:divBdr>
      <w:divsChild>
        <w:div w:id="1444228435">
          <w:marLeft w:val="0"/>
          <w:marRight w:val="0"/>
          <w:marTop w:val="0"/>
          <w:marBottom w:val="0"/>
          <w:divBdr>
            <w:top w:val="none" w:sz="0" w:space="0" w:color="auto"/>
            <w:left w:val="none" w:sz="0" w:space="0" w:color="auto"/>
            <w:bottom w:val="none" w:sz="0" w:space="0" w:color="auto"/>
            <w:right w:val="none" w:sz="0" w:space="0" w:color="auto"/>
          </w:divBdr>
          <w:divsChild>
            <w:div w:id="986058181">
              <w:marLeft w:val="0"/>
              <w:marRight w:val="0"/>
              <w:marTop w:val="0"/>
              <w:marBottom w:val="0"/>
              <w:divBdr>
                <w:top w:val="none" w:sz="0" w:space="0" w:color="auto"/>
                <w:left w:val="none" w:sz="0" w:space="0" w:color="auto"/>
                <w:bottom w:val="none" w:sz="0" w:space="0" w:color="auto"/>
                <w:right w:val="none" w:sz="0" w:space="0" w:color="auto"/>
              </w:divBdr>
              <w:divsChild>
                <w:div w:id="1596981409">
                  <w:marLeft w:val="0"/>
                  <w:marRight w:val="0"/>
                  <w:marTop w:val="0"/>
                  <w:marBottom w:val="0"/>
                  <w:divBdr>
                    <w:top w:val="none" w:sz="0" w:space="0" w:color="auto"/>
                    <w:left w:val="none" w:sz="0" w:space="0" w:color="auto"/>
                    <w:bottom w:val="none" w:sz="0" w:space="0" w:color="auto"/>
                    <w:right w:val="none" w:sz="0" w:space="0" w:color="auto"/>
                  </w:divBdr>
                  <w:divsChild>
                    <w:div w:id="12262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85812">
      <w:bodyDiv w:val="1"/>
      <w:marLeft w:val="0"/>
      <w:marRight w:val="0"/>
      <w:marTop w:val="0"/>
      <w:marBottom w:val="0"/>
      <w:divBdr>
        <w:top w:val="none" w:sz="0" w:space="0" w:color="auto"/>
        <w:left w:val="none" w:sz="0" w:space="0" w:color="auto"/>
        <w:bottom w:val="none" w:sz="0" w:space="0" w:color="auto"/>
        <w:right w:val="none" w:sz="0" w:space="0" w:color="auto"/>
      </w:divBdr>
      <w:divsChild>
        <w:div w:id="447047282">
          <w:marLeft w:val="0"/>
          <w:marRight w:val="0"/>
          <w:marTop w:val="0"/>
          <w:marBottom w:val="0"/>
          <w:divBdr>
            <w:top w:val="none" w:sz="0" w:space="0" w:color="auto"/>
            <w:left w:val="none" w:sz="0" w:space="0" w:color="auto"/>
            <w:bottom w:val="none" w:sz="0" w:space="0" w:color="auto"/>
            <w:right w:val="none" w:sz="0" w:space="0" w:color="auto"/>
          </w:divBdr>
          <w:divsChild>
            <w:div w:id="1390179870">
              <w:marLeft w:val="0"/>
              <w:marRight w:val="0"/>
              <w:marTop w:val="0"/>
              <w:marBottom w:val="0"/>
              <w:divBdr>
                <w:top w:val="none" w:sz="0" w:space="0" w:color="auto"/>
                <w:left w:val="none" w:sz="0" w:space="0" w:color="auto"/>
                <w:bottom w:val="none" w:sz="0" w:space="0" w:color="auto"/>
                <w:right w:val="none" w:sz="0" w:space="0" w:color="auto"/>
              </w:divBdr>
              <w:divsChild>
                <w:div w:id="6734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54947">
      <w:bodyDiv w:val="1"/>
      <w:marLeft w:val="0"/>
      <w:marRight w:val="0"/>
      <w:marTop w:val="0"/>
      <w:marBottom w:val="0"/>
      <w:divBdr>
        <w:top w:val="none" w:sz="0" w:space="0" w:color="auto"/>
        <w:left w:val="none" w:sz="0" w:space="0" w:color="auto"/>
        <w:bottom w:val="none" w:sz="0" w:space="0" w:color="auto"/>
        <w:right w:val="none" w:sz="0" w:space="0" w:color="auto"/>
      </w:divBdr>
      <w:divsChild>
        <w:div w:id="446893786">
          <w:marLeft w:val="0"/>
          <w:marRight w:val="0"/>
          <w:marTop w:val="0"/>
          <w:marBottom w:val="0"/>
          <w:divBdr>
            <w:top w:val="none" w:sz="0" w:space="0" w:color="auto"/>
            <w:left w:val="none" w:sz="0" w:space="0" w:color="auto"/>
            <w:bottom w:val="none" w:sz="0" w:space="0" w:color="auto"/>
            <w:right w:val="none" w:sz="0" w:space="0" w:color="auto"/>
          </w:divBdr>
          <w:divsChild>
            <w:div w:id="872420971">
              <w:marLeft w:val="0"/>
              <w:marRight w:val="0"/>
              <w:marTop w:val="0"/>
              <w:marBottom w:val="0"/>
              <w:divBdr>
                <w:top w:val="none" w:sz="0" w:space="0" w:color="auto"/>
                <w:left w:val="none" w:sz="0" w:space="0" w:color="auto"/>
                <w:bottom w:val="none" w:sz="0" w:space="0" w:color="auto"/>
                <w:right w:val="none" w:sz="0" w:space="0" w:color="auto"/>
              </w:divBdr>
              <w:divsChild>
                <w:div w:id="1512910692">
                  <w:marLeft w:val="0"/>
                  <w:marRight w:val="0"/>
                  <w:marTop w:val="0"/>
                  <w:marBottom w:val="0"/>
                  <w:divBdr>
                    <w:top w:val="none" w:sz="0" w:space="0" w:color="auto"/>
                    <w:left w:val="none" w:sz="0" w:space="0" w:color="auto"/>
                    <w:bottom w:val="none" w:sz="0" w:space="0" w:color="auto"/>
                    <w:right w:val="none" w:sz="0" w:space="0" w:color="auto"/>
                  </w:divBdr>
                  <w:divsChild>
                    <w:div w:id="12392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80921">
      <w:bodyDiv w:val="1"/>
      <w:marLeft w:val="0"/>
      <w:marRight w:val="0"/>
      <w:marTop w:val="0"/>
      <w:marBottom w:val="0"/>
      <w:divBdr>
        <w:top w:val="none" w:sz="0" w:space="0" w:color="auto"/>
        <w:left w:val="none" w:sz="0" w:space="0" w:color="auto"/>
        <w:bottom w:val="none" w:sz="0" w:space="0" w:color="auto"/>
        <w:right w:val="none" w:sz="0" w:space="0" w:color="auto"/>
      </w:divBdr>
      <w:divsChild>
        <w:div w:id="918906759">
          <w:marLeft w:val="0"/>
          <w:marRight w:val="0"/>
          <w:marTop w:val="0"/>
          <w:marBottom w:val="0"/>
          <w:divBdr>
            <w:top w:val="none" w:sz="0" w:space="0" w:color="auto"/>
            <w:left w:val="none" w:sz="0" w:space="0" w:color="auto"/>
            <w:bottom w:val="none" w:sz="0" w:space="0" w:color="auto"/>
            <w:right w:val="none" w:sz="0" w:space="0" w:color="auto"/>
          </w:divBdr>
          <w:divsChild>
            <w:div w:id="1271621621">
              <w:marLeft w:val="0"/>
              <w:marRight w:val="0"/>
              <w:marTop w:val="0"/>
              <w:marBottom w:val="0"/>
              <w:divBdr>
                <w:top w:val="none" w:sz="0" w:space="0" w:color="auto"/>
                <w:left w:val="none" w:sz="0" w:space="0" w:color="auto"/>
                <w:bottom w:val="none" w:sz="0" w:space="0" w:color="auto"/>
                <w:right w:val="none" w:sz="0" w:space="0" w:color="auto"/>
              </w:divBdr>
              <w:divsChild>
                <w:div w:id="1504277761">
                  <w:marLeft w:val="0"/>
                  <w:marRight w:val="0"/>
                  <w:marTop w:val="0"/>
                  <w:marBottom w:val="0"/>
                  <w:divBdr>
                    <w:top w:val="none" w:sz="0" w:space="0" w:color="auto"/>
                    <w:left w:val="none" w:sz="0" w:space="0" w:color="auto"/>
                    <w:bottom w:val="none" w:sz="0" w:space="0" w:color="auto"/>
                    <w:right w:val="none" w:sz="0" w:space="0" w:color="auto"/>
                  </w:divBdr>
                  <w:divsChild>
                    <w:div w:id="1709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788363">
      <w:bodyDiv w:val="1"/>
      <w:marLeft w:val="0"/>
      <w:marRight w:val="0"/>
      <w:marTop w:val="0"/>
      <w:marBottom w:val="0"/>
      <w:divBdr>
        <w:top w:val="none" w:sz="0" w:space="0" w:color="auto"/>
        <w:left w:val="none" w:sz="0" w:space="0" w:color="auto"/>
        <w:bottom w:val="none" w:sz="0" w:space="0" w:color="auto"/>
        <w:right w:val="none" w:sz="0" w:space="0" w:color="auto"/>
      </w:divBdr>
      <w:divsChild>
        <w:div w:id="524949491">
          <w:marLeft w:val="0"/>
          <w:marRight w:val="0"/>
          <w:marTop w:val="0"/>
          <w:marBottom w:val="0"/>
          <w:divBdr>
            <w:top w:val="none" w:sz="0" w:space="0" w:color="auto"/>
            <w:left w:val="none" w:sz="0" w:space="0" w:color="auto"/>
            <w:bottom w:val="none" w:sz="0" w:space="0" w:color="auto"/>
            <w:right w:val="none" w:sz="0" w:space="0" w:color="auto"/>
          </w:divBdr>
          <w:divsChild>
            <w:div w:id="1335694028">
              <w:marLeft w:val="0"/>
              <w:marRight w:val="0"/>
              <w:marTop w:val="0"/>
              <w:marBottom w:val="0"/>
              <w:divBdr>
                <w:top w:val="none" w:sz="0" w:space="0" w:color="auto"/>
                <w:left w:val="none" w:sz="0" w:space="0" w:color="auto"/>
                <w:bottom w:val="none" w:sz="0" w:space="0" w:color="auto"/>
                <w:right w:val="none" w:sz="0" w:space="0" w:color="auto"/>
              </w:divBdr>
              <w:divsChild>
                <w:div w:id="1581982431">
                  <w:marLeft w:val="0"/>
                  <w:marRight w:val="0"/>
                  <w:marTop w:val="0"/>
                  <w:marBottom w:val="0"/>
                  <w:divBdr>
                    <w:top w:val="none" w:sz="0" w:space="0" w:color="auto"/>
                    <w:left w:val="none" w:sz="0" w:space="0" w:color="auto"/>
                    <w:bottom w:val="none" w:sz="0" w:space="0" w:color="auto"/>
                    <w:right w:val="none" w:sz="0" w:space="0" w:color="auto"/>
                  </w:divBdr>
                  <w:divsChild>
                    <w:div w:id="7447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4702">
      <w:bodyDiv w:val="1"/>
      <w:marLeft w:val="0"/>
      <w:marRight w:val="0"/>
      <w:marTop w:val="0"/>
      <w:marBottom w:val="0"/>
      <w:divBdr>
        <w:top w:val="none" w:sz="0" w:space="0" w:color="auto"/>
        <w:left w:val="none" w:sz="0" w:space="0" w:color="auto"/>
        <w:bottom w:val="none" w:sz="0" w:space="0" w:color="auto"/>
        <w:right w:val="none" w:sz="0" w:space="0" w:color="auto"/>
      </w:divBdr>
      <w:divsChild>
        <w:div w:id="1069232697">
          <w:marLeft w:val="0"/>
          <w:marRight w:val="0"/>
          <w:marTop w:val="0"/>
          <w:marBottom w:val="0"/>
          <w:divBdr>
            <w:top w:val="none" w:sz="0" w:space="0" w:color="auto"/>
            <w:left w:val="none" w:sz="0" w:space="0" w:color="auto"/>
            <w:bottom w:val="none" w:sz="0" w:space="0" w:color="auto"/>
            <w:right w:val="none" w:sz="0" w:space="0" w:color="auto"/>
          </w:divBdr>
          <w:divsChild>
            <w:div w:id="1398284669">
              <w:marLeft w:val="0"/>
              <w:marRight w:val="0"/>
              <w:marTop w:val="0"/>
              <w:marBottom w:val="0"/>
              <w:divBdr>
                <w:top w:val="none" w:sz="0" w:space="0" w:color="auto"/>
                <w:left w:val="none" w:sz="0" w:space="0" w:color="auto"/>
                <w:bottom w:val="none" w:sz="0" w:space="0" w:color="auto"/>
                <w:right w:val="none" w:sz="0" w:space="0" w:color="auto"/>
              </w:divBdr>
              <w:divsChild>
                <w:div w:id="10398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87567">
      <w:bodyDiv w:val="1"/>
      <w:marLeft w:val="0"/>
      <w:marRight w:val="0"/>
      <w:marTop w:val="0"/>
      <w:marBottom w:val="0"/>
      <w:divBdr>
        <w:top w:val="none" w:sz="0" w:space="0" w:color="auto"/>
        <w:left w:val="none" w:sz="0" w:space="0" w:color="auto"/>
        <w:bottom w:val="none" w:sz="0" w:space="0" w:color="auto"/>
        <w:right w:val="none" w:sz="0" w:space="0" w:color="auto"/>
      </w:divBdr>
    </w:div>
    <w:div w:id="1465463223">
      <w:bodyDiv w:val="1"/>
      <w:marLeft w:val="0"/>
      <w:marRight w:val="0"/>
      <w:marTop w:val="0"/>
      <w:marBottom w:val="0"/>
      <w:divBdr>
        <w:top w:val="none" w:sz="0" w:space="0" w:color="auto"/>
        <w:left w:val="none" w:sz="0" w:space="0" w:color="auto"/>
        <w:bottom w:val="none" w:sz="0" w:space="0" w:color="auto"/>
        <w:right w:val="none" w:sz="0" w:space="0" w:color="auto"/>
      </w:divBdr>
    </w:div>
    <w:div w:id="1470786622">
      <w:bodyDiv w:val="1"/>
      <w:marLeft w:val="0"/>
      <w:marRight w:val="0"/>
      <w:marTop w:val="0"/>
      <w:marBottom w:val="0"/>
      <w:divBdr>
        <w:top w:val="none" w:sz="0" w:space="0" w:color="auto"/>
        <w:left w:val="none" w:sz="0" w:space="0" w:color="auto"/>
        <w:bottom w:val="none" w:sz="0" w:space="0" w:color="auto"/>
        <w:right w:val="none" w:sz="0" w:space="0" w:color="auto"/>
      </w:divBdr>
      <w:divsChild>
        <w:div w:id="196162295">
          <w:marLeft w:val="0"/>
          <w:marRight w:val="0"/>
          <w:marTop w:val="0"/>
          <w:marBottom w:val="0"/>
          <w:divBdr>
            <w:top w:val="none" w:sz="0" w:space="0" w:color="auto"/>
            <w:left w:val="none" w:sz="0" w:space="0" w:color="auto"/>
            <w:bottom w:val="none" w:sz="0" w:space="0" w:color="auto"/>
            <w:right w:val="none" w:sz="0" w:space="0" w:color="auto"/>
          </w:divBdr>
          <w:divsChild>
            <w:div w:id="535967718">
              <w:marLeft w:val="0"/>
              <w:marRight w:val="0"/>
              <w:marTop w:val="0"/>
              <w:marBottom w:val="0"/>
              <w:divBdr>
                <w:top w:val="none" w:sz="0" w:space="0" w:color="auto"/>
                <w:left w:val="none" w:sz="0" w:space="0" w:color="auto"/>
                <w:bottom w:val="none" w:sz="0" w:space="0" w:color="auto"/>
                <w:right w:val="none" w:sz="0" w:space="0" w:color="auto"/>
              </w:divBdr>
              <w:divsChild>
                <w:div w:id="713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3389">
      <w:bodyDiv w:val="1"/>
      <w:marLeft w:val="0"/>
      <w:marRight w:val="0"/>
      <w:marTop w:val="0"/>
      <w:marBottom w:val="0"/>
      <w:divBdr>
        <w:top w:val="none" w:sz="0" w:space="0" w:color="auto"/>
        <w:left w:val="none" w:sz="0" w:space="0" w:color="auto"/>
        <w:bottom w:val="none" w:sz="0" w:space="0" w:color="auto"/>
        <w:right w:val="none" w:sz="0" w:space="0" w:color="auto"/>
      </w:divBdr>
      <w:divsChild>
        <w:div w:id="308677220">
          <w:marLeft w:val="0"/>
          <w:marRight w:val="0"/>
          <w:marTop w:val="0"/>
          <w:marBottom w:val="0"/>
          <w:divBdr>
            <w:top w:val="none" w:sz="0" w:space="0" w:color="auto"/>
            <w:left w:val="none" w:sz="0" w:space="0" w:color="auto"/>
            <w:bottom w:val="none" w:sz="0" w:space="0" w:color="auto"/>
            <w:right w:val="none" w:sz="0" w:space="0" w:color="auto"/>
          </w:divBdr>
        </w:div>
        <w:div w:id="406071167">
          <w:marLeft w:val="0"/>
          <w:marRight w:val="0"/>
          <w:marTop w:val="0"/>
          <w:marBottom w:val="0"/>
          <w:divBdr>
            <w:top w:val="none" w:sz="0" w:space="0" w:color="auto"/>
            <w:left w:val="none" w:sz="0" w:space="0" w:color="auto"/>
            <w:bottom w:val="none" w:sz="0" w:space="0" w:color="auto"/>
            <w:right w:val="none" w:sz="0" w:space="0" w:color="auto"/>
          </w:divBdr>
        </w:div>
        <w:div w:id="867184515">
          <w:marLeft w:val="0"/>
          <w:marRight w:val="0"/>
          <w:marTop w:val="0"/>
          <w:marBottom w:val="0"/>
          <w:divBdr>
            <w:top w:val="none" w:sz="0" w:space="0" w:color="auto"/>
            <w:left w:val="none" w:sz="0" w:space="0" w:color="auto"/>
            <w:bottom w:val="none" w:sz="0" w:space="0" w:color="auto"/>
            <w:right w:val="none" w:sz="0" w:space="0" w:color="auto"/>
          </w:divBdr>
        </w:div>
        <w:div w:id="1121877261">
          <w:marLeft w:val="0"/>
          <w:marRight w:val="0"/>
          <w:marTop w:val="0"/>
          <w:marBottom w:val="0"/>
          <w:divBdr>
            <w:top w:val="none" w:sz="0" w:space="0" w:color="auto"/>
            <w:left w:val="none" w:sz="0" w:space="0" w:color="auto"/>
            <w:bottom w:val="none" w:sz="0" w:space="0" w:color="auto"/>
            <w:right w:val="none" w:sz="0" w:space="0" w:color="auto"/>
          </w:divBdr>
        </w:div>
        <w:div w:id="1348867292">
          <w:marLeft w:val="0"/>
          <w:marRight w:val="0"/>
          <w:marTop w:val="0"/>
          <w:marBottom w:val="0"/>
          <w:divBdr>
            <w:top w:val="none" w:sz="0" w:space="0" w:color="auto"/>
            <w:left w:val="none" w:sz="0" w:space="0" w:color="auto"/>
            <w:bottom w:val="none" w:sz="0" w:space="0" w:color="auto"/>
            <w:right w:val="none" w:sz="0" w:space="0" w:color="auto"/>
          </w:divBdr>
        </w:div>
      </w:divsChild>
    </w:div>
    <w:div w:id="1485120204">
      <w:bodyDiv w:val="1"/>
      <w:marLeft w:val="0"/>
      <w:marRight w:val="0"/>
      <w:marTop w:val="0"/>
      <w:marBottom w:val="0"/>
      <w:divBdr>
        <w:top w:val="none" w:sz="0" w:space="0" w:color="auto"/>
        <w:left w:val="none" w:sz="0" w:space="0" w:color="auto"/>
        <w:bottom w:val="none" w:sz="0" w:space="0" w:color="auto"/>
        <w:right w:val="none" w:sz="0" w:space="0" w:color="auto"/>
      </w:divBdr>
      <w:divsChild>
        <w:div w:id="2083673670">
          <w:marLeft w:val="0"/>
          <w:marRight w:val="0"/>
          <w:marTop w:val="0"/>
          <w:marBottom w:val="0"/>
          <w:divBdr>
            <w:top w:val="none" w:sz="0" w:space="0" w:color="auto"/>
            <w:left w:val="none" w:sz="0" w:space="0" w:color="auto"/>
            <w:bottom w:val="none" w:sz="0" w:space="0" w:color="auto"/>
            <w:right w:val="none" w:sz="0" w:space="0" w:color="auto"/>
          </w:divBdr>
          <w:divsChild>
            <w:div w:id="1818110348">
              <w:marLeft w:val="0"/>
              <w:marRight w:val="0"/>
              <w:marTop w:val="0"/>
              <w:marBottom w:val="0"/>
              <w:divBdr>
                <w:top w:val="none" w:sz="0" w:space="0" w:color="auto"/>
                <w:left w:val="none" w:sz="0" w:space="0" w:color="auto"/>
                <w:bottom w:val="none" w:sz="0" w:space="0" w:color="auto"/>
                <w:right w:val="none" w:sz="0" w:space="0" w:color="auto"/>
              </w:divBdr>
              <w:divsChild>
                <w:div w:id="571236278">
                  <w:marLeft w:val="0"/>
                  <w:marRight w:val="0"/>
                  <w:marTop w:val="0"/>
                  <w:marBottom w:val="0"/>
                  <w:divBdr>
                    <w:top w:val="none" w:sz="0" w:space="0" w:color="auto"/>
                    <w:left w:val="none" w:sz="0" w:space="0" w:color="auto"/>
                    <w:bottom w:val="none" w:sz="0" w:space="0" w:color="auto"/>
                    <w:right w:val="none" w:sz="0" w:space="0" w:color="auto"/>
                  </w:divBdr>
                  <w:divsChild>
                    <w:div w:id="99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89738">
      <w:bodyDiv w:val="1"/>
      <w:marLeft w:val="0"/>
      <w:marRight w:val="0"/>
      <w:marTop w:val="0"/>
      <w:marBottom w:val="0"/>
      <w:divBdr>
        <w:top w:val="none" w:sz="0" w:space="0" w:color="auto"/>
        <w:left w:val="none" w:sz="0" w:space="0" w:color="auto"/>
        <w:bottom w:val="none" w:sz="0" w:space="0" w:color="auto"/>
        <w:right w:val="none" w:sz="0" w:space="0" w:color="auto"/>
      </w:divBdr>
      <w:divsChild>
        <w:div w:id="868763565">
          <w:marLeft w:val="0"/>
          <w:marRight w:val="0"/>
          <w:marTop w:val="0"/>
          <w:marBottom w:val="0"/>
          <w:divBdr>
            <w:top w:val="none" w:sz="0" w:space="0" w:color="auto"/>
            <w:left w:val="none" w:sz="0" w:space="0" w:color="auto"/>
            <w:bottom w:val="none" w:sz="0" w:space="0" w:color="auto"/>
            <w:right w:val="none" w:sz="0" w:space="0" w:color="auto"/>
          </w:divBdr>
          <w:divsChild>
            <w:div w:id="722993684">
              <w:marLeft w:val="0"/>
              <w:marRight w:val="0"/>
              <w:marTop w:val="0"/>
              <w:marBottom w:val="0"/>
              <w:divBdr>
                <w:top w:val="none" w:sz="0" w:space="0" w:color="auto"/>
                <w:left w:val="none" w:sz="0" w:space="0" w:color="auto"/>
                <w:bottom w:val="none" w:sz="0" w:space="0" w:color="auto"/>
                <w:right w:val="none" w:sz="0" w:space="0" w:color="auto"/>
              </w:divBdr>
              <w:divsChild>
                <w:div w:id="97460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67490">
      <w:bodyDiv w:val="1"/>
      <w:marLeft w:val="0"/>
      <w:marRight w:val="0"/>
      <w:marTop w:val="0"/>
      <w:marBottom w:val="0"/>
      <w:divBdr>
        <w:top w:val="none" w:sz="0" w:space="0" w:color="auto"/>
        <w:left w:val="none" w:sz="0" w:space="0" w:color="auto"/>
        <w:bottom w:val="none" w:sz="0" w:space="0" w:color="auto"/>
        <w:right w:val="none" w:sz="0" w:space="0" w:color="auto"/>
      </w:divBdr>
      <w:divsChild>
        <w:div w:id="1992903741">
          <w:marLeft w:val="0"/>
          <w:marRight w:val="0"/>
          <w:marTop w:val="0"/>
          <w:marBottom w:val="0"/>
          <w:divBdr>
            <w:top w:val="none" w:sz="0" w:space="0" w:color="auto"/>
            <w:left w:val="none" w:sz="0" w:space="0" w:color="auto"/>
            <w:bottom w:val="none" w:sz="0" w:space="0" w:color="auto"/>
            <w:right w:val="none" w:sz="0" w:space="0" w:color="auto"/>
          </w:divBdr>
          <w:divsChild>
            <w:div w:id="1734889777">
              <w:marLeft w:val="0"/>
              <w:marRight w:val="0"/>
              <w:marTop w:val="0"/>
              <w:marBottom w:val="0"/>
              <w:divBdr>
                <w:top w:val="none" w:sz="0" w:space="0" w:color="auto"/>
                <w:left w:val="none" w:sz="0" w:space="0" w:color="auto"/>
                <w:bottom w:val="none" w:sz="0" w:space="0" w:color="auto"/>
                <w:right w:val="none" w:sz="0" w:space="0" w:color="auto"/>
              </w:divBdr>
              <w:divsChild>
                <w:div w:id="1504323189">
                  <w:marLeft w:val="0"/>
                  <w:marRight w:val="0"/>
                  <w:marTop w:val="0"/>
                  <w:marBottom w:val="0"/>
                  <w:divBdr>
                    <w:top w:val="none" w:sz="0" w:space="0" w:color="auto"/>
                    <w:left w:val="none" w:sz="0" w:space="0" w:color="auto"/>
                    <w:bottom w:val="none" w:sz="0" w:space="0" w:color="auto"/>
                    <w:right w:val="none" w:sz="0" w:space="0" w:color="auto"/>
                  </w:divBdr>
                  <w:divsChild>
                    <w:div w:id="18284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169616">
      <w:bodyDiv w:val="1"/>
      <w:marLeft w:val="0"/>
      <w:marRight w:val="0"/>
      <w:marTop w:val="0"/>
      <w:marBottom w:val="0"/>
      <w:divBdr>
        <w:top w:val="none" w:sz="0" w:space="0" w:color="auto"/>
        <w:left w:val="none" w:sz="0" w:space="0" w:color="auto"/>
        <w:bottom w:val="none" w:sz="0" w:space="0" w:color="auto"/>
        <w:right w:val="none" w:sz="0" w:space="0" w:color="auto"/>
      </w:divBdr>
      <w:divsChild>
        <w:div w:id="699670272">
          <w:marLeft w:val="0"/>
          <w:marRight w:val="0"/>
          <w:marTop w:val="0"/>
          <w:marBottom w:val="0"/>
          <w:divBdr>
            <w:top w:val="none" w:sz="0" w:space="0" w:color="auto"/>
            <w:left w:val="none" w:sz="0" w:space="0" w:color="auto"/>
            <w:bottom w:val="none" w:sz="0" w:space="0" w:color="auto"/>
            <w:right w:val="none" w:sz="0" w:space="0" w:color="auto"/>
          </w:divBdr>
          <w:divsChild>
            <w:div w:id="1083338517">
              <w:marLeft w:val="0"/>
              <w:marRight w:val="0"/>
              <w:marTop w:val="0"/>
              <w:marBottom w:val="0"/>
              <w:divBdr>
                <w:top w:val="none" w:sz="0" w:space="0" w:color="auto"/>
                <w:left w:val="none" w:sz="0" w:space="0" w:color="auto"/>
                <w:bottom w:val="none" w:sz="0" w:space="0" w:color="auto"/>
                <w:right w:val="none" w:sz="0" w:space="0" w:color="auto"/>
              </w:divBdr>
              <w:divsChild>
                <w:div w:id="1009213575">
                  <w:marLeft w:val="0"/>
                  <w:marRight w:val="0"/>
                  <w:marTop w:val="0"/>
                  <w:marBottom w:val="0"/>
                  <w:divBdr>
                    <w:top w:val="none" w:sz="0" w:space="0" w:color="auto"/>
                    <w:left w:val="none" w:sz="0" w:space="0" w:color="auto"/>
                    <w:bottom w:val="none" w:sz="0" w:space="0" w:color="auto"/>
                    <w:right w:val="none" w:sz="0" w:space="0" w:color="auto"/>
                  </w:divBdr>
                  <w:divsChild>
                    <w:div w:id="134004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27536">
      <w:bodyDiv w:val="1"/>
      <w:marLeft w:val="0"/>
      <w:marRight w:val="0"/>
      <w:marTop w:val="0"/>
      <w:marBottom w:val="0"/>
      <w:divBdr>
        <w:top w:val="none" w:sz="0" w:space="0" w:color="auto"/>
        <w:left w:val="none" w:sz="0" w:space="0" w:color="auto"/>
        <w:bottom w:val="none" w:sz="0" w:space="0" w:color="auto"/>
        <w:right w:val="none" w:sz="0" w:space="0" w:color="auto"/>
      </w:divBdr>
      <w:divsChild>
        <w:div w:id="1845775848">
          <w:marLeft w:val="0"/>
          <w:marRight w:val="0"/>
          <w:marTop w:val="0"/>
          <w:marBottom w:val="0"/>
          <w:divBdr>
            <w:top w:val="none" w:sz="0" w:space="0" w:color="auto"/>
            <w:left w:val="none" w:sz="0" w:space="0" w:color="auto"/>
            <w:bottom w:val="none" w:sz="0" w:space="0" w:color="auto"/>
            <w:right w:val="none" w:sz="0" w:space="0" w:color="auto"/>
          </w:divBdr>
          <w:divsChild>
            <w:div w:id="597176576">
              <w:marLeft w:val="0"/>
              <w:marRight w:val="0"/>
              <w:marTop w:val="0"/>
              <w:marBottom w:val="0"/>
              <w:divBdr>
                <w:top w:val="none" w:sz="0" w:space="0" w:color="auto"/>
                <w:left w:val="none" w:sz="0" w:space="0" w:color="auto"/>
                <w:bottom w:val="none" w:sz="0" w:space="0" w:color="auto"/>
                <w:right w:val="none" w:sz="0" w:space="0" w:color="auto"/>
              </w:divBdr>
              <w:divsChild>
                <w:div w:id="512453550">
                  <w:marLeft w:val="0"/>
                  <w:marRight w:val="0"/>
                  <w:marTop w:val="0"/>
                  <w:marBottom w:val="0"/>
                  <w:divBdr>
                    <w:top w:val="none" w:sz="0" w:space="0" w:color="auto"/>
                    <w:left w:val="none" w:sz="0" w:space="0" w:color="auto"/>
                    <w:bottom w:val="none" w:sz="0" w:space="0" w:color="auto"/>
                    <w:right w:val="none" w:sz="0" w:space="0" w:color="auto"/>
                  </w:divBdr>
                  <w:divsChild>
                    <w:div w:id="55616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345980">
      <w:bodyDiv w:val="1"/>
      <w:marLeft w:val="0"/>
      <w:marRight w:val="0"/>
      <w:marTop w:val="0"/>
      <w:marBottom w:val="0"/>
      <w:divBdr>
        <w:top w:val="none" w:sz="0" w:space="0" w:color="auto"/>
        <w:left w:val="none" w:sz="0" w:space="0" w:color="auto"/>
        <w:bottom w:val="none" w:sz="0" w:space="0" w:color="auto"/>
        <w:right w:val="none" w:sz="0" w:space="0" w:color="auto"/>
      </w:divBdr>
      <w:divsChild>
        <w:div w:id="408428325">
          <w:marLeft w:val="0"/>
          <w:marRight w:val="0"/>
          <w:marTop w:val="0"/>
          <w:marBottom w:val="0"/>
          <w:divBdr>
            <w:top w:val="none" w:sz="0" w:space="0" w:color="auto"/>
            <w:left w:val="none" w:sz="0" w:space="0" w:color="auto"/>
            <w:bottom w:val="none" w:sz="0" w:space="0" w:color="auto"/>
            <w:right w:val="none" w:sz="0" w:space="0" w:color="auto"/>
          </w:divBdr>
          <w:divsChild>
            <w:div w:id="1298300304">
              <w:marLeft w:val="0"/>
              <w:marRight w:val="0"/>
              <w:marTop w:val="0"/>
              <w:marBottom w:val="0"/>
              <w:divBdr>
                <w:top w:val="none" w:sz="0" w:space="0" w:color="auto"/>
                <w:left w:val="none" w:sz="0" w:space="0" w:color="auto"/>
                <w:bottom w:val="none" w:sz="0" w:space="0" w:color="auto"/>
                <w:right w:val="none" w:sz="0" w:space="0" w:color="auto"/>
              </w:divBdr>
              <w:divsChild>
                <w:div w:id="1768231973">
                  <w:marLeft w:val="0"/>
                  <w:marRight w:val="0"/>
                  <w:marTop w:val="0"/>
                  <w:marBottom w:val="0"/>
                  <w:divBdr>
                    <w:top w:val="none" w:sz="0" w:space="0" w:color="auto"/>
                    <w:left w:val="none" w:sz="0" w:space="0" w:color="auto"/>
                    <w:bottom w:val="none" w:sz="0" w:space="0" w:color="auto"/>
                    <w:right w:val="none" w:sz="0" w:space="0" w:color="auto"/>
                  </w:divBdr>
                  <w:divsChild>
                    <w:div w:id="9601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505467">
      <w:bodyDiv w:val="1"/>
      <w:marLeft w:val="0"/>
      <w:marRight w:val="0"/>
      <w:marTop w:val="0"/>
      <w:marBottom w:val="0"/>
      <w:divBdr>
        <w:top w:val="none" w:sz="0" w:space="0" w:color="auto"/>
        <w:left w:val="none" w:sz="0" w:space="0" w:color="auto"/>
        <w:bottom w:val="none" w:sz="0" w:space="0" w:color="auto"/>
        <w:right w:val="none" w:sz="0" w:space="0" w:color="auto"/>
      </w:divBdr>
    </w:div>
    <w:div w:id="1529946694">
      <w:bodyDiv w:val="1"/>
      <w:marLeft w:val="0"/>
      <w:marRight w:val="0"/>
      <w:marTop w:val="0"/>
      <w:marBottom w:val="0"/>
      <w:divBdr>
        <w:top w:val="none" w:sz="0" w:space="0" w:color="auto"/>
        <w:left w:val="none" w:sz="0" w:space="0" w:color="auto"/>
        <w:bottom w:val="none" w:sz="0" w:space="0" w:color="auto"/>
        <w:right w:val="none" w:sz="0" w:space="0" w:color="auto"/>
      </w:divBdr>
      <w:divsChild>
        <w:div w:id="777405911">
          <w:marLeft w:val="0"/>
          <w:marRight w:val="0"/>
          <w:marTop w:val="0"/>
          <w:marBottom w:val="0"/>
          <w:divBdr>
            <w:top w:val="none" w:sz="0" w:space="0" w:color="auto"/>
            <w:left w:val="none" w:sz="0" w:space="0" w:color="auto"/>
            <w:bottom w:val="none" w:sz="0" w:space="0" w:color="auto"/>
            <w:right w:val="none" w:sz="0" w:space="0" w:color="auto"/>
          </w:divBdr>
          <w:divsChild>
            <w:div w:id="1135292651">
              <w:marLeft w:val="0"/>
              <w:marRight w:val="0"/>
              <w:marTop w:val="0"/>
              <w:marBottom w:val="0"/>
              <w:divBdr>
                <w:top w:val="none" w:sz="0" w:space="0" w:color="auto"/>
                <w:left w:val="none" w:sz="0" w:space="0" w:color="auto"/>
                <w:bottom w:val="none" w:sz="0" w:space="0" w:color="auto"/>
                <w:right w:val="none" w:sz="0" w:space="0" w:color="auto"/>
              </w:divBdr>
              <w:divsChild>
                <w:div w:id="670596570">
                  <w:marLeft w:val="0"/>
                  <w:marRight w:val="0"/>
                  <w:marTop w:val="0"/>
                  <w:marBottom w:val="0"/>
                  <w:divBdr>
                    <w:top w:val="none" w:sz="0" w:space="0" w:color="auto"/>
                    <w:left w:val="none" w:sz="0" w:space="0" w:color="auto"/>
                    <w:bottom w:val="none" w:sz="0" w:space="0" w:color="auto"/>
                    <w:right w:val="none" w:sz="0" w:space="0" w:color="auto"/>
                  </w:divBdr>
                  <w:divsChild>
                    <w:div w:id="3953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99177">
      <w:bodyDiv w:val="1"/>
      <w:marLeft w:val="0"/>
      <w:marRight w:val="0"/>
      <w:marTop w:val="0"/>
      <w:marBottom w:val="0"/>
      <w:divBdr>
        <w:top w:val="none" w:sz="0" w:space="0" w:color="auto"/>
        <w:left w:val="none" w:sz="0" w:space="0" w:color="auto"/>
        <w:bottom w:val="none" w:sz="0" w:space="0" w:color="auto"/>
        <w:right w:val="none" w:sz="0" w:space="0" w:color="auto"/>
      </w:divBdr>
      <w:divsChild>
        <w:div w:id="47000168">
          <w:marLeft w:val="0"/>
          <w:marRight w:val="0"/>
          <w:marTop w:val="0"/>
          <w:marBottom w:val="0"/>
          <w:divBdr>
            <w:top w:val="none" w:sz="0" w:space="0" w:color="auto"/>
            <w:left w:val="none" w:sz="0" w:space="0" w:color="auto"/>
            <w:bottom w:val="none" w:sz="0" w:space="0" w:color="auto"/>
            <w:right w:val="none" w:sz="0" w:space="0" w:color="auto"/>
          </w:divBdr>
          <w:divsChild>
            <w:div w:id="1632128249">
              <w:marLeft w:val="0"/>
              <w:marRight w:val="0"/>
              <w:marTop w:val="0"/>
              <w:marBottom w:val="0"/>
              <w:divBdr>
                <w:top w:val="none" w:sz="0" w:space="0" w:color="auto"/>
                <w:left w:val="none" w:sz="0" w:space="0" w:color="auto"/>
                <w:bottom w:val="none" w:sz="0" w:space="0" w:color="auto"/>
                <w:right w:val="none" w:sz="0" w:space="0" w:color="auto"/>
              </w:divBdr>
              <w:divsChild>
                <w:div w:id="70274319">
                  <w:marLeft w:val="0"/>
                  <w:marRight w:val="0"/>
                  <w:marTop w:val="0"/>
                  <w:marBottom w:val="0"/>
                  <w:divBdr>
                    <w:top w:val="none" w:sz="0" w:space="0" w:color="auto"/>
                    <w:left w:val="none" w:sz="0" w:space="0" w:color="auto"/>
                    <w:bottom w:val="none" w:sz="0" w:space="0" w:color="auto"/>
                    <w:right w:val="none" w:sz="0" w:space="0" w:color="auto"/>
                  </w:divBdr>
                  <w:divsChild>
                    <w:div w:id="2407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499105">
      <w:bodyDiv w:val="1"/>
      <w:marLeft w:val="0"/>
      <w:marRight w:val="0"/>
      <w:marTop w:val="0"/>
      <w:marBottom w:val="0"/>
      <w:divBdr>
        <w:top w:val="none" w:sz="0" w:space="0" w:color="auto"/>
        <w:left w:val="none" w:sz="0" w:space="0" w:color="auto"/>
        <w:bottom w:val="none" w:sz="0" w:space="0" w:color="auto"/>
        <w:right w:val="none" w:sz="0" w:space="0" w:color="auto"/>
      </w:divBdr>
      <w:divsChild>
        <w:div w:id="1792626239">
          <w:marLeft w:val="0"/>
          <w:marRight w:val="0"/>
          <w:marTop w:val="0"/>
          <w:marBottom w:val="0"/>
          <w:divBdr>
            <w:top w:val="none" w:sz="0" w:space="0" w:color="auto"/>
            <w:left w:val="none" w:sz="0" w:space="0" w:color="auto"/>
            <w:bottom w:val="none" w:sz="0" w:space="0" w:color="auto"/>
            <w:right w:val="none" w:sz="0" w:space="0" w:color="auto"/>
          </w:divBdr>
          <w:divsChild>
            <w:div w:id="1835488411">
              <w:marLeft w:val="0"/>
              <w:marRight w:val="0"/>
              <w:marTop w:val="0"/>
              <w:marBottom w:val="0"/>
              <w:divBdr>
                <w:top w:val="none" w:sz="0" w:space="0" w:color="auto"/>
                <w:left w:val="none" w:sz="0" w:space="0" w:color="auto"/>
                <w:bottom w:val="none" w:sz="0" w:space="0" w:color="auto"/>
                <w:right w:val="none" w:sz="0" w:space="0" w:color="auto"/>
              </w:divBdr>
              <w:divsChild>
                <w:div w:id="345719478">
                  <w:marLeft w:val="0"/>
                  <w:marRight w:val="0"/>
                  <w:marTop w:val="0"/>
                  <w:marBottom w:val="0"/>
                  <w:divBdr>
                    <w:top w:val="none" w:sz="0" w:space="0" w:color="auto"/>
                    <w:left w:val="none" w:sz="0" w:space="0" w:color="auto"/>
                    <w:bottom w:val="none" w:sz="0" w:space="0" w:color="auto"/>
                    <w:right w:val="none" w:sz="0" w:space="0" w:color="auto"/>
                  </w:divBdr>
                  <w:divsChild>
                    <w:div w:id="13080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07914">
      <w:bodyDiv w:val="1"/>
      <w:marLeft w:val="0"/>
      <w:marRight w:val="0"/>
      <w:marTop w:val="0"/>
      <w:marBottom w:val="0"/>
      <w:divBdr>
        <w:top w:val="none" w:sz="0" w:space="0" w:color="auto"/>
        <w:left w:val="none" w:sz="0" w:space="0" w:color="auto"/>
        <w:bottom w:val="none" w:sz="0" w:space="0" w:color="auto"/>
        <w:right w:val="none" w:sz="0" w:space="0" w:color="auto"/>
      </w:divBdr>
    </w:div>
    <w:div w:id="1569069959">
      <w:bodyDiv w:val="1"/>
      <w:marLeft w:val="0"/>
      <w:marRight w:val="0"/>
      <w:marTop w:val="0"/>
      <w:marBottom w:val="0"/>
      <w:divBdr>
        <w:top w:val="none" w:sz="0" w:space="0" w:color="auto"/>
        <w:left w:val="none" w:sz="0" w:space="0" w:color="auto"/>
        <w:bottom w:val="none" w:sz="0" w:space="0" w:color="auto"/>
        <w:right w:val="none" w:sz="0" w:space="0" w:color="auto"/>
      </w:divBdr>
      <w:divsChild>
        <w:div w:id="571894460">
          <w:marLeft w:val="0"/>
          <w:marRight w:val="0"/>
          <w:marTop w:val="0"/>
          <w:marBottom w:val="0"/>
          <w:divBdr>
            <w:top w:val="none" w:sz="0" w:space="0" w:color="auto"/>
            <w:left w:val="none" w:sz="0" w:space="0" w:color="auto"/>
            <w:bottom w:val="none" w:sz="0" w:space="0" w:color="auto"/>
            <w:right w:val="none" w:sz="0" w:space="0" w:color="auto"/>
          </w:divBdr>
          <w:divsChild>
            <w:div w:id="460223927">
              <w:marLeft w:val="0"/>
              <w:marRight w:val="0"/>
              <w:marTop w:val="0"/>
              <w:marBottom w:val="0"/>
              <w:divBdr>
                <w:top w:val="none" w:sz="0" w:space="0" w:color="auto"/>
                <w:left w:val="none" w:sz="0" w:space="0" w:color="auto"/>
                <w:bottom w:val="none" w:sz="0" w:space="0" w:color="auto"/>
                <w:right w:val="none" w:sz="0" w:space="0" w:color="auto"/>
              </w:divBdr>
              <w:divsChild>
                <w:div w:id="1998721873">
                  <w:marLeft w:val="0"/>
                  <w:marRight w:val="0"/>
                  <w:marTop w:val="0"/>
                  <w:marBottom w:val="0"/>
                  <w:divBdr>
                    <w:top w:val="none" w:sz="0" w:space="0" w:color="auto"/>
                    <w:left w:val="none" w:sz="0" w:space="0" w:color="auto"/>
                    <w:bottom w:val="none" w:sz="0" w:space="0" w:color="auto"/>
                    <w:right w:val="none" w:sz="0" w:space="0" w:color="auto"/>
                  </w:divBdr>
                  <w:divsChild>
                    <w:div w:id="3206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076505">
      <w:bodyDiv w:val="1"/>
      <w:marLeft w:val="0"/>
      <w:marRight w:val="0"/>
      <w:marTop w:val="0"/>
      <w:marBottom w:val="0"/>
      <w:divBdr>
        <w:top w:val="none" w:sz="0" w:space="0" w:color="auto"/>
        <w:left w:val="none" w:sz="0" w:space="0" w:color="auto"/>
        <w:bottom w:val="none" w:sz="0" w:space="0" w:color="auto"/>
        <w:right w:val="none" w:sz="0" w:space="0" w:color="auto"/>
      </w:divBdr>
      <w:divsChild>
        <w:div w:id="1399473616">
          <w:marLeft w:val="0"/>
          <w:marRight w:val="0"/>
          <w:marTop w:val="0"/>
          <w:marBottom w:val="0"/>
          <w:divBdr>
            <w:top w:val="none" w:sz="0" w:space="0" w:color="auto"/>
            <w:left w:val="none" w:sz="0" w:space="0" w:color="auto"/>
            <w:bottom w:val="none" w:sz="0" w:space="0" w:color="auto"/>
            <w:right w:val="none" w:sz="0" w:space="0" w:color="auto"/>
          </w:divBdr>
          <w:divsChild>
            <w:div w:id="2078353413">
              <w:marLeft w:val="0"/>
              <w:marRight w:val="0"/>
              <w:marTop w:val="0"/>
              <w:marBottom w:val="0"/>
              <w:divBdr>
                <w:top w:val="none" w:sz="0" w:space="0" w:color="auto"/>
                <w:left w:val="none" w:sz="0" w:space="0" w:color="auto"/>
                <w:bottom w:val="none" w:sz="0" w:space="0" w:color="auto"/>
                <w:right w:val="none" w:sz="0" w:space="0" w:color="auto"/>
              </w:divBdr>
              <w:divsChild>
                <w:div w:id="1229996373">
                  <w:marLeft w:val="0"/>
                  <w:marRight w:val="0"/>
                  <w:marTop w:val="0"/>
                  <w:marBottom w:val="0"/>
                  <w:divBdr>
                    <w:top w:val="none" w:sz="0" w:space="0" w:color="auto"/>
                    <w:left w:val="none" w:sz="0" w:space="0" w:color="auto"/>
                    <w:bottom w:val="none" w:sz="0" w:space="0" w:color="auto"/>
                    <w:right w:val="none" w:sz="0" w:space="0" w:color="auto"/>
                  </w:divBdr>
                  <w:divsChild>
                    <w:div w:id="18726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110293">
      <w:bodyDiv w:val="1"/>
      <w:marLeft w:val="0"/>
      <w:marRight w:val="0"/>
      <w:marTop w:val="0"/>
      <w:marBottom w:val="0"/>
      <w:divBdr>
        <w:top w:val="none" w:sz="0" w:space="0" w:color="auto"/>
        <w:left w:val="none" w:sz="0" w:space="0" w:color="auto"/>
        <w:bottom w:val="none" w:sz="0" w:space="0" w:color="auto"/>
        <w:right w:val="none" w:sz="0" w:space="0" w:color="auto"/>
      </w:divBdr>
      <w:divsChild>
        <w:div w:id="252126179">
          <w:marLeft w:val="0"/>
          <w:marRight w:val="0"/>
          <w:marTop w:val="0"/>
          <w:marBottom w:val="0"/>
          <w:divBdr>
            <w:top w:val="none" w:sz="0" w:space="0" w:color="auto"/>
            <w:left w:val="none" w:sz="0" w:space="0" w:color="auto"/>
            <w:bottom w:val="none" w:sz="0" w:space="0" w:color="auto"/>
            <w:right w:val="none" w:sz="0" w:space="0" w:color="auto"/>
          </w:divBdr>
          <w:divsChild>
            <w:div w:id="236062751">
              <w:marLeft w:val="0"/>
              <w:marRight w:val="0"/>
              <w:marTop w:val="0"/>
              <w:marBottom w:val="0"/>
              <w:divBdr>
                <w:top w:val="none" w:sz="0" w:space="0" w:color="auto"/>
                <w:left w:val="none" w:sz="0" w:space="0" w:color="auto"/>
                <w:bottom w:val="none" w:sz="0" w:space="0" w:color="auto"/>
                <w:right w:val="none" w:sz="0" w:space="0" w:color="auto"/>
              </w:divBdr>
              <w:divsChild>
                <w:div w:id="1010448705">
                  <w:marLeft w:val="0"/>
                  <w:marRight w:val="0"/>
                  <w:marTop w:val="0"/>
                  <w:marBottom w:val="0"/>
                  <w:divBdr>
                    <w:top w:val="none" w:sz="0" w:space="0" w:color="auto"/>
                    <w:left w:val="none" w:sz="0" w:space="0" w:color="auto"/>
                    <w:bottom w:val="none" w:sz="0" w:space="0" w:color="auto"/>
                    <w:right w:val="none" w:sz="0" w:space="0" w:color="auto"/>
                  </w:divBdr>
                  <w:divsChild>
                    <w:div w:id="7332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692849">
      <w:bodyDiv w:val="1"/>
      <w:marLeft w:val="0"/>
      <w:marRight w:val="0"/>
      <w:marTop w:val="0"/>
      <w:marBottom w:val="0"/>
      <w:divBdr>
        <w:top w:val="none" w:sz="0" w:space="0" w:color="auto"/>
        <w:left w:val="none" w:sz="0" w:space="0" w:color="auto"/>
        <w:bottom w:val="none" w:sz="0" w:space="0" w:color="auto"/>
        <w:right w:val="none" w:sz="0" w:space="0" w:color="auto"/>
      </w:divBdr>
    </w:div>
    <w:div w:id="1621566788">
      <w:bodyDiv w:val="1"/>
      <w:marLeft w:val="0"/>
      <w:marRight w:val="0"/>
      <w:marTop w:val="0"/>
      <w:marBottom w:val="0"/>
      <w:divBdr>
        <w:top w:val="none" w:sz="0" w:space="0" w:color="auto"/>
        <w:left w:val="none" w:sz="0" w:space="0" w:color="auto"/>
        <w:bottom w:val="none" w:sz="0" w:space="0" w:color="auto"/>
        <w:right w:val="none" w:sz="0" w:space="0" w:color="auto"/>
      </w:divBdr>
      <w:divsChild>
        <w:div w:id="1511721734">
          <w:marLeft w:val="0"/>
          <w:marRight w:val="0"/>
          <w:marTop w:val="0"/>
          <w:marBottom w:val="0"/>
          <w:divBdr>
            <w:top w:val="none" w:sz="0" w:space="0" w:color="auto"/>
            <w:left w:val="none" w:sz="0" w:space="0" w:color="auto"/>
            <w:bottom w:val="none" w:sz="0" w:space="0" w:color="auto"/>
            <w:right w:val="none" w:sz="0" w:space="0" w:color="auto"/>
          </w:divBdr>
          <w:divsChild>
            <w:div w:id="439569776">
              <w:marLeft w:val="0"/>
              <w:marRight w:val="0"/>
              <w:marTop w:val="0"/>
              <w:marBottom w:val="0"/>
              <w:divBdr>
                <w:top w:val="none" w:sz="0" w:space="0" w:color="auto"/>
                <w:left w:val="none" w:sz="0" w:space="0" w:color="auto"/>
                <w:bottom w:val="none" w:sz="0" w:space="0" w:color="auto"/>
                <w:right w:val="none" w:sz="0" w:space="0" w:color="auto"/>
              </w:divBdr>
              <w:divsChild>
                <w:div w:id="1669745980">
                  <w:marLeft w:val="0"/>
                  <w:marRight w:val="0"/>
                  <w:marTop w:val="0"/>
                  <w:marBottom w:val="0"/>
                  <w:divBdr>
                    <w:top w:val="none" w:sz="0" w:space="0" w:color="auto"/>
                    <w:left w:val="none" w:sz="0" w:space="0" w:color="auto"/>
                    <w:bottom w:val="none" w:sz="0" w:space="0" w:color="auto"/>
                    <w:right w:val="none" w:sz="0" w:space="0" w:color="auto"/>
                  </w:divBdr>
                  <w:divsChild>
                    <w:div w:id="194996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7160">
      <w:bodyDiv w:val="1"/>
      <w:marLeft w:val="0"/>
      <w:marRight w:val="0"/>
      <w:marTop w:val="0"/>
      <w:marBottom w:val="0"/>
      <w:divBdr>
        <w:top w:val="none" w:sz="0" w:space="0" w:color="auto"/>
        <w:left w:val="none" w:sz="0" w:space="0" w:color="auto"/>
        <w:bottom w:val="none" w:sz="0" w:space="0" w:color="auto"/>
        <w:right w:val="none" w:sz="0" w:space="0" w:color="auto"/>
      </w:divBdr>
    </w:div>
    <w:div w:id="1651205578">
      <w:bodyDiv w:val="1"/>
      <w:marLeft w:val="0"/>
      <w:marRight w:val="0"/>
      <w:marTop w:val="0"/>
      <w:marBottom w:val="0"/>
      <w:divBdr>
        <w:top w:val="none" w:sz="0" w:space="0" w:color="auto"/>
        <w:left w:val="none" w:sz="0" w:space="0" w:color="auto"/>
        <w:bottom w:val="none" w:sz="0" w:space="0" w:color="auto"/>
        <w:right w:val="none" w:sz="0" w:space="0" w:color="auto"/>
      </w:divBdr>
      <w:divsChild>
        <w:div w:id="2075154577">
          <w:marLeft w:val="0"/>
          <w:marRight w:val="0"/>
          <w:marTop w:val="0"/>
          <w:marBottom w:val="0"/>
          <w:divBdr>
            <w:top w:val="none" w:sz="0" w:space="0" w:color="auto"/>
            <w:left w:val="none" w:sz="0" w:space="0" w:color="auto"/>
            <w:bottom w:val="none" w:sz="0" w:space="0" w:color="auto"/>
            <w:right w:val="none" w:sz="0" w:space="0" w:color="auto"/>
          </w:divBdr>
          <w:divsChild>
            <w:div w:id="2007054773">
              <w:marLeft w:val="0"/>
              <w:marRight w:val="0"/>
              <w:marTop w:val="0"/>
              <w:marBottom w:val="0"/>
              <w:divBdr>
                <w:top w:val="none" w:sz="0" w:space="0" w:color="auto"/>
                <w:left w:val="none" w:sz="0" w:space="0" w:color="auto"/>
                <w:bottom w:val="none" w:sz="0" w:space="0" w:color="auto"/>
                <w:right w:val="none" w:sz="0" w:space="0" w:color="auto"/>
              </w:divBdr>
              <w:divsChild>
                <w:div w:id="2130586850">
                  <w:marLeft w:val="0"/>
                  <w:marRight w:val="0"/>
                  <w:marTop w:val="0"/>
                  <w:marBottom w:val="0"/>
                  <w:divBdr>
                    <w:top w:val="none" w:sz="0" w:space="0" w:color="auto"/>
                    <w:left w:val="none" w:sz="0" w:space="0" w:color="auto"/>
                    <w:bottom w:val="none" w:sz="0" w:space="0" w:color="auto"/>
                    <w:right w:val="none" w:sz="0" w:space="0" w:color="auto"/>
                  </w:divBdr>
                  <w:divsChild>
                    <w:div w:id="13433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60053">
      <w:bodyDiv w:val="1"/>
      <w:marLeft w:val="0"/>
      <w:marRight w:val="0"/>
      <w:marTop w:val="0"/>
      <w:marBottom w:val="0"/>
      <w:divBdr>
        <w:top w:val="none" w:sz="0" w:space="0" w:color="auto"/>
        <w:left w:val="none" w:sz="0" w:space="0" w:color="auto"/>
        <w:bottom w:val="none" w:sz="0" w:space="0" w:color="auto"/>
        <w:right w:val="none" w:sz="0" w:space="0" w:color="auto"/>
      </w:divBdr>
      <w:divsChild>
        <w:div w:id="900023979">
          <w:marLeft w:val="0"/>
          <w:marRight w:val="0"/>
          <w:marTop w:val="0"/>
          <w:marBottom w:val="0"/>
          <w:divBdr>
            <w:top w:val="none" w:sz="0" w:space="0" w:color="auto"/>
            <w:left w:val="none" w:sz="0" w:space="0" w:color="auto"/>
            <w:bottom w:val="none" w:sz="0" w:space="0" w:color="auto"/>
            <w:right w:val="none" w:sz="0" w:space="0" w:color="auto"/>
          </w:divBdr>
          <w:divsChild>
            <w:div w:id="1241066047">
              <w:marLeft w:val="0"/>
              <w:marRight w:val="0"/>
              <w:marTop w:val="0"/>
              <w:marBottom w:val="0"/>
              <w:divBdr>
                <w:top w:val="none" w:sz="0" w:space="0" w:color="auto"/>
                <w:left w:val="none" w:sz="0" w:space="0" w:color="auto"/>
                <w:bottom w:val="none" w:sz="0" w:space="0" w:color="auto"/>
                <w:right w:val="none" w:sz="0" w:space="0" w:color="auto"/>
              </w:divBdr>
              <w:divsChild>
                <w:div w:id="1008144510">
                  <w:marLeft w:val="0"/>
                  <w:marRight w:val="0"/>
                  <w:marTop w:val="0"/>
                  <w:marBottom w:val="0"/>
                  <w:divBdr>
                    <w:top w:val="none" w:sz="0" w:space="0" w:color="auto"/>
                    <w:left w:val="none" w:sz="0" w:space="0" w:color="auto"/>
                    <w:bottom w:val="none" w:sz="0" w:space="0" w:color="auto"/>
                    <w:right w:val="none" w:sz="0" w:space="0" w:color="auto"/>
                  </w:divBdr>
                  <w:divsChild>
                    <w:div w:id="12330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96558">
          <w:marLeft w:val="0"/>
          <w:marRight w:val="0"/>
          <w:marTop w:val="0"/>
          <w:marBottom w:val="0"/>
          <w:divBdr>
            <w:top w:val="none" w:sz="0" w:space="0" w:color="auto"/>
            <w:left w:val="none" w:sz="0" w:space="0" w:color="auto"/>
            <w:bottom w:val="none" w:sz="0" w:space="0" w:color="auto"/>
            <w:right w:val="none" w:sz="0" w:space="0" w:color="auto"/>
          </w:divBdr>
          <w:divsChild>
            <w:div w:id="951479302">
              <w:marLeft w:val="0"/>
              <w:marRight w:val="0"/>
              <w:marTop w:val="0"/>
              <w:marBottom w:val="0"/>
              <w:divBdr>
                <w:top w:val="none" w:sz="0" w:space="0" w:color="auto"/>
                <w:left w:val="none" w:sz="0" w:space="0" w:color="auto"/>
                <w:bottom w:val="none" w:sz="0" w:space="0" w:color="auto"/>
                <w:right w:val="none" w:sz="0" w:space="0" w:color="auto"/>
              </w:divBdr>
              <w:divsChild>
                <w:div w:id="1901284168">
                  <w:marLeft w:val="0"/>
                  <w:marRight w:val="0"/>
                  <w:marTop w:val="0"/>
                  <w:marBottom w:val="0"/>
                  <w:divBdr>
                    <w:top w:val="none" w:sz="0" w:space="0" w:color="auto"/>
                    <w:left w:val="none" w:sz="0" w:space="0" w:color="auto"/>
                    <w:bottom w:val="none" w:sz="0" w:space="0" w:color="auto"/>
                    <w:right w:val="none" w:sz="0" w:space="0" w:color="auto"/>
                  </w:divBdr>
                  <w:divsChild>
                    <w:div w:id="10206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6507">
      <w:bodyDiv w:val="1"/>
      <w:marLeft w:val="0"/>
      <w:marRight w:val="0"/>
      <w:marTop w:val="0"/>
      <w:marBottom w:val="0"/>
      <w:divBdr>
        <w:top w:val="none" w:sz="0" w:space="0" w:color="auto"/>
        <w:left w:val="none" w:sz="0" w:space="0" w:color="auto"/>
        <w:bottom w:val="none" w:sz="0" w:space="0" w:color="auto"/>
        <w:right w:val="none" w:sz="0" w:space="0" w:color="auto"/>
      </w:divBdr>
      <w:divsChild>
        <w:div w:id="439688133">
          <w:marLeft w:val="0"/>
          <w:marRight w:val="0"/>
          <w:marTop w:val="0"/>
          <w:marBottom w:val="0"/>
          <w:divBdr>
            <w:top w:val="none" w:sz="0" w:space="0" w:color="auto"/>
            <w:left w:val="none" w:sz="0" w:space="0" w:color="auto"/>
            <w:bottom w:val="none" w:sz="0" w:space="0" w:color="auto"/>
            <w:right w:val="none" w:sz="0" w:space="0" w:color="auto"/>
          </w:divBdr>
          <w:divsChild>
            <w:div w:id="1381637249">
              <w:marLeft w:val="0"/>
              <w:marRight w:val="0"/>
              <w:marTop w:val="0"/>
              <w:marBottom w:val="0"/>
              <w:divBdr>
                <w:top w:val="none" w:sz="0" w:space="0" w:color="auto"/>
                <w:left w:val="none" w:sz="0" w:space="0" w:color="auto"/>
                <w:bottom w:val="none" w:sz="0" w:space="0" w:color="auto"/>
                <w:right w:val="none" w:sz="0" w:space="0" w:color="auto"/>
              </w:divBdr>
              <w:divsChild>
                <w:div w:id="392387259">
                  <w:marLeft w:val="0"/>
                  <w:marRight w:val="0"/>
                  <w:marTop w:val="0"/>
                  <w:marBottom w:val="0"/>
                  <w:divBdr>
                    <w:top w:val="none" w:sz="0" w:space="0" w:color="auto"/>
                    <w:left w:val="none" w:sz="0" w:space="0" w:color="auto"/>
                    <w:bottom w:val="none" w:sz="0" w:space="0" w:color="auto"/>
                    <w:right w:val="none" w:sz="0" w:space="0" w:color="auto"/>
                  </w:divBdr>
                  <w:divsChild>
                    <w:div w:id="13540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7239">
      <w:bodyDiv w:val="1"/>
      <w:marLeft w:val="0"/>
      <w:marRight w:val="0"/>
      <w:marTop w:val="0"/>
      <w:marBottom w:val="0"/>
      <w:divBdr>
        <w:top w:val="none" w:sz="0" w:space="0" w:color="auto"/>
        <w:left w:val="none" w:sz="0" w:space="0" w:color="auto"/>
        <w:bottom w:val="none" w:sz="0" w:space="0" w:color="auto"/>
        <w:right w:val="none" w:sz="0" w:space="0" w:color="auto"/>
      </w:divBdr>
    </w:div>
    <w:div w:id="1672678306">
      <w:bodyDiv w:val="1"/>
      <w:marLeft w:val="0"/>
      <w:marRight w:val="0"/>
      <w:marTop w:val="0"/>
      <w:marBottom w:val="0"/>
      <w:divBdr>
        <w:top w:val="none" w:sz="0" w:space="0" w:color="auto"/>
        <w:left w:val="none" w:sz="0" w:space="0" w:color="auto"/>
        <w:bottom w:val="none" w:sz="0" w:space="0" w:color="auto"/>
        <w:right w:val="none" w:sz="0" w:space="0" w:color="auto"/>
      </w:divBdr>
      <w:divsChild>
        <w:div w:id="2062631002">
          <w:marLeft w:val="0"/>
          <w:marRight w:val="0"/>
          <w:marTop w:val="0"/>
          <w:marBottom w:val="0"/>
          <w:divBdr>
            <w:top w:val="none" w:sz="0" w:space="0" w:color="auto"/>
            <w:left w:val="none" w:sz="0" w:space="0" w:color="auto"/>
            <w:bottom w:val="none" w:sz="0" w:space="0" w:color="auto"/>
            <w:right w:val="none" w:sz="0" w:space="0" w:color="auto"/>
          </w:divBdr>
          <w:divsChild>
            <w:div w:id="1424573027">
              <w:marLeft w:val="0"/>
              <w:marRight w:val="0"/>
              <w:marTop w:val="0"/>
              <w:marBottom w:val="0"/>
              <w:divBdr>
                <w:top w:val="none" w:sz="0" w:space="0" w:color="auto"/>
                <w:left w:val="none" w:sz="0" w:space="0" w:color="auto"/>
                <w:bottom w:val="none" w:sz="0" w:space="0" w:color="auto"/>
                <w:right w:val="none" w:sz="0" w:space="0" w:color="auto"/>
              </w:divBdr>
              <w:divsChild>
                <w:div w:id="1701010654">
                  <w:marLeft w:val="0"/>
                  <w:marRight w:val="0"/>
                  <w:marTop w:val="0"/>
                  <w:marBottom w:val="0"/>
                  <w:divBdr>
                    <w:top w:val="none" w:sz="0" w:space="0" w:color="auto"/>
                    <w:left w:val="none" w:sz="0" w:space="0" w:color="auto"/>
                    <w:bottom w:val="none" w:sz="0" w:space="0" w:color="auto"/>
                    <w:right w:val="none" w:sz="0" w:space="0" w:color="auto"/>
                  </w:divBdr>
                  <w:divsChild>
                    <w:div w:id="5280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5388">
      <w:bodyDiv w:val="1"/>
      <w:marLeft w:val="0"/>
      <w:marRight w:val="0"/>
      <w:marTop w:val="0"/>
      <w:marBottom w:val="0"/>
      <w:divBdr>
        <w:top w:val="none" w:sz="0" w:space="0" w:color="auto"/>
        <w:left w:val="none" w:sz="0" w:space="0" w:color="auto"/>
        <w:bottom w:val="none" w:sz="0" w:space="0" w:color="auto"/>
        <w:right w:val="none" w:sz="0" w:space="0" w:color="auto"/>
      </w:divBdr>
      <w:divsChild>
        <w:div w:id="2058049441">
          <w:marLeft w:val="0"/>
          <w:marRight w:val="0"/>
          <w:marTop w:val="0"/>
          <w:marBottom w:val="0"/>
          <w:divBdr>
            <w:top w:val="none" w:sz="0" w:space="0" w:color="auto"/>
            <w:left w:val="none" w:sz="0" w:space="0" w:color="auto"/>
            <w:bottom w:val="none" w:sz="0" w:space="0" w:color="auto"/>
            <w:right w:val="none" w:sz="0" w:space="0" w:color="auto"/>
          </w:divBdr>
          <w:divsChild>
            <w:div w:id="760103173">
              <w:marLeft w:val="0"/>
              <w:marRight w:val="0"/>
              <w:marTop w:val="0"/>
              <w:marBottom w:val="0"/>
              <w:divBdr>
                <w:top w:val="none" w:sz="0" w:space="0" w:color="auto"/>
                <w:left w:val="none" w:sz="0" w:space="0" w:color="auto"/>
                <w:bottom w:val="none" w:sz="0" w:space="0" w:color="auto"/>
                <w:right w:val="none" w:sz="0" w:space="0" w:color="auto"/>
              </w:divBdr>
              <w:divsChild>
                <w:div w:id="837698559">
                  <w:marLeft w:val="0"/>
                  <w:marRight w:val="0"/>
                  <w:marTop w:val="0"/>
                  <w:marBottom w:val="0"/>
                  <w:divBdr>
                    <w:top w:val="none" w:sz="0" w:space="0" w:color="auto"/>
                    <w:left w:val="none" w:sz="0" w:space="0" w:color="auto"/>
                    <w:bottom w:val="none" w:sz="0" w:space="0" w:color="auto"/>
                    <w:right w:val="none" w:sz="0" w:space="0" w:color="auto"/>
                  </w:divBdr>
                  <w:divsChild>
                    <w:div w:id="11914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5972">
      <w:bodyDiv w:val="1"/>
      <w:marLeft w:val="0"/>
      <w:marRight w:val="0"/>
      <w:marTop w:val="0"/>
      <w:marBottom w:val="0"/>
      <w:divBdr>
        <w:top w:val="none" w:sz="0" w:space="0" w:color="auto"/>
        <w:left w:val="none" w:sz="0" w:space="0" w:color="auto"/>
        <w:bottom w:val="none" w:sz="0" w:space="0" w:color="auto"/>
        <w:right w:val="none" w:sz="0" w:space="0" w:color="auto"/>
      </w:divBdr>
      <w:divsChild>
        <w:div w:id="483669268">
          <w:marLeft w:val="0"/>
          <w:marRight w:val="0"/>
          <w:marTop w:val="0"/>
          <w:marBottom w:val="0"/>
          <w:divBdr>
            <w:top w:val="none" w:sz="0" w:space="0" w:color="auto"/>
            <w:left w:val="none" w:sz="0" w:space="0" w:color="auto"/>
            <w:bottom w:val="none" w:sz="0" w:space="0" w:color="auto"/>
            <w:right w:val="none" w:sz="0" w:space="0" w:color="auto"/>
          </w:divBdr>
          <w:divsChild>
            <w:div w:id="2009167257">
              <w:marLeft w:val="0"/>
              <w:marRight w:val="0"/>
              <w:marTop w:val="0"/>
              <w:marBottom w:val="0"/>
              <w:divBdr>
                <w:top w:val="none" w:sz="0" w:space="0" w:color="auto"/>
                <w:left w:val="none" w:sz="0" w:space="0" w:color="auto"/>
                <w:bottom w:val="none" w:sz="0" w:space="0" w:color="auto"/>
                <w:right w:val="none" w:sz="0" w:space="0" w:color="auto"/>
              </w:divBdr>
              <w:divsChild>
                <w:div w:id="999230992">
                  <w:marLeft w:val="0"/>
                  <w:marRight w:val="0"/>
                  <w:marTop w:val="0"/>
                  <w:marBottom w:val="0"/>
                  <w:divBdr>
                    <w:top w:val="none" w:sz="0" w:space="0" w:color="auto"/>
                    <w:left w:val="none" w:sz="0" w:space="0" w:color="auto"/>
                    <w:bottom w:val="none" w:sz="0" w:space="0" w:color="auto"/>
                    <w:right w:val="none" w:sz="0" w:space="0" w:color="auto"/>
                  </w:divBdr>
                  <w:divsChild>
                    <w:div w:id="16540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268696">
      <w:bodyDiv w:val="1"/>
      <w:marLeft w:val="0"/>
      <w:marRight w:val="0"/>
      <w:marTop w:val="0"/>
      <w:marBottom w:val="0"/>
      <w:divBdr>
        <w:top w:val="none" w:sz="0" w:space="0" w:color="auto"/>
        <w:left w:val="none" w:sz="0" w:space="0" w:color="auto"/>
        <w:bottom w:val="none" w:sz="0" w:space="0" w:color="auto"/>
        <w:right w:val="none" w:sz="0" w:space="0" w:color="auto"/>
      </w:divBdr>
      <w:divsChild>
        <w:div w:id="1965649216">
          <w:marLeft w:val="0"/>
          <w:marRight w:val="0"/>
          <w:marTop w:val="0"/>
          <w:marBottom w:val="0"/>
          <w:divBdr>
            <w:top w:val="none" w:sz="0" w:space="0" w:color="auto"/>
            <w:left w:val="none" w:sz="0" w:space="0" w:color="auto"/>
            <w:bottom w:val="none" w:sz="0" w:space="0" w:color="auto"/>
            <w:right w:val="none" w:sz="0" w:space="0" w:color="auto"/>
          </w:divBdr>
          <w:divsChild>
            <w:div w:id="40062467">
              <w:marLeft w:val="0"/>
              <w:marRight w:val="0"/>
              <w:marTop w:val="0"/>
              <w:marBottom w:val="0"/>
              <w:divBdr>
                <w:top w:val="none" w:sz="0" w:space="0" w:color="auto"/>
                <w:left w:val="none" w:sz="0" w:space="0" w:color="auto"/>
                <w:bottom w:val="none" w:sz="0" w:space="0" w:color="auto"/>
                <w:right w:val="none" w:sz="0" w:space="0" w:color="auto"/>
              </w:divBdr>
              <w:divsChild>
                <w:div w:id="631516960">
                  <w:marLeft w:val="0"/>
                  <w:marRight w:val="0"/>
                  <w:marTop w:val="0"/>
                  <w:marBottom w:val="0"/>
                  <w:divBdr>
                    <w:top w:val="none" w:sz="0" w:space="0" w:color="auto"/>
                    <w:left w:val="none" w:sz="0" w:space="0" w:color="auto"/>
                    <w:bottom w:val="none" w:sz="0" w:space="0" w:color="auto"/>
                    <w:right w:val="none" w:sz="0" w:space="0" w:color="auto"/>
                  </w:divBdr>
                  <w:divsChild>
                    <w:div w:id="209046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044448">
      <w:bodyDiv w:val="1"/>
      <w:marLeft w:val="0"/>
      <w:marRight w:val="0"/>
      <w:marTop w:val="0"/>
      <w:marBottom w:val="0"/>
      <w:divBdr>
        <w:top w:val="none" w:sz="0" w:space="0" w:color="auto"/>
        <w:left w:val="none" w:sz="0" w:space="0" w:color="auto"/>
        <w:bottom w:val="none" w:sz="0" w:space="0" w:color="auto"/>
        <w:right w:val="none" w:sz="0" w:space="0" w:color="auto"/>
      </w:divBdr>
      <w:divsChild>
        <w:div w:id="566376271">
          <w:marLeft w:val="0"/>
          <w:marRight w:val="0"/>
          <w:marTop w:val="0"/>
          <w:marBottom w:val="0"/>
          <w:divBdr>
            <w:top w:val="none" w:sz="0" w:space="0" w:color="auto"/>
            <w:left w:val="none" w:sz="0" w:space="0" w:color="auto"/>
            <w:bottom w:val="none" w:sz="0" w:space="0" w:color="auto"/>
            <w:right w:val="none" w:sz="0" w:space="0" w:color="auto"/>
          </w:divBdr>
          <w:divsChild>
            <w:div w:id="176505171">
              <w:marLeft w:val="0"/>
              <w:marRight w:val="0"/>
              <w:marTop w:val="0"/>
              <w:marBottom w:val="0"/>
              <w:divBdr>
                <w:top w:val="none" w:sz="0" w:space="0" w:color="auto"/>
                <w:left w:val="none" w:sz="0" w:space="0" w:color="auto"/>
                <w:bottom w:val="none" w:sz="0" w:space="0" w:color="auto"/>
                <w:right w:val="none" w:sz="0" w:space="0" w:color="auto"/>
              </w:divBdr>
              <w:divsChild>
                <w:div w:id="13703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30562">
      <w:bodyDiv w:val="1"/>
      <w:marLeft w:val="0"/>
      <w:marRight w:val="0"/>
      <w:marTop w:val="0"/>
      <w:marBottom w:val="0"/>
      <w:divBdr>
        <w:top w:val="none" w:sz="0" w:space="0" w:color="auto"/>
        <w:left w:val="none" w:sz="0" w:space="0" w:color="auto"/>
        <w:bottom w:val="none" w:sz="0" w:space="0" w:color="auto"/>
        <w:right w:val="none" w:sz="0" w:space="0" w:color="auto"/>
      </w:divBdr>
      <w:divsChild>
        <w:div w:id="1725832120">
          <w:marLeft w:val="0"/>
          <w:marRight w:val="0"/>
          <w:marTop w:val="0"/>
          <w:marBottom w:val="0"/>
          <w:divBdr>
            <w:top w:val="none" w:sz="0" w:space="0" w:color="auto"/>
            <w:left w:val="none" w:sz="0" w:space="0" w:color="auto"/>
            <w:bottom w:val="none" w:sz="0" w:space="0" w:color="auto"/>
            <w:right w:val="none" w:sz="0" w:space="0" w:color="auto"/>
          </w:divBdr>
          <w:divsChild>
            <w:div w:id="162668622">
              <w:marLeft w:val="0"/>
              <w:marRight w:val="0"/>
              <w:marTop w:val="0"/>
              <w:marBottom w:val="0"/>
              <w:divBdr>
                <w:top w:val="none" w:sz="0" w:space="0" w:color="auto"/>
                <w:left w:val="none" w:sz="0" w:space="0" w:color="auto"/>
                <w:bottom w:val="none" w:sz="0" w:space="0" w:color="auto"/>
                <w:right w:val="none" w:sz="0" w:space="0" w:color="auto"/>
              </w:divBdr>
              <w:divsChild>
                <w:div w:id="16733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90416">
      <w:bodyDiv w:val="1"/>
      <w:marLeft w:val="0"/>
      <w:marRight w:val="0"/>
      <w:marTop w:val="0"/>
      <w:marBottom w:val="0"/>
      <w:divBdr>
        <w:top w:val="none" w:sz="0" w:space="0" w:color="auto"/>
        <w:left w:val="none" w:sz="0" w:space="0" w:color="auto"/>
        <w:bottom w:val="none" w:sz="0" w:space="0" w:color="auto"/>
        <w:right w:val="none" w:sz="0" w:space="0" w:color="auto"/>
      </w:divBdr>
      <w:divsChild>
        <w:div w:id="1359770268">
          <w:marLeft w:val="0"/>
          <w:marRight w:val="0"/>
          <w:marTop w:val="0"/>
          <w:marBottom w:val="0"/>
          <w:divBdr>
            <w:top w:val="none" w:sz="0" w:space="0" w:color="auto"/>
            <w:left w:val="none" w:sz="0" w:space="0" w:color="auto"/>
            <w:bottom w:val="none" w:sz="0" w:space="0" w:color="auto"/>
            <w:right w:val="none" w:sz="0" w:space="0" w:color="auto"/>
          </w:divBdr>
          <w:divsChild>
            <w:div w:id="470831025">
              <w:marLeft w:val="0"/>
              <w:marRight w:val="0"/>
              <w:marTop w:val="0"/>
              <w:marBottom w:val="0"/>
              <w:divBdr>
                <w:top w:val="none" w:sz="0" w:space="0" w:color="auto"/>
                <w:left w:val="none" w:sz="0" w:space="0" w:color="auto"/>
                <w:bottom w:val="none" w:sz="0" w:space="0" w:color="auto"/>
                <w:right w:val="none" w:sz="0" w:space="0" w:color="auto"/>
              </w:divBdr>
              <w:divsChild>
                <w:div w:id="2001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27475">
      <w:bodyDiv w:val="1"/>
      <w:marLeft w:val="0"/>
      <w:marRight w:val="0"/>
      <w:marTop w:val="0"/>
      <w:marBottom w:val="0"/>
      <w:divBdr>
        <w:top w:val="none" w:sz="0" w:space="0" w:color="auto"/>
        <w:left w:val="none" w:sz="0" w:space="0" w:color="auto"/>
        <w:bottom w:val="none" w:sz="0" w:space="0" w:color="auto"/>
        <w:right w:val="none" w:sz="0" w:space="0" w:color="auto"/>
      </w:divBdr>
      <w:divsChild>
        <w:div w:id="937828824">
          <w:marLeft w:val="0"/>
          <w:marRight w:val="0"/>
          <w:marTop w:val="0"/>
          <w:marBottom w:val="0"/>
          <w:divBdr>
            <w:top w:val="none" w:sz="0" w:space="0" w:color="auto"/>
            <w:left w:val="none" w:sz="0" w:space="0" w:color="auto"/>
            <w:bottom w:val="none" w:sz="0" w:space="0" w:color="auto"/>
            <w:right w:val="none" w:sz="0" w:space="0" w:color="auto"/>
          </w:divBdr>
          <w:divsChild>
            <w:div w:id="773284715">
              <w:marLeft w:val="0"/>
              <w:marRight w:val="0"/>
              <w:marTop w:val="0"/>
              <w:marBottom w:val="0"/>
              <w:divBdr>
                <w:top w:val="none" w:sz="0" w:space="0" w:color="auto"/>
                <w:left w:val="none" w:sz="0" w:space="0" w:color="auto"/>
                <w:bottom w:val="none" w:sz="0" w:space="0" w:color="auto"/>
                <w:right w:val="none" w:sz="0" w:space="0" w:color="auto"/>
              </w:divBdr>
              <w:divsChild>
                <w:div w:id="795217258">
                  <w:marLeft w:val="0"/>
                  <w:marRight w:val="0"/>
                  <w:marTop w:val="0"/>
                  <w:marBottom w:val="0"/>
                  <w:divBdr>
                    <w:top w:val="none" w:sz="0" w:space="0" w:color="auto"/>
                    <w:left w:val="none" w:sz="0" w:space="0" w:color="auto"/>
                    <w:bottom w:val="none" w:sz="0" w:space="0" w:color="auto"/>
                    <w:right w:val="none" w:sz="0" w:space="0" w:color="auto"/>
                  </w:divBdr>
                  <w:divsChild>
                    <w:div w:id="3871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5715">
      <w:bodyDiv w:val="1"/>
      <w:marLeft w:val="0"/>
      <w:marRight w:val="0"/>
      <w:marTop w:val="0"/>
      <w:marBottom w:val="0"/>
      <w:divBdr>
        <w:top w:val="none" w:sz="0" w:space="0" w:color="auto"/>
        <w:left w:val="none" w:sz="0" w:space="0" w:color="auto"/>
        <w:bottom w:val="none" w:sz="0" w:space="0" w:color="auto"/>
        <w:right w:val="none" w:sz="0" w:space="0" w:color="auto"/>
      </w:divBdr>
      <w:divsChild>
        <w:div w:id="70125584">
          <w:marLeft w:val="0"/>
          <w:marRight w:val="0"/>
          <w:marTop w:val="0"/>
          <w:marBottom w:val="0"/>
          <w:divBdr>
            <w:top w:val="none" w:sz="0" w:space="0" w:color="auto"/>
            <w:left w:val="none" w:sz="0" w:space="0" w:color="auto"/>
            <w:bottom w:val="none" w:sz="0" w:space="0" w:color="auto"/>
            <w:right w:val="none" w:sz="0" w:space="0" w:color="auto"/>
          </w:divBdr>
          <w:divsChild>
            <w:div w:id="17315544">
              <w:marLeft w:val="0"/>
              <w:marRight w:val="0"/>
              <w:marTop w:val="0"/>
              <w:marBottom w:val="0"/>
              <w:divBdr>
                <w:top w:val="none" w:sz="0" w:space="0" w:color="auto"/>
                <w:left w:val="none" w:sz="0" w:space="0" w:color="auto"/>
                <w:bottom w:val="none" w:sz="0" w:space="0" w:color="auto"/>
                <w:right w:val="none" w:sz="0" w:space="0" w:color="auto"/>
              </w:divBdr>
              <w:divsChild>
                <w:div w:id="1301615450">
                  <w:marLeft w:val="0"/>
                  <w:marRight w:val="0"/>
                  <w:marTop w:val="0"/>
                  <w:marBottom w:val="0"/>
                  <w:divBdr>
                    <w:top w:val="none" w:sz="0" w:space="0" w:color="auto"/>
                    <w:left w:val="none" w:sz="0" w:space="0" w:color="auto"/>
                    <w:bottom w:val="none" w:sz="0" w:space="0" w:color="auto"/>
                    <w:right w:val="none" w:sz="0" w:space="0" w:color="auto"/>
                  </w:divBdr>
                  <w:divsChild>
                    <w:div w:id="48759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709258">
      <w:bodyDiv w:val="1"/>
      <w:marLeft w:val="0"/>
      <w:marRight w:val="0"/>
      <w:marTop w:val="0"/>
      <w:marBottom w:val="0"/>
      <w:divBdr>
        <w:top w:val="none" w:sz="0" w:space="0" w:color="auto"/>
        <w:left w:val="none" w:sz="0" w:space="0" w:color="auto"/>
        <w:bottom w:val="none" w:sz="0" w:space="0" w:color="auto"/>
        <w:right w:val="none" w:sz="0" w:space="0" w:color="auto"/>
      </w:divBdr>
      <w:divsChild>
        <w:div w:id="692270764">
          <w:marLeft w:val="0"/>
          <w:marRight w:val="0"/>
          <w:marTop w:val="0"/>
          <w:marBottom w:val="0"/>
          <w:divBdr>
            <w:top w:val="none" w:sz="0" w:space="0" w:color="auto"/>
            <w:left w:val="none" w:sz="0" w:space="0" w:color="auto"/>
            <w:bottom w:val="none" w:sz="0" w:space="0" w:color="auto"/>
            <w:right w:val="none" w:sz="0" w:space="0" w:color="auto"/>
          </w:divBdr>
          <w:divsChild>
            <w:div w:id="2017223608">
              <w:marLeft w:val="0"/>
              <w:marRight w:val="0"/>
              <w:marTop w:val="0"/>
              <w:marBottom w:val="0"/>
              <w:divBdr>
                <w:top w:val="none" w:sz="0" w:space="0" w:color="auto"/>
                <w:left w:val="none" w:sz="0" w:space="0" w:color="auto"/>
                <w:bottom w:val="none" w:sz="0" w:space="0" w:color="auto"/>
                <w:right w:val="none" w:sz="0" w:space="0" w:color="auto"/>
              </w:divBdr>
              <w:divsChild>
                <w:div w:id="189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522157">
      <w:bodyDiv w:val="1"/>
      <w:marLeft w:val="0"/>
      <w:marRight w:val="0"/>
      <w:marTop w:val="0"/>
      <w:marBottom w:val="0"/>
      <w:divBdr>
        <w:top w:val="none" w:sz="0" w:space="0" w:color="auto"/>
        <w:left w:val="none" w:sz="0" w:space="0" w:color="auto"/>
        <w:bottom w:val="none" w:sz="0" w:space="0" w:color="auto"/>
        <w:right w:val="none" w:sz="0" w:space="0" w:color="auto"/>
      </w:divBdr>
    </w:div>
    <w:div w:id="1801800630">
      <w:bodyDiv w:val="1"/>
      <w:marLeft w:val="0"/>
      <w:marRight w:val="0"/>
      <w:marTop w:val="0"/>
      <w:marBottom w:val="0"/>
      <w:divBdr>
        <w:top w:val="none" w:sz="0" w:space="0" w:color="auto"/>
        <w:left w:val="none" w:sz="0" w:space="0" w:color="auto"/>
        <w:bottom w:val="none" w:sz="0" w:space="0" w:color="auto"/>
        <w:right w:val="none" w:sz="0" w:space="0" w:color="auto"/>
      </w:divBdr>
      <w:divsChild>
        <w:div w:id="2057120467">
          <w:marLeft w:val="0"/>
          <w:marRight w:val="0"/>
          <w:marTop w:val="0"/>
          <w:marBottom w:val="0"/>
          <w:divBdr>
            <w:top w:val="none" w:sz="0" w:space="0" w:color="auto"/>
            <w:left w:val="none" w:sz="0" w:space="0" w:color="auto"/>
            <w:bottom w:val="none" w:sz="0" w:space="0" w:color="auto"/>
            <w:right w:val="none" w:sz="0" w:space="0" w:color="auto"/>
          </w:divBdr>
          <w:divsChild>
            <w:div w:id="611980169">
              <w:marLeft w:val="0"/>
              <w:marRight w:val="0"/>
              <w:marTop w:val="0"/>
              <w:marBottom w:val="0"/>
              <w:divBdr>
                <w:top w:val="none" w:sz="0" w:space="0" w:color="auto"/>
                <w:left w:val="none" w:sz="0" w:space="0" w:color="auto"/>
                <w:bottom w:val="none" w:sz="0" w:space="0" w:color="auto"/>
                <w:right w:val="none" w:sz="0" w:space="0" w:color="auto"/>
              </w:divBdr>
              <w:divsChild>
                <w:div w:id="962854979">
                  <w:marLeft w:val="0"/>
                  <w:marRight w:val="0"/>
                  <w:marTop w:val="0"/>
                  <w:marBottom w:val="0"/>
                  <w:divBdr>
                    <w:top w:val="none" w:sz="0" w:space="0" w:color="auto"/>
                    <w:left w:val="none" w:sz="0" w:space="0" w:color="auto"/>
                    <w:bottom w:val="none" w:sz="0" w:space="0" w:color="auto"/>
                    <w:right w:val="none" w:sz="0" w:space="0" w:color="auto"/>
                  </w:divBdr>
                  <w:divsChild>
                    <w:div w:id="15790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589916">
      <w:bodyDiv w:val="1"/>
      <w:marLeft w:val="0"/>
      <w:marRight w:val="0"/>
      <w:marTop w:val="0"/>
      <w:marBottom w:val="0"/>
      <w:divBdr>
        <w:top w:val="none" w:sz="0" w:space="0" w:color="auto"/>
        <w:left w:val="none" w:sz="0" w:space="0" w:color="auto"/>
        <w:bottom w:val="none" w:sz="0" w:space="0" w:color="auto"/>
        <w:right w:val="none" w:sz="0" w:space="0" w:color="auto"/>
      </w:divBdr>
      <w:divsChild>
        <w:div w:id="1470123767">
          <w:marLeft w:val="0"/>
          <w:marRight w:val="0"/>
          <w:marTop w:val="0"/>
          <w:marBottom w:val="0"/>
          <w:divBdr>
            <w:top w:val="none" w:sz="0" w:space="0" w:color="auto"/>
            <w:left w:val="none" w:sz="0" w:space="0" w:color="auto"/>
            <w:bottom w:val="none" w:sz="0" w:space="0" w:color="auto"/>
            <w:right w:val="none" w:sz="0" w:space="0" w:color="auto"/>
          </w:divBdr>
          <w:divsChild>
            <w:div w:id="1543248837">
              <w:marLeft w:val="0"/>
              <w:marRight w:val="0"/>
              <w:marTop w:val="0"/>
              <w:marBottom w:val="0"/>
              <w:divBdr>
                <w:top w:val="none" w:sz="0" w:space="0" w:color="auto"/>
                <w:left w:val="none" w:sz="0" w:space="0" w:color="auto"/>
                <w:bottom w:val="none" w:sz="0" w:space="0" w:color="auto"/>
                <w:right w:val="none" w:sz="0" w:space="0" w:color="auto"/>
              </w:divBdr>
              <w:divsChild>
                <w:div w:id="1892036200">
                  <w:marLeft w:val="0"/>
                  <w:marRight w:val="0"/>
                  <w:marTop w:val="0"/>
                  <w:marBottom w:val="0"/>
                  <w:divBdr>
                    <w:top w:val="none" w:sz="0" w:space="0" w:color="auto"/>
                    <w:left w:val="none" w:sz="0" w:space="0" w:color="auto"/>
                    <w:bottom w:val="none" w:sz="0" w:space="0" w:color="auto"/>
                    <w:right w:val="none" w:sz="0" w:space="0" w:color="auto"/>
                  </w:divBdr>
                  <w:divsChild>
                    <w:div w:id="1455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77137">
      <w:bodyDiv w:val="1"/>
      <w:marLeft w:val="0"/>
      <w:marRight w:val="0"/>
      <w:marTop w:val="0"/>
      <w:marBottom w:val="0"/>
      <w:divBdr>
        <w:top w:val="none" w:sz="0" w:space="0" w:color="auto"/>
        <w:left w:val="none" w:sz="0" w:space="0" w:color="auto"/>
        <w:bottom w:val="none" w:sz="0" w:space="0" w:color="auto"/>
        <w:right w:val="none" w:sz="0" w:space="0" w:color="auto"/>
      </w:divBdr>
      <w:divsChild>
        <w:div w:id="1334723154">
          <w:marLeft w:val="0"/>
          <w:marRight w:val="0"/>
          <w:marTop w:val="0"/>
          <w:marBottom w:val="0"/>
          <w:divBdr>
            <w:top w:val="none" w:sz="0" w:space="0" w:color="auto"/>
            <w:left w:val="none" w:sz="0" w:space="0" w:color="auto"/>
            <w:bottom w:val="none" w:sz="0" w:space="0" w:color="auto"/>
            <w:right w:val="none" w:sz="0" w:space="0" w:color="auto"/>
          </w:divBdr>
          <w:divsChild>
            <w:div w:id="249975359">
              <w:marLeft w:val="0"/>
              <w:marRight w:val="0"/>
              <w:marTop w:val="0"/>
              <w:marBottom w:val="0"/>
              <w:divBdr>
                <w:top w:val="none" w:sz="0" w:space="0" w:color="auto"/>
                <w:left w:val="none" w:sz="0" w:space="0" w:color="auto"/>
                <w:bottom w:val="none" w:sz="0" w:space="0" w:color="auto"/>
                <w:right w:val="none" w:sz="0" w:space="0" w:color="auto"/>
              </w:divBdr>
              <w:divsChild>
                <w:div w:id="1994720433">
                  <w:marLeft w:val="0"/>
                  <w:marRight w:val="0"/>
                  <w:marTop w:val="0"/>
                  <w:marBottom w:val="0"/>
                  <w:divBdr>
                    <w:top w:val="none" w:sz="0" w:space="0" w:color="auto"/>
                    <w:left w:val="none" w:sz="0" w:space="0" w:color="auto"/>
                    <w:bottom w:val="none" w:sz="0" w:space="0" w:color="auto"/>
                    <w:right w:val="none" w:sz="0" w:space="0" w:color="auto"/>
                  </w:divBdr>
                  <w:divsChild>
                    <w:div w:id="20480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780034">
      <w:bodyDiv w:val="1"/>
      <w:marLeft w:val="0"/>
      <w:marRight w:val="0"/>
      <w:marTop w:val="0"/>
      <w:marBottom w:val="0"/>
      <w:divBdr>
        <w:top w:val="none" w:sz="0" w:space="0" w:color="auto"/>
        <w:left w:val="none" w:sz="0" w:space="0" w:color="auto"/>
        <w:bottom w:val="none" w:sz="0" w:space="0" w:color="auto"/>
        <w:right w:val="none" w:sz="0" w:space="0" w:color="auto"/>
      </w:divBdr>
      <w:divsChild>
        <w:div w:id="1431075464">
          <w:marLeft w:val="0"/>
          <w:marRight w:val="0"/>
          <w:marTop w:val="0"/>
          <w:marBottom w:val="0"/>
          <w:divBdr>
            <w:top w:val="none" w:sz="0" w:space="0" w:color="auto"/>
            <w:left w:val="none" w:sz="0" w:space="0" w:color="auto"/>
            <w:bottom w:val="none" w:sz="0" w:space="0" w:color="auto"/>
            <w:right w:val="none" w:sz="0" w:space="0" w:color="auto"/>
          </w:divBdr>
          <w:divsChild>
            <w:div w:id="68046652">
              <w:marLeft w:val="0"/>
              <w:marRight w:val="0"/>
              <w:marTop w:val="0"/>
              <w:marBottom w:val="0"/>
              <w:divBdr>
                <w:top w:val="none" w:sz="0" w:space="0" w:color="auto"/>
                <w:left w:val="none" w:sz="0" w:space="0" w:color="auto"/>
                <w:bottom w:val="none" w:sz="0" w:space="0" w:color="auto"/>
                <w:right w:val="none" w:sz="0" w:space="0" w:color="auto"/>
              </w:divBdr>
              <w:divsChild>
                <w:div w:id="2119138096">
                  <w:marLeft w:val="0"/>
                  <w:marRight w:val="0"/>
                  <w:marTop w:val="0"/>
                  <w:marBottom w:val="0"/>
                  <w:divBdr>
                    <w:top w:val="none" w:sz="0" w:space="0" w:color="auto"/>
                    <w:left w:val="none" w:sz="0" w:space="0" w:color="auto"/>
                    <w:bottom w:val="none" w:sz="0" w:space="0" w:color="auto"/>
                    <w:right w:val="none" w:sz="0" w:space="0" w:color="auto"/>
                  </w:divBdr>
                  <w:divsChild>
                    <w:div w:id="12676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645624">
      <w:bodyDiv w:val="1"/>
      <w:marLeft w:val="0"/>
      <w:marRight w:val="0"/>
      <w:marTop w:val="0"/>
      <w:marBottom w:val="0"/>
      <w:divBdr>
        <w:top w:val="none" w:sz="0" w:space="0" w:color="auto"/>
        <w:left w:val="none" w:sz="0" w:space="0" w:color="auto"/>
        <w:bottom w:val="none" w:sz="0" w:space="0" w:color="auto"/>
        <w:right w:val="none" w:sz="0" w:space="0" w:color="auto"/>
      </w:divBdr>
      <w:divsChild>
        <w:div w:id="200941239">
          <w:marLeft w:val="0"/>
          <w:marRight w:val="0"/>
          <w:marTop w:val="0"/>
          <w:marBottom w:val="0"/>
          <w:divBdr>
            <w:top w:val="none" w:sz="0" w:space="0" w:color="auto"/>
            <w:left w:val="none" w:sz="0" w:space="0" w:color="auto"/>
            <w:bottom w:val="none" w:sz="0" w:space="0" w:color="auto"/>
            <w:right w:val="none" w:sz="0" w:space="0" w:color="auto"/>
          </w:divBdr>
          <w:divsChild>
            <w:div w:id="521481509">
              <w:marLeft w:val="0"/>
              <w:marRight w:val="0"/>
              <w:marTop w:val="0"/>
              <w:marBottom w:val="0"/>
              <w:divBdr>
                <w:top w:val="none" w:sz="0" w:space="0" w:color="auto"/>
                <w:left w:val="none" w:sz="0" w:space="0" w:color="auto"/>
                <w:bottom w:val="none" w:sz="0" w:space="0" w:color="auto"/>
                <w:right w:val="none" w:sz="0" w:space="0" w:color="auto"/>
              </w:divBdr>
              <w:divsChild>
                <w:div w:id="1289706019">
                  <w:marLeft w:val="0"/>
                  <w:marRight w:val="0"/>
                  <w:marTop w:val="0"/>
                  <w:marBottom w:val="0"/>
                  <w:divBdr>
                    <w:top w:val="none" w:sz="0" w:space="0" w:color="auto"/>
                    <w:left w:val="none" w:sz="0" w:space="0" w:color="auto"/>
                    <w:bottom w:val="none" w:sz="0" w:space="0" w:color="auto"/>
                    <w:right w:val="none" w:sz="0" w:space="0" w:color="auto"/>
                  </w:divBdr>
                  <w:divsChild>
                    <w:div w:id="21079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24264">
      <w:bodyDiv w:val="1"/>
      <w:marLeft w:val="0"/>
      <w:marRight w:val="0"/>
      <w:marTop w:val="0"/>
      <w:marBottom w:val="0"/>
      <w:divBdr>
        <w:top w:val="none" w:sz="0" w:space="0" w:color="auto"/>
        <w:left w:val="none" w:sz="0" w:space="0" w:color="auto"/>
        <w:bottom w:val="none" w:sz="0" w:space="0" w:color="auto"/>
        <w:right w:val="none" w:sz="0" w:space="0" w:color="auto"/>
      </w:divBdr>
      <w:divsChild>
        <w:div w:id="1799375783">
          <w:marLeft w:val="0"/>
          <w:marRight w:val="0"/>
          <w:marTop w:val="0"/>
          <w:marBottom w:val="0"/>
          <w:divBdr>
            <w:top w:val="none" w:sz="0" w:space="0" w:color="auto"/>
            <w:left w:val="none" w:sz="0" w:space="0" w:color="auto"/>
            <w:bottom w:val="none" w:sz="0" w:space="0" w:color="auto"/>
            <w:right w:val="none" w:sz="0" w:space="0" w:color="auto"/>
          </w:divBdr>
          <w:divsChild>
            <w:div w:id="1598440098">
              <w:marLeft w:val="0"/>
              <w:marRight w:val="0"/>
              <w:marTop w:val="0"/>
              <w:marBottom w:val="0"/>
              <w:divBdr>
                <w:top w:val="none" w:sz="0" w:space="0" w:color="auto"/>
                <w:left w:val="none" w:sz="0" w:space="0" w:color="auto"/>
                <w:bottom w:val="none" w:sz="0" w:space="0" w:color="auto"/>
                <w:right w:val="none" w:sz="0" w:space="0" w:color="auto"/>
              </w:divBdr>
              <w:divsChild>
                <w:div w:id="15015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466354">
      <w:bodyDiv w:val="1"/>
      <w:marLeft w:val="0"/>
      <w:marRight w:val="0"/>
      <w:marTop w:val="0"/>
      <w:marBottom w:val="0"/>
      <w:divBdr>
        <w:top w:val="none" w:sz="0" w:space="0" w:color="auto"/>
        <w:left w:val="none" w:sz="0" w:space="0" w:color="auto"/>
        <w:bottom w:val="none" w:sz="0" w:space="0" w:color="auto"/>
        <w:right w:val="none" w:sz="0" w:space="0" w:color="auto"/>
      </w:divBdr>
      <w:divsChild>
        <w:div w:id="183981735">
          <w:marLeft w:val="0"/>
          <w:marRight w:val="0"/>
          <w:marTop w:val="0"/>
          <w:marBottom w:val="0"/>
          <w:divBdr>
            <w:top w:val="none" w:sz="0" w:space="0" w:color="auto"/>
            <w:left w:val="none" w:sz="0" w:space="0" w:color="auto"/>
            <w:bottom w:val="none" w:sz="0" w:space="0" w:color="auto"/>
            <w:right w:val="none" w:sz="0" w:space="0" w:color="auto"/>
          </w:divBdr>
          <w:divsChild>
            <w:div w:id="737704639">
              <w:marLeft w:val="0"/>
              <w:marRight w:val="0"/>
              <w:marTop w:val="0"/>
              <w:marBottom w:val="0"/>
              <w:divBdr>
                <w:top w:val="none" w:sz="0" w:space="0" w:color="auto"/>
                <w:left w:val="none" w:sz="0" w:space="0" w:color="auto"/>
                <w:bottom w:val="none" w:sz="0" w:space="0" w:color="auto"/>
                <w:right w:val="none" w:sz="0" w:space="0" w:color="auto"/>
              </w:divBdr>
              <w:divsChild>
                <w:div w:id="983199089">
                  <w:marLeft w:val="0"/>
                  <w:marRight w:val="0"/>
                  <w:marTop w:val="0"/>
                  <w:marBottom w:val="0"/>
                  <w:divBdr>
                    <w:top w:val="none" w:sz="0" w:space="0" w:color="auto"/>
                    <w:left w:val="none" w:sz="0" w:space="0" w:color="auto"/>
                    <w:bottom w:val="none" w:sz="0" w:space="0" w:color="auto"/>
                    <w:right w:val="none" w:sz="0" w:space="0" w:color="auto"/>
                  </w:divBdr>
                  <w:divsChild>
                    <w:div w:id="16859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50467">
      <w:bodyDiv w:val="1"/>
      <w:marLeft w:val="0"/>
      <w:marRight w:val="0"/>
      <w:marTop w:val="0"/>
      <w:marBottom w:val="0"/>
      <w:divBdr>
        <w:top w:val="none" w:sz="0" w:space="0" w:color="auto"/>
        <w:left w:val="none" w:sz="0" w:space="0" w:color="auto"/>
        <w:bottom w:val="none" w:sz="0" w:space="0" w:color="auto"/>
        <w:right w:val="none" w:sz="0" w:space="0" w:color="auto"/>
      </w:divBdr>
      <w:divsChild>
        <w:div w:id="2119907612">
          <w:marLeft w:val="0"/>
          <w:marRight w:val="0"/>
          <w:marTop w:val="0"/>
          <w:marBottom w:val="0"/>
          <w:divBdr>
            <w:top w:val="none" w:sz="0" w:space="0" w:color="auto"/>
            <w:left w:val="none" w:sz="0" w:space="0" w:color="auto"/>
            <w:bottom w:val="none" w:sz="0" w:space="0" w:color="auto"/>
            <w:right w:val="none" w:sz="0" w:space="0" w:color="auto"/>
          </w:divBdr>
          <w:divsChild>
            <w:div w:id="801382696">
              <w:marLeft w:val="0"/>
              <w:marRight w:val="0"/>
              <w:marTop w:val="0"/>
              <w:marBottom w:val="0"/>
              <w:divBdr>
                <w:top w:val="none" w:sz="0" w:space="0" w:color="auto"/>
                <w:left w:val="none" w:sz="0" w:space="0" w:color="auto"/>
                <w:bottom w:val="none" w:sz="0" w:space="0" w:color="auto"/>
                <w:right w:val="none" w:sz="0" w:space="0" w:color="auto"/>
              </w:divBdr>
              <w:divsChild>
                <w:div w:id="21119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59922">
      <w:bodyDiv w:val="1"/>
      <w:marLeft w:val="0"/>
      <w:marRight w:val="0"/>
      <w:marTop w:val="0"/>
      <w:marBottom w:val="0"/>
      <w:divBdr>
        <w:top w:val="none" w:sz="0" w:space="0" w:color="auto"/>
        <w:left w:val="none" w:sz="0" w:space="0" w:color="auto"/>
        <w:bottom w:val="none" w:sz="0" w:space="0" w:color="auto"/>
        <w:right w:val="none" w:sz="0" w:space="0" w:color="auto"/>
      </w:divBdr>
      <w:divsChild>
        <w:div w:id="265115440">
          <w:marLeft w:val="0"/>
          <w:marRight w:val="0"/>
          <w:marTop w:val="0"/>
          <w:marBottom w:val="0"/>
          <w:divBdr>
            <w:top w:val="none" w:sz="0" w:space="0" w:color="auto"/>
            <w:left w:val="none" w:sz="0" w:space="0" w:color="auto"/>
            <w:bottom w:val="none" w:sz="0" w:space="0" w:color="auto"/>
            <w:right w:val="none" w:sz="0" w:space="0" w:color="auto"/>
          </w:divBdr>
          <w:divsChild>
            <w:div w:id="610821494">
              <w:marLeft w:val="0"/>
              <w:marRight w:val="0"/>
              <w:marTop w:val="0"/>
              <w:marBottom w:val="0"/>
              <w:divBdr>
                <w:top w:val="none" w:sz="0" w:space="0" w:color="auto"/>
                <w:left w:val="none" w:sz="0" w:space="0" w:color="auto"/>
                <w:bottom w:val="none" w:sz="0" w:space="0" w:color="auto"/>
                <w:right w:val="none" w:sz="0" w:space="0" w:color="auto"/>
              </w:divBdr>
              <w:divsChild>
                <w:div w:id="70586987">
                  <w:marLeft w:val="0"/>
                  <w:marRight w:val="0"/>
                  <w:marTop w:val="0"/>
                  <w:marBottom w:val="0"/>
                  <w:divBdr>
                    <w:top w:val="none" w:sz="0" w:space="0" w:color="auto"/>
                    <w:left w:val="none" w:sz="0" w:space="0" w:color="auto"/>
                    <w:bottom w:val="none" w:sz="0" w:space="0" w:color="auto"/>
                    <w:right w:val="none" w:sz="0" w:space="0" w:color="auto"/>
                  </w:divBdr>
                  <w:divsChild>
                    <w:div w:id="5227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81885">
      <w:bodyDiv w:val="1"/>
      <w:marLeft w:val="0"/>
      <w:marRight w:val="0"/>
      <w:marTop w:val="0"/>
      <w:marBottom w:val="0"/>
      <w:divBdr>
        <w:top w:val="none" w:sz="0" w:space="0" w:color="auto"/>
        <w:left w:val="none" w:sz="0" w:space="0" w:color="auto"/>
        <w:bottom w:val="none" w:sz="0" w:space="0" w:color="auto"/>
        <w:right w:val="none" w:sz="0" w:space="0" w:color="auto"/>
      </w:divBdr>
      <w:divsChild>
        <w:div w:id="1410691196">
          <w:marLeft w:val="0"/>
          <w:marRight w:val="0"/>
          <w:marTop w:val="0"/>
          <w:marBottom w:val="0"/>
          <w:divBdr>
            <w:top w:val="none" w:sz="0" w:space="0" w:color="auto"/>
            <w:left w:val="none" w:sz="0" w:space="0" w:color="auto"/>
            <w:bottom w:val="none" w:sz="0" w:space="0" w:color="auto"/>
            <w:right w:val="none" w:sz="0" w:space="0" w:color="auto"/>
          </w:divBdr>
          <w:divsChild>
            <w:div w:id="774714160">
              <w:marLeft w:val="0"/>
              <w:marRight w:val="0"/>
              <w:marTop w:val="0"/>
              <w:marBottom w:val="0"/>
              <w:divBdr>
                <w:top w:val="none" w:sz="0" w:space="0" w:color="auto"/>
                <w:left w:val="none" w:sz="0" w:space="0" w:color="auto"/>
                <w:bottom w:val="none" w:sz="0" w:space="0" w:color="auto"/>
                <w:right w:val="none" w:sz="0" w:space="0" w:color="auto"/>
              </w:divBdr>
              <w:divsChild>
                <w:div w:id="2029021219">
                  <w:marLeft w:val="0"/>
                  <w:marRight w:val="0"/>
                  <w:marTop w:val="0"/>
                  <w:marBottom w:val="0"/>
                  <w:divBdr>
                    <w:top w:val="none" w:sz="0" w:space="0" w:color="auto"/>
                    <w:left w:val="none" w:sz="0" w:space="0" w:color="auto"/>
                    <w:bottom w:val="none" w:sz="0" w:space="0" w:color="auto"/>
                    <w:right w:val="none" w:sz="0" w:space="0" w:color="auto"/>
                  </w:divBdr>
                  <w:divsChild>
                    <w:div w:id="29688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226310">
      <w:bodyDiv w:val="1"/>
      <w:marLeft w:val="0"/>
      <w:marRight w:val="0"/>
      <w:marTop w:val="0"/>
      <w:marBottom w:val="0"/>
      <w:divBdr>
        <w:top w:val="none" w:sz="0" w:space="0" w:color="auto"/>
        <w:left w:val="none" w:sz="0" w:space="0" w:color="auto"/>
        <w:bottom w:val="none" w:sz="0" w:space="0" w:color="auto"/>
        <w:right w:val="none" w:sz="0" w:space="0" w:color="auto"/>
      </w:divBdr>
      <w:divsChild>
        <w:div w:id="1993481454">
          <w:marLeft w:val="0"/>
          <w:marRight w:val="0"/>
          <w:marTop w:val="0"/>
          <w:marBottom w:val="0"/>
          <w:divBdr>
            <w:top w:val="none" w:sz="0" w:space="0" w:color="auto"/>
            <w:left w:val="none" w:sz="0" w:space="0" w:color="auto"/>
            <w:bottom w:val="none" w:sz="0" w:space="0" w:color="auto"/>
            <w:right w:val="none" w:sz="0" w:space="0" w:color="auto"/>
          </w:divBdr>
          <w:divsChild>
            <w:div w:id="1401558397">
              <w:marLeft w:val="0"/>
              <w:marRight w:val="0"/>
              <w:marTop w:val="0"/>
              <w:marBottom w:val="0"/>
              <w:divBdr>
                <w:top w:val="none" w:sz="0" w:space="0" w:color="auto"/>
                <w:left w:val="none" w:sz="0" w:space="0" w:color="auto"/>
                <w:bottom w:val="none" w:sz="0" w:space="0" w:color="auto"/>
                <w:right w:val="none" w:sz="0" w:space="0" w:color="auto"/>
              </w:divBdr>
              <w:divsChild>
                <w:div w:id="368456022">
                  <w:marLeft w:val="0"/>
                  <w:marRight w:val="0"/>
                  <w:marTop w:val="0"/>
                  <w:marBottom w:val="0"/>
                  <w:divBdr>
                    <w:top w:val="none" w:sz="0" w:space="0" w:color="auto"/>
                    <w:left w:val="none" w:sz="0" w:space="0" w:color="auto"/>
                    <w:bottom w:val="none" w:sz="0" w:space="0" w:color="auto"/>
                    <w:right w:val="none" w:sz="0" w:space="0" w:color="auto"/>
                  </w:divBdr>
                  <w:divsChild>
                    <w:div w:id="20106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259970">
      <w:bodyDiv w:val="1"/>
      <w:marLeft w:val="0"/>
      <w:marRight w:val="0"/>
      <w:marTop w:val="0"/>
      <w:marBottom w:val="0"/>
      <w:divBdr>
        <w:top w:val="none" w:sz="0" w:space="0" w:color="auto"/>
        <w:left w:val="none" w:sz="0" w:space="0" w:color="auto"/>
        <w:bottom w:val="none" w:sz="0" w:space="0" w:color="auto"/>
        <w:right w:val="none" w:sz="0" w:space="0" w:color="auto"/>
      </w:divBdr>
    </w:div>
    <w:div w:id="2014602875">
      <w:bodyDiv w:val="1"/>
      <w:marLeft w:val="0"/>
      <w:marRight w:val="0"/>
      <w:marTop w:val="0"/>
      <w:marBottom w:val="0"/>
      <w:divBdr>
        <w:top w:val="none" w:sz="0" w:space="0" w:color="auto"/>
        <w:left w:val="none" w:sz="0" w:space="0" w:color="auto"/>
        <w:bottom w:val="none" w:sz="0" w:space="0" w:color="auto"/>
        <w:right w:val="none" w:sz="0" w:space="0" w:color="auto"/>
      </w:divBdr>
      <w:divsChild>
        <w:div w:id="1740908063">
          <w:marLeft w:val="0"/>
          <w:marRight w:val="0"/>
          <w:marTop w:val="0"/>
          <w:marBottom w:val="0"/>
          <w:divBdr>
            <w:top w:val="none" w:sz="0" w:space="0" w:color="auto"/>
            <w:left w:val="none" w:sz="0" w:space="0" w:color="auto"/>
            <w:bottom w:val="none" w:sz="0" w:space="0" w:color="auto"/>
            <w:right w:val="none" w:sz="0" w:space="0" w:color="auto"/>
          </w:divBdr>
          <w:divsChild>
            <w:div w:id="2114469511">
              <w:marLeft w:val="0"/>
              <w:marRight w:val="0"/>
              <w:marTop w:val="0"/>
              <w:marBottom w:val="0"/>
              <w:divBdr>
                <w:top w:val="none" w:sz="0" w:space="0" w:color="auto"/>
                <w:left w:val="none" w:sz="0" w:space="0" w:color="auto"/>
                <w:bottom w:val="none" w:sz="0" w:space="0" w:color="auto"/>
                <w:right w:val="none" w:sz="0" w:space="0" w:color="auto"/>
              </w:divBdr>
              <w:divsChild>
                <w:div w:id="12482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729093">
      <w:bodyDiv w:val="1"/>
      <w:marLeft w:val="0"/>
      <w:marRight w:val="0"/>
      <w:marTop w:val="0"/>
      <w:marBottom w:val="0"/>
      <w:divBdr>
        <w:top w:val="none" w:sz="0" w:space="0" w:color="auto"/>
        <w:left w:val="none" w:sz="0" w:space="0" w:color="auto"/>
        <w:bottom w:val="none" w:sz="0" w:space="0" w:color="auto"/>
        <w:right w:val="none" w:sz="0" w:space="0" w:color="auto"/>
      </w:divBdr>
    </w:div>
    <w:div w:id="2023555854">
      <w:bodyDiv w:val="1"/>
      <w:marLeft w:val="0"/>
      <w:marRight w:val="0"/>
      <w:marTop w:val="0"/>
      <w:marBottom w:val="0"/>
      <w:divBdr>
        <w:top w:val="none" w:sz="0" w:space="0" w:color="auto"/>
        <w:left w:val="none" w:sz="0" w:space="0" w:color="auto"/>
        <w:bottom w:val="none" w:sz="0" w:space="0" w:color="auto"/>
        <w:right w:val="none" w:sz="0" w:space="0" w:color="auto"/>
      </w:divBdr>
    </w:div>
    <w:div w:id="2031489751">
      <w:bodyDiv w:val="1"/>
      <w:marLeft w:val="0"/>
      <w:marRight w:val="0"/>
      <w:marTop w:val="0"/>
      <w:marBottom w:val="0"/>
      <w:divBdr>
        <w:top w:val="none" w:sz="0" w:space="0" w:color="auto"/>
        <w:left w:val="none" w:sz="0" w:space="0" w:color="auto"/>
        <w:bottom w:val="none" w:sz="0" w:space="0" w:color="auto"/>
        <w:right w:val="none" w:sz="0" w:space="0" w:color="auto"/>
      </w:divBdr>
      <w:divsChild>
        <w:div w:id="1042636676">
          <w:marLeft w:val="0"/>
          <w:marRight w:val="0"/>
          <w:marTop w:val="0"/>
          <w:marBottom w:val="0"/>
          <w:divBdr>
            <w:top w:val="none" w:sz="0" w:space="0" w:color="auto"/>
            <w:left w:val="none" w:sz="0" w:space="0" w:color="auto"/>
            <w:bottom w:val="none" w:sz="0" w:space="0" w:color="auto"/>
            <w:right w:val="none" w:sz="0" w:space="0" w:color="auto"/>
          </w:divBdr>
          <w:divsChild>
            <w:div w:id="569271635">
              <w:marLeft w:val="0"/>
              <w:marRight w:val="0"/>
              <w:marTop w:val="0"/>
              <w:marBottom w:val="0"/>
              <w:divBdr>
                <w:top w:val="none" w:sz="0" w:space="0" w:color="auto"/>
                <w:left w:val="none" w:sz="0" w:space="0" w:color="auto"/>
                <w:bottom w:val="none" w:sz="0" w:space="0" w:color="auto"/>
                <w:right w:val="none" w:sz="0" w:space="0" w:color="auto"/>
              </w:divBdr>
              <w:divsChild>
                <w:div w:id="4942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55144">
      <w:bodyDiv w:val="1"/>
      <w:marLeft w:val="0"/>
      <w:marRight w:val="0"/>
      <w:marTop w:val="0"/>
      <w:marBottom w:val="0"/>
      <w:divBdr>
        <w:top w:val="none" w:sz="0" w:space="0" w:color="auto"/>
        <w:left w:val="none" w:sz="0" w:space="0" w:color="auto"/>
        <w:bottom w:val="none" w:sz="0" w:space="0" w:color="auto"/>
        <w:right w:val="none" w:sz="0" w:space="0" w:color="auto"/>
      </w:divBdr>
      <w:divsChild>
        <w:div w:id="687682413">
          <w:marLeft w:val="0"/>
          <w:marRight w:val="0"/>
          <w:marTop w:val="0"/>
          <w:marBottom w:val="0"/>
          <w:divBdr>
            <w:top w:val="none" w:sz="0" w:space="0" w:color="auto"/>
            <w:left w:val="none" w:sz="0" w:space="0" w:color="auto"/>
            <w:bottom w:val="none" w:sz="0" w:space="0" w:color="auto"/>
            <w:right w:val="none" w:sz="0" w:space="0" w:color="auto"/>
          </w:divBdr>
          <w:divsChild>
            <w:div w:id="627974838">
              <w:marLeft w:val="0"/>
              <w:marRight w:val="0"/>
              <w:marTop w:val="0"/>
              <w:marBottom w:val="0"/>
              <w:divBdr>
                <w:top w:val="none" w:sz="0" w:space="0" w:color="auto"/>
                <w:left w:val="none" w:sz="0" w:space="0" w:color="auto"/>
                <w:bottom w:val="none" w:sz="0" w:space="0" w:color="auto"/>
                <w:right w:val="none" w:sz="0" w:space="0" w:color="auto"/>
              </w:divBdr>
              <w:divsChild>
                <w:div w:id="1180580335">
                  <w:marLeft w:val="0"/>
                  <w:marRight w:val="0"/>
                  <w:marTop w:val="0"/>
                  <w:marBottom w:val="0"/>
                  <w:divBdr>
                    <w:top w:val="none" w:sz="0" w:space="0" w:color="auto"/>
                    <w:left w:val="none" w:sz="0" w:space="0" w:color="auto"/>
                    <w:bottom w:val="none" w:sz="0" w:space="0" w:color="auto"/>
                    <w:right w:val="none" w:sz="0" w:space="0" w:color="auto"/>
                  </w:divBdr>
                  <w:divsChild>
                    <w:div w:id="107527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24991">
      <w:bodyDiv w:val="1"/>
      <w:marLeft w:val="0"/>
      <w:marRight w:val="0"/>
      <w:marTop w:val="0"/>
      <w:marBottom w:val="0"/>
      <w:divBdr>
        <w:top w:val="none" w:sz="0" w:space="0" w:color="auto"/>
        <w:left w:val="none" w:sz="0" w:space="0" w:color="auto"/>
        <w:bottom w:val="none" w:sz="0" w:space="0" w:color="auto"/>
        <w:right w:val="none" w:sz="0" w:space="0" w:color="auto"/>
      </w:divBdr>
    </w:div>
    <w:div w:id="2055500734">
      <w:bodyDiv w:val="1"/>
      <w:marLeft w:val="0"/>
      <w:marRight w:val="0"/>
      <w:marTop w:val="0"/>
      <w:marBottom w:val="0"/>
      <w:divBdr>
        <w:top w:val="none" w:sz="0" w:space="0" w:color="auto"/>
        <w:left w:val="none" w:sz="0" w:space="0" w:color="auto"/>
        <w:bottom w:val="none" w:sz="0" w:space="0" w:color="auto"/>
        <w:right w:val="none" w:sz="0" w:space="0" w:color="auto"/>
      </w:divBdr>
    </w:div>
    <w:div w:id="2057968091">
      <w:bodyDiv w:val="1"/>
      <w:marLeft w:val="0"/>
      <w:marRight w:val="0"/>
      <w:marTop w:val="0"/>
      <w:marBottom w:val="0"/>
      <w:divBdr>
        <w:top w:val="none" w:sz="0" w:space="0" w:color="auto"/>
        <w:left w:val="none" w:sz="0" w:space="0" w:color="auto"/>
        <w:bottom w:val="none" w:sz="0" w:space="0" w:color="auto"/>
        <w:right w:val="none" w:sz="0" w:space="0" w:color="auto"/>
      </w:divBdr>
      <w:divsChild>
        <w:div w:id="1795369593">
          <w:marLeft w:val="0"/>
          <w:marRight w:val="0"/>
          <w:marTop w:val="0"/>
          <w:marBottom w:val="0"/>
          <w:divBdr>
            <w:top w:val="none" w:sz="0" w:space="0" w:color="auto"/>
            <w:left w:val="none" w:sz="0" w:space="0" w:color="auto"/>
            <w:bottom w:val="none" w:sz="0" w:space="0" w:color="auto"/>
            <w:right w:val="none" w:sz="0" w:space="0" w:color="auto"/>
          </w:divBdr>
          <w:divsChild>
            <w:div w:id="1743796641">
              <w:marLeft w:val="0"/>
              <w:marRight w:val="0"/>
              <w:marTop w:val="0"/>
              <w:marBottom w:val="0"/>
              <w:divBdr>
                <w:top w:val="none" w:sz="0" w:space="0" w:color="auto"/>
                <w:left w:val="none" w:sz="0" w:space="0" w:color="auto"/>
                <w:bottom w:val="none" w:sz="0" w:space="0" w:color="auto"/>
                <w:right w:val="none" w:sz="0" w:space="0" w:color="auto"/>
              </w:divBdr>
              <w:divsChild>
                <w:div w:id="1294870096">
                  <w:marLeft w:val="0"/>
                  <w:marRight w:val="0"/>
                  <w:marTop w:val="0"/>
                  <w:marBottom w:val="0"/>
                  <w:divBdr>
                    <w:top w:val="none" w:sz="0" w:space="0" w:color="auto"/>
                    <w:left w:val="none" w:sz="0" w:space="0" w:color="auto"/>
                    <w:bottom w:val="none" w:sz="0" w:space="0" w:color="auto"/>
                    <w:right w:val="none" w:sz="0" w:space="0" w:color="auto"/>
                  </w:divBdr>
                  <w:divsChild>
                    <w:div w:id="143100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760388">
      <w:bodyDiv w:val="1"/>
      <w:marLeft w:val="0"/>
      <w:marRight w:val="0"/>
      <w:marTop w:val="0"/>
      <w:marBottom w:val="0"/>
      <w:divBdr>
        <w:top w:val="none" w:sz="0" w:space="0" w:color="auto"/>
        <w:left w:val="none" w:sz="0" w:space="0" w:color="auto"/>
        <w:bottom w:val="none" w:sz="0" w:space="0" w:color="auto"/>
        <w:right w:val="none" w:sz="0" w:space="0" w:color="auto"/>
      </w:divBdr>
    </w:div>
    <w:div w:id="2072195266">
      <w:bodyDiv w:val="1"/>
      <w:marLeft w:val="0"/>
      <w:marRight w:val="0"/>
      <w:marTop w:val="0"/>
      <w:marBottom w:val="0"/>
      <w:divBdr>
        <w:top w:val="none" w:sz="0" w:space="0" w:color="auto"/>
        <w:left w:val="none" w:sz="0" w:space="0" w:color="auto"/>
        <w:bottom w:val="none" w:sz="0" w:space="0" w:color="auto"/>
        <w:right w:val="none" w:sz="0" w:space="0" w:color="auto"/>
      </w:divBdr>
      <w:divsChild>
        <w:div w:id="1329820486">
          <w:marLeft w:val="0"/>
          <w:marRight w:val="0"/>
          <w:marTop w:val="0"/>
          <w:marBottom w:val="0"/>
          <w:divBdr>
            <w:top w:val="none" w:sz="0" w:space="0" w:color="auto"/>
            <w:left w:val="none" w:sz="0" w:space="0" w:color="auto"/>
            <w:bottom w:val="none" w:sz="0" w:space="0" w:color="auto"/>
            <w:right w:val="none" w:sz="0" w:space="0" w:color="auto"/>
          </w:divBdr>
          <w:divsChild>
            <w:div w:id="1043361585">
              <w:marLeft w:val="0"/>
              <w:marRight w:val="0"/>
              <w:marTop w:val="0"/>
              <w:marBottom w:val="0"/>
              <w:divBdr>
                <w:top w:val="none" w:sz="0" w:space="0" w:color="auto"/>
                <w:left w:val="none" w:sz="0" w:space="0" w:color="auto"/>
                <w:bottom w:val="none" w:sz="0" w:space="0" w:color="auto"/>
                <w:right w:val="none" w:sz="0" w:space="0" w:color="auto"/>
              </w:divBdr>
              <w:divsChild>
                <w:div w:id="2096707369">
                  <w:marLeft w:val="0"/>
                  <w:marRight w:val="0"/>
                  <w:marTop w:val="0"/>
                  <w:marBottom w:val="0"/>
                  <w:divBdr>
                    <w:top w:val="none" w:sz="0" w:space="0" w:color="auto"/>
                    <w:left w:val="none" w:sz="0" w:space="0" w:color="auto"/>
                    <w:bottom w:val="none" w:sz="0" w:space="0" w:color="auto"/>
                    <w:right w:val="none" w:sz="0" w:space="0" w:color="auto"/>
                  </w:divBdr>
                  <w:divsChild>
                    <w:div w:id="13252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657270">
      <w:bodyDiv w:val="1"/>
      <w:marLeft w:val="0"/>
      <w:marRight w:val="0"/>
      <w:marTop w:val="0"/>
      <w:marBottom w:val="0"/>
      <w:divBdr>
        <w:top w:val="none" w:sz="0" w:space="0" w:color="auto"/>
        <w:left w:val="none" w:sz="0" w:space="0" w:color="auto"/>
        <w:bottom w:val="none" w:sz="0" w:space="0" w:color="auto"/>
        <w:right w:val="none" w:sz="0" w:space="0" w:color="auto"/>
      </w:divBdr>
    </w:div>
    <w:div w:id="2075548426">
      <w:bodyDiv w:val="1"/>
      <w:marLeft w:val="0"/>
      <w:marRight w:val="0"/>
      <w:marTop w:val="0"/>
      <w:marBottom w:val="0"/>
      <w:divBdr>
        <w:top w:val="none" w:sz="0" w:space="0" w:color="auto"/>
        <w:left w:val="none" w:sz="0" w:space="0" w:color="auto"/>
        <w:bottom w:val="none" w:sz="0" w:space="0" w:color="auto"/>
        <w:right w:val="none" w:sz="0" w:space="0" w:color="auto"/>
      </w:divBdr>
      <w:divsChild>
        <w:div w:id="1744596789">
          <w:marLeft w:val="0"/>
          <w:marRight w:val="0"/>
          <w:marTop w:val="0"/>
          <w:marBottom w:val="0"/>
          <w:divBdr>
            <w:top w:val="none" w:sz="0" w:space="0" w:color="auto"/>
            <w:left w:val="none" w:sz="0" w:space="0" w:color="auto"/>
            <w:bottom w:val="none" w:sz="0" w:space="0" w:color="auto"/>
            <w:right w:val="none" w:sz="0" w:space="0" w:color="auto"/>
          </w:divBdr>
          <w:divsChild>
            <w:div w:id="129593047">
              <w:marLeft w:val="0"/>
              <w:marRight w:val="0"/>
              <w:marTop w:val="0"/>
              <w:marBottom w:val="0"/>
              <w:divBdr>
                <w:top w:val="none" w:sz="0" w:space="0" w:color="auto"/>
                <w:left w:val="none" w:sz="0" w:space="0" w:color="auto"/>
                <w:bottom w:val="none" w:sz="0" w:space="0" w:color="auto"/>
                <w:right w:val="none" w:sz="0" w:space="0" w:color="auto"/>
              </w:divBdr>
              <w:divsChild>
                <w:div w:id="1217670084">
                  <w:marLeft w:val="0"/>
                  <w:marRight w:val="0"/>
                  <w:marTop w:val="0"/>
                  <w:marBottom w:val="0"/>
                  <w:divBdr>
                    <w:top w:val="none" w:sz="0" w:space="0" w:color="auto"/>
                    <w:left w:val="none" w:sz="0" w:space="0" w:color="auto"/>
                    <w:bottom w:val="none" w:sz="0" w:space="0" w:color="auto"/>
                    <w:right w:val="none" w:sz="0" w:space="0" w:color="auto"/>
                  </w:divBdr>
                  <w:divsChild>
                    <w:div w:id="6590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80406">
      <w:bodyDiv w:val="1"/>
      <w:marLeft w:val="0"/>
      <w:marRight w:val="0"/>
      <w:marTop w:val="0"/>
      <w:marBottom w:val="0"/>
      <w:divBdr>
        <w:top w:val="none" w:sz="0" w:space="0" w:color="auto"/>
        <w:left w:val="none" w:sz="0" w:space="0" w:color="auto"/>
        <w:bottom w:val="none" w:sz="0" w:space="0" w:color="auto"/>
        <w:right w:val="none" w:sz="0" w:space="0" w:color="auto"/>
      </w:divBdr>
      <w:divsChild>
        <w:div w:id="94252565">
          <w:marLeft w:val="0"/>
          <w:marRight w:val="0"/>
          <w:marTop w:val="0"/>
          <w:marBottom w:val="0"/>
          <w:divBdr>
            <w:top w:val="none" w:sz="0" w:space="0" w:color="auto"/>
            <w:left w:val="none" w:sz="0" w:space="0" w:color="auto"/>
            <w:bottom w:val="none" w:sz="0" w:space="0" w:color="auto"/>
            <w:right w:val="none" w:sz="0" w:space="0" w:color="auto"/>
          </w:divBdr>
          <w:divsChild>
            <w:div w:id="974604256">
              <w:marLeft w:val="0"/>
              <w:marRight w:val="0"/>
              <w:marTop w:val="0"/>
              <w:marBottom w:val="0"/>
              <w:divBdr>
                <w:top w:val="none" w:sz="0" w:space="0" w:color="auto"/>
                <w:left w:val="none" w:sz="0" w:space="0" w:color="auto"/>
                <w:bottom w:val="none" w:sz="0" w:space="0" w:color="auto"/>
                <w:right w:val="none" w:sz="0" w:space="0" w:color="auto"/>
              </w:divBdr>
              <w:divsChild>
                <w:div w:id="1496603285">
                  <w:marLeft w:val="0"/>
                  <w:marRight w:val="0"/>
                  <w:marTop w:val="0"/>
                  <w:marBottom w:val="0"/>
                  <w:divBdr>
                    <w:top w:val="none" w:sz="0" w:space="0" w:color="auto"/>
                    <w:left w:val="none" w:sz="0" w:space="0" w:color="auto"/>
                    <w:bottom w:val="none" w:sz="0" w:space="0" w:color="auto"/>
                    <w:right w:val="none" w:sz="0" w:space="0" w:color="auto"/>
                  </w:divBdr>
                  <w:divsChild>
                    <w:div w:id="7165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156701">
      <w:bodyDiv w:val="1"/>
      <w:marLeft w:val="0"/>
      <w:marRight w:val="0"/>
      <w:marTop w:val="0"/>
      <w:marBottom w:val="0"/>
      <w:divBdr>
        <w:top w:val="none" w:sz="0" w:space="0" w:color="auto"/>
        <w:left w:val="none" w:sz="0" w:space="0" w:color="auto"/>
        <w:bottom w:val="none" w:sz="0" w:space="0" w:color="auto"/>
        <w:right w:val="none" w:sz="0" w:space="0" w:color="auto"/>
      </w:divBdr>
      <w:divsChild>
        <w:div w:id="1656181198">
          <w:marLeft w:val="0"/>
          <w:marRight w:val="0"/>
          <w:marTop w:val="0"/>
          <w:marBottom w:val="0"/>
          <w:divBdr>
            <w:top w:val="none" w:sz="0" w:space="0" w:color="auto"/>
            <w:left w:val="none" w:sz="0" w:space="0" w:color="auto"/>
            <w:bottom w:val="none" w:sz="0" w:space="0" w:color="auto"/>
            <w:right w:val="none" w:sz="0" w:space="0" w:color="auto"/>
          </w:divBdr>
          <w:divsChild>
            <w:div w:id="1377704697">
              <w:marLeft w:val="0"/>
              <w:marRight w:val="0"/>
              <w:marTop w:val="0"/>
              <w:marBottom w:val="0"/>
              <w:divBdr>
                <w:top w:val="none" w:sz="0" w:space="0" w:color="auto"/>
                <w:left w:val="none" w:sz="0" w:space="0" w:color="auto"/>
                <w:bottom w:val="none" w:sz="0" w:space="0" w:color="auto"/>
                <w:right w:val="none" w:sz="0" w:space="0" w:color="auto"/>
              </w:divBdr>
              <w:divsChild>
                <w:div w:id="3297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655517">
      <w:bodyDiv w:val="1"/>
      <w:marLeft w:val="0"/>
      <w:marRight w:val="0"/>
      <w:marTop w:val="0"/>
      <w:marBottom w:val="0"/>
      <w:divBdr>
        <w:top w:val="none" w:sz="0" w:space="0" w:color="auto"/>
        <w:left w:val="none" w:sz="0" w:space="0" w:color="auto"/>
        <w:bottom w:val="none" w:sz="0" w:space="0" w:color="auto"/>
        <w:right w:val="none" w:sz="0" w:space="0" w:color="auto"/>
      </w:divBdr>
      <w:divsChild>
        <w:div w:id="2134248268">
          <w:marLeft w:val="0"/>
          <w:marRight w:val="0"/>
          <w:marTop w:val="0"/>
          <w:marBottom w:val="0"/>
          <w:divBdr>
            <w:top w:val="none" w:sz="0" w:space="0" w:color="auto"/>
            <w:left w:val="none" w:sz="0" w:space="0" w:color="auto"/>
            <w:bottom w:val="none" w:sz="0" w:space="0" w:color="auto"/>
            <w:right w:val="none" w:sz="0" w:space="0" w:color="auto"/>
          </w:divBdr>
          <w:divsChild>
            <w:div w:id="1655177289">
              <w:marLeft w:val="0"/>
              <w:marRight w:val="0"/>
              <w:marTop w:val="0"/>
              <w:marBottom w:val="0"/>
              <w:divBdr>
                <w:top w:val="none" w:sz="0" w:space="0" w:color="auto"/>
                <w:left w:val="none" w:sz="0" w:space="0" w:color="auto"/>
                <w:bottom w:val="none" w:sz="0" w:space="0" w:color="auto"/>
                <w:right w:val="none" w:sz="0" w:space="0" w:color="auto"/>
              </w:divBdr>
              <w:divsChild>
                <w:div w:id="19899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8129">
      <w:bodyDiv w:val="1"/>
      <w:marLeft w:val="0"/>
      <w:marRight w:val="0"/>
      <w:marTop w:val="0"/>
      <w:marBottom w:val="0"/>
      <w:divBdr>
        <w:top w:val="none" w:sz="0" w:space="0" w:color="auto"/>
        <w:left w:val="none" w:sz="0" w:space="0" w:color="auto"/>
        <w:bottom w:val="none" w:sz="0" w:space="0" w:color="auto"/>
        <w:right w:val="none" w:sz="0" w:space="0" w:color="auto"/>
      </w:divBdr>
      <w:divsChild>
        <w:div w:id="893740880">
          <w:marLeft w:val="0"/>
          <w:marRight w:val="0"/>
          <w:marTop w:val="0"/>
          <w:marBottom w:val="0"/>
          <w:divBdr>
            <w:top w:val="none" w:sz="0" w:space="0" w:color="auto"/>
            <w:left w:val="none" w:sz="0" w:space="0" w:color="auto"/>
            <w:bottom w:val="none" w:sz="0" w:space="0" w:color="auto"/>
            <w:right w:val="none" w:sz="0" w:space="0" w:color="auto"/>
          </w:divBdr>
          <w:divsChild>
            <w:div w:id="2090075888">
              <w:marLeft w:val="0"/>
              <w:marRight w:val="0"/>
              <w:marTop w:val="0"/>
              <w:marBottom w:val="0"/>
              <w:divBdr>
                <w:top w:val="none" w:sz="0" w:space="0" w:color="auto"/>
                <w:left w:val="none" w:sz="0" w:space="0" w:color="auto"/>
                <w:bottom w:val="none" w:sz="0" w:space="0" w:color="auto"/>
                <w:right w:val="none" w:sz="0" w:space="0" w:color="auto"/>
              </w:divBdr>
              <w:divsChild>
                <w:div w:id="1546720951">
                  <w:marLeft w:val="0"/>
                  <w:marRight w:val="0"/>
                  <w:marTop w:val="0"/>
                  <w:marBottom w:val="0"/>
                  <w:divBdr>
                    <w:top w:val="none" w:sz="0" w:space="0" w:color="auto"/>
                    <w:left w:val="none" w:sz="0" w:space="0" w:color="auto"/>
                    <w:bottom w:val="none" w:sz="0" w:space="0" w:color="auto"/>
                    <w:right w:val="none" w:sz="0" w:space="0" w:color="auto"/>
                  </w:divBdr>
                  <w:divsChild>
                    <w:div w:id="17693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97423">
      <w:bodyDiv w:val="1"/>
      <w:marLeft w:val="0"/>
      <w:marRight w:val="0"/>
      <w:marTop w:val="0"/>
      <w:marBottom w:val="0"/>
      <w:divBdr>
        <w:top w:val="none" w:sz="0" w:space="0" w:color="auto"/>
        <w:left w:val="none" w:sz="0" w:space="0" w:color="auto"/>
        <w:bottom w:val="none" w:sz="0" w:space="0" w:color="auto"/>
        <w:right w:val="none" w:sz="0" w:space="0" w:color="auto"/>
      </w:divBdr>
      <w:divsChild>
        <w:div w:id="538518454">
          <w:marLeft w:val="0"/>
          <w:marRight w:val="0"/>
          <w:marTop w:val="0"/>
          <w:marBottom w:val="0"/>
          <w:divBdr>
            <w:top w:val="none" w:sz="0" w:space="0" w:color="auto"/>
            <w:left w:val="none" w:sz="0" w:space="0" w:color="auto"/>
            <w:bottom w:val="none" w:sz="0" w:space="0" w:color="auto"/>
            <w:right w:val="none" w:sz="0" w:space="0" w:color="auto"/>
          </w:divBdr>
          <w:divsChild>
            <w:div w:id="1326127910">
              <w:marLeft w:val="0"/>
              <w:marRight w:val="0"/>
              <w:marTop w:val="0"/>
              <w:marBottom w:val="0"/>
              <w:divBdr>
                <w:top w:val="none" w:sz="0" w:space="0" w:color="auto"/>
                <w:left w:val="none" w:sz="0" w:space="0" w:color="auto"/>
                <w:bottom w:val="none" w:sz="0" w:space="0" w:color="auto"/>
                <w:right w:val="none" w:sz="0" w:space="0" w:color="auto"/>
              </w:divBdr>
              <w:divsChild>
                <w:div w:id="413362759">
                  <w:marLeft w:val="0"/>
                  <w:marRight w:val="0"/>
                  <w:marTop w:val="0"/>
                  <w:marBottom w:val="0"/>
                  <w:divBdr>
                    <w:top w:val="none" w:sz="0" w:space="0" w:color="auto"/>
                    <w:left w:val="none" w:sz="0" w:space="0" w:color="auto"/>
                    <w:bottom w:val="none" w:sz="0" w:space="0" w:color="auto"/>
                    <w:right w:val="none" w:sz="0" w:space="0" w:color="auto"/>
                  </w:divBdr>
                  <w:divsChild>
                    <w:div w:id="90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877347">
      <w:bodyDiv w:val="1"/>
      <w:marLeft w:val="0"/>
      <w:marRight w:val="0"/>
      <w:marTop w:val="0"/>
      <w:marBottom w:val="0"/>
      <w:divBdr>
        <w:top w:val="none" w:sz="0" w:space="0" w:color="auto"/>
        <w:left w:val="none" w:sz="0" w:space="0" w:color="auto"/>
        <w:bottom w:val="none" w:sz="0" w:space="0" w:color="auto"/>
        <w:right w:val="none" w:sz="0" w:space="0" w:color="auto"/>
      </w:divBdr>
      <w:divsChild>
        <w:div w:id="1385761689">
          <w:marLeft w:val="0"/>
          <w:marRight w:val="0"/>
          <w:marTop w:val="0"/>
          <w:marBottom w:val="0"/>
          <w:divBdr>
            <w:top w:val="none" w:sz="0" w:space="0" w:color="auto"/>
            <w:left w:val="none" w:sz="0" w:space="0" w:color="auto"/>
            <w:bottom w:val="none" w:sz="0" w:space="0" w:color="auto"/>
            <w:right w:val="none" w:sz="0" w:space="0" w:color="auto"/>
          </w:divBdr>
          <w:divsChild>
            <w:div w:id="838497821">
              <w:marLeft w:val="0"/>
              <w:marRight w:val="0"/>
              <w:marTop w:val="0"/>
              <w:marBottom w:val="0"/>
              <w:divBdr>
                <w:top w:val="none" w:sz="0" w:space="0" w:color="auto"/>
                <w:left w:val="none" w:sz="0" w:space="0" w:color="auto"/>
                <w:bottom w:val="none" w:sz="0" w:space="0" w:color="auto"/>
                <w:right w:val="none" w:sz="0" w:space="0" w:color="auto"/>
              </w:divBdr>
              <w:divsChild>
                <w:div w:id="1751122622">
                  <w:marLeft w:val="0"/>
                  <w:marRight w:val="0"/>
                  <w:marTop w:val="0"/>
                  <w:marBottom w:val="0"/>
                  <w:divBdr>
                    <w:top w:val="none" w:sz="0" w:space="0" w:color="auto"/>
                    <w:left w:val="none" w:sz="0" w:space="0" w:color="auto"/>
                    <w:bottom w:val="none" w:sz="0" w:space="0" w:color="auto"/>
                    <w:right w:val="none" w:sz="0" w:space="0" w:color="auto"/>
                  </w:divBdr>
                  <w:divsChild>
                    <w:div w:id="13736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658851">
      <w:bodyDiv w:val="1"/>
      <w:marLeft w:val="0"/>
      <w:marRight w:val="0"/>
      <w:marTop w:val="0"/>
      <w:marBottom w:val="0"/>
      <w:divBdr>
        <w:top w:val="none" w:sz="0" w:space="0" w:color="auto"/>
        <w:left w:val="none" w:sz="0" w:space="0" w:color="auto"/>
        <w:bottom w:val="none" w:sz="0" w:space="0" w:color="auto"/>
        <w:right w:val="none" w:sz="0" w:space="0" w:color="auto"/>
      </w:divBdr>
      <w:divsChild>
        <w:div w:id="1841383692">
          <w:marLeft w:val="0"/>
          <w:marRight w:val="0"/>
          <w:marTop w:val="0"/>
          <w:marBottom w:val="0"/>
          <w:divBdr>
            <w:top w:val="none" w:sz="0" w:space="0" w:color="auto"/>
            <w:left w:val="none" w:sz="0" w:space="0" w:color="auto"/>
            <w:bottom w:val="none" w:sz="0" w:space="0" w:color="auto"/>
            <w:right w:val="none" w:sz="0" w:space="0" w:color="auto"/>
          </w:divBdr>
          <w:divsChild>
            <w:div w:id="1718970658">
              <w:marLeft w:val="0"/>
              <w:marRight w:val="0"/>
              <w:marTop w:val="0"/>
              <w:marBottom w:val="0"/>
              <w:divBdr>
                <w:top w:val="none" w:sz="0" w:space="0" w:color="auto"/>
                <w:left w:val="none" w:sz="0" w:space="0" w:color="auto"/>
                <w:bottom w:val="none" w:sz="0" w:space="0" w:color="auto"/>
                <w:right w:val="none" w:sz="0" w:space="0" w:color="auto"/>
              </w:divBdr>
              <w:divsChild>
                <w:div w:id="1451584025">
                  <w:marLeft w:val="0"/>
                  <w:marRight w:val="0"/>
                  <w:marTop w:val="0"/>
                  <w:marBottom w:val="0"/>
                  <w:divBdr>
                    <w:top w:val="none" w:sz="0" w:space="0" w:color="auto"/>
                    <w:left w:val="none" w:sz="0" w:space="0" w:color="auto"/>
                    <w:bottom w:val="none" w:sz="0" w:space="0" w:color="auto"/>
                    <w:right w:val="none" w:sz="0" w:space="0" w:color="auto"/>
                  </w:divBdr>
                  <w:divsChild>
                    <w:div w:id="16401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91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34009</Words>
  <Characters>193855</Characters>
  <Application>Microsoft Office Word</Application>
  <DocSecurity>0</DocSecurity>
  <Lines>1615</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1506 1506</dc:creator>
  <cp:keywords/>
  <dc:description/>
  <cp:lastModifiedBy>nobody</cp:lastModifiedBy>
  <cp:revision>2</cp:revision>
  <cp:lastPrinted>2018-10-05T17:50:00Z</cp:lastPrinted>
  <dcterms:created xsi:type="dcterms:W3CDTF">2018-12-06T22:51:00Z</dcterms:created>
  <dcterms:modified xsi:type="dcterms:W3CDTF">2018-12-06T22:51:00Z</dcterms:modified>
</cp:coreProperties>
</file>