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43" w:rsidRPr="004B3659" w:rsidRDefault="00844FE5" w:rsidP="00F5196E">
      <w:pPr>
        <w:jc w:val="center"/>
        <w:rPr>
          <w:caps/>
          <w:sz w:val="32"/>
          <w:szCs w:val="32"/>
        </w:rPr>
      </w:pPr>
      <w:r>
        <w:rPr>
          <w:caps/>
          <w:sz w:val="32"/>
          <w:szCs w:val="32"/>
        </w:rPr>
        <w:t>sECURITIES REGULATION</w:t>
      </w:r>
      <w:r w:rsidR="00452FD9">
        <w:rPr>
          <w:caps/>
          <w:sz w:val="32"/>
          <w:szCs w:val="32"/>
        </w:rPr>
        <w:t xml:space="preserve"> – </w:t>
      </w:r>
      <w:r w:rsidR="008549E9">
        <w:rPr>
          <w:caps/>
          <w:sz w:val="32"/>
          <w:szCs w:val="32"/>
        </w:rPr>
        <w:t>Fall</w:t>
      </w:r>
      <w:r w:rsidR="000D0DFB">
        <w:rPr>
          <w:caps/>
          <w:sz w:val="32"/>
          <w:szCs w:val="32"/>
        </w:rPr>
        <w:t xml:space="preserve"> 201</w:t>
      </w:r>
      <w:r w:rsidR="00EF2696">
        <w:rPr>
          <w:caps/>
          <w:sz w:val="32"/>
          <w:szCs w:val="32"/>
        </w:rPr>
        <w:t>4</w:t>
      </w:r>
    </w:p>
    <w:p w:rsidR="00F5196E" w:rsidRPr="004B3659" w:rsidRDefault="004B3659" w:rsidP="00F5196E">
      <w:pPr>
        <w:jc w:val="center"/>
        <w:rPr>
          <w:sz w:val="32"/>
          <w:szCs w:val="32"/>
        </w:rPr>
      </w:pPr>
      <w:r>
        <w:rPr>
          <w:sz w:val="32"/>
          <w:szCs w:val="32"/>
        </w:rPr>
        <w:t>Syllabus</w:t>
      </w:r>
    </w:p>
    <w:p w:rsidR="00F5196E" w:rsidRDefault="00F5196E" w:rsidP="00010772">
      <w:pPr>
        <w:pBdr>
          <w:bottom w:val="single" w:sz="12" w:space="10" w:color="auto"/>
        </w:pBdr>
        <w:jc w:val="center"/>
        <w:rPr>
          <w:sz w:val="32"/>
          <w:szCs w:val="32"/>
        </w:rPr>
      </w:pPr>
      <w:r w:rsidRPr="004B3659">
        <w:rPr>
          <w:sz w:val="32"/>
          <w:szCs w:val="32"/>
        </w:rPr>
        <w:t>Professor Bartlett</w:t>
      </w:r>
    </w:p>
    <w:p w:rsidR="004B3659" w:rsidRDefault="004B3659" w:rsidP="00F5196E"/>
    <w:p w:rsidR="0008249E" w:rsidRPr="005D2B38" w:rsidRDefault="0008249E" w:rsidP="0008249E">
      <w:r w:rsidRPr="005D2B38">
        <w:rPr>
          <w:b/>
          <w:bCs/>
        </w:rPr>
        <w:t>Course Description:</w:t>
      </w:r>
      <w:r w:rsidRPr="005D2B38">
        <w:t xml:space="preserve">  </w:t>
      </w:r>
    </w:p>
    <w:p w:rsidR="0016038B" w:rsidRDefault="00844FE5" w:rsidP="00452FD9">
      <w:pPr>
        <w:jc w:val="both"/>
        <w:rPr>
          <w:szCs w:val="24"/>
        </w:rPr>
      </w:pPr>
      <w:r w:rsidRPr="00844FE5">
        <w:rPr>
          <w:szCs w:val="24"/>
        </w:rPr>
        <w:t xml:space="preserve">This course provides an overview of the regulation of securities offerings and trading under the Securities Act of 1933 and the Securities Exchange Act of 1934. The course explores the elaborate disclosure obligations that this country imposes on the distribution and trading of investment securities as well as the role of the Securities Exchange Commission and private plaintiffs in shaping and enforcing these disclosure obligations. Topics to be covered include: public offerings of securities and the registration process under the Securities Act of 1933, exemptions from these registration requirements and the role of exemptions in the financing of private and public firms, </w:t>
      </w:r>
      <w:r w:rsidR="00741296">
        <w:rPr>
          <w:szCs w:val="24"/>
        </w:rPr>
        <w:t xml:space="preserve">and </w:t>
      </w:r>
      <w:r w:rsidRPr="00844FE5">
        <w:rPr>
          <w:szCs w:val="24"/>
        </w:rPr>
        <w:t>the disclosure obligations of publicly-traded issuers. The course will also examine the role of anti-fraud rules in the issuance and trading of securities as well as liability for insider trading</w:t>
      </w:r>
      <w:r w:rsidR="0016038B" w:rsidRPr="0016038B">
        <w:rPr>
          <w:szCs w:val="24"/>
        </w:rPr>
        <w:t xml:space="preserve">. </w:t>
      </w:r>
    </w:p>
    <w:p w:rsidR="0016038B" w:rsidRDefault="00844FE5" w:rsidP="00844FE5">
      <w:pPr>
        <w:tabs>
          <w:tab w:val="left" w:pos="1005"/>
        </w:tabs>
        <w:rPr>
          <w:szCs w:val="24"/>
        </w:rPr>
      </w:pPr>
      <w:r>
        <w:rPr>
          <w:szCs w:val="24"/>
        </w:rPr>
        <w:tab/>
      </w:r>
    </w:p>
    <w:p w:rsidR="004B3659" w:rsidRPr="004B3659" w:rsidRDefault="004B3659" w:rsidP="00F5196E">
      <w:pPr>
        <w:rPr>
          <w:b/>
        </w:rPr>
      </w:pPr>
      <w:r>
        <w:rPr>
          <w:b/>
        </w:rPr>
        <w:t>Administrative Matters:</w:t>
      </w:r>
    </w:p>
    <w:p w:rsidR="000D0DFB" w:rsidRDefault="000F0A6F" w:rsidP="00F5196E">
      <w:r>
        <w:t xml:space="preserve">Class Hours:  </w:t>
      </w:r>
      <w:r w:rsidR="00F5196E">
        <w:t>M/</w:t>
      </w:r>
      <w:proofErr w:type="spellStart"/>
      <w:r w:rsidR="000D0DFB">
        <w:t>Tu</w:t>
      </w:r>
      <w:proofErr w:type="spellEnd"/>
      <w:r w:rsidR="000D0DFB">
        <w:t>/</w:t>
      </w:r>
      <w:r w:rsidR="00F5196E">
        <w:t xml:space="preserve">W: </w:t>
      </w:r>
      <w:r w:rsidR="00DB29D1">
        <w:t>3</w:t>
      </w:r>
      <w:r w:rsidR="00844FE5">
        <w:t>:</w:t>
      </w:r>
      <w:r w:rsidR="00DB29D1">
        <w:t>35</w:t>
      </w:r>
      <w:r w:rsidR="00844FE5">
        <w:t xml:space="preserve"> am</w:t>
      </w:r>
      <w:r w:rsidR="00F5196E">
        <w:t xml:space="preserve"> – </w:t>
      </w:r>
      <w:r w:rsidR="00DB29D1">
        <w:t>4</w:t>
      </w:r>
      <w:r w:rsidR="00844FE5">
        <w:t>:</w:t>
      </w:r>
      <w:r w:rsidR="00DB29D1">
        <w:t>45</w:t>
      </w:r>
      <w:r w:rsidR="00F5196E">
        <w:t xml:space="preserve"> pm</w:t>
      </w:r>
    </w:p>
    <w:p w:rsidR="00F5196E" w:rsidRDefault="000D0DFB" w:rsidP="00F5196E">
      <w:r>
        <w:t xml:space="preserve">Location:  </w:t>
      </w:r>
      <w:r w:rsidR="00DB29D1">
        <w:t>Room 100</w:t>
      </w:r>
      <w:r w:rsidR="00F5196E">
        <w:tab/>
      </w:r>
      <w:r w:rsidR="00F5196E">
        <w:tab/>
      </w:r>
      <w:r w:rsidR="00F5196E">
        <w:tab/>
      </w:r>
      <w:r w:rsidR="00F5196E">
        <w:tab/>
      </w:r>
    </w:p>
    <w:p w:rsidR="00010772" w:rsidRDefault="00F5196E" w:rsidP="00F5196E">
      <w:r>
        <w:t>Office Hours</w:t>
      </w:r>
      <w:r w:rsidR="0055268B">
        <w:t xml:space="preserve"> (</w:t>
      </w:r>
      <w:r w:rsidR="00844FE5">
        <w:t>Simon 890</w:t>
      </w:r>
      <w:r w:rsidR="0055268B">
        <w:t>)</w:t>
      </w:r>
      <w:r>
        <w:t>:</w:t>
      </w:r>
      <w:r w:rsidR="0055268B">
        <w:t xml:space="preserve"> </w:t>
      </w:r>
      <w:r w:rsidR="000F0A6F">
        <w:t xml:space="preserve"> </w:t>
      </w:r>
      <w:r w:rsidR="00DB29D1">
        <w:t>Wed</w:t>
      </w:r>
      <w:r w:rsidR="00E963E6">
        <w:t>:</w:t>
      </w:r>
      <w:r w:rsidR="004D0105">
        <w:t xml:space="preserve"> </w:t>
      </w:r>
      <w:r w:rsidR="00DB29D1">
        <w:t>9:00</w:t>
      </w:r>
      <w:r w:rsidR="00844FE5">
        <w:t xml:space="preserve"> – </w:t>
      </w:r>
      <w:r w:rsidR="00DB29D1">
        <w:t>11:00</w:t>
      </w:r>
      <w:r w:rsidR="00844FE5">
        <w:t xml:space="preserve"> </w:t>
      </w:r>
    </w:p>
    <w:p w:rsidR="00F5196E" w:rsidRDefault="00010772" w:rsidP="00F5196E">
      <w:r>
        <w:t>Email:</w:t>
      </w:r>
      <w:r w:rsidR="000F0A6F">
        <w:t xml:space="preserve">  </w:t>
      </w:r>
      <w:r w:rsidR="00844FE5">
        <w:t>rbartlett</w:t>
      </w:r>
      <w:r w:rsidR="00A25A44">
        <w:t>@</w:t>
      </w:r>
      <w:r w:rsidR="00844FE5">
        <w:t>law.berkeley.edu</w:t>
      </w:r>
    </w:p>
    <w:p w:rsidR="00813F0A" w:rsidRDefault="00010772" w:rsidP="00F5196E">
      <w:r>
        <w:t xml:space="preserve">Office Phone:  </w:t>
      </w:r>
      <w:r w:rsidR="00844FE5">
        <w:t>(</w:t>
      </w:r>
      <w:r w:rsidR="00844FE5" w:rsidRPr="00844FE5">
        <w:t>510</w:t>
      </w:r>
      <w:r w:rsidR="00844FE5">
        <w:t>) 642-</w:t>
      </w:r>
      <w:r w:rsidR="00844FE5" w:rsidRPr="00844FE5">
        <w:t>6646</w:t>
      </w:r>
    </w:p>
    <w:p w:rsidR="000D0DFB" w:rsidRDefault="00844FE5" w:rsidP="00F5196E">
      <w:r>
        <w:t>Legal Assistant</w:t>
      </w:r>
      <w:r w:rsidR="00813F0A">
        <w:t xml:space="preserve">: </w:t>
      </w:r>
      <w:r w:rsidR="000F0A6F">
        <w:t xml:space="preserve"> </w:t>
      </w:r>
      <w:r w:rsidR="0087267A">
        <w:t>Leslie Stone</w:t>
      </w:r>
      <w:r w:rsidRPr="00844FE5">
        <w:t xml:space="preserve"> </w:t>
      </w:r>
      <w:r w:rsidR="0008249E">
        <w:t>(</w:t>
      </w:r>
      <w:r w:rsidR="0087267A" w:rsidRPr="0087267A">
        <w:t xml:space="preserve">325A-12 </w:t>
      </w:r>
      <w:proofErr w:type="spellStart"/>
      <w:r w:rsidR="0087267A" w:rsidRPr="0087267A">
        <w:t>Boalt</w:t>
      </w:r>
      <w:proofErr w:type="spellEnd"/>
      <w:r w:rsidR="0087267A" w:rsidRPr="0087267A">
        <w:t xml:space="preserve"> Hall</w:t>
      </w:r>
      <w:r w:rsidR="0008249E" w:rsidRPr="0008249E">
        <w:t xml:space="preserve">; </w:t>
      </w:r>
      <w:r w:rsidR="0087267A" w:rsidRPr="0087267A">
        <w:t>lstone@law.berkeley.edu</w:t>
      </w:r>
      <w:r w:rsidR="00813F0A">
        <w:t>)</w:t>
      </w:r>
      <w:r w:rsidR="00813F0A">
        <w:tab/>
      </w:r>
    </w:p>
    <w:p w:rsidR="00010772" w:rsidRDefault="00813F0A" w:rsidP="00F5196E">
      <w:r>
        <w:tab/>
      </w:r>
      <w:r>
        <w:tab/>
      </w:r>
      <w:r w:rsidR="00010772">
        <w:tab/>
      </w:r>
    </w:p>
    <w:p w:rsidR="00B955D1" w:rsidRPr="00B955D1" w:rsidRDefault="00B955D1" w:rsidP="00CE1255">
      <w:pPr>
        <w:rPr>
          <w:b/>
        </w:rPr>
      </w:pPr>
      <w:r w:rsidRPr="00B955D1">
        <w:rPr>
          <w:b/>
        </w:rPr>
        <w:t>Required Materials:</w:t>
      </w:r>
    </w:p>
    <w:p w:rsidR="00B955D1" w:rsidRPr="00B955D1" w:rsidRDefault="00B955D1" w:rsidP="00CE1255">
      <w:pPr>
        <w:rPr>
          <w:szCs w:val="24"/>
        </w:rPr>
      </w:pPr>
      <w:r w:rsidRPr="00B955D1">
        <w:rPr>
          <w:szCs w:val="24"/>
        </w:rPr>
        <w:t>The required texts for this course are:</w:t>
      </w:r>
    </w:p>
    <w:p w:rsidR="00844FE5" w:rsidRPr="00844FE5" w:rsidRDefault="00844FE5" w:rsidP="0008249E">
      <w:pPr>
        <w:numPr>
          <w:ilvl w:val="0"/>
          <w:numId w:val="30"/>
        </w:numPr>
        <w:rPr>
          <w:szCs w:val="24"/>
        </w:rPr>
      </w:pPr>
      <w:r w:rsidRPr="00844FE5">
        <w:t xml:space="preserve">Stephen Choi &amp; A.C. Pritchard, </w:t>
      </w:r>
      <w:r w:rsidRPr="00844FE5">
        <w:rPr>
          <w:i/>
        </w:rPr>
        <w:t>Securities Regulation: Cases and Analysis</w:t>
      </w:r>
      <w:r w:rsidRPr="00844FE5">
        <w:t xml:space="preserve"> (</w:t>
      </w:r>
      <w:r w:rsidR="00EE06B8">
        <w:t>3</w:t>
      </w:r>
      <w:r w:rsidRPr="00844FE5">
        <w:t>d. ed. 20</w:t>
      </w:r>
      <w:r w:rsidR="00EE06B8">
        <w:t>12</w:t>
      </w:r>
      <w:r w:rsidRPr="00844FE5">
        <w:t>)</w:t>
      </w:r>
      <w:r w:rsidR="00223D39">
        <w:t xml:space="preserve"> (pages from a 201</w:t>
      </w:r>
      <w:r w:rsidR="000B7A27">
        <w:t>4</w:t>
      </w:r>
      <w:r w:rsidR="00223D39">
        <w:t xml:space="preserve"> supplement will also be assigned periodically)</w:t>
      </w:r>
    </w:p>
    <w:p w:rsidR="0008249E" w:rsidRPr="0008249E" w:rsidRDefault="00844FE5" w:rsidP="0008249E">
      <w:pPr>
        <w:numPr>
          <w:ilvl w:val="0"/>
          <w:numId w:val="30"/>
        </w:numPr>
        <w:rPr>
          <w:szCs w:val="24"/>
        </w:rPr>
      </w:pPr>
      <w:r w:rsidRPr="00844FE5">
        <w:t>Stephen Choi &amp; A.C. Pritchard</w:t>
      </w:r>
      <w:r>
        <w:t xml:space="preserve">, </w:t>
      </w:r>
      <w:r>
        <w:rPr>
          <w:i/>
        </w:rPr>
        <w:t xml:space="preserve">Securities Regulation: Statutory Supplement </w:t>
      </w:r>
      <w:r>
        <w:t>(20</w:t>
      </w:r>
      <w:r w:rsidR="00BA16DD">
        <w:t>1</w:t>
      </w:r>
      <w:r w:rsidR="000217EB">
        <w:t>4</w:t>
      </w:r>
      <w:bookmarkStart w:id="0" w:name="_GoBack"/>
      <w:bookmarkEnd w:id="0"/>
      <w:r>
        <w:t xml:space="preserve"> </w:t>
      </w:r>
      <w:proofErr w:type="spellStart"/>
      <w:r>
        <w:t>ed</w:t>
      </w:r>
      <w:proofErr w:type="spellEnd"/>
      <w:r>
        <w:t>)</w:t>
      </w:r>
      <w:r w:rsidR="0008249E">
        <w:t xml:space="preserve"> </w:t>
      </w:r>
    </w:p>
    <w:p w:rsidR="00B955D1" w:rsidRDefault="00B955D1" w:rsidP="00B955D1">
      <w:pPr>
        <w:rPr>
          <w:szCs w:val="24"/>
        </w:rPr>
      </w:pPr>
    </w:p>
    <w:p w:rsidR="00310D18" w:rsidRPr="00671293" w:rsidRDefault="00310D18" w:rsidP="00310D18">
      <w:pPr>
        <w:rPr>
          <w:color w:val="000000"/>
          <w:szCs w:val="24"/>
        </w:rPr>
      </w:pPr>
      <w:r>
        <w:rPr>
          <w:szCs w:val="24"/>
        </w:rPr>
        <w:t>W</w:t>
      </w:r>
      <w:r w:rsidRPr="00671293">
        <w:rPr>
          <w:szCs w:val="24"/>
        </w:rPr>
        <w:t xml:space="preserve">hile not required, I would </w:t>
      </w:r>
      <w:r>
        <w:rPr>
          <w:szCs w:val="24"/>
        </w:rPr>
        <w:t xml:space="preserve">also </w:t>
      </w:r>
      <w:r w:rsidRPr="00671293">
        <w:rPr>
          <w:szCs w:val="24"/>
        </w:rPr>
        <w:t xml:space="preserve">strongly recommend that you obtain a subscription to the </w:t>
      </w:r>
      <w:r w:rsidRPr="00671293">
        <w:rPr>
          <w:i/>
          <w:szCs w:val="24"/>
        </w:rPr>
        <w:t>Wall Street Journal</w:t>
      </w:r>
      <w:r w:rsidRPr="00671293">
        <w:rPr>
          <w:szCs w:val="24"/>
        </w:rPr>
        <w:t xml:space="preserve"> for the semester.  </w:t>
      </w:r>
      <w:r w:rsidRPr="00671293">
        <w:rPr>
          <w:color w:val="000000"/>
          <w:szCs w:val="24"/>
        </w:rPr>
        <w:t xml:space="preserve">For student subscriptions, the Journal has a student price of $15 for a 15-week subscription the semester (a </w:t>
      </w:r>
      <w:r w:rsidRPr="00671293">
        <w:rPr>
          <w:i/>
          <w:color w:val="000000"/>
          <w:szCs w:val="24"/>
        </w:rPr>
        <w:t>very</w:t>
      </w:r>
      <w:r w:rsidRPr="00671293">
        <w:rPr>
          <w:color w:val="000000"/>
          <w:szCs w:val="24"/>
        </w:rPr>
        <w:t xml:space="preserve"> good price). You can register at:</w:t>
      </w:r>
    </w:p>
    <w:p w:rsidR="00310D18" w:rsidRPr="00671293" w:rsidRDefault="00310D18" w:rsidP="00310D18">
      <w:pPr>
        <w:rPr>
          <w:color w:val="000000"/>
          <w:szCs w:val="24"/>
        </w:rPr>
      </w:pPr>
    </w:p>
    <w:p w:rsidR="00310D18" w:rsidRPr="00671293" w:rsidRDefault="000217EB" w:rsidP="00310D18">
      <w:pPr>
        <w:jc w:val="center"/>
        <w:rPr>
          <w:color w:val="000000"/>
          <w:szCs w:val="24"/>
        </w:rPr>
      </w:pPr>
      <w:hyperlink r:id="rId6" w:history="1">
        <w:r w:rsidR="00310D18" w:rsidRPr="00671293">
          <w:rPr>
            <w:rStyle w:val="Hyperlink"/>
            <w:szCs w:val="24"/>
          </w:rPr>
          <w:t>www.WSJ.com/studentoffer</w:t>
        </w:r>
      </w:hyperlink>
    </w:p>
    <w:p w:rsidR="00310D18" w:rsidRPr="00671293" w:rsidRDefault="00310D18" w:rsidP="00310D18">
      <w:pPr>
        <w:rPr>
          <w:szCs w:val="24"/>
        </w:rPr>
      </w:pPr>
    </w:p>
    <w:p w:rsidR="00B955D1" w:rsidRPr="00B955D1" w:rsidRDefault="00BE5B24" w:rsidP="00B955D1">
      <w:pPr>
        <w:rPr>
          <w:b/>
        </w:rPr>
      </w:pPr>
      <w:proofErr w:type="spellStart"/>
      <w:proofErr w:type="gramStart"/>
      <w:r>
        <w:rPr>
          <w:b/>
        </w:rPr>
        <w:t>bCourses</w:t>
      </w:r>
      <w:proofErr w:type="spellEnd"/>
      <w:proofErr w:type="gramEnd"/>
      <w:r w:rsidR="002A56AB">
        <w:rPr>
          <w:b/>
        </w:rPr>
        <w:t xml:space="preserve">; </w:t>
      </w:r>
      <w:r w:rsidR="0008249E">
        <w:rPr>
          <w:b/>
        </w:rPr>
        <w:t>Reading Assignments</w:t>
      </w:r>
      <w:r w:rsidR="00B955D1" w:rsidRPr="00B955D1">
        <w:rPr>
          <w:b/>
        </w:rPr>
        <w:t>:</w:t>
      </w:r>
    </w:p>
    <w:p w:rsidR="00CC19CF" w:rsidRDefault="00CC19CF" w:rsidP="00CC19CF">
      <w:pPr>
        <w:rPr>
          <w:szCs w:val="24"/>
        </w:rPr>
      </w:pPr>
      <w:r>
        <w:rPr>
          <w:szCs w:val="24"/>
        </w:rPr>
        <w:t xml:space="preserve">Reading assignments for this course will be posted weekly on the course website on </w:t>
      </w:r>
      <w:proofErr w:type="spellStart"/>
      <w:r>
        <w:rPr>
          <w:szCs w:val="24"/>
        </w:rPr>
        <w:t>bCourses</w:t>
      </w:r>
      <w:proofErr w:type="spellEnd"/>
      <w:r>
        <w:rPr>
          <w:szCs w:val="24"/>
        </w:rPr>
        <w:t xml:space="preserve">.  In addition, a copy of this syllabus, additional class materials, and class slides will be found there.  You should already be enrolled in the course’s </w:t>
      </w:r>
      <w:proofErr w:type="spellStart"/>
      <w:r>
        <w:rPr>
          <w:szCs w:val="24"/>
        </w:rPr>
        <w:t>bCourse</w:t>
      </w:r>
      <w:proofErr w:type="spellEnd"/>
      <w:r>
        <w:rPr>
          <w:szCs w:val="24"/>
        </w:rPr>
        <w:t xml:space="preserve"> website located at </w:t>
      </w:r>
      <w:hyperlink r:id="rId7" w:history="1">
        <w:r w:rsidRPr="005C2446">
          <w:rPr>
            <w:rStyle w:val="Hyperlink"/>
          </w:rPr>
          <w:t>https://bcourses.berkeley.edu/courses/1247111</w:t>
        </w:r>
      </w:hyperlink>
      <w:r>
        <w:t>.</w:t>
      </w:r>
      <w:r>
        <w:rPr>
          <w:szCs w:val="24"/>
        </w:rPr>
        <w:t xml:space="preserve">  If you are unable to access the </w:t>
      </w:r>
      <w:proofErr w:type="spellStart"/>
      <w:r>
        <w:rPr>
          <w:szCs w:val="24"/>
        </w:rPr>
        <w:t>bCourse</w:t>
      </w:r>
      <w:proofErr w:type="spellEnd"/>
      <w:r>
        <w:rPr>
          <w:szCs w:val="24"/>
        </w:rPr>
        <w:t xml:space="preserve"> site, please contact me as soon as possible. </w:t>
      </w:r>
    </w:p>
    <w:p w:rsidR="00BE5B24" w:rsidRDefault="00AC5832" w:rsidP="00AC5832">
      <w:pPr>
        <w:tabs>
          <w:tab w:val="left" w:pos="3945"/>
        </w:tabs>
        <w:rPr>
          <w:szCs w:val="24"/>
        </w:rPr>
      </w:pPr>
      <w:r>
        <w:rPr>
          <w:szCs w:val="24"/>
        </w:rPr>
        <w:tab/>
      </w:r>
    </w:p>
    <w:p w:rsidR="00310D18" w:rsidRDefault="00310D18">
      <w:pPr>
        <w:suppressAutoHyphens w:val="0"/>
        <w:rPr>
          <w:b/>
        </w:rPr>
      </w:pPr>
      <w:r>
        <w:rPr>
          <w:b/>
        </w:rPr>
        <w:br w:type="page"/>
      </w:r>
    </w:p>
    <w:p w:rsidR="006D7A8C" w:rsidRDefault="006D7A8C" w:rsidP="001B7891">
      <w:pPr>
        <w:rPr>
          <w:b/>
        </w:rPr>
      </w:pPr>
      <w:r>
        <w:rPr>
          <w:b/>
        </w:rPr>
        <w:lastRenderedPageBreak/>
        <w:t>Grading</w:t>
      </w:r>
      <w:r w:rsidR="00452FD9">
        <w:rPr>
          <w:b/>
        </w:rPr>
        <w:t>:</w:t>
      </w:r>
    </w:p>
    <w:p w:rsidR="006D7A8C" w:rsidRDefault="006D7A8C" w:rsidP="006D7A8C">
      <w:r>
        <w:t>Your grade in the course will be comprised of the following components:  performance on the final in-class exam</w:t>
      </w:r>
      <w:r w:rsidR="002A1FCE">
        <w:t xml:space="preserve"> and</w:t>
      </w:r>
      <w:r>
        <w:t xml:space="preserve"> in-class participation.</w:t>
      </w:r>
    </w:p>
    <w:p w:rsidR="006D7A8C" w:rsidRDefault="006D7A8C" w:rsidP="006D7A8C"/>
    <w:p w:rsidR="006D7A8C" w:rsidRDefault="006D7A8C" w:rsidP="006D7A8C">
      <w:proofErr w:type="gramStart"/>
      <w:r>
        <w:rPr>
          <w:i/>
        </w:rPr>
        <w:t>Exam.</w:t>
      </w:r>
      <w:proofErr w:type="gramEnd"/>
      <w:r>
        <w:t xml:space="preserve">  </w:t>
      </w:r>
      <w:r w:rsidR="008953D8">
        <w:t xml:space="preserve">Subject to any upward or downward adjustment described below, your final grade for this course will be based on a </w:t>
      </w:r>
      <w:r w:rsidR="002A1FCE">
        <w:t xml:space="preserve">three-hour, in-class exam to be administered on </w:t>
      </w:r>
      <w:r w:rsidR="00CC19CF">
        <w:t>Friday</w:t>
      </w:r>
      <w:r w:rsidR="0024796D">
        <w:t xml:space="preserve">, </w:t>
      </w:r>
      <w:r w:rsidR="00CC19CF">
        <w:t>December 12, 2014</w:t>
      </w:r>
      <w:r w:rsidR="002A1FCE">
        <w:t xml:space="preserve">.  You may use any written materials (e.g., notes, books, outlines, </w:t>
      </w:r>
      <w:proofErr w:type="spellStart"/>
      <w:r w:rsidR="002A1FCE">
        <w:t>Tarrot</w:t>
      </w:r>
      <w:proofErr w:type="spellEnd"/>
      <w:r w:rsidR="002A1FCE">
        <w:t xml:space="preserve"> cards, etc.) that you bring with you to the exam room.  You may not, however, use any information or materials in digital</w:t>
      </w:r>
      <w:r w:rsidR="0024796D">
        <w:t xml:space="preserve"> or electronic</w:t>
      </w:r>
      <w:r w:rsidR="002A1FCE">
        <w:t xml:space="preserve"> form.  I will provide more information regarding the format of the exam later in the semester</w:t>
      </w:r>
      <w:r>
        <w:t>.</w:t>
      </w:r>
    </w:p>
    <w:p w:rsidR="00AC5832" w:rsidRDefault="00AC5832" w:rsidP="006D7A8C"/>
    <w:p w:rsidR="002A1FCE" w:rsidRDefault="006D7A8C" w:rsidP="006D7A8C">
      <w:proofErr w:type="gramStart"/>
      <w:r>
        <w:rPr>
          <w:i/>
        </w:rPr>
        <w:t xml:space="preserve">Class </w:t>
      </w:r>
      <w:r w:rsidR="002A1FCE">
        <w:rPr>
          <w:i/>
        </w:rPr>
        <w:t xml:space="preserve">attendance and </w:t>
      </w:r>
      <w:r>
        <w:rPr>
          <w:i/>
        </w:rPr>
        <w:t>participation.</w:t>
      </w:r>
      <w:proofErr w:type="gramEnd"/>
      <w:r>
        <w:t xml:space="preserve">  </w:t>
      </w:r>
      <w:r w:rsidR="00452FD9">
        <w:t xml:space="preserve"> </w:t>
      </w:r>
      <w:r w:rsidR="00CC19CF">
        <w:t xml:space="preserve">Although your performance on the in-class exam will constitute your final grade for this course, </w:t>
      </w:r>
      <w:r w:rsidR="00CC19CF">
        <w:rPr>
          <w:szCs w:val="24"/>
          <w:lang w:val="en"/>
        </w:rPr>
        <w:t xml:space="preserve">I reserve the right to raise </w:t>
      </w:r>
      <w:r w:rsidR="00CC19CF" w:rsidRPr="00503DA6">
        <w:rPr>
          <w:szCs w:val="24"/>
          <w:lang w:val="en"/>
        </w:rPr>
        <w:t>your grade a half level for quality class participation</w:t>
      </w:r>
      <w:r w:rsidR="00CC19CF">
        <w:t xml:space="preserve">.  Additionally, much of our class discussion will be driven by the numerous “hypothetical” scenarios in the Casebook, and I will generally call on students to work through these hypotheticals in class. Accordingly, please come to class prepared to discuss the hypotheticals assigned in the readings. </w:t>
      </w:r>
      <w:r w:rsidR="001B1D27">
        <w:rPr>
          <w:b/>
        </w:rPr>
        <w:t xml:space="preserve">Being unable to </w:t>
      </w:r>
      <w:r w:rsidR="00CC19CF" w:rsidRPr="000B7A27">
        <w:rPr>
          <w:b/>
        </w:rPr>
        <w:t xml:space="preserve">work through these hypotheticals </w:t>
      </w:r>
      <w:r w:rsidR="001B1D27">
        <w:rPr>
          <w:b/>
        </w:rPr>
        <w:t>when called upon (</w:t>
      </w:r>
      <w:r w:rsidR="000B7A27" w:rsidRPr="000B7A27">
        <w:rPr>
          <w:b/>
        </w:rPr>
        <w:t xml:space="preserve">or being absent </w:t>
      </w:r>
      <w:r w:rsidR="00CC19CF" w:rsidRPr="000B7A27">
        <w:rPr>
          <w:b/>
        </w:rPr>
        <w:t>when called upon</w:t>
      </w:r>
      <w:r w:rsidR="001B1D27">
        <w:rPr>
          <w:b/>
        </w:rPr>
        <w:t>)</w:t>
      </w:r>
      <w:r w:rsidR="00CC19CF" w:rsidRPr="000B7A27">
        <w:rPr>
          <w:b/>
        </w:rPr>
        <w:t xml:space="preserve"> may result in a downward adjustment of your grade</w:t>
      </w:r>
      <w:r w:rsidR="00CC19CF">
        <w:t xml:space="preserve">.  The same rule applies for general unpreparedness, excessive tardiness, and/or poor class attendance.  </w:t>
      </w:r>
      <w:r w:rsidR="00452FD9">
        <w:t>Lastly</w:t>
      </w:r>
      <w:r w:rsidR="002A1FCE">
        <w:t>, please note the following law school policy</w:t>
      </w:r>
      <w:r w:rsidR="00452FD9">
        <w:t xml:space="preserve"> which I reserve the right to enforce</w:t>
      </w:r>
      <w:r w:rsidR="002A1FCE">
        <w:t>:  “</w:t>
      </w:r>
      <w:r w:rsidR="002A1FCE" w:rsidRPr="002A1FCE">
        <w:rPr>
          <w:i/>
        </w:rPr>
        <w:t>An instructor may, by written notice, exclude a student from the final examination on the basis of repeated unexcused absences or unpreparedness that have occurred after the instructor has given the student prior written notice that there may be such an exclusion</w:t>
      </w:r>
      <w:r w:rsidR="002A1FCE">
        <w:t xml:space="preserve">.”  </w:t>
      </w:r>
    </w:p>
    <w:p w:rsidR="006D7A8C" w:rsidRDefault="006D7A8C" w:rsidP="001B7891">
      <w:pPr>
        <w:rPr>
          <w:b/>
        </w:rPr>
      </w:pPr>
    </w:p>
    <w:p w:rsidR="00452FD9" w:rsidRDefault="00452FD9" w:rsidP="00452FD9">
      <w:pPr>
        <w:rPr>
          <w:b/>
          <w:szCs w:val="24"/>
        </w:rPr>
      </w:pPr>
      <w:r w:rsidRPr="00D072DE">
        <w:rPr>
          <w:b/>
          <w:szCs w:val="24"/>
        </w:rPr>
        <w:t>Class Outline</w:t>
      </w:r>
      <w:r>
        <w:rPr>
          <w:b/>
          <w:szCs w:val="24"/>
        </w:rPr>
        <w:t>:</w:t>
      </w:r>
    </w:p>
    <w:p w:rsidR="00741296" w:rsidRDefault="00741296" w:rsidP="00452FD9">
      <w:pPr>
        <w:rPr>
          <w:b/>
          <w:szCs w:val="24"/>
        </w:rPr>
      </w:pPr>
    </w:p>
    <w:p w:rsidR="00741296" w:rsidRDefault="00741296" w:rsidP="00452FD9">
      <w:pPr>
        <w:rPr>
          <w:szCs w:val="24"/>
        </w:rPr>
      </w:pPr>
      <w:r>
        <w:rPr>
          <w:szCs w:val="24"/>
        </w:rPr>
        <w:t>The following outline provides a general overview of the topics we will cover throughout the semester.  Reading assignments fo</w:t>
      </w:r>
      <w:r w:rsidR="00AC5832">
        <w:rPr>
          <w:szCs w:val="24"/>
        </w:rPr>
        <w:t xml:space="preserve">r each class will be posted on </w:t>
      </w:r>
      <w:proofErr w:type="spellStart"/>
      <w:r w:rsidR="00AC5832">
        <w:rPr>
          <w:szCs w:val="24"/>
        </w:rPr>
        <w:t>bCourse</w:t>
      </w:r>
      <w:proofErr w:type="spellEnd"/>
      <w:r w:rsidR="00AC5832">
        <w:rPr>
          <w:szCs w:val="24"/>
        </w:rPr>
        <w:t xml:space="preserve"> </w:t>
      </w:r>
      <w:r>
        <w:rPr>
          <w:szCs w:val="24"/>
        </w:rPr>
        <w:t>approximately one week in advance.</w:t>
      </w:r>
    </w:p>
    <w:p w:rsidR="00916AB7" w:rsidRDefault="00916AB7" w:rsidP="00452FD9">
      <w:pPr>
        <w:rPr>
          <w:szCs w:val="24"/>
        </w:rPr>
      </w:pPr>
    </w:p>
    <w:tbl>
      <w:tblPr>
        <w:tblW w:w="7632"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2000"/>
        <w:gridCol w:w="3852"/>
      </w:tblGrid>
      <w:tr w:rsidR="006C19F7" w:rsidRPr="00454E54" w:rsidTr="006C19F7">
        <w:tc>
          <w:tcPr>
            <w:tcW w:w="1780" w:type="dxa"/>
            <w:tcBorders>
              <w:bottom w:val="single" w:sz="4" w:space="0" w:color="auto"/>
            </w:tcBorders>
            <w:shd w:val="clear" w:color="auto" w:fill="auto"/>
          </w:tcPr>
          <w:p w:rsidR="006C19F7" w:rsidRPr="00454E54" w:rsidRDefault="006C19F7" w:rsidP="0096510E">
            <w:pPr>
              <w:jc w:val="center"/>
              <w:rPr>
                <w:b/>
              </w:rPr>
            </w:pPr>
            <w:r w:rsidRPr="00454E54">
              <w:rPr>
                <w:b/>
              </w:rPr>
              <w:t>Date</w:t>
            </w:r>
          </w:p>
        </w:tc>
        <w:tc>
          <w:tcPr>
            <w:tcW w:w="2000" w:type="dxa"/>
            <w:tcBorders>
              <w:bottom w:val="single" w:sz="4" w:space="0" w:color="auto"/>
            </w:tcBorders>
          </w:tcPr>
          <w:p w:rsidR="006C19F7" w:rsidRPr="00454E54" w:rsidRDefault="006C19F7" w:rsidP="006C19F7">
            <w:pPr>
              <w:jc w:val="center"/>
              <w:rPr>
                <w:b/>
              </w:rPr>
            </w:pPr>
            <w:r w:rsidRPr="00454E54">
              <w:rPr>
                <w:b/>
              </w:rPr>
              <w:t>Class #</w:t>
            </w:r>
          </w:p>
        </w:tc>
        <w:tc>
          <w:tcPr>
            <w:tcW w:w="3852" w:type="dxa"/>
            <w:tcBorders>
              <w:bottom w:val="single" w:sz="4" w:space="0" w:color="auto"/>
            </w:tcBorders>
            <w:shd w:val="clear" w:color="auto" w:fill="auto"/>
          </w:tcPr>
          <w:p w:rsidR="006C19F7" w:rsidRPr="00454E54" w:rsidRDefault="006C19F7" w:rsidP="0096510E">
            <w:pPr>
              <w:rPr>
                <w:b/>
              </w:rPr>
            </w:pPr>
            <w:r w:rsidRPr="00454E54">
              <w:rPr>
                <w:b/>
              </w:rPr>
              <w:t>Topic</w:t>
            </w:r>
          </w:p>
        </w:tc>
      </w:tr>
      <w:tr w:rsidR="006C19F7" w:rsidRPr="00996FA6" w:rsidTr="006C19F7">
        <w:tc>
          <w:tcPr>
            <w:tcW w:w="1780" w:type="dxa"/>
            <w:shd w:val="clear" w:color="auto" w:fill="auto"/>
          </w:tcPr>
          <w:p w:rsidR="006C19F7" w:rsidRPr="00454E54" w:rsidRDefault="00CC19CF" w:rsidP="00CC19CF">
            <w:pPr>
              <w:jc w:val="center"/>
            </w:pPr>
            <w:r>
              <w:t>8/25</w:t>
            </w:r>
          </w:p>
        </w:tc>
        <w:tc>
          <w:tcPr>
            <w:tcW w:w="2000" w:type="dxa"/>
          </w:tcPr>
          <w:p w:rsidR="006C19F7" w:rsidRDefault="006C19F7" w:rsidP="006C19F7">
            <w:pPr>
              <w:jc w:val="center"/>
            </w:pPr>
            <w:r>
              <w:t>1</w:t>
            </w:r>
          </w:p>
        </w:tc>
        <w:tc>
          <w:tcPr>
            <w:tcW w:w="3852" w:type="dxa"/>
            <w:shd w:val="clear" w:color="auto" w:fill="auto"/>
          </w:tcPr>
          <w:p w:rsidR="006C19F7" w:rsidRPr="00996FA6" w:rsidRDefault="006C19F7" w:rsidP="0096510E">
            <w:pPr>
              <w:pStyle w:val="Default"/>
              <w:keepLines/>
              <w:suppressAutoHyphens/>
              <w:autoSpaceDE/>
              <w:autoSpaceDN/>
              <w:adjustRightInd/>
            </w:pPr>
            <w:r w:rsidRPr="00996FA6">
              <w:t>Introduction</w:t>
            </w:r>
          </w:p>
        </w:tc>
      </w:tr>
      <w:tr w:rsidR="006C19F7" w:rsidRPr="00996FA6" w:rsidTr="006C19F7">
        <w:tc>
          <w:tcPr>
            <w:tcW w:w="1780" w:type="dxa"/>
            <w:shd w:val="clear" w:color="auto" w:fill="auto"/>
          </w:tcPr>
          <w:p w:rsidR="006C19F7" w:rsidRPr="00454E54" w:rsidRDefault="00CC19CF" w:rsidP="0096510E">
            <w:pPr>
              <w:jc w:val="center"/>
            </w:pPr>
            <w:r>
              <w:t>8/26</w:t>
            </w:r>
          </w:p>
        </w:tc>
        <w:tc>
          <w:tcPr>
            <w:tcW w:w="2000" w:type="dxa"/>
          </w:tcPr>
          <w:p w:rsidR="006C19F7" w:rsidRDefault="006C19F7" w:rsidP="006C19F7">
            <w:pPr>
              <w:jc w:val="center"/>
            </w:pPr>
            <w:r>
              <w:t>2</w:t>
            </w:r>
          </w:p>
        </w:tc>
        <w:tc>
          <w:tcPr>
            <w:tcW w:w="3852" w:type="dxa"/>
            <w:vMerge w:val="restart"/>
            <w:shd w:val="clear" w:color="auto" w:fill="auto"/>
            <w:vAlign w:val="center"/>
          </w:tcPr>
          <w:p w:rsidR="006C19F7" w:rsidRPr="005E0E3D" w:rsidRDefault="006C19F7" w:rsidP="005E0E3D">
            <w:pPr>
              <w:pStyle w:val="Default"/>
              <w:keepLines/>
              <w:suppressAutoHyphens/>
              <w:autoSpaceDE/>
              <w:autoSpaceDN/>
              <w:adjustRightInd/>
            </w:pPr>
            <w:r w:rsidRPr="005E0E3D">
              <w:t>Materiality</w:t>
            </w:r>
          </w:p>
        </w:tc>
      </w:tr>
      <w:tr w:rsidR="006C19F7" w:rsidRPr="00996FA6" w:rsidTr="006C19F7">
        <w:tc>
          <w:tcPr>
            <w:tcW w:w="1780" w:type="dxa"/>
            <w:shd w:val="clear" w:color="auto" w:fill="auto"/>
          </w:tcPr>
          <w:p w:rsidR="006C19F7" w:rsidRPr="00454E54" w:rsidRDefault="00CC19CF" w:rsidP="0096510E">
            <w:pPr>
              <w:jc w:val="center"/>
            </w:pPr>
            <w:r>
              <w:t>8/27</w:t>
            </w:r>
          </w:p>
        </w:tc>
        <w:tc>
          <w:tcPr>
            <w:tcW w:w="2000" w:type="dxa"/>
          </w:tcPr>
          <w:p w:rsidR="006C19F7" w:rsidRDefault="006C19F7" w:rsidP="006C19F7">
            <w:pPr>
              <w:jc w:val="center"/>
            </w:pPr>
            <w:r>
              <w:t>3</w:t>
            </w:r>
          </w:p>
        </w:tc>
        <w:tc>
          <w:tcPr>
            <w:tcW w:w="3852" w:type="dxa"/>
            <w:vMerge/>
            <w:shd w:val="clear" w:color="auto" w:fill="auto"/>
          </w:tcPr>
          <w:p w:rsidR="006C19F7" w:rsidRPr="005E0E3D" w:rsidRDefault="006C19F7" w:rsidP="0096510E">
            <w:pPr>
              <w:pStyle w:val="Default"/>
              <w:keepLines/>
              <w:suppressAutoHyphens/>
            </w:pPr>
          </w:p>
        </w:tc>
      </w:tr>
      <w:tr w:rsidR="009658DA" w:rsidRPr="009C484E" w:rsidTr="00614130">
        <w:tc>
          <w:tcPr>
            <w:tcW w:w="1780" w:type="dxa"/>
            <w:shd w:val="clear" w:color="auto" w:fill="auto"/>
            <w:vAlign w:val="center"/>
          </w:tcPr>
          <w:p w:rsidR="009658DA" w:rsidRPr="00454E54" w:rsidRDefault="009658DA" w:rsidP="00614130">
            <w:pPr>
              <w:jc w:val="center"/>
            </w:pPr>
            <w:r>
              <w:t>9/1</w:t>
            </w:r>
          </w:p>
        </w:tc>
        <w:tc>
          <w:tcPr>
            <w:tcW w:w="2000" w:type="dxa"/>
            <w:vAlign w:val="center"/>
          </w:tcPr>
          <w:p w:rsidR="009658DA" w:rsidRDefault="009658DA" w:rsidP="00614130">
            <w:pPr>
              <w:jc w:val="center"/>
            </w:pPr>
            <w:r>
              <w:t>(No Class</w:t>
            </w:r>
          </w:p>
          <w:p w:rsidR="009658DA" w:rsidRDefault="009658DA" w:rsidP="00614130">
            <w:pPr>
              <w:jc w:val="center"/>
            </w:pPr>
            <w:r>
              <w:t>Labor Day)</w:t>
            </w:r>
          </w:p>
        </w:tc>
        <w:tc>
          <w:tcPr>
            <w:tcW w:w="3852" w:type="dxa"/>
            <w:shd w:val="clear" w:color="auto" w:fill="auto"/>
            <w:vAlign w:val="center"/>
          </w:tcPr>
          <w:p w:rsidR="009658DA" w:rsidRPr="00454E54" w:rsidRDefault="009658DA" w:rsidP="00614130">
            <w:pPr>
              <w:pStyle w:val="Address"/>
              <w:spacing w:after="0"/>
              <w:ind w:left="0"/>
              <w:jc w:val="center"/>
              <w:rPr>
                <w:szCs w:val="24"/>
              </w:rPr>
            </w:pPr>
          </w:p>
        </w:tc>
      </w:tr>
      <w:tr w:rsidR="006C19F7" w:rsidRPr="00996FA6" w:rsidTr="006C19F7">
        <w:tc>
          <w:tcPr>
            <w:tcW w:w="1780" w:type="dxa"/>
            <w:shd w:val="clear" w:color="auto" w:fill="auto"/>
          </w:tcPr>
          <w:p w:rsidR="006C19F7" w:rsidRPr="00454E54" w:rsidRDefault="009658DA" w:rsidP="0096510E">
            <w:pPr>
              <w:jc w:val="center"/>
            </w:pPr>
            <w:r>
              <w:t>9/</w:t>
            </w:r>
            <w:r w:rsidR="007B7883">
              <w:t>2</w:t>
            </w:r>
          </w:p>
        </w:tc>
        <w:tc>
          <w:tcPr>
            <w:tcW w:w="2000" w:type="dxa"/>
          </w:tcPr>
          <w:p w:rsidR="006C19F7" w:rsidRDefault="006C19F7" w:rsidP="006C19F7">
            <w:pPr>
              <w:jc w:val="center"/>
            </w:pPr>
            <w:r>
              <w:t>4</w:t>
            </w:r>
          </w:p>
        </w:tc>
        <w:tc>
          <w:tcPr>
            <w:tcW w:w="3852" w:type="dxa"/>
            <w:shd w:val="clear" w:color="auto" w:fill="auto"/>
          </w:tcPr>
          <w:p w:rsidR="006C19F7" w:rsidRPr="00996FA6" w:rsidRDefault="006C19F7" w:rsidP="0096510E">
            <w:pPr>
              <w:pStyle w:val="Default"/>
              <w:keepLines/>
              <w:suppressAutoHyphens/>
              <w:autoSpaceDE/>
              <w:autoSpaceDN/>
              <w:adjustRightInd/>
            </w:pPr>
          </w:p>
        </w:tc>
      </w:tr>
      <w:tr w:rsidR="006C19F7" w:rsidRPr="00996FA6" w:rsidTr="006C19F7">
        <w:tc>
          <w:tcPr>
            <w:tcW w:w="1780" w:type="dxa"/>
            <w:shd w:val="clear" w:color="auto" w:fill="auto"/>
          </w:tcPr>
          <w:p w:rsidR="006C19F7" w:rsidRPr="00454E54" w:rsidRDefault="009658DA" w:rsidP="0096510E">
            <w:pPr>
              <w:jc w:val="center"/>
            </w:pPr>
            <w:r>
              <w:t>9/</w:t>
            </w:r>
            <w:r w:rsidR="007B7883">
              <w:t>3</w:t>
            </w:r>
          </w:p>
        </w:tc>
        <w:tc>
          <w:tcPr>
            <w:tcW w:w="2000" w:type="dxa"/>
          </w:tcPr>
          <w:p w:rsidR="006C19F7" w:rsidRDefault="006C19F7" w:rsidP="006C19F7">
            <w:pPr>
              <w:jc w:val="center"/>
            </w:pPr>
            <w:r>
              <w:t>5</w:t>
            </w:r>
          </w:p>
        </w:tc>
        <w:tc>
          <w:tcPr>
            <w:tcW w:w="3852" w:type="dxa"/>
            <w:vMerge w:val="restart"/>
            <w:shd w:val="clear" w:color="auto" w:fill="auto"/>
            <w:vAlign w:val="center"/>
          </w:tcPr>
          <w:p w:rsidR="006C19F7" w:rsidRPr="00996FA6" w:rsidRDefault="006C19F7" w:rsidP="005E0E3D">
            <w:pPr>
              <w:pStyle w:val="Default"/>
              <w:keepLines/>
              <w:suppressAutoHyphens/>
              <w:autoSpaceDE/>
              <w:autoSpaceDN/>
              <w:adjustRightInd/>
            </w:pPr>
            <w:r>
              <w:t>Definition of “Security”</w:t>
            </w:r>
          </w:p>
        </w:tc>
      </w:tr>
      <w:tr w:rsidR="006C19F7" w:rsidRPr="00996FA6" w:rsidTr="006C19F7">
        <w:tc>
          <w:tcPr>
            <w:tcW w:w="1780" w:type="dxa"/>
            <w:shd w:val="clear" w:color="auto" w:fill="auto"/>
          </w:tcPr>
          <w:p w:rsidR="006C19F7" w:rsidRPr="00454E54" w:rsidRDefault="009658DA" w:rsidP="0096510E">
            <w:pPr>
              <w:jc w:val="center"/>
            </w:pPr>
            <w:r>
              <w:t>9/</w:t>
            </w:r>
            <w:r w:rsidR="007B7883">
              <w:t>8</w:t>
            </w:r>
          </w:p>
        </w:tc>
        <w:tc>
          <w:tcPr>
            <w:tcW w:w="2000" w:type="dxa"/>
          </w:tcPr>
          <w:p w:rsidR="006C19F7" w:rsidRDefault="006C19F7" w:rsidP="006C19F7">
            <w:pPr>
              <w:jc w:val="center"/>
            </w:pPr>
            <w:r>
              <w:t>6</w:t>
            </w:r>
          </w:p>
        </w:tc>
        <w:tc>
          <w:tcPr>
            <w:tcW w:w="3852" w:type="dxa"/>
            <w:vMerge/>
            <w:shd w:val="clear" w:color="auto" w:fill="auto"/>
          </w:tcPr>
          <w:p w:rsidR="006C19F7" w:rsidRPr="00996FA6" w:rsidRDefault="006C19F7" w:rsidP="0096510E">
            <w:pPr>
              <w:pStyle w:val="Default"/>
              <w:keepLines/>
              <w:suppressAutoHyphens/>
              <w:autoSpaceDE/>
              <w:autoSpaceDN/>
              <w:adjustRightInd/>
            </w:pPr>
          </w:p>
        </w:tc>
      </w:tr>
      <w:tr w:rsidR="006C19F7" w:rsidRPr="00996FA6" w:rsidTr="006C19F7">
        <w:tc>
          <w:tcPr>
            <w:tcW w:w="1780" w:type="dxa"/>
            <w:tcBorders>
              <w:bottom w:val="single" w:sz="4" w:space="0" w:color="auto"/>
            </w:tcBorders>
            <w:shd w:val="clear" w:color="auto" w:fill="auto"/>
          </w:tcPr>
          <w:p w:rsidR="006C19F7" w:rsidRPr="00454E54" w:rsidRDefault="009658DA" w:rsidP="0096510E">
            <w:pPr>
              <w:jc w:val="center"/>
            </w:pPr>
            <w:r>
              <w:t>9/</w:t>
            </w:r>
            <w:r w:rsidR="007B7883">
              <w:t>9</w:t>
            </w:r>
          </w:p>
        </w:tc>
        <w:tc>
          <w:tcPr>
            <w:tcW w:w="2000" w:type="dxa"/>
          </w:tcPr>
          <w:p w:rsidR="006C19F7" w:rsidRDefault="006C19F7" w:rsidP="006C19F7">
            <w:pPr>
              <w:jc w:val="center"/>
            </w:pPr>
            <w:r>
              <w:t>7</w:t>
            </w:r>
          </w:p>
        </w:tc>
        <w:tc>
          <w:tcPr>
            <w:tcW w:w="3852" w:type="dxa"/>
            <w:vMerge w:val="restart"/>
            <w:shd w:val="clear" w:color="auto" w:fill="auto"/>
          </w:tcPr>
          <w:p w:rsidR="006C19F7" w:rsidRPr="00996FA6" w:rsidRDefault="006C19F7" w:rsidP="0096510E">
            <w:pPr>
              <w:pStyle w:val="Default"/>
              <w:keepLines/>
              <w:suppressAutoHyphens/>
              <w:autoSpaceDE/>
              <w:autoSpaceDN/>
              <w:adjustRightInd/>
            </w:pPr>
          </w:p>
        </w:tc>
      </w:tr>
      <w:tr w:rsidR="006C19F7" w:rsidRPr="00996FA6" w:rsidTr="006C19F7">
        <w:tc>
          <w:tcPr>
            <w:tcW w:w="1780" w:type="dxa"/>
            <w:shd w:val="clear" w:color="auto" w:fill="auto"/>
          </w:tcPr>
          <w:p w:rsidR="006C19F7" w:rsidRPr="00454E54" w:rsidRDefault="009658DA" w:rsidP="0096510E">
            <w:pPr>
              <w:jc w:val="center"/>
            </w:pPr>
            <w:r>
              <w:t>9/</w:t>
            </w:r>
            <w:r w:rsidR="007B7883">
              <w:t>10</w:t>
            </w:r>
          </w:p>
        </w:tc>
        <w:tc>
          <w:tcPr>
            <w:tcW w:w="2000" w:type="dxa"/>
          </w:tcPr>
          <w:p w:rsidR="006C19F7" w:rsidRDefault="006C19F7" w:rsidP="006C19F7">
            <w:pPr>
              <w:jc w:val="center"/>
            </w:pPr>
            <w:r>
              <w:t>8</w:t>
            </w:r>
          </w:p>
        </w:tc>
        <w:tc>
          <w:tcPr>
            <w:tcW w:w="3852" w:type="dxa"/>
            <w:vMerge/>
            <w:shd w:val="clear" w:color="auto" w:fill="auto"/>
          </w:tcPr>
          <w:p w:rsidR="006C19F7" w:rsidRPr="00996FA6" w:rsidRDefault="006C19F7" w:rsidP="0096510E">
            <w:pPr>
              <w:pStyle w:val="Default"/>
              <w:keepLines/>
              <w:suppressAutoHyphens/>
              <w:autoSpaceDE/>
              <w:autoSpaceDN/>
              <w:adjustRightInd/>
            </w:pPr>
          </w:p>
        </w:tc>
      </w:tr>
      <w:tr w:rsidR="00D1712A" w:rsidRPr="009E2E90" w:rsidTr="006C19F7">
        <w:tc>
          <w:tcPr>
            <w:tcW w:w="1780" w:type="dxa"/>
            <w:shd w:val="clear" w:color="auto" w:fill="auto"/>
          </w:tcPr>
          <w:p w:rsidR="00D1712A" w:rsidRPr="00454E54" w:rsidRDefault="009658DA" w:rsidP="0096510E">
            <w:pPr>
              <w:jc w:val="center"/>
            </w:pPr>
            <w:r>
              <w:t>9/</w:t>
            </w:r>
            <w:r w:rsidR="007B7883">
              <w:t>15</w:t>
            </w:r>
          </w:p>
        </w:tc>
        <w:tc>
          <w:tcPr>
            <w:tcW w:w="2000" w:type="dxa"/>
          </w:tcPr>
          <w:p w:rsidR="00D1712A" w:rsidRDefault="00D1712A" w:rsidP="006C19F7">
            <w:pPr>
              <w:jc w:val="center"/>
            </w:pPr>
            <w:r>
              <w:t>9</w:t>
            </w:r>
          </w:p>
        </w:tc>
        <w:tc>
          <w:tcPr>
            <w:tcW w:w="3852" w:type="dxa"/>
            <w:vMerge w:val="restart"/>
            <w:shd w:val="clear" w:color="auto" w:fill="auto"/>
            <w:vAlign w:val="center"/>
          </w:tcPr>
          <w:p w:rsidR="00D1712A" w:rsidRPr="009E2E90" w:rsidRDefault="00D1712A" w:rsidP="005E0E3D">
            <w:pPr>
              <w:pStyle w:val="Default"/>
              <w:keepLines/>
              <w:suppressAutoHyphens/>
              <w:rPr>
                <w:b/>
              </w:rPr>
            </w:pPr>
            <w:r>
              <w:t>Disclosure &amp; Accuracy</w:t>
            </w:r>
          </w:p>
        </w:tc>
      </w:tr>
      <w:tr w:rsidR="00D1712A" w:rsidRPr="00996FA6" w:rsidTr="006C19F7">
        <w:tc>
          <w:tcPr>
            <w:tcW w:w="1780" w:type="dxa"/>
            <w:shd w:val="clear" w:color="auto" w:fill="auto"/>
          </w:tcPr>
          <w:p w:rsidR="00D1712A" w:rsidRPr="00454E54" w:rsidRDefault="009658DA" w:rsidP="0096510E">
            <w:pPr>
              <w:jc w:val="center"/>
            </w:pPr>
            <w:r>
              <w:t>9/</w:t>
            </w:r>
            <w:r w:rsidR="007B7883">
              <w:t>16</w:t>
            </w:r>
          </w:p>
        </w:tc>
        <w:tc>
          <w:tcPr>
            <w:tcW w:w="2000" w:type="dxa"/>
          </w:tcPr>
          <w:p w:rsidR="00D1712A" w:rsidRDefault="00D1712A" w:rsidP="006C19F7">
            <w:pPr>
              <w:jc w:val="center"/>
            </w:pPr>
            <w:r>
              <w:t>10</w:t>
            </w:r>
          </w:p>
        </w:tc>
        <w:tc>
          <w:tcPr>
            <w:tcW w:w="3852" w:type="dxa"/>
            <w:vMerge/>
            <w:shd w:val="clear" w:color="auto" w:fill="auto"/>
          </w:tcPr>
          <w:p w:rsidR="00D1712A" w:rsidRPr="00996FA6" w:rsidRDefault="00D1712A" w:rsidP="0096510E">
            <w:pPr>
              <w:pStyle w:val="Default"/>
              <w:keepLines/>
              <w:suppressAutoHyphens/>
              <w:autoSpaceDE/>
              <w:autoSpaceDN/>
              <w:adjustRightInd/>
            </w:pPr>
          </w:p>
        </w:tc>
      </w:tr>
      <w:tr w:rsidR="00D1712A" w:rsidRPr="00996FA6" w:rsidTr="006C19F7">
        <w:tc>
          <w:tcPr>
            <w:tcW w:w="1780" w:type="dxa"/>
            <w:shd w:val="clear" w:color="auto" w:fill="auto"/>
          </w:tcPr>
          <w:p w:rsidR="00D1712A" w:rsidRDefault="009658DA" w:rsidP="0096510E">
            <w:pPr>
              <w:jc w:val="center"/>
            </w:pPr>
            <w:r>
              <w:t>9/</w:t>
            </w:r>
            <w:r w:rsidR="007B7883">
              <w:t>17</w:t>
            </w:r>
          </w:p>
        </w:tc>
        <w:tc>
          <w:tcPr>
            <w:tcW w:w="2000" w:type="dxa"/>
          </w:tcPr>
          <w:p w:rsidR="00D1712A" w:rsidRDefault="00D1712A" w:rsidP="00585A48">
            <w:pPr>
              <w:jc w:val="center"/>
            </w:pPr>
            <w:r>
              <w:t>11</w:t>
            </w:r>
          </w:p>
        </w:tc>
        <w:tc>
          <w:tcPr>
            <w:tcW w:w="3852" w:type="dxa"/>
            <w:vMerge/>
            <w:shd w:val="clear" w:color="auto" w:fill="auto"/>
          </w:tcPr>
          <w:p w:rsidR="00D1712A" w:rsidRPr="00996FA6" w:rsidRDefault="00D1712A" w:rsidP="0096510E">
            <w:pPr>
              <w:pStyle w:val="Default"/>
              <w:keepLines/>
              <w:suppressAutoHyphens/>
              <w:autoSpaceDE/>
              <w:autoSpaceDN/>
              <w:adjustRightInd/>
            </w:pPr>
          </w:p>
        </w:tc>
      </w:tr>
      <w:tr w:rsidR="00D1712A" w:rsidRPr="00996FA6" w:rsidTr="006C19F7">
        <w:tc>
          <w:tcPr>
            <w:tcW w:w="1780" w:type="dxa"/>
            <w:shd w:val="clear" w:color="auto" w:fill="auto"/>
          </w:tcPr>
          <w:p w:rsidR="00D1712A" w:rsidRPr="00454E54" w:rsidRDefault="009658DA" w:rsidP="0096510E">
            <w:pPr>
              <w:jc w:val="center"/>
            </w:pPr>
            <w:r>
              <w:t>9/</w:t>
            </w:r>
            <w:r w:rsidR="007B7883">
              <w:t>22</w:t>
            </w:r>
          </w:p>
        </w:tc>
        <w:tc>
          <w:tcPr>
            <w:tcW w:w="2000" w:type="dxa"/>
          </w:tcPr>
          <w:p w:rsidR="00D1712A" w:rsidRDefault="00D1712A" w:rsidP="00585A48">
            <w:pPr>
              <w:jc w:val="center"/>
            </w:pPr>
            <w:r>
              <w:t>12</w:t>
            </w:r>
          </w:p>
        </w:tc>
        <w:tc>
          <w:tcPr>
            <w:tcW w:w="3852" w:type="dxa"/>
            <w:vMerge w:val="restart"/>
            <w:shd w:val="clear" w:color="auto" w:fill="auto"/>
            <w:vAlign w:val="center"/>
          </w:tcPr>
          <w:p w:rsidR="00D1712A" w:rsidRPr="00996FA6" w:rsidRDefault="00D1712A" w:rsidP="005E0E3D">
            <w:pPr>
              <w:pStyle w:val="Default"/>
              <w:keepLines/>
              <w:suppressAutoHyphens/>
              <w:autoSpaceDE/>
              <w:autoSpaceDN/>
              <w:adjustRightInd/>
            </w:pPr>
            <w:r>
              <w:t>10b-5</w:t>
            </w:r>
          </w:p>
        </w:tc>
      </w:tr>
      <w:tr w:rsidR="00D1712A" w:rsidRPr="009C484E" w:rsidTr="006C19F7">
        <w:tc>
          <w:tcPr>
            <w:tcW w:w="1780" w:type="dxa"/>
            <w:shd w:val="clear" w:color="auto" w:fill="auto"/>
          </w:tcPr>
          <w:p w:rsidR="00D1712A" w:rsidRDefault="009658DA" w:rsidP="0096510E">
            <w:pPr>
              <w:jc w:val="center"/>
            </w:pPr>
            <w:r>
              <w:lastRenderedPageBreak/>
              <w:t>9/</w:t>
            </w:r>
            <w:r w:rsidR="007B7883">
              <w:t>23</w:t>
            </w:r>
          </w:p>
        </w:tc>
        <w:tc>
          <w:tcPr>
            <w:tcW w:w="2000" w:type="dxa"/>
          </w:tcPr>
          <w:p w:rsidR="00D1712A" w:rsidRDefault="00D1712A" w:rsidP="00585A48">
            <w:pPr>
              <w:jc w:val="center"/>
            </w:pPr>
            <w:r>
              <w:t>13</w:t>
            </w:r>
          </w:p>
        </w:tc>
        <w:tc>
          <w:tcPr>
            <w:tcW w:w="3852" w:type="dxa"/>
            <w:vMerge/>
            <w:shd w:val="clear" w:color="auto" w:fill="auto"/>
          </w:tcPr>
          <w:p w:rsidR="00D1712A" w:rsidRPr="00454E54" w:rsidRDefault="00D1712A" w:rsidP="0096510E">
            <w:pPr>
              <w:pStyle w:val="Address"/>
              <w:spacing w:after="0"/>
              <w:ind w:left="0"/>
              <w:rPr>
                <w:szCs w:val="24"/>
              </w:rPr>
            </w:pPr>
          </w:p>
        </w:tc>
      </w:tr>
      <w:tr w:rsidR="00D1712A" w:rsidRPr="00996FA6" w:rsidTr="00A865D6">
        <w:tc>
          <w:tcPr>
            <w:tcW w:w="1780" w:type="dxa"/>
            <w:tcBorders>
              <w:bottom w:val="single" w:sz="4" w:space="0" w:color="auto"/>
            </w:tcBorders>
            <w:shd w:val="clear" w:color="auto" w:fill="auto"/>
          </w:tcPr>
          <w:p w:rsidR="00D1712A" w:rsidRPr="00454E54" w:rsidRDefault="009658DA" w:rsidP="0096510E">
            <w:pPr>
              <w:jc w:val="center"/>
            </w:pPr>
            <w:r>
              <w:t>9/</w:t>
            </w:r>
            <w:r w:rsidR="007B7883">
              <w:t>24</w:t>
            </w:r>
          </w:p>
        </w:tc>
        <w:tc>
          <w:tcPr>
            <w:tcW w:w="2000" w:type="dxa"/>
          </w:tcPr>
          <w:p w:rsidR="00D1712A" w:rsidRDefault="00D1712A" w:rsidP="00585A48">
            <w:pPr>
              <w:jc w:val="center"/>
            </w:pPr>
            <w:r>
              <w:t>14</w:t>
            </w:r>
          </w:p>
        </w:tc>
        <w:tc>
          <w:tcPr>
            <w:tcW w:w="3852" w:type="dxa"/>
            <w:vMerge/>
            <w:shd w:val="clear" w:color="auto" w:fill="auto"/>
          </w:tcPr>
          <w:p w:rsidR="00D1712A" w:rsidRPr="00454E54" w:rsidRDefault="00D1712A" w:rsidP="0096510E">
            <w:pPr>
              <w:pStyle w:val="Address"/>
              <w:spacing w:after="0"/>
              <w:ind w:left="0"/>
              <w:rPr>
                <w:szCs w:val="24"/>
              </w:rPr>
            </w:pPr>
          </w:p>
        </w:tc>
      </w:tr>
      <w:tr w:rsidR="00D1712A" w:rsidRPr="00454E54" w:rsidTr="00A865D6">
        <w:tc>
          <w:tcPr>
            <w:tcW w:w="1780" w:type="dxa"/>
            <w:shd w:val="clear" w:color="auto" w:fill="auto"/>
          </w:tcPr>
          <w:p w:rsidR="00D1712A" w:rsidRPr="00454E54" w:rsidRDefault="009658DA" w:rsidP="0096510E">
            <w:pPr>
              <w:jc w:val="center"/>
            </w:pPr>
            <w:r>
              <w:t>9/</w:t>
            </w:r>
            <w:r w:rsidR="007B7883">
              <w:t>29</w:t>
            </w:r>
          </w:p>
        </w:tc>
        <w:tc>
          <w:tcPr>
            <w:tcW w:w="2000" w:type="dxa"/>
          </w:tcPr>
          <w:p w:rsidR="00D1712A" w:rsidRDefault="00D1712A" w:rsidP="00585A48">
            <w:pPr>
              <w:jc w:val="center"/>
            </w:pPr>
            <w:r>
              <w:t>15</w:t>
            </w:r>
          </w:p>
        </w:tc>
        <w:tc>
          <w:tcPr>
            <w:tcW w:w="3852" w:type="dxa"/>
            <w:vMerge/>
            <w:shd w:val="clear" w:color="auto" w:fill="auto"/>
          </w:tcPr>
          <w:p w:rsidR="00D1712A" w:rsidRPr="00454E54" w:rsidRDefault="00D1712A" w:rsidP="0096510E">
            <w:pPr>
              <w:pStyle w:val="Address"/>
              <w:spacing w:after="0"/>
              <w:ind w:left="0"/>
              <w:rPr>
                <w:szCs w:val="24"/>
              </w:rPr>
            </w:pPr>
          </w:p>
        </w:tc>
      </w:tr>
      <w:tr w:rsidR="00D1712A" w:rsidRPr="00454E54" w:rsidTr="006C19F7">
        <w:tc>
          <w:tcPr>
            <w:tcW w:w="1780" w:type="dxa"/>
            <w:shd w:val="clear" w:color="auto" w:fill="auto"/>
          </w:tcPr>
          <w:p w:rsidR="00D1712A" w:rsidRPr="00454E54" w:rsidRDefault="009658DA" w:rsidP="0096510E">
            <w:pPr>
              <w:jc w:val="center"/>
            </w:pPr>
            <w:r>
              <w:t>9/</w:t>
            </w:r>
            <w:r w:rsidR="007B7883">
              <w:t>30</w:t>
            </w:r>
          </w:p>
        </w:tc>
        <w:tc>
          <w:tcPr>
            <w:tcW w:w="2000" w:type="dxa"/>
          </w:tcPr>
          <w:p w:rsidR="00D1712A" w:rsidRDefault="00D1712A" w:rsidP="00585A48">
            <w:pPr>
              <w:jc w:val="center"/>
            </w:pPr>
            <w:r>
              <w:t>16</w:t>
            </w:r>
          </w:p>
        </w:tc>
        <w:tc>
          <w:tcPr>
            <w:tcW w:w="3852" w:type="dxa"/>
            <w:vMerge/>
            <w:shd w:val="clear" w:color="auto" w:fill="auto"/>
          </w:tcPr>
          <w:p w:rsidR="00D1712A" w:rsidRPr="00454E54" w:rsidRDefault="00D1712A" w:rsidP="0096510E">
            <w:pPr>
              <w:pStyle w:val="Address"/>
              <w:spacing w:after="0"/>
              <w:ind w:left="0"/>
              <w:rPr>
                <w:szCs w:val="24"/>
              </w:rPr>
            </w:pPr>
          </w:p>
        </w:tc>
      </w:tr>
      <w:tr w:rsidR="00D1712A" w:rsidRPr="00454E54" w:rsidTr="00A865D6">
        <w:tc>
          <w:tcPr>
            <w:tcW w:w="1780" w:type="dxa"/>
            <w:tcBorders>
              <w:bottom w:val="single" w:sz="4" w:space="0" w:color="auto"/>
            </w:tcBorders>
            <w:shd w:val="clear" w:color="auto" w:fill="auto"/>
          </w:tcPr>
          <w:p w:rsidR="00D1712A" w:rsidRPr="00454E54" w:rsidRDefault="009658DA" w:rsidP="0096510E">
            <w:pPr>
              <w:jc w:val="center"/>
            </w:pPr>
            <w:r>
              <w:t>10/1</w:t>
            </w:r>
          </w:p>
        </w:tc>
        <w:tc>
          <w:tcPr>
            <w:tcW w:w="2000" w:type="dxa"/>
          </w:tcPr>
          <w:p w:rsidR="00D1712A" w:rsidRPr="005E0E3D" w:rsidRDefault="00D1712A" w:rsidP="00585A48">
            <w:pPr>
              <w:jc w:val="center"/>
            </w:pPr>
            <w:r>
              <w:t>17</w:t>
            </w:r>
          </w:p>
        </w:tc>
        <w:tc>
          <w:tcPr>
            <w:tcW w:w="3852" w:type="dxa"/>
            <w:vMerge/>
            <w:shd w:val="clear" w:color="auto" w:fill="auto"/>
          </w:tcPr>
          <w:p w:rsidR="00D1712A" w:rsidRPr="00454E54" w:rsidRDefault="00D1712A" w:rsidP="0096510E">
            <w:pPr>
              <w:pStyle w:val="Address"/>
              <w:spacing w:after="0"/>
              <w:ind w:left="0"/>
              <w:rPr>
                <w:szCs w:val="24"/>
              </w:rPr>
            </w:pPr>
          </w:p>
        </w:tc>
      </w:tr>
      <w:tr w:rsidR="00D1712A" w:rsidRPr="00996FA6" w:rsidTr="00A865D6">
        <w:tc>
          <w:tcPr>
            <w:tcW w:w="1780" w:type="dxa"/>
            <w:shd w:val="clear" w:color="auto" w:fill="auto"/>
          </w:tcPr>
          <w:p w:rsidR="00D1712A" w:rsidRPr="005E0E3D" w:rsidRDefault="009658DA" w:rsidP="0096510E">
            <w:pPr>
              <w:jc w:val="center"/>
            </w:pPr>
            <w:r>
              <w:t>10/6</w:t>
            </w:r>
          </w:p>
        </w:tc>
        <w:tc>
          <w:tcPr>
            <w:tcW w:w="2000" w:type="dxa"/>
          </w:tcPr>
          <w:p w:rsidR="00D1712A" w:rsidRDefault="00D1712A" w:rsidP="00585A48">
            <w:pPr>
              <w:jc w:val="center"/>
            </w:pPr>
            <w:r>
              <w:t>18</w:t>
            </w:r>
          </w:p>
        </w:tc>
        <w:tc>
          <w:tcPr>
            <w:tcW w:w="3852" w:type="dxa"/>
            <w:vMerge/>
            <w:shd w:val="clear" w:color="auto" w:fill="auto"/>
          </w:tcPr>
          <w:p w:rsidR="00D1712A" w:rsidRPr="00996FA6" w:rsidRDefault="00D1712A" w:rsidP="0096510E">
            <w:pPr>
              <w:pStyle w:val="Default"/>
              <w:keepLines/>
              <w:suppressAutoHyphens/>
              <w:autoSpaceDE/>
              <w:autoSpaceDN/>
              <w:adjustRightInd/>
            </w:pPr>
          </w:p>
        </w:tc>
      </w:tr>
      <w:tr w:rsidR="00D1712A" w:rsidRPr="00996FA6" w:rsidTr="006C19F7">
        <w:tc>
          <w:tcPr>
            <w:tcW w:w="1780" w:type="dxa"/>
            <w:shd w:val="clear" w:color="auto" w:fill="auto"/>
          </w:tcPr>
          <w:p w:rsidR="00D1712A" w:rsidRPr="00454E54" w:rsidRDefault="009658DA" w:rsidP="0096510E">
            <w:pPr>
              <w:jc w:val="center"/>
            </w:pPr>
            <w:r>
              <w:t>10/7</w:t>
            </w:r>
          </w:p>
        </w:tc>
        <w:tc>
          <w:tcPr>
            <w:tcW w:w="2000" w:type="dxa"/>
          </w:tcPr>
          <w:p w:rsidR="00D1712A" w:rsidRDefault="00D1712A" w:rsidP="00585A48">
            <w:pPr>
              <w:jc w:val="center"/>
            </w:pPr>
            <w:r>
              <w:t>19</w:t>
            </w:r>
          </w:p>
        </w:tc>
        <w:tc>
          <w:tcPr>
            <w:tcW w:w="3852" w:type="dxa"/>
            <w:vMerge/>
            <w:shd w:val="clear" w:color="auto" w:fill="auto"/>
          </w:tcPr>
          <w:p w:rsidR="00D1712A" w:rsidRPr="00996FA6" w:rsidRDefault="00D1712A" w:rsidP="0096510E">
            <w:pPr>
              <w:pStyle w:val="Default"/>
              <w:keepLines/>
              <w:suppressAutoHyphens/>
              <w:autoSpaceDE/>
              <w:autoSpaceDN/>
              <w:adjustRightInd/>
            </w:pPr>
          </w:p>
        </w:tc>
      </w:tr>
      <w:tr w:rsidR="00D1712A" w:rsidRPr="00996FA6" w:rsidTr="006C19F7">
        <w:tc>
          <w:tcPr>
            <w:tcW w:w="1780" w:type="dxa"/>
            <w:shd w:val="clear" w:color="auto" w:fill="auto"/>
          </w:tcPr>
          <w:p w:rsidR="00D1712A" w:rsidRPr="00454E54" w:rsidRDefault="009658DA" w:rsidP="0096510E">
            <w:pPr>
              <w:jc w:val="center"/>
            </w:pPr>
            <w:r>
              <w:t>10/8</w:t>
            </w:r>
          </w:p>
        </w:tc>
        <w:tc>
          <w:tcPr>
            <w:tcW w:w="2000" w:type="dxa"/>
          </w:tcPr>
          <w:p w:rsidR="00D1712A" w:rsidRDefault="00D1712A" w:rsidP="00585A48">
            <w:pPr>
              <w:jc w:val="center"/>
            </w:pPr>
            <w:r>
              <w:t>20</w:t>
            </w:r>
          </w:p>
        </w:tc>
        <w:tc>
          <w:tcPr>
            <w:tcW w:w="3852" w:type="dxa"/>
            <w:vMerge/>
            <w:shd w:val="clear" w:color="auto" w:fill="auto"/>
          </w:tcPr>
          <w:p w:rsidR="00D1712A" w:rsidRPr="00996FA6" w:rsidRDefault="00D1712A" w:rsidP="0096510E">
            <w:pPr>
              <w:pStyle w:val="Default"/>
              <w:keepLines/>
              <w:suppressAutoHyphens/>
              <w:autoSpaceDE/>
              <w:autoSpaceDN/>
              <w:adjustRightInd/>
            </w:pPr>
          </w:p>
        </w:tc>
      </w:tr>
      <w:tr w:rsidR="00D1712A" w:rsidRPr="00996FA6" w:rsidTr="00A865D6">
        <w:tc>
          <w:tcPr>
            <w:tcW w:w="1780" w:type="dxa"/>
            <w:tcBorders>
              <w:bottom w:val="single" w:sz="4" w:space="0" w:color="auto"/>
            </w:tcBorders>
            <w:shd w:val="clear" w:color="auto" w:fill="auto"/>
          </w:tcPr>
          <w:p w:rsidR="00D1712A" w:rsidRPr="00454E54" w:rsidRDefault="009658DA" w:rsidP="0096510E">
            <w:pPr>
              <w:jc w:val="center"/>
            </w:pPr>
            <w:r>
              <w:t>10/13</w:t>
            </w:r>
          </w:p>
        </w:tc>
        <w:tc>
          <w:tcPr>
            <w:tcW w:w="2000" w:type="dxa"/>
          </w:tcPr>
          <w:p w:rsidR="00D1712A" w:rsidRDefault="00D1712A" w:rsidP="00585A48">
            <w:pPr>
              <w:jc w:val="center"/>
            </w:pPr>
            <w:r>
              <w:t>21</w:t>
            </w:r>
          </w:p>
        </w:tc>
        <w:tc>
          <w:tcPr>
            <w:tcW w:w="3852" w:type="dxa"/>
            <w:vMerge w:val="restart"/>
            <w:shd w:val="clear" w:color="auto" w:fill="auto"/>
            <w:vAlign w:val="center"/>
          </w:tcPr>
          <w:p w:rsidR="00D1712A" w:rsidRPr="00996FA6" w:rsidRDefault="00D1712A" w:rsidP="005E0E3D">
            <w:pPr>
              <w:pStyle w:val="Default"/>
              <w:keepLines/>
              <w:suppressAutoHyphens/>
              <w:autoSpaceDE/>
              <w:autoSpaceDN/>
              <w:adjustRightInd/>
            </w:pPr>
            <w:r>
              <w:t>Public Offerings</w:t>
            </w:r>
          </w:p>
        </w:tc>
      </w:tr>
      <w:tr w:rsidR="00D1712A" w:rsidRPr="00996FA6" w:rsidTr="00A865D6">
        <w:tc>
          <w:tcPr>
            <w:tcW w:w="1780" w:type="dxa"/>
            <w:shd w:val="clear" w:color="auto" w:fill="auto"/>
          </w:tcPr>
          <w:p w:rsidR="00D1712A" w:rsidRPr="00454E54" w:rsidRDefault="009658DA" w:rsidP="0096510E">
            <w:pPr>
              <w:jc w:val="center"/>
            </w:pPr>
            <w:r>
              <w:t>10/14</w:t>
            </w:r>
          </w:p>
        </w:tc>
        <w:tc>
          <w:tcPr>
            <w:tcW w:w="2000" w:type="dxa"/>
          </w:tcPr>
          <w:p w:rsidR="00D1712A" w:rsidRDefault="00D1712A" w:rsidP="00585A48">
            <w:pPr>
              <w:jc w:val="center"/>
            </w:pPr>
            <w:r>
              <w:t>22</w:t>
            </w:r>
          </w:p>
        </w:tc>
        <w:tc>
          <w:tcPr>
            <w:tcW w:w="3852" w:type="dxa"/>
            <w:vMerge/>
            <w:shd w:val="clear" w:color="auto" w:fill="auto"/>
          </w:tcPr>
          <w:p w:rsidR="00D1712A" w:rsidRPr="00996FA6" w:rsidRDefault="00D1712A" w:rsidP="0096510E">
            <w:pPr>
              <w:pStyle w:val="Default"/>
              <w:keepLines/>
              <w:suppressAutoHyphens/>
              <w:autoSpaceDE/>
              <w:autoSpaceDN/>
              <w:adjustRightInd/>
            </w:pPr>
          </w:p>
        </w:tc>
      </w:tr>
      <w:tr w:rsidR="00D1712A" w:rsidTr="006C19F7">
        <w:tc>
          <w:tcPr>
            <w:tcW w:w="1780" w:type="dxa"/>
            <w:shd w:val="clear" w:color="auto" w:fill="auto"/>
          </w:tcPr>
          <w:p w:rsidR="00D1712A" w:rsidRPr="00454E54" w:rsidRDefault="009658DA" w:rsidP="0096510E">
            <w:pPr>
              <w:jc w:val="center"/>
            </w:pPr>
            <w:r>
              <w:t>10/15</w:t>
            </w:r>
          </w:p>
        </w:tc>
        <w:tc>
          <w:tcPr>
            <w:tcW w:w="2000" w:type="dxa"/>
          </w:tcPr>
          <w:p w:rsidR="00D1712A" w:rsidRDefault="00D1712A" w:rsidP="00585A48">
            <w:pPr>
              <w:jc w:val="center"/>
            </w:pPr>
            <w:r>
              <w:t>23</w:t>
            </w:r>
          </w:p>
        </w:tc>
        <w:tc>
          <w:tcPr>
            <w:tcW w:w="3852" w:type="dxa"/>
            <w:vMerge/>
            <w:shd w:val="clear" w:color="auto" w:fill="auto"/>
          </w:tcPr>
          <w:p w:rsidR="00D1712A" w:rsidRDefault="00D1712A" w:rsidP="0096510E">
            <w:pPr>
              <w:pStyle w:val="Default"/>
            </w:pPr>
          </w:p>
        </w:tc>
      </w:tr>
      <w:tr w:rsidR="00D1712A" w:rsidTr="006C19F7">
        <w:tc>
          <w:tcPr>
            <w:tcW w:w="1780" w:type="dxa"/>
            <w:shd w:val="clear" w:color="auto" w:fill="auto"/>
          </w:tcPr>
          <w:p w:rsidR="00D1712A" w:rsidRPr="00454E54" w:rsidRDefault="009658DA" w:rsidP="0096510E">
            <w:pPr>
              <w:jc w:val="center"/>
            </w:pPr>
            <w:r>
              <w:t>10/20</w:t>
            </w:r>
          </w:p>
        </w:tc>
        <w:tc>
          <w:tcPr>
            <w:tcW w:w="2000" w:type="dxa"/>
          </w:tcPr>
          <w:p w:rsidR="00D1712A" w:rsidRDefault="00D1712A" w:rsidP="00585A48">
            <w:pPr>
              <w:jc w:val="center"/>
            </w:pPr>
            <w:r>
              <w:t>24</w:t>
            </w:r>
          </w:p>
        </w:tc>
        <w:tc>
          <w:tcPr>
            <w:tcW w:w="3852" w:type="dxa"/>
            <w:vMerge/>
            <w:shd w:val="clear" w:color="auto" w:fill="auto"/>
          </w:tcPr>
          <w:p w:rsidR="00D1712A" w:rsidRDefault="00D1712A" w:rsidP="0096510E">
            <w:pPr>
              <w:pStyle w:val="Default"/>
            </w:pPr>
          </w:p>
        </w:tc>
      </w:tr>
      <w:tr w:rsidR="00D1712A" w:rsidTr="006C19F7">
        <w:tc>
          <w:tcPr>
            <w:tcW w:w="1780" w:type="dxa"/>
            <w:shd w:val="clear" w:color="auto" w:fill="auto"/>
          </w:tcPr>
          <w:p w:rsidR="00D1712A" w:rsidRPr="00454E54" w:rsidRDefault="009658DA" w:rsidP="0096510E">
            <w:pPr>
              <w:jc w:val="center"/>
            </w:pPr>
            <w:r>
              <w:t>10/21</w:t>
            </w:r>
          </w:p>
        </w:tc>
        <w:tc>
          <w:tcPr>
            <w:tcW w:w="2000" w:type="dxa"/>
          </w:tcPr>
          <w:p w:rsidR="00D1712A" w:rsidRDefault="00D1712A" w:rsidP="00585A48">
            <w:pPr>
              <w:jc w:val="center"/>
            </w:pPr>
            <w:r>
              <w:t>25</w:t>
            </w:r>
          </w:p>
        </w:tc>
        <w:tc>
          <w:tcPr>
            <w:tcW w:w="3852" w:type="dxa"/>
            <w:vMerge/>
            <w:shd w:val="clear" w:color="auto" w:fill="auto"/>
          </w:tcPr>
          <w:p w:rsidR="00D1712A" w:rsidRDefault="00D1712A" w:rsidP="0096510E">
            <w:pPr>
              <w:pStyle w:val="Default"/>
            </w:pPr>
          </w:p>
        </w:tc>
      </w:tr>
      <w:tr w:rsidR="00D1712A" w:rsidTr="00A865D6">
        <w:tc>
          <w:tcPr>
            <w:tcW w:w="1780" w:type="dxa"/>
            <w:tcBorders>
              <w:bottom w:val="single" w:sz="4" w:space="0" w:color="auto"/>
            </w:tcBorders>
            <w:shd w:val="clear" w:color="auto" w:fill="auto"/>
          </w:tcPr>
          <w:p w:rsidR="00D1712A" w:rsidRPr="00454E54" w:rsidRDefault="009658DA" w:rsidP="0096510E">
            <w:pPr>
              <w:jc w:val="center"/>
            </w:pPr>
            <w:r>
              <w:t>10/22</w:t>
            </w:r>
          </w:p>
        </w:tc>
        <w:tc>
          <w:tcPr>
            <w:tcW w:w="2000" w:type="dxa"/>
          </w:tcPr>
          <w:p w:rsidR="00D1712A" w:rsidRDefault="00D1712A" w:rsidP="00585A48">
            <w:pPr>
              <w:jc w:val="center"/>
            </w:pPr>
            <w:r>
              <w:t>26</w:t>
            </w:r>
          </w:p>
        </w:tc>
        <w:tc>
          <w:tcPr>
            <w:tcW w:w="3852" w:type="dxa"/>
            <w:vMerge/>
            <w:shd w:val="clear" w:color="auto" w:fill="auto"/>
          </w:tcPr>
          <w:p w:rsidR="00D1712A" w:rsidRDefault="00D1712A" w:rsidP="0096510E">
            <w:pPr>
              <w:pStyle w:val="Default"/>
            </w:pPr>
          </w:p>
        </w:tc>
      </w:tr>
      <w:tr w:rsidR="00D1712A" w:rsidTr="006C19F7">
        <w:tc>
          <w:tcPr>
            <w:tcW w:w="1780" w:type="dxa"/>
            <w:tcBorders>
              <w:bottom w:val="single" w:sz="4" w:space="0" w:color="auto"/>
            </w:tcBorders>
            <w:shd w:val="clear" w:color="auto" w:fill="auto"/>
          </w:tcPr>
          <w:p w:rsidR="00D1712A" w:rsidRPr="00454E54" w:rsidRDefault="009658DA" w:rsidP="0096510E">
            <w:pPr>
              <w:jc w:val="center"/>
            </w:pPr>
            <w:r>
              <w:t>10/27</w:t>
            </w:r>
          </w:p>
        </w:tc>
        <w:tc>
          <w:tcPr>
            <w:tcW w:w="2000" w:type="dxa"/>
          </w:tcPr>
          <w:p w:rsidR="00D1712A" w:rsidRDefault="00D1712A" w:rsidP="00585A48">
            <w:pPr>
              <w:jc w:val="center"/>
            </w:pPr>
            <w:r>
              <w:t>27</w:t>
            </w:r>
          </w:p>
        </w:tc>
        <w:tc>
          <w:tcPr>
            <w:tcW w:w="3852" w:type="dxa"/>
            <w:vMerge w:val="restart"/>
            <w:shd w:val="clear" w:color="auto" w:fill="auto"/>
            <w:vAlign w:val="center"/>
          </w:tcPr>
          <w:p w:rsidR="00D1712A" w:rsidRPr="00996FA6" w:rsidRDefault="00D1712A" w:rsidP="0096510E">
            <w:pPr>
              <w:pStyle w:val="Default"/>
              <w:keepLines/>
              <w:suppressAutoHyphens/>
              <w:autoSpaceDE/>
              <w:autoSpaceDN/>
              <w:adjustRightInd/>
            </w:pPr>
            <w:r>
              <w:t>Public Offerings (</w:t>
            </w:r>
            <w:proofErr w:type="spellStart"/>
            <w:r>
              <w:t>cont</w:t>
            </w:r>
            <w:proofErr w:type="spellEnd"/>
            <w:r>
              <w:t>)</w:t>
            </w:r>
          </w:p>
        </w:tc>
      </w:tr>
      <w:tr w:rsidR="00D1712A" w:rsidTr="00A865D6">
        <w:tc>
          <w:tcPr>
            <w:tcW w:w="1780" w:type="dxa"/>
            <w:shd w:val="clear" w:color="auto" w:fill="auto"/>
          </w:tcPr>
          <w:p w:rsidR="00D1712A" w:rsidRPr="00454E54" w:rsidRDefault="009658DA" w:rsidP="0096510E">
            <w:pPr>
              <w:jc w:val="center"/>
            </w:pPr>
            <w:r>
              <w:t>10/28</w:t>
            </w:r>
          </w:p>
        </w:tc>
        <w:tc>
          <w:tcPr>
            <w:tcW w:w="2000" w:type="dxa"/>
            <w:tcBorders>
              <w:bottom w:val="single" w:sz="4" w:space="0" w:color="auto"/>
            </w:tcBorders>
          </w:tcPr>
          <w:p w:rsidR="00D1712A" w:rsidRDefault="00D1712A" w:rsidP="00585A48">
            <w:pPr>
              <w:jc w:val="center"/>
            </w:pPr>
            <w:r>
              <w:t>28</w:t>
            </w:r>
          </w:p>
        </w:tc>
        <w:tc>
          <w:tcPr>
            <w:tcW w:w="3852" w:type="dxa"/>
            <w:vMerge/>
            <w:tcBorders>
              <w:bottom w:val="single" w:sz="4" w:space="0" w:color="auto"/>
            </w:tcBorders>
            <w:shd w:val="clear" w:color="auto" w:fill="auto"/>
          </w:tcPr>
          <w:p w:rsidR="00D1712A" w:rsidRDefault="00D1712A" w:rsidP="0096510E">
            <w:pPr>
              <w:pStyle w:val="Default"/>
            </w:pPr>
          </w:p>
        </w:tc>
      </w:tr>
      <w:tr w:rsidR="00D1712A" w:rsidRPr="00996FA6" w:rsidTr="006C19F7">
        <w:tc>
          <w:tcPr>
            <w:tcW w:w="1780" w:type="dxa"/>
            <w:shd w:val="clear" w:color="auto" w:fill="auto"/>
          </w:tcPr>
          <w:p w:rsidR="00D1712A" w:rsidRPr="00454E54" w:rsidRDefault="009658DA" w:rsidP="0096510E">
            <w:pPr>
              <w:jc w:val="center"/>
            </w:pPr>
            <w:r>
              <w:t>10/29</w:t>
            </w:r>
          </w:p>
        </w:tc>
        <w:tc>
          <w:tcPr>
            <w:tcW w:w="2000" w:type="dxa"/>
          </w:tcPr>
          <w:p w:rsidR="00D1712A" w:rsidRDefault="00D1712A" w:rsidP="00585A48">
            <w:pPr>
              <w:jc w:val="center"/>
            </w:pPr>
            <w:r>
              <w:t>29</w:t>
            </w:r>
          </w:p>
        </w:tc>
        <w:tc>
          <w:tcPr>
            <w:tcW w:w="3852" w:type="dxa"/>
            <w:vMerge w:val="restart"/>
            <w:shd w:val="clear" w:color="auto" w:fill="auto"/>
            <w:vAlign w:val="center"/>
          </w:tcPr>
          <w:p w:rsidR="00D1712A" w:rsidRPr="00996FA6" w:rsidRDefault="00D1712A" w:rsidP="005E0E3D">
            <w:pPr>
              <w:keepLines/>
            </w:pPr>
            <w:r>
              <w:t>Securities Act Liability</w:t>
            </w:r>
          </w:p>
        </w:tc>
      </w:tr>
      <w:tr w:rsidR="00D1712A" w:rsidRPr="00916AB7" w:rsidTr="00A865D6">
        <w:tc>
          <w:tcPr>
            <w:tcW w:w="1780" w:type="dxa"/>
            <w:shd w:val="clear" w:color="auto" w:fill="auto"/>
          </w:tcPr>
          <w:p w:rsidR="00D1712A" w:rsidRPr="009658DA" w:rsidRDefault="009658DA" w:rsidP="0096510E">
            <w:pPr>
              <w:jc w:val="center"/>
            </w:pPr>
            <w:r w:rsidRPr="009658DA">
              <w:t>11/3</w:t>
            </w:r>
          </w:p>
        </w:tc>
        <w:tc>
          <w:tcPr>
            <w:tcW w:w="2000" w:type="dxa"/>
          </w:tcPr>
          <w:p w:rsidR="00D1712A" w:rsidRDefault="00D1712A" w:rsidP="00585A48">
            <w:pPr>
              <w:jc w:val="center"/>
            </w:pPr>
            <w:r>
              <w:t>30</w:t>
            </w:r>
          </w:p>
        </w:tc>
        <w:tc>
          <w:tcPr>
            <w:tcW w:w="3852" w:type="dxa"/>
            <w:vMerge/>
            <w:shd w:val="clear" w:color="auto" w:fill="auto"/>
          </w:tcPr>
          <w:p w:rsidR="00D1712A" w:rsidRPr="00916AB7" w:rsidRDefault="00D1712A" w:rsidP="0096510E">
            <w:pPr>
              <w:keepLines/>
              <w:rPr>
                <w:highlight w:val="yellow"/>
              </w:rPr>
            </w:pPr>
          </w:p>
        </w:tc>
      </w:tr>
      <w:tr w:rsidR="00D1712A" w:rsidRPr="00916AB7" w:rsidTr="006B3806">
        <w:tc>
          <w:tcPr>
            <w:tcW w:w="1780" w:type="dxa"/>
            <w:tcBorders>
              <w:top w:val="single" w:sz="4" w:space="0" w:color="auto"/>
              <w:bottom w:val="single" w:sz="4" w:space="0" w:color="auto"/>
            </w:tcBorders>
            <w:shd w:val="clear" w:color="auto" w:fill="auto"/>
          </w:tcPr>
          <w:p w:rsidR="00D1712A" w:rsidRPr="009658DA" w:rsidRDefault="009658DA" w:rsidP="0096510E">
            <w:pPr>
              <w:jc w:val="center"/>
            </w:pPr>
            <w:r w:rsidRPr="009658DA">
              <w:t>11/4</w:t>
            </w:r>
          </w:p>
        </w:tc>
        <w:tc>
          <w:tcPr>
            <w:tcW w:w="2000" w:type="dxa"/>
            <w:vAlign w:val="center"/>
          </w:tcPr>
          <w:p w:rsidR="00D1712A" w:rsidRDefault="0021617C" w:rsidP="00585A48">
            <w:pPr>
              <w:jc w:val="center"/>
            </w:pPr>
            <w:r>
              <w:t>31</w:t>
            </w:r>
          </w:p>
        </w:tc>
        <w:tc>
          <w:tcPr>
            <w:tcW w:w="3852" w:type="dxa"/>
            <w:vMerge/>
            <w:shd w:val="clear" w:color="auto" w:fill="auto"/>
          </w:tcPr>
          <w:p w:rsidR="00D1712A" w:rsidRPr="00916AB7" w:rsidRDefault="00D1712A" w:rsidP="0096510E">
            <w:pPr>
              <w:keepLines/>
              <w:rPr>
                <w:highlight w:val="yellow"/>
              </w:rPr>
            </w:pPr>
          </w:p>
        </w:tc>
      </w:tr>
      <w:tr w:rsidR="00D1712A" w:rsidRPr="00996FA6" w:rsidTr="006C19F7">
        <w:tc>
          <w:tcPr>
            <w:tcW w:w="1780" w:type="dxa"/>
            <w:tcBorders>
              <w:top w:val="single" w:sz="4" w:space="0" w:color="auto"/>
              <w:left w:val="single" w:sz="4" w:space="0" w:color="auto"/>
              <w:bottom w:val="single" w:sz="4" w:space="0" w:color="auto"/>
            </w:tcBorders>
            <w:shd w:val="clear" w:color="auto" w:fill="auto"/>
          </w:tcPr>
          <w:p w:rsidR="00D1712A" w:rsidRPr="00454E54" w:rsidRDefault="009658DA" w:rsidP="0096510E">
            <w:pPr>
              <w:jc w:val="center"/>
            </w:pPr>
            <w:r>
              <w:t>11/5</w:t>
            </w:r>
          </w:p>
        </w:tc>
        <w:tc>
          <w:tcPr>
            <w:tcW w:w="2000" w:type="dxa"/>
          </w:tcPr>
          <w:p w:rsidR="00D1712A" w:rsidRDefault="00D1712A" w:rsidP="00585A48">
            <w:pPr>
              <w:jc w:val="center"/>
            </w:pPr>
            <w:r>
              <w:t>32</w:t>
            </w:r>
          </w:p>
        </w:tc>
        <w:tc>
          <w:tcPr>
            <w:tcW w:w="3852" w:type="dxa"/>
            <w:vMerge/>
            <w:shd w:val="clear" w:color="auto" w:fill="auto"/>
          </w:tcPr>
          <w:p w:rsidR="00D1712A" w:rsidRPr="00996FA6" w:rsidRDefault="00D1712A" w:rsidP="0096510E">
            <w:pPr>
              <w:keepLines/>
            </w:pPr>
          </w:p>
        </w:tc>
      </w:tr>
      <w:tr w:rsidR="00D1712A" w:rsidRPr="00996FA6" w:rsidTr="006C19F7">
        <w:tc>
          <w:tcPr>
            <w:tcW w:w="1780" w:type="dxa"/>
            <w:tcBorders>
              <w:top w:val="single" w:sz="4" w:space="0" w:color="auto"/>
              <w:left w:val="single" w:sz="4" w:space="0" w:color="auto"/>
              <w:bottom w:val="single" w:sz="4" w:space="0" w:color="auto"/>
            </w:tcBorders>
            <w:shd w:val="clear" w:color="auto" w:fill="auto"/>
          </w:tcPr>
          <w:p w:rsidR="00D1712A" w:rsidRPr="00454E54" w:rsidRDefault="009658DA" w:rsidP="0096510E">
            <w:pPr>
              <w:jc w:val="center"/>
            </w:pPr>
            <w:r>
              <w:t>11/10</w:t>
            </w:r>
          </w:p>
        </w:tc>
        <w:tc>
          <w:tcPr>
            <w:tcW w:w="2000" w:type="dxa"/>
          </w:tcPr>
          <w:p w:rsidR="00D1712A" w:rsidRDefault="00D1712A" w:rsidP="00585A48">
            <w:pPr>
              <w:jc w:val="center"/>
            </w:pPr>
            <w:r>
              <w:t>33</w:t>
            </w:r>
          </w:p>
        </w:tc>
        <w:tc>
          <w:tcPr>
            <w:tcW w:w="3852" w:type="dxa"/>
            <w:vMerge/>
            <w:shd w:val="clear" w:color="auto" w:fill="auto"/>
          </w:tcPr>
          <w:p w:rsidR="00D1712A" w:rsidRPr="00996FA6" w:rsidRDefault="00D1712A" w:rsidP="0096510E">
            <w:pPr>
              <w:keepLines/>
            </w:pPr>
          </w:p>
        </w:tc>
      </w:tr>
      <w:tr w:rsidR="009658DA" w:rsidRPr="009C484E" w:rsidTr="00614130">
        <w:tc>
          <w:tcPr>
            <w:tcW w:w="1780" w:type="dxa"/>
            <w:shd w:val="clear" w:color="auto" w:fill="auto"/>
            <w:vAlign w:val="center"/>
          </w:tcPr>
          <w:p w:rsidR="009658DA" w:rsidRPr="00454E54" w:rsidRDefault="009658DA" w:rsidP="00614130">
            <w:pPr>
              <w:jc w:val="center"/>
            </w:pPr>
            <w:r>
              <w:t>11/11</w:t>
            </w:r>
          </w:p>
        </w:tc>
        <w:tc>
          <w:tcPr>
            <w:tcW w:w="2000" w:type="dxa"/>
            <w:vAlign w:val="center"/>
          </w:tcPr>
          <w:p w:rsidR="009658DA" w:rsidRDefault="009658DA" w:rsidP="00614130">
            <w:pPr>
              <w:jc w:val="center"/>
            </w:pPr>
            <w:r>
              <w:t>(No Class</w:t>
            </w:r>
          </w:p>
          <w:p w:rsidR="009658DA" w:rsidRDefault="009658DA" w:rsidP="00614130">
            <w:pPr>
              <w:jc w:val="center"/>
            </w:pPr>
            <w:r>
              <w:t>Veterans Day)</w:t>
            </w:r>
          </w:p>
        </w:tc>
        <w:tc>
          <w:tcPr>
            <w:tcW w:w="3852" w:type="dxa"/>
            <w:shd w:val="clear" w:color="auto" w:fill="auto"/>
            <w:vAlign w:val="center"/>
          </w:tcPr>
          <w:p w:rsidR="009658DA" w:rsidRPr="00454E54" w:rsidRDefault="009658DA" w:rsidP="00614130">
            <w:pPr>
              <w:pStyle w:val="Address"/>
              <w:spacing w:after="0"/>
              <w:ind w:left="0"/>
              <w:jc w:val="center"/>
              <w:rPr>
                <w:szCs w:val="24"/>
              </w:rPr>
            </w:pPr>
          </w:p>
        </w:tc>
      </w:tr>
      <w:tr w:rsidR="00D1712A" w:rsidRPr="00996FA6" w:rsidTr="00A865D6">
        <w:tc>
          <w:tcPr>
            <w:tcW w:w="1780" w:type="dxa"/>
            <w:tcBorders>
              <w:top w:val="single" w:sz="4" w:space="0" w:color="auto"/>
              <w:left w:val="single" w:sz="4" w:space="0" w:color="auto"/>
              <w:bottom w:val="single" w:sz="4" w:space="0" w:color="auto"/>
              <w:right w:val="single" w:sz="4" w:space="0" w:color="auto"/>
            </w:tcBorders>
            <w:shd w:val="clear" w:color="auto" w:fill="auto"/>
          </w:tcPr>
          <w:p w:rsidR="00D1712A" w:rsidRPr="00454E54" w:rsidRDefault="009658DA" w:rsidP="0096510E">
            <w:pPr>
              <w:jc w:val="center"/>
            </w:pPr>
            <w:r>
              <w:t>11/12</w:t>
            </w:r>
          </w:p>
        </w:tc>
        <w:tc>
          <w:tcPr>
            <w:tcW w:w="2000" w:type="dxa"/>
            <w:tcBorders>
              <w:bottom w:val="single" w:sz="4" w:space="0" w:color="auto"/>
            </w:tcBorders>
          </w:tcPr>
          <w:p w:rsidR="00D1712A" w:rsidRDefault="00D1712A" w:rsidP="00585A48">
            <w:pPr>
              <w:jc w:val="center"/>
            </w:pPr>
            <w:r>
              <w:t>34</w:t>
            </w:r>
          </w:p>
        </w:tc>
        <w:tc>
          <w:tcPr>
            <w:tcW w:w="3852" w:type="dxa"/>
            <w:tcBorders>
              <w:bottom w:val="single" w:sz="4" w:space="0" w:color="auto"/>
            </w:tcBorders>
            <w:shd w:val="clear" w:color="auto" w:fill="auto"/>
          </w:tcPr>
          <w:p w:rsidR="00D1712A" w:rsidRPr="00996FA6" w:rsidRDefault="00D1712A" w:rsidP="0096510E">
            <w:pPr>
              <w:keepLines/>
            </w:pPr>
          </w:p>
        </w:tc>
      </w:tr>
      <w:tr w:rsidR="00D1712A" w:rsidRPr="00996FA6" w:rsidTr="00D1712A">
        <w:tc>
          <w:tcPr>
            <w:tcW w:w="1780" w:type="dxa"/>
            <w:tcBorders>
              <w:top w:val="single" w:sz="4" w:space="0" w:color="auto"/>
              <w:left w:val="single" w:sz="4" w:space="0" w:color="auto"/>
              <w:bottom w:val="single" w:sz="4" w:space="0" w:color="auto"/>
              <w:right w:val="single" w:sz="4" w:space="0" w:color="auto"/>
            </w:tcBorders>
            <w:shd w:val="clear" w:color="auto" w:fill="auto"/>
          </w:tcPr>
          <w:p w:rsidR="00D1712A" w:rsidRPr="00454E54" w:rsidRDefault="009658DA" w:rsidP="00585A48">
            <w:pPr>
              <w:jc w:val="center"/>
            </w:pPr>
            <w:r>
              <w:t>11/17</w:t>
            </w:r>
          </w:p>
        </w:tc>
        <w:tc>
          <w:tcPr>
            <w:tcW w:w="2000" w:type="dxa"/>
            <w:tcBorders>
              <w:top w:val="single" w:sz="4" w:space="0" w:color="auto"/>
              <w:left w:val="single" w:sz="4" w:space="0" w:color="auto"/>
              <w:bottom w:val="single" w:sz="4" w:space="0" w:color="auto"/>
              <w:right w:val="single" w:sz="4" w:space="0" w:color="auto"/>
            </w:tcBorders>
          </w:tcPr>
          <w:p w:rsidR="00D1712A" w:rsidRDefault="00D1712A" w:rsidP="00585A48">
            <w:pPr>
              <w:jc w:val="center"/>
            </w:pPr>
            <w:r>
              <w:t>35</w:t>
            </w:r>
          </w:p>
        </w:tc>
        <w:tc>
          <w:tcPr>
            <w:tcW w:w="3852" w:type="dxa"/>
            <w:vMerge w:val="restart"/>
            <w:tcBorders>
              <w:left w:val="single" w:sz="4" w:space="0" w:color="auto"/>
              <w:right w:val="single" w:sz="4" w:space="0" w:color="auto"/>
            </w:tcBorders>
            <w:shd w:val="clear" w:color="auto" w:fill="auto"/>
            <w:vAlign w:val="center"/>
          </w:tcPr>
          <w:p w:rsidR="00D1712A" w:rsidRPr="00996FA6" w:rsidRDefault="00D1712A" w:rsidP="005E0E3D">
            <w:pPr>
              <w:keepLines/>
            </w:pPr>
            <w:r>
              <w:t>Exempt Transactions</w:t>
            </w:r>
          </w:p>
        </w:tc>
      </w:tr>
      <w:tr w:rsidR="00D1712A" w:rsidRPr="00996FA6" w:rsidTr="00D1712A">
        <w:tc>
          <w:tcPr>
            <w:tcW w:w="1780" w:type="dxa"/>
            <w:tcBorders>
              <w:top w:val="single" w:sz="4" w:space="0" w:color="auto"/>
              <w:left w:val="single" w:sz="4" w:space="0" w:color="auto"/>
              <w:bottom w:val="single" w:sz="4" w:space="0" w:color="auto"/>
              <w:right w:val="single" w:sz="4" w:space="0" w:color="auto"/>
            </w:tcBorders>
            <w:shd w:val="clear" w:color="auto" w:fill="auto"/>
          </w:tcPr>
          <w:p w:rsidR="00D1712A" w:rsidRPr="00454E54" w:rsidRDefault="009658DA" w:rsidP="00585A48">
            <w:pPr>
              <w:jc w:val="center"/>
            </w:pPr>
            <w:r>
              <w:t>11/18</w:t>
            </w:r>
          </w:p>
        </w:tc>
        <w:tc>
          <w:tcPr>
            <w:tcW w:w="2000" w:type="dxa"/>
            <w:tcBorders>
              <w:top w:val="single" w:sz="4" w:space="0" w:color="auto"/>
              <w:left w:val="single" w:sz="4" w:space="0" w:color="auto"/>
              <w:bottom w:val="single" w:sz="4" w:space="0" w:color="auto"/>
              <w:right w:val="single" w:sz="4" w:space="0" w:color="auto"/>
            </w:tcBorders>
          </w:tcPr>
          <w:p w:rsidR="00D1712A" w:rsidRDefault="00D1712A" w:rsidP="00585A48">
            <w:pPr>
              <w:jc w:val="center"/>
            </w:pPr>
            <w:r>
              <w:t>36</w:t>
            </w:r>
          </w:p>
        </w:tc>
        <w:tc>
          <w:tcPr>
            <w:tcW w:w="3852" w:type="dxa"/>
            <w:vMerge/>
            <w:tcBorders>
              <w:left w:val="single" w:sz="4" w:space="0" w:color="auto"/>
              <w:right w:val="single" w:sz="4" w:space="0" w:color="auto"/>
            </w:tcBorders>
            <w:shd w:val="clear" w:color="auto" w:fill="auto"/>
            <w:vAlign w:val="center"/>
          </w:tcPr>
          <w:p w:rsidR="00D1712A" w:rsidRPr="00996FA6" w:rsidRDefault="00D1712A" w:rsidP="005E0E3D">
            <w:pPr>
              <w:keepLines/>
            </w:pPr>
          </w:p>
        </w:tc>
      </w:tr>
      <w:tr w:rsidR="00D1712A" w:rsidRPr="00996FA6" w:rsidTr="00D1712A">
        <w:tc>
          <w:tcPr>
            <w:tcW w:w="1780" w:type="dxa"/>
            <w:tcBorders>
              <w:top w:val="single" w:sz="4" w:space="0" w:color="auto"/>
              <w:left w:val="single" w:sz="4" w:space="0" w:color="auto"/>
              <w:bottom w:val="single" w:sz="4" w:space="0" w:color="auto"/>
              <w:right w:val="single" w:sz="4" w:space="0" w:color="auto"/>
            </w:tcBorders>
            <w:shd w:val="clear" w:color="auto" w:fill="auto"/>
          </w:tcPr>
          <w:p w:rsidR="00D1712A" w:rsidRPr="00454E54" w:rsidRDefault="009658DA" w:rsidP="00585A48">
            <w:pPr>
              <w:jc w:val="center"/>
            </w:pPr>
            <w:r>
              <w:t>11/19</w:t>
            </w:r>
          </w:p>
        </w:tc>
        <w:tc>
          <w:tcPr>
            <w:tcW w:w="2000" w:type="dxa"/>
            <w:tcBorders>
              <w:top w:val="single" w:sz="4" w:space="0" w:color="auto"/>
              <w:left w:val="single" w:sz="4" w:space="0" w:color="auto"/>
              <w:bottom w:val="single" w:sz="4" w:space="0" w:color="auto"/>
              <w:right w:val="single" w:sz="4" w:space="0" w:color="auto"/>
            </w:tcBorders>
          </w:tcPr>
          <w:p w:rsidR="00D1712A" w:rsidRDefault="00D1712A" w:rsidP="00585A48">
            <w:pPr>
              <w:jc w:val="center"/>
            </w:pPr>
            <w:r>
              <w:t>37</w:t>
            </w:r>
          </w:p>
        </w:tc>
        <w:tc>
          <w:tcPr>
            <w:tcW w:w="3852" w:type="dxa"/>
            <w:vMerge/>
            <w:tcBorders>
              <w:left w:val="single" w:sz="4" w:space="0" w:color="auto"/>
              <w:right w:val="single" w:sz="4" w:space="0" w:color="auto"/>
            </w:tcBorders>
            <w:shd w:val="clear" w:color="auto" w:fill="auto"/>
            <w:vAlign w:val="center"/>
          </w:tcPr>
          <w:p w:rsidR="00D1712A" w:rsidRPr="00996FA6" w:rsidRDefault="00D1712A" w:rsidP="005E0E3D">
            <w:pPr>
              <w:keepLines/>
            </w:pPr>
          </w:p>
        </w:tc>
      </w:tr>
      <w:tr w:rsidR="00D1712A" w:rsidRPr="00996FA6" w:rsidTr="00D1712A">
        <w:tc>
          <w:tcPr>
            <w:tcW w:w="1780" w:type="dxa"/>
            <w:tcBorders>
              <w:top w:val="single" w:sz="4" w:space="0" w:color="auto"/>
              <w:left w:val="single" w:sz="4" w:space="0" w:color="auto"/>
              <w:bottom w:val="single" w:sz="4" w:space="0" w:color="auto"/>
              <w:right w:val="single" w:sz="4" w:space="0" w:color="auto"/>
            </w:tcBorders>
            <w:shd w:val="clear" w:color="auto" w:fill="auto"/>
          </w:tcPr>
          <w:p w:rsidR="00D1712A" w:rsidRPr="00454E54" w:rsidRDefault="009658DA" w:rsidP="00585A48">
            <w:pPr>
              <w:jc w:val="center"/>
            </w:pPr>
            <w:r>
              <w:t>11/24</w:t>
            </w:r>
          </w:p>
        </w:tc>
        <w:tc>
          <w:tcPr>
            <w:tcW w:w="2000" w:type="dxa"/>
            <w:tcBorders>
              <w:top w:val="single" w:sz="4" w:space="0" w:color="auto"/>
              <w:left w:val="single" w:sz="4" w:space="0" w:color="auto"/>
              <w:bottom w:val="single" w:sz="4" w:space="0" w:color="auto"/>
              <w:right w:val="single" w:sz="4" w:space="0" w:color="auto"/>
            </w:tcBorders>
          </w:tcPr>
          <w:p w:rsidR="00D1712A" w:rsidRDefault="00D1712A" w:rsidP="00585A48">
            <w:pPr>
              <w:jc w:val="center"/>
            </w:pPr>
            <w:r>
              <w:t>38</w:t>
            </w:r>
          </w:p>
        </w:tc>
        <w:tc>
          <w:tcPr>
            <w:tcW w:w="3852" w:type="dxa"/>
            <w:vMerge/>
            <w:tcBorders>
              <w:left w:val="single" w:sz="4" w:space="0" w:color="auto"/>
              <w:right w:val="single" w:sz="4" w:space="0" w:color="auto"/>
            </w:tcBorders>
            <w:shd w:val="clear" w:color="auto" w:fill="auto"/>
            <w:vAlign w:val="center"/>
          </w:tcPr>
          <w:p w:rsidR="00D1712A" w:rsidRPr="00996FA6" w:rsidRDefault="00D1712A" w:rsidP="005E0E3D">
            <w:pPr>
              <w:keepLines/>
            </w:pPr>
          </w:p>
        </w:tc>
      </w:tr>
      <w:tr w:rsidR="00D1712A" w:rsidRPr="00996FA6" w:rsidTr="00D1712A">
        <w:tc>
          <w:tcPr>
            <w:tcW w:w="1780" w:type="dxa"/>
            <w:tcBorders>
              <w:top w:val="single" w:sz="4" w:space="0" w:color="auto"/>
              <w:left w:val="single" w:sz="4" w:space="0" w:color="auto"/>
              <w:bottom w:val="single" w:sz="4" w:space="0" w:color="auto"/>
              <w:right w:val="single" w:sz="4" w:space="0" w:color="auto"/>
            </w:tcBorders>
            <w:shd w:val="clear" w:color="auto" w:fill="auto"/>
          </w:tcPr>
          <w:p w:rsidR="00D1712A" w:rsidRPr="00454E54" w:rsidRDefault="009658DA" w:rsidP="00585A48">
            <w:pPr>
              <w:jc w:val="center"/>
            </w:pPr>
            <w:r>
              <w:t>11/25</w:t>
            </w:r>
          </w:p>
        </w:tc>
        <w:tc>
          <w:tcPr>
            <w:tcW w:w="2000" w:type="dxa"/>
            <w:tcBorders>
              <w:top w:val="single" w:sz="4" w:space="0" w:color="auto"/>
              <w:left w:val="single" w:sz="4" w:space="0" w:color="auto"/>
              <w:bottom w:val="single" w:sz="4" w:space="0" w:color="auto"/>
              <w:right w:val="single" w:sz="4" w:space="0" w:color="auto"/>
            </w:tcBorders>
          </w:tcPr>
          <w:p w:rsidR="00D1712A" w:rsidRDefault="00D1712A" w:rsidP="00585A48">
            <w:pPr>
              <w:jc w:val="center"/>
            </w:pPr>
            <w:r>
              <w:t>39</w:t>
            </w:r>
          </w:p>
        </w:tc>
        <w:tc>
          <w:tcPr>
            <w:tcW w:w="3852" w:type="dxa"/>
            <w:vMerge w:val="restart"/>
            <w:tcBorders>
              <w:left w:val="single" w:sz="4" w:space="0" w:color="auto"/>
              <w:right w:val="single" w:sz="4" w:space="0" w:color="auto"/>
            </w:tcBorders>
            <w:shd w:val="clear" w:color="auto" w:fill="auto"/>
            <w:vAlign w:val="center"/>
          </w:tcPr>
          <w:p w:rsidR="00D1712A" w:rsidRPr="00996FA6" w:rsidRDefault="00D1712A" w:rsidP="005E0E3D">
            <w:pPr>
              <w:keepLines/>
            </w:pPr>
            <w:r>
              <w:t>Secondary Sales</w:t>
            </w:r>
          </w:p>
        </w:tc>
      </w:tr>
      <w:tr w:rsidR="00D1712A" w:rsidRPr="00996FA6" w:rsidTr="00A865D6">
        <w:tc>
          <w:tcPr>
            <w:tcW w:w="1780" w:type="dxa"/>
            <w:tcBorders>
              <w:top w:val="single" w:sz="4" w:space="0" w:color="auto"/>
              <w:left w:val="single" w:sz="4" w:space="0" w:color="auto"/>
              <w:bottom w:val="single" w:sz="4" w:space="0" w:color="auto"/>
              <w:right w:val="single" w:sz="4" w:space="0" w:color="auto"/>
            </w:tcBorders>
            <w:shd w:val="clear" w:color="auto" w:fill="auto"/>
          </w:tcPr>
          <w:p w:rsidR="00D1712A" w:rsidRPr="00454E54" w:rsidRDefault="009658DA" w:rsidP="00585A48">
            <w:pPr>
              <w:jc w:val="center"/>
            </w:pPr>
            <w:r>
              <w:t>11/26</w:t>
            </w:r>
          </w:p>
        </w:tc>
        <w:tc>
          <w:tcPr>
            <w:tcW w:w="2000" w:type="dxa"/>
            <w:tcBorders>
              <w:top w:val="single" w:sz="4" w:space="0" w:color="auto"/>
              <w:left w:val="single" w:sz="4" w:space="0" w:color="auto"/>
              <w:right w:val="single" w:sz="4" w:space="0" w:color="auto"/>
            </w:tcBorders>
          </w:tcPr>
          <w:p w:rsidR="00D1712A" w:rsidRDefault="00D1712A" w:rsidP="00585A48">
            <w:pPr>
              <w:jc w:val="center"/>
            </w:pPr>
            <w:r>
              <w:t>40</w:t>
            </w:r>
          </w:p>
        </w:tc>
        <w:tc>
          <w:tcPr>
            <w:tcW w:w="3852" w:type="dxa"/>
            <w:vMerge/>
            <w:tcBorders>
              <w:left w:val="single" w:sz="4" w:space="0" w:color="auto"/>
              <w:right w:val="single" w:sz="4" w:space="0" w:color="auto"/>
            </w:tcBorders>
            <w:shd w:val="clear" w:color="auto" w:fill="auto"/>
            <w:vAlign w:val="center"/>
          </w:tcPr>
          <w:p w:rsidR="00D1712A" w:rsidRPr="00996FA6" w:rsidRDefault="00D1712A" w:rsidP="005E0E3D">
            <w:pPr>
              <w:keepLines/>
            </w:pPr>
          </w:p>
        </w:tc>
      </w:tr>
      <w:tr w:rsidR="00D1712A" w:rsidRPr="00996FA6" w:rsidTr="00A865D6">
        <w:tc>
          <w:tcPr>
            <w:tcW w:w="1780" w:type="dxa"/>
            <w:tcBorders>
              <w:top w:val="single" w:sz="4" w:space="0" w:color="auto"/>
              <w:left w:val="single" w:sz="4" w:space="0" w:color="auto"/>
              <w:bottom w:val="single" w:sz="4" w:space="0" w:color="auto"/>
              <w:right w:val="single" w:sz="4" w:space="0" w:color="auto"/>
            </w:tcBorders>
            <w:shd w:val="clear" w:color="auto" w:fill="auto"/>
          </w:tcPr>
          <w:p w:rsidR="00D1712A" w:rsidRPr="00454E54" w:rsidRDefault="009658DA" w:rsidP="00585A48">
            <w:pPr>
              <w:jc w:val="center"/>
            </w:pPr>
            <w:r>
              <w:t>12/1</w:t>
            </w:r>
          </w:p>
        </w:tc>
        <w:tc>
          <w:tcPr>
            <w:tcW w:w="2000" w:type="dxa"/>
            <w:tcBorders>
              <w:top w:val="single" w:sz="4" w:space="0" w:color="auto"/>
              <w:left w:val="single" w:sz="4" w:space="0" w:color="auto"/>
              <w:right w:val="single" w:sz="4" w:space="0" w:color="auto"/>
            </w:tcBorders>
          </w:tcPr>
          <w:p w:rsidR="00D1712A" w:rsidRDefault="00D1712A" w:rsidP="00585A48">
            <w:pPr>
              <w:jc w:val="center"/>
            </w:pPr>
            <w:r>
              <w:t>41</w:t>
            </w:r>
          </w:p>
        </w:tc>
        <w:tc>
          <w:tcPr>
            <w:tcW w:w="3852" w:type="dxa"/>
            <w:vMerge/>
            <w:tcBorders>
              <w:left w:val="single" w:sz="4" w:space="0" w:color="auto"/>
              <w:right w:val="single" w:sz="4" w:space="0" w:color="auto"/>
            </w:tcBorders>
            <w:shd w:val="clear" w:color="auto" w:fill="auto"/>
            <w:vAlign w:val="center"/>
          </w:tcPr>
          <w:p w:rsidR="00D1712A" w:rsidRPr="00996FA6" w:rsidRDefault="00D1712A" w:rsidP="005E0E3D">
            <w:pPr>
              <w:keepLines/>
            </w:pPr>
          </w:p>
        </w:tc>
      </w:tr>
      <w:tr w:rsidR="00D1712A" w:rsidRPr="00996FA6" w:rsidTr="00A865D6">
        <w:tc>
          <w:tcPr>
            <w:tcW w:w="1780" w:type="dxa"/>
            <w:tcBorders>
              <w:top w:val="single" w:sz="4" w:space="0" w:color="auto"/>
              <w:left w:val="single" w:sz="4" w:space="0" w:color="auto"/>
              <w:bottom w:val="single" w:sz="4" w:space="0" w:color="auto"/>
              <w:right w:val="single" w:sz="4" w:space="0" w:color="auto"/>
            </w:tcBorders>
            <w:shd w:val="clear" w:color="auto" w:fill="auto"/>
          </w:tcPr>
          <w:p w:rsidR="00D1712A" w:rsidRDefault="009658DA" w:rsidP="00585A48">
            <w:pPr>
              <w:jc w:val="center"/>
            </w:pPr>
            <w:r>
              <w:t>12/2</w:t>
            </w:r>
          </w:p>
        </w:tc>
        <w:tc>
          <w:tcPr>
            <w:tcW w:w="2000" w:type="dxa"/>
            <w:tcBorders>
              <w:top w:val="single" w:sz="4" w:space="0" w:color="auto"/>
              <w:left w:val="single" w:sz="4" w:space="0" w:color="auto"/>
              <w:right w:val="single" w:sz="4" w:space="0" w:color="auto"/>
            </w:tcBorders>
          </w:tcPr>
          <w:p w:rsidR="00D1712A" w:rsidRDefault="00D1712A" w:rsidP="00585A48">
            <w:pPr>
              <w:jc w:val="center"/>
            </w:pPr>
            <w:r>
              <w:t>42</w:t>
            </w:r>
          </w:p>
        </w:tc>
        <w:tc>
          <w:tcPr>
            <w:tcW w:w="3852" w:type="dxa"/>
            <w:vMerge/>
            <w:tcBorders>
              <w:left w:val="single" w:sz="4" w:space="0" w:color="auto"/>
              <w:right w:val="single" w:sz="4" w:space="0" w:color="auto"/>
            </w:tcBorders>
            <w:shd w:val="clear" w:color="auto" w:fill="auto"/>
            <w:vAlign w:val="center"/>
          </w:tcPr>
          <w:p w:rsidR="00D1712A" w:rsidRPr="00996FA6" w:rsidRDefault="00D1712A" w:rsidP="005E0E3D">
            <w:pPr>
              <w:keepLines/>
            </w:pPr>
          </w:p>
        </w:tc>
      </w:tr>
    </w:tbl>
    <w:p w:rsidR="005E0E3D" w:rsidRDefault="005E0E3D" w:rsidP="00452FD9">
      <w:pPr>
        <w:rPr>
          <w:szCs w:val="24"/>
        </w:rPr>
      </w:pPr>
    </w:p>
    <w:sectPr w:rsidR="005E0E3D" w:rsidSect="00BA1663">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8904830"/>
    <w:lvl w:ilvl="0">
      <w:start w:val="1"/>
      <w:numFmt w:val="decimal"/>
      <w:pStyle w:val="Heading1"/>
      <w:lvlText w:val="%1."/>
      <w:lvlJc w:val="left"/>
      <w:pPr>
        <w:tabs>
          <w:tab w:val="num" w:pos="1440"/>
        </w:tabs>
        <w:ind w:left="0" w:firstLine="1440"/>
      </w:pPr>
      <w:rPr>
        <w:rFonts w:ascii="Times New Roman" w:hAnsi="Times New Roman" w:hint="default"/>
        <w:b w:val="0"/>
        <w:i w:val="0"/>
        <w:color w:val="auto"/>
        <w:sz w:val="24"/>
        <w:szCs w:val="24"/>
        <w:u w:val="none"/>
      </w:rPr>
    </w:lvl>
    <w:lvl w:ilvl="1">
      <w:start w:val="1"/>
      <w:numFmt w:val="decimal"/>
      <w:pStyle w:val="Heading2"/>
      <w:lvlText w:val="%1.%2"/>
      <w:lvlJc w:val="left"/>
      <w:pPr>
        <w:tabs>
          <w:tab w:val="num" w:pos="2160"/>
        </w:tabs>
        <w:ind w:left="0" w:firstLine="2160"/>
      </w:pPr>
      <w:rPr>
        <w:rFonts w:ascii="Times New Roman" w:hAnsi="Times New Roman" w:hint="default"/>
        <w:b w:val="0"/>
        <w:i w:val="0"/>
        <w:color w:val="auto"/>
        <w:sz w:val="24"/>
        <w:szCs w:val="24"/>
        <w:u w:val="none"/>
      </w:rPr>
    </w:lvl>
    <w:lvl w:ilvl="2">
      <w:start w:val="1"/>
      <w:numFmt w:val="lowerLetter"/>
      <w:pStyle w:val="Heading3"/>
      <w:lvlText w:val="(%3)"/>
      <w:lvlJc w:val="left"/>
      <w:pPr>
        <w:tabs>
          <w:tab w:val="num" w:pos="2880"/>
        </w:tabs>
        <w:ind w:left="0" w:firstLine="2880"/>
      </w:pPr>
      <w:rPr>
        <w:rFonts w:ascii="Times New Roman" w:hAnsi="Times New Roman" w:hint="default"/>
        <w:b w:val="0"/>
        <w:i w:val="0"/>
        <w:color w:val="auto"/>
        <w:sz w:val="24"/>
        <w:szCs w:val="24"/>
        <w:u w:val="none"/>
      </w:rPr>
    </w:lvl>
    <w:lvl w:ilvl="3">
      <w:start w:val="1"/>
      <w:numFmt w:val="lowerRoman"/>
      <w:pStyle w:val="Heading4"/>
      <w:lvlText w:val="(%4)"/>
      <w:lvlJc w:val="right"/>
      <w:pPr>
        <w:tabs>
          <w:tab w:val="num" w:pos="4032"/>
        </w:tabs>
        <w:ind w:left="0" w:firstLine="360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4320"/>
        </w:tabs>
        <w:ind w:left="0" w:firstLine="4320"/>
      </w:pPr>
      <w:rPr>
        <w:rFonts w:ascii="Times New Roman" w:hAnsi="Times New Roman" w:hint="default"/>
        <w:b w:val="0"/>
        <w:i w:val="0"/>
        <w:color w:val="auto"/>
        <w:sz w:val="24"/>
        <w:szCs w:val="24"/>
        <w:u w:val="none"/>
      </w:rPr>
    </w:lvl>
    <w:lvl w:ilvl="5">
      <w:start w:val="1"/>
      <w:numFmt w:val="decimal"/>
      <w:pStyle w:val="Heading6"/>
      <w:lvlText w:val="(%6)"/>
      <w:lvlJc w:val="left"/>
      <w:pPr>
        <w:tabs>
          <w:tab w:val="num" w:pos="5040"/>
        </w:tabs>
        <w:ind w:left="0" w:firstLine="5040"/>
      </w:pPr>
      <w:rPr>
        <w:rFonts w:ascii="Times New Roman" w:hAnsi="Times New Roman" w:hint="default"/>
        <w:b w:val="0"/>
        <w:i w:val="0"/>
        <w:color w:val="auto"/>
        <w:sz w:val="24"/>
        <w:szCs w:val="24"/>
        <w:u w:val="none"/>
      </w:rPr>
    </w:lvl>
    <w:lvl w:ilvl="6">
      <w:start w:val="1"/>
      <w:numFmt w:val="lowerRoman"/>
      <w:pStyle w:val="Heading7"/>
      <w:lvlText w:val="(%7)"/>
      <w:lvlJc w:val="right"/>
      <w:pPr>
        <w:tabs>
          <w:tab w:val="num" w:pos="6192"/>
        </w:tabs>
        <w:ind w:left="0" w:firstLine="5760"/>
      </w:pPr>
      <w:rPr>
        <w:rFonts w:ascii="Times New Roman" w:hAnsi="Times New Roman" w:hint="default"/>
        <w:b w:val="0"/>
        <w:i w:val="0"/>
        <w:color w:val="auto"/>
        <w:sz w:val="24"/>
        <w:szCs w:val="24"/>
        <w:u w:val="none"/>
      </w:rPr>
    </w:lvl>
    <w:lvl w:ilvl="7">
      <w:start w:val="1"/>
      <w:numFmt w:val="lowerLetter"/>
      <w:pStyle w:val="Heading8"/>
      <w:lvlText w:val="(%8)"/>
      <w:lvlJc w:val="left"/>
      <w:pPr>
        <w:tabs>
          <w:tab w:val="num" w:pos="6480"/>
        </w:tabs>
        <w:ind w:left="0" w:firstLine="6480"/>
      </w:pPr>
      <w:rPr>
        <w:rFonts w:ascii="Times New Roman" w:hAnsi="Times New Roman" w:hint="default"/>
        <w:b w:val="0"/>
        <w:i w:val="0"/>
        <w:color w:val="auto"/>
        <w:sz w:val="24"/>
        <w:szCs w:val="24"/>
        <w:u w:val="none"/>
      </w:rPr>
    </w:lvl>
    <w:lvl w:ilvl="8">
      <w:start w:val="1"/>
      <w:numFmt w:val="lowerRoman"/>
      <w:pStyle w:val="Heading9"/>
      <w:lvlText w:val="(%9)"/>
      <w:lvlJc w:val="right"/>
      <w:pPr>
        <w:tabs>
          <w:tab w:val="num" w:pos="7632"/>
        </w:tabs>
        <w:ind w:left="0" w:firstLine="7200"/>
      </w:pPr>
      <w:rPr>
        <w:rFonts w:ascii="Times New Roman" w:hAnsi="Times New Roman" w:hint="default"/>
        <w:b w:val="0"/>
        <w:i w:val="0"/>
        <w:color w:val="auto"/>
        <w:sz w:val="24"/>
        <w:szCs w:val="24"/>
        <w:u w:val="none"/>
      </w:rPr>
    </w:lvl>
  </w:abstractNum>
  <w:abstractNum w:abstractNumId="1">
    <w:nsid w:val="510B4C27"/>
    <w:multiLevelType w:val="singleLevel"/>
    <w:tmpl w:val="850EF2CE"/>
    <w:lvl w:ilvl="0">
      <w:start w:val="1"/>
      <w:numFmt w:val="bullet"/>
      <w:pStyle w:val="bullet2"/>
      <w:lvlText w:val=""/>
      <w:lvlJc w:val="left"/>
      <w:pPr>
        <w:tabs>
          <w:tab w:val="num" w:pos="360"/>
        </w:tabs>
        <w:ind w:left="360" w:hanging="360"/>
      </w:pPr>
      <w:rPr>
        <w:rFonts w:ascii="Symbol" w:hAnsi="Symbol" w:hint="default"/>
        <w:sz w:val="20"/>
      </w:rPr>
    </w:lvl>
  </w:abstractNum>
  <w:abstractNum w:abstractNumId="2">
    <w:nsid w:val="51D939CB"/>
    <w:multiLevelType w:val="hybridMultilevel"/>
    <w:tmpl w:val="7278C3FA"/>
    <w:lvl w:ilvl="0" w:tplc="7506D3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6263326"/>
    <w:multiLevelType w:val="multilevel"/>
    <w:tmpl w:val="E3ACD76A"/>
    <w:lvl w:ilvl="0">
      <w:start w:val="1"/>
      <w:numFmt w:val="decimal"/>
      <w:lvlText w:val="%1."/>
      <w:legacy w:legacy="1" w:legacySpace="0" w:legacyIndent="720"/>
      <w:lvlJc w:val="left"/>
    </w:lvl>
    <w:lvl w:ilvl="1">
      <w:start w:val="1"/>
      <w:numFmt w:val="decimal"/>
      <w:lvlText w:val="%1.%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288" w:legacyIndent="720"/>
      <w:lvlJc w:val="right"/>
    </w:lvl>
    <w:lvl w:ilvl="4">
      <w:start w:val="1"/>
      <w:numFmt w:val="upperLetter"/>
      <w:lvlText w:val="%5."/>
      <w:legacy w:legacy="1" w:legacySpace="0" w:legacyIndent="720"/>
      <w:lvlJc w:val="left"/>
    </w:lvl>
    <w:lvl w:ilvl="5">
      <w:start w:val="1"/>
      <w:numFmt w:val="decimal"/>
      <w:lvlText w:val="(%6)"/>
      <w:legacy w:legacy="1" w:legacySpace="0" w:legacyIndent="720"/>
      <w:lvlJc w:val="left"/>
    </w:lvl>
    <w:lvl w:ilvl="6">
      <w:start w:val="1"/>
      <w:numFmt w:val="lowerRoman"/>
      <w:lvlText w:val="(%7)"/>
      <w:legacy w:legacy="1" w:legacySpace="0" w:legacyIndent="720"/>
      <w:lvlJc w:val="left"/>
      <w:pPr>
        <w:ind w:left="0" w:hanging="720"/>
      </w:pPr>
    </w:lvl>
    <w:lvl w:ilvl="7">
      <w:start w:val="1"/>
      <w:numFmt w:val="lowerLetter"/>
      <w:lvlText w:val="(%8)"/>
      <w:legacy w:legacy="1" w:legacySpace="0" w:legacyIndent="720"/>
      <w:lvlJc w:val="left"/>
      <w:pPr>
        <w:ind w:left="0" w:hanging="720"/>
      </w:pPr>
    </w:lvl>
    <w:lvl w:ilvl="8">
      <w:start w:val="1"/>
      <w:numFmt w:val="lowerRoman"/>
      <w:lvlText w:val="(%9)"/>
      <w:legacy w:legacy="1" w:legacySpace="0" w:legacyIndent="720"/>
      <w:lvlJc w:val="left"/>
      <w:pPr>
        <w:ind w:left="6480" w:hanging="720"/>
      </w:pPr>
    </w:lvl>
  </w:abstractNum>
  <w:abstractNum w:abstractNumId="4">
    <w:nsid w:val="6585680A"/>
    <w:multiLevelType w:val="singleLevel"/>
    <w:tmpl w:val="50482E52"/>
    <w:lvl w:ilvl="0">
      <w:start w:val="1"/>
      <w:numFmt w:val="bullet"/>
      <w:pStyle w:val="bullet"/>
      <w:lvlText w:val=""/>
      <w:lvlJc w:val="left"/>
      <w:pPr>
        <w:tabs>
          <w:tab w:val="num" w:pos="360"/>
        </w:tabs>
        <w:ind w:left="360" w:hanging="360"/>
      </w:pPr>
      <w:rPr>
        <w:rFonts w:ascii="Symbol" w:hAnsi="Symbol" w:hint="default"/>
        <w:sz w:val="20"/>
      </w:rPr>
    </w:lvl>
  </w:abstractNum>
  <w:abstractNum w:abstractNumId="5">
    <w:nsid w:val="66232581"/>
    <w:multiLevelType w:val="hybridMultilevel"/>
    <w:tmpl w:val="C47C820C"/>
    <w:lvl w:ilvl="0" w:tplc="EA008D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432B2C"/>
    <w:multiLevelType w:val="hybridMultilevel"/>
    <w:tmpl w:val="FB021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5B52DD"/>
    <w:multiLevelType w:val="hybridMultilevel"/>
    <w:tmpl w:val="669AB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3"/>
  </w:num>
  <w:num w:numId="29">
    <w:abstractNumId w:val="2"/>
  </w:num>
  <w:num w:numId="30">
    <w:abstractNumId w:val="6"/>
  </w:num>
  <w:num w:numId="31">
    <w:abstractNumId w:val="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D6"/>
    <w:rsid w:val="00010772"/>
    <w:rsid w:val="000217EB"/>
    <w:rsid w:val="0002696E"/>
    <w:rsid w:val="00055048"/>
    <w:rsid w:val="00062AF0"/>
    <w:rsid w:val="000720DB"/>
    <w:rsid w:val="000721CC"/>
    <w:rsid w:val="0008249E"/>
    <w:rsid w:val="00082B5F"/>
    <w:rsid w:val="000B7A27"/>
    <w:rsid w:val="000C2A6F"/>
    <w:rsid w:val="000D0DFB"/>
    <w:rsid w:val="000F0A6F"/>
    <w:rsid w:val="000F7D6E"/>
    <w:rsid w:val="00105FD4"/>
    <w:rsid w:val="00110F34"/>
    <w:rsid w:val="00120BF6"/>
    <w:rsid w:val="0016038B"/>
    <w:rsid w:val="00174109"/>
    <w:rsid w:val="001A0D3C"/>
    <w:rsid w:val="001B1D27"/>
    <w:rsid w:val="001B7891"/>
    <w:rsid w:val="001E51BC"/>
    <w:rsid w:val="0020589D"/>
    <w:rsid w:val="0021617C"/>
    <w:rsid w:val="00223D39"/>
    <w:rsid w:val="0024796D"/>
    <w:rsid w:val="00250B87"/>
    <w:rsid w:val="002666A0"/>
    <w:rsid w:val="0028484F"/>
    <w:rsid w:val="002A1FCE"/>
    <w:rsid w:val="002A56AB"/>
    <w:rsid w:val="002B5E89"/>
    <w:rsid w:val="002C276E"/>
    <w:rsid w:val="00310D18"/>
    <w:rsid w:val="00325052"/>
    <w:rsid w:val="003852DD"/>
    <w:rsid w:val="00386FF9"/>
    <w:rsid w:val="003935C9"/>
    <w:rsid w:val="003C0D36"/>
    <w:rsid w:val="0041097D"/>
    <w:rsid w:val="00434843"/>
    <w:rsid w:val="00443E1E"/>
    <w:rsid w:val="00451368"/>
    <w:rsid w:val="00452FD9"/>
    <w:rsid w:val="00454E54"/>
    <w:rsid w:val="0047312C"/>
    <w:rsid w:val="00476CF1"/>
    <w:rsid w:val="004B3659"/>
    <w:rsid w:val="004B7C1F"/>
    <w:rsid w:val="004C3C96"/>
    <w:rsid w:val="004D0105"/>
    <w:rsid w:val="004E64E0"/>
    <w:rsid w:val="004F2A19"/>
    <w:rsid w:val="00534D63"/>
    <w:rsid w:val="0055268B"/>
    <w:rsid w:val="005A0875"/>
    <w:rsid w:val="005A2EE6"/>
    <w:rsid w:val="005C27DA"/>
    <w:rsid w:val="005E0E3D"/>
    <w:rsid w:val="00600DD3"/>
    <w:rsid w:val="0060159C"/>
    <w:rsid w:val="00614130"/>
    <w:rsid w:val="0062032A"/>
    <w:rsid w:val="00690998"/>
    <w:rsid w:val="006946B3"/>
    <w:rsid w:val="006C19F7"/>
    <w:rsid w:val="006D7A8C"/>
    <w:rsid w:val="007246DB"/>
    <w:rsid w:val="00741296"/>
    <w:rsid w:val="00745224"/>
    <w:rsid w:val="00770F67"/>
    <w:rsid w:val="007B7883"/>
    <w:rsid w:val="007D50F6"/>
    <w:rsid w:val="00813F0A"/>
    <w:rsid w:val="00833705"/>
    <w:rsid w:val="00840EE1"/>
    <w:rsid w:val="00844FE5"/>
    <w:rsid w:val="008549E9"/>
    <w:rsid w:val="008643F8"/>
    <w:rsid w:val="0087267A"/>
    <w:rsid w:val="008953D8"/>
    <w:rsid w:val="008B45F7"/>
    <w:rsid w:val="008F2965"/>
    <w:rsid w:val="00910DE8"/>
    <w:rsid w:val="009153A2"/>
    <w:rsid w:val="00916AB7"/>
    <w:rsid w:val="0096510E"/>
    <w:rsid w:val="009658DA"/>
    <w:rsid w:val="009709D5"/>
    <w:rsid w:val="00982A75"/>
    <w:rsid w:val="009A3CAC"/>
    <w:rsid w:val="009A5706"/>
    <w:rsid w:val="009B3006"/>
    <w:rsid w:val="009E2E90"/>
    <w:rsid w:val="00A03264"/>
    <w:rsid w:val="00A24A4F"/>
    <w:rsid w:val="00A25A44"/>
    <w:rsid w:val="00A343CA"/>
    <w:rsid w:val="00A80CA8"/>
    <w:rsid w:val="00A865D6"/>
    <w:rsid w:val="00A907B7"/>
    <w:rsid w:val="00A93720"/>
    <w:rsid w:val="00AA57D6"/>
    <w:rsid w:val="00AC5832"/>
    <w:rsid w:val="00AE40C4"/>
    <w:rsid w:val="00B21C49"/>
    <w:rsid w:val="00B44C4C"/>
    <w:rsid w:val="00B51EA8"/>
    <w:rsid w:val="00B74106"/>
    <w:rsid w:val="00B8726A"/>
    <w:rsid w:val="00B955D1"/>
    <w:rsid w:val="00BA1563"/>
    <w:rsid w:val="00BA1663"/>
    <w:rsid w:val="00BA16DD"/>
    <w:rsid w:val="00BE5B24"/>
    <w:rsid w:val="00BF1B26"/>
    <w:rsid w:val="00C10D53"/>
    <w:rsid w:val="00C159BC"/>
    <w:rsid w:val="00C52AF1"/>
    <w:rsid w:val="00C54A6D"/>
    <w:rsid w:val="00C95CAD"/>
    <w:rsid w:val="00CA5B0C"/>
    <w:rsid w:val="00CC19CF"/>
    <w:rsid w:val="00CE1255"/>
    <w:rsid w:val="00D1712A"/>
    <w:rsid w:val="00D35BFB"/>
    <w:rsid w:val="00D604A0"/>
    <w:rsid w:val="00D828D7"/>
    <w:rsid w:val="00DB29D1"/>
    <w:rsid w:val="00DD77F7"/>
    <w:rsid w:val="00E963E6"/>
    <w:rsid w:val="00EB3026"/>
    <w:rsid w:val="00EE06B8"/>
    <w:rsid w:val="00EE45C6"/>
    <w:rsid w:val="00EF2696"/>
    <w:rsid w:val="00F113D8"/>
    <w:rsid w:val="00F1602B"/>
    <w:rsid w:val="00F5196E"/>
    <w:rsid w:val="00F7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4E0"/>
    <w:pPr>
      <w:suppressAutoHyphens/>
    </w:pPr>
    <w:rPr>
      <w:sz w:val="24"/>
    </w:rPr>
  </w:style>
  <w:style w:type="paragraph" w:styleId="Heading1">
    <w:name w:val="heading 1"/>
    <w:basedOn w:val="Normal"/>
    <w:qFormat/>
    <w:rsid w:val="003C0D36"/>
    <w:pPr>
      <w:numPr>
        <w:numId w:val="27"/>
      </w:numPr>
      <w:spacing w:after="240"/>
      <w:jc w:val="both"/>
      <w:outlineLvl w:val="0"/>
    </w:pPr>
  </w:style>
  <w:style w:type="paragraph" w:styleId="Heading2">
    <w:name w:val="heading 2"/>
    <w:basedOn w:val="Normal"/>
    <w:qFormat/>
    <w:rsid w:val="003C0D36"/>
    <w:pPr>
      <w:numPr>
        <w:ilvl w:val="1"/>
        <w:numId w:val="27"/>
      </w:numPr>
      <w:spacing w:after="240"/>
      <w:jc w:val="both"/>
      <w:outlineLvl w:val="1"/>
    </w:pPr>
  </w:style>
  <w:style w:type="paragraph" w:styleId="Heading3">
    <w:name w:val="heading 3"/>
    <w:basedOn w:val="Normal"/>
    <w:qFormat/>
    <w:rsid w:val="003C0D36"/>
    <w:pPr>
      <w:numPr>
        <w:ilvl w:val="2"/>
        <w:numId w:val="27"/>
      </w:numPr>
      <w:spacing w:after="240"/>
      <w:jc w:val="both"/>
      <w:outlineLvl w:val="2"/>
    </w:pPr>
  </w:style>
  <w:style w:type="paragraph" w:styleId="Heading4">
    <w:name w:val="heading 4"/>
    <w:basedOn w:val="Normal"/>
    <w:qFormat/>
    <w:rsid w:val="003C0D36"/>
    <w:pPr>
      <w:numPr>
        <w:ilvl w:val="3"/>
        <w:numId w:val="27"/>
      </w:numPr>
      <w:spacing w:after="240"/>
      <w:jc w:val="both"/>
      <w:outlineLvl w:val="3"/>
    </w:pPr>
  </w:style>
  <w:style w:type="paragraph" w:styleId="Heading5">
    <w:name w:val="heading 5"/>
    <w:basedOn w:val="Normal"/>
    <w:qFormat/>
    <w:rsid w:val="003C0D36"/>
    <w:pPr>
      <w:numPr>
        <w:ilvl w:val="4"/>
        <w:numId w:val="27"/>
      </w:numPr>
      <w:spacing w:after="240"/>
      <w:jc w:val="both"/>
      <w:outlineLvl w:val="4"/>
    </w:pPr>
  </w:style>
  <w:style w:type="paragraph" w:styleId="Heading6">
    <w:name w:val="heading 6"/>
    <w:basedOn w:val="Normal"/>
    <w:qFormat/>
    <w:rsid w:val="003C0D36"/>
    <w:pPr>
      <w:numPr>
        <w:ilvl w:val="5"/>
        <w:numId w:val="27"/>
      </w:numPr>
      <w:spacing w:after="240"/>
      <w:jc w:val="both"/>
      <w:outlineLvl w:val="5"/>
    </w:pPr>
  </w:style>
  <w:style w:type="paragraph" w:styleId="Heading7">
    <w:name w:val="heading 7"/>
    <w:basedOn w:val="Normal"/>
    <w:qFormat/>
    <w:rsid w:val="003C0D36"/>
    <w:pPr>
      <w:numPr>
        <w:ilvl w:val="6"/>
        <w:numId w:val="27"/>
      </w:numPr>
      <w:spacing w:after="240"/>
      <w:jc w:val="both"/>
      <w:outlineLvl w:val="6"/>
    </w:pPr>
  </w:style>
  <w:style w:type="paragraph" w:styleId="Heading8">
    <w:name w:val="heading 8"/>
    <w:basedOn w:val="Normal"/>
    <w:qFormat/>
    <w:rsid w:val="003C0D36"/>
    <w:pPr>
      <w:numPr>
        <w:ilvl w:val="7"/>
        <w:numId w:val="27"/>
      </w:numPr>
      <w:spacing w:after="240"/>
      <w:jc w:val="both"/>
      <w:outlineLvl w:val="7"/>
    </w:pPr>
  </w:style>
  <w:style w:type="paragraph" w:styleId="Heading9">
    <w:name w:val="heading 9"/>
    <w:basedOn w:val="Normal"/>
    <w:qFormat/>
    <w:rsid w:val="003C0D36"/>
    <w:pPr>
      <w:numPr>
        <w:ilvl w:val="8"/>
        <w:numId w:val="27"/>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4E64E0"/>
    <w:pPr>
      <w:keepLines/>
      <w:tabs>
        <w:tab w:val="left" w:pos="4680"/>
        <w:tab w:val="left" w:pos="9360"/>
      </w:tabs>
      <w:spacing w:after="480"/>
      <w:ind w:left="3600"/>
    </w:pPr>
  </w:style>
  <w:style w:type="paragraph" w:customStyle="1" w:styleId="Addressee">
    <w:name w:val="Addressee"/>
    <w:basedOn w:val="Normal"/>
    <w:rsid w:val="004E64E0"/>
    <w:pPr>
      <w:tabs>
        <w:tab w:val="left" w:pos="1440"/>
      </w:tabs>
      <w:spacing w:after="240"/>
    </w:pPr>
  </w:style>
  <w:style w:type="paragraph" w:customStyle="1" w:styleId="Bod">
    <w:name w:val="Bod"/>
    <w:basedOn w:val="Normal"/>
    <w:rsid w:val="004E64E0"/>
    <w:pPr>
      <w:spacing w:after="240"/>
      <w:ind w:firstLine="1440"/>
      <w:jc w:val="both"/>
    </w:pPr>
  </w:style>
  <w:style w:type="paragraph" w:styleId="BodyText">
    <w:name w:val="Body Text"/>
    <w:basedOn w:val="Normal"/>
    <w:rsid w:val="004E64E0"/>
    <w:pPr>
      <w:spacing w:after="120"/>
    </w:pPr>
  </w:style>
  <w:style w:type="paragraph" w:customStyle="1" w:styleId="bullet">
    <w:name w:val="bullet"/>
    <w:basedOn w:val="Normal"/>
    <w:rsid w:val="004E64E0"/>
    <w:pPr>
      <w:numPr>
        <w:numId w:val="1"/>
      </w:numPr>
      <w:tabs>
        <w:tab w:val="clear" w:pos="360"/>
      </w:tabs>
      <w:ind w:left="0" w:firstLine="0"/>
    </w:pPr>
    <w:rPr>
      <w:sz w:val="20"/>
    </w:rPr>
  </w:style>
  <w:style w:type="paragraph" w:customStyle="1" w:styleId="bullet2">
    <w:name w:val="bullet2"/>
    <w:basedOn w:val="bullet"/>
    <w:rsid w:val="004E64E0"/>
    <w:pPr>
      <w:numPr>
        <w:numId w:val="2"/>
      </w:numPr>
      <w:tabs>
        <w:tab w:val="clear" w:pos="360"/>
      </w:tabs>
      <w:spacing w:after="240"/>
      <w:ind w:left="0" w:firstLine="0"/>
    </w:pPr>
  </w:style>
  <w:style w:type="paragraph" w:customStyle="1" w:styleId="Center">
    <w:name w:val="Center"/>
    <w:basedOn w:val="Normal"/>
    <w:rsid w:val="004E64E0"/>
    <w:pPr>
      <w:keepNext/>
      <w:spacing w:after="240"/>
      <w:jc w:val="center"/>
    </w:pPr>
  </w:style>
  <w:style w:type="paragraph" w:customStyle="1" w:styleId="Company-1">
    <w:name w:val="Company-1"/>
    <w:basedOn w:val="Normal"/>
    <w:next w:val="Normal"/>
    <w:rsid w:val="004E64E0"/>
    <w:pPr>
      <w:keepLines/>
      <w:tabs>
        <w:tab w:val="left" w:pos="5310"/>
        <w:tab w:val="left" w:pos="9360"/>
      </w:tabs>
      <w:spacing w:after="480"/>
      <w:ind w:left="4680"/>
    </w:pPr>
  </w:style>
  <w:style w:type="paragraph" w:customStyle="1" w:styleId="Company-2">
    <w:name w:val="Company-2"/>
    <w:basedOn w:val="Normal"/>
    <w:next w:val="Normal"/>
    <w:rsid w:val="004E64E0"/>
    <w:pPr>
      <w:keepLines/>
      <w:tabs>
        <w:tab w:val="left" w:pos="630"/>
        <w:tab w:val="left" w:pos="4140"/>
        <w:tab w:val="left" w:pos="4680"/>
        <w:tab w:val="left" w:pos="5310"/>
        <w:tab w:val="left" w:pos="9270"/>
      </w:tabs>
      <w:spacing w:after="480"/>
    </w:pPr>
  </w:style>
  <w:style w:type="paragraph" w:styleId="Footer">
    <w:name w:val="footer"/>
    <w:basedOn w:val="Normal"/>
    <w:rsid w:val="004E64E0"/>
    <w:pPr>
      <w:tabs>
        <w:tab w:val="center" w:pos="4680"/>
        <w:tab w:val="right" w:pos="9360"/>
      </w:tabs>
    </w:pPr>
    <w:rPr>
      <w:sz w:val="16"/>
    </w:rPr>
  </w:style>
  <w:style w:type="paragraph" w:customStyle="1" w:styleId="Head">
    <w:name w:val="Head"/>
    <w:basedOn w:val="Normal"/>
    <w:next w:val="Bod"/>
    <w:rsid w:val="004E64E0"/>
    <w:pPr>
      <w:keepNext/>
      <w:tabs>
        <w:tab w:val="left" w:pos="0"/>
      </w:tabs>
      <w:spacing w:after="240"/>
    </w:pPr>
    <w:rPr>
      <w:rFonts w:ascii="Times New Roman Bold" w:hAnsi="Times New Roman Bold"/>
      <w:b/>
      <w:sz w:val="20"/>
    </w:rPr>
  </w:style>
  <w:style w:type="paragraph" w:customStyle="1" w:styleId="Head1">
    <w:name w:val="Head1"/>
    <w:basedOn w:val="Normal"/>
    <w:rsid w:val="004E64E0"/>
    <w:pPr>
      <w:keepNext/>
      <w:tabs>
        <w:tab w:val="left" w:pos="0"/>
      </w:tabs>
      <w:spacing w:after="240"/>
    </w:pPr>
    <w:rPr>
      <w:rFonts w:ascii="Times New Roman Bold" w:hAnsi="Times New Roman Bold"/>
      <w:b/>
    </w:rPr>
  </w:style>
  <w:style w:type="paragraph" w:customStyle="1" w:styleId="Head1Text">
    <w:name w:val="Head1Text"/>
    <w:basedOn w:val="Normal"/>
    <w:next w:val="Heading2"/>
    <w:rsid w:val="004E64E0"/>
    <w:pPr>
      <w:keepNext/>
      <w:spacing w:before="120" w:after="240"/>
      <w:jc w:val="center"/>
    </w:pPr>
  </w:style>
  <w:style w:type="paragraph" w:customStyle="1" w:styleId="Head2">
    <w:name w:val="Head2"/>
    <w:basedOn w:val="Normal"/>
    <w:next w:val="Bod"/>
    <w:rsid w:val="004E64E0"/>
    <w:pPr>
      <w:keepNext/>
      <w:tabs>
        <w:tab w:val="left" w:pos="0"/>
      </w:tabs>
      <w:spacing w:after="240"/>
    </w:pPr>
    <w:rPr>
      <w:rFonts w:ascii="Times New Roman Bold" w:hAnsi="Times New Roman Bold"/>
      <w:b/>
      <w:sz w:val="20"/>
    </w:rPr>
  </w:style>
  <w:style w:type="paragraph" w:customStyle="1" w:styleId="MainTitle">
    <w:name w:val="MainTitle"/>
    <w:basedOn w:val="Normal"/>
    <w:next w:val="Normal"/>
    <w:rsid w:val="004E64E0"/>
    <w:pPr>
      <w:keepNext/>
      <w:spacing w:after="600"/>
      <w:jc w:val="center"/>
    </w:pPr>
    <w:rPr>
      <w:caps/>
    </w:rPr>
  </w:style>
  <w:style w:type="character" w:styleId="PageNumber">
    <w:name w:val="page number"/>
    <w:rsid w:val="004E64E0"/>
    <w:rPr>
      <w:rFonts w:ascii="Times New Roman" w:hAnsi="Times New Roman"/>
      <w:sz w:val="24"/>
    </w:rPr>
  </w:style>
  <w:style w:type="paragraph" w:customStyle="1" w:styleId="Plain">
    <w:name w:val="Plain"/>
    <w:basedOn w:val="Normal"/>
    <w:rsid w:val="004E64E0"/>
    <w:pPr>
      <w:spacing w:after="240"/>
      <w:jc w:val="both"/>
    </w:pPr>
  </w:style>
  <w:style w:type="table" w:styleId="TableGrid">
    <w:name w:val="Table Grid"/>
    <w:basedOn w:val="TableNormal"/>
    <w:rsid w:val="00AA57D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45224"/>
    <w:rPr>
      <w:i/>
      <w:iCs/>
    </w:rPr>
  </w:style>
  <w:style w:type="character" w:styleId="Hyperlink">
    <w:name w:val="Hyperlink"/>
    <w:rsid w:val="00F5196E"/>
    <w:rPr>
      <w:color w:val="0000FF"/>
      <w:u w:val="single"/>
    </w:rPr>
  </w:style>
  <w:style w:type="paragraph" w:styleId="BalloonText">
    <w:name w:val="Balloon Text"/>
    <w:basedOn w:val="Normal"/>
    <w:semiHidden/>
    <w:rsid w:val="00E963E6"/>
    <w:rPr>
      <w:rFonts w:ascii="Tahoma" w:hAnsi="Tahoma" w:cs="Tahoma"/>
      <w:sz w:val="16"/>
      <w:szCs w:val="16"/>
    </w:rPr>
  </w:style>
  <w:style w:type="paragraph" w:customStyle="1" w:styleId="Default">
    <w:name w:val="Default"/>
    <w:rsid w:val="00454E5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4E0"/>
    <w:pPr>
      <w:suppressAutoHyphens/>
    </w:pPr>
    <w:rPr>
      <w:sz w:val="24"/>
    </w:rPr>
  </w:style>
  <w:style w:type="paragraph" w:styleId="Heading1">
    <w:name w:val="heading 1"/>
    <w:basedOn w:val="Normal"/>
    <w:qFormat/>
    <w:rsid w:val="003C0D36"/>
    <w:pPr>
      <w:numPr>
        <w:numId w:val="27"/>
      </w:numPr>
      <w:spacing w:after="240"/>
      <w:jc w:val="both"/>
      <w:outlineLvl w:val="0"/>
    </w:pPr>
  </w:style>
  <w:style w:type="paragraph" w:styleId="Heading2">
    <w:name w:val="heading 2"/>
    <w:basedOn w:val="Normal"/>
    <w:qFormat/>
    <w:rsid w:val="003C0D36"/>
    <w:pPr>
      <w:numPr>
        <w:ilvl w:val="1"/>
        <w:numId w:val="27"/>
      </w:numPr>
      <w:spacing w:after="240"/>
      <w:jc w:val="both"/>
      <w:outlineLvl w:val="1"/>
    </w:pPr>
  </w:style>
  <w:style w:type="paragraph" w:styleId="Heading3">
    <w:name w:val="heading 3"/>
    <w:basedOn w:val="Normal"/>
    <w:qFormat/>
    <w:rsid w:val="003C0D36"/>
    <w:pPr>
      <w:numPr>
        <w:ilvl w:val="2"/>
        <w:numId w:val="27"/>
      </w:numPr>
      <w:spacing w:after="240"/>
      <w:jc w:val="both"/>
      <w:outlineLvl w:val="2"/>
    </w:pPr>
  </w:style>
  <w:style w:type="paragraph" w:styleId="Heading4">
    <w:name w:val="heading 4"/>
    <w:basedOn w:val="Normal"/>
    <w:qFormat/>
    <w:rsid w:val="003C0D36"/>
    <w:pPr>
      <w:numPr>
        <w:ilvl w:val="3"/>
        <w:numId w:val="27"/>
      </w:numPr>
      <w:spacing w:after="240"/>
      <w:jc w:val="both"/>
      <w:outlineLvl w:val="3"/>
    </w:pPr>
  </w:style>
  <w:style w:type="paragraph" w:styleId="Heading5">
    <w:name w:val="heading 5"/>
    <w:basedOn w:val="Normal"/>
    <w:qFormat/>
    <w:rsid w:val="003C0D36"/>
    <w:pPr>
      <w:numPr>
        <w:ilvl w:val="4"/>
        <w:numId w:val="27"/>
      </w:numPr>
      <w:spacing w:after="240"/>
      <w:jc w:val="both"/>
      <w:outlineLvl w:val="4"/>
    </w:pPr>
  </w:style>
  <w:style w:type="paragraph" w:styleId="Heading6">
    <w:name w:val="heading 6"/>
    <w:basedOn w:val="Normal"/>
    <w:qFormat/>
    <w:rsid w:val="003C0D36"/>
    <w:pPr>
      <w:numPr>
        <w:ilvl w:val="5"/>
        <w:numId w:val="27"/>
      </w:numPr>
      <w:spacing w:after="240"/>
      <w:jc w:val="both"/>
      <w:outlineLvl w:val="5"/>
    </w:pPr>
  </w:style>
  <w:style w:type="paragraph" w:styleId="Heading7">
    <w:name w:val="heading 7"/>
    <w:basedOn w:val="Normal"/>
    <w:qFormat/>
    <w:rsid w:val="003C0D36"/>
    <w:pPr>
      <w:numPr>
        <w:ilvl w:val="6"/>
        <w:numId w:val="27"/>
      </w:numPr>
      <w:spacing w:after="240"/>
      <w:jc w:val="both"/>
      <w:outlineLvl w:val="6"/>
    </w:pPr>
  </w:style>
  <w:style w:type="paragraph" w:styleId="Heading8">
    <w:name w:val="heading 8"/>
    <w:basedOn w:val="Normal"/>
    <w:qFormat/>
    <w:rsid w:val="003C0D36"/>
    <w:pPr>
      <w:numPr>
        <w:ilvl w:val="7"/>
        <w:numId w:val="27"/>
      </w:numPr>
      <w:spacing w:after="240"/>
      <w:jc w:val="both"/>
      <w:outlineLvl w:val="7"/>
    </w:pPr>
  </w:style>
  <w:style w:type="paragraph" w:styleId="Heading9">
    <w:name w:val="heading 9"/>
    <w:basedOn w:val="Normal"/>
    <w:qFormat/>
    <w:rsid w:val="003C0D36"/>
    <w:pPr>
      <w:numPr>
        <w:ilvl w:val="8"/>
        <w:numId w:val="27"/>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4E64E0"/>
    <w:pPr>
      <w:keepLines/>
      <w:tabs>
        <w:tab w:val="left" w:pos="4680"/>
        <w:tab w:val="left" w:pos="9360"/>
      </w:tabs>
      <w:spacing w:after="480"/>
      <w:ind w:left="3600"/>
    </w:pPr>
  </w:style>
  <w:style w:type="paragraph" w:customStyle="1" w:styleId="Addressee">
    <w:name w:val="Addressee"/>
    <w:basedOn w:val="Normal"/>
    <w:rsid w:val="004E64E0"/>
    <w:pPr>
      <w:tabs>
        <w:tab w:val="left" w:pos="1440"/>
      </w:tabs>
      <w:spacing w:after="240"/>
    </w:pPr>
  </w:style>
  <w:style w:type="paragraph" w:customStyle="1" w:styleId="Bod">
    <w:name w:val="Bod"/>
    <w:basedOn w:val="Normal"/>
    <w:rsid w:val="004E64E0"/>
    <w:pPr>
      <w:spacing w:after="240"/>
      <w:ind w:firstLine="1440"/>
      <w:jc w:val="both"/>
    </w:pPr>
  </w:style>
  <w:style w:type="paragraph" w:styleId="BodyText">
    <w:name w:val="Body Text"/>
    <w:basedOn w:val="Normal"/>
    <w:rsid w:val="004E64E0"/>
    <w:pPr>
      <w:spacing w:after="120"/>
    </w:pPr>
  </w:style>
  <w:style w:type="paragraph" w:customStyle="1" w:styleId="bullet">
    <w:name w:val="bullet"/>
    <w:basedOn w:val="Normal"/>
    <w:rsid w:val="004E64E0"/>
    <w:pPr>
      <w:numPr>
        <w:numId w:val="1"/>
      </w:numPr>
      <w:tabs>
        <w:tab w:val="clear" w:pos="360"/>
      </w:tabs>
      <w:ind w:left="0" w:firstLine="0"/>
    </w:pPr>
    <w:rPr>
      <w:sz w:val="20"/>
    </w:rPr>
  </w:style>
  <w:style w:type="paragraph" w:customStyle="1" w:styleId="bullet2">
    <w:name w:val="bullet2"/>
    <w:basedOn w:val="bullet"/>
    <w:rsid w:val="004E64E0"/>
    <w:pPr>
      <w:numPr>
        <w:numId w:val="2"/>
      </w:numPr>
      <w:tabs>
        <w:tab w:val="clear" w:pos="360"/>
      </w:tabs>
      <w:spacing w:after="240"/>
      <w:ind w:left="0" w:firstLine="0"/>
    </w:pPr>
  </w:style>
  <w:style w:type="paragraph" w:customStyle="1" w:styleId="Center">
    <w:name w:val="Center"/>
    <w:basedOn w:val="Normal"/>
    <w:rsid w:val="004E64E0"/>
    <w:pPr>
      <w:keepNext/>
      <w:spacing w:after="240"/>
      <w:jc w:val="center"/>
    </w:pPr>
  </w:style>
  <w:style w:type="paragraph" w:customStyle="1" w:styleId="Company-1">
    <w:name w:val="Company-1"/>
    <w:basedOn w:val="Normal"/>
    <w:next w:val="Normal"/>
    <w:rsid w:val="004E64E0"/>
    <w:pPr>
      <w:keepLines/>
      <w:tabs>
        <w:tab w:val="left" w:pos="5310"/>
        <w:tab w:val="left" w:pos="9360"/>
      </w:tabs>
      <w:spacing w:after="480"/>
      <w:ind w:left="4680"/>
    </w:pPr>
  </w:style>
  <w:style w:type="paragraph" w:customStyle="1" w:styleId="Company-2">
    <w:name w:val="Company-2"/>
    <w:basedOn w:val="Normal"/>
    <w:next w:val="Normal"/>
    <w:rsid w:val="004E64E0"/>
    <w:pPr>
      <w:keepLines/>
      <w:tabs>
        <w:tab w:val="left" w:pos="630"/>
        <w:tab w:val="left" w:pos="4140"/>
        <w:tab w:val="left" w:pos="4680"/>
        <w:tab w:val="left" w:pos="5310"/>
        <w:tab w:val="left" w:pos="9270"/>
      </w:tabs>
      <w:spacing w:after="480"/>
    </w:pPr>
  </w:style>
  <w:style w:type="paragraph" w:styleId="Footer">
    <w:name w:val="footer"/>
    <w:basedOn w:val="Normal"/>
    <w:rsid w:val="004E64E0"/>
    <w:pPr>
      <w:tabs>
        <w:tab w:val="center" w:pos="4680"/>
        <w:tab w:val="right" w:pos="9360"/>
      </w:tabs>
    </w:pPr>
    <w:rPr>
      <w:sz w:val="16"/>
    </w:rPr>
  </w:style>
  <w:style w:type="paragraph" w:customStyle="1" w:styleId="Head">
    <w:name w:val="Head"/>
    <w:basedOn w:val="Normal"/>
    <w:next w:val="Bod"/>
    <w:rsid w:val="004E64E0"/>
    <w:pPr>
      <w:keepNext/>
      <w:tabs>
        <w:tab w:val="left" w:pos="0"/>
      </w:tabs>
      <w:spacing w:after="240"/>
    </w:pPr>
    <w:rPr>
      <w:rFonts w:ascii="Times New Roman Bold" w:hAnsi="Times New Roman Bold"/>
      <w:b/>
      <w:sz w:val="20"/>
    </w:rPr>
  </w:style>
  <w:style w:type="paragraph" w:customStyle="1" w:styleId="Head1">
    <w:name w:val="Head1"/>
    <w:basedOn w:val="Normal"/>
    <w:rsid w:val="004E64E0"/>
    <w:pPr>
      <w:keepNext/>
      <w:tabs>
        <w:tab w:val="left" w:pos="0"/>
      </w:tabs>
      <w:spacing w:after="240"/>
    </w:pPr>
    <w:rPr>
      <w:rFonts w:ascii="Times New Roman Bold" w:hAnsi="Times New Roman Bold"/>
      <w:b/>
    </w:rPr>
  </w:style>
  <w:style w:type="paragraph" w:customStyle="1" w:styleId="Head1Text">
    <w:name w:val="Head1Text"/>
    <w:basedOn w:val="Normal"/>
    <w:next w:val="Heading2"/>
    <w:rsid w:val="004E64E0"/>
    <w:pPr>
      <w:keepNext/>
      <w:spacing w:before="120" w:after="240"/>
      <w:jc w:val="center"/>
    </w:pPr>
  </w:style>
  <w:style w:type="paragraph" w:customStyle="1" w:styleId="Head2">
    <w:name w:val="Head2"/>
    <w:basedOn w:val="Normal"/>
    <w:next w:val="Bod"/>
    <w:rsid w:val="004E64E0"/>
    <w:pPr>
      <w:keepNext/>
      <w:tabs>
        <w:tab w:val="left" w:pos="0"/>
      </w:tabs>
      <w:spacing w:after="240"/>
    </w:pPr>
    <w:rPr>
      <w:rFonts w:ascii="Times New Roman Bold" w:hAnsi="Times New Roman Bold"/>
      <w:b/>
      <w:sz w:val="20"/>
    </w:rPr>
  </w:style>
  <w:style w:type="paragraph" w:customStyle="1" w:styleId="MainTitle">
    <w:name w:val="MainTitle"/>
    <w:basedOn w:val="Normal"/>
    <w:next w:val="Normal"/>
    <w:rsid w:val="004E64E0"/>
    <w:pPr>
      <w:keepNext/>
      <w:spacing w:after="600"/>
      <w:jc w:val="center"/>
    </w:pPr>
    <w:rPr>
      <w:caps/>
    </w:rPr>
  </w:style>
  <w:style w:type="character" w:styleId="PageNumber">
    <w:name w:val="page number"/>
    <w:rsid w:val="004E64E0"/>
    <w:rPr>
      <w:rFonts w:ascii="Times New Roman" w:hAnsi="Times New Roman"/>
      <w:sz w:val="24"/>
    </w:rPr>
  </w:style>
  <w:style w:type="paragraph" w:customStyle="1" w:styleId="Plain">
    <w:name w:val="Plain"/>
    <w:basedOn w:val="Normal"/>
    <w:rsid w:val="004E64E0"/>
    <w:pPr>
      <w:spacing w:after="240"/>
      <w:jc w:val="both"/>
    </w:pPr>
  </w:style>
  <w:style w:type="table" w:styleId="TableGrid">
    <w:name w:val="Table Grid"/>
    <w:basedOn w:val="TableNormal"/>
    <w:rsid w:val="00AA57D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45224"/>
    <w:rPr>
      <w:i/>
      <w:iCs/>
    </w:rPr>
  </w:style>
  <w:style w:type="character" w:styleId="Hyperlink">
    <w:name w:val="Hyperlink"/>
    <w:rsid w:val="00F5196E"/>
    <w:rPr>
      <w:color w:val="0000FF"/>
      <w:u w:val="single"/>
    </w:rPr>
  </w:style>
  <w:style w:type="paragraph" w:styleId="BalloonText">
    <w:name w:val="Balloon Text"/>
    <w:basedOn w:val="Normal"/>
    <w:semiHidden/>
    <w:rsid w:val="00E963E6"/>
    <w:rPr>
      <w:rFonts w:ascii="Tahoma" w:hAnsi="Tahoma" w:cs="Tahoma"/>
      <w:sz w:val="16"/>
      <w:szCs w:val="16"/>
    </w:rPr>
  </w:style>
  <w:style w:type="paragraph" w:customStyle="1" w:styleId="Default">
    <w:name w:val="Default"/>
    <w:rsid w:val="00454E5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courses.berkeley.edu/courses/1247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J.com/studentoff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Syllabus - internal</vt:lpstr>
    </vt:vector>
  </TitlesOfParts>
  <Company>Gunderson Dettmer</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internal</dc:title>
  <dc:creator>Bobby Bartlett</dc:creator>
  <cp:lastModifiedBy>Bobby</cp:lastModifiedBy>
  <cp:revision>9</cp:revision>
  <cp:lastPrinted>2009-08-19T19:00:00Z</cp:lastPrinted>
  <dcterms:created xsi:type="dcterms:W3CDTF">2014-08-19T13:42:00Z</dcterms:created>
  <dcterms:modified xsi:type="dcterms:W3CDTF">2014-08-21T17:22:00Z</dcterms:modified>
</cp:coreProperties>
</file>