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D82" w:rsidRPr="00130565" w:rsidRDefault="00717D82" w:rsidP="00837946">
      <w:pPr>
        <w:jc w:val="center"/>
        <w:rPr>
          <w:b/>
          <w:sz w:val="28"/>
          <w:szCs w:val="28"/>
        </w:rPr>
      </w:pPr>
      <w:r w:rsidRPr="00130565">
        <w:rPr>
          <w:b/>
          <w:sz w:val="28"/>
          <w:szCs w:val="28"/>
        </w:rPr>
        <w:t>Social Movements and Law Workshop</w:t>
      </w:r>
    </w:p>
    <w:p w:rsidR="00717D82" w:rsidRPr="008F7400" w:rsidRDefault="00BE622C" w:rsidP="00837946">
      <w:pPr>
        <w:jc w:val="center"/>
        <w:rPr>
          <w:sz w:val="20"/>
        </w:rPr>
      </w:pPr>
      <w:r>
        <w:rPr>
          <w:sz w:val="20"/>
        </w:rPr>
        <w:t>Spring 2014</w:t>
      </w:r>
      <w:r w:rsidR="00413339">
        <w:rPr>
          <w:sz w:val="20"/>
        </w:rPr>
        <w:t>, Tuesday 2:30-5</w:t>
      </w:r>
    </w:p>
    <w:p w:rsidR="00717D82" w:rsidRPr="008F7400" w:rsidRDefault="00717D82" w:rsidP="00837946">
      <w:pPr>
        <w:jc w:val="center"/>
        <w:rPr>
          <w:sz w:val="20"/>
        </w:rPr>
      </w:pPr>
      <w:r w:rsidRPr="008F7400">
        <w:rPr>
          <w:sz w:val="20"/>
        </w:rPr>
        <w:t>Professor Albiston</w:t>
      </w:r>
    </w:p>
    <w:p w:rsidR="00717D82" w:rsidRPr="008F7400" w:rsidRDefault="00717D82" w:rsidP="00837946">
      <w:pPr>
        <w:jc w:val="center"/>
        <w:rPr>
          <w:b/>
          <w:sz w:val="20"/>
        </w:rPr>
      </w:pPr>
    </w:p>
    <w:p w:rsidR="00837946" w:rsidRPr="008F7400" w:rsidRDefault="00837946" w:rsidP="00837946">
      <w:pPr>
        <w:jc w:val="center"/>
        <w:rPr>
          <w:b/>
          <w:sz w:val="20"/>
        </w:rPr>
      </w:pPr>
    </w:p>
    <w:p w:rsidR="00717D82" w:rsidRPr="008F7400" w:rsidRDefault="00717D82">
      <w:pPr>
        <w:rPr>
          <w:sz w:val="20"/>
          <w:szCs w:val="20"/>
        </w:rPr>
      </w:pPr>
      <w:r w:rsidRPr="008F7400">
        <w:rPr>
          <w:b/>
          <w:sz w:val="20"/>
          <w:szCs w:val="20"/>
        </w:rPr>
        <w:t xml:space="preserve">Office: </w:t>
      </w:r>
      <w:r w:rsidRPr="008F7400">
        <w:rPr>
          <w:sz w:val="20"/>
          <w:szCs w:val="20"/>
        </w:rPr>
        <w:t>JSP Building</w:t>
      </w:r>
    </w:p>
    <w:p w:rsidR="00717D82" w:rsidRPr="008F7400" w:rsidRDefault="00717D82">
      <w:pPr>
        <w:rPr>
          <w:sz w:val="20"/>
          <w:szCs w:val="20"/>
        </w:rPr>
      </w:pPr>
      <w:r w:rsidRPr="008F7400">
        <w:rPr>
          <w:b/>
          <w:sz w:val="20"/>
          <w:szCs w:val="20"/>
        </w:rPr>
        <w:t>Phone:</w:t>
      </w:r>
      <w:r w:rsidRPr="008F7400">
        <w:rPr>
          <w:sz w:val="20"/>
          <w:szCs w:val="20"/>
        </w:rPr>
        <w:t xml:space="preserve"> 642-4038</w:t>
      </w:r>
    </w:p>
    <w:p w:rsidR="00717D82" w:rsidRPr="008F7400" w:rsidRDefault="00717D82">
      <w:pPr>
        <w:rPr>
          <w:sz w:val="20"/>
          <w:szCs w:val="20"/>
        </w:rPr>
      </w:pPr>
      <w:r w:rsidRPr="008F7400">
        <w:rPr>
          <w:b/>
          <w:sz w:val="20"/>
          <w:szCs w:val="20"/>
        </w:rPr>
        <w:t xml:space="preserve">Email: </w:t>
      </w:r>
      <w:hyperlink r:id="rId7" w:history="1">
        <w:r w:rsidRPr="008F7400">
          <w:rPr>
            <w:rStyle w:val="Hyperlink"/>
            <w:sz w:val="20"/>
            <w:szCs w:val="20"/>
          </w:rPr>
          <w:t>calbiston@law.berkeley.edu</w:t>
        </w:r>
      </w:hyperlink>
    </w:p>
    <w:p w:rsidR="00717D82" w:rsidRPr="008F7400" w:rsidRDefault="00717D82">
      <w:pPr>
        <w:rPr>
          <w:b/>
          <w:sz w:val="20"/>
          <w:szCs w:val="20"/>
        </w:rPr>
      </w:pPr>
      <w:r w:rsidRPr="008F7400">
        <w:rPr>
          <w:b/>
          <w:sz w:val="20"/>
          <w:szCs w:val="20"/>
        </w:rPr>
        <w:t xml:space="preserve">Office Hours: </w:t>
      </w:r>
      <w:r w:rsidR="00BE622C">
        <w:rPr>
          <w:sz w:val="20"/>
          <w:szCs w:val="20"/>
        </w:rPr>
        <w:t>Wednesday 10-12</w:t>
      </w:r>
    </w:p>
    <w:p w:rsidR="00717D82" w:rsidRPr="008F7400" w:rsidRDefault="00717D82">
      <w:pPr>
        <w:rPr>
          <w:b/>
          <w:sz w:val="20"/>
          <w:szCs w:val="20"/>
        </w:rPr>
      </w:pPr>
    </w:p>
    <w:p w:rsidR="00717D82" w:rsidRPr="008F7400" w:rsidRDefault="00717D82">
      <w:pPr>
        <w:rPr>
          <w:b/>
          <w:sz w:val="20"/>
          <w:szCs w:val="20"/>
        </w:rPr>
      </w:pPr>
      <w:r w:rsidRPr="007A1DB6">
        <w:rPr>
          <w:b/>
          <w:sz w:val="20"/>
          <w:szCs w:val="20"/>
          <w:u w:val="single"/>
        </w:rPr>
        <w:t>Course Description</w:t>
      </w:r>
      <w:r w:rsidRPr="008F7400">
        <w:rPr>
          <w:b/>
          <w:sz w:val="20"/>
          <w:szCs w:val="20"/>
        </w:rPr>
        <w:t>:</w:t>
      </w:r>
    </w:p>
    <w:p w:rsidR="009F21EE" w:rsidRPr="008F7400" w:rsidRDefault="00130565" w:rsidP="009F21EE">
      <w:pPr>
        <w:rPr>
          <w:sz w:val="20"/>
          <w:szCs w:val="20"/>
        </w:rPr>
      </w:pPr>
      <w:r>
        <w:rPr>
          <w:sz w:val="20"/>
          <w:szCs w:val="20"/>
        </w:rPr>
        <w:t xml:space="preserve">Scholars </w:t>
      </w:r>
      <w:r w:rsidR="00361CDE" w:rsidRPr="008F7400">
        <w:rPr>
          <w:sz w:val="20"/>
          <w:szCs w:val="20"/>
        </w:rPr>
        <w:t>in both sociology and law and society have long been interested in questions of mobilization and social change.  Nevertheless</w:t>
      </w:r>
      <w:r w:rsidR="009F21EE" w:rsidRPr="008F7400">
        <w:rPr>
          <w:sz w:val="20"/>
          <w:szCs w:val="20"/>
        </w:rPr>
        <w:t xml:space="preserve">, there is a </w:t>
      </w:r>
      <w:r w:rsidR="00361CDE" w:rsidRPr="008F7400">
        <w:rPr>
          <w:sz w:val="20"/>
          <w:szCs w:val="20"/>
        </w:rPr>
        <w:t xml:space="preserve">surprising </w:t>
      </w:r>
      <w:r w:rsidR="009F21EE" w:rsidRPr="008F7400">
        <w:rPr>
          <w:sz w:val="20"/>
          <w:szCs w:val="20"/>
        </w:rPr>
        <w:t>vacuum at their intersection: sociologists interested in social movements rarely examine how legal institutions relate to the formation and activities of social movements, while law and society scholars seldom examine collective action</w:t>
      </w:r>
      <w:r w:rsidR="00361CDE" w:rsidRPr="008F7400">
        <w:rPr>
          <w:sz w:val="20"/>
          <w:szCs w:val="20"/>
        </w:rPr>
        <w:t xml:space="preserve"> beyond impact litigation campaigns</w:t>
      </w:r>
      <w:r w:rsidR="009F21EE" w:rsidRPr="008F7400">
        <w:rPr>
          <w:sz w:val="20"/>
          <w:szCs w:val="20"/>
        </w:rPr>
        <w:t xml:space="preserve">.  This course attempts to bridge this divide by introducing students to basic concepts from the social movement literature </w:t>
      </w:r>
      <w:r w:rsidR="002B5A89" w:rsidRPr="008F7400">
        <w:rPr>
          <w:sz w:val="20"/>
          <w:szCs w:val="20"/>
        </w:rPr>
        <w:t xml:space="preserve">through work that addresses </w:t>
      </w:r>
      <w:r w:rsidR="009F21EE" w:rsidRPr="008F7400">
        <w:rPr>
          <w:sz w:val="20"/>
          <w:szCs w:val="20"/>
        </w:rPr>
        <w:t xml:space="preserve">(1) </w:t>
      </w:r>
      <w:r w:rsidR="00361CDE" w:rsidRPr="008F7400">
        <w:rPr>
          <w:sz w:val="20"/>
          <w:szCs w:val="20"/>
        </w:rPr>
        <w:t>the leading theoretical models in the social movement field;  (2) law, framing, and the social construction of grievances; (3) law’s effect on social movements; and (4) the effectiveness of legal strategies for social change</w:t>
      </w:r>
      <w:r w:rsidR="009F21EE" w:rsidRPr="008F7400">
        <w:rPr>
          <w:sz w:val="20"/>
          <w:szCs w:val="20"/>
        </w:rPr>
        <w:t xml:space="preserve">.  </w:t>
      </w:r>
    </w:p>
    <w:p w:rsidR="009F21EE" w:rsidRPr="008F7400" w:rsidRDefault="009F21EE">
      <w:pPr>
        <w:rPr>
          <w:sz w:val="20"/>
          <w:szCs w:val="20"/>
        </w:rPr>
      </w:pPr>
    </w:p>
    <w:p w:rsidR="00C64CBE" w:rsidRPr="008F7400" w:rsidRDefault="00361CDE">
      <w:pPr>
        <w:rPr>
          <w:sz w:val="20"/>
          <w:szCs w:val="20"/>
        </w:rPr>
      </w:pPr>
      <w:r w:rsidRPr="008F7400">
        <w:rPr>
          <w:sz w:val="20"/>
          <w:szCs w:val="20"/>
        </w:rPr>
        <w:t xml:space="preserve">This course has a special workshop component for </w:t>
      </w:r>
      <w:r w:rsidR="00717D82" w:rsidRPr="008F7400">
        <w:rPr>
          <w:sz w:val="20"/>
          <w:szCs w:val="20"/>
        </w:rPr>
        <w:t xml:space="preserve">students conducting </w:t>
      </w:r>
      <w:r w:rsidR="009F21EE" w:rsidRPr="008F7400">
        <w:rPr>
          <w:sz w:val="20"/>
          <w:szCs w:val="20"/>
        </w:rPr>
        <w:t xml:space="preserve">(or planning to conduct) </w:t>
      </w:r>
      <w:r w:rsidRPr="008F7400">
        <w:rPr>
          <w:sz w:val="20"/>
          <w:szCs w:val="20"/>
        </w:rPr>
        <w:t xml:space="preserve">further research </w:t>
      </w:r>
      <w:r w:rsidR="00717D82" w:rsidRPr="008F7400">
        <w:rPr>
          <w:sz w:val="20"/>
          <w:szCs w:val="20"/>
        </w:rPr>
        <w:t>relat</w:t>
      </w:r>
      <w:r w:rsidR="00DE3C8B" w:rsidRPr="008F7400">
        <w:rPr>
          <w:sz w:val="20"/>
          <w:szCs w:val="20"/>
        </w:rPr>
        <w:t>ed to law and social movements.</w:t>
      </w:r>
      <w:r w:rsidRPr="008F7400">
        <w:rPr>
          <w:sz w:val="20"/>
          <w:szCs w:val="20"/>
        </w:rPr>
        <w:t xml:space="preserve">  Taking advantage of the workshop opportunity is not required, but students who decide to workshop their projects will have slightly different requirements than those who do not.  </w:t>
      </w:r>
      <w:r w:rsidR="00413339">
        <w:rPr>
          <w:sz w:val="20"/>
          <w:szCs w:val="20"/>
        </w:rPr>
        <w:t>It is also possible to complete the writing requirement through this course.</w:t>
      </w:r>
    </w:p>
    <w:p w:rsidR="00DE3C8B" w:rsidRPr="008F7400" w:rsidRDefault="00DE3C8B" w:rsidP="00717D82">
      <w:pPr>
        <w:rPr>
          <w:sz w:val="20"/>
          <w:szCs w:val="20"/>
        </w:rPr>
      </w:pPr>
    </w:p>
    <w:p w:rsidR="00837946" w:rsidRPr="008F7400" w:rsidRDefault="00837946" w:rsidP="00837946">
      <w:pPr>
        <w:rPr>
          <w:b/>
          <w:sz w:val="20"/>
          <w:szCs w:val="20"/>
        </w:rPr>
      </w:pPr>
      <w:r w:rsidRPr="007A1DB6">
        <w:rPr>
          <w:b/>
          <w:sz w:val="20"/>
          <w:szCs w:val="20"/>
          <w:u w:val="single"/>
        </w:rPr>
        <w:t>Required Reading Materials</w:t>
      </w:r>
      <w:r w:rsidRPr="008F7400">
        <w:rPr>
          <w:b/>
          <w:sz w:val="20"/>
          <w:szCs w:val="20"/>
        </w:rPr>
        <w:t>:</w:t>
      </w:r>
    </w:p>
    <w:p w:rsidR="00837946" w:rsidRPr="008F7400" w:rsidRDefault="00837946" w:rsidP="004024CB">
      <w:pPr>
        <w:ind w:left="720"/>
        <w:rPr>
          <w:b/>
          <w:sz w:val="20"/>
          <w:szCs w:val="20"/>
        </w:rPr>
      </w:pPr>
      <w:r w:rsidRPr="008F7400">
        <w:rPr>
          <w:sz w:val="20"/>
          <w:szCs w:val="20"/>
        </w:rPr>
        <w:t>Doug McAdam</w:t>
      </w:r>
      <w:r w:rsidR="00361CDE" w:rsidRPr="008F7400">
        <w:rPr>
          <w:sz w:val="20"/>
          <w:szCs w:val="20"/>
        </w:rPr>
        <w:t xml:space="preserve">.  (2d ed. 1999) </w:t>
      </w:r>
      <w:r w:rsidRPr="008F7400">
        <w:rPr>
          <w:i/>
          <w:sz w:val="20"/>
          <w:szCs w:val="20"/>
        </w:rPr>
        <w:t>Political Process and the Development of Black Insurgency, 1930-1970</w:t>
      </w:r>
      <w:r w:rsidR="004024CB" w:rsidRPr="008F7400">
        <w:rPr>
          <w:i/>
          <w:sz w:val="20"/>
          <w:szCs w:val="20"/>
        </w:rPr>
        <w:t>.</w:t>
      </w:r>
      <w:r w:rsidRPr="008F7400">
        <w:rPr>
          <w:i/>
          <w:sz w:val="20"/>
          <w:szCs w:val="20"/>
        </w:rPr>
        <w:t xml:space="preserve"> </w:t>
      </w:r>
      <w:r w:rsidR="004024CB" w:rsidRPr="008F7400">
        <w:rPr>
          <w:sz w:val="20"/>
          <w:szCs w:val="20"/>
        </w:rPr>
        <w:t>Chicago University Press</w:t>
      </w:r>
      <w:r w:rsidRPr="008F7400">
        <w:rPr>
          <w:sz w:val="20"/>
          <w:szCs w:val="20"/>
        </w:rPr>
        <w:t>.</w:t>
      </w:r>
      <w:r w:rsidR="004024CB" w:rsidRPr="008F7400">
        <w:rPr>
          <w:sz w:val="20"/>
          <w:szCs w:val="20"/>
        </w:rPr>
        <w:t xml:space="preserve">  </w:t>
      </w:r>
      <w:r w:rsidR="004024CB" w:rsidRPr="008F7400">
        <w:rPr>
          <w:b/>
          <w:sz w:val="20"/>
          <w:szCs w:val="20"/>
        </w:rPr>
        <w:t>Please purchase the second edition; some readings for the course are not included in the first edition.</w:t>
      </w:r>
    </w:p>
    <w:p w:rsidR="003541B3" w:rsidRPr="008F7400" w:rsidRDefault="003541B3" w:rsidP="004024CB">
      <w:pPr>
        <w:ind w:left="720"/>
        <w:rPr>
          <w:b/>
          <w:sz w:val="20"/>
          <w:szCs w:val="20"/>
        </w:rPr>
      </w:pPr>
    </w:p>
    <w:p w:rsidR="003541B3" w:rsidRPr="008F7400" w:rsidRDefault="003541B3" w:rsidP="004024CB">
      <w:pPr>
        <w:ind w:left="720"/>
        <w:rPr>
          <w:sz w:val="20"/>
          <w:szCs w:val="20"/>
        </w:rPr>
      </w:pPr>
      <w:r w:rsidRPr="008F7400">
        <w:rPr>
          <w:sz w:val="20"/>
          <w:szCs w:val="20"/>
        </w:rPr>
        <w:t>Luis A. Fernandez</w:t>
      </w:r>
      <w:r w:rsidR="00361CDE" w:rsidRPr="008F7400">
        <w:rPr>
          <w:sz w:val="20"/>
          <w:szCs w:val="20"/>
        </w:rPr>
        <w:t>. (2009)</w:t>
      </w:r>
      <w:r w:rsidRPr="008F7400">
        <w:rPr>
          <w:sz w:val="20"/>
          <w:szCs w:val="20"/>
        </w:rPr>
        <w:t xml:space="preserve"> </w:t>
      </w:r>
      <w:r w:rsidRPr="008F7400">
        <w:rPr>
          <w:i/>
          <w:sz w:val="20"/>
          <w:szCs w:val="20"/>
        </w:rPr>
        <w:t>Policing Dissent:  Social Control and the Anti-Globalization Movement</w:t>
      </w:r>
      <w:r w:rsidR="00224F5A" w:rsidRPr="008F7400">
        <w:rPr>
          <w:sz w:val="20"/>
          <w:szCs w:val="20"/>
        </w:rPr>
        <w:t xml:space="preserve">  Rutgers University Press.</w:t>
      </w:r>
    </w:p>
    <w:p w:rsidR="003541B3" w:rsidRPr="008F7400" w:rsidRDefault="003541B3" w:rsidP="004024CB">
      <w:pPr>
        <w:ind w:left="720"/>
        <w:rPr>
          <w:sz w:val="20"/>
          <w:szCs w:val="20"/>
        </w:rPr>
      </w:pPr>
    </w:p>
    <w:p w:rsidR="003541B3" w:rsidRPr="008F7400" w:rsidRDefault="003541B3" w:rsidP="004024CB">
      <w:pPr>
        <w:ind w:left="720"/>
        <w:rPr>
          <w:sz w:val="20"/>
          <w:szCs w:val="20"/>
        </w:rPr>
      </w:pPr>
      <w:r w:rsidRPr="008F7400">
        <w:rPr>
          <w:sz w:val="20"/>
          <w:szCs w:val="20"/>
        </w:rPr>
        <w:t>Michael W. McCann</w:t>
      </w:r>
      <w:r w:rsidR="00926ACA" w:rsidRPr="008F7400">
        <w:rPr>
          <w:sz w:val="20"/>
          <w:szCs w:val="20"/>
        </w:rPr>
        <w:t>. (1994)</w:t>
      </w:r>
      <w:r w:rsidRPr="008F7400">
        <w:rPr>
          <w:sz w:val="20"/>
          <w:szCs w:val="20"/>
        </w:rPr>
        <w:t xml:space="preserve"> </w:t>
      </w:r>
      <w:r w:rsidRPr="008F7400">
        <w:rPr>
          <w:i/>
          <w:sz w:val="20"/>
          <w:szCs w:val="20"/>
        </w:rPr>
        <w:t>Rights at Work:  Pay Equity Reform and the Politics of Legal Mobilization</w:t>
      </w:r>
      <w:r w:rsidRPr="008F7400">
        <w:rPr>
          <w:sz w:val="20"/>
          <w:szCs w:val="20"/>
        </w:rPr>
        <w:t xml:space="preserve">.  Chicago University Press. </w:t>
      </w:r>
    </w:p>
    <w:p w:rsidR="003541B3" w:rsidRPr="008F7400" w:rsidRDefault="003541B3" w:rsidP="004024CB">
      <w:pPr>
        <w:ind w:left="720"/>
        <w:rPr>
          <w:sz w:val="20"/>
          <w:szCs w:val="20"/>
        </w:rPr>
      </w:pPr>
    </w:p>
    <w:p w:rsidR="003541B3" w:rsidRPr="008F7400" w:rsidRDefault="003541B3" w:rsidP="004024CB">
      <w:pPr>
        <w:ind w:left="720"/>
        <w:rPr>
          <w:sz w:val="20"/>
          <w:szCs w:val="20"/>
        </w:rPr>
      </w:pPr>
      <w:r w:rsidRPr="008F7400">
        <w:rPr>
          <w:sz w:val="20"/>
          <w:szCs w:val="20"/>
        </w:rPr>
        <w:t>Risa L. Goluboff</w:t>
      </w:r>
      <w:r w:rsidR="00B35B15" w:rsidRPr="008F7400">
        <w:rPr>
          <w:sz w:val="20"/>
          <w:szCs w:val="20"/>
        </w:rPr>
        <w:t xml:space="preserve">. </w:t>
      </w:r>
      <w:r w:rsidR="00926ACA" w:rsidRPr="008F7400">
        <w:rPr>
          <w:sz w:val="20"/>
          <w:szCs w:val="20"/>
        </w:rPr>
        <w:t>(2007)</w:t>
      </w:r>
      <w:r w:rsidRPr="008F7400">
        <w:rPr>
          <w:sz w:val="20"/>
          <w:szCs w:val="20"/>
        </w:rPr>
        <w:t xml:space="preserve"> </w:t>
      </w:r>
      <w:r w:rsidRPr="008F7400">
        <w:rPr>
          <w:i/>
          <w:sz w:val="20"/>
          <w:szCs w:val="20"/>
        </w:rPr>
        <w:t>The Lost Promise of Civil Rights</w:t>
      </w:r>
      <w:r w:rsidRPr="008F7400">
        <w:rPr>
          <w:sz w:val="20"/>
          <w:szCs w:val="20"/>
        </w:rPr>
        <w:t>.  Harvard University Press</w:t>
      </w:r>
      <w:r w:rsidR="00926ACA" w:rsidRPr="008F7400">
        <w:rPr>
          <w:sz w:val="20"/>
          <w:szCs w:val="20"/>
        </w:rPr>
        <w:t>.</w:t>
      </w:r>
    </w:p>
    <w:p w:rsidR="00837946" w:rsidRPr="008F7400" w:rsidRDefault="00837946" w:rsidP="00BE622C">
      <w:pPr>
        <w:rPr>
          <w:sz w:val="20"/>
          <w:szCs w:val="20"/>
        </w:rPr>
      </w:pPr>
    </w:p>
    <w:p w:rsidR="00837946" w:rsidRPr="008F7400" w:rsidRDefault="003541B3" w:rsidP="004024CB">
      <w:pPr>
        <w:ind w:left="720"/>
        <w:rPr>
          <w:sz w:val="20"/>
          <w:szCs w:val="20"/>
        </w:rPr>
      </w:pPr>
      <w:r w:rsidRPr="008F7400">
        <w:rPr>
          <w:sz w:val="20"/>
          <w:szCs w:val="20"/>
        </w:rPr>
        <w:t>Cour</w:t>
      </w:r>
      <w:r w:rsidR="00FC1734">
        <w:rPr>
          <w:sz w:val="20"/>
          <w:szCs w:val="20"/>
        </w:rPr>
        <w:t>se readings, available on bCourses</w:t>
      </w:r>
      <w:r w:rsidR="00837946" w:rsidRPr="008F7400">
        <w:rPr>
          <w:sz w:val="20"/>
          <w:szCs w:val="20"/>
        </w:rPr>
        <w:t>.</w:t>
      </w:r>
    </w:p>
    <w:p w:rsidR="00837946" w:rsidRPr="008F7400" w:rsidRDefault="00837946" w:rsidP="00837946">
      <w:pPr>
        <w:rPr>
          <w:b/>
          <w:sz w:val="20"/>
          <w:szCs w:val="20"/>
        </w:rPr>
      </w:pPr>
    </w:p>
    <w:p w:rsidR="000B3FBE" w:rsidRDefault="000B3FBE" w:rsidP="00837946">
      <w:pPr>
        <w:rPr>
          <w:b/>
          <w:sz w:val="20"/>
          <w:szCs w:val="20"/>
        </w:rPr>
      </w:pPr>
    </w:p>
    <w:p w:rsidR="00837946" w:rsidRPr="008F7400" w:rsidRDefault="00837946" w:rsidP="00837946">
      <w:pPr>
        <w:rPr>
          <w:b/>
          <w:sz w:val="20"/>
          <w:szCs w:val="20"/>
        </w:rPr>
      </w:pPr>
      <w:r w:rsidRPr="007A1DB6">
        <w:rPr>
          <w:b/>
          <w:sz w:val="20"/>
          <w:szCs w:val="20"/>
          <w:u w:val="single"/>
        </w:rPr>
        <w:t>Course requirements</w:t>
      </w:r>
      <w:r w:rsidRPr="008F7400">
        <w:rPr>
          <w:b/>
          <w:sz w:val="20"/>
          <w:szCs w:val="20"/>
        </w:rPr>
        <w:t>:</w:t>
      </w:r>
    </w:p>
    <w:p w:rsidR="00C474DD" w:rsidRDefault="00837946" w:rsidP="00837946">
      <w:pPr>
        <w:rPr>
          <w:sz w:val="20"/>
          <w:szCs w:val="20"/>
        </w:rPr>
      </w:pPr>
      <w:r w:rsidRPr="008F7400">
        <w:rPr>
          <w:sz w:val="20"/>
          <w:szCs w:val="20"/>
        </w:rPr>
        <w:t xml:space="preserve">There are </w:t>
      </w:r>
      <w:r w:rsidR="003541B3" w:rsidRPr="008F7400">
        <w:rPr>
          <w:sz w:val="20"/>
          <w:szCs w:val="20"/>
        </w:rPr>
        <w:t xml:space="preserve">four </w:t>
      </w:r>
      <w:r w:rsidR="00F87ADF" w:rsidRPr="008F7400">
        <w:rPr>
          <w:sz w:val="20"/>
          <w:szCs w:val="20"/>
        </w:rPr>
        <w:t xml:space="preserve">course requirements: (1) </w:t>
      </w:r>
      <w:r w:rsidR="00D35D31">
        <w:rPr>
          <w:sz w:val="20"/>
          <w:szCs w:val="20"/>
        </w:rPr>
        <w:t xml:space="preserve">critiques of the readings for </w:t>
      </w:r>
      <w:r w:rsidR="00A426C9">
        <w:rPr>
          <w:sz w:val="20"/>
          <w:szCs w:val="20"/>
        </w:rPr>
        <w:t>one class session OR an in-depth critique of one reading</w:t>
      </w:r>
      <w:r w:rsidR="003541B3" w:rsidRPr="008F7400">
        <w:rPr>
          <w:sz w:val="20"/>
          <w:szCs w:val="20"/>
        </w:rPr>
        <w:t xml:space="preserve"> and a presentation of the student’s (proposed) project to the class;</w:t>
      </w:r>
      <w:r w:rsidR="00F87ADF" w:rsidRPr="008F7400">
        <w:rPr>
          <w:sz w:val="20"/>
          <w:szCs w:val="20"/>
        </w:rPr>
        <w:t xml:space="preserve"> (2) participation in class discussion; (3) substantive crit</w:t>
      </w:r>
      <w:r w:rsidR="003541B3" w:rsidRPr="008F7400">
        <w:rPr>
          <w:sz w:val="20"/>
          <w:szCs w:val="20"/>
        </w:rPr>
        <w:t>ique of other students’ work</w:t>
      </w:r>
      <w:r w:rsidR="007724B8" w:rsidRPr="008F7400">
        <w:rPr>
          <w:sz w:val="20"/>
          <w:szCs w:val="20"/>
        </w:rPr>
        <w:t xml:space="preserve"> in the workshop process</w:t>
      </w:r>
      <w:r w:rsidR="003541B3" w:rsidRPr="008F7400">
        <w:rPr>
          <w:sz w:val="20"/>
          <w:szCs w:val="20"/>
        </w:rPr>
        <w:t>; (4</w:t>
      </w:r>
      <w:r w:rsidR="00F87ADF" w:rsidRPr="008F7400">
        <w:rPr>
          <w:sz w:val="20"/>
          <w:szCs w:val="20"/>
        </w:rPr>
        <w:t>) a final paper.</w:t>
      </w:r>
    </w:p>
    <w:p w:rsidR="00C474DD" w:rsidRDefault="00C474DD" w:rsidP="00837946">
      <w:pPr>
        <w:rPr>
          <w:sz w:val="20"/>
          <w:szCs w:val="20"/>
        </w:rPr>
      </w:pPr>
    </w:p>
    <w:p w:rsidR="00C474DD" w:rsidRDefault="00C474DD" w:rsidP="00C474DD">
      <w:pPr>
        <w:rPr>
          <w:b/>
          <w:sz w:val="20"/>
          <w:szCs w:val="20"/>
        </w:rPr>
      </w:pPr>
      <w:r>
        <w:rPr>
          <w:b/>
          <w:sz w:val="20"/>
          <w:szCs w:val="20"/>
        </w:rPr>
        <w:br w:type="column"/>
      </w:r>
      <w:r w:rsidRPr="007A1DB6">
        <w:rPr>
          <w:b/>
          <w:sz w:val="20"/>
          <w:szCs w:val="20"/>
          <w:u w:val="single"/>
        </w:rPr>
        <w:lastRenderedPageBreak/>
        <w:t>Course rules</w:t>
      </w:r>
      <w:r>
        <w:rPr>
          <w:b/>
          <w:sz w:val="20"/>
          <w:szCs w:val="20"/>
        </w:rPr>
        <w:t>:</w:t>
      </w:r>
    </w:p>
    <w:p w:rsidR="00C474DD" w:rsidRPr="000B3FBE" w:rsidRDefault="00C474DD" w:rsidP="00C474DD">
      <w:pPr>
        <w:pStyle w:val="ListParagraph"/>
        <w:numPr>
          <w:ilvl w:val="0"/>
          <w:numId w:val="5"/>
        </w:numPr>
        <w:rPr>
          <w:sz w:val="20"/>
          <w:szCs w:val="20"/>
        </w:rPr>
      </w:pPr>
      <w:r w:rsidRPr="000B3FBE">
        <w:rPr>
          <w:sz w:val="20"/>
          <w:szCs w:val="20"/>
        </w:rPr>
        <w:t>We will start and end class on time.  Please respect your classmates (and professor) by planning your coffee consumption and travel time accordingly.</w:t>
      </w:r>
    </w:p>
    <w:p w:rsidR="00C474DD" w:rsidRDefault="00C474DD" w:rsidP="00C474DD">
      <w:pPr>
        <w:pStyle w:val="ListParagraph"/>
        <w:numPr>
          <w:ilvl w:val="0"/>
          <w:numId w:val="5"/>
        </w:numPr>
        <w:rPr>
          <w:sz w:val="20"/>
          <w:szCs w:val="20"/>
        </w:rPr>
      </w:pPr>
      <w:r>
        <w:rPr>
          <w:sz w:val="20"/>
          <w:szCs w:val="20"/>
        </w:rPr>
        <w:t>We will not use laptops in class.  Discussion is vastly improved without the distraction of social media or online surfing.  (That means smart phones are also off limits during class.)</w:t>
      </w:r>
    </w:p>
    <w:p w:rsidR="00C474DD" w:rsidRDefault="00C474DD" w:rsidP="00C474DD">
      <w:pPr>
        <w:pStyle w:val="ListParagraph"/>
        <w:numPr>
          <w:ilvl w:val="0"/>
          <w:numId w:val="5"/>
        </w:numPr>
        <w:rPr>
          <w:sz w:val="20"/>
          <w:szCs w:val="20"/>
        </w:rPr>
      </w:pPr>
      <w:r>
        <w:rPr>
          <w:sz w:val="20"/>
          <w:szCs w:val="20"/>
        </w:rPr>
        <w:t xml:space="preserve">Check your official </w:t>
      </w:r>
      <w:r w:rsidR="00877397">
        <w:rPr>
          <w:sz w:val="20"/>
          <w:szCs w:val="20"/>
        </w:rPr>
        <w:t xml:space="preserve">university </w:t>
      </w:r>
      <w:r>
        <w:rPr>
          <w:sz w:val="20"/>
          <w:szCs w:val="20"/>
        </w:rPr>
        <w:t>email and the course web site regularly for assignments and reminders.</w:t>
      </w:r>
    </w:p>
    <w:p w:rsidR="00C474DD" w:rsidRDefault="00C474DD" w:rsidP="00C474DD">
      <w:pPr>
        <w:pStyle w:val="ListParagraph"/>
        <w:numPr>
          <w:ilvl w:val="0"/>
          <w:numId w:val="5"/>
        </w:numPr>
        <w:rPr>
          <w:sz w:val="20"/>
          <w:szCs w:val="20"/>
        </w:rPr>
      </w:pPr>
      <w:r>
        <w:rPr>
          <w:sz w:val="20"/>
          <w:szCs w:val="20"/>
        </w:rPr>
        <w:t>Attendance is required.  The success of the class depends on everyone’s participation.  Please do not schedule appointments, trips, meetings, or other activities that would require you to miss class.  Of course, if an emergency comes up, please let me know.</w:t>
      </w:r>
    </w:p>
    <w:p w:rsidR="009D1BF9" w:rsidRDefault="00C474DD" w:rsidP="00877397">
      <w:pPr>
        <w:pStyle w:val="ListParagraph"/>
        <w:numPr>
          <w:ilvl w:val="0"/>
          <w:numId w:val="5"/>
        </w:numPr>
        <w:rPr>
          <w:sz w:val="20"/>
          <w:szCs w:val="20"/>
        </w:rPr>
      </w:pPr>
      <w:r>
        <w:rPr>
          <w:sz w:val="20"/>
          <w:szCs w:val="20"/>
        </w:rPr>
        <w:t>Be respectful of all seminar participants.  Respect does not require agreeing with everything that is said; engagement and discussion are welcome, and indeed expected.  Respect does require, however, that you listen to each other and engage with the ideas expressed without disparaging those who express them.  Respect also requires making space for all members of the course to contribute to the discussion.</w:t>
      </w:r>
    </w:p>
    <w:p w:rsidR="00C474DD" w:rsidRPr="009D1BF9" w:rsidRDefault="00C474DD" w:rsidP="009D1BF9">
      <w:pPr>
        <w:pStyle w:val="ListParagraph"/>
        <w:numPr>
          <w:ilvl w:val="0"/>
          <w:numId w:val="5"/>
        </w:numPr>
        <w:rPr>
          <w:sz w:val="20"/>
          <w:szCs w:val="20"/>
        </w:rPr>
      </w:pPr>
      <w:r w:rsidRPr="009D1BF9">
        <w:rPr>
          <w:sz w:val="20"/>
          <w:szCs w:val="20"/>
        </w:rPr>
        <w:t>Complete the readings before the class period for which they are assigned, and bring the readings to class.  Review the discussion questions prior to class, and be prepared to participate in discussion.</w:t>
      </w:r>
      <w:r w:rsidR="00877397" w:rsidRPr="009D1BF9">
        <w:rPr>
          <w:sz w:val="20"/>
          <w:szCs w:val="20"/>
        </w:rPr>
        <w:t xml:space="preserve"> </w:t>
      </w:r>
      <w:r w:rsidR="00877397" w:rsidRPr="009D1BF9">
        <w:rPr>
          <w:sz w:val="20"/>
        </w:rPr>
        <w:t>Participation</w:t>
      </w:r>
      <w:r w:rsidR="009D1BF9">
        <w:rPr>
          <w:sz w:val="20"/>
        </w:rPr>
        <w:t xml:space="preserve"> is part of your grade, and</w:t>
      </w:r>
      <w:r w:rsidR="00877397" w:rsidRPr="009D1BF9">
        <w:rPr>
          <w:sz w:val="20"/>
        </w:rPr>
        <w:t xml:space="preserve"> will be evaluated by considering attendance; evidence of comprehension and critical analysis of the material; contribution of stimulating comments and questions to class discussion; and engagement with ideas raised by other seminar participants.</w:t>
      </w:r>
    </w:p>
    <w:p w:rsidR="00C474DD" w:rsidRPr="00C474DD" w:rsidRDefault="00C474DD" w:rsidP="00837946">
      <w:pPr>
        <w:pStyle w:val="ListParagraph"/>
        <w:numPr>
          <w:ilvl w:val="0"/>
          <w:numId w:val="5"/>
        </w:numPr>
        <w:rPr>
          <w:sz w:val="20"/>
          <w:szCs w:val="20"/>
        </w:rPr>
      </w:pPr>
      <w:r>
        <w:rPr>
          <w:sz w:val="20"/>
          <w:szCs w:val="20"/>
        </w:rPr>
        <w:t xml:space="preserve">Respect the Sunday deadline for the reading critiques </w:t>
      </w:r>
      <w:bookmarkStart w:id="0" w:name="_GoBack"/>
      <w:bookmarkEnd w:id="0"/>
      <w:r>
        <w:rPr>
          <w:sz w:val="20"/>
          <w:szCs w:val="20"/>
        </w:rPr>
        <w:t>in consideration of your classmates.</w:t>
      </w:r>
    </w:p>
    <w:p w:rsidR="00C474DD" w:rsidRDefault="00C474DD" w:rsidP="00C474DD">
      <w:pPr>
        <w:rPr>
          <w:b/>
          <w:sz w:val="20"/>
          <w:szCs w:val="20"/>
        </w:rPr>
      </w:pPr>
    </w:p>
    <w:p w:rsidR="00837946" w:rsidRPr="00C474DD" w:rsidRDefault="00F87ADF" w:rsidP="00C474DD">
      <w:pPr>
        <w:rPr>
          <w:sz w:val="20"/>
          <w:szCs w:val="20"/>
        </w:rPr>
      </w:pPr>
      <w:r w:rsidRPr="00C474DD">
        <w:rPr>
          <w:b/>
          <w:sz w:val="20"/>
          <w:szCs w:val="20"/>
          <w:u w:val="single"/>
        </w:rPr>
        <w:t>Reading Critiques</w:t>
      </w:r>
      <w:r w:rsidRPr="00C474DD">
        <w:rPr>
          <w:b/>
          <w:sz w:val="20"/>
          <w:szCs w:val="20"/>
        </w:rPr>
        <w:t>:</w:t>
      </w:r>
    </w:p>
    <w:p w:rsidR="00EE2D33" w:rsidRPr="00D35D31" w:rsidRDefault="00EE2D33" w:rsidP="00EE2D33">
      <w:pPr>
        <w:rPr>
          <w:b/>
          <w:sz w:val="20"/>
        </w:rPr>
      </w:pPr>
      <w:r w:rsidRPr="008F7400">
        <w:rPr>
          <w:sz w:val="20"/>
        </w:rPr>
        <w:t>Seminar participants will be responsible for writing and exchanging critiques of the readings (see guidelines below) via the class listserv (details to follow)</w:t>
      </w:r>
      <w:r w:rsidRPr="008F7400">
        <w:rPr>
          <w:i/>
          <w:sz w:val="20"/>
        </w:rPr>
        <w:t xml:space="preserve">.  </w:t>
      </w:r>
      <w:r w:rsidRPr="008F7400">
        <w:rPr>
          <w:sz w:val="20"/>
        </w:rPr>
        <w:t xml:space="preserve">Each student who is not taking advantage of the workshop option should sign up for </w:t>
      </w:r>
      <w:r w:rsidR="00D35D31">
        <w:rPr>
          <w:b/>
          <w:sz w:val="20"/>
        </w:rPr>
        <w:t xml:space="preserve">one set of </w:t>
      </w:r>
      <w:r w:rsidRPr="00D35D31">
        <w:rPr>
          <w:b/>
          <w:sz w:val="20"/>
        </w:rPr>
        <w:t>critiques</w:t>
      </w:r>
      <w:r w:rsidRPr="008F7400">
        <w:rPr>
          <w:sz w:val="20"/>
        </w:rPr>
        <w:t xml:space="preserve"> over the course of the semester; students who will be work shopping their projects</w:t>
      </w:r>
      <w:r w:rsidR="00D35D31">
        <w:rPr>
          <w:sz w:val="20"/>
        </w:rPr>
        <w:t xml:space="preserve"> should sign up to critique in slightly more detail </w:t>
      </w:r>
      <w:r w:rsidR="00D35D31" w:rsidRPr="004A56D6">
        <w:rPr>
          <w:b/>
          <w:sz w:val="20"/>
        </w:rPr>
        <w:t>one reading</w:t>
      </w:r>
      <w:r w:rsidR="00D35D31">
        <w:rPr>
          <w:sz w:val="20"/>
        </w:rPr>
        <w:t xml:space="preserve"> of particular interest to their project</w:t>
      </w:r>
      <w:r w:rsidRPr="008F7400">
        <w:rPr>
          <w:sz w:val="20"/>
        </w:rPr>
        <w:t xml:space="preserve">.  Critiques should be posted to the class listserv by </w:t>
      </w:r>
      <w:r w:rsidR="00B35B15" w:rsidRPr="008F7400">
        <w:rPr>
          <w:sz w:val="20"/>
        </w:rPr>
        <w:t xml:space="preserve">Sunday </w:t>
      </w:r>
      <w:r w:rsidRPr="008F7400">
        <w:rPr>
          <w:sz w:val="20"/>
        </w:rPr>
        <w:t xml:space="preserve">midnight. Based in part on the critiques, I will post a set of discussion questions before class.  All participants should be familiar with the discussion questions by class on </w:t>
      </w:r>
      <w:r w:rsidR="00C474DD">
        <w:rPr>
          <w:sz w:val="20"/>
        </w:rPr>
        <w:t>Tuesday</w:t>
      </w:r>
      <w:r w:rsidRPr="008F7400">
        <w:rPr>
          <w:sz w:val="20"/>
        </w:rPr>
        <w:t>.</w:t>
      </w:r>
    </w:p>
    <w:p w:rsidR="00EE2D33" w:rsidRPr="008F7400" w:rsidRDefault="00EE2D33" w:rsidP="00EE2D33">
      <w:pPr>
        <w:rPr>
          <w:sz w:val="20"/>
        </w:rPr>
      </w:pPr>
    </w:p>
    <w:p w:rsidR="00EE2D33" w:rsidRPr="008F7400" w:rsidRDefault="00EE2D33" w:rsidP="00EE2D33">
      <w:pPr>
        <w:rPr>
          <w:b/>
          <w:sz w:val="20"/>
        </w:rPr>
      </w:pPr>
      <w:r w:rsidRPr="00C474DD">
        <w:rPr>
          <w:b/>
          <w:sz w:val="20"/>
          <w:u w:val="single"/>
        </w:rPr>
        <w:t>Guidelines for Critiques</w:t>
      </w:r>
      <w:r w:rsidRPr="008F7400">
        <w:rPr>
          <w:b/>
          <w:sz w:val="20"/>
        </w:rPr>
        <w:t>:</w:t>
      </w:r>
    </w:p>
    <w:p w:rsidR="00EE2D33" w:rsidRPr="008F7400" w:rsidRDefault="00EE2D33" w:rsidP="00EE2D33">
      <w:pPr>
        <w:pStyle w:val="HTMLPreformatted"/>
        <w:rPr>
          <w:rFonts w:ascii="Times New Roman" w:hAnsi="Times New Roman" w:cs="Times New Roman"/>
          <w:szCs w:val="24"/>
        </w:rPr>
      </w:pPr>
      <w:r w:rsidRPr="008F7400">
        <w:rPr>
          <w:rFonts w:ascii="Times New Roman" w:hAnsi="Times New Roman" w:cs="Times New Roman"/>
          <w:szCs w:val="24"/>
        </w:rPr>
        <w:t xml:space="preserve">The critiques are intended to serve two purposes. One is to provide a set of summaries that seminar members may use for future reference. Accordingly, you should provide a good description of the article so that seminar members may use these summaries for field exams, teaching, etc.  The second is to stimulate class discussion. For this reason, you should raise issues or points of contention that occur to you when reading the </w:t>
      </w:r>
      <w:r w:rsidR="003D75A4">
        <w:rPr>
          <w:rFonts w:ascii="Times New Roman" w:hAnsi="Times New Roman" w:cs="Times New Roman"/>
          <w:szCs w:val="24"/>
        </w:rPr>
        <w:t>materials</w:t>
      </w:r>
      <w:r w:rsidRPr="008F7400">
        <w:rPr>
          <w:rFonts w:ascii="Times New Roman" w:hAnsi="Times New Roman" w:cs="Times New Roman"/>
          <w:szCs w:val="24"/>
        </w:rPr>
        <w:t>. Critiques should be brief, about 1-2 pages</w:t>
      </w:r>
      <w:r w:rsidR="003D75A4">
        <w:rPr>
          <w:rFonts w:ascii="Times New Roman" w:hAnsi="Times New Roman" w:cs="Times New Roman"/>
          <w:szCs w:val="24"/>
        </w:rPr>
        <w:t xml:space="preserve"> per reading</w:t>
      </w:r>
      <w:r w:rsidRPr="008F7400">
        <w:rPr>
          <w:rFonts w:ascii="Times New Roman" w:hAnsi="Times New Roman" w:cs="Times New Roman"/>
          <w:szCs w:val="24"/>
        </w:rPr>
        <w:t xml:space="preserve">. As noted above, please make sure that critiques are posted to the class listserv by the </w:t>
      </w:r>
      <w:r w:rsidR="00B35B15" w:rsidRPr="008F7400">
        <w:rPr>
          <w:rFonts w:ascii="Times New Roman" w:hAnsi="Times New Roman" w:cs="Times New Roman"/>
          <w:szCs w:val="24"/>
        </w:rPr>
        <w:t xml:space="preserve">Sunday </w:t>
      </w:r>
      <w:r w:rsidRPr="008F7400">
        <w:rPr>
          <w:rFonts w:ascii="Times New Roman" w:hAnsi="Times New Roman" w:cs="Times New Roman"/>
          <w:szCs w:val="24"/>
        </w:rPr>
        <w:t xml:space="preserve">midnight preceding the class for which they are relevant. </w:t>
      </w:r>
    </w:p>
    <w:p w:rsidR="00EE2D33" w:rsidRPr="008F7400" w:rsidRDefault="00EE2D33" w:rsidP="00EE2D33">
      <w:pPr>
        <w:tabs>
          <w:tab w:val="right" w:pos="9360"/>
        </w:tabs>
        <w:rPr>
          <w:sz w:val="20"/>
        </w:rPr>
      </w:pPr>
    </w:p>
    <w:p w:rsidR="00EE2D33" w:rsidRPr="00130565" w:rsidRDefault="00EE2D33" w:rsidP="00EE2D33">
      <w:pPr>
        <w:tabs>
          <w:tab w:val="right" w:pos="9360"/>
        </w:tabs>
        <w:rPr>
          <w:sz w:val="20"/>
        </w:rPr>
      </w:pPr>
      <w:r w:rsidRPr="008F7400">
        <w:rPr>
          <w:sz w:val="20"/>
        </w:rPr>
        <w:t>To make the critiques more useful, and to provide some uniformity, please use the following template.</w:t>
      </w:r>
      <w:r w:rsidR="00130565">
        <w:rPr>
          <w:sz w:val="20"/>
        </w:rPr>
        <w:t xml:space="preserve">  Please also include your </w:t>
      </w:r>
      <w:r w:rsidR="00130565">
        <w:rPr>
          <w:b/>
          <w:i/>
          <w:sz w:val="20"/>
        </w:rPr>
        <w:t>name</w:t>
      </w:r>
      <w:r w:rsidR="00130565">
        <w:rPr>
          <w:sz w:val="20"/>
        </w:rPr>
        <w:t xml:space="preserve"> on your critiques.</w:t>
      </w:r>
    </w:p>
    <w:p w:rsidR="00EE2D33" w:rsidRPr="008F7400" w:rsidRDefault="00EE2D33" w:rsidP="00EE2D33">
      <w:pPr>
        <w:tabs>
          <w:tab w:val="right" w:pos="9360"/>
        </w:tabs>
        <w:rPr>
          <w:sz w:val="20"/>
        </w:rPr>
      </w:pPr>
    </w:p>
    <w:p w:rsidR="00EE2D33" w:rsidRPr="008F7400" w:rsidRDefault="00EE2D33" w:rsidP="00EE2D33">
      <w:pPr>
        <w:widowControl w:val="0"/>
        <w:numPr>
          <w:ilvl w:val="0"/>
          <w:numId w:val="1"/>
        </w:numPr>
        <w:tabs>
          <w:tab w:val="right" w:pos="9360"/>
        </w:tabs>
        <w:rPr>
          <w:sz w:val="20"/>
        </w:rPr>
      </w:pPr>
      <w:r w:rsidRPr="008F7400">
        <w:rPr>
          <w:b/>
          <w:sz w:val="20"/>
        </w:rPr>
        <w:t>Citation.</w:t>
      </w:r>
      <w:r w:rsidRPr="008F7400">
        <w:rPr>
          <w:sz w:val="20"/>
        </w:rPr>
        <w:t xml:space="preserve">  Indicate the </w:t>
      </w:r>
      <w:r w:rsidR="004A56D6">
        <w:rPr>
          <w:sz w:val="20"/>
        </w:rPr>
        <w:t>full citation for the article,</w:t>
      </w:r>
      <w:r w:rsidRPr="008F7400">
        <w:rPr>
          <w:sz w:val="20"/>
        </w:rPr>
        <w:t xml:space="preserve"> chapter</w:t>
      </w:r>
      <w:r w:rsidR="004A56D6">
        <w:rPr>
          <w:sz w:val="20"/>
        </w:rPr>
        <w:t xml:space="preserve"> or book</w:t>
      </w:r>
      <w:r w:rsidRPr="008F7400">
        <w:rPr>
          <w:sz w:val="20"/>
        </w:rPr>
        <w:t xml:space="preserve">. </w:t>
      </w:r>
    </w:p>
    <w:p w:rsidR="00EE2D33" w:rsidRPr="008F7400" w:rsidRDefault="00EE2D33" w:rsidP="00EE2D33">
      <w:pPr>
        <w:tabs>
          <w:tab w:val="right" w:pos="9360"/>
        </w:tabs>
        <w:rPr>
          <w:sz w:val="20"/>
        </w:rPr>
      </w:pPr>
    </w:p>
    <w:p w:rsidR="00EE2D33" w:rsidRPr="008F7400" w:rsidRDefault="00EE2D33" w:rsidP="00EE2D33">
      <w:pPr>
        <w:widowControl w:val="0"/>
        <w:numPr>
          <w:ilvl w:val="0"/>
          <w:numId w:val="1"/>
        </w:numPr>
        <w:tabs>
          <w:tab w:val="right" w:pos="9360"/>
        </w:tabs>
        <w:rPr>
          <w:sz w:val="20"/>
        </w:rPr>
      </w:pPr>
      <w:r w:rsidRPr="008F7400">
        <w:rPr>
          <w:b/>
          <w:sz w:val="20"/>
        </w:rPr>
        <w:t>Description.</w:t>
      </w:r>
      <w:r w:rsidRPr="008F7400">
        <w:rPr>
          <w:sz w:val="20"/>
        </w:rPr>
        <w:t xml:space="preserve"> </w:t>
      </w:r>
      <w:r w:rsidR="003D75A4">
        <w:rPr>
          <w:sz w:val="20"/>
        </w:rPr>
        <w:t>Briefly s</w:t>
      </w:r>
      <w:r w:rsidRPr="008F7400">
        <w:rPr>
          <w:sz w:val="20"/>
        </w:rPr>
        <w:t xml:space="preserve">ummarize the reading’s main argument and/or conclusion in your own words. If the reading is empirical, you should briefly discuss the methodology and the central findings, as well as the supporting evidence offered by the author(s) for their thesis. </w:t>
      </w:r>
    </w:p>
    <w:p w:rsidR="00EE2D33" w:rsidRPr="008F7400" w:rsidRDefault="00EE2D33" w:rsidP="00EE2D33">
      <w:pPr>
        <w:tabs>
          <w:tab w:val="right" w:pos="9360"/>
        </w:tabs>
        <w:rPr>
          <w:sz w:val="20"/>
        </w:rPr>
      </w:pPr>
    </w:p>
    <w:p w:rsidR="00EE2D33" w:rsidRDefault="00EE2D33" w:rsidP="00EE2D33">
      <w:pPr>
        <w:widowControl w:val="0"/>
        <w:numPr>
          <w:ilvl w:val="0"/>
          <w:numId w:val="1"/>
        </w:numPr>
        <w:tabs>
          <w:tab w:val="right" w:pos="9360"/>
        </w:tabs>
        <w:rPr>
          <w:sz w:val="20"/>
        </w:rPr>
      </w:pPr>
      <w:r w:rsidRPr="008F7400">
        <w:rPr>
          <w:b/>
          <w:sz w:val="20"/>
        </w:rPr>
        <w:t>Evaluation.</w:t>
      </w:r>
      <w:r w:rsidRPr="008F7400">
        <w:rPr>
          <w:sz w:val="20"/>
        </w:rPr>
        <w:t xml:space="preserve"> What do you consider to be the major strengths and/or weaknesses of the argument?  Do you consider it to be a contribution to the literature? Why or why not?</w:t>
      </w:r>
      <w:r w:rsidR="003D75A4">
        <w:rPr>
          <w:sz w:val="20"/>
        </w:rPr>
        <w:t xml:space="preserve">  </w:t>
      </w:r>
      <w:r w:rsidR="003D75A4" w:rsidRPr="008F7400">
        <w:rPr>
          <w:sz w:val="20"/>
        </w:rPr>
        <w:t xml:space="preserve">What question(s) does it raise for you?  </w:t>
      </w:r>
      <w:r w:rsidR="003D75A4">
        <w:rPr>
          <w:sz w:val="20"/>
        </w:rPr>
        <w:t>The bulk of your critique should be here.  If your questions are applicable to all the readings, you may combine the discussion of questions raised by the readings into one section at the end.</w:t>
      </w:r>
    </w:p>
    <w:p w:rsidR="00413339" w:rsidRPr="008F7400" w:rsidRDefault="00413339" w:rsidP="00413339">
      <w:pPr>
        <w:widowControl w:val="0"/>
        <w:tabs>
          <w:tab w:val="right" w:pos="9360"/>
        </w:tabs>
        <w:ind w:left="360"/>
        <w:rPr>
          <w:sz w:val="20"/>
        </w:rPr>
      </w:pPr>
    </w:p>
    <w:p w:rsidR="00413339" w:rsidRDefault="00413339">
      <w:pPr>
        <w:rPr>
          <w:b/>
          <w:bCs/>
          <w:iCs/>
          <w:sz w:val="20"/>
          <w:u w:val="single"/>
        </w:rPr>
      </w:pPr>
      <w:r>
        <w:rPr>
          <w:b/>
          <w:bCs/>
          <w:iCs/>
          <w:sz w:val="20"/>
          <w:u w:val="single"/>
        </w:rPr>
        <w:br w:type="page"/>
      </w:r>
    </w:p>
    <w:p w:rsidR="00EE2D33" w:rsidRPr="008F7400" w:rsidRDefault="00EE2D33" w:rsidP="00EE2D33">
      <w:pPr>
        <w:rPr>
          <w:sz w:val="20"/>
        </w:rPr>
      </w:pPr>
      <w:r w:rsidRPr="007A1DB6">
        <w:rPr>
          <w:b/>
          <w:bCs/>
          <w:iCs/>
          <w:sz w:val="20"/>
          <w:u w:val="single"/>
        </w:rPr>
        <w:t>Seminar Papers</w:t>
      </w:r>
      <w:r w:rsidRPr="008F7400">
        <w:rPr>
          <w:b/>
          <w:bCs/>
          <w:iCs/>
          <w:sz w:val="20"/>
        </w:rPr>
        <w:t>:</w:t>
      </w:r>
    </w:p>
    <w:p w:rsidR="00EE2D33" w:rsidRPr="004403B7" w:rsidRDefault="00C474DD" w:rsidP="00EE2D33">
      <w:pPr>
        <w:rPr>
          <w:b/>
          <w:sz w:val="20"/>
        </w:rPr>
      </w:pPr>
      <w:r w:rsidRPr="008F7400">
        <w:rPr>
          <w:sz w:val="20"/>
        </w:rPr>
        <w:t>In addition to the critiques and active participation in class discussions, each student will be expected to write a semi</w:t>
      </w:r>
      <w:r w:rsidR="004403B7">
        <w:rPr>
          <w:sz w:val="20"/>
        </w:rPr>
        <w:t>nar paper</w:t>
      </w:r>
      <w:r w:rsidR="00EE2D33" w:rsidRPr="008F7400">
        <w:rPr>
          <w:sz w:val="20"/>
        </w:rPr>
        <w:t xml:space="preserve"> of at least 30 pages</w:t>
      </w:r>
      <w:r w:rsidR="004403B7">
        <w:rPr>
          <w:sz w:val="20"/>
        </w:rPr>
        <w:t xml:space="preserve">, </w:t>
      </w:r>
      <w:r w:rsidR="00EE2D33" w:rsidRPr="008F7400">
        <w:rPr>
          <w:sz w:val="20"/>
        </w:rPr>
        <w:t xml:space="preserve">not including </w:t>
      </w:r>
      <w:r w:rsidR="00D35D31">
        <w:rPr>
          <w:sz w:val="20"/>
        </w:rPr>
        <w:t>the</w:t>
      </w:r>
      <w:r w:rsidR="00EE2D33" w:rsidRPr="008F7400">
        <w:rPr>
          <w:sz w:val="20"/>
        </w:rPr>
        <w:t xml:space="preserve"> references.  </w:t>
      </w:r>
      <w:r w:rsidR="004403B7">
        <w:rPr>
          <w:sz w:val="20"/>
        </w:rPr>
        <w:t xml:space="preserve">Students who wish to complete the writing requirement may register for an additional unit of independent study and write a </w:t>
      </w:r>
      <w:r w:rsidR="00413339">
        <w:rPr>
          <w:sz w:val="20"/>
        </w:rPr>
        <w:t xml:space="preserve">more substantial </w:t>
      </w:r>
      <w:r w:rsidR="004403B7">
        <w:rPr>
          <w:sz w:val="20"/>
        </w:rPr>
        <w:t xml:space="preserve">paper.  If you plan </w:t>
      </w:r>
      <w:r w:rsidR="003D75A4">
        <w:rPr>
          <w:sz w:val="20"/>
        </w:rPr>
        <w:t xml:space="preserve">to </w:t>
      </w:r>
      <w:r w:rsidR="004403B7">
        <w:rPr>
          <w:sz w:val="20"/>
        </w:rPr>
        <w:t xml:space="preserve">complete </w:t>
      </w:r>
      <w:r w:rsidR="00D35D31">
        <w:rPr>
          <w:sz w:val="20"/>
        </w:rPr>
        <w:t xml:space="preserve">the </w:t>
      </w:r>
      <w:r w:rsidR="004403B7">
        <w:rPr>
          <w:sz w:val="20"/>
        </w:rPr>
        <w:t xml:space="preserve">writing requirement in this course, please speak to me during the first three weeks of class.  </w:t>
      </w:r>
      <w:r w:rsidR="004A56D6">
        <w:rPr>
          <w:sz w:val="20"/>
        </w:rPr>
        <w:t>Students work shopping their projects</w:t>
      </w:r>
      <w:r w:rsidR="004A56D6" w:rsidRPr="008F7400">
        <w:rPr>
          <w:sz w:val="20"/>
        </w:rPr>
        <w:t xml:space="preserve"> </w:t>
      </w:r>
      <w:r w:rsidR="004A56D6">
        <w:rPr>
          <w:sz w:val="20"/>
        </w:rPr>
        <w:t xml:space="preserve">will need to provide a rough draft to the class </w:t>
      </w:r>
      <w:r w:rsidR="003D75A4">
        <w:rPr>
          <w:sz w:val="20"/>
        </w:rPr>
        <w:t xml:space="preserve">one week </w:t>
      </w:r>
      <w:r w:rsidR="004A56D6">
        <w:rPr>
          <w:sz w:val="20"/>
        </w:rPr>
        <w:t>in advance of their presentations.</w:t>
      </w:r>
    </w:p>
    <w:p w:rsidR="00130565" w:rsidRPr="008F7400" w:rsidRDefault="00130565" w:rsidP="00EE2D33">
      <w:pPr>
        <w:rPr>
          <w:sz w:val="20"/>
        </w:rPr>
      </w:pPr>
    </w:p>
    <w:p w:rsidR="004403B7" w:rsidRPr="004403B7" w:rsidRDefault="00EE2D33" w:rsidP="004403B7">
      <w:pPr>
        <w:rPr>
          <w:sz w:val="20"/>
        </w:rPr>
      </w:pPr>
      <w:r w:rsidRPr="008F7400">
        <w:rPr>
          <w:sz w:val="20"/>
        </w:rPr>
        <w:t xml:space="preserve">There are two ways to approach the seminar paper.  </w:t>
      </w:r>
      <w:r w:rsidR="004403B7">
        <w:rPr>
          <w:sz w:val="20"/>
        </w:rPr>
        <w:t xml:space="preserve">First, </w:t>
      </w:r>
      <w:r w:rsidR="004403B7" w:rsidRPr="008F7400">
        <w:rPr>
          <w:sz w:val="20"/>
        </w:rPr>
        <w:t xml:space="preserve">you may write an original research paper about any facet of </w:t>
      </w:r>
      <w:r w:rsidR="004403B7">
        <w:rPr>
          <w:sz w:val="20"/>
        </w:rPr>
        <w:t>social movements and law</w:t>
      </w:r>
      <w:r w:rsidR="004403B7" w:rsidRPr="008F7400">
        <w:rPr>
          <w:sz w:val="20"/>
        </w:rPr>
        <w:t xml:space="preserve"> that captures your interest, provided that your subject bears a reasonably close relationship to the course material.  (When in doubt, ask.)   </w:t>
      </w:r>
      <w:r w:rsidR="004403B7" w:rsidRPr="004403B7">
        <w:rPr>
          <w:b/>
          <w:sz w:val="20"/>
        </w:rPr>
        <w:t xml:space="preserve">The paper </w:t>
      </w:r>
      <w:r w:rsidR="004403B7" w:rsidRPr="008F7400">
        <w:rPr>
          <w:b/>
          <w:sz w:val="20"/>
        </w:rPr>
        <w:t>may not be the same as, or based on, a paper submitted for credit in another course</w:t>
      </w:r>
      <w:r w:rsidR="004403B7" w:rsidRPr="008F7400">
        <w:rPr>
          <w:sz w:val="20"/>
        </w:rPr>
        <w:t xml:space="preserve">.  Although a seminar paper may address topics beyond the scope of the course, it </w:t>
      </w:r>
      <w:r w:rsidR="004403B7" w:rsidRPr="008F7400">
        <w:rPr>
          <w:iCs/>
          <w:sz w:val="20"/>
        </w:rPr>
        <w:t>should</w:t>
      </w:r>
      <w:r w:rsidR="004403B7" w:rsidRPr="008F7400">
        <w:rPr>
          <w:sz w:val="20"/>
        </w:rPr>
        <w:t xml:space="preserve"> be well-integrated with issues and materials from the course syllabus; </w:t>
      </w:r>
      <w:r w:rsidR="00D35D31">
        <w:rPr>
          <w:sz w:val="20"/>
        </w:rPr>
        <w:t xml:space="preserve">simply </w:t>
      </w:r>
      <w:r w:rsidR="004403B7" w:rsidRPr="008F7400">
        <w:rPr>
          <w:sz w:val="20"/>
        </w:rPr>
        <w:t xml:space="preserve">turning in work you are doing for another purpose will not be sufficient for course credit.  I encourage more advanced </w:t>
      </w:r>
      <w:r w:rsidR="003D75A4">
        <w:rPr>
          <w:sz w:val="20"/>
        </w:rPr>
        <w:t xml:space="preserve">doctoral </w:t>
      </w:r>
      <w:r w:rsidR="004403B7" w:rsidRPr="008F7400">
        <w:rPr>
          <w:sz w:val="20"/>
        </w:rPr>
        <w:t xml:space="preserve">students to make use of this </w:t>
      </w:r>
      <w:r w:rsidR="004403B7">
        <w:rPr>
          <w:sz w:val="20"/>
        </w:rPr>
        <w:t xml:space="preserve">paper </w:t>
      </w:r>
      <w:r w:rsidR="004403B7" w:rsidRPr="008F7400">
        <w:rPr>
          <w:sz w:val="20"/>
        </w:rPr>
        <w:t>format to draft a chapter of their dissertation drawing on the theoretical and empirical literature touched on in this course.  This is an opportunity to use the framework of this seminar to situate your own work within the broader</w:t>
      </w:r>
      <w:r w:rsidR="004403B7">
        <w:rPr>
          <w:sz w:val="20"/>
        </w:rPr>
        <w:t xml:space="preserve"> field.  </w:t>
      </w:r>
      <w:r w:rsidR="004403B7">
        <w:rPr>
          <w:b/>
          <w:sz w:val="20"/>
        </w:rPr>
        <w:t>NOTE</w:t>
      </w:r>
      <w:r w:rsidR="004403B7">
        <w:rPr>
          <w:sz w:val="20"/>
        </w:rPr>
        <w:t xml:space="preserve">:  </w:t>
      </w:r>
      <w:r w:rsidR="004403B7" w:rsidRPr="008F7400">
        <w:rPr>
          <w:b/>
          <w:sz w:val="20"/>
        </w:rPr>
        <w:t xml:space="preserve">If you intend to write an empirical paper involving original data collection, please see me </w:t>
      </w:r>
      <w:r w:rsidR="004403B7" w:rsidRPr="008F7400">
        <w:rPr>
          <w:b/>
          <w:i/>
          <w:sz w:val="20"/>
        </w:rPr>
        <w:t xml:space="preserve">early </w:t>
      </w:r>
      <w:r w:rsidR="004403B7" w:rsidRPr="008F7400">
        <w:rPr>
          <w:b/>
          <w:sz w:val="20"/>
        </w:rPr>
        <w:t xml:space="preserve">in the semester (i.e. first three weeks) as there may be human subjects concerns or research design issues we will need to discuss.  </w:t>
      </w:r>
    </w:p>
    <w:p w:rsidR="004403B7" w:rsidRDefault="004403B7" w:rsidP="00EE2D33">
      <w:pPr>
        <w:rPr>
          <w:sz w:val="20"/>
        </w:rPr>
      </w:pPr>
    </w:p>
    <w:p w:rsidR="00EE2D33" w:rsidRPr="008F7400" w:rsidRDefault="004403B7" w:rsidP="00EE2D33">
      <w:pPr>
        <w:rPr>
          <w:sz w:val="20"/>
        </w:rPr>
      </w:pPr>
      <w:r>
        <w:rPr>
          <w:sz w:val="20"/>
        </w:rPr>
        <w:t xml:space="preserve">A second approach is to </w:t>
      </w:r>
      <w:r w:rsidR="00EE2D33" w:rsidRPr="008F7400">
        <w:rPr>
          <w:sz w:val="20"/>
        </w:rPr>
        <w:t xml:space="preserve">write a review essay of publishable quality similar to the review essays in the </w:t>
      </w:r>
      <w:r w:rsidR="00EE2D33" w:rsidRPr="00D35D31">
        <w:rPr>
          <w:i/>
          <w:sz w:val="20"/>
        </w:rPr>
        <w:t>Annual Review of Law &amp; Social Science</w:t>
      </w:r>
      <w:r w:rsidR="00D35D31">
        <w:rPr>
          <w:sz w:val="20"/>
        </w:rPr>
        <w:t xml:space="preserve">, </w:t>
      </w:r>
      <w:hyperlink r:id="rId8" w:history="1">
        <w:r w:rsidR="00D35D31" w:rsidRPr="008836AC">
          <w:rPr>
            <w:rStyle w:val="Hyperlink"/>
            <w:sz w:val="20"/>
          </w:rPr>
          <w:t>http://www.annualreviews.org/loi/lawsocsci</w:t>
        </w:r>
      </w:hyperlink>
      <w:r w:rsidR="00D35D31">
        <w:rPr>
          <w:sz w:val="20"/>
        </w:rPr>
        <w:t xml:space="preserve"> (available through JSTOR as well).</w:t>
      </w:r>
      <w:r w:rsidR="00EE2D33" w:rsidRPr="008F7400">
        <w:rPr>
          <w:sz w:val="20"/>
        </w:rPr>
        <w:t xml:space="preserve">  These essays provide a </w:t>
      </w:r>
      <w:r w:rsidR="00D35D31">
        <w:rPr>
          <w:sz w:val="20"/>
        </w:rPr>
        <w:t xml:space="preserve">synthetic </w:t>
      </w:r>
      <w:r w:rsidR="00EE2D33" w:rsidRPr="008F7400">
        <w:rPr>
          <w:sz w:val="20"/>
        </w:rPr>
        <w:t xml:space="preserve">roadmap of an existing area of empirical research, identify theoretical inconsistencies or debates, note gaps in existing research, and pose questions for future empirical inquiry.  Seminar participants beginning their dissertation research may find this a useful exercise to identify potential research questions in preparation for writing a prospectus. </w:t>
      </w:r>
    </w:p>
    <w:p w:rsidR="00EE2D33" w:rsidRPr="008F7400" w:rsidRDefault="00EE2D33" w:rsidP="00EE2D33">
      <w:pPr>
        <w:rPr>
          <w:b/>
          <w:sz w:val="20"/>
        </w:rPr>
      </w:pPr>
    </w:p>
    <w:p w:rsidR="00EE2D33" w:rsidRPr="008F7400" w:rsidRDefault="00EE2D33" w:rsidP="00EE2D33">
      <w:pPr>
        <w:rPr>
          <w:sz w:val="20"/>
        </w:rPr>
      </w:pPr>
      <w:r w:rsidRPr="008F7400">
        <w:rPr>
          <w:sz w:val="20"/>
        </w:rPr>
        <w:t xml:space="preserve">Regardless of the format you choose, your seminar paper should make an original contribution that goes beyond simply reviewing previous literature.  Generally, seminar papers should identify a problem of theoretical, empirical, or practical interest and </w:t>
      </w:r>
      <w:r w:rsidR="004403B7">
        <w:rPr>
          <w:sz w:val="20"/>
        </w:rPr>
        <w:t>analyze</w:t>
      </w:r>
      <w:r w:rsidRPr="008F7400">
        <w:rPr>
          <w:sz w:val="20"/>
        </w:rPr>
        <w:t xml:space="preserve"> that problem through creative use of course readings </w:t>
      </w:r>
      <w:r w:rsidRPr="004403B7">
        <w:rPr>
          <w:sz w:val="20"/>
          <w:u w:val="single"/>
        </w:rPr>
        <w:t>and</w:t>
      </w:r>
      <w:r w:rsidRPr="008F7400">
        <w:rPr>
          <w:sz w:val="20"/>
        </w:rPr>
        <w:t xml:space="preserve"> supplementary research.</w:t>
      </w:r>
    </w:p>
    <w:p w:rsidR="00EE2D33" w:rsidRPr="008F7400" w:rsidRDefault="00EE2D33" w:rsidP="00EE2D33">
      <w:pPr>
        <w:rPr>
          <w:sz w:val="20"/>
        </w:rPr>
      </w:pPr>
    </w:p>
    <w:p w:rsidR="00EE2D33" w:rsidRPr="008F7400" w:rsidRDefault="003D75A4" w:rsidP="00EE2D33">
      <w:pPr>
        <w:rPr>
          <w:sz w:val="20"/>
        </w:rPr>
      </w:pPr>
      <w:r>
        <w:rPr>
          <w:sz w:val="20"/>
        </w:rPr>
        <w:t xml:space="preserve">So </w:t>
      </w:r>
      <w:r w:rsidR="00413339">
        <w:rPr>
          <w:sz w:val="20"/>
        </w:rPr>
        <w:t xml:space="preserve">that </w:t>
      </w:r>
      <w:r>
        <w:rPr>
          <w:sz w:val="20"/>
        </w:rPr>
        <w:t>I may give you feedback early on, y</w:t>
      </w:r>
      <w:r w:rsidR="00EE2D33" w:rsidRPr="008F7400">
        <w:rPr>
          <w:sz w:val="20"/>
        </w:rPr>
        <w:t>ou must submit a proposal for your paper, stating the thesis and rough outline of the research proposed, by M</w:t>
      </w:r>
      <w:r w:rsidR="004403B7">
        <w:rPr>
          <w:sz w:val="20"/>
        </w:rPr>
        <w:t>arch 18</w:t>
      </w:r>
      <w:r w:rsidR="00EE2D33" w:rsidRPr="008F7400">
        <w:rPr>
          <w:sz w:val="20"/>
        </w:rPr>
        <w:t>.</w:t>
      </w:r>
      <w:r w:rsidR="004A56D6">
        <w:rPr>
          <w:sz w:val="20"/>
        </w:rPr>
        <w:t xml:space="preserve">  This proposal should be very brief, 1-3 pages at most; outline form is fine</w:t>
      </w:r>
      <w:r>
        <w:rPr>
          <w:sz w:val="20"/>
        </w:rPr>
        <w:t xml:space="preserve"> and it need not be polished</w:t>
      </w:r>
      <w:r w:rsidR="004A56D6">
        <w:rPr>
          <w:sz w:val="20"/>
        </w:rPr>
        <w:t xml:space="preserve">.  </w:t>
      </w:r>
      <w:r w:rsidR="00EE2D33" w:rsidRPr="008F7400">
        <w:rPr>
          <w:b/>
          <w:sz w:val="20"/>
        </w:rPr>
        <w:t xml:space="preserve">PAPERS ARE DUE NO LATER THAN MAY </w:t>
      </w:r>
      <w:r w:rsidR="004403B7">
        <w:rPr>
          <w:b/>
          <w:sz w:val="20"/>
        </w:rPr>
        <w:t>8</w:t>
      </w:r>
      <w:r w:rsidR="00EE2D33" w:rsidRPr="008F7400">
        <w:rPr>
          <w:b/>
          <w:sz w:val="20"/>
          <w:vertAlign w:val="superscript"/>
        </w:rPr>
        <w:t>TH</w:t>
      </w:r>
      <w:r w:rsidR="00EE2D33" w:rsidRPr="008F7400">
        <w:rPr>
          <w:b/>
          <w:sz w:val="20"/>
        </w:rPr>
        <w:t xml:space="preserve"> AT 4PM IN MY BOX AT THE JSP BUILDING, </w:t>
      </w:r>
      <w:r w:rsidR="00EE2D33" w:rsidRPr="008F7400">
        <w:rPr>
          <w:b/>
          <w:sz w:val="20"/>
          <w:u w:val="single"/>
        </w:rPr>
        <w:t>IN HARD COPY</w:t>
      </w:r>
      <w:r w:rsidR="00EE2D33" w:rsidRPr="008F7400">
        <w:rPr>
          <w:b/>
          <w:sz w:val="20"/>
        </w:rPr>
        <w:t xml:space="preserve">.  </w:t>
      </w:r>
      <w:r w:rsidR="00EE2D33" w:rsidRPr="008F7400">
        <w:rPr>
          <w:sz w:val="20"/>
        </w:rPr>
        <w:t>Please p</w:t>
      </w:r>
      <w:r w:rsidR="004403B7">
        <w:rPr>
          <w:sz w:val="20"/>
        </w:rPr>
        <w:t>lan accordingly for printing and delivery</w:t>
      </w:r>
      <w:r w:rsidR="00EE2D33" w:rsidRPr="008F7400">
        <w:rPr>
          <w:sz w:val="20"/>
        </w:rPr>
        <w:t xml:space="preserve">.  I generally do not favor extensions, and under no circumstances will an extension be granted if it is requested after the due date of the paper.  </w:t>
      </w:r>
    </w:p>
    <w:p w:rsidR="00CC6263" w:rsidRPr="008F7400" w:rsidRDefault="00CC6263" w:rsidP="00CC6263">
      <w:pPr>
        <w:pStyle w:val="HTMLPreformatted"/>
        <w:rPr>
          <w:rFonts w:ascii="Times New Roman" w:hAnsi="Times New Roman" w:cs="Times New Roman"/>
        </w:rPr>
      </w:pPr>
    </w:p>
    <w:p w:rsidR="00FB43AC" w:rsidRPr="008F7400" w:rsidRDefault="00FB43AC" w:rsidP="00837946">
      <w:pPr>
        <w:rPr>
          <w:sz w:val="20"/>
          <w:szCs w:val="20"/>
        </w:rPr>
      </w:pPr>
    </w:p>
    <w:p w:rsidR="00410222" w:rsidRDefault="00762D82" w:rsidP="00762D82">
      <w:pPr>
        <w:jc w:val="center"/>
        <w:rPr>
          <w:b/>
          <w:sz w:val="20"/>
          <w:szCs w:val="20"/>
          <w:u w:val="single"/>
        </w:rPr>
      </w:pPr>
      <w:r w:rsidRPr="008F7400">
        <w:rPr>
          <w:b/>
          <w:sz w:val="20"/>
          <w:szCs w:val="20"/>
          <w:u w:val="single"/>
        </w:rPr>
        <w:br w:type="page"/>
      </w:r>
      <w:r w:rsidR="00413339">
        <w:rPr>
          <w:b/>
          <w:sz w:val="20"/>
          <w:szCs w:val="20"/>
          <w:u w:val="single"/>
        </w:rPr>
        <w:t>READING ASSIGNMENTS</w:t>
      </w:r>
    </w:p>
    <w:p w:rsidR="00413339" w:rsidRPr="008F7400" w:rsidRDefault="00413339" w:rsidP="00762D82">
      <w:pPr>
        <w:jc w:val="center"/>
        <w:rPr>
          <w:b/>
          <w:sz w:val="20"/>
          <w:szCs w:val="20"/>
          <w:u w:val="single"/>
        </w:rPr>
      </w:pPr>
    </w:p>
    <w:p w:rsidR="00E10C64" w:rsidRPr="008F7400" w:rsidRDefault="00E10C64" w:rsidP="00E10C64">
      <w:pPr>
        <w:rPr>
          <w:b/>
          <w:sz w:val="20"/>
          <w:szCs w:val="20"/>
        </w:rPr>
      </w:pPr>
      <w:r w:rsidRPr="008F7400">
        <w:rPr>
          <w:b/>
          <w:sz w:val="20"/>
          <w:szCs w:val="20"/>
        </w:rPr>
        <w:t xml:space="preserve">I. </w:t>
      </w:r>
      <w:r w:rsidRPr="008F7400">
        <w:rPr>
          <w:b/>
          <w:sz w:val="20"/>
          <w:szCs w:val="20"/>
        </w:rPr>
        <w:tab/>
        <w:t>BACKGROUND AND THEORETICAL MODELS</w:t>
      </w:r>
    </w:p>
    <w:p w:rsidR="003D4E58" w:rsidRPr="008F7400" w:rsidRDefault="003D4E58" w:rsidP="003D4E58">
      <w:pPr>
        <w:rPr>
          <w:sz w:val="20"/>
          <w:szCs w:val="20"/>
        </w:rPr>
      </w:pPr>
    </w:p>
    <w:p w:rsidR="003D4E58" w:rsidRPr="008F7400" w:rsidRDefault="003D4E58" w:rsidP="003D4E58">
      <w:pPr>
        <w:rPr>
          <w:b/>
          <w:sz w:val="20"/>
          <w:szCs w:val="20"/>
        </w:rPr>
      </w:pPr>
      <w:r w:rsidRPr="008F7400">
        <w:rPr>
          <w:b/>
          <w:sz w:val="20"/>
          <w:szCs w:val="20"/>
        </w:rPr>
        <w:t>Central Questions in This Unit</w:t>
      </w:r>
    </w:p>
    <w:p w:rsidR="003D4E58" w:rsidRPr="00F43F81" w:rsidRDefault="003D4E58" w:rsidP="003D4E58">
      <w:pPr>
        <w:pStyle w:val="ListParagraph"/>
        <w:numPr>
          <w:ilvl w:val="0"/>
          <w:numId w:val="6"/>
        </w:numPr>
        <w:rPr>
          <w:sz w:val="20"/>
          <w:szCs w:val="20"/>
        </w:rPr>
      </w:pPr>
      <w:r w:rsidRPr="00F43F81">
        <w:rPr>
          <w:sz w:val="20"/>
          <w:szCs w:val="20"/>
        </w:rPr>
        <w:t xml:space="preserve">How has the historical development of social movement theory affected its conceptualization of </w:t>
      </w:r>
      <w:r w:rsidR="00CE235D" w:rsidRPr="00F43F81">
        <w:rPr>
          <w:sz w:val="20"/>
          <w:szCs w:val="20"/>
        </w:rPr>
        <w:t>s</w:t>
      </w:r>
      <w:r w:rsidRPr="00F43F81">
        <w:rPr>
          <w:sz w:val="20"/>
          <w:szCs w:val="20"/>
        </w:rPr>
        <w:t>ocial movements?</w:t>
      </w:r>
      <w:r w:rsidR="00CE235D" w:rsidRPr="00F43F81">
        <w:rPr>
          <w:sz w:val="20"/>
          <w:szCs w:val="20"/>
        </w:rPr>
        <w:t xml:space="preserve">  Of law?</w:t>
      </w:r>
      <w:r w:rsidR="00130565" w:rsidRPr="00F43F81">
        <w:rPr>
          <w:sz w:val="20"/>
          <w:szCs w:val="20"/>
        </w:rPr>
        <w:t xml:space="preserve">  Of the relationship between the</w:t>
      </w:r>
      <w:r w:rsidR="00CE235D" w:rsidRPr="00F43F81">
        <w:rPr>
          <w:sz w:val="20"/>
          <w:szCs w:val="20"/>
        </w:rPr>
        <w:t xml:space="preserve"> two?</w:t>
      </w:r>
    </w:p>
    <w:p w:rsidR="003D4E58" w:rsidRPr="00F43F81" w:rsidRDefault="003D4E58" w:rsidP="003D4E58">
      <w:pPr>
        <w:pStyle w:val="ListParagraph"/>
        <w:numPr>
          <w:ilvl w:val="0"/>
          <w:numId w:val="6"/>
        </w:numPr>
        <w:rPr>
          <w:sz w:val="20"/>
          <w:szCs w:val="20"/>
        </w:rPr>
      </w:pPr>
      <w:r w:rsidRPr="00F43F81">
        <w:rPr>
          <w:sz w:val="20"/>
          <w:szCs w:val="20"/>
        </w:rPr>
        <w:t>What is a social movement?  Does it include insider tactics such as lobbying or only outsider tactics such as protest?  What are the benefits and costs of different conceptualizations of a social movement?</w:t>
      </w:r>
    </w:p>
    <w:p w:rsidR="003D4E58" w:rsidRPr="00F43F81" w:rsidRDefault="003D4E58" w:rsidP="003D4E58">
      <w:pPr>
        <w:pStyle w:val="ListParagraph"/>
        <w:numPr>
          <w:ilvl w:val="0"/>
          <w:numId w:val="6"/>
        </w:numPr>
        <w:rPr>
          <w:sz w:val="20"/>
          <w:szCs w:val="20"/>
        </w:rPr>
      </w:pPr>
      <w:r w:rsidRPr="00F43F81">
        <w:rPr>
          <w:sz w:val="20"/>
          <w:szCs w:val="20"/>
        </w:rPr>
        <w:t>How should scholars conceptualize law in the study of social movements?  As formal statutes and court decisions?  As the behavior of legal actor</w:t>
      </w:r>
      <w:r w:rsidR="00CE235D" w:rsidRPr="00F43F81">
        <w:rPr>
          <w:sz w:val="20"/>
          <w:szCs w:val="20"/>
        </w:rPr>
        <w:t>s</w:t>
      </w:r>
      <w:r w:rsidRPr="00F43F81">
        <w:rPr>
          <w:sz w:val="20"/>
          <w:szCs w:val="20"/>
        </w:rPr>
        <w:t xml:space="preserve"> or of state actors more generally?  As a cultural narrative or frame?</w:t>
      </w:r>
    </w:p>
    <w:p w:rsidR="003D4E58" w:rsidRPr="00F43F81" w:rsidRDefault="003D4E58" w:rsidP="003D4E58">
      <w:pPr>
        <w:pStyle w:val="ListParagraph"/>
        <w:numPr>
          <w:ilvl w:val="0"/>
          <w:numId w:val="6"/>
        </w:numPr>
        <w:rPr>
          <w:sz w:val="20"/>
          <w:szCs w:val="20"/>
        </w:rPr>
      </w:pPr>
      <w:r w:rsidRPr="00F43F81">
        <w:rPr>
          <w:sz w:val="20"/>
          <w:szCs w:val="20"/>
        </w:rPr>
        <w:t>What is a political opportunity?  What constitutes change in political opportunity?  How do political opportunity structures relate to social movement activity?</w:t>
      </w:r>
    </w:p>
    <w:p w:rsidR="003D4E58" w:rsidRPr="00F43F81" w:rsidRDefault="00130565" w:rsidP="003D4E58">
      <w:pPr>
        <w:pStyle w:val="ListParagraph"/>
        <w:numPr>
          <w:ilvl w:val="0"/>
          <w:numId w:val="6"/>
        </w:numPr>
        <w:rPr>
          <w:sz w:val="20"/>
          <w:szCs w:val="20"/>
        </w:rPr>
      </w:pPr>
      <w:r w:rsidRPr="00F43F81">
        <w:rPr>
          <w:sz w:val="20"/>
          <w:szCs w:val="20"/>
        </w:rPr>
        <w:t>What role do resources play</w:t>
      </w:r>
      <w:r w:rsidR="003D4E58" w:rsidRPr="00F43F81">
        <w:rPr>
          <w:sz w:val="20"/>
          <w:szCs w:val="20"/>
        </w:rPr>
        <w:t xml:space="preserve"> in social movement mobilization?  What counts as a resource?  What kinds of movements and movement organizations are likely to attract the most resources, and why?</w:t>
      </w:r>
    </w:p>
    <w:p w:rsidR="003D4E58" w:rsidRPr="00F43F81" w:rsidRDefault="003D4E58" w:rsidP="00F43F81">
      <w:pPr>
        <w:pStyle w:val="ListParagraph"/>
        <w:numPr>
          <w:ilvl w:val="0"/>
          <w:numId w:val="6"/>
        </w:numPr>
        <w:rPr>
          <w:sz w:val="20"/>
          <w:szCs w:val="20"/>
        </w:rPr>
      </w:pPr>
      <w:r w:rsidRPr="00F43F81">
        <w:rPr>
          <w:sz w:val="20"/>
          <w:szCs w:val="20"/>
        </w:rPr>
        <w:t xml:space="preserve">What </w:t>
      </w:r>
      <w:r w:rsidR="00130565" w:rsidRPr="00F43F81">
        <w:rPr>
          <w:sz w:val="20"/>
          <w:szCs w:val="20"/>
        </w:rPr>
        <w:t xml:space="preserve">are </w:t>
      </w:r>
      <w:r w:rsidRPr="00F43F81">
        <w:rPr>
          <w:sz w:val="20"/>
          <w:szCs w:val="20"/>
        </w:rPr>
        <w:t xml:space="preserve">some of the major critiques of the </w:t>
      </w:r>
      <w:r w:rsidR="00130565" w:rsidRPr="00F43F81">
        <w:rPr>
          <w:sz w:val="20"/>
          <w:szCs w:val="20"/>
        </w:rPr>
        <w:t xml:space="preserve">leading </w:t>
      </w:r>
      <w:r w:rsidRPr="00F43F81">
        <w:rPr>
          <w:sz w:val="20"/>
          <w:szCs w:val="20"/>
        </w:rPr>
        <w:t>theoretical models in social movement theory?  What are the implications of these critiques for studying law and social movements?</w:t>
      </w:r>
    </w:p>
    <w:p w:rsidR="003D4E58" w:rsidRPr="008F7400" w:rsidRDefault="003D4E58">
      <w:pPr>
        <w:rPr>
          <w:b/>
          <w:sz w:val="20"/>
          <w:szCs w:val="20"/>
        </w:rPr>
      </w:pPr>
    </w:p>
    <w:p w:rsidR="00F56E71" w:rsidRPr="00F56E71" w:rsidRDefault="00BE622C" w:rsidP="00F56E71">
      <w:pPr>
        <w:rPr>
          <w:b/>
          <w:sz w:val="20"/>
          <w:szCs w:val="20"/>
        </w:rPr>
      </w:pPr>
      <w:r>
        <w:rPr>
          <w:b/>
          <w:sz w:val="20"/>
          <w:szCs w:val="20"/>
        </w:rPr>
        <w:t>January 7</w:t>
      </w:r>
      <w:r w:rsidR="006D2EBF" w:rsidRPr="008F7400">
        <w:rPr>
          <w:b/>
          <w:sz w:val="20"/>
          <w:szCs w:val="20"/>
        </w:rPr>
        <w:t xml:space="preserve"> </w:t>
      </w:r>
      <w:r w:rsidR="00C94A59" w:rsidRPr="008F7400">
        <w:rPr>
          <w:b/>
          <w:sz w:val="20"/>
          <w:szCs w:val="20"/>
        </w:rPr>
        <w:t>–</w:t>
      </w:r>
      <w:r w:rsidR="006D2EBF" w:rsidRPr="008F7400">
        <w:rPr>
          <w:b/>
          <w:sz w:val="20"/>
          <w:szCs w:val="20"/>
        </w:rPr>
        <w:t xml:space="preserve"> </w:t>
      </w:r>
      <w:r w:rsidR="00B72F71" w:rsidRPr="008F7400">
        <w:rPr>
          <w:b/>
          <w:sz w:val="20"/>
          <w:szCs w:val="20"/>
        </w:rPr>
        <w:t>BASIC CONCEPTS</w:t>
      </w:r>
    </w:p>
    <w:p w:rsidR="00F56E71" w:rsidRDefault="00F56E71" w:rsidP="001A28F4">
      <w:pPr>
        <w:ind w:left="720"/>
        <w:rPr>
          <w:sz w:val="20"/>
          <w:szCs w:val="20"/>
        </w:rPr>
      </w:pPr>
      <w:r>
        <w:rPr>
          <w:sz w:val="20"/>
          <w:szCs w:val="20"/>
        </w:rPr>
        <w:t xml:space="preserve">Jeff Goodwin &amp; James Jasper.  (2004)  “Editors’ Introduction,” pp. 3-7, </w:t>
      </w:r>
      <w:r w:rsidRPr="00F56E71">
        <w:rPr>
          <w:i/>
          <w:sz w:val="20"/>
          <w:szCs w:val="20"/>
        </w:rPr>
        <w:t>The Social Movements Reader:  Cases and Concepts</w:t>
      </w:r>
      <w:r>
        <w:rPr>
          <w:sz w:val="20"/>
          <w:szCs w:val="20"/>
        </w:rPr>
        <w:t>.  Blackwell Publishing.</w:t>
      </w:r>
    </w:p>
    <w:p w:rsidR="00F56E71" w:rsidRDefault="00F56E71" w:rsidP="001A28F4">
      <w:pPr>
        <w:ind w:left="720"/>
        <w:rPr>
          <w:sz w:val="20"/>
          <w:szCs w:val="20"/>
        </w:rPr>
      </w:pPr>
    </w:p>
    <w:p w:rsidR="00B72F71" w:rsidRPr="008F7400" w:rsidRDefault="00B72F71" w:rsidP="001A28F4">
      <w:pPr>
        <w:ind w:left="720"/>
        <w:rPr>
          <w:sz w:val="20"/>
          <w:szCs w:val="20"/>
        </w:rPr>
      </w:pPr>
      <w:r w:rsidRPr="008F7400">
        <w:rPr>
          <w:sz w:val="20"/>
          <w:szCs w:val="20"/>
        </w:rPr>
        <w:t>Steven M Buechler</w:t>
      </w:r>
      <w:r w:rsidR="00B35B15" w:rsidRPr="008F7400">
        <w:rPr>
          <w:sz w:val="20"/>
          <w:szCs w:val="20"/>
        </w:rPr>
        <w:t>. (2000)</w:t>
      </w:r>
      <w:r w:rsidRPr="008F7400">
        <w:rPr>
          <w:sz w:val="20"/>
          <w:szCs w:val="20"/>
        </w:rPr>
        <w:t xml:space="preserve"> </w:t>
      </w:r>
      <w:r w:rsidR="00F56E71">
        <w:rPr>
          <w:sz w:val="20"/>
          <w:szCs w:val="20"/>
        </w:rPr>
        <w:t xml:space="preserve">Chapter 2 in </w:t>
      </w:r>
      <w:r w:rsidRPr="008F7400">
        <w:rPr>
          <w:i/>
          <w:sz w:val="20"/>
          <w:szCs w:val="20"/>
        </w:rPr>
        <w:t>Social Movements in Advanced Capitalism: The Political Economy and Cultural Construction of Social Activism</w:t>
      </w:r>
      <w:r w:rsidR="00130565">
        <w:rPr>
          <w:i/>
          <w:sz w:val="20"/>
          <w:szCs w:val="20"/>
        </w:rPr>
        <w:t xml:space="preserve">.  </w:t>
      </w:r>
      <w:r w:rsidRPr="008F7400">
        <w:rPr>
          <w:sz w:val="20"/>
          <w:szCs w:val="20"/>
        </w:rPr>
        <w:t>Oxford University Press</w:t>
      </w:r>
      <w:r w:rsidR="00B35B15" w:rsidRPr="008F7400">
        <w:rPr>
          <w:sz w:val="20"/>
          <w:szCs w:val="20"/>
        </w:rPr>
        <w:t xml:space="preserve">.  </w:t>
      </w:r>
    </w:p>
    <w:p w:rsidR="00B72F71" w:rsidRPr="008F7400" w:rsidRDefault="00B72F71" w:rsidP="001A28F4">
      <w:pPr>
        <w:ind w:left="720"/>
        <w:rPr>
          <w:sz w:val="20"/>
          <w:szCs w:val="20"/>
        </w:rPr>
      </w:pPr>
    </w:p>
    <w:p w:rsidR="007351DA" w:rsidRPr="008F7400" w:rsidRDefault="007351DA" w:rsidP="004024CB">
      <w:pPr>
        <w:ind w:left="720"/>
        <w:rPr>
          <w:sz w:val="20"/>
          <w:szCs w:val="20"/>
        </w:rPr>
      </w:pPr>
      <w:r w:rsidRPr="008F7400">
        <w:rPr>
          <w:sz w:val="20"/>
          <w:szCs w:val="20"/>
        </w:rPr>
        <w:t>Doug McAdam</w:t>
      </w:r>
      <w:r w:rsidR="00B35B15" w:rsidRPr="008F7400">
        <w:rPr>
          <w:sz w:val="20"/>
          <w:szCs w:val="20"/>
        </w:rPr>
        <w:t>. (2d ed. 1999)</w:t>
      </w:r>
      <w:r w:rsidRPr="008F7400">
        <w:rPr>
          <w:sz w:val="20"/>
          <w:szCs w:val="20"/>
        </w:rPr>
        <w:t xml:space="preserve"> </w:t>
      </w:r>
      <w:r w:rsidRPr="008F7400">
        <w:rPr>
          <w:i/>
          <w:sz w:val="20"/>
          <w:szCs w:val="20"/>
        </w:rPr>
        <w:t>Political Process and the Development of Black Insurgency, 1930-1970</w:t>
      </w:r>
      <w:r w:rsidRPr="008F7400">
        <w:rPr>
          <w:sz w:val="20"/>
          <w:szCs w:val="20"/>
        </w:rPr>
        <w:t>.</w:t>
      </w:r>
      <w:r w:rsidR="00635C0D" w:rsidRPr="008F7400">
        <w:rPr>
          <w:sz w:val="20"/>
          <w:szCs w:val="20"/>
        </w:rPr>
        <w:t xml:space="preserve">  Read introduction to the second edition</w:t>
      </w:r>
      <w:r w:rsidR="00AC740C" w:rsidRPr="008F7400">
        <w:rPr>
          <w:sz w:val="20"/>
          <w:szCs w:val="20"/>
        </w:rPr>
        <w:t xml:space="preserve"> and chapter 1</w:t>
      </w:r>
      <w:r w:rsidR="00635C0D" w:rsidRPr="008F7400">
        <w:rPr>
          <w:sz w:val="20"/>
          <w:szCs w:val="20"/>
        </w:rPr>
        <w:t>.</w:t>
      </w:r>
    </w:p>
    <w:p w:rsidR="00526FF1" w:rsidRPr="008F7400" w:rsidRDefault="00526FF1" w:rsidP="004024CB">
      <w:pPr>
        <w:ind w:left="720"/>
        <w:rPr>
          <w:sz w:val="20"/>
          <w:szCs w:val="20"/>
        </w:rPr>
      </w:pPr>
    </w:p>
    <w:p w:rsidR="007351DA" w:rsidRPr="008F7400" w:rsidRDefault="00ED3B6C" w:rsidP="007351DA">
      <w:pPr>
        <w:rPr>
          <w:sz w:val="20"/>
          <w:szCs w:val="20"/>
        </w:rPr>
      </w:pPr>
      <w:r w:rsidRPr="008F7400">
        <w:rPr>
          <w:b/>
          <w:sz w:val="20"/>
          <w:szCs w:val="20"/>
        </w:rPr>
        <w:t>January 1</w:t>
      </w:r>
      <w:r w:rsidR="001E65D3">
        <w:rPr>
          <w:b/>
          <w:sz w:val="20"/>
          <w:szCs w:val="20"/>
        </w:rPr>
        <w:t>4</w:t>
      </w:r>
      <w:r w:rsidR="006D2EBF" w:rsidRPr="008F7400">
        <w:rPr>
          <w:sz w:val="20"/>
          <w:szCs w:val="20"/>
        </w:rPr>
        <w:t>–</w:t>
      </w:r>
      <w:r w:rsidR="007351DA" w:rsidRPr="008F7400">
        <w:rPr>
          <w:sz w:val="20"/>
          <w:szCs w:val="20"/>
        </w:rPr>
        <w:t xml:space="preserve">  </w:t>
      </w:r>
      <w:r w:rsidR="00B72F71" w:rsidRPr="008F7400">
        <w:rPr>
          <w:b/>
          <w:sz w:val="20"/>
          <w:szCs w:val="20"/>
        </w:rPr>
        <w:t>POLITICAL PROCESS MODELS</w:t>
      </w:r>
    </w:p>
    <w:p w:rsidR="00635C0D" w:rsidRPr="008F7400" w:rsidRDefault="00B35B15" w:rsidP="003C5E9A">
      <w:pPr>
        <w:ind w:left="720"/>
        <w:rPr>
          <w:sz w:val="20"/>
          <w:szCs w:val="20"/>
        </w:rPr>
      </w:pPr>
      <w:r w:rsidRPr="008F7400">
        <w:rPr>
          <w:sz w:val="20"/>
          <w:szCs w:val="20"/>
        </w:rPr>
        <w:t xml:space="preserve">Doug McAdam. (2d ed. 1999) </w:t>
      </w:r>
      <w:r w:rsidRPr="008F7400">
        <w:rPr>
          <w:i/>
          <w:sz w:val="20"/>
          <w:szCs w:val="20"/>
        </w:rPr>
        <w:t>Political Process and the Development of Black Insurgency, 1930-1970</w:t>
      </w:r>
      <w:r w:rsidRPr="008F7400">
        <w:rPr>
          <w:sz w:val="20"/>
          <w:szCs w:val="20"/>
        </w:rPr>
        <w:t xml:space="preserve">.  </w:t>
      </w:r>
      <w:r w:rsidR="00410222" w:rsidRPr="008F7400">
        <w:rPr>
          <w:sz w:val="20"/>
          <w:szCs w:val="20"/>
        </w:rPr>
        <w:t>Read chapters 2-4.</w:t>
      </w:r>
    </w:p>
    <w:p w:rsidR="00B72F71" w:rsidRPr="008F7400" w:rsidRDefault="00B72F71" w:rsidP="003C5E9A">
      <w:pPr>
        <w:ind w:left="720"/>
        <w:rPr>
          <w:sz w:val="20"/>
          <w:szCs w:val="20"/>
        </w:rPr>
      </w:pPr>
    </w:p>
    <w:p w:rsidR="001E65D3" w:rsidRPr="001E65D3" w:rsidRDefault="001E65D3" w:rsidP="00B72F71">
      <w:pPr>
        <w:ind w:left="720"/>
        <w:rPr>
          <w:sz w:val="20"/>
          <w:szCs w:val="20"/>
          <w:u w:val="single"/>
        </w:rPr>
      </w:pPr>
      <w:r>
        <w:rPr>
          <w:sz w:val="20"/>
          <w:szCs w:val="20"/>
          <w:u w:val="single"/>
        </w:rPr>
        <w:t>Background:</w:t>
      </w:r>
    </w:p>
    <w:p w:rsidR="00B72F71" w:rsidRPr="008F7400" w:rsidRDefault="00B72F71" w:rsidP="00B72F71">
      <w:pPr>
        <w:ind w:left="720"/>
        <w:rPr>
          <w:sz w:val="20"/>
          <w:szCs w:val="20"/>
        </w:rPr>
      </w:pPr>
      <w:r w:rsidRPr="008F7400">
        <w:rPr>
          <w:sz w:val="20"/>
          <w:szCs w:val="20"/>
        </w:rPr>
        <w:t>David S. Meyer</w:t>
      </w:r>
      <w:r w:rsidR="00B35B15" w:rsidRPr="008F7400">
        <w:rPr>
          <w:sz w:val="20"/>
          <w:szCs w:val="20"/>
        </w:rPr>
        <w:t>.  (2004)</w:t>
      </w:r>
      <w:r w:rsidRPr="008F7400">
        <w:rPr>
          <w:sz w:val="20"/>
          <w:szCs w:val="20"/>
        </w:rPr>
        <w:t xml:space="preserve"> </w:t>
      </w:r>
      <w:r w:rsidR="00B35B15" w:rsidRPr="008F7400">
        <w:rPr>
          <w:sz w:val="20"/>
          <w:szCs w:val="20"/>
        </w:rPr>
        <w:t>“</w:t>
      </w:r>
      <w:r w:rsidRPr="008F7400">
        <w:rPr>
          <w:sz w:val="20"/>
          <w:szCs w:val="20"/>
        </w:rPr>
        <w:t>Protest and Political Opportunity</w:t>
      </w:r>
      <w:r w:rsidR="00B35B15" w:rsidRPr="008F7400">
        <w:rPr>
          <w:sz w:val="20"/>
          <w:szCs w:val="20"/>
        </w:rPr>
        <w:t>.”</w:t>
      </w:r>
      <w:r w:rsidRPr="008F7400">
        <w:rPr>
          <w:sz w:val="20"/>
          <w:szCs w:val="20"/>
        </w:rPr>
        <w:t xml:space="preserve"> </w:t>
      </w:r>
      <w:r w:rsidR="00B35B15" w:rsidRPr="008F7400">
        <w:rPr>
          <w:i/>
          <w:sz w:val="20"/>
          <w:szCs w:val="20"/>
        </w:rPr>
        <w:t>Annual Review of Sociology</w:t>
      </w:r>
      <w:r w:rsidR="00D122E9" w:rsidRPr="008F7400">
        <w:rPr>
          <w:sz w:val="20"/>
          <w:szCs w:val="20"/>
        </w:rPr>
        <w:t xml:space="preserve"> 30:</w:t>
      </w:r>
      <w:r w:rsidR="00B35B15" w:rsidRPr="008F7400">
        <w:rPr>
          <w:sz w:val="20"/>
          <w:szCs w:val="20"/>
        </w:rPr>
        <w:t>125</w:t>
      </w:r>
      <w:r w:rsidR="000D0C50" w:rsidRPr="008F7400">
        <w:rPr>
          <w:sz w:val="20"/>
          <w:szCs w:val="20"/>
        </w:rPr>
        <w:t>-</w:t>
      </w:r>
      <w:r w:rsidR="00D122E9" w:rsidRPr="008F7400">
        <w:rPr>
          <w:sz w:val="20"/>
          <w:szCs w:val="20"/>
        </w:rPr>
        <w:t>145.</w:t>
      </w:r>
    </w:p>
    <w:p w:rsidR="00B72F71" w:rsidRPr="008F7400" w:rsidRDefault="00B72F71" w:rsidP="00B72F71">
      <w:pPr>
        <w:ind w:left="720"/>
        <w:rPr>
          <w:sz w:val="20"/>
          <w:szCs w:val="20"/>
        </w:rPr>
      </w:pPr>
    </w:p>
    <w:p w:rsidR="00F35E10" w:rsidRPr="001E65D3" w:rsidRDefault="001E65D3" w:rsidP="001E65D3">
      <w:pPr>
        <w:rPr>
          <w:b/>
          <w:sz w:val="20"/>
          <w:szCs w:val="20"/>
        </w:rPr>
      </w:pPr>
      <w:r>
        <w:rPr>
          <w:b/>
          <w:sz w:val="20"/>
          <w:szCs w:val="20"/>
        </w:rPr>
        <w:t>January 21</w:t>
      </w:r>
      <w:r w:rsidR="001145B2" w:rsidRPr="008F7400">
        <w:rPr>
          <w:b/>
          <w:sz w:val="20"/>
          <w:szCs w:val="20"/>
        </w:rPr>
        <w:t xml:space="preserve"> </w:t>
      </w:r>
      <w:r w:rsidR="003C5E9A" w:rsidRPr="008F7400">
        <w:rPr>
          <w:b/>
          <w:sz w:val="20"/>
          <w:szCs w:val="20"/>
        </w:rPr>
        <w:t>–</w:t>
      </w:r>
      <w:r w:rsidR="00752D15" w:rsidRPr="008F7400">
        <w:rPr>
          <w:b/>
          <w:sz w:val="20"/>
          <w:szCs w:val="20"/>
        </w:rPr>
        <w:t xml:space="preserve"> RESOURCE MOBILIZ</w:t>
      </w:r>
      <w:r w:rsidR="00B72F71" w:rsidRPr="008F7400">
        <w:rPr>
          <w:b/>
          <w:sz w:val="20"/>
          <w:szCs w:val="20"/>
        </w:rPr>
        <w:t>ATION MODELS</w:t>
      </w:r>
    </w:p>
    <w:p w:rsidR="00B72F71" w:rsidRPr="008F7400" w:rsidRDefault="00B72F71" w:rsidP="00B72F71">
      <w:pPr>
        <w:ind w:left="720"/>
        <w:rPr>
          <w:sz w:val="20"/>
          <w:szCs w:val="20"/>
        </w:rPr>
      </w:pPr>
      <w:r w:rsidRPr="008F7400">
        <w:rPr>
          <w:sz w:val="20"/>
          <w:szCs w:val="20"/>
        </w:rPr>
        <w:t>Suzanne Staggenborg</w:t>
      </w:r>
      <w:r w:rsidR="00C9424A" w:rsidRPr="008F7400">
        <w:rPr>
          <w:sz w:val="20"/>
          <w:szCs w:val="20"/>
        </w:rPr>
        <w:t>. (1988)</w:t>
      </w:r>
      <w:r w:rsidRPr="008F7400">
        <w:rPr>
          <w:sz w:val="20"/>
          <w:szCs w:val="20"/>
        </w:rPr>
        <w:t xml:space="preserve"> </w:t>
      </w:r>
      <w:r w:rsidR="00C9424A" w:rsidRPr="008F7400">
        <w:rPr>
          <w:sz w:val="20"/>
          <w:szCs w:val="20"/>
        </w:rPr>
        <w:t>“</w:t>
      </w:r>
      <w:r w:rsidRPr="008F7400">
        <w:rPr>
          <w:sz w:val="20"/>
          <w:szCs w:val="20"/>
        </w:rPr>
        <w:t>The Consequences of Professionalization and Formalization in the Pro-Choice Movement</w:t>
      </w:r>
      <w:r w:rsidR="00C9424A" w:rsidRPr="008F7400">
        <w:rPr>
          <w:sz w:val="20"/>
          <w:szCs w:val="20"/>
        </w:rPr>
        <w:t>.”</w:t>
      </w:r>
      <w:r w:rsidRPr="008F7400">
        <w:rPr>
          <w:sz w:val="20"/>
          <w:szCs w:val="20"/>
        </w:rPr>
        <w:t xml:space="preserve"> </w:t>
      </w:r>
      <w:r w:rsidR="00C9424A" w:rsidRPr="008F7400">
        <w:rPr>
          <w:i/>
          <w:sz w:val="20"/>
          <w:szCs w:val="20"/>
        </w:rPr>
        <w:t>American Sociological Review</w:t>
      </w:r>
      <w:r w:rsidR="00C9424A" w:rsidRPr="008F7400">
        <w:rPr>
          <w:sz w:val="20"/>
          <w:szCs w:val="20"/>
        </w:rPr>
        <w:t xml:space="preserve"> </w:t>
      </w:r>
      <w:r w:rsidRPr="008F7400">
        <w:rPr>
          <w:sz w:val="20"/>
          <w:szCs w:val="20"/>
        </w:rPr>
        <w:t>53</w:t>
      </w:r>
      <w:r w:rsidR="0015669C" w:rsidRPr="008F7400">
        <w:rPr>
          <w:sz w:val="20"/>
          <w:szCs w:val="20"/>
        </w:rPr>
        <w:t>:</w:t>
      </w:r>
      <w:r w:rsidRPr="008F7400">
        <w:rPr>
          <w:sz w:val="20"/>
          <w:szCs w:val="20"/>
        </w:rPr>
        <w:t>585</w:t>
      </w:r>
      <w:r w:rsidR="00C9424A" w:rsidRPr="008F7400">
        <w:rPr>
          <w:sz w:val="20"/>
          <w:szCs w:val="20"/>
        </w:rPr>
        <w:t>-</w:t>
      </w:r>
      <w:r w:rsidR="0015669C" w:rsidRPr="008F7400">
        <w:rPr>
          <w:sz w:val="20"/>
          <w:szCs w:val="20"/>
        </w:rPr>
        <w:t>606</w:t>
      </w:r>
      <w:r w:rsidRPr="008F7400">
        <w:rPr>
          <w:sz w:val="20"/>
          <w:szCs w:val="20"/>
        </w:rPr>
        <w:t>.</w:t>
      </w:r>
    </w:p>
    <w:p w:rsidR="00495EA5" w:rsidRPr="008F7400" w:rsidRDefault="00495EA5" w:rsidP="00B72F71">
      <w:pPr>
        <w:ind w:left="720"/>
        <w:rPr>
          <w:sz w:val="20"/>
          <w:szCs w:val="20"/>
        </w:rPr>
      </w:pPr>
    </w:p>
    <w:p w:rsidR="00495EA5" w:rsidRPr="008F7400" w:rsidRDefault="00495EA5" w:rsidP="00495EA5">
      <w:pPr>
        <w:autoSpaceDE w:val="0"/>
        <w:autoSpaceDN w:val="0"/>
        <w:adjustRightInd w:val="0"/>
        <w:ind w:left="720"/>
        <w:rPr>
          <w:rFonts w:eastAsia="Calibri"/>
          <w:sz w:val="20"/>
          <w:szCs w:val="20"/>
        </w:rPr>
      </w:pPr>
      <w:r w:rsidRPr="008F7400">
        <w:rPr>
          <w:rFonts w:eastAsia="Calibri"/>
          <w:sz w:val="20"/>
          <w:szCs w:val="20"/>
        </w:rPr>
        <w:t xml:space="preserve">Haines, Herbert H. </w:t>
      </w:r>
      <w:r w:rsidR="00C9424A" w:rsidRPr="008F7400">
        <w:rPr>
          <w:rFonts w:eastAsia="Calibri"/>
          <w:sz w:val="20"/>
          <w:szCs w:val="20"/>
        </w:rPr>
        <w:t>(</w:t>
      </w:r>
      <w:r w:rsidRPr="008F7400">
        <w:rPr>
          <w:rFonts w:eastAsia="Calibri"/>
          <w:sz w:val="20"/>
          <w:szCs w:val="20"/>
        </w:rPr>
        <w:t>1984</w:t>
      </w:r>
      <w:r w:rsidR="00C9424A" w:rsidRPr="008F7400">
        <w:rPr>
          <w:rFonts w:eastAsia="Calibri"/>
          <w:sz w:val="20"/>
          <w:szCs w:val="20"/>
        </w:rPr>
        <w:t>)</w:t>
      </w:r>
      <w:r w:rsidRPr="008F7400">
        <w:rPr>
          <w:rFonts w:eastAsia="Calibri"/>
          <w:sz w:val="20"/>
          <w:szCs w:val="20"/>
        </w:rPr>
        <w:t xml:space="preserve"> "Black Radicalization and the Funding of Civil Rights: 1957-1970." </w:t>
      </w:r>
      <w:r w:rsidRPr="008F7400">
        <w:rPr>
          <w:rFonts w:eastAsia="Calibri"/>
          <w:i/>
          <w:iCs/>
          <w:sz w:val="20"/>
          <w:szCs w:val="20"/>
        </w:rPr>
        <w:t>Social Problems</w:t>
      </w:r>
      <w:r w:rsidRPr="008F7400">
        <w:rPr>
          <w:rFonts w:eastAsia="Calibri"/>
          <w:sz w:val="20"/>
          <w:szCs w:val="20"/>
        </w:rPr>
        <w:t xml:space="preserve"> 32:31-43.</w:t>
      </w:r>
    </w:p>
    <w:p w:rsidR="001E65D3" w:rsidRDefault="001E65D3" w:rsidP="003C5E9A">
      <w:pPr>
        <w:ind w:left="720"/>
        <w:rPr>
          <w:sz w:val="20"/>
          <w:szCs w:val="20"/>
          <w:u w:val="single"/>
        </w:rPr>
      </w:pPr>
    </w:p>
    <w:p w:rsidR="001E65D3" w:rsidRPr="001E65D3" w:rsidRDefault="001E65D3" w:rsidP="003C5E9A">
      <w:pPr>
        <w:ind w:left="720"/>
        <w:rPr>
          <w:sz w:val="20"/>
          <w:szCs w:val="20"/>
          <w:u w:val="single"/>
        </w:rPr>
      </w:pPr>
      <w:r>
        <w:rPr>
          <w:sz w:val="20"/>
          <w:szCs w:val="20"/>
          <w:u w:val="single"/>
        </w:rPr>
        <w:t>Background</w:t>
      </w:r>
    </w:p>
    <w:p w:rsidR="001E65D3" w:rsidRPr="008F7400" w:rsidRDefault="001E65D3" w:rsidP="001E65D3">
      <w:pPr>
        <w:ind w:left="720"/>
        <w:rPr>
          <w:sz w:val="20"/>
          <w:szCs w:val="20"/>
        </w:rPr>
      </w:pPr>
      <w:r w:rsidRPr="008F7400">
        <w:rPr>
          <w:sz w:val="20"/>
          <w:szCs w:val="20"/>
        </w:rPr>
        <w:t xml:space="preserve">J. Craig Jenkins. (1983) “Resource Mobilization Theory and the Study of Social Movements.” </w:t>
      </w:r>
      <w:r w:rsidRPr="008F7400">
        <w:rPr>
          <w:i/>
          <w:sz w:val="20"/>
          <w:szCs w:val="20"/>
        </w:rPr>
        <w:t>Annual Review of Sociology</w:t>
      </w:r>
      <w:r w:rsidRPr="008F7400">
        <w:rPr>
          <w:sz w:val="20"/>
          <w:szCs w:val="20"/>
        </w:rPr>
        <w:t xml:space="preserve"> 9:527-553.</w:t>
      </w:r>
    </w:p>
    <w:p w:rsidR="00B153F2" w:rsidRDefault="00B153F2" w:rsidP="001E65D3">
      <w:pPr>
        <w:ind w:left="720"/>
        <w:rPr>
          <w:sz w:val="20"/>
          <w:szCs w:val="20"/>
        </w:rPr>
      </w:pPr>
    </w:p>
    <w:p w:rsidR="00F43F81" w:rsidRDefault="00F43F81" w:rsidP="001E65D3">
      <w:pPr>
        <w:ind w:left="720"/>
        <w:rPr>
          <w:sz w:val="20"/>
          <w:szCs w:val="20"/>
        </w:rPr>
      </w:pPr>
    </w:p>
    <w:p w:rsidR="00F43F81" w:rsidRDefault="00F43F81" w:rsidP="001E65D3">
      <w:pPr>
        <w:ind w:left="720"/>
        <w:rPr>
          <w:sz w:val="20"/>
          <w:szCs w:val="20"/>
        </w:rPr>
      </w:pPr>
    </w:p>
    <w:p w:rsidR="00F43F81" w:rsidRDefault="00F43F81" w:rsidP="001E65D3">
      <w:pPr>
        <w:ind w:left="720"/>
        <w:rPr>
          <w:sz w:val="20"/>
          <w:szCs w:val="20"/>
        </w:rPr>
      </w:pPr>
    </w:p>
    <w:p w:rsidR="00F43F81" w:rsidRPr="008F7400" w:rsidRDefault="00F43F81" w:rsidP="001E65D3">
      <w:pPr>
        <w:ind w:left="720"/>
        <w:rPr>
          <w:sz w:val="20"/>
          <w:szCs w:val="20"/>
        </w:rPr>
      </w:pPr>
    </w:p>
    <w:p w:rsidR="003D75A4" w:rsidRDefault="003D75A4">
      <w:pPr>
        <w:rPr>
          <w:b/>
          <w:sz w:val="20"/>
          <w:szCs w:val="20"/>
        </w:rPr>
      </w:pPr>
      <w:r>
        <w:rPr>
          <w:b/>
          <w:sz w:val="20"/>
          <w:szCs w:val="20"/>
        </w:rPr>
        <w:br w:type="page"/>
      </w:r>
    </w:p>
    <w:p w:rsidR="00B72F71" w:rsidRPr="008F7400" w:rsidRDefault="001E65D3" w:rsidP="003E3F80">
      <w:pPr>
        <w:ind w:left="720" w:hanging="720"/>
        <w:rPr>
          <w:b/>
          <w:sz w:val="20"/>
          <w:szCs w:val="20"/>
        </w:rPr>
      </w:pPr>
      <w:r>
        <w:rPr>
          <w:b/>
          <w:sz w:val="20"/>
          <w:szCs w:val="20"/>
        </w:rPr>
        <w:t>January 28</w:t>
      </w:r>
      <w:r w:rsidR="00ED3B6C" w:rsidRPr="008F7400">
        <w:rPr>
          <w:b/>
          <w:sz w:val="20"/>
          <w:szCs w:val="20"/>
        </w:rPr>
        <w:t xml:space="preserve"> </w:t>
      </w:r>
      <w:r w:rsidR="00B72F71" w:rsidRPr="008F7400">
        <w:rPr>
          <w:b/>
          <w:sz w:val="20"/>
          <w:szCs w:val="20"/>
        </w:rPr>
        <w:t>– CRITIQUES AND ALTERNATIVE PERSPECTIVES</w:t>
      </w:r>
    </w:p>
    <w:p w:rsidR="00B72F71" w:rsidRPr="008F7400" w:rsidRDefault="00B72F71" w:rsidP="00B72F71">
      <w:pPr>
        <w:ind w:left="720"/>
        <w:rPr>
          <w:sz w:val="20"/>
          <w:szCs w:val="20"/>
        </w:rPr>
      </w:pPr>
      <w:r w:rsidRPr="008F7400">
        <w:rPr>
          <w:sz w:val="20"/>
          <w:szCs w:val="20"/>
        </w:rPr>
        <w:t>Frances Fox Piven &amp; Richard A. Cloward</w:t>
      </w:r>
      <w:r w:rsidR="00C475F3" w:rsidRPr="008F7400">
        <w:rPr>
          <w:sz w:val="20"/>
          <w:szCs w:val="20"/>
        </w:rPr>
        <w:t>. (1995) “</w:t>
      </w:r>
      <w:r w:rsidRPr="008F7400">
        <w:rPr>
          <w:sz w:val="20"/>
          <w:szCs w:val="20"/>
        </w:rPr>
        <w:t>Collective Protest:  A Critique of Resource Mobilization Theory</w:t>
      </w:r>
      <w:r w:rsidR="00C475F3" w:rsidRPr="008F7400">
        <w:rPr>
          <w:sz w:val="20"/>
          <w:szCs w:val="20"/>
        </w:rPr>
        <w:t>.” I</w:t>
      </w:r>
      <w:r w:rsidRPr="008F7400">
        <w:rPr>
          <w:sz w:val="20"/>
          <w:szCs w:val="20"/>
        </w:rPr>
        <w:t xml:space="preserve">n </w:t>
      </w:r>
      <w:r w:rsidRPr="008F7400">
        <w:rPr>
          <w:i/>
          <w:sz w:val="20"/>
          <w:szCs w:val="20"/>
        </w:rPr>
        <w:t>Social Movements:  Critiques, Concepts, Case-Studies</w:t>
      </w:r>
      <w:r w:rsidRPr="008F7400">
        <w:rPr>
          <w:sz w:val="20"/>
          <w:szCs w:val="20"/>
        </w:rPr>
        <w:t>.  New York University</w:t>
      </w:r>
      <w:r w:rsidR="00C475F3" w:rsidRPr="008F7400">
        <w:rPr>
          <w:sz w:val="20"/>
          <w:szCs w:val="20"/>
        </w:rPr>
        <w:t xml:space="preserve"> Press </w:t>
      </w:r>
      <w:r w:rsidRPr="008F7400">
        <w:rPr>
          <w:sz w:val="20"/>
          <w:szCs w:val="20"/>
        </w:rPr>
        <w:t>(Stanford Lyman, ed.).</w:t>
      </w:r>
    </w:p>
    <w:p w:rsidR="00526FF1" w:rsidRPr="008F7400" w:rsidRDefault="00526FF1" w:rsidP="00B72F71">
      <w:pPr>
        <w:ind w:left="720"/>
        <w:rPr>
          <w:sz w:val="20"/>
          <w:szCs w:val="20"/>
        </w:rPr>
      </w:pPr>
    </w:p>
    <w:p w:rsidR="007A1DB6" w:rsidRDefault="007A1DB6" w:rsidP="007A1DB6">
      <w:pPr>
        <w:ind w:left="720"/>
        <w:rPr>
          <w:rFonts w:ascii="Times" w:hAnsi="Times"/>
          <w:sz w:val="20"/>
          <w:szCs w:val="20"/>
        </w:rPr>
      </w:pPr>
      <w:r w:rsidRPr="00231B70">
        <w:rPr>
          <w:rFonts w:ascii="Times" w:hAnsi="Times"/>
          <w:sz w:val="20"/>
          <w:szCs w:val="20"/>
        </w:rPr>
        <w:t xml:space="preserve">Goodwin, Jeff, and James M. Jasper. "Caught in a winding, snarling vine: The structural bias of political process theory." In </w:t>
      </w:r>
      <w:r w:rsidRPr="00231B70">
        <w:rPr>
          <w:rFonts w:ascii="Times" w:hAnsi="Times"/>
          <w:i/>
          <w:iCs/>
          <w:sz w:val="20"/>
          <w:szCs w:val="20"/>
        </w:rPr>
        <w:t>Sociological Forum</w:t>
      </w:r>
      <w:r w:rsidRPr="00231B70">
        <w:rPr>
          <w:rFonts w:ascii="Times" w:hAnsi="Times"/>
          <w:sz w:val="20"/>
          <w:szCs w:val="20"/>
        </w:rPr>
        <w:t>, vol. 14, no. 1, pp. 27-54. Kluwer Academic Publishers-Plenum Publishers, 1999.</w:t>
      </w:r>
    </w:p>
    <w:p w:rsidR="007A1DB6" w:rsidRDefault="007A1DB6" w:rsidP="00B72F71">
      <w:pPr>
        <w:ind w:left="720"/>
        <w:rPr>
          <w:sz w:val="20"/>
          <w:szCs w:val="20"/>
        </w:rPr>
      </w:pPr>
    </w:p>
    <w:p w:rsidR="00526FF1" w:rsidRDefault="00526FF1" w:rsidP="00B72F71">
      <w:pPr>
        <w:ind w:left="720"/>
        <w:rPr>
          <w:sz w:val="20"/>
          <w:szCs w:val="20"/>
        </w:rPr>
      </w:pPr>
      <w:r w:rsidRPr="008F7400">
        <w:rPr>
          <w:sz w:val="20"/>
          <w:szCs w:val="20"/>
        </w:rPr>
        <w:t xml:space="preserve">Armstrong, Elizabeth A., and Mary Bernstein. </w:t>
      </w:r>
      <w:r w:rsidR="00C475F3" w:rsidRPr="008F7400">
        <w:rPr>
          <w:sz w:val="20"/>
          <w:szCs w:val="20"/>
        </w:rPr>
        <w:t>(</w:t>
      </w:r>
      <w:r w:rsidRPr="008F7400">
        <w:rPr>
          <w:sz w:val="20"/>
          <w:szCs w:val="20"/>
        </w:rPr>
        <w:t>2008</w:t>
      </w:r>
      <w:r w:rsidR="00C475F3" w:rsidRPr="008F7400">
        <w:rPr>
          <w:sz w:val="20"/>
          <w:szCs w:val="20"/>
        </w:rPr>
        <w:t>)</w:t>
      </w:r>
      <w:r w:rsidRPr="008F7400">
        <w:rPr>
          <w:sz w:val="20"/>
          <w:szCs w:val="20"/>
        </w:rPr>
        <w:t xml:space="preserve"> "Culture, Power, and Institutions: A Multi-Institutional Politics Approach to Social Movements." </w:t>
      </w:r>
      <w:r w:rsidRPr="008F7400">
        <w:rPr>
          <w:i/>
          <w:sz w:val="20"/>
          <w:szCs w:val="20"/>
        </w:rPr>
        <w:t>Sociological Theory</w:t>
      </w:r>
      <w:r w:rsidRPr="008F7400">
        <w:rPr>
          <w:sz w:val="20"/>
          <w:szCs w:val="20"/>
        </w:rPr>
        <w:t xml:space="preserve"> 26:74–99.</w:t>
      </w:r>
    </w:p>
    <w:p w:rsidR="00231B70" w:rsidRPr="00231B70" w:rsidRDefault="00231B70" w:rsidP="00231B70">
      <w:pPr>
        <w:ind w:left="720"/>
        <w:rPr>
          <w:rFonts w:ascii="Times" w:hAnsi="Times"/>
          <w:sz w:val="20"/>
          <w:szCs w:val="20"/>
        </w:rPr>
      </w:pPr>
    </w:p>
    <w:p w:rsidR="007724B8" w:rsidRPr="008F7400" w:rsidRDefault="007724B8" w:rsidP="00231B70">
      <w:pPr>
        <w:rPr>
          <w:sz w:val="20"/>
          <w:szCs w:val="20"/>
        </w:rPr>
      </w:pPr>
    </w:p>
    <w:p w:rsidR="00B72F71" w:rsidRPr="008F7400" w:rsidRDefault="009441AA" w:rsidP="00635C0D">
      <w:pPr>
        <w:rPr>
          <w:b/>
          <w:sz w:val="20"/>
          <w:szCs w:val="20"/>
        </w:rPr>
      </w:pPr>
      <w:r w:rsidRPr="008F7400">
        <w:rPr>
          <w:b/>
          <w:sz w:val="20"/>
          <w:szCs w:val="20"/>
        </w:rPr>
        <w:t>II.</w:t>
      </w:r>
      <w:r w:rsidRPr="008F7400">
        <w:rPr>
          <w:b/>
          <w:sz w:val="20"/>
          <w:szCs w:val="20"/>
        </w:rPr>
        <w:tab/>
        <w:t xml:space="preserve">LAW, FRAMING, AND </w:t>
      </w:r>
      <w:r w:rsidR="00E10C64" w:rsidRPr="008F7400">
        <w:rPr>
          <w:b/>
          <w:sz w:val="20"/>
          <w:szCs w:val="20"/>
        </w:rPr>
        <w:t>THE CONSTRUCTION OF GRIEVANCES</w:t>
      </w:r>
    </w:p>
    <w:p w:rsidR="00495EA5" w:rsidRPr="008F7400" w:rsidRDefault="00495EA5" w:rsidP="00635C0D">
      <w:pPr>
        <w:rPr>
          <w:b/>
          <w:sz w:val="20"/>
          <w:szCs w:val="20"/>
        </w:rPr>
      </w:pPr>
    </w:p>
    <w:p w:rsidR="0078309E" w:rsidRPr="008F7400" w:rsidRDefault="0078309E" w:rsidP="0078309E">
      <w:pPr>
        <w:rPr>
          <w:b/>
          <w:sz w:val="20"/>
          <w:szCs w:val="20"/>
        </w:rPr>
      </w:pPr>
      <w:r w:rsidRPr="008F7400">
        <w:rPr>
          <w:b/>
          <w:sz w:val="20"/>
          <w:szCs w:val="20"/>
        </w:rPr>
        <w:t>Central Questions in This Unit</w:t>
      </w:r>
    </w:p>
    <w:p w:rsidR="00C602DB" w:rsidRPr="00F43F81" w:rsidRDefault="00C602DB" w:rsidP="00F43F81">
      <w:pPr>
        <w:pStyle w:val="ListParagraph"/>
        <w:numPr>
          <w:ilvl w:val="0"/>
          <w:numId w:val="7"/>
        </w:numPr>
        <w:rPr>
          <w:sz w:val="20"/>
          <w:szCs w:val="20"/>
        </w:rPr>
      </w:pPr>
      <w:r w:rsidRPr="00F43F81">
        <w:rPr>
          <w:sz w:val="20"/>
          <w:szCs w:val="20"/>
        </w:rPr>
        <w:t>What is the role of law in conceptualizing and motivating resistance?</w:t>
      </w:r>
    </w:p>
    <w:p w:rsidR="00C602DB" w:rsidRPr="00F43F81" w:rsidRDefault="00C602DB" w:rsidP="00F43F81">
      <w:pPr>
        <w:pStyle w:val="ListParagraph"/>
        <w:numPr>
          <w:ilvl w:val="0"/>
          <w:numId w:val="7"/>
        </w:numPr>
        <w:rPr>
          <w:sz w:val="20"/>
          <w:szCs w:val="20"/>
        </w:rPr>
      </w:pPr>
      <w:r w:rsidRPr="00F43F81">
        <w:rPr>
          <w:sz w:val="20"/>
          <w:szCs w:val="20"/>
        </w:rPr>
        <w:t>What is a frame?  How do legal frames compare to other available frames?  Where do frames come from and how do social movements engage in “framing”?</w:t>
      </w:r>
    </w:p>
    <w:p w:rsidR="00C602DB" w:rsidRPr="00F43F81" w:rsidRDefault="003E3F80" w:rsidP="00F43F81">
      <w:pPr>
        <w:pStyle w:val="ListParagraph"/>
        <w:numPr>
          <w:ilvl w:val="0"/>
          <w:numId w:val="7"/>
        </w:numPr>
        <w:rPr>
          <w:sz w:val="20"/>
          <w:szCs w:val="20"/>
        </w:rPr>
      </w:pPr>
      <w:r w:rsidRPr="00F43F81">
        <w:rPr>
          <w:sz w:val="20"/>
          <w:szCs w:val="20"/>
        </w:rPr>
        <w:t xml:space="preserve">How does law relate to the construction of identities, grievances, and frames of action for social movements?  </w:t>
      </w:r>
    </w:p>
    <w:p w:rsidR="00C602DB" w:rsidRPr="00F43F81" w:rsidRDefault="00C602DB" w:rsidP="00F43F81">
      <w:pPr>
        <w:pStyle w:val="ListParagraph"/>
        <w:numPr>
          <w:ilvl w:val="0"/>
          <w:numId w:val="7"/>
        </w:numPr>
        <w:rPr>
          <w:sz w:val="20"/>
          <w:szCs w:val="20"/>
        </w:rPr>
      </w:pPr>
      <w:r w:rsidRPr="00F43F81">
        <w:rPr>
          <w:sz w:val="20"/>
          <w:szCs w:val="20"/>
        </w:rPr>
        <w:t>What explains the emergence, or non-emergence, of oppositional consciousness? How do social actors come to understand problems or injustice as individual plight v. collective grievance?  What role do law and rights play in that process?</w:t>
      </w:r>
    </w:p>
    <w:p w:rsidR="00C602DB" w:rsidRPr="00F43F81" w:rsidRDefault="00C602DB" w:rsidP="00F43F81">
      <w:pPr>
        <w:pStyle w:val="ListParagraph"/>
        <w:numPr>
          <w:ilvl w:val="0"/>
          <w:numId w:val="7"/>
        </w:numPr>
        <w:rPr>
          <w:sz w:val="20"/>
          <w:szCs w:val="20"/>
        </w:rPr>
      </w:pPr>
      <w:r w:rsidRPr="00F43F81">
        <w:rPr>
          <w:sz w:val="20"/>
          <w:szCs w:val="20"/>
        </w:rPr>
        <w:t>Is oppositional consciousness enough to constitute a social movement?</w:t>
      </w:r>
    </w:p>
    <w:p w:rsidR="00C602DB" w:rsidRPr="008F7400" w:rsidRDefault="00C602DB" w:rsidP="00635C0D">
      <w:pPr>
        <w:rPr>
          <w:sz w:val="20"/>
          <w:szCs w:val="20"/>
        </w:rPr>
      </w:pPr>
    </w:p>
    <w:p w:rsidR="00F702DD" w:rsidRPr="00231B70" w:rsidRDefault="003E3F80" w:rsidP="00F702DD">
      <w:pPr>
        <w:rPr>
          <w:sz w:val="20"/>
          <w:szCs w:val="20"/>
        </w:rPr>
      </w:pPr>
      <w:r w:rsidRPr="008F7400">
        <w:rPr>
          <w:b/>
          <w:sz w:val="20"/>
          <w:szCs w:val="20"/>
        </w:rPr>
        <w:t xml:space="preserve">February </w:t>
      </w:r>
      <w:r w:rsidR="00231B70">
        <w:rPr>
          <w:b/>
          <w:sz w:val="20"/>
          <w:szCs w:val="20"/>
        </w:rPr>
        <w:t>4</w:t>
      </w:r>
      <w:r w:rsidRPr="008F7400">
        <w:rPr>
          <w:b/>
          <w:sz w:val="20"/>
          <w:szCs w:val="20"/>
          <w:vertAlign w:val="superscript"/>
        </w:rPr>
        <w:t>th</w:t>
      </w:r>
      <w:r w:rsidRPr="008F7400">
        <w:rPr>
          <w:b/>
          <w:sz w:val="20"/>
          <w:szCs w:val="20"/>
        </w:rPr>
        <w:t xml:space="preserve"> – FRAMING </w:t>
      </w:r>
    </w:p>
    <w:p w:rsidR="00533750" w:rsidRPr="008F7400" w:rsidRDefault="00F702DD" w:rsidP="00533750">
      <w:pPr>
        <w:ind w:left="720"/>
        <w:rPr>
          <w:sz w:val="20"/>
          <w:szCs w:val="20"/>
        </w:rPr>
      </w:pPr>
      <w:r w:rsidRPr="008F7400">
        <w:rPr>
          <w:sz w:val="20"/>
          <w:szCs w:val="20"/>
        </w:rPr>
        <w:t>Myra Marx Ferree</w:t>
      </w:r>
      <w:r w:rsidR="00C80E94" w:rsidRPr="008F7400">
        <w:rPr>
          <w:sz w:val="20"/>
          <w:szCs w:val="20"/>
        </w:rPr>
        <w:t>. (2003)</w:t>
      </w:r>
      <w:r w:rsidRPr="008F7400">
        <w:rPr>
          <w:sz w:val="20"/>
          <w:szCs w:val="20"/>
        </w:rPr>
        <w:t xml:space="preserve"> </w:t>
      </w:r>
      <w:r w:rsidR="00C80E94" w:rsidRPr="008F7400">
        <w:rPr>
          <w:sz w:val="20"/>
          <w:szCs w:val="20"/>
        </w:rPr>
        <w:t>“</w:t>
      </w:r>
      <w:r w:rsidRPr="008F7400">
        <w:rPr>
          <w:sz w:val="20"/>
          <w:szCs w:val="20"/>
        </w:rPr>
        <w:t>Resonance and Radicalism:  Feminist Framing of the Abortion Debates of the United States and Germany</w:t>
      </w:r>
      <w:r w:rsidR="00C80E94" w:rsidRPr="008F7400">
        <w:rPr>
          <w:sz w:val="20"/>
          <w:szCs w:val="20"/>
        </w:rPr>
        <w:t>.”</w:t>
      </w:r>
      <w:r w:rsidRPr="008F7400">
        <w:rPr>
          <w:sz w:val="20"/>
          <w:szCs w:val="20"/>
        </w:rPr>
        <w:t xml:space="preserve"> </w:t>
      </w:r>
      <w:r w:rsidR="00C80E94" w:rsidRPr="008F7400">
        <w:rPr>
          <w:i/>
          <w:sz w:val="20"/>
          <w:szCs w:val="20"/>
        </w:rPr>
        <w:t>American Journal of Sociology</w:t>
      </w:r>
      <w:r w:rsidR="00C80E94" w:rsidRPr="008F7400">
        <w:rPr>
          <w:sz w:val="20"/>
          <w:szCs w:val="20"/>
        </w:rPr>
        <w:t xml:space="preserve"> </w:t>
      </w:r>
      <w:r w:rsidRPr="008F7400">
        <w:rPr>
          <w:sz w:val="20"/>
          <w:szCs w:val="20"/>
        </w:rPr>
        <w:t>109</w:t>
      </w:r>
      <w:r w:rsidR="00C80E94" w:rsidRPr="008F7400">
        <w:rPr>
          <w:smallCaps/>
          <w:sz w:val="20"/>
          <w:szCs w:val="20"/>
        </w:rPr>
        <w:t>:</w:t>
      </w:r>
      <w:r w:rsidRPr="008F7400">
        <w:rPr>
          <w:sz w:val="20"/>
          <w:szCs w:val="20"/>
        </w:rPr>
        <w:t>304</w:t>
      </w:r>
      <w:r w:rsidR="00F211A6" w:rsidRPr="008F7400">
        <w:rPr>
          <w:sz w:val="20"/>
          <w:szCs w:val="20"/>
        </w:rPr>
        <w:t>-344</w:t>
      </w:r>
      <w:r w:rsidRPr="008F7400">
        <w:rPr>
          <w:sz w:val="20"/>
          <w:szCs w:val="20"/>
        </w:rPr>
        <w:t>.</w:t>
      </w:r>
    </w:p>
    <w:p w:rsidR="00533750" w:rsidRPr="008F7400" w:rsidRDefault="00533750" w:rsidP="00533750">
      <w:pPr>
        <w:ind w:left="720"/>
        <w:rPr>
          <w:sz w:val="20"/>
          <w:szCs w:val="20"/>
        </w:rPr>
      </w:pPr>
    </w:p>
    <w:p w:rsidR="00533750" w:rsidRPr="008F7400" w:rsidRDefault="00533750" w:rsidP="00231B70">
      <w:pPr>
        <w:ind w:left="720"/>
        <w:rPr>
          <w:sz w:val="20"/>
          <w:szCs w:val="20"/>
        </w:rPr>
      </w:pPr>
      <w:r w:rsidRPr="008F7400">
        <w:rPr>
          <w:sz w:val="20"/>
          <w:szCs w:val="20"/>
        </w:rPr>
        <w:t xml:space="preserve">Pedriana, Nicholas. </w:t>
      </w:r>
      <w:r w:rsidR="00C80E94" w:rsidRPr="008F7400">
        <w:rPr>
          <w:sz w:val="20"/>
          <w:szCs w:val="20"/>
        </w:rPr>
        <w:t>(</w:t>
      </w:r>
      <w:r w:rsidRPr="008F7400">
        <w:rPr>
          <w:sz w:val="20"/>
          <w:szCs w:val="20"/>
        </w:rPr>
        <w:t>2006</w:t>
      </w:r>
      <w:r w:rsidR="00C80E94" w:rsidRPr="008F7400">
        <w:rPr>
          <w:sz w:val="20"/>
          <w:szCs w:val="20"/>
        </w:rPr>
        <w:t>)</w:t>
      </w:r>
      <w:r w:rsidRPr="008F7400">
        <w:rPr>
          <w:sz w:val="20"/>
          <w:szCs w:val="20"/>
        </w:rPr>
        <w:t xml:space="preserve"> "From Protective to Equal Treatment: Legal Framing Processes and Transformation of the Women's Movement in the 1960s." </w:t>
      </w:r>
      <w:r w:rsidRPr="008F7400">
        <w:rPr>
          <w:i/>
          <w:sz w:val="20"/>
          <w:szCs w:val="20"/>
        </w:rPr>
        <w:t>American Journal of Sociology</w:t>
      </w:r>
      <w:r w:rsidRPr="008F7400">
        <w:rPr>
          <w:sz w:val="20"/>
          <w:szCs w:val="20"/>
        </w:rPr>
        <w:t xml:space="preserve"> 111:1718-1761.</w:t>
      </w:r>
    </w:p>
    <w:p w:rsidR="00F702DD" w:rsidRPr="008F7400" w:rsidRDefault="00F702DD" w:rsidP="00635C0D">
      <w:pPr>
        <w:rPr>
          <w:sz w:val="20"/>
          <w:szCs w:val="20"/>
        </w:rPr>
      </w:pPr>
    </w:p>
    <w:p w:rsidR="00231B70" w:rsidRPr="003D75A4" w:rsidRDefault="00231B70" w:rsidP="00231B70">
      <w:pPr>
        <w:ind w:left="720"/>
        <w:rPr>
          <w:sz w:val="20"/>
          <w:szCs w:val="20"/>
        </w:rPr>
      </w:pPr>
      <w:r w:rsidRPr="003D75A4">
        <w:rPr>
          <w:sz w:val="20"/>
          <w:szCs w:val="20"/>
          <w:u w:val="single"/>
        </w:rPr>
        <w:t>Background</w:t>
      </w:r>
      <w:r w:rsidRPr="003D75A4">
        <w:rPr>
          <w:sz w:val="20"/>
          <w:szCs w:val="20"/>
        </w:rPr>
        <w:t>:</w:t>
      </w:r>
    </w:p>
    <w:p w:rsidR="00231B70" w:rsidRPr="008F7400" w:rsidRDefault="00231B70" w:rsidP="00231B70">
      <w:pPr>
        <w:ind w:left="720"/>
        <w:rPr>
          <w:sz w:val="20"/>
          <w:szCs w:val="20"/>
        </w:rPr>
      </w:pPr>
      <w:r w:rsidRPr="008F7400">
        <w:rPr>
          <w:sz w:val="20"/>
          <w:szCs w:val="20"/>
        </w:rPr>
        <w:t xml:space="preserve">David Snow &amp; Robert Benford. (2000) “Framing Processes and Social Movements:  An Overview and Assessment.” </w:t>
      </w:r>
      <w:r w:rsidRPr="008F7400">
        <w:rPr>
          <w:i/>
          <w:sz w:val="20"/>
          <w:szCs w:val="20"/>
        </w:rPr>
        <w:t>Annual Review of Sociology</w:t>
      </w:r>
      <w:r w:rsidRPr="008F7400">
        <w:rPr>
          <w:sz w:val="20"/>
          <w:szCs w:val="20"/>
        </w:rPr>
        <w:t xml:space="preserve"> 26:611-639</w:t>
      </w:r>
    </w:p>
    <w:p w:rsidR="00F702DD" w:rsidRPr="008F7400" w:rsidRDefault="00F702DD" w:rsidP="00635C0D">
      <w:pPr>
        <w:rPr>
          <w:sz w:val="20"/>
          <w:szCs w:val="20"/>
        </w:rPr>
      </w:pPr>
    </w:p>
    <w:p w:rsidR="00F702DD" w:rsidRPr="008F7400" w:rsidRDefault="003E3F80" w:rsidP="00635C0D">
      <w:pPr>
        <w:rPr>
          <w:b/>
          <w:sz w:val="20"/>
          <w:szCs w:val="20"/>
        </w:rPr>
      </w:pPr>
      <w:r w:rsidRPr="008F7400">
        <w:rPr>
          <w:b/>
          <w:sz w:val="20"/>
          <w:szCs w:val="20"/>
        </w:rPr>
        <w:t>February 1</w:t>
      </w:r>
      <w:r w:rsidR="00231B70">
        <w:rPr>
          <w:b/>
          <w:sz w:val="20"/>
          <w:szCs w:val="20"/>
        </w:rPr>
        <w:t>1</w:t>
      </w:r>
      <w:r w:rsidRPr="008F7400">
        <w:rPr>
          <w:b/>
          <w:sz w:val="20"/>
          <w:szCs w:val="20"/>
          <w:vertAlign w:val="superscript"/>
        </w:rPr>
        <w:t>th</w:t>
      </w:r>
      <w:r w:rsidRPr="008F7400">
        <w:rPr>
          <w:b/>
          <w:sz w:val="20"/>
          <w:szCs w:val="20"/>
        </w:rPr>
        <w:t xml:space="preserve"> – COLLECTIVE IDENTITY AND OPPOSITIONAL CONSCIOUSNESS</w:t>
      </w:r>
    </w:p>
    <w:p w:rsidR="00533750" w:rsidRPr="008F7400" w:rsidRDefault="00533750" w:rsidP="00533750">
      <w:pPr>
        <w:ind w:left="720"/>
        <w:rPr>
          <w:sz w:val="20"/>
          <w:szCs w:val="20"/>
        </w:rPr>
      </w:pPr>
      <w:r w:rsidRPr="008F7400">
        <w:rPr>
          <w:sz w:val="20"/>
          <w:szCs w:val="20"/>
        </w:rPr>
        <w:t xml:space="preserve">Bernstein, Mary. </w:t>
      </w:r>
      <w:r w:rsidR="00D51A38" w:rsidRPr="008F7400">
        <w:rPr>
          <w:sz w:val="20"/>
          <w:szCs w:val="20"/>
        </w:rPr>
        <w:t>(</w:t>
      </w:r>
      <w:r w:rsidRPr="008F7400">
        <w:rPr>
          <w:sz w:val="20"/>
          <w:szCs w:val="20"/>
        </w:rPr>
        <w:t>1997</w:t>
      </w:r>
      <w:r w:rsidR="00D51A38" w:rsidRPr="008F7400">
        <w:rPr>
          <w:sz w:val="20"/>
          <w:szCs w:val="20"/>
        </w:rPr>
        <w:t>)</w:t>
      </w:r>
      <w:r w:rsidRPr="008F7400">
        <w:rPr>
          <w:sz w:val="20"/>
          <w:szCs w:val="20"/>
        </w:rPr>
        <w:t xml:space="preserve"> "Celebration and Suppression: The Strategic Uses of Identity by the Lesbian and Gay Movement." </w:t>
      </w:r>
      <w:r w:rsidRPr="008F7400">
        <w:rPr>
          <w:i/>
          <w:sz w:val="20"/>
          <w:szCs w:val="20"/>
        </w:rPr>
        <w:t>American Journal of Sociology</w:t>
      </w:r>
      <w:r w:rsidRPr="008F7400">
        <w:rPr>
          <w:sz w:val="20"/>
          <w:szCs w:val="20"/>
        </w:rPr>
        <w:t xml:space="preserve"> 103:531–65.</w:t>
      </w:r>
      <w:r w:rsidR="00231B70">
        <w:rPr>
          <w:sz w:val="20"/>
          <w:szCs w:val="20"/>
        </w:rPr>
        <w:t xml:space="preserve"> [excerpt from reader]</w:t>
      </w:r>
    </w:p>
    <w:p w:rsidR="00533750" w:rsidRPr="008F7400" w:rsidRDefault="00533750" w:rsidP="00533750">
      <w:pPr>
        <w:ind w:left="720"/>
        <w:rPr>
          <w:sz w:val="20"/>
          <w:szCs w:val="20"/>
        </w:rPr>
      </w:pPr>
    </w:p>
    <w:p w:rsidR="00533750" w:rsidRPr="008F7400" w:rsidRDefault="00533750" w:rsidP="00533750">
      <w:pPr>
        <w:ind w:left="720"/>
        <w:rPr>
          <w:sz w:val="20"/>
          <w:szCs w:val="20"/>
        </w:rPr>
      </w:pPr>
      <w:r w:rsidRPr="008F7400">
        <w:rPr>
          <w:sz w:val="20"/>
          <w:szCs w:val="20"/>
        </w:rPr>
        <w:t xml:space="preserve">Aldon Morris &amp; Naomi Braine. </w:t>
      </w:r>
      <w:r w:rsidR="00D51A38" w:rsidRPr="008F7400">
        <w:rPr>
          <w:sz w:val="20"/>
          <w:szCs w:val="20"/>
        </w:rPr>
        <w:t>(</w:t>
      </w:r>
      <w:r w:rsidRPr="008F7400">
        <w:rPr>
          <w:sz w:val="20"/>
          <w:szCs w:val="20"/>
        </w:rPr>
        <w:t>2001</w:t>
      </w:r>
      <w:r w:rsidR="00D51A38" w:rsidRPr="008F7400">
        <w:rPr>
          <w:sz w:val="20"/>
          <w:szCs w:val="20"/>
        </w:rPr>
        <w:t>)</w:t>
      </w:r>
      <w:r w:rsidRPr="008F7400">
        <w:rPr>
          <w:sz w:val="20"/>
          <w:szCs w:val="20"/>
        </w:rPr>
        <w:t xml:space="preserve">  “Social Movements and Oppositional Consciousness,” pp. 20-37 in </w:t>
      </w:r>
      <w:r w:rsidRPr="008F7400">
        <w:rPr>
          <w:i/>
          <w:sz w:val="20"/>
          <w:szCs w:val="20"/>
        </w:rPr>
        <w:t>Oppositional Consciousness:  The Subjective Roots of Social Protest</w:t>
      </w:r>
      <w:r w:rsidRPr="008F7400">
        <w:rPr>
          <w:sz w:val="20"/>
          <w:szCs w:val="20"/>
        </w:rPr>
        <w:t>, edited by Jane Mansbridge and Aldon Morris, University of Chicago Press.</w:t>
      </w:r>
    </w:p>
    <w:p w:rsidR="00533750" w:rsidRPr="008F7400" w:rsidRDefault="00533750" w:rsidP="00533750">
      <w:pPr>
        <w:ind w:left="720"/>
        <w:rPr>
          <w:sz w:val="20"/>
          <w:szCs w:val="20"/>
        </w:rPr>
      </w:pPr>
    </w:p>
    <w:p w:rsidR="00ED7E22" w:rsidRPr="008F7400" w:rsidRDefault="00533750" w:rsidP="00533750">
      <w:pPr>
        <w:ind w:left="720"/>
        <w:rPr>
          <w:sz w:val="20"/>
          <w:szCs w:val="20"/>
        </w:rPr>
      </w:pPr>
      <w:r w:rsidRPr="008F7400">
        <w:rPr>
          <w:sz w:val="20"/>
          <w:szCs w:val="20"/>
        </w:rPr>
        <w:t xml:space="preserve">Levitsky, Sandra. </w:t>
      </w:r>
      <w:r w:rsidR="00D51A38" w:rsidRPr="008F7400">
        <w:rPr>
          <w:sz w:val="20"/>
          <w:szCs w:val="20"/>
        </w:rPr>
        <w:t>(</w:t>
      </w:r>
      <w:r w:rsidRPr="008F7400">
        <w:rPr>
          <w:sz w:val="20"/>
          <w:szCs w:val="20"/>
        </w:rPr>
        <w:t>2008</w:t>
      </w:r>
      <w:r w:rsidR="00D51A38" w:rsidRPr="008F7400">
        <w:rPr>
          <w:sz w:val="20"/>
          <w:szCs w:val="20"/>
        </w:rPr>
        <w:t>) " ‘What Rights?’</w:t>
      </w:r>
      <w:r w:rsidRPr="008F7400">
        <w:rPr>
          <w:sz w:val="20"/>
          <w:szCs w:val="20"/>
        </w:rPr>
        <w:t xml:space="preserve">  The Construction of Political Claims to American Health Care Entitlements." </w:t>
      </w:r>
      <w:r w:rsidRPr="008F7400">
        <w:rPr>
          <w:i/>
          <w:sz w:val="20"/>
          <w:szCs w:val="20"/>
        </w:rPr>
        <w:t>Law &amp; Society Review</w:t>
      </w:r>
      <w:r w:rsidRPr="008F7400">
        <w:rPr>
          <w:sz w:val="20"/>
          <w:szCs w:val="20"/>
        </w:rPr>
        <w:t xml:space="preserve"> 42:551</w:t>
      </w:r>
      <w:r w:rsidR="00ED7E22" w:rsidRPr="008F7400">
        <w:rPr>
          <w:sz w:val="20"/>
          <w:szCs w:val="20"/>
        </w:rPr>
        <w:t>-590.</w:t>
      </w:r>
    </w:p>
    <w:p w:rsidR="007A1DB6" w:rsidRDefault="007A1DB6" w:rsidP="00231B70">
      <w:pPr>
        <w:ind w:left="720"/>
        <w:rPr>
          <w:b/>
          <w:sz w:val="20"/>
          <w:szCs w:val="20"/>
          <w:u w:val="single"/>
        </w:rPr>
      </w:pPr>
    </w:p>
    <w:p w:rsidR="00231B70" w:rsidRPr="003D75A4" w:rsidRDefault="00231B70" w:rsidP="00231B70">
      <w:pPr>
        <w:ind w:left="720"/>
        <w:rPr>
          <w:sz w:val="20"/>
          <w:szCs w:val="20"/>
          <w:u w:val="single"/>
        </w:rPr>
      </w:pPr>
      <w:r w:rsidRPr="003D75A4">
        <w:rPr>
          <w:sz w:val="20"/>
          <w:szCs w:val="20"/>
          <w:u w:val="single"/>
        </w:rPr>
        <w:t>Background:</w:t>
      </w:r>
    </w:p>
    <w:p w:rsidR="00231B70" w:rsidRPr="008F7400" w:rsidRDefault="00231B70" w:rsidP="00231B70">
      <w:pPr>
        <w:ind w:left="720"/>
        <w:rPr>
          <w:sz w:val="20"/>
          <w:szCs w:val="20"/>
        </w:rPr>
      </w:pPr>
      <w:r w:rsidRPr="008F7400">
        <w:rPr>
          <w:sz w:val="20"/>
          <w:szCs w:val="20"/>
        </w:rPr>
        <w:t xml:space="preserve">Francesca Polletta and James M. Jasper. (2001) “Collective Identity and Social Movements.” </w:t>
      </w:r>
      <w:r w:rsidRPr="008F7400">
        <w:rPr>
          <w:i/>
          <w:sz w:val="20"/>
          <w:szCs w:val="20"/>
        </w:rPr>
        <w:t>Annual Review of Sociology</w:t>
      </w:r>
      <w:r w:rsidRPr="008F7400">
        <w:rPr>
          <w:sz w:val="20"/>
          <w:szCs w:val="20"/>
        </w:rPr>
        <w:t xml:space="preserve"> 27:283-305.</w:t>
      </w:r>
    </w:p>
    <w:p w:rsidR="00F43F81" w:rsidRDefault="00F43F81" w:rsidP="00635C0D">
      <w:pPr>
        <w:rPr>
          <w:b/>
          <w:sz w:val="20"/>
          <w:szCs w:val="20"/>
        </w:rPr>
      </w:pPr>
    </w:p>
    <w:p w:rsidR="00F43F81" w:rsidRPr="008F7400" w:rsidRDefault="00F43F81" w:rsidP="00635C0D">
      <w:pPr>
        <w:rPr>
          <w:b/>
          <w:sz w:val="20"/>
          <w:szCs w:val="20"/>
        </w:rPr>
      </w:pPr>
    </w:p>
    <w:p w:rsidR="003D75A4" w:rsidRDefault="003D75A4">
      <w:pPr>
        <w:rPr>
          <w:b/>
          <w:sz w:val="20"/>
          <w:szCs w:val="20"/>
        </w:rPr>
      </w:pPr>
      <w:r>
        <w:rPr>
          <w:b/>
          <w:sz w:val="20"/>
          <w:szCs w:val="20"/>
        </w:rPr>
        <w:br w:type="page"/>
      </w:r>
    </w:p>
    <w:p w:rsidR="00E10C64" w:rsidRPr="008F7400" w:rsidRDefault="00231B70" w:rsidP="00635C0D">
      <w:pPr>
        <w:rPr>
          <w:b/>
          <w:sz w:val="20"/>
          <w:szCs w:val="20"/>
        </w:rPr>
      </w:pPr>
      <w:r>
        <w:rPr>
          <w:b/>
          <w:sz w:val="20"/>
          <w:szCs w:val="20"/>
        </w:rPr>
        <w:t>February 18th</w:t>
      </w:r>
      <w:r w:rsidR="003E3F80" w:rsidRPr="008F7400">
        <w:rPr>
          <w:b/>
          <w:sz w:val="20"/>
          <w:szCs w:val="20"/>
        </w:rPr>
        <w:t xml:space="preserve"> – RIGHTS CONSCIOUSNESS, RESISTANCE, AND HEGEMONY</w:t>
      </w:r>
    </w:p>
    <w:p w:rsidR="00376EB2" w:rsidRDefault="00376EB2" w:rsidP="00376EB2">
      <w:pPr>
        <w:ind w:left="720"/>
        <w:rPr>
          <w:sz w:val="20"/>
          <w:szCs w:val="20"/>
        </w:rPr>
      </w:pPr>
      <w:r>
        <w:rPr>
          <w:sz w:val="20"/>
          <w:szCs w:val="20"/>
        </w:rPr>
        <w:t>Introductio</w:t>
      </w:r>
      <w:r w:rsidR="007A1DB6">
        <w:rPr>
          <w:sz w:val="20"/>
          <w:szCs w:val="20"/>
        </w:rPr>
        <w:t>n: What Do Social Movements Do?</w:t>
      </w:r>
      <w:r>
        <w:rPr>
          <w:sz w:val="20"/>
          <w:szCs w:val="20"/>
        </w:rPr>
        <w:t xml:space="preserve"> pp. 221-224 in </w:t>
      </w:r>
      <w:r>
        <w:rPr>
          <w:i/>
          <w:sz w:val="20"/>
          <w:szCs w:val="20"/>
        </w:rPr>
        <w:t>The Social Movements Reader:  Cases and Concepts</w:t>
      </w:r>
      <w:r>
        <w:rPr>
          <w:sz w:val="20"/>
          <w:szCs w:val="20"/>
        </w:rPr>
        <w:t xml:space="preserve"> (Goodwin &amp; Jasper eds.).  Blackwell Publishing (2004).  </w:t>
      </w:r>
    </w:p>
    <w:p w:rsidR="00376EB2" w:rsidRDefault="00376EB2" w:rsidP="00495EA5">
      <w:pPr>
        <w:ind w:left="720"/>
        <w:rPr>
          <w:sz w:val="20"/>
          <w:szCs w:val="20"/>
        </w:rPr>
      </w:pPr>
    </w:p>
    <w:p w:rsidR="00495EA5" w:rsidRDefault="00231B70" w:rsidP="00495EA5">
      <w:pPr>
        <w:ind w:left="720"/>
        <w:rPr>
          <w:sz w:val="20"/>
          <w:szCs w:val="20"/>
        </w:rPr>
      </w:pPr>
      <w:r>
        <w:rPr>
          <w:sz w:val="20"/>
          <w:szCs w:val="20"/>
        </w:rPr>
        <w:t xml:space="preserve">Saul D. Alinsky, Protest Tactics (from </w:t>
      </w:r>
      <w:r>
        <w:rPr>
          <w:i/>
          <w:sz w:val="20"/>
          <w:szCs w:val="20"/>
        </w:rPr>
        <w:t>Rules for Radicals</w:t>
      </w:r>
      <w:r w:rsidR="00376EB2">
        <w:rPr>
          <w:sz w:val="20"/>
          <w:szCs w:val="20"/>
        </w:rPr>
        <w:t>), pp. 225-228</w:t>
      </w:r>
      <w:r>
        <w:rPr>
          <w:sz w:val="20"/>
          <w:szCs w:val="20"/>
        </w:rPr>
        <w:t xml:space="preserve"> in </w:t>
      </w:r>
      <w:r>
        <w:rPr>
          <w:i/>
          <w:sz w:val="20"/>
          <w:szCs w:val="20"/>
        </w:rPr>
        <w:t>The Social Movements Reader:  Cases and Concepts</w:t>
      </w:r>
      <w:r>
        <w:rPr>
          <w:sz w:val="20"/>
          <w:szCs w:val="20"/>
        </w:rPr>
        <w:t xml:space="preserve"> (Goodwin &amp; Jasper eds.).  Blackwell Publishing (2004).  </w:t>
      </w:r>
    </w:p>
    <w:p w:rsidR="00231B70" w:rsidRDefault="00231B70" w:rsidP="00495EA5">
      <w:pPr>
        <w:ind w:left="720"/>
        <w:rPr>
          <w:sz w:val="20"/>
          <w:szCs w:val="20"/>
        </w:rPr>
      </w:pPr>
    </w:p>
    <w:p w:rsidR="00231B70" w:rsidRDefault="00231B70" w:rsidP="00376EB2">
      <w:pPr>
        <w:ind w:left="720"/>
        <w:rPr>
          <w:sz w:val="20"/>
          <w:szCs w:val="20"/>
        </w:rPr>
      </w:pPr>
      <w:r>
        <w:rPr>
          <w:sz w:val="20"/>
          <w:szCs w:val="20"/>
        </w:rPr>
        <w:t>Aldon Morris</w:t>
      </w:r>
      <w:r w:rsidR="00376EB2">
        <w:rPr>
          <w:sz w:val="20"/>
          <w:szCs w:val="20"/>
        </w:rPr>
        <w:t xml:space="preserve">, Tactical Innovation in the Civil Rights Movement (from </w:t>
      </w:r>
      <w:r w:rsidR="00376EB2">
        <w:rPr>
          <w:i/>
          <w:sz w:val="20"/>
          <w:szCs w:val="20"/>
        </w:rPr>
        <w:t>The Origins of the Civil Rights Movement</w:t>
      </w:r>
      <w:r w:rsidR="00376EB2">
        <w:rPr>
          <w:sz w:val="20"/>
          <w:szCs w:val="20"/>
        </w:rPr>
        <w:t>), pp. 229-233</w:t>
      </w:r>
      <w:r w:rsidR="00376EB2" w:rsidRPr="00376EB2">
        <w:rPr>
          <w:sz w:val="20"/>
          <w:szCs w:val="20"/>
        </w:rPr>
        <w:t xml:space="preserve"> </w:t>
      </w:r>
      <w:r w:rsidR="00376EB2">
        <w:rPr>
          <w:sz w:val="20"/>
          <w:szCs w:val="20"/>
        </w:rPr>
        <w:t xml:space="preserve">in </w:t>
      </w:r>
      <w:r w:rsidR="00376EB2">
        <w:rPr>
          <w:i/>
          <w:sz w:val="20"/>
          <w:szCs w:val="20"/>
        </w:rPr>
        <w:t>The Social Movements Reader:  Cases and Concepts</w:t>
      </w:r>
      <w:r w:rsidR="00376EB2">
        <w:rPr>
          <w:sz w:val="20"/>
          <w:szCs w:val="20"/>
        </w:rPr>
        <w:t xml:space="preserve"> (Goodwin &amp; Jasper eds.).  Blackwell Publishing (2004).  </w:t>
      </w:r>
    </w:p>
    <w:p w:rsidR="00376EB2" w:rsidRPr="00376EB2" w:rsidRDefault="00376EB2" w:rsidP="00376EB2">
      <w:pPr>
        <w:ind w:left="720"/>
        <w:rPr>
          <w:sz w:val="20"/>
          <w:szCs w:val="20"/>
        </w:rPr>
      </w:pPr>
    </w:p>
    <w:p w:rsidR="00231B70" w:rsidRPr="008F7400" w:rsidRDefault="00231B70" w:rsidP="00231B70">
      <w:pPr>
        <w:ind w:left="720"/>
        <w:rPr>
          <w:sz w:val="20"/>
          <w:szCs w:val="20"/>
        </w:rPr>
      </w:pPr>
      <w:r w:rsidRPr="008F7400">
        <w:rPr>
          <w:sz w:val="20"/>
          <w:szCs w:val="20"/>
        </w:rPr>
        <w:t xml:space="preserve">James C. Scott. (1985) </w:t>
      </w:r>
      <w:r w:rsidRPr="008F7400">
        <w:rPr>
          <w:i/>
          <w:sz w:val="20"/>
          <w:szCs w:val="20"/>
        </w:rPr>
        <w:t>Weapons of the Weak: Everyday Forms of Resistance</w:t>
      </w:r>
      <w:r w:rsidRPr="008F7400">
        <w:rPr>
          <w:sz w:val="20"/>
          <w:szCs w:val="20"/>
        </w:rPr>
        <w:t>, Chapter 2. Yale University Press.</w:t>
      </w:r>
    </w:p>
    <w:p w:rsidR="00231B70" w:rsidRDefault="00231B70" w:rsidP="00495EA5">
      <w:pPr>
        <w:ind w:left="720"/>
        <w:rPr>
          <w:sz w:val="20"/>
          <w:szCs w:val="20"/>
        </w:rPr>
      </w:pPr>
    </w:p>
    <w:p w:rsidR="00495EA5" w:rsidRPr="008F7400" w:rsidRDefault="00495EA5" w:rsidP="00495EA5">
      <w:pPr>
        <w:ind w:left="720"/>
        <w:rPr>
          <w:sz w:val="20"/>
          <w:szCs w:val="20"/>
        </w:rPr>
      </w:pPr>
      <w:r w:rsidRPr="008F7400">
        <w:rPr>
          <w:sz w:val="20"/>
          <w:szCs w:val="20"/>
        </w:rPr>
        <w:t xml:space="preserve">Patricia Ewick </w:t>
      </w:r>
      <w:r w:rsidR="00D75DED" w:rsidRPr="008F7400">
        <w:rPr>
          <w:sz w:val="20"/>
          <w:szCs w:val="20"/>
        </w:rPr>
        <w:t xml:space="preserve">&amp; </w:t>
      </w:r>
      <w:r w:rsidRPr="008F7400">
        <w:rPr>
          <w:sz w:val="20"/>
          <w:szCs w:val="20"/>
        </w:rPr>
        <w:t>Susan Silbey</w:t>
      </w:r>
      <w:r w:rsidR="00D75DED" w:rsidRPr="008F7400">
        <w:rPr>
          <w:sz w:val="20"/>
          <w:szCs w:val="20"/>
        </w:rPr>
        <w:t xml:space="preserve">.  (2003) </w:t>
      </w:r>
      <w:r w:rsidRPr="008F7400">
        <w:rPr>
          <w:sz w:val="20"/>
          <w:szCs w:val="20"/>
        </w:rPr>
        <w:t xml:space="preserve"> </w:t>
      </w:r>
      <w:r w:rsidR="00D75DED" w:rsidRPr="008F7400">
        <w:rPr>
          <w:sz w:val="20"/>
          <w:szCs w:val="20"/>
        </w:rPr>
        <w:t>“</w:t>
      </w:r>
      <w:r w:rsidRPr="008F7400">
        <w:rPr>
          <w:sz w:val="20"/>
          <w:szCs w:val="20"/>
        </w:rPr>
        <w:t>Narrating Social Structure: Stories of Resistance to Legal Authority</w:t>
      </w:r>
      <w:r w:rsidR="00D75DED" w:rsidRPr="008F7400">
        <w:rPr>
          <w:sz w:val="20"/>
          <w:szCs w:val="20"/>
        </w:rPr>
        <w:t>.”</w:t>
      </w:r>
      <w:r w:rsidRPr="008F7400">
        <w:rPr>
          <w:sz w:val="20"/>
          <w:szCs w:val="20"/>
        </w:rPr>
        <w:t xml:space="preserve"> </w:t>
      </w:r>
      <w:r w:rsidR="00D75DED" w:rsidRPr="008F7400">
        <w:rPr>
          <w:i/>
          <w:sz w:val="20"/>
          <w:szCs w:val="20"/>
        </w:rPr>
        <w:t xml:space="preserve">American Journal of Sociology </w:t>
      </w:r>
      <w:r w:rsidRPr="008F7400">
        <w:rPr>
          <w:sz w:val="20"/>
          <w:szCs w:val="20"/>
        </w:rPr>
        <w:t>108</w:t>
      </w:r>
      <w:r w:rsidR="00D75DED" w:rsidRPr="008F7400">
        <w:rPr>
          <w:smallCaps/>
          <w:sz w:val="20"/>
          <w:szCs w:val="20"/>
        </w:rPr>
        <w:t>:</w:t>
      </w:r>
      <w:r w:rsidR="007B1185" w:rsidRPr="008F7400">
        <w:rPr>
          <w:sz w:val="20"/>
          <w:szCs w:val="20"/>
        </w:rPr>
        <w:t>1328-1372.</w:t>
      </w:r>
    </w:p>
    <w:p w:rsidR="00495EA5" w:rsidRPr="008F7400" w:rsidRDefault="00495EA5" w:rsidP="00495EA5">
      <w:pPr>
        <w:ind w:left="720"/>
        <w:rPr>
          <w:sz w:val="20"/>
          <w:szCs w:val="20"/>
        </w:rPr>
      </w:pPr>
    </w:p>
    <w:p w:rsidR="00AF59F7" w:rsidRDefault="00231B70" w:rsidP="00376EB2">
      <w:pPr>
        <w:ind w:left="720"/>
        <w:rPr>
          <w:b/>
          <w:sz w:val="20"/>
          <w:szCs w:val="20"/>
        </w:rPr>
      </w:pPr>
      <w:r w:rsidRPr="008F7400">
        <w:rPr>
          <w:sz w:val="20"/>
          <w:szCs w:val="20"/>
        </w:rPr>
        <w:t xml:space="preserve">Alan Hunt. (1990) “Rights and Social Movements: Counter-Hegemonic Strategies.” </w:t>
      </w:r>
      <w:r w:rsidRPr="008F7400">
        <w:rPr>
          <w:i/>
          <w:sz w:val="20"/>
          <w:szCs w:val="20"/>
        </w:rPr>
        <w:t xml:space="preserve">Journal of Law &amp; Society </w:t>
      </w:r>
      <w:r w:rsidRPr="008F7400">
        <w:rPr>
          <w:sz w:val="20"/>
          <w:szCs w:val="20"/>
        </w:rPr>
        <w:t>17:309-328.</w:t>
      </w:r>
    </w:p>
    <w:p w:rsidR="00AF59F7" w:rsidRDefault="00AF59F7" w:rsidP="00376EB2">
      <w:pPr>
        <w:ind w:left="720"/>
        <w:rPr>
          <w:b/>
          <w:sz w:val="20"/>
          <w:szCs w:val="20"/>
        </w:rPr>
      </w:pPr>
    </w:p>
    <w:p w:rsidR="003D75A4" w:rsidRDefault="003D75A4" w:rsidP="00376EB2">
      <w:pPr>
        <w:ind w:left="720"/>
        <w:rPr>
          <w:b/>
          <w:sz w:val="20"/>
          <w:szCs w:val="20"/>
        </w:rPr>
      </w:pPr>
    </w:p>
    <w:p w:rsidR="00E10C64" w:rsidRPr="00376EB2" w:rsidRDefault="00E10C64" w:rsidP="00AF59F7">
      <w:pPr>
        <w:rPr>
          <w:sz w:val="20"/>
          <w:szCs w:val="20"/>
        </w:rPr>
      </w:pPr>
      <w:r w:rsidRPr="008F7400">
        <w:rPr>
          <w:b/>
          <w:sz w:val="20"/>
          <w:szCs w:val="20"/>
        </w:rPr>
        <w:t>III.</w:t>
      </w:r>
      <w:r w:rsidRPr="008F7400">
        <w:rPr>
          <w:b/>
          <w:sz w:val="20"/>
          <w:szCs w:val="20"/>
        </w:rPr>
        <w:tab/>
        <w:t>LAW’S EFFECTS ON SOCIAL MOVEMENTS</w:t>
      </w:r>
    </w:p>
    <w:p w:rsidR="00752D15" w:rsidRPr="008F7400" w:rsidRDefault="00752D15" w:rsidP="009441AA">
      <w:pPr>
        <w:rPr>
          <w:b/>
          <w:sz w:val="20"/>
          <w:szCs w:val="20"/>
        </w:rPr>
      </w:pPr>
    </w:p>
    <w:p w:rsidR="0078309E" w:rsidRPr="008F7400" w:rsidRDefault="0078309E" w:rsidP="0078309E">
      <w:pPr>
        <w:rPr>
          <w:b/>
          <w:sz w:val="20"/>
          <w:szCs w:val="20"/>
        </w:rPr>
      </w:pPr>
      <w:r w:rsidRPr="008F7400">
        <w:rPr>
          <w:b/>
          <w:sz w:val="20"/>
          <w:szCs w:val="20"/>
        </w:rPr>
        <w:t>Central Questions in This Unit</w:t>
      </w:r>
    </w:p>
    <w:p w:rsidR="0078309E" w:rsidRPr="00F43F81" w:rsidRDefault="0078309E" w:rsidP="009441AA">
      <w:pPr>
        <w:pStyle w:val="ListParagraph"/>
        <w:numPr>
          <w:ilvl w:val="0"/>
          <w:numId w:val="8"/>
        </w:numPr>
        <w:rPr>
          <w:sz w:val="20"/>
          <w:szCs w:val="20"/>
        </w:rPr>
      </w:pPr>
      <w:r w:rsidRPr="00F43F81">
        <w:rPr>
          <w:sz w:val="20"/>
          <w:szCs w:val="20"/>
        </w:rPr>
        <w:t xml:space="preserve">Is law always the target, or </w:t>
      </w:r>
      <w:r w:rsidR="00130565" w:rsidRPr="00F43F81">
        <w:rPr>
          <w:sz w:val="20"/>
          <w:szCs w:val="20"/>
        </w:rPr>
        <w:t>“</w:t>
      </w:r>
      <w:r w:rsidRPr="00F43F81">
        <w:rPr>
          <w:sz w:val="20"/>
          <w:szCs w:val="20"/>
        </w:rPr>
        <w:t>dependent variable</w:t>
      </w:r>
      <w:r w:rsidR="00130565" w:rsidRPr="00F43F81">
        <w:rPr>
          <w:sz w:val="20"/>
          <w:szCs w:val="20"/>
        </w:rPr>
        <w:t>”</w:t>
      </w:r>
      <w:r w:rsidRPr="00F43F81">
        <w:rPr>
          <w:sz w:val="20"/>
          <w:szCs w:val="20"/>
        </w:rPr>
        <w:t>, in the study of social movement</w:t>
      </w:r>
      <w:r w:rsidR="00130565" w:rsidRPr="00F43F81">
        <w:rPr>
          <w:sz w:val="20"/>
          <w:szCs w:val="20"/>
        </w:rPr>
        <w:t>s</w:t>
      </w:r>
      <w:r w:rsidRPr="00F43F81">
        <w:rPr>
          <w:sz w:val="20"/>
          <w:szCs w:val="20"/>
        </w:rPr>
        <w:t xml:space="preserve"> and law?  In what ways can the direction of influence run the other way?</w:t>
      </w:r>
    </w:p>
    <w:p w:rsidR="0078309E" w:rsidRPr="00F43F81" w:rsidRDefault="00875EF4" w:rsidP="009441AA">
      <w:pPr>
        <w:pStyle w:val="ListParagraph"/>
        <w:numPr>
          <w:ilvl w:val="0"/>
          <w:numId w:val="8"/>
        </w:numPr>
        <w:rPr>
          <w:sz w:val="20"/>
          <w:szCs w:val="20"/>
        </w:rPr>
      </w:pPr>
      <w:r w:rsidRPr="00F43F81">
        <w:rPr>
          <w:sz w:val="20"/>
          <w:szCs w:val="20"/>
        </w:rPr>
        <w:t xml:space="preserve">How do legal strategies affect social movements?  </w:t>
      </w:r>
      <w:r w:rsidR="0078309E" w:rsidRPr="00F43F81">
        <w:rPr>
          <w:sz w:val="20"/>
          <w:szCs w:val="20"/>
        </w:rPr>
        <w:t>Under what conditions can legal strategies or law encourage mobilization of social actors?  What are the benefits of legal strategies for social movements?</w:t>
      </w:r>
    </w:p>
    <w:p w:rsidR="007724B8" w:rsidRPr="00F43F81" w:rsidRDefault="003E3F80" w:rsidP="009441AA">
      <w:pPr>
        <w:pStyle w:val="ListParagraph"/>
        <w:numPr>
          <w:ilvl w:val="0"/>
          <w:numId w:val="8"/>
        </w:numPr>
        <w:rPr>
          <w:sz w:val="20"/>
          <w:szCs w:val="20"/>
        </w:rPr>
      </w:pPr>
      <w:r w:rsidRPr="00F43F81">
        <w:rPr>
          <w:sz w:val="20"/>
          <w:szCs w:val="20"/>
        </w:rPr>
        <w:t xml:space="preserve">Are </w:t>
      </w:r>
      <w:r w:rsidR="0078309E" w:rsidRPr="00F43F81">
        <w:rPr>
          <w:sz w:val="20"/>
          <w:szCs w:val="20"/>
        </w:rPr>
        <w:t xml:space="preserve">the </w:t>
      </w:r>
      <w:r w:rsidRPr="00F43F81">
        <w:rPr>
          <w:sz w:val="20"/>
          <w:szCs w:val="20"/>
        </w:rPr>
        <w:t xml:space="preserve">effects </w:t>
      </w:r>
      <w:r w:rsidR="0078309E" w:rsidRPr="00F43F81">
        <w:rPr>
          <w:sz w:val="20"/>
          <w:szCs w:val="20"/>
        </w:rPr>
        <w:t xml:space="preserve">of law </w:t>
      </w:r>
      <w:r w:rsidRPr="00F43F81">
        <w:rPr>
          <w:sz w:val="20"/>
          <w:szCs w:val="20"/>
        </w:rPr>
        <w:t xml:space="preserve">always positive?  </w:t>
      </w:r>
      <w:r w:rsidR="0078309E" w:rsidRPr="00F43F81">
        <w:rPr>
          <w:sz w:val="20"/>
          <w:szCs w:val="20"/>
        </w:rPr>
        <w:t>What a</w:t>
      </w:r>
      <w:r w:rsidRPr="00F43F81">
        <w:rPr>
          <w:sz w:val="20"/>
          <w:szCs w:val="20"/>
        </w:rPr>
        <w:t xml:space="preserve">re </w:t>
      </w:r>
      <w:r w:rsidR="0078309E" w:rsidRPr="00F43F81">
        <w:rPr>
          <w:sz w:val="20"/>
          <w:szCs w:val="20"/>
        </w:rPr>
        <w:t xml:space="preserve">the possible </w:t>
      </w:r>
      <w:r w:rsidRPr="00F43F81">
        <w:rPr>
          <w:sz w:val="20"/>
          <w:szCs w:val="20"/>
        </w:rPr>
        <w:t xml:space="preserve">unintended consequences </w:t>
      </w:r>
      <w:r w:rsidR="0078309E" w:rsidRPr="00F43F81">
        <w:rPr>
          <w:sz w:val="20"/>
          <w:szCs w:val="20"/>
        </w:rPr>
        <w:t xml:space="preserve">for social movements </w:t>
      </w:r>
      <w:r w:rsidRPr="00F43F81">
        <w:rPr>
          <w:sz w:val="20"/>
          <w:szCs w:val="20"/>
        </w:rPr>
        <w:t xml:space="preserve">of using legal strategies?  </w:t>
      </w:r>
    </w:p>
    <w:p w:rsidR="0078309E" w:rsidRPr="00F43F81" w:rsidRDefault="007724B8" w:rsidP="009441AA">
      <w:pPr>
        <w:pStyle w:val="ListParagraph"/>
        <w:numPr>
          <w:ilvl w:val="0"/>
          <w:numId w:val="8"/>
        </w:numPr>
        <w:rPr>
          <w:sz w:val="20"/>
          <w:szCs w:val="20"/>
        </w:rPr>
      </w:pPr>
      <w:r w:rsidRPr="00F43F81">
        <w:rPr>
          <w:sz w:val="20"/>
          <w:szCs w:val="20"/>
        </w:rPr>
        <w:t>How does law shape the form of collection action or the claims advanced by social movements?</w:t>
      </w:r>
    </w:p>
    <w:p w:rsidR="0078309E" w:rsidRPr="00F43F81" w:rsidRDefault="0078309E" w:rsidP="009441AA">
      <w:pPr>
        <w:pStyle w:val="ListParagraph"/>
        <w:numPr>
          <w:ilvl w:val="0"/>
          <w:numId w:val="8"/>
        </w:numPr>
        <w:rPr>
          <w:sz w:val="20"/>
          <w:szCs w:val="20"/>
        </w:rPr>
      </w:pPr>
      <w:r w:rsidRPr="00F43F81">
        <w:rPr>
          <w:sz w:val="20"/>
          <w:szCs w:val="20"/>
        </w:rPr>
        <w:t>What is the relationship between law and social control of social movements?</w:t>
      </w:r>
    </w:p>
    <w:p w:rsidR="00F43F81" w:rsidRPr="00F43F81" w:rsidRDefault="003E3F80" w:rsidP="009441AA">
      <w:pPr>
        <w:pStyle w:val="ListParagraph"/>
        <w:numPr>
          <w:ilvl w:val="0"/>
          <w:numId w:val="8"/>
        </w:numPr>
        <w:rPr>
          <w:sz w:val="20"/>
          <w:szCs w:val="20"/>
        </w:rPr>
      </w:pPr>
      <w:r w:rsidRPr="00F43F81">
        <w:rPr>
          <w:sz w:val="20"/>
          <w:szCs w:val="20"/>
        </w:rPr>
        <w:t>What are the implications of legal strategies for intra-movement politics and power?</w:t>
      </w:r>
      <w:r w:rsidR="0078309E" w:rsidRPr="00F43F81">
        <w:rPr>
          <w:sz w:val="20"/>
          <w:szCs w:val="20"/>
        </w:rPr>
        <w:t xml:space="preserve">  For counter-mobilization and/or backlash against the movement?</w:t>
      </w:r>
    </w:p>
    <w:p w:rsidR="00F43F81" w:rsidRPr="00F43F81" w:rsidRDefault="00F43F81" w:rsidP="00F43F81">
      <w:pPr>
        <w:pStyle w:val="ListParagraph"/>
        <w:numPr>
          <w:ilvl w:val="0"/>
          <w:numId w:val="8"/>
        </w:numPr>
        <w:rPr>
          <w:sz w:val="20"/>
          <w:szCs w:val="20"/>
        </w:rPr>
      </w:pPr>
      <w:r w:rsidRPr="00F43F81">
        <w:rPr>
          <w:sz w:val="20"/>
          <w:szCs w:val="20"/>
        </w:rPr>
        <w:t>How do media, social or otherwise, enhance or inhibit social movement mobilization?</w:t>
      </w:r>
      <w:r>
        <w:rPr>
          <w:sz w:val="20"/>
          <w:szCs w:val="20"/>
        </w:rPr>
        <w:t xml:space="preserve">  What role does the state play in that process, through legal regulation or otherwise?</w:t>
      </w:r>
    </w:p>
    <w:p w:rsidR="0078309E" w:rsidRPr="008F7400" w:rsidRDefault="0078309E" w:rsidP="009441AA">
      <w:pPr>
        <w:rPr>
          <w:sz w:val="20"/>
          <w:szCs w:val="20"/>
        </w:rPr>
      </w:pPr>
    </w:p>
    <w:p w:rsidR="00F702DD" w:rsidRPr="008F7400" w:rsidRDefault="00376EB2" w:rsidP="003E3F80">
      <w:pPr>
        <w:rPr>
          <w:b/>
          <w:sz w:val="20"/>
          <w:szCs w:val="20"/>
        </w:rPr>
      </w:pPr>
      <w:r>
        <w:rPr>
          <w:b/>
          <w:sz w:val="20"/>
          <w:szCs w:val="20"/>
        </w:rPr>
        <w:t>February</w:t>
      </w:r>
      <w:r w:rsidR="003E3F80" w:rsidRPr="008F7400">
        <w:rPr>
          <w:b/>
          <w:sz w:val="20"/>
          <w:szCs w:val="20"/>
        </w:rPr>
        <w:t xml:space="preserve"> 2</w:t>
      </w:r>
      <w:r>
        <w:rPr>
          <w:b/>
          <w:sz w:val="20"/>
          <w:szCs w:val="20"/>
        </w:rPr>
        <w:t>5</w:t>
      </w:r>
      <w:r w:rsidR="003E3F80" w:rsidRPr="008F7400">
        <w:rPr>
          <w:b/>
          <w:sz w:val="20"/>
          <w:szCs w:val="20"/>
        </w:rPr>
        <w:t xml:space="preserve"> – RIGHTS MOBILIZATION AS A SOCIAL MOVEMENT STRATEGY</w:t>
      </w:r>
    </w:p>
    <w:p w:rsidR="00F702DD" w:rsidRDefault="00F702DD" w:rsidP="00F702DD">
      <w:pPr>
        <w:ind w:left="1260" w:hanging="540"/>
        <w:rPr>
          <w:sz w:val="20"/>
          <w:szCs w:val="20"/>
        </w:rPr>
      </w:pPr>
      <w:r w:rsidRPr="008F7400">
        <w:rPr>
          <w:sz w:val="20"/>
          <w:szCs w:val="20"/>
        </w:rPr>
        <w:t>Michael McCann</w:t>
      </w:r>
      <w:r w:rsidR="009414C8" w:rsidRPr="008F7400">
        <w:rPr>
          <w:sz w:val="20"/>
          <w:szCs w:val="20"/>
        </w:rPr>
        <w:t>. (1994)</w:t>
      </w:r>
      <w:r w:rsidRPr="008F7400">
        <w:rPr>
          <w:sz w:val="20"/>
          <w:szCs w:val="20"/>
        </w:rPr>
        <w:t xml:space="preserve"> </w:t>
      </w:r>
      <w:r w:rsidRPr="008F7400">
        <w:rPr>
          <w:i/>
          <w:sz w:val="20"/>
          <w:szCs w:val="20"/>
        </w:rPr>
        <w:t>Rights at Wor</w:t>
      </w:r>
      <w:r w:rsidR="009414C8" w:rsidRPr="008F7400">
        <w:rPr>
          <w:i/>
          <w:sz w:val="20"/>
          <w:szCs w:val="20"/>
        </w:rPr>
        <w:t>k: Pay Equity Reform and the Politics of Legal Mobilization</w:t>
      </w:r>
      <w:r w:rsidR="009414C8" w:rsidRPr="008F7400">
        <w:rPr>
          <w:sz w:val="20"/>
          <w:szCs w:val="20"/>
        </w:rPr>
        <w:t xml:space="preserve">. University of Chicago Press.  Read </w:t>
      </w:r>
      <w:r w:rsidRPr="008F7400">
        <w:rPr>
          <w:sz w:val="20"/>
          <w:szCs w:val="20"/>
        </w:rPr>
        <w:t>pp. 1-12, 48-91, 138-179, 278-314.</w:t>
      </w:r>
    </w:p>
    <w:p w:rsidR="007A1DB6" w:rsidRDefault="007A1DB6">
      <w:pPr>
        <w:rPr>
          <w:b/>
          <w:sz w:val="20"/>
          <w:szCs w:val="20"/>
        </w:rPr>
      </w:pPr>
    </w:p>
    <w:p w:rsidR="003769B1" w:rsidRPr="00F552DB" w:rsidRDefault="003769B1" w:rsidP="003769B1">
      <w:pPr>
        <w:rPr>
          <w:b/>
          <w:sz w:val="20"/>
          <w:szCs w:val="20"/>
        </w:rPr>
      </w:pPr>
      <w:r>
        <w:rPr>
          <w:b/>
          <w:sz w:val="20"/>
          <w:szCs w:val="20"/>
        </w:rPr>
        <w:t>March 4</w:t>
      </w:r>
      <w:r w:rsidRPr="008F7400">
        <w:rPr>
          <w:b/>
          <w:sz w:val="20"/>
          <w:szCs w:val="20"/>
        </w:rPr>
        <w:t xml:space="preserve"> – </w:t>
      </w:r>
      <w:r w:rsidR="00F552DB">
        <w:rPr>
          <w:b/>
          <w:sz w:val="20"/>
          <w:szCs w:val="20"/>
        </w:rPr>
        <w:t xml:space="preserve">LITIGATION, </w:t>
      </w:r>
      <w:r>
        <w:rPr>
          <w:b/>
          <w:sz w:val="20"/>
          <w:szCs w:val="20"/>
        </w:rPr>
        <w:t xml:space="preserve">DERADICALIZATION AND </w:t>
      </w:r>
      <w:r w:rsidRPr="008F7400">
        <w:rPr>
          <w:b/>
          <w:sz w:val="20"/>
          <w:szCs w:val="20"/>
        </w:rPr>
        <w:t>COUNTER-MOBILIZATION</w:t>
      </w:r>
    </w:p>
    <w:p w:rsidR="003769B1" w:rsidRPr="008F7400" w:rsidRDefault="003769B1" w:rsidP="003769B1">
      <w:pPr>
        <w:ind w:left="720"/>
        <w:rPr>
          <w:sz w:val="20"/>
          <w:szCs w:val="20"/>
        </w:rPr>
      </w:pPr>
      <w:r w:rsidRPr="008F7400">
        <w:rPr>
          <w:sz w:val="20"/>
          <w:szCs w:val="20"/>
        </w:rPr>
        <w:t xml:space="preserve">Sandra R. Levitsky. (2006)  “To Lead with Law:  Reassessing the Influence of Legal Advocacy Organizations in Social Movements.” In A. Sarat and S. Scheingold, eds., </w:t>
      </w:r>
      <w:r w:rsidRPr="008F7400">
        <w:rPr>
          <w:i/>
          <w:sz w:val="20"/>
          <w:szCs w:val="20"/>
        </w:rPr>
        <w:t>Cause Lawyers and Social Movements</w:t>
      </w:r>
      <w:r w:rsidRPr="008F7400">
        <w:rPr>
          <w:sz w:val="20"/>
          <w:szCs w:val="20"/>
        </w:rPr>
        <w:t>, pp.145-163.</w:t>
      </w:r>
    </w:p>
    <w:p w:rsidR="003769B1" w:rsidRPr="008F7400" w:rsidRDefault="003769B1" w:rsidP="003769B1">
      <w:pPr>
        <w:ind w:left="720"/>
        <w:rPr>
          <w:sz w:val="20"/>
          <w:szCs w:val="20"/>
        </w:rPr>
      </w:pPr>
    </w:p>
    <w:p w:rsidR="003769B1" w:rsidRPr="008F7400" w:rsidRDefault="003769B1" w:rsidP="003769B1">
      <w:pPr>
        <w:ind w:left="720"/>
        <w:rPr>
          <w:sz w:val="20"/>
          <w:szCs w:val="20"/>
        </w:rPr>
      </w:pPr>
      <w:r w:rsidRPr="008F7400">
        <w:rPr>
          <w:sz w:val="20"/>
          <w:szCs w:val="20"/>
        </w:rPr>
        <w:t xml:space="preserve">Bell, Derrick A., Jr. (1976) "Serving Two Masters: Integration Ideals and Client Interests in School Desegregation Litigation." </w:t>
      </w:r>
      <w:r w:rsidRPr="008F7400">
        <w:rPr>
          <w:i/>
          <w:sz w:val="20"/>
          <w:szCs w:val="20"/>
        </w:rPr>
        <w:t>The Yale Law Journal</w:t>
      </w:r>
      <w:r w:rsidRPr="008F7400">
        <w:rPr>
          <w:sz w:val="20"/>
          <w:szCs w:val="20"/>
        </w:rPr>
        <w:t xml:space="preserve"> 85:470-516.</w:t>
      </w:r>
    </w:p>
    <w:p w:rsidR="00F552DB" w:rsidRDefault="00F552DB" w:rsidP="00F552DB">
      <w:pPr>
        <w:ind w:firstLine="720"/>
        <w:rPr>
          <w:rFonts w:ascii="Times" w:hAnsi="Times"/>
          <w:sz w:val="20"/>
          <w:szCs w:val="20"/>
        </w:rPr>
      </w:pPr>
    </w:p>
    <w:p w:rsidR="00F552DB" w:rsidRDefault="00F552DB" w:rsidP="00F552DB">
      <w:pPr>
        <w:ind w:firstLine="720"/>
        <w:rPr>
          <w:rFonts w:ascii="Times" w:hAnsi="Times"/>
          <w:sz w:val="20"/>
          <w:szCs w:val="20"/>
        </w:rPr>
      </w:pPr>
      <w:r w:rsidRPr="005E71BD">
        <w:rPr>
          <w:rFonts w:ascii="Times" w:hAnsi="Times"/>
          <w:sz w:val="20"/>
          <w:szCs w:val="20"/>
        </w:rPr>
        <w:t xml:space="preserve">NeJaime, Douglas. "Winning Through Losing." </w:t>
      </w:r>
      <w:r w:rsidRPr="005E71BD">
        <w:rPr>
          <w:rFonts w:ascii="Times" w:hAnsi="Times"/>
          <w:i/>
          <w:iCs/>
          <w:sz w:val="20"/>
          <w:szCs w:val="20"/>
        </w:rPr>
        <w:t>Iowa Law Review</w:t>
      </w:r>
      <w:r w:rsidRPr="005E71BD">
        <w:rPr>
          <w:rFonts w:ascii="Times" w:hAnsi="Times"/>
          <w:sz w:val="20"/>
          <w:szCs w:val="20"/>
        </w:rPr>
        <w:t xml:space="preserve"> 96 (2011): 941.</w:t>
      </w:r>
    </w:p>
    <w:p w:rsidR="00F552DB" w:rsidRDefault="00F552DB" w:rsidP="00F552DB">
      <w:pPr>
        <w:ind w:left="720"/>
        <w:rPr>
          <w:sz w:val="20"/>
          <w:szCs w:val="20"/>
        </w:rPr>
      </w:pPr>
    </w:p>
    <w:p w:rsidR="003769B1" w:rsidRDefault="00F552DB" w:rsidP="00F552DB">
      <w:pPr>
        <w:ind w:left="720"/>
        <w:rPr>
          <w:sz w:val="20"/>
          <w:szCs w:val="20"/>
        </w:rPr>
      </w:pPr>
      <w:r w:rsidRPr="008F7400">
        <w:rPr>
          <w:sz w:val="20"/>
          <w:szCs w:val="20"/>
        </w:rPr>
        <w:t>Albiston, Catherine. (</w:t>
      </w:r>
      <w:r>
        <w:rPr>
          <w:sz w:val="20"/>
          <w:szCs w:val="20"/>
        </w:rPr>
        <w:t>2011</w:t>
      </w:r>
      <w:r w:rsidRPr="008F7400">
        <w:rPr>
          <w:sz w:val="20"/>
          <w:szCs w:val="20"/>
        </w:rPr>
        <w:t xml:space="preserve">) “The Dark Side of Litigation as a Social Movement Tactic.” </w:t>
      </w:r>
      <w:r w:rsidRPr="008F7400">
        <w:rPr>
          <w:i/>
          <w:sz w:val="20"/>
          <w:szCs w:val="20"/>
        </w:rPr>
        <w:t>Iowa Law Bulletin</w:t>
      </w:r>
      <w:r w:rsidRPr="008F7400">
        <w:rPr>
          <w:sz w:val="20"/>
          <w:szCs w:val="20"/>
        </w:rPr>
        <w:t xml:space="preserve"> (online commentary to the </w:t>
      </w:r>
      <w:r>
        <w:rPr>
          <w:sz w:val="20"/>
          <w:szCs w:val="20"/>
        </w:rPr>
        <w:t>NeJaime article</w:t>
      </w:r>
      <w:r w:rsidRPr="008F7400">
        <w:rPr>
          <w:sz w:val="20"/>
          <w:szCs w:val="20"/>
        </w:rPr>
        <w:t>).</w:t>
      </w:r>
      <w:r w:rsidRPr="008F7400">
        <w:rPr>
          <w:b/>
          <w:sz w:val="20"/>
          <w:szCs w:val="20"/>
        </w:rPr>
        <w:br/>
      </w:r>
    </w:p>
    <w:p w:rsidR="003769B1" w:rsidRPr="005E71BD" w:rsidRDefault="003769B1" w:rsidP="003769B1">
      <w:pPr>
        <w:ind w:left="720"/>
        <w:rPr>
          <w:b/>
          <w:sz w:val="20"/>
          <w:szCs w:val="20"/>
          <w:u w:val="single"/>
        </w:rPr>
      </w:pPr>
      <w:r>
        <w:rPr>
          <w:b/>
          <w:sz w:val="20"/>
          <w:szCs w:val="20"/>
          <w:u w:val="single"/>
        </w:rPr>
        <w:t>Background:</w:t>
      </w:r>
    </w:p>
    <w:p w:rsidR="003769B1" w:rsidRPr="008F7400" w:rsidRDefault="003769B1" w:rsidP="003769B1">
      <w:pPr>
        <w:ind w:left="720"/>
        <w:rPr>
          <w:sz w:val="20"/>
          <w:szCs w:val="20"/>
        </w:rPr>
      </w:pPr>
      <w:r w:rsidRPr="008F7400">
        <w:rPr>
          <w:sz w:val="20"/>
          <w:szCs w:val="20"/>
        </w:rPr>
        <w:t xml:space="preserve">David Meyer &amp; S. Staggenborg.  (1996) “Movements, Countermovements and the Structure of Political Opportunity.” </w:t>
      </w:r>
      <w:r w:rsidRPr="008F7400">
        <w:rPr>
          <w:i/>
          <w:sz w:val="20"/>
          <w:szCs w:val="20"/>
        </w:rPr>
        <w:t xml:space="preserve">American Journal of Sociology </w:t>
      </w:r>
      <w:r w:rsidRPr="008F7400">
        <w:rPr>
          <w:sz w:val="20"/>
          <w:szCs w:val="20"/>
        </w:rPr>
        <w:t>101</w:t>
      </w:r>
      <w:r w:rsidRPr="008F7400">
        <w:rPr>
          <w:smallCaps/>
          <w:sz w:val="20"/>
          <w:szCs w:val="20"/>
        </w:rPr>
        <w:t>:</w:t>
      </w:r>
      <w:r w:rsidRPr="008F7400">
        <w:rPr>
          <w:sz w:val="20"/>
          <w:szCs w:val="20"/>
        </w:rPr>
        <w:t>1628-1660.</w:t>
      </w:r>
    </w:p>
    <w:p w:rsidR="00F702DD" w:rsidRPr="008F7400" w:rsidRDefault="00F702DD" w:rsidP="009441AA">
      <w:pPr>
        <w:rPr>
          <w:b/>
          <w:sz w:val="20"/>
          <w:szCs w:val="20"/>
        </w:rPr>
      </w:pPr>
    </w:p>
    <w:p w:rsidR="009441AA" w:rsidRPr="008F7400" w:rsidRDefault="003769B1" w:rsidP="003E3F80">
      <w:pPr>
        <w:rPr>
          <w:b/>
          <w:sz w:val="20"/>
          <w:szCs w:val="20"/>
        </w:rPr>
      </w:pPr>
      <w:r>
        <w:rPr>
          <w:b/>
          <w:sz w:val="20"/>
          <w:szCs w:val="20"/>
        </w:rPr>
        <w:t>March 11</w:t>
      </w:r>
      <w:r w:rsidR="003E3F80" w:rsidRPr="008F7400">
        <w:rPr>
          <w:b/>
          <w:sz w:val="20"/>
          <w:szCs w:val="20"/>
        </w:rPr>
        <w:t xml:space="preserve"> – REPRESSION AND SOCIAL CONTROL</w:t>
      </w:r>
    </w:p>
    <w:p w:rsidR="009441AA" w:rsidRPr="008F7400" w:rsidRDefault="009441AA" w:rsidP="00752D15">
      <w:pPr>
        <w:ind w:left="720"/>
        <w:rPr>
          <w:sz w:val="20"/>
          <w:szCs w:val="20"/>
        </w:rPr>
      </w:pPr>
      <w:r w:rsidRPr="008F7400">
        <w:rPr>
          <w:sz w:val="20"/>
          <w:szCs w:val="20"/>
        </w:rPr>
        <w:t>Steven Barkan</w:t>
      </w:r>
      <w:r w:rsidR="0092079F" w:rsidRPr="008F7400">
        <w:rPr>
          <w:sz w:val="20"/>
          <w:szCs w:val="20"/>
        </w:rPr>
        <w:t>. (1984)</w:t>
      </w:r>
      <w:r w:rsidRPr="008F7400">
        <w:rPr>
          <w:sz w:val="20"/>
          <w:szCs w:val="20"/>
        </w:rPr>
        <w:t xml:space="preserve"> </w:t>
      </w:r>
      <w:r w:rsidR="0092079F" w:rsidRPr="008F7400">
        <w:rPr>
          <w:sz w:val="20"/>
          <w:szCs w:val="20"/>
        </w:rPr>
        <w:t>“</w:t>
      </w:r>
      <w:r w:rsidRPr="008F7400">
        <w:rPr>
          <w:sz w:val="20"/>
          <w:szCs w:val="20"/>
        </w:rPr>
        <w:t>Legal Control of the Southern Civil Rights Movement</w:t>
      </w:r>
      <w:r w:rsidR="0092079F" w:rsidRPr="008F7400">
        <w:rPr>
          <w:sz w:val="20"/>
          <w:szCs w:val="20"/>
        </w:rPr>
        <w:t xml:space="preserve">.” </w:t>
      </w:r>
      <w:r w:rsidR="0092079F" w:rsidRPr="008F7400">
        <w:rPr>
          <w:i/>
          <w:sz w:val="20"/>
          <w:szCs w:val="20"/>
        </w:rPr>
        <w:t>American</w:t>
      </w:r>
      <w:r w:rsidRPr="008F7400">
        <w:rPr>
          <w:sz w:val="20"/>
          <w:szCs w:val="20"/>
        </w:rPr>
        <w:t xml:space="preserve"> </w:t>
      </w:r>
      <w:r w:rsidR="0092079F" w:rsidRPr="008F7400">
        <w:rPr>
          <w:i/>
          <w:sz w:val="20"/>
          <w:szCs w:val="20"/>
        </w:rPr>
        <w:t>Sociological Review</w:t>
      </w:r>
      <w:r w:rsidR="0092079F" w:rsidRPr="008F7400">
        <w:rPr>
          <w:sz w:val="20"/>
          <w:szCs w:val="20"/>
        </w:rPr>
        <w:t xml:space="preserve"> </w:t>
      </w:r>
      <w:r w:rsidRPr="008F7400">
        <w:rPr>
          <w:sz w:val="20"/>
          <w:szCs w:val="20"/>
        </w:rPr>
        <w:t>49</w:t>
      </w:r>
      <w:r w:rsidR="003F78EE" w:rsidRPr="008F7400">
        <w:rPr>
          <w:sz w:val="20"/>
          <w:szCs w:val="20"/>
        </w:rPr>
        <w:t>:</w:t>
      </w:r>
      <w:r w:rsidRPr="008F7400">
        <w:rPr>
          <w:sz w:val="20"/>
          <w:szCs w:val="20"/>
        </w:rPr>
        <w:t>552</w:t>
      </w:r>
      <w:r w:rsidR="0092079F" w:rsidRPr="008F7400">
        <w:rPr>
          <w:sz w:val="20"/>
          <w:szCs w:val="20"/>
        </w:rPr>
        <w:t>-</w:t>
      </w:r>
      <w:r w:rsidR="003F78EE" w:rsidRPr="008F7400">
        <w:rPr>
          <w:sz w:val="20"/>
          <w:szCs w:val="20"/>
        </w:rPr>
        <w:t>565</w:t>
      </w:r>
      <w:r w:rsidRPr="008F7400">
        <w:rPr>
          <w:sz w:val="20"/>
          <w:szCs w:val="20"/>
        </w:rPr>
        <w:t>.</w:t>
      </w:r>
    </w:p>
    <w:p w:rsidR="009441AA" w:rsidRPr="008F7400" w:rsidRDefault="009441AA" w:rsidP="00752D15">
      <w:pPr>
        <w:ind w:left="720"/>
        <w:rPr>
          <w:sz w:val="20"/>
          <w:szCs w:val="20"/>
        </w:rPr>
      </w:pPr>
    </w:p>
    <w:p w:rsidR="009441AA" w:rsidRPr="008F7400" w:rsidRDefault="009441AA" w:rsidP="00752D15">
      <w:pPr>
        <w:ind w:left="720"/>
        <w:rPr>
          <w:sz w:val="20"/>
          <w:szCs w:val="20"/>
        </w:rPr>
      </w:pPr>
      <w:r w:rsidRPr="008F7400">
        <w:rPr>
          <w:sz w:val="20"/>
          <w:szCs w:val="20"/>
        </w:rPr>
        <w:t>Luis Fernandez</w:t>
      </w:r>
      <w:r w:rsidR="005166CE" w:rsidRPr="008F7400">
        <w:rPr>
          <w:sz w:val="20"/>
          <w:szCs w:val="20"/>
        </w:rPr>
        <w:t>.  (2009)</w:t>
      </w:r>
      <w:r w:rsidRPr="008F7400">
        <w:rPr>
          <w:sz w:val="20"/>
          <w:szCs w:val="20"/>
        </w:rPr>
        <w:t xml:space="preserve"> </w:t>
      </w:r>
      <w:r w:rsidR="005166CE" w:rsidRPr="008F7400">
        <w:rPr>
          <w:sz w:val="20"/>
          <w:szCs w:val="20"/>
        </w:rPr>
        <w:t>“</w:t>
      </w:r>
      <w:r w:rsidRPr="008F7400">
        <w:rPr>
          <w:i/>
          <w:sz w:val="20"/>
          <w:szCs w:val="20"/>
        </w:rPr>
        <w:t>Policing Dissent:  Social Control and the Anti-Globalization Movement</w:t>
      </w:r>
      <w:r w:rsidR="005166CE" w:rsidRPr="008F7400">
        <w:rPr>
          <w:sz w:val="20"/>
          <w:szCs w:val="20"/>
        </w:rPr>
        <w:t>.”</w:t>
      </w:r>
      <w:r w:rsidRPr="008F7400">
        <w:rPr>
          <w:sz w:val="20"/>
          <w:szCs w:val="20"/>
        </w:rPr>
        <w:t xml:space="preserve"> Rutgers University Press.</w:t>
      </w:r>
      <w:r w:rsidR="001A28F4" w:rsidRPr="008F7400">
        <w:rPr>
          <w:sz w:val="20"/>
          <w:szCs w:val="20"/>
        </w:rPr>
        <w:t xml:space="preserve">  Read chapters 1-4, 6-7, skim chapter 5 if time allows.</w:t>
      </w:r>
    </w:p>
    <w:p w:rsidR="007724B8" w:rsidRPr="008F7400" w:rsidRDefault="007724B8" w:rsidP="003769B1">
      <w:pPr>
        <w:rPr>
          <w:sz w:val="20"/>
          <w:szCs w:val="20"/>
        </w:rPr>
      </w:pPr>
    </w:p>
    <w:p w:rsidR="003769B1" w:rsidRDefault="003769B1" w:rsidP="003769B1">
      <w:pPr>
        <w:rPr>
          <w:b/>
          <w:sz w:val="20"/>
          <w:szCs w:val="20"/>
        </w:rPr>
      </w:pPr>
      <w:r>
        <w:rPr>
          <w:b/>
          <w:sz w:val="20"/>
          <w:szCs w:val="20"/>
        </w:rPr>
        <w:t>March 18</w:t>
      </w:r>
      <w:r w:rsidR="003E3F80" w:rsidRPr="008F7400">
        <w:rPr>
          <w:b/>
          <w:sz w:val="20"/>
          <w:szCs w:val="20"/>
        </w:rPr>
        <w:t xml:space="preserve"> – </w:t>
      </w:r>
      <w:r w:rsidR="007A1DB6">
        <w:rPr>
          <w:b/>
          <w:sz w:val="20"/>
          <w:szCs w:val="20"/>
        </w:rPr>
        <w:t>(</w:t>
      </w:r>
      <w:r>
        <w:rPr>
          <w:b/>
          <w:sz w:val="20"/>
          <w:szCs w:val="20"/>
        </w:rPr>
        <w:t>SOCIAL</w:t>
      </w:r>
      <w:r w:rsidR="007A1DB6">
        <w:rPr>
          <w:b/>
          <w:sz w:val="20"/>
          <w:szCs w:val="20"/>
        </w:rPr>
        <w:t>)</w:t>
      </w:r>
      <w:r>
        <w:rPr>
          <w:b/>
          <w:sz w:val="20"/>
          <w:szCs w:val="20"/>
        </w:rPr>
        <w:t xml:space="preserve"> MEDIA, PROTEST AND REVOLUTION</w:t>
      </w:r>
    </w:p>
    <w:p w:rsidR="00663EA7" w:rsidRPr="008F7400" w:rsidRDefault="00F43F81" w:rsidP="003769B1">
      <w:pPr>
        <w:rPr>
          <w:b/>
          <w:sz w:val="20"/>
          <w:szCs w:val="20"/>
        </w:rPr>
      </w:pPr>
      <w:r>
        <w:rPr>
          <w:b/>
          <w:sz w:val="20"/>
          <w:szCs w:val="20"/>
        </w:rPr>
        <w:t xml:space="preserve">NOTE:  </w:t>
      </w:r>
      <w:r w:rsidR="00663EA7">
        <w:rPr>
          <w:b/>
          <w:sz w:val="20"/>
          <w:szCs w:val="20"/>
        </w:rPr>
        <w:t>PAPER PROPOSALS ARE DUE TODAY!!</w:t>
      </w:r>
    </w:p>
    <w:p w:rsidR="003769B1" w:rsidRDefault="003D75A4" w:rsidP="003769B1">
      <w:pPr>
        <w:ind w:left="720"/>
        <w:rPr>
          <w:sz w:val="20"/>
          <w:szCs w:val="20"/>
        </w:rPr>
      </w:pPr>
      <w:r>
        <w:rPr>
          <w:sz w:val="20"/>
          <w:szCs w:val="20"/>
        </w:rPr>
        <w:t xml:space="preserve">Todd </w:t>
      </w:r>
      <w:r w:rsidR="007A1DB6">
        <w:rPr>
          <w:sz w:val="20"/>
          <w:szCs w:val="20"/>
        </w:rPr>
        <w:t>Gitlin</w:t>
      </w:r>
      <w:r>
        <w:rPr>
          <w:sz w:val="20"/>
          <w:szCs w:val="20"/>
        </w:rPr>
        <w:t>, The Media in the Unmaking of the New Left</w:t>
      </w:r>
      <w:r w:rsidR="00E72E9D">
        <w:rPr>
          <w:sz w:val="20"/>
          <w:szCs w:val="20"/>
        </w:rPr>
        <w:t xml:space="preserve"> (from </w:t>
      </w:r>
      <w:r w:rsidR="00E72E9D">
        <w:rPr>
          <w:i/>
          <w:sz w:val="20"/>
          <w:szCs w:val="20"/>
        </w:rPr>
        <w:t>The Whole World is Watching</w:t>
      </w:r>
      <w:r w:rsidR="00E72E9D">
        <w:rPr>
          <w:sz w:val="20"/>
          <w:szCs w:val="20"/>
        </w:rPr>
        <w:t>)</w:t>
      </w:r>
      <w:r>
        <w:rPr>
          <w:sz w:val="20"/>
          <w:szCs w:val="20"/>
        </w:rPr>
        <w:t xml:space="preserve">, pp. </w:t>
      </w:r>
      <w:r w:rsidR="00E72E9D">
        <w:rPr>
          <w:sz w:val="20"/>
          <w:szCs w:val="20"/>
        </w:rPr>
        <w:t>301-311</w:t>
      </w:r>
      <w:r>
        <w:rPr>
          <w:sz w:val="20"/>
          <w:szCs w:val="20"/>
        </w:rPr>
        <w:t xml:space="preserve"> in </w:t>
      </w:r>
      <w:r>
        <w:rPr>
          <w:i/>
          <w:sz w:val="20"/>
          <w:szCs w:val="20"/>
        </w:rPr>
        <w:t>The Social Movements Reader:  Cases and Concepts</w:t>
      </w:r>
      <w:r>
        <w:rPr>
          <w:sz w:val="20"/>
          <w:szCs w:val="20"/>
        </w:rPr>
        <w:t xml:space="preserve"> (Goodwin &amp; Jasper eds.).  Blackwell Publishing (2004).  </w:t>
      </w:r>
    </w:p>
    <w:p w:rsidR="007A1DB6" w:rsidRDefault="007A1DB6" w:rsidP="003769B1">
      <w:pPr>
        <w:ind w:left="720"/>
        <w:rPr>
          <w:sz w:val="20"/>
          <w:szCs w:val="20"/>
        </w:rPr>
      </w:pPr>
    </w:p>
    <w:p w:rsidR="007A1DB6" w:rsidRDefault="007A1DB6" w:rsidP="003769B1">
      <w:pPr>
        <w:ind w:left="720"/>
        <w:rPr>
          <w:sz w:val="20"/>
          <w:szCs w:val="20"/>
        </w:rPr>
      </w:pPr>
      <w:r>
        <w:rPr>
          <w:sz w:val="20"/>
          <w:szCs w:val="20"/>
        </w:rPr>
        <w:t xml:space="preserve">David Kirkpatrick &amp; David Sanger, </w:t>
      </w:r>
      <w:r>
        <w:rPr>
          <w:i/>
          <w:sz w:val="20"/>
          <w:szCs w:val="20"/>
        </w:rPr>
        <w:t>A Tunisian-Egyptian Link That Shook Arab History</w:t>
      </w:r>
      <w:r>
        <w:rPr>
          <w:sz w:val="20"/>
          <w:szCs w:val="20"/>
        </w:rPr>
        <w:t>, New York Times, February 13, 2011.</w:t>
      </w:r>
    </w:p>
    <w:p w:rsidR="007A1DB6" w:rsidRDefault="007A1DB6" w:rsidP="003769B1">
      <w:pPr>
        <w:ind w:left="720"/>
        <w:rPr>
          <w:sz w:val="20"/>
          <w:szCs w:val="20"/>
        </w:rPr>
      </w:pPr>
    </w:p>
    <w:p w:rsidR="007A1DB6" w:rsidRDefault="007A1DB6" w:rsidP="003769B1">
      <w:pPr>
        <w:ind w:left="720"/>
        <w:rPr>
          <w:sz w:val="20"/>
          <w:szCs w:val="20"/>
        </w:rPr>
      </w:pPr>
      <w:r>
        <w:rPr>
          <w:sz w:val="20"/>
          <w:szCs w:val="20"/>
        </w:rPr>
        <w:t xml:space="preserve">Malcolm Gladwell, </w:t>
      </w:r>
      <w:r>
        <w:rPr>
          <w:i/>
          <w:sz w:val="20"/>
          <w:szCs w:val="20"/>
        </w:rPr>
        <w:t>Small Change:  Why the Revolution Will Not Be Tweeted</w:t>
      </w:r>
      <w:r>
        <w:rPr>
          <w:sz w:val="20"/>
          <w:szCs w:val="20"/>
        </w:rPr>
        <w:t>, The New Yorker, October 4, 2010.</w:t>
      </w:r>
    </w:p>
    <w:p w:rsidR="007A1DB6" w:rsidRDefault="007A1DB6" w:rsidP="003769B1">
      <w:pPr>
        <w:ind w:left="720"/>
        <w:rPr>
          <w:sz w:val="20"/>
          <w:szCs w:val="20"/>
        </w:rPr>
      </w:pPr>
    </w:p>
    <w:p w:rsidR="007A1DB6" w:rsidRDefault="007A1DB6" w:rsidP="003769B1">
      <w:pPr>
        <w:ind w:left="720"/>
        <w:rPr>
          <w:sz w:val="20"/>
          <w:szCs w:val="20"/>
        </w:rPr>
      </w:pPr>
      <w:r>
        <w:rPr>
          <w:sz w:val="20"/>
          <w:szCs w:val="20"/>
        </w:rPr>
        <w:t>William Youmans &amp; Jillian York. (2012) “</w:t>
      </w:r>
      <w:r w:rsidRPr="007A1DB6">
        <w:rPr>
          <w:sz w:val="20"/>
          <w:szCs w:val="20"/>
        </w:rPr>
        <w:t>Social Media and the Activist Toolkit:  User Agreements, Corporate Interests, and the Information Infrastructure of Modern Social Movements</w:t>
      </w:r>
      <w:r>
        <w:rPr>
          <w:sz w:val="20"/>
          <w:szCs w:val="20"/>
        </w:rPr>
        <w:t xml:space="preserve">,” </w:t>
      </w:r>
      <w:r>
        <w:rPr>
          <w:i/>
          <w:sz w:val="20"/>
          <w:szCs w:val="20"/>
        </w:rPr>
        <w:t>Journal of Communication</w:t>
      </w:r>
      <w:r>
        <w:rPr>
          <w:sz w:val="20"/>
          <w:szCs w:val="20"/>
        </w:rPr>
        <w:t xml:space="preserve">, 62:315-329. </w:t>
      </w:r>
    </w:p>
    <w:p w:rsidR="00F43F81" w:rsidRDefault="00F43F81" w:rsidP="003769B1">
      <w:pPr>
        <w:ind w:left="720"/>
        <w:rPr>
          <w:sz w:val="20"/>
          <w:szCs w:val="20"/>
        </w:rPr>
      </w:pPr>
    </w:p>
    <w:p w:rsidR="00F43F81" w:rsidRPr="007A1DB6" w:rsidRDefault="00F43F81" w:rsidP="003769B1">
      <w:pPr>
        <w:ind w:left="720"/>
        <w:rPr>
          <w:sz w:val="20"/>
          <w:szCs w:val="20"/>
        </w:rPr>
      </w:pPr>
      <w:r>
        <w:rPr>
          <w:sz w:val="20"/>
          <w:szCs w:val="20"/>
        </w:rPr>
        <w:t xml:space="preserve">Sean Aday, Henry Farrell, Marc Lynch, John Sides, John Kelly, &amp; Ethan Zukerman.  (2010).  </w:t>
      </w:r>
      <w:r w:rsidRPr="00F43F81">
        <w:rPr>
          <w:i/>
          <w:sz w:val="20"/>
          <w:szCs w:val="20"/>
        </w:rPr>
        <w:t>Blogs and Bullets:  New Media in Contentious Politics</w:t>
      </w:r>
      <w:r>
        <w:rPr>
          <w:sz w:val="20"/>
          <w:szCs w:val="20"/>
        </w:rPr>
        <w:t>.  United States Institute of Peace (report).</w:t>
      </w:r>
    </w:p>
    <w:p w:rsidR="003769B1" w:rsidRPr="008F7400" w:rsidRDefault="003769B1" w:rsidP="00635C0D">
      <w:pPr>
        <w:rPr>
          <w:b/>
          <w:sz w:val="20"/>
          <w:szCs w:val="20"/>
        </w:rPr>
      </w:pPr>
    </w:p>
    <w:p w:rsidR="00EE549D" w:rsidRDefault="003769B1" w:rsidP="00635C0D">
      <w:pPr>
        <w:rPr>
          <w:b/>
          <w:sz w:val="20"/>
          <w:szCs w:val="20"/>
        </w:rPr>
      </w:pPr>
      <w:r>
        <w:rPr>
          <w:b/>
          <w:sz w:val="20"/>
          <w:szCs w:val="20"/>
        </w:rPr>
        <w:t>MARCH 25 – SPRING BREAK, NO CLASS MEETING</w:t>
      </w:r>
    </w:p>
    <w:p w:rsidR="00E72E9D" w:rsidRDefault="00E72E9D" w:rsidP="00635C0D">
      <w:pPr>
        <w:rPr>
          <w:b/>
          <w:sz w:val="20"/>
          <w:szCs w:val="20"/>
        </w:rPr>
      </w:pPr>
    </w:p>
    <w:p w:rsidR="00663EA7" w:rsidRPr="008F7400" w:rsidRDefault="00663EA7" w:rsidP="00635C0D">
      <w:pPr>
        <w:rPr>
          <w:b/>
          <w:sz w:val="20"/>
          <w:szCs w:val="20"/>
        </w:rPr>
      </w:pPr>
      <w:r>
        <w:rPr>
          <w:b/>
          <w:sz w:val="20"/>
          <w:szCs w:val="20"/>
        </w:rPr>
        <w:t>NOTE:  P</w:t>
      </w:r>
      <w:r w:rsidR="00E72E9D">
        <w:rPr>
          <w:b/>
          <w:sz w:val="20"/>
          <w:szCs w:val="20"/>
        </w:rPr>
        <w:t>lease p</w:t>
      </w:r>
      <w:r>
        <w:rPr>
          <w:b/>
          <w:sz w:val="20"/>
          <w:szCs w:val="20"/>
        </w:rPr>
        <w:t xml:space="preserve">lan on completing some </w:t>
      </w:r>
      <w:r w:rsidR="004A56D6">
        <w:rPr>
          <w:b/>
          <w:sz w:val="20"/>
          <w:szCs w:val="20"/>
        </w:rPr>
        <w:t xml:space="preserve">of the reading for the last unit </w:t>
      </w:r>
      <w:r>
        <w:rPr>
          <w:b/>
          <w:sz w:val="20"/>
          <w:szCs w:val="20"/>
        </w:rPr>
        <w:t>over spring break.</w:t>
      </w:r>
    </w:p>
    <w:p w:rsidR="007724B8" w:rsidRPr="008F7400" w:rsidRDefault="007724B8" w:rsidP="00635C0D">
      <w:pPr>
        <w:rPr>
          <w:b/>
          <w:sz w:val="20"/>
          <w:szCs w:val="20"/>
        </w:rPr>
      </w:pPr>
    </w:p>
    <w:p w:rsidR="00E10C64" w:rsidRPr="008F7400" w:rsidRDefault="00F702DD" w:rsidP="00635C0D">
      <w:pPr>
        <w:rPr>
          <w:b/>
          <w:sz w:val="20"/>
          <w:szCs w:val="20"/>
        </w:rPr>
      </w:pPr>
      <w:r w:rsidRPr="008F7400">
        <w:rPr>
          <w:b/>
          <w:sz w:val="20"/>
          <w:szCs w:val="20"/>
        </w:rPr>
        <w:t>IV.</w:t>
      </w:r>
      <w:r w:rsidRPr="008F7400">
        <w:rPr>
          <w:b/>
          <w:sz w:val="20"/>
          <w:szCs w:val="20"/>
        </w:rPr>
        <w:tab/>
        <w:t xml:space="preserve">LAW, SOCIAL MOVEMENTS, AND </w:t>
      </w:r>
      <w:r w:rsidR="00E10C64" w:rsidRPr="008F7400">
        <w:rPr>
          <w:b/>
          <w:sz w:val="20"/>
          <w:szCs w:val="20"/>
        </w:rPr>
        <w:t>SOCIAL CHANGE</w:t>
      </w:r>
      <w:r w:rsidR="009441AA" w:rsidRPr="008F7400">
        <w:rPr>
          <w:b/>
          <w:sz w:val="20"/>
          <w:szCs w:val="20"/>
        </w:rPr>
        <w:t xml:space="preserve"> </w:t>
      </w:r>
    </w:p>
    <w:p w:rsidR="00304B1D" w:rsidRPr="008F7400" w:rsidRDefault="00304B1D" w:rsidP="00635C0D">
      <w:pPr>
        <w:rPr>
          <w:b/>
          <w:sz w:val="20"/>
          <w:szCs w:val="20"/>
        </w:rPr>
      </w:pPr>
    </w:p>
    <w:p w:rsidR="0078309E" w:rsidRPr="008F7400" w:rsidRDefault="0078309E" w:rsidP="0078309E">
      <w:pPr>
        <w:rPr>
          <w:b/>
          <w:sz w:val="20"/>
          <w:szCs w:val="20"/>
        </w:rPr>
      </w:pPr>
      <w:r w:rsidRPr="008F7400">
        <w:rPr>
          <w:b/>
          <w:sz w:val="20"/>
          <w:szCs w:val="20"/>
        </w:rPr>
        <w:t>Central Questions in This Unit</w:t>
      </w:r>
    </w:p>
    <w:p w:rsidR="00F43F81" w:rsidRDefault="0078309E" w:rsidP="00635C0D">
      <w:pPr>
        <w:pStyle w:val="ListParagraph"/>
        <w:numPr>
          <w:ilvl w:val="0"/>
          <w:numId w:val="9"/>
        </w:numPr>
        <w:rPr>
          <w:sz w:val="20"/>
          <w:szCs w:val="20"/>
        </w:rPr>
      </w:pPr>
      <w:r w:rsidRPr="00F43F81">
        <w:rPr>
          <w:sz w:val="20"/>
          <w:szCs w:val="20"/>
        </w:rPr>
        <w:t xml:space="preserve">How can </w:t>
      </w:r>
      <w:r w:rsidR="00875EF4" w:rsidRPr="00F43F81">
        <w:rPr>
          <w:sz w:val="20"/>
          <w:szCs w:val="20"/>
        </w:rPr>
        <w:t xml:space="preserve">social movements use law to bring about social change?  </w:t>
      </w:r>
    </w:p>
    <w:p w:rsidR="00F552DB" w:rsidRPr="00F43F81" w:rsidRDefault="00875EF4" w:rsidP="00635C0D">
      <w:pPr>
        <w:pStyle w:val="ListParagraph"/>
        <w:numPr>
          <w:ilvl w:val="0"/>
          <w:numId w:val="9"/>
        </w:numPr>
        <w:rPr>
          <w:sz w:val="20"/>
          <w:szCs w:val="20"/>
        </w:rPr>
      </w:pPr>
      <w:r w:rsidRPr="00F43F81">
        <w:rPr>
          <w:sz w:val="20"/>
          <w:szCs w:val="20"/>
        </w:rPr>
        <w:t xml:space="preserve">What counts as social change?  </w:t>
      </w:r>
    </w:p>
    <w:p w:rsidR="0078309E" w:rsidRPr="00F43F81" w:rsidRDefault="00F552DB" w:rsidP="00635C0D">
      <w:pPr>
        <w:pStyle w:val="ListParagraph"/>
        <w:numPr>
          <w:ilvl w:val="0"/>
          <w:numId w:val="9"/>
        </w:numPr>
        <w:rPr>
          <w:sz w:val="20"/>
          <w:szCs w:val="20"/>
        </w:rPr>
      </w:pPr>
      <w:r w:rsidRPr="00F43F81">
        <w:rPr>
          <w:sz w:val="20"/>
          <w:szCs w:val="20"/>
        </w:rPr>
        <w:t>What are the institutional limitations of law in contributing to social change?</w:t>
      </w:r>
    </w:p>
    <w:p w:rsidR="007724B8" w:rsidRPr="00F43F81" w:rsidRDefault="00875EF4" w:rsidP="00635C0D">
      <w:pPr>
        <w:pStyle w:val="ListParagraph"/>
        <w:numPr>
          <w:ilvl w:val="0"/>
          <w:numId w:val="9"/>
        </w:numPr>
        <w:rPr>
          <w:sz w:val="20"/>
          <w:szCs w:val="20"/>
        </w:rPr>
      </w:pPr>
      <w:r w:rsidRPr="00F43F81">
        <w:rPr>
          <w:sz w:val="20"/>
          <w:szCs w:val="20"/>
        </w:rPr>
        <w:t>How should we evaluate success and failure</w:t>
      </w:r>
      <w:r w:rsidR="0078309E" w:rsidRPr="00F43F81">
        <w:rPr>
          <w:sz w:val="20"/>
          <w:szCs w:val="20"/>
        </w:rPr>
        <w:t xml:space="preserve"> of social movements’ legal strategies for social change</w:t>
      </w:r>
      <w:r w:rsidRPr="00F43F81">
        <w:rPr>
          <w:sz w:val="20"/>
          <w:szCs w:val="20"/>
        </w:rPr>
        <w:t>?</w:t>
      </w:r>
      <w:r w:rsidR="0078309E" w:rsidRPr="00F43F81">
        <w:rPr>
          <w:sz w:val="20"/>
          <w:szCs w:val="20"/>
        </w:rPr>
        <w:t xml:space="preserve">  </w:t>
      </w:r>
    </w:p>
    <w:p w:rsidR="007724B8" w:rsidRPr="00F43F81" w:rsidRDefault="007724B8" w:rsidP="00F43F81">
      <w:pPr>
        <w:pStyle w:val="ListParagraph"/>
        <w:numPr>
          <w:ilvl w:val="0"/>
          <w:numId w:val="9"/>
        </w:numPr>
        <w:rPr>
          <w:sz w:val="20"/>
          <w:szCs w:val="20"/>
        </w:rPr>
      </w:pPr>
      <w:r w:rsidRPr="00F43F81">
        <w:rPr>
          <w:sz w:val="20"/>
          <w:szCs w:val="20"/>
        </w:rPr>
        <w:t>What are the barriers to social movements achieving long term success through legal strategies?</w:t>
      </w:r>
    </w:p>
    <w:p w:rsidR="00875EF4" w:rsidRPr="008F7400" w:rsidRDefault="00875EF4" w:rsidP="00635C0D">
      <w:pPr>
        <w:rPr>
          <w:b/>
          <w:sz w:val="20"/>
          <w:szCs w:val="20"/>
        </w:rPr>
      </w:pPr>
    </w:p>
    <w:p w:rsidR="009441AA" w:rsidRPr="00F552DB" w:rsidRDefault="00F552DB" w:rsidP="00635C0D">
      <w:pPr>
        <w:rPr>
          <w:sz w:val="20"/>
          <w:szCs w:val="20"/>
        </w:rPr>
      </w:pPr>
      <w:r>
        <w:rPr>
          <w:b/>
          <w:sz w:val="20"/>
          <w:szCs w:val="20"/>
        </w:rPr>
        <w:t xml:space="preserve">April 1 </w:t>
      </w:r>
      <w:r w:rsidR="00EE549D" w:rsidRPr="008F7400">
        <w:rPr>
          <w:b/>
          <w:sz w:val="20"/>
          <w:szCs w:val="20"/>
        </w:rPr>
        <w:t>–</w:t>
      </w:r>
      <w:r w:rsidR="003E3F80" w:rsidRPr="008F7400">
        <w:rPr>
          <w:b/>
          <w:sz w:val="20"/>
          <w:szCs w:val="20"/>
        </w:rPr>
        <w:t xml:space="preserve"> </w:t>
      </w:r>
      <w:r w:rsidR="00EE549D" w:rsidRPr="008F7400">
        <w:rPr>
          <w:b/>
          <w:sz w:val="20"/>
          <w:szCs w:val="20"/>
        </w:rPr>
        <w:t xml:space="preserve">CAN LITIGATION AND COURTS BRING ABOUT SOCIAL CHANGE </w:t>
      </w:r>
    </w:p>
    <w:p w:rsidR="007724B8" w:rsidRPr="008F7400" w:rsidRDefault="00F702DD" w:rsidP="00875EF4">
      <w:pPr>
        <w:ind w:left="1332" w:hanging="612"/>
        <w:rPr>
          <w:sz w:val="20"/>
          <w:szCs w:val="20"/>
        </w:rPr>
      </w:pPr>
      <w:r w:rsidRPr="008F7400">
        <w:rPr>
          <w:sz w:val="20"/>
          <w:szCs w:val="20"/>
        </w:rPr>
        <w:t>Gerald Rosenberg</w:t>
      </w:r>
      <w:r w:rsidR="00085225" w:rsidRPr="008F7400">
        <w:rPr>
          <w:sz w:val="20"/>
          <w:szCs w:val="20"/>
        </w:rPr>
        <w:t xml:space="preserve">. (2008) </w:t>
      </w:r>
      <w:r w:rsidRPr="008F7400">
        <w:rPr>
          <w:i/>
          <w:sz w:val="20"/>
          <w:szCs w:val="20"/>
        </w:rPr>
        <w:t>The Hollow Hope</w:t>
      </w:r>
      <w:r w:rsidRPr="008F7400">
        <w:rPr>
          <w:sz w:val="20"/>
          <w:szCs w:val="20"/>
        </w:rPr>
        <w:t>.  University of Chicago Press</w:t>
      </w:r>
      <w:r w:rsidR="00085225" w:rsidRPr="008F7400">
        <w:rPr>
          <w:sz w:val="20"/>
          <w:szCs w:val="20"/>
        </w:rPr>
        <w:t xml:space="preserve"> (2</w:t>
      </w:r>
      <w:r w:rsidR="00085225" w:rsidRPr="008F7400">
        <w:rPr>
          <w:sz w:val="20"/>
          <w:szCs w:val="20"/>
          <w:vertAlign w:val="superscript"/>
        </w:rPr>
        <w:t>nd</w:t>
      </w:r>
      <w:r w:rsidR="00085225" w:rsidRPr="008F7400">
        <w:rPr>
          <w:sz w:val="20"/>
          <w:szCs w:val="20"/>
        </w:rPr>
        <w:t xml:space="preserve"> Ed.).  Read </w:t>
      </w:r>
      <w:r w:rsidR="00E72E9D">
        <w:rPr>
          <w:sz w:val="20"/>
          <w:szCs w:val="20"/>
        </w:rPr>
        <w:t>pp. 1-156</w:t>
      </w:r>
      <w:r w:rsidRPr="008F7400">
        <w:rPr>
          <w:sz w:val="20"/>
          <w:szCs w:val="20"/>
        </w:rPr>
        <w:t>.</w:t>
      </w:r>
      <w:r w:rsidR="00E72E9D">
        <w:rPr>
          <w:sz w:val="20"/>
          <w:szCs w:val="20"/>
        </w:rPr>
        <w:t xml:space="preserve"> [on bCourses].</w:t>
      </w:r>
    </w:p>
    <w:p w:rsidR="004A56D6" w:rsidRDefault="004A56D6">
      <w:pPr>
        <w:rPr>
          <w:b/>
          <w:sz w:val="20"/>
          <w:szCs w:val="20"/>
        </w:rPr>
      </w:pPr>
    </w:p>
    <w:p w:rsidR="00085225" w:rsidRPr="008F7400" w:rsidRDefault="00E72E9D" w:rsidP="00027BA4">
      <w:pPr>
        <w:rPr>
          <w:b/>
          <w:sz w:val="20"/>
          <w:szCs w:val="20"/>
        </w:rPr>
      </w:pPr>
      <w:r>
        <w:rPr>
          <w:b/>
          <w:sz w:val="20"/>
          <w:szCs w:val="20"/>
        </w:rPr>
        <w:br w:type="column"/>
      </w:r>
      <w:r w:rsidR="00F552DB">
        <w:rPr>
          <w:b/>
          <w:sz w:val="20"/>
          <w:szCs w:val="20"/>
        </w:rPr>
        <w:t>April 8</w:t>
      </w:r>
      <w:r w:rsidR="00395B54" w:rsidRPr="008F7400">
        <w:rPr>
          <w:b/>
          <w:sz w:val="20"/>
          <w:szCs w:val="20"/>
        </w:rPr>
        <w:t xml:space="preserve"> –</w:t>
      </w:r>
      <w:r w:rsidR="00F552DB">
        <w:rPr>
          <w:b/>
          <w:sz w:val="20"/>
          <w:szCs w:val="20"/>
        </w:rPr>
        <w:t xml:space="preserve"> </w:t>
      </w:r>
      <w:r w:rsidR="00395B54" w:rsidRPr="008F7400">
        <w:rPr>
          <w:b/>
          <w:sz w:val="20"/>
          <w:szCs w:val="20"/>
        </w:rPr>
        <w:t>MEASURING SOCIAL MOVEMENT IMPACT</w:t>
      </w:r>
      <w:r w:rsidR="00395B54" w:rsidRPr="008F7400">
        <w:rPr>
          <w:b/>
          <w:sz w:val="20"/>
          <w:szCs w:val="20"/>
          <w:u w:val="single"/>
        </w:rPr>
        <w:t xml:space="preserve"> </w:t>
      </w:r>
    </w:p>
    <w:p w:rsidR="003769B1" w:rsidRPr="008F7400" w:rsidRDefault="003769B1" w:rsidP="003769B1">
      <w:pPr>
        <w:ind w:left="1260" w:hanging="540"/>
        <w:rPr>
          <w:sz w:val="20"/>
        </w:rPr>
      </w:pPr>
      <w:r w:rsidRPr="008F7400">
        <w:rPr>
          <w:sz w:val="20"/>
        </w:rPr>
        <w:t xml:space="preserve">Gerald Rosenberg. (1996) “Positivism, Interpretivism, and the Study of Law.” </w:t>
      </w:r>
      <w:r w:rsidRPr="008F7400">
        <w:rPr>
          <w:i/>
          <w:sz w:val="20"/>
        </w:rPr>
        <w:t>Law &amp; Social Inquiry</w:t>
      </w:r>
      <w:r w:rsidRPr="008F7400">
        <w:rPr>
          <w:sz w:val="20"/>
        </w:rPr>
        <w:t xml:space="preserve"> 21:435-456.</w:t>
      </w:r>
    </w:p>
    <w:p w:rsidR="003769B1" w:rsidRPr="008F7400" w:rsidRDefault="003769B1" w:rsidP="003769B1">
      <w:pPr>
        <w:ind w:left="1260" w:hanging="540"/>
        <w:rPr>
          <w:sz w:val="20"/>
        </w:rPr>
      </w:pPr>
    </w:p>
    <w:p w:rsidR="003769B1" w:rsidRPr="008F7400" w:rsidRDefault="003769B1" w:rsidP="003769B1">
      <w:pPr>
        <w:ind w:left="1260" w:hanging="540"/>
        <w:rPr>
          <w:sz w:val="20"/>
        </w:rPr>
      </w:pPr>
      <w:r w:rsidRPr="008F7400">
        <w:rPr>
          <w:sz w:val="20"/>
        </w:rPr>
        <w:t xml:space="preserve">Michael McCann. (1996) “Causal v. Constitutive Explanations (or, On the Difficulty of Being so Positive . . .),” </w:t>
      </w:r>
      <w:r w:rsidRPr="008F7400">
        <w:rPr>
          <w:i/>
          <w:sz w:val="20"/>
        </w:rPr>
        <w:t>Law &amp; Social Inquiry</w:t>
      </w:r>
      <w:r w:rsidRPr="008F7400">
        <w:rPr>
          <w:sz w:val="20"/>
        </w:rPr>
        <w:t xml:space="preserve"> 21:457-482.</w:t>
      </w:r>
    </w:p>
    <w:p w:rsidR="00CA6856" w:rsidRPr="008F7400" w:rsidRDefault="00CA6856" w:rsidP="00F552DB">
      <w:pPr>
        <w:rPr>
          <w:sz w:val="20"/>
          <w:szCs w:val="20"/>
        </w:rPr>
      </w:pPr>
    </w:p>
    <w:p w:rsidR="00E72E9D" w:rsidRPr="008F7400" w:rsidRDefault="00E72E9D" w:rsidP="00E72E9D">
      <w:pPr>
        <w:ind w:left="720"/>
        <w:rPr>
          <w:sz w:val="20"/>
          <w:szCs w:val="20"/>
        </w:rPr>
      </w:pPr>
      <w:r w:rsidRPr="008F7400">
        <w:rPr>
          <w:sz w:val="20"/>
          <w:szCs w:val="20"/>
        </w:rPr>
        <w:t xml:space="preserve">Marco Giugni. (1998) “Was it Worth the Effort?  The Outcomes and Consequences of Social Movements.” </w:t>
      </w:r>
      <w:r w:rsidRPr="008F7400">
        <w:rPr>
          <w:i/>
          <w:sz w:val="20"/>
          <w:szCs w:val="20"/>
        </w:rPr>
        <w:t xml:space="preserve">Annual Review of Sociology </w:t>
      </w:r>
      <w:r w:rsidRPr="008F7400">
        <w:rPr>
          <w:sz w:val="20"/>
          <w:szCs w:val="20"/>
        </w:rPr>
        <w:t>24:371-393.</w:t>
      </w:r>
    </w:p>
    <w:p w:rsidR="00E72E9D" w:rsidRDefault="00E72E9D" w:rsidP="00635C0D">
      <w:pPr>
        <w:rPr>
          <w:b/>
          <w:sz w:val="20"/>
          <w:szCs w:val="20"/>
        </w:rPr>
      </w:pPr>
    </w:p>
    <w:p w:rsidR="009441AA" w:rsidRPr="008F7400" w:rsidRDefault="00663EA7" w:rsidP="00635C0D">
      <w:pPr>
        <w:rPr>
          <w:b/>
          <w:sz w:val="20"/>
          <w:szCs w:val="20"/>
        </w:rPr>
      </w:pPr>
      <w:r>
        <w:rPr>
          <w:b/>
          <w:sz w:val="20"/>
          <w:szCs w:val="20"/>
        </w:rPr>
        <w:t>APRIL 15 –</w:t>
      </w:r>
      <w:r w:rsidR="00F43F81">
        <w:rPr>
          <w:b/>
          <w:sz w:val="20"/>
          <w:szCs w:val="20"/>
        </w:rPr>
        <w:t xml:space="preserve"> </w:t>
      </w:r>
      <w:r w:rsidR="00A242B5">
        <w:rPr>
          <w:b/>
          <w:sz w:val="20"/>
          <w:szCs w:val="20"/>
        </w:rPr>
        <w:t>THE CIVIL RIGHTS MOVEMENT REVISITED</w:t>
      </w:r>
    </w:p>
    <w:p w:rsidR="009441AA" w:rsidRPr="008F7400" w:rsidRDefault="00027BA4" w:rsidP="00875EF4">
      <w:pPr>
        <w:ind w:left="720"/>
        <w:rPr>
          <w:sz w:val="20"/>
          <w:szCs w:val="20"/>
        </w:rPr>
      </w:pPr>
      <w:r w:rsidRPr="008F7400">
        <w:rPr>
          <w:sz w:val="20"/>
          <w:szCs w:val="20"/>
        </w:rPr>
        <w:t>Risa Goluboff. (2007)</w:t>
      </w:r>
      <w:r w:rsidR="009441AA" w:rsidRPr="008F7400">
        <w:rPr>
          <w:sz w:val="20"/>
          <w:szCs w:val="20"/>
        </w:rPr>
        <w:t xml:space="preserve"> </w:t>
      </w:r>
      <w:r w:rsidR="009441AA" w:rsidRPr="008F7400">
        <w:rPr>
          <w:i/>
          <w:sz w:val="20"/>
          <w:szCs w:val="20"/>
        </w:rPr>
        <w:t>The Lost Promise of Civil Rights</w:t>
      </w:r>
      <w:r w:rsidRPr="008F7400">
        <w:rPr>
          <w:i/>
          <w:sz w:val="20"/>
          <w:szCs w:val="20"/>
        </w:rPr>
        <w:t>.</w:t>
      </w:r>
      <w:r w:rsidR="009441AA" w:rsidRPr="008F7400">
        <w:rPr>
          <w:sz w:val="20"/>
          <w:szCs w:val="20"/>
        </w:rPr>
        <w:t xml:space="preserve"> Harvard University Press.</w:t>
      </w:r>
    </w:p>
    <w:p w:rsidR="003E3F80" w:rsidRPr="008F7400" w:rsidRDefault="003E3F80" w:rsidP="0090783D">
      <w:pPr>
        <w:rPr>
          <w:b/>
          <w:sz w:val="20"/>
          <w:szCs w:val="20"/>
        </w:rPr>
      </w:pPr>
    </w:p>
    <w:p w:rsidR="008939DA" w:rsidRPr="008F7400" w:rsidRDefault="008939DA" w:rsidP="0090783D">
      <w:pPr>
        <w:rPr>
          <w:b/>
          <w:sz w:val="20"/>
          <w:szCs w:val="20"/>
        </w:rPr>
      </w:pPr>
    </w:p>
    <w:tbl>
      <w:tblPr>
        <w:tblW w:w="0" w:type="auto"/>
        <w:tblLook w:val="01E0"/>
      </w:tblPr>
      <w:tblGrid>
        <w:gridCol w:w="1908"/>
        <w:gridCol w:w="6948"/>
      </w:tblGrid>
      <w:tr w:rsidR="008939DA" w:rsidRPr="008F7400" w:rsidTr="008939DA">
        <w:tc>
          <w:tcPr>
            <w:tcW w:w="1908" w:type="dxa"/>
          </w:tcPr>
          <w:p w:rsidR="008939DA" w:rsidRPr="008F7400" w:rsidRDefault="00F552DB" w:rsidP="008939DA">
            <w:pPr>
              <w:rPr>
                <w:b/>
                <w:sz w:val="20"/>
              </w:rPr>
            </w:pPr>
            <w:r>
              <w:rPr>
                <w:b/>
                <w:sz w:val="20"/>
              </w:rPr>
              <w:t>May 8</w:t>
            </w:r>
            <w:r w:rsidR="008939DA" w:rsidRPr="008F7400">
              <w:rPr>
                <w:b/>
                <w:sz w:val="20"/>
                <w:vertAlign w:val="superscript"/>
              </w:rPr>
              <w:t>th</w:t>
            </w:r>
            <w:r w:rsidR="008939DA" w:rsidRPr="008F7400">
              <w:rPr>
                <w:b/>
                <w:sz w:val="20"/>
              </w:rPr>
              <w:t xml:space="preserve"> </w:t>
            </w:r>
          </w:p>
        </w:tc>
        <w:tc>
          <w:tcPr>
            <w:tcW w:w="6948" w:type="dxa"/>
          </w:tcPr>
          <w:p w:rsidR="008939DA" w:rsidRPr="00F552DB" w:rsidRDefault="008939DA" w:rsidP="00F552DB">
            <w:pPr>
              <w:rPr>
                <w:b/>
                <w:sz w:val="20"/>
                <w:u w:val="single"/>
              </w:rPr>
            </w:pPr>
            <w:r w:rsidRPr="008F7400">
              <w:rPr>
                <w:b/>
                <w:sz w:val="20"/>
              </w:rPr>
              <w:t xml:space="preserve">FINAL PAPERS ARE DUE NO LATER THAN MAY </w:t>
            </w:r>
            <w:r w:rsidR="00F552DB">
              <w:rPr>
                <w:b/>
                <w:sz w:val="20"/>
              </w:rPr>
              <w:t>8th</w:t>
            </w:r>
            <w:r w:rsidRPr="008F7400">
              <w:rPr>
                <w:b/>
                <w:sz w:val="20"/>
              </w:rPr>
              <w:t xml:space="preserve"> AT 4PM IN MY BOX AT THE JSP BUILDING</w:t>
            </w:r>
            <w:r w:rsidR="00F552DB">
              <w:rPr>
                <w:b/>
                <w:sz w:val="20"/>
              </w:rPr>
              <w:t xml:space="preserve"> – </w:t>
            </w:r>
            <w:r w:rsidR="00F552DB">
              <w:rPr>
                <w:b/>
                <w:sz w:val="20"/>
                <w:u w:val="single"/>
              </w:rPr>
              <w:t>IN HARD COPY PLEASE!!</w:t>
            </w:r>
          </w:p>
        </w:tc>
      </w:tr>
    </w:tbl>
    <w:p w:rsidR="008939DA" w:rsidRPr="008F7400" w:rsidRDefault="008939DA" w:rsidP="008939DA">
      <w:pPr>
        <w:rPr>
          <w:sz w:val="20"/>
        </w:rPr>
      </w:pPr>
    </w:p>
    <w:p w:rsidR="008939DA" w:rsidRPr="008F7400" w:rsidRDefault="008939DA" w:rsidP="0090783D">
      <w:pPr>
        <w:rPr>
          <w:b/>
          <w:sz w:val="20"/>
          <w:szCs w:val="20"/>
        </w:rPr>
      </w:pPr>
    </w:p>
    <w:sectPr w:rsidR="008939DA" w:rsidRPr="008F7400" w:rsidSect="00D6211E">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EFE" w:rsidRDefault="00F85EFE">
      <w:r>
        <w:separator/>
      </w:r>
    </w:p>
  </w:endnote>
  <w:endnote w:type="continuationSeparator" w:id="0">
    <w:p w:rsidR="00F85EFE" w:rsidRDefault="00F85E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397" w:rsidRDefault="00AB5B2B" w:rsidP="005A68EB">
    <w:pPr>
      <w:pStyle w:val="Footer"/>
      <w:framePr w:wrap="around" w:vAnchor="text" w:hAnchor="margin" w:xAlign="center" w:y="1"/>
      <w:rPr>
        <w:rStyle w:val="PageNumber"/>
      </w:rPr>
    </w:pPr>
    <w:r>
      <w:rPr>
        <w:rStyle w:val="PageNumber"/>
      </w:rPr>
      <w:fldChar w:fldCharType="begin"/>
    </w:r>
    <w:r w:rsidR="00877397">
      <w:rPr>
        <w:rStyle w:val="PageNumber"/>
      </w:rPr>
      <w:instrText xml:space="preserve">PAGE  </w:instrText>
    </w:r>
    <w:r>
      <w:rPr>
        <w:rStyle w:val="PageNumber"/>
      </w:rPr>
      <w:fldChar w:fldCharType="end"/>
    </w:r>
  </w:p>
  <w:p w:rsidR="00877397" w:rsidRDefault="008773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397" w:rsidRDefault="00AB5B2B" w:rsidP="005A68EB">
    <w:pPr>
      <w:pStyle w:val="Footer"/>
      <w:framePr w:wrap="around" w:vAnchor="text" w:hAnchor="margin" w:xAlign="center" w:y="1"/>
      <w:rPr>
        <w:rStyle w:val="PageNumber"/>
      </w:rPr>
    </w:pPr>
    <w:r>
      <w:rPr>
        <w:rStyle w:val="PageNumber"/>
      </w:rPr>
      <w:fldChar w:fldCharType="begin"/>
    </w:r>
    <w:r w:rsidR="00877397">
      <w:rPr>
        <w:rStyle w:val="PageNumber"/>
      </w:rPr>
      <w:instrText xml:space="preserve">PAGE  </w:instrText>
    </w:r>
    <w:r>
      <w:rPr>
        <w:rStyle w:val="PageNumber"/>
      </w:rPr>
      <w:fldChar w:fldCharType="separate"/>
    </w:r>
    <w:r w:rsidR="005F589F">
      <w:rPr>
        <w:rStyle w:val="PageNumber"/>
        <w:noProof/>
      </w:rPr>
      <w:t>1</w:t>
    </w:r>
    <w:r>
      <w:rPr>
        <w:rStyle w:val="PageNumber"/>
      </w:rPr>
      <w:fldChar w:fldCharType="end"/>
    </w:r>
  </w:p>
  <w:p w:rsidR="00877397" w:rsidRDefault="008773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EFE" w:rsidRDefault="00F85EFE">
      <w:r>
        <w:separator/>
      </w:r>
    </w:p>
  </w:footnote>
  <w:footnote w:type="continuationSeparator" w:id="0">
    <w:p w:rsidR="00F85EFE" w:rsidRDefault="00F85E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C1AA6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913F7A"/>
    <w:multiLevelType w:val="hybridMultilevel"/>
    <w:tmpl w:val="4DA656EC"/>
    <w:lvl w:ilvl="0" w:tplc="B61253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376293"/>
    <w:multiLevelType w:val="hybridMultilevel"/>
    <w:tmpl w:val="DD7A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C046F7"/>
    <w:multiLevelType w:val="singleLevel"/>
    <w:tmpl w:val="8E02780C"/>
    <w:lvl w:ilvl="0">
      <w:start w:val="1"/>
      <w:numFmt w:val="decimal"/>
      <w:lvlText w:val="%1. "/>
      <w:legacy w:legacy="1" w:legacySpace="0" w:legacyIndent="360"/>
      <w:lvlJc w:val="left"/>
      <w:pPr>
        <w:ind w:left="360" w:hanging="360"/>
      </w:pPr>
      <w:rPr>
        <w:rFonts w:ascii="Century Schoolbook" w:hAnsi="Century Schoolbook" w:hint="default"/>
        <w:b w:val="0"/>
        <w:i w:val="0"/>
        <w:sz w:val="20"/>
        <w:u w:val="none"/>
      </w:rPr>
    </w:lvl>
  </w:abstractNum>
  <w:abstractNum w:abstractNumId="4">
    <w:nsid w:val="3B1670FA"/>
    <w:multiLevelType w:val="hybridMultilevel"/>
    <w:tmpl w:val="C3460640"/>
    <w:lvl w:ilvl="0" w:tplc="C262C7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C9019D"/>
    <w:multiLevelType w:val="hybridMultilevel"/>
    <w:tmpl w:val="4738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98314C"/>
    <w:multiLevelType w:val="hybridMultilevel"/>
    <w:tmpl w:val="BA42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601EE8"/>
    <w:multiLevelType w:val="hybridMultilevel"/>
    <w:tmpl w:val="4B264E14"/>
    <w:lvl w:ilvl="0" w:tplc="B00C70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2A0CAD"/>
    <w:multiLevelType w:val="hybridMultilevel"/>
    <w:tmpl w:val="EC0A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4"/>
  </w:num>
  <w:num w:numId="6">
    <w:abstractNumId w:val="6"/>
  </w:num>
  <w:num w:numId="7">
    <w:abstractNumId w:val="8"/>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stylePaneFormatFilter w:val="3F01"/>
  <w:defaultTabStop w:val="720"/>
  <w:characterSpacingControl w:val="doNotCompress"/>
  <w:savePreviewPicture/>
  <w:footnotePr>
    <w:footnote w:id="-1"/>
    <w:footnote w:id="0"/>
  </w:footnotePr>
  <w:endnotePr>
    <w:endnote w:id="-1"/>
    <w:endnote w:id="0"/>
  </w:endnotePr>
  <w:compat/>
  <w:rsids>
    <w:rsidRoot w:val="006D2EBF"/>
    <w:rsid w:val="00027BA4"/>
    <w:rsid w:val="00036C03"/>
    <w:rsid w:val="000820DE"/>
    <w:rsid w:val="00085225"/>
    <w:rsid w:val="00095B8A"/>
    <w:rsid w:val="000B3FBE"/>
    <w:rsid w:val="000D0C50"/>
    <w:rsid w:val="000D6E27"/>
    <w:rsid w:val="000E0B40"/>
    <w:rsid w:val="000F1CFA"/>
    <w:rsid w:val="001145B2"/>
    <w:rsid w:val="00130565"/>
    <w:rsid w:val="00136E98"/>
    <w:rsid w:val="0015669C"/>
    <w:rsid w:val="001A28F4"/>
    <w:rsid w:val="001C2DF9"/>
    <w:rsid w:val="001E65D3"/>
    <w:rsid w:val="001F26E5"/>
    <w:rsid w:val="002240BF"/>
    <w:rsid w:val="00224E9C"/>
    <w:rsid w:val="00224F5A"/>
    <w:rsid w:val="00231B70"/>
    <w:rsid w:val="002A429D"/>
    <w:rsid w:val="002B5A89"/>
    <w:rsid w:val="002C27C5"/>
    <w:rsid w:val="003005FA"/>
    <w:rsid w:val="00304B1D"/>
    <w:rsid w:val="00305B15"/>
    <w:rsid w:val="00314170"/>
    <w:rsid w:val="0033440B"/>
    <w:rsid w:val="00347CE1"/>
    <w:rsid w:val="003541B3"/>
    <w:rsid w:val="00361CDE"/>
    <w:rsid w:val="003769B1"/>
    <w:rsid w:val="00376EB2"/>
    <w:rsid w:val="00394EDB"/>
    <w:rsid w:val="00395B54"/>
    <w:rsid w:val="003C5E9A"/>
    <w:rsid w:val="003D13C4"/>
    <w:rsid w:val="003D4E58"/>
    <w:rsid w:val="003D75A4"/>
    <w:rsid w:val="003E2446"/>
    <w:rsid w:val="003E3F80"/>
    <w:rsid w:val="003E5E45"/>
    <w:rsid w:val="003E64CD"/>
    <w:rsid w:val="003F78EE"/>
    <w:rsid w:val="004024CB"/>
    <w:rsid w:val="00410222"/>
    <w:rsid w:val="00413339"/>
    <w:rsid w:val="004230D0"/>
    <w:rsid w:val="004403B7"/>
    <w:rsid w:val="004471DF"/>
    <w:rsid w:val="00495EA5"/>
    <w:rsid w:val="00496ECF"/>
    <w:rsid w:val="004A56D6"/>
    <w:rsid w:val="00510BD6"/>
    <w:rsid w:val="005166CE"/>
    <w:rsid w:val="00526FF1"/>
    <w:rsid w:val="00533750"/>
    <w:rsid w:val="0053451F"/>
    <w:rsid w:val="005437BB"/>
    <w:rsid w:val="00545770"/>
    <w:rsid w:val="00551DAD"/>
    <w:rsid w:val="005A68EB"/>
    <w:rsid w:val="005B301C"/>
    <w:rsid w:val="005C7B72"/>
    <w:rsid w:val="005E71BD"/>
    <w:rsid w:val="005F589F"/>
    <w:rsid w:val="00620B1D"/>
    <w:rsid w:val="00623896"/>
    <w:rsid w:val="00635C0D"/>
    <w:rsid w:val="00663EA7"/>
    <w:rsid w:val="006678D3"/>
    <w:rsid w:val="006B69EF"/>
    <w:rsid w:val="006D2EBF"/>
    <w:rsid w:val="006D4466"/>
    <w:rsid w:val="00717D82"/>
    <w:rsid w:val="007212FD"/>
    <w:rsid w:val="007351DA"/>
    <w:rsid w:val="00752D15"/>
    <w:rsid w:val="00762D82"/>
    <w:rsid w:val="0076680D"/>
    <w:rsid w:val="007724B8"/>
    <w:rsid w:val="00772BDC"/>
    <w:rsid w:val="0078309E"/>
    <w:rsid w:val="00791E72"/>
    <w:rsid w:val="007A1DB6"/>
    <w:rsid w:val="007A3A89"/>
    <w:rsid w:val="007B1185"/>
    <w:rsid w:val="007F135B"/>
    <w:rsid w:val="008218CE"/>
    <w:rsid w:val="0083149F"/>
    <w:rsid w:val="00834AE2"/>
    <w:rsid w:val="00837946"/>
    <w:rsid w:val="00865ADF"/>
    <w:rsid w:val="00875EF4"/>
    <w:rsid w:val="00877397"/>
    <w:rsid w:val="0088494D"/>
    <w:rsid w:val="008937E2"/>
    <w:rsid w:val="008939DA"/>
    <w:rsid w:val="008F7400"/>
    <w:rsid w:val="0090783D"/>
    <w:rsid w:val="0092079F"/>
    <w:rsid w:val="00926ACA"/>
    <w:rsid w:val="00930767"/>
    <w:rsid w:val="009414C8"/>
    <w:rsid w:val="009441AA"/>
    <w:rsid w:val="00975D09"/>
    <w:rsid w:val="009D1BF9"/>
    <w:rsid w:val="009F21EE"/>
    <w:rsid w:val="009F3837"/>
    <w:rsid w:val="00A03863"/>
    <w:rsid w:val="00A15293"/>
    <w:rsid w:val="00A242B5"/>
    <w:rsid w:val="00A3675C"/>
    <w:rsid w:val="00A4069B"/>
    <w:rsid w:val="00A426C9"/>
    <w:rsid w:val="00A46D40"/>
    <w:rsid w:val="00A64DAE"/>
    <w:rsid w:val="00A66CE3"/>
    <w:rsid w:val="00AB5B2B"/>
    <w:rsid w:val="00AC740C"/>
    <w:rsid w:val="00AC7AD8"/>
    <w:rsid w:val="00AD0E92"/>
    <w:rsid w:val="00AF59F7"/>
    <w:rsid w:val="00B153F2"/>
    <w:rsid w:val="00B35B15"/>
    <w:rsid w:val="00B72F71"/>
    <w:rsid w:val="00BB271C"/>
    <w:rsid w:val="00BB6045"/>
    <w:rsid w:val="00BE622C"/>
    <w:rsid w:val="00BF3CF8"/>
    <w:rsid w:val="00BF48B8"/>
    <w:rsid w:val="00C03717"/>
    <w:rsid w:val="00C474DD"/>
    <w:rsid w:val="00C475F3"/>
    <w:rsid w:val="00C602DB"/>
    <w:rsid w:val="00C64025"/>
    <w:rsid w:val="00C64CBE"/>
    <w:rsid w:val="00C80E94"/>
    <w:rsid w:val="00C9424A"/>
    <w:rsid w:val="00C94A59"/>
    <w:rsid w:val="00CA6856"/>
    <w:rsid w:val="00CC6263"/>
    <w:rsid w:val="00CD0A85"/>
    <w:rsid w:val="00CD1675"/>
    <w:rsid w:val="00CE235D"/>
    <w:rsid w:val="00D05133"/>
    <w:rsid w:val="00D10EA9"/>
    <w:rsid w:val="00D122E9"/>
    <w:rsid w:val="00D3255E"/>
    <w:rsid w:val="00D35D31"/>
    <w:rsid w:val="00D51A38"/>
    <w:rsid w:val="00D6211E"/>
    <w:rsid w:val="00D6520E"/>
    <w:rsid w:val="00D75DED"/>
    <w:rsid w:val="00DA0B05"/>
    <w:rsid w:val="00DD43AA"/>
    <w:rsid w:val="00DD731A"/>
    <w:rsid w:val="00DE3C8B"/>
    <w:rsid w:val="00DF5F32"/>
    <w:rsid w:val="00E10C64"/>
    <w:rsid w:val="00E43D8C"/>
    <w:rsid w:val="00E72E9D"/>
    <w:rsid w:val="00EB1385"/>
    <w:rsid w:val="00ED3B6C"/>
    <w:rsid w:val="00ED7E22"/>
    <w:rsid w:val="00EE2917"/>
    <w:rsid w:val="00EE2D33"/>
    <w:rsid w:val="00EE3474"/>
    <w:rsid w:val="00EE4876"/>
    <w:rsid w:val="00EE549D"/>
    <w:rsid w:val="00EF4D73"/>
    <w:rsid w:val="00F04B13"/>
    <w:rsid w:val="00F211A6"/>
    <w:rsid w:val="00F35E10"/>
    <w:rsid w:val="00F41D0A"/>
    <w:rsid w:val="00F43F81"/>
    <w:rsid w:val="00F552DB"/>
    <w:rsid w:val="00F56E71"/>
    <w:rsid w:val="00F670CB"/>
    <w:rsid w:val="00F702DD"/>
    <w:rsid w:val="00F85EFE"/>
    <w:rsid w:val="00F87ADF"/>
    <w:rsid w:val="00FB3DBC"/>
    <w:rsid w:val="00FB43AC"/>
    <w:rsid w:val="00FC1734"/>
    <w:rsid w:val="00FE5F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21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17D82"/>
    <w:rPr>
      <w:color w:val="0000FF"/>
      <w:u w:val="single"/>
    </w:rPr>
  </w:style>
  <w:style w:type="paragraph" w:styleId="HTMLPreformatted">
    <w:name w:val="HTML Preformatted"/>
    <w:basedOn w:val="Normal"/>
    <w:rsid w:val="00837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er">
    <w:name w:val="footer"/>
    <w:basedOn w:val="Normal"/>
    <w:rsid w:val="00EB1385"/>
    <w:pPr>
      <w:tabs>
        <w:tab w:val="center" w:pos="4320"/>
        <w:tab w:val="right" w:pos="8640"/>
      </w:tabs>
    </w:pPr>
  </w:style>
  <w:style w:type="character" w:styleId="PageNumber">
    <w:name w:val="page number"/>
    <w:basedOn w:val="DefaultParagraphFont"/>
    <w:rsid w:val="00EB1385"/>
  </w:style>
  <w:style w:type="paragraph" w:styleId="ListParagraph">
    <w:name w:val="List Paragraph"/>
    <w:basedOn w:val="Normal"/>
    <w:uiPriority w:val="72"/>
    <w:rsid w:val="000B3FB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17D82"/>
    <w:rPr>
      <w:color w:val="0000FF"/>
      <w:u w:val="single"/>
    </w:rPr>
  </w:style>
  <w:style w:type="paragraph" w:styleId="HTMLPreformatted">
    <w:name w:val="HTML Preformatted"/>
    <w:basedOn w:val="Normal"/>
    <w:rsid w:val="00837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er">
    <w:name w:val="footer"/>
    <w:basedOn w:val="Normal"/>
    <w:rsid w:val="00EB1385"/>
    <w:pPr>
      <w:tabs>
        <w:tab w:val="center" w:pos="4320"/>
        <w:tab w:val="right" w:pos="8640"/>
      </w:tabs>
    </w:pPr>
  </w:style>
  <w:style w:type="character" w:styleId="PageNumber">
    <w:name w:val="page number"/>
    <w:basedOn w:val="DefaultParagraphFont"/>
    <w:rsid w:val="00EB1385"/>
  </w:style>
  <w:style w:type="paragraph" w:styleId="ListParagraph">
    <w:name w:val="List Paragraph"/>
    <w:basedOn w:val="Normal"/>
    <w:uiPriority w:val="72"/>
    <w:rsid w:val="000B3FBE"/>
    <w:pPr>
      <w:ind w:left="720"/>
      <w:contextualSpacing/>
    </w:pPr>
  </w:style>
</w:styles>
</file>

<file path=word/webSettings.xml><?xml version="1.0" encoding="utf-8"?>
<w:webSettings xmlns:r="http://schemas.openxmlformats.org/officeDocument/2006/relationships" xmlns:w="http://schemas.openxmlformats.org/wordprocessingml/2006/main">
  <w:divs>
    <w:div w:id="469175651">
      <w:bodyDiv w:val="1"/>
      <w:marLeft w:val="0"/>
      <w:marRight w:val="0"/>
      <w:marTop w:val="0"/>
      <w:marBottom w:val="0"/>
      <w:divBdr>
        <w:top w:val="none" w:sz="0" w:space="0" w:color="auto"/>
        <w:left w:val="none" w:sz="0" w:space="0" w:color="auto"/>
        <w:bottom w:val="none" w:sz="0" w:space="0" w:color="auto"/>
        <w:right w:val="none" w:sz="0" w:space="0" w:color="auto"/>
      </w:divBdr>
      <w:divsChild>
        <w:div w:id="949631624">
          <w:marLeft w:val="0"/>
          <w:marRight w:val="0"/>
          <w:marTop w:val="0"/>
          <w:marBottom w:val="0"/>
          <w:divBdr>
            <w:top w:val="none" w:sz="0" w:space="0" w:color="auto"/>
            <w:left w:val="none" w:sz="0" w:space="0" w:color="auto"/>
            <w:bottom w:val="none" w:sz="0" w:space="0" w:color="auto"/>
            <w:right w:val="none" w:sz="0" w:space="0" w:color="auto"/>
          </w:divBdr>
        </w:div>
      </w:divsChild>
    </w:div>
    <w:div w:id="674578432">
      <w:bodyDiv w:val="1"/>
      <w:marLeft w:val="0"/>
      <w:marRight w:val="0"/>
      <w:marTop w:val="0"/>
      <w:marBottom w:val="0"/>
      <w:divBdr>
        <w:top w:val="none" w:sz="0" w:space="0" w:color="auto"/>
        <w:left w:val="none" w:sz="0" w:space="0" w:color="auto"/>
        <w:bottom w:val="none" w:sz="0" w:space="0" w:color="auto"/>
        <w:right w:val="none" w:sz="0" w:space="0" w:color="auto"/>
      </w:divBdr>
      <w:divsChild>
        <w:div w:id="716702397">
          <w:marLeft w:val="0"/>
          <w:marRight w:val="0"/>
          <w:marTop w:val="0"/>
          <w:marBottom w:val="0"/>
          <w:divBdr>
            <w:top w:val="none" w:sz="0" w:space="0" w:color="auto"/>
            <w:left w:val="none" w:sz="0" w:space="0" w:color="auto"/>
            <w:bottom w:val="none" w:sz="0" w:space="0" w:color="auto"/>
            <w:right w:val="none" w:sz="0" w:space="0" w:color="auto"/>
          </w:divBdr>
        </w:div>
      </w:divsChild>
    </w:div>
    <w:div w:id="891117685">
      <w:bodyDiv w:val="1"/>
      <w:marLeft w:val="0"/>
      <w:marRight w:val="0"/>
      <w:marTop w:val="0"/>
      <w:marBottom w:val="0"/>
      <w:divBdr>
        <w:top w:val="none" w:sz="0" w:space="0" w:color="auto"/>
        <w:left w:val="none" w:sz="0" w:space="0" w:color="auto"/>
        <w:bottom w:val="none" w:sz="0" w:space="0" w:color="auto"/>
        <w:right w:val="none" w:sz="0" w:space="0" w:color="auto"/>
      </w:divBdr>
      <w:divsChild>
        <w:div w:id="1149196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nnualreviews.org/loi/lawsocsci"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calbiston@law.berkeley.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3128</Words>
  <Characters>17799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August 23 - Introduction</vt:lpstr>
    </vt:vector>
  </TitlesOfParts>
  <Company> </Company>
  <LinksUpToDate>false</LinksUpToDate>
  <CharactersWithSpaces>20886</CharactersWithSpaces>
  <SharedDoc>false</SharedDoc>
  <HLinks>
    <vt:vector size="6" baseType="variant">
      <vt:variant>
        <vt:i4>6225956</vt:i4>
      </vt:variant>
      <vt:variant>
        <vt:i4>0</vt:i4>
      </vt:variant>
      <vt:variant>
        <vt:i4>0</vt:i4>
      </vt:variant>
      <vt:variant>
        <vt:i4>5</vt:i4>
      </vt:variant>
      <vt:variant>
        <vt:lpwstr>mailto:calbiston@law.berkeley.edu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23 - Introduction</dc:title>
  <dc:subject/>
  <dc:creator>calbiston</dc:creator>
  <cp:keywords/>
  <dc:description/>
  <cp:lastModifiedBy>calbiston</cp:lastModifiedBy>
  <cp:revision>2</cp:revision>
  <cp:lastPrinted>2014-01-06T17:38:00Z</cp:lastPrinted>
  <dcterms:created xsi:type="dcterms:W3CDTF">2014-01-08T18:21:00Z</dcterms:created>
  <dcterms:modified xsi:type="dcterms:W3CDTF">2014-01-08T18:21:00Z</dcterms:modified>
</cp:coreProperties>
</file>