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89" w:rsidRPr="0048203B" w:rsidRDefault="00AA326B">
      <w:pPr>
        <w:pStyle w:val="CenterTextBold"/>
        <w:jc w:val="right"/>
        <w:rPr>
          <w:i/>
        </w:rPr>
      </w:pPr>
      <w:r w:rsidRPr="0048203B">
        <w:rPr>
          <w:i/>
        </w:rPr>
        <w:t>Syllabus</w:t>
      </w:r>
    </w:p>
    <w:p w:rsidR="009E7689" w:rsidRPr="0048203B" w:rsidRDefault="009E7689">
      <w:pPr>
        <w:pStyle w:val="CenterTextBold"/>
        <w:jc w:val="left"/>
        <w:rPr>
          <w:i/>
        </w:rPr>
      </w:pPr>
    </w:p>
    <w:p w:rsidR="009E7689" w:rsidRPr="0048203B" w:rsidRDefault="00AA326B">
      <w:pPr>
        <w:pStyle w:val="CenterTextBold"/>
      </w:pPr>
      <w:r w:rsidRPr="0048203B">
        <w:t>UC BERKELEY SCHOOL OF LAW</w:t>
      </w:r>
    </w:p>
    <w:p w:rsidR="005B48BC" w:rsidRPr="0048203B" w:rsidRDefault="005B48BC" w:rsidP="005B48BC">
      <w:pPr>
        <w:pStyle w:val="CenterText"/>
        <w:spacing w:before="0"/>
        <w:rPr>
          <w:b/>
          <w:color w:val="000000"/>
          <w:u w:val="single"/>
        </w:rPr>
      </w:pPr>
    </w:p>
    <w:p w:rsidR="009E7689" w:rsidRPr="0048203B" w:rsidRDefault="00AA326B">
      <w:pPr>
        <w:pStyle w:val="CenterText"/>
        <w:rPr>
          <w:b/>
          <w:caps/>
          <w:u w:val="single"/>
        </w:rPr>
      </w:pPr>
      <w:r w:rsidRPr="0048203B">
        <w:rPr>
          <w:b/>
          <w:color w:val="000000"/>
          <w:u w:val="single"/>
        </w:rPr>
        <w:t>Venture Capital and IPO Law:  Advising the Emerging Growth Company</w:t>
      </w:r>
    </w:p>
    <w:p w:rsidR="009E7689" w:rsidRPr="0048203B" w:rsidRDefault="009E76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9E7689" w:rsidRPr="0048203B" w:rsidRDefault="00AA326B">
      <w:pPr>
        <w:pStyle w:val="CenterText"/>
      </w:pPr>
      <w:r w:rsidRPr="0048203B">
        <w:t>**************************************</w:t>
      </w:r>
    </w:p>
    <w:p w:rsidR="009E7689" w:rsidRPr="0048203B" w:rsidRDefault="00AA326B">
      <w:pPr>
        <w:pStyle w:val="CenterText"/>
      </w:pPr>
      <w:r w:rsidRPr="0048203B">
        <w:t>SPRING SEMESTER, 2014</w:t>
      </w:r>
    </w:p>
    <w:p w:rsidR="009E7689" w:rsidRPr="0048203B" w:rsidRDefault="00AA326B">
      <w:pPr>
        <w:ind w:firstLine="0"/>
        <w:jc w:val="center"/>
      </w:pPr>
      <w:r w:rsidRPr="0048203B">
        <w:t>COURSE:  255 Sec. 1</w:t>
      </w:r>
    </w:p>
    <w:p w:rsidR="009E7689" w:rsidRPr="0048203B" w:rsidRDefault="00AA326B">
      <w:pPr>
        <w:pStyle w:val="CenterText"/>
        <w:rPr>
          <w:sz w:val="28"/>
          <w:szCs w:val="28"/>
        </w:rPr>
      </w:pPr>
      <w:r w:rsidRPr="0048203B">
        <w:rPr>
          <w:sz w:val="28"/>
          <w:szCs w:val="28"/>
        </w:rPr>
        <w:t>LECTURER: HERB FOCKLER</w:t>
      </w:r>
    </w:p>
    <w:p w:rsidR="009E7689" w:rsidRPr="0048203B" w:rsidRDefault="00AA326B">
      <w:pPr>
        <w:spacing w:before="0"/>
        <w:ind w:firstLine="0"/>
        <w:jc w:val="center"/>
        <w:rPr>
          <w:i/>
          <w:sz w:val="28"/>
          <w:szCs w:val="28"/>
        </w:rPr>
      </w:pPr>
      <w:r w:rsidRPr="0048203B">
        <w:rPr>
          <w:i/>
          <w:sz w:val="28"/>
          <w:szCs w:val="28"/>
        </w:rPr>
        <w:t xml:space="preserve">hfockler@wsgr.com </w:t>
      </w:r>
    </w:p>
    <w:p w:rsidR="009E7689" w:rsidRPr="0048203B" w:rsidRDefault="00AA326B">
      <w:pPr>
        <w:pStyle w:val="CenterText"/>
        <w:spacing w:before="0"/>
        <w:rPr>
          <w:sz w:val="28"/>
          <w:szCs w:val="28"/>
        </w:rPr>
      </w:pPr>
      <w:r w:rsidRPr="0048203B">
        <w:rPr>
          <w:sz w:val="28"/>
          <w:szCs w:val="28"/>
        </w:rPr>
        <w:t>650-320-4601</w:t>
      </w:r>
    </w:p>
    <w:p w:rsidR="009E7689" w:rsidRPr="0048203B" w:rsidRDefault="00AA326B">
      <w:pPr>
        <w:pStyle w:val="CenterText"/>
      </w:pPr>
      <w:r w:rsidRPr="0048203B">
        <w:t xml:space="preserve">DAY &amp; TIME: TUESDAY 6:25 P.M. TO </w:t>
      </w:r>
      <w:r w:rsidR="00930FC7" w:rsidRPr="0048203B">
        <w:t>8</w:t>
      </w:r>
      <w:r w:rsidRPr="0048203B">
        <w:t>:</w:t>
      </w:r>
      <w:r w:rsidR="00930FC7" w:rsidRPr="0048203B">
        <w:t>1</w:t>
      </w:r>
      <w:r w:rsidRPr="0048203B">
        <w:t>5 P.M.</w:t>
      </w:r>
    </w:p>
    <w:p w:rsidR="009E7689" w:rsidRPr="0048203B" w:rsidRDefault="00AA326B">
      <w:pPr>
        <w:pStyle w:val="CenterText"/>
        <w:rPr>
          <w:b/>
          <w:bCs/>
        </w:rPr>
      </w:pPr>
      <w:r w:rsidRPr="0048203B">
        <w:t xml:space="preserve">LOCATION: ROOM </w:t>
      </w:r>
      <w:r w:rsidR="004B7283" w:rsidRPr="0048203B">
        <w:t>141</w:t>
      </w:r>
    </w:p>
    <w:p w:rsidR="009E7689" w:rsidRPr="0048203B" w:rsidRDefault="00AA326B">
      <w:pPr>
        <w:ind w:firstLine="0"/>
        <w:jc w:val="center"/>
      </w:pPr>
      <w:r w:rsidRPr="0048203B">
        <w:t>**************************************</w:t>
      </w:r>
    </w:p>
    <w:p w:rsidR="009E7689" w:rsidRPr="0048203B" w:rsidRDefault="009E7689">
      <w:pPr>
        <w:jc w:val="both"/>
        <w:rPr>
          <w:u w:val="single"/>
        </w:rPr>
      </w:pPr>
    </w:p>
    <w:p w:rsidR="004B7283" w:rsidRPr="0048203B" w:rsidRDefault="00AA326B" w:rsidP="004B7283">
      <w:pPr>
        <w:jc w:val="both"/>
      </w:pPr>
      <w:r w:rsidRPr="0048203B">
        <w:rPr>
          <w:u w:val="single"/>
        </w:rPr>
        <w:t>Course Description</w:t>
      </w:r>
      <w:r w:rsidRPr="0048203B">
        <w:t xml:space="preserve">: </w:t>
      </w:r>
      <w:r w:rsidR="004B7283" w:rsidRPr="0048203B">
        <w:rPr>
          <w:i/>
        </w:rPr>
        <w:t xml:space="preserve">This is a practice-oriented business law seminar designed to provide students with an understanding of the legal, business, financial and practical issues that arise in advising venture capital-backed and emerging growth companies through the typical stages of their development and </w:t>
      </w:r>
      <w:r w:rsidR="00930FC7" w:rsidRPr="0048203B">
        <w:rPr>
          <w:i/>
        </w:rPr>
        <w:t xml:space="preserve">the </w:t>
      </w:r>
      <w:r w:rsidR="004B7283" w:rsidRPr="0048203B">
        <w:rPr>
          <w:i/>
        </w:rPr>
        <w:t>common transactions</w:t>
      </w:r>
      <w:r w:rsidR="00930FC7" w:rsidRPr="0048203B">
        <w:rPr>
          <w:i/>
        </w:rPr>
        <w:t xml:space="preserve"> they engage in</w:t>
      </w:r>
      <w:r w:rsidR="004B7283" w:rsidRPr="0048203B">
        <w:rPr>
          <w:i/>
        </w:rPr>
        <w:t>. The seminar will cover selected corporate, securities and tax issues in areas such as business entity formation, venture capital financings, acquisitions, initial public offerings, and corporate organization and governance, with an emphasis on practical solutions and business realities. The goal of the seminar is to provide students with a window into the daily life of a typical Silicon Valley-style corporate attorney</w:t>
      </w:r>
      <w:r w:rsidR="004B7283" w:rsidRPr="0048203B">
        <w:t>.</w:t>
      </w:r>
    </w:p>
    <w:p w:rsidR="004B7283" w:rsidRPr="0048203B" w:rsidRDefault="004B7283" w:rsidP="004B7283">
      <w:r w:rsidRPr="0048203B">
        <w:t xml:space="preserve"> </w:t>
      </w:r>
    </w:p>
    <w:p w:rsidR="003A0A67" w:rsidRPr="0048203B" w:rsidRDefault="003A0A67">
      <w:pPr>
        <w:spacing w:before="0"/>
        <w:ind w:firstLine="0"/>
      </w:pPr>
      <w:r w:rsidRPr="0048203B">
        <w:br w:type="page"/>
      </w:r>
    </w:p>
    <w:p w:rsidR="00820E07" w:rsidRPr="0048203B" w:rsidRDefault="00820E07" w:rsidP="00820E07">
      <w:pPr>
        <w:pStyle w:val="CenterTextBoldUnd"/>
        <w:spacing w:before="960"/>
        <w:rPr>
          <w:bCs/>
        </w:rPr>
      </w:pPr>
      <w:r w:rsidRPr="0048203B">
        <w:rPr>
          <w:bCs/>
        </w:rPr>
        <w:lastRenderedPageBreak/>
        <w:t>Key Dates &amp; Holidays</w:t>
      </w:r>
    </w:p>
    <w:p w:rsidR="00820E07" w:rsidRPr="0048203B" w:rsidRDefault="00820E07" w:rsidP="00820E07">
      <w:pPr>
        <w:spacing w:before="0"/>
        <w:ind w:left="2160" w:right="2520" w:firstLine="0"/>
        <w:jc w:val="both"/>
      </w:pPr>
    </w:p>
    <w:p w:rsidR="00820E07" w:rsidRPr="0048203B" w:rsidRDefault="00820E07" w:rsidP="00820E07">
      <w:pPr>
        <w:ind w:left="2160" w:right="2520" w:firstLine="0"/>
        <w:jc w:val="both"/>
      </w:pPr>
      <w:r w:rsidRPr="0048203B">
        <w:t>First Day of Class:</w:t>
      </w:r>
      <w:r w:rsidRPr="0048203B">
        <w:tab/>
      </w:r>
      <w:r w:rsidRPr="0048203B">
        <w:tab/>
        <w:t>January 7</w:t>
      </w:r>
    </w:p>
    <w:p w:rsidR="00820E07" w:rsidRPr="0048203B" w:rsidRDefault="00820E07" w:rsidP="00820E07">
      <w:pPr>
        <w:spacing w:before="0"/>
        <w:ind w:left="2160" w:right="2520" w:firstLine="0"/>
      </w:pPr>
      <w:r w:rsidRPr="0048203B">
        <w:t>Spring Recess:</w:t>
      </w:r>
      <w:r w:rsidRPr="0048203B">
        <w:tab/>
      </w:r>
      <w:r w:rsidRPr="0048203B">
        <w:tab/>
      </w:r>
      <w:r w:rsidRPr="0048203B">
        <w:tab/>
        <w:t>March 24 – March 28</w:t>
      </w:r>
    </w:p>
    <w:p w:rsidR="00820E07" w:rsidRPr="0048203B" w:rsidRDefault="00820E07" w:rsidP="00820E07">
      <w:pPr>
        <w:spacing w:before="0"/>
        <w:ind w:left="2160" w:right="2520" w:firstLine="0"/>
      </w:pPr>
      <w:r w:rsidRPr="0048203B">
        <w:t>Last Day of Class:</w:t>
      </w:r>
      <w:r w:rsidRPr="0048203B">
        <w:tab/>
      </w:r>
      <w:r w:rsidRPr="0048203B">
        <w:tab/>
        <w:t>April 15</w:t>
      </w:r>
    </w:p>
    <w:p w:rsidR="00820E07" w:rsidRPr="0048203B" w:rsidRDefault="00820E07" w:rsidP="00820E07">
      <w:pPr>
        <w:spacing w:before="0"/>
        <w:ind w:left="2160" w:right="2520" w:firstLine="0"/>
      </w:pPr>
      <w:r w:rsidRPr="0048203B">
        <w:t>Review Session:</w:t>
      </w:r>
      <w:r w:rsidRPr="0048203B">
        <w:tab/>
      </w:r>
      <w:r w:rsidRPr="0048203B">
        <w:tab/>
        <w:t>April 23 – April 25</w:t>
      </w:r>
    </w:p>
    <w:p w:rsidR="00820E07" w:rsidRPr="0048203B" w:rsidRDefault="00820E07" w:rsidP="00820E07">
      <w:pPr>
        <w:spacing w:before="0"/>
        <w:ind w:left="2160" w:right="2520" w:firstLine="0"/>
      </w:pPr>
      <w:r w:rsidRPr="0048203B">
        <w:t>Final Exam (in class):</w:t>
      </w:r>
      <w:r w:rsidRPr="0048203B">
        <w:tab/>
      </w:r>
      <w:r w:rsidRPr="0048203B">
        <w:tab/>
        <w:t>April 28 – May 8</w:t>
      </w:r>
    </w:p>
    <w:p w:rsidR="00820E07" w:rsidRPr="0048203B" w:rsidRDefault="00820E07" w:rsidP="00820E07">
      <w:pPr>
        <w:spacing w:before="0"/>
        <w:ind w:left="2160" w:right="2520" w:firstLine="0"/>
      </w:pPr>
    </w:p>
    <w:p w:rsidR="00820E07" w:rsidRPr="0048203B" w:rsidRDefault="00820E07" w:rsidP="00820E07">
      <w:pPr>
        <w:spacing w:before="0"/>
        <w:ind w:left="2160" w:right="2520" w:firstLine="0"/>
      </w:pPr>
    </w:p>
    <w:tbl>
      <w:tblPr>
        <w:tblW w:w="0" w:type="auto"/>
        <w:jc w:val="center"/>
        <w:tblLayout w:type="fixed"/>
        <w:tblCellMar>
          <w:left w:w="14" w:type="dxa"/>
          <w:right w:w="14" w:type="dxa"/>
        </w:tblCellMar>
        <w:tblLook w:val="0000" w:firstRow="0" w:lastRow="0" w:firstColumn="0" w:lastColumn="0" w:noHBand="0" w:noVBand="0"/>
      </w:tblPr>
      <w:tblGrid>
        <w:gridCol w:w="316"/>
        <w:gridCol w:w="317"/>
        <w:gridCol w:w="87"/>
        <w:gridCol w:w="230"/>
        <w:gridCol w:w="86"/>
        <w:gridCol w:w="230"/>
        <w:gridCol w:w="87"/>
        <w:gridCol w:w="230"/>
        <w:gridCol w:w="87"/>
        <w:gridCol w:w="230"/>
        <w:gridCol w:w="86"/>
        <w:gridCol w:w="231"/>
        <w:gridCol w:w="86"/>
        <w:gridCol w:w="230"/>
        <w:gridCol w:w="87"/>
        <w:gridCol w:w="230"/>
        <w:gridCol w:w="87"/>
        <w:gridCol w:w="230"/>
        <w:gridCol w:w="86"/>
        <w:gridCol w:w="230"/>
        <w:gridCol w:w="87"/>
        <w:gridCol w:w="230"/>
        <w:gridCol w:w="87"/>
        <w:gridCol w:w="230"/>
        <w:gridCol w:w="86"/>
        <w:gridCol w:w="231"/>
        <w:gridCol w:w="86"/>
        <w:gridCol w:w="230"/>
        <w:gridCol w:w="87"/>
        <w:gridCol w:w="230"/>
        <w:gridCol w:w="87"/>
        <w:gridCol w:w="230"/>
        <w:gridCol w:w="316"/>
        <w:gridCol w:w="317"/>
        <w:gridCol w:w="317"/>
        <w:gridCol w:w="317"/>
      </w:tblGrid>
      <w:tr w:rsidR="00820E07" w:rsidRPr="0048203B" w:rsidTr="00B934D9">
        <w:trPr>
          <w:jc w:val="center"/>
        </w:trPr>
        <w:tc>
          <w:tcPr>
            <w:tcW w:w="2217" w:type="dxa"/>
            <w:gridSpan w:val="12"/>
            <w:tcBorders>
              <w:top w:val="single" w:sz="8" w:space="0" w:color="auto"/>
              <w:left w:val="single" w:sz="8" w:space="0" w:color="auto"/>
              <w:bottom w:val="single" w:sz="6" w:space="0" w:color="auto"/>
              <w:right w:val="single" w:sz="8" w:space="0" w:color="auto"/>
            </w:tcBorders>
          </w:tcPr>
          <w:p w:rsidR="00820E07" w:rsidRPr="0048203B" w:rsidRDefault="00820E07" w:rsidP="00B934D9">
            <w:pPr>
              <w:pStyle w:val="calendar"/>
              <w:rPr>
                <w:b/>
                <w:bCs/>
              </w:rPr>
            </w:pPr>
            <w:r w:rsidRPr="0048203B">
              <w:rPr>
                <w:b/>
                <w:bCs/>
              </w:rPr>
              <w:t>January 2014</w:t>
            </w:r>
          </w:p>
        </w:tc>
        <w:tc>
          <w:tcPr>
            <w:tcW w:w="2217" w:type="dxa"/>
            <w:gridSpan w:val="14"/>
            <w:tcBorders>
              <w:top w:val="single" w:sz="8" w:space="0" w:color="auto"/>
              <w:left w:val="single" w:sz="8" w:space="0" w:color="auto"/>
              <w:bottom w:val="single" w:sz="6" w:space="0" w:color="auto"/>
              <w:right w:val="single" w:sz="8" w:space="0" w:color="auto"/>
            </w:tcBorders>
          </w:tcPr>
          <w:p w:rsidR="00820E07" w:rsidRPr="0048203B" w:rsidRDefault="00820E07" w:rsidP="00B934D9">
            <w:pPr>
              <w:pStyle w:val="calendar"/>
              <w:rPr>
                <w:b/>
                <w:bCs/>
              </w:rPr>
            </w:pPr>
            <w:r w:rsidRPr="0048203B">
              <w:rPr>
                <w:b/>
                <w:bCs/>
              </w:rPr>
              <w:t>February 2014</w:t>
            </w:r>
          </w:p>
        </w:tc>
        <w:tc>
          <w:tcPr>
            <w:tcW w:w="2217" w:type="dxa"/>
            <w:gridSpan w:val="10"/>
            <w:tcBorders>
              <w:top w:val="single" w:sz="8" w:space="0" w:color="auto"/>
              <w:left w:val="single" w:sz="8" w:space="0" w:color="auto"/>
              <w:bottom w:val="single" w:sz="6" w:space="0" w:color="auto"/>
              <w:right w:val="single" w:sz="8" w:space="0" w:color="auto"/>
            </w:tcBorders>
          </w:tcPr>
          <w:p w:rsidR="00820E07" w:rsidRPr="0048203B" w:rsidRDefault="00820E07" w:rsidP="00B934D9">
            <w:pPr>
              <w:pStyle w:val="calendar"/>
              <w:rPr>
                <w:b/>
                <w:bCs/>
              </w:rPr>
            </w:pPr>
            <w:r w:rsidRPr="0048203B">
              <w:rPr>
                <w:b/>
                <w:bCs/>
              </w:rPr>
              <w:t>March 2014</w:t>
            </w:r>
          </w:p>
        </w:tc>
      </w:tr>
      <w:tr w:rsidR="00820E07" w:rsidRPr="0048203B" w:rsidTr="00B934D9">
        <w:trPr>
          <w:jc w:val="center"/>
        </w:trPr>
        <w:tc>
          <w:tcPr>
            <w:tcW w:w="316" w:type="dxa"/>
            <w:tcBorders>
              <w:top w:val="single" w:sz="6" w:space="0" w:color="auto"/>
              <w:left w:val="single" w:sz="7" w:space="0" w:color="auto"/>
            </w:tcBorders>
          </w:tcPr>
          <w:p w:rsidR="00820E07" w:rsidRPr="0048203B" w:rsidRDefault="00820E07" w:rsidP="00B934D9">
            <w:pPr>
              <w:pStyle w:val="calendar"/>
            </w:pPr>
            <w:r w:rsidRPr="0048203B">
              <w:t>S</w:t>
            </w:r>
          </w:p>
        </w:tc>
        <w:tc>
          <w:tcPr>
            <w:tcW w:w="317" w:type="dxa"/>
            <w:tcBorders>
              <w:top w:val="single" w:sz="6" w:space="0" w:color="auto"/>
            </w:tcBorders>
          </w:tcPr>
          <w:p w:rsidR="00820E07" w:rsidRPr="0048203B" w:rsidRDefault="00820E07" w:rsidP="00B934D9">
            <w:pPr>
              <w:pStyle w:val="calendar"/>
            </w:pPr>
            <w:r w:rsidRPr="0048203B">
              <w:t>M</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6" w:type="dxa"/>
            <w:gridSpan w:val="2"/>
            <w:tcBorders>
              <w:top w:val="single" w:sz="6" w:space="0" w:color="auto"/>
            </w:tcBorders>
          </w:tcPr>
          <w:p w:rsidR="00820E07" w:rsidRPr="0048203B" w:rsidRDefault="00820E07" w:rsidP="00B934D9">
            <w:pPr>
              <w:pStyle w:val="calendar"/>
            </w:pPr>
            <w:r w:rsidRPr="0048203B">
              <w:t>W</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7" w:type="dxa"/>
            <w:gridSpan w:val="2"/>
            <w:tcBorders>
              <w:top w:val="single" w:sz="6" w:space="0" w:color="auto"/>
            </w:tcBorders>
          </w:tcPr>
          <w:p w:rsidR="00820E07" w:rsidRPr="0048203B" w:rsidRDefault="00820E07" w:rsidP="00B934D9">
            <w:pPr>
              <w:pStyle w:val="calendar"/>
            </w:pPr>
            <w:r w:rsidRPr="0048203B">
              <w:t>F</w:t>
            </w:r>
          </w:p>
        </w:tc>
        <w:tc>
          <w:tcPr>
            <w:tcW w:w="317" w:type="dxa"/>
            <w:gridSpan w:val="2"/>
            <w:tcBorders>
              <w:top w:val="single" w:sz="6" w:space="0" w:color="auto"/>
            </w:tcBorders>
          </w:tcPr>
          <w:p w:rsidR="00820E07" w:rsidRPr="0048203B" w:rsidRDefault="00820E07" w:rsidP="00B934D9">
            <w:pPr>
              <w:pStyle w:val="calendar"/>
            </w:pPr>
            <w:r w:rsidRPr="0048203B">
              <w:t>S</w:t>
            </w:r>
          </w:p>
        </w:tc>
        <w:tc>
          <w:tcPr>
            <w:tcW w:w="316" w:type="dxa"/>
            <w:gridSpan w:val="2"/>
            <w:tcBorders>
              <w:top w:val="single" w:sz="6" w:space="0" w:color="auto"/>
              <w:left w:val="single" w:sz="7" w:space="0" w:color="auto"/>
            </w:tcBorders>
          </w:tcPr>
          <w:p w:rsidR="00820E07" w:rsidRPr="0048203B" w:rsidRDefault="00820E07" w:rsidP="00B934D9">
            <w:pPr>
              <w:pStyle w:val="calendar"/>
            </w:pPr>
            <w:r w:rsidRPr="0048203B">
              <w:t>S</w:t>
            </w:r>
          </w:p>
        </w:tc>
        <w:tc>
          <w:tcPr>
            <w:tcW w:w="317" w:type="dxa"/>
            <w:gridSpan w:val="2"/>
            <w:tcBorders>
              <w:top w:val="single" w:sz="6" w:space="0" w:color="auto"/>
            </w:tcBorders>
          </w:tcPr>
          <w:p w:rsidR="00820E07" w:rsidRPr="0048203B" w:rsidRDefault="00820E07" w:rsidP="00B934D9">
            <w:pPr>
              <w:pStyle w:val="calendar"/>
            </w:pPr>
            <w:r w:rsidRPr="0048203B">
              <w:t>M</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6" w:type="dxa"/>
            <w:gridSpan w:val="2"/>
            <w:tcBorders>
              <w:top w:val="single" w:sz="6" w:space="0" w:color="auto"/>
            </w:tcBorders>
          </w:tcPr>
          <w:p w:rsidR="00820E07" w:rsidRPr="0048203B" w:rsidRDefault="00820E07" w:rsidP="00B934D9">
            <w:pPr>
              <w:pStyle w:val="calendar"/>
            </w:pPr>
            <w:r w:rsidRPr="0048203B">
              <w:t>W</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7" w:type="dxa"/>
            <w:gridSpan w:val="2"/>
            <w:tcBorders>
              <w:top w:val="single" w:sz="6" w:space="0" w:color="auto"/>
            </w:tcBorders>
          </w:tcPr>
          <w:p w:rsidR="00820E07" w:rsidRPr="0048203B" w:rsidRDefault="00820E07" w:rsidP="00B934D9">
            <w:pPr>
              <w:pStyle w:val="calendar"/>
            </w:pPr>
            <w:r w:rsidRPr="0048203B">
              <w:t>F</w:t>
            </w:r>
          </w:p>
        </w:tc>
        <w:tc>
          <w:tcPr>
            <w:tcW w:w="317" w:type="dxa"/>
            <w:gridSpan w:val="2"/>
            <w:tcBorders>
              <w:top w:val="single" w:sz="6" w:space="0" w:color="auto"/>
            </w:tcBorders>
          </w:tcPr>
          <w:p w:rsidR="00820E07" w:rsidRPr="0048203B" w:rsidRDefault="00820E07" w:rsidP="00B934D9">
            <w:pPr>
              <w:pStyle w:val="calendar"/>
            </w:pPr>
            <w:r w:rsidRPr="0048203B">
              <w:t>S</w:t>
            </w:r>
          </w:p>
        </w:tc>
        <w:tc>
          <w:tcPr>
            <w:tcW w:w="316" w:type="dxa"/>
            <w:gridSpan w:val="2"/>
            <w:tcBorders>
              <w:top w:val="single" w:sz="6" w:space="0" w:color="auto"/>
              <w:left w:val="single" w:sz="7" w:space="0" w:color="auto"/>
            </w:tcBorders>
          </w:tcPr>
          <w:p w:rsidR="00820E07" w:rsidRPr="0048203B" w:rsidRDefault="00820E07" w:rsidP="00B934D9">
            <w:pPr>
              <w:pStyle w:val="calendar"/>
            </w:pPr>
            <w:r w:rsidRPr="0048203B">
              <w:t>S</w:t>
            </w:r>
          </w:p>
        </w:tc>
        <w:tc>
          <w:tcPr>
            <w:tcW w:w="317" w:type="dxa"/>
            <w:gridSpan w:val="2"/>
            <w:tcBorders>
              <w:top w:val="single" w:sz="6" w:space="0" w:color="auto"/>
            </w:tcBorders>
          </w:tcPr>
          <w:p w:rsidR="00820E07" w:rsidRPr="0048203B" w:rsidRDefault="00820E07" w:rsidP="00B934D9">
            <w:pPr>
              <w:pStyle w:val="calendar"/>
            </w:pPr>
            <w:r w:rsidRPr="0048203B">
              <w:t>M</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6" w:type="dxa"/>
            <w:tcBorders>
              <w:top w:val="single" w:sz="6" w:space="0" w:color="auto"/>
            </w:tcBorders>
          </w:tcPr>
          <w:p w:rsidR="00820E07" w:rsidRPr="0048203B" w:rsidRDefault="00820E07" w:rsidP="00B934D9">
            <w:pPr>
              <w:pStyle w:val="calendar"/>
            </w:pPr>
            <w:r w:rsidRPr="0048203B">
              <w:t>W</w:t>
            </w:r>
          </w:p>
        </w:tc>
        <w:tc>
          <w:tcPr>
            <w:tcW w:w="317" w:type="dxa"/>
            <w:tcBorders>
              <w:top w:val="single" w:sz="6" w:space="0" w:color="auto"/>
            </w:tcBorders>
          </w:tcPr>
          <w:p w:rsidR="00820E07" w:rsidRPr="0048203B" w:rsidRDefault="00820E07" w:rsidP="00B934D9">
            <w:pPr>
              <w:pStyle w:val="calendar"/>
            </w:pPr>
            <w:r w:rsidRPr="0048203B">
              <w:t>T</w:t>
            </w:r>
          </w:p>
        </w:tc>
        <w:tc>
          <w:tcPr>
            <w:tcW w:w="317" w:type="dxa"/>
            <w:tcBorders>
              <w:top w:val="single" w:sz="6" w:space="0" w:color="auto"/>
            </w:tcBorders>
          </w:tcPr>
          <w:p w:rsidR="00820E07" w:rsidRPr="0048203B" w:rsidRDefault="00820E07" w:rsidP="00B934D9">
            <w:pPr>
              <w:pStyle w:val="calendar"/>
            </w:pPr>
            <w:r w:rsidRPr="0048203B">
              <w:t>F</w:t>
            </w:r>
          </w:p>
        </w:tc>
        <w:tc>
          <w:tcPr>
            <w:tcW w:w="317" w:type="dxa"/>
            <w:tcBorders>
              <w:top w:val="single" w:sz="6" w:space="0" w:color="auto"/>
              <w:right w:val="single" w:sz="4" w:space="0" w:color="auto"/>
            </w:tcBorders>
          </w:tcPr>
          <w:p w:rsidR="00820E07" w:rsidRPr="0048203B" w:rsidRDefault="00820E07" w:rsidP="00B934D9">
            <w:pPr>
              <w:pStyle w:val="calendar"/>
            </w:pPr>
            <w:r w:rsidRPr="0048203B">
              <w:t>S</w:t>
            </w:r>
          </w:p>
        </w:tc>
      </w:tr>
      <w:tr w:rsidR="00820E07" w:rsidRPr="0048203B" w:rsidTr="00B934D9">
        <w:trPr>
          <w:jc w:val="center"/>
        </w:trPr>
        <w:tc>
          <w:tcPr>
            <w:tcW w:w="316" w:type="dxa"/>
            <w:tcBorders>
              <w:left w:val="single" w:sz="8" w:space="0" w:color="auto"/>
            </w:tcBorders>
            <w:shd w:val="clear" w:color="auto" w:fill="auto"/>
          </w:tcPr>
          <w:p w:rsidR="00820E07" w:rsidRPr="0048203B" w:rsidRDefault="00820E07" w:rsidP="00B934D9">
            <w:pPr>
              <w:pStyle w:val="calendar"/>
            </w:pPr>
          </w:p>
        </w:tc>
        <w:tc>
          <w:tcPr>
            <w:tcW w:w="317" w:type="dxa"/>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6" w:type="dxa"/>
            <w:gridSpan w:val="2"/>
            <w:shd w:val="clear" w:color="auto" w:fill="auto"/>
          </w:tcPr>
          <w:p w:rsidR="00820E07" w:rsidRPr="0048203B" w:rsidRDefault="00820E07" w:rsidP="00B934D9">
            <w:pPr>
              <w:pStyle w:val="calendar"/>
            </w:pPr>
            <w:r w:rsidRPr="0048203B">
              <w:t>1</w:t>
            </w:r>
          </w:p>
        </w:tc>
        <w:tc>
          <w:tcPr>
            <w:tcW w:w="317" w:type="dxa"/>
            <w:gridSpan w:val="2"/>
            <w:shd w:val="clear" w:color="auto" w:fill="auto"/>
          </w:tcPr>
          <w:p w:rsidR="00820E07" w:rsidRPr="0048203B" w:rsidRDefault="00820E07" w:rsidP="00B934D9">
            <w:pPr>
              <w:pStyle w:val="calendar"/>
            </w:pPr>
            <w:r w:rsidRPr="0048203B">
              <w:t>2</w:t>
            </w:r>
          </w:p>
        </w:tc>
        <w:tc>
          <w:tcPr>
            <w:tcW w:w="317" w:type="dxa"/>
            <w:gridSpan w:val="2"/>
            <w:shd w:val="clear" w:color="auto" w:fill="auto"/>
          </w:tcPr>
          <w:p w:rsidR="00820E07" w:rsidRPr="0048203B" w:rsidRDefault="00820E07" w:rsidP="00B934D9">
            <w:pPr>
              <w:pStyle w:val="calendar"/>
            </w:pPr>
            <w:r w:rsidRPr="0048203B">
              <w:t>3</w:t>
            </w:r>
          </w:p>
        </w:tc>
        <w:tc>
          <w:tcPr>
            <w:tcW w:w="317" w:type="dxa"/>
            <w:gridSpan w:val="2"/>
            <w:shd w:val="clear" w:color="auto" w:fill="auto"/>
          </w:tcPr>
          <w:p w:rsidR="00820E07" w:rsidRPr="0048203B" w:rsidRDefault="00820E07" w:rsidP="00B934D9">
            <w:pPr>
              <w:pStyle w:val="calendar"/>
            </w:pPr>
            <w:r w:rsidRPr="0048203B">
              <w:t>4</w:t>
            </w:r>
          </w:p>
        </w:tc>
        <w:tc>
          <w:tcPr>
            <w:tcW w:w="316" w:type="dxa"/>
            <w:gridSpan w:val="2"/>
            <w:tcBorders>
              <w:left w:val="single" w:sz="7" w:space="0" w:color="auto"/>
            </w:tcBorders>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6" w:type="dxa"/>
            <w:gridSpan w:val="2"/>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r w:rsidRPr="0048203B">
              <w:t>1</w:t>
            </w:r>
          </w:p>
        </w:tc>
        <w:tc>
          <w:tcPr>
            <w:tcW w:w="316" w:type="dxa"/>
            <w:gridSpan w:val="2"/>
            <w:tcBorders>
              <w:left w:val="single" w:sz="7" w:space="0" w:color="auto"/>
            </w:tcBorders>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7" w:type="dxa"/>
            <w:gridSpan w:val="2"/>
            <w:shd w:val="clear" w:color="auto" w:fill="auto"/>
          </w:tcPr>
          <w:p w:rsidR="00820E07" w:rsidRPr="0048203B" w:rsidRDefault="00820E07" w:rsidP="00B934D9">
            <w:pPr>
              <w:pStyle w:val="calendar"/>
            </w:pPr>
          </w:p>
        </w:tc>
        <w:tc>
          <w:tcPr>
            <w:tcW w:w="316" w:type="dxa"/>
            <w:shd w:val="clear" w:color="auto" w:fill="auto"/>
          </w:tcPr>
          <w:p w:rsidR="00820E07" w:rsidRPr="0048203B" w:rsidRDefault="00820E07" w:rsidP="00B934D9">
            <w:pPr>
              <w:pStyle w:val="calendar"/>
            </w:pPr>
          </w:p>
        </w:tc>
        <w:tc>
          <w:tcPr>
            <w:tcW w:w="317" w:type="dxa"/>
            <w:shd w:val="clear" w:color="auto" w:fill="auto"/>
          </w:tcPr>
          <w:p w:rsidR="00820E07" w:rsidRPr="0048203B" w:rsidRDefault="00820E07" w:rsidP="00B934D9">
            <w:pPr>
              <w:pStyle w:val="calendar"/>
            </w:pPr>
          </w:p>
        </w:tc>
        <w:tc>
          <w:tcPr>
            <w:tcW w:w="317" w:type="dxa"/>
            <w:shd w:val="clear" w:color="auto" w:fill="auto"/>
          </w:tcPr>
          <w:p w:rsidR="00820E07" w:rsidRPr="0048203B" w:rsidRDefault="00820E07" w:rsidP="00B934D9">
            <w:pPr>
              <w:pStyle w:val="calendar"/>
            </w:pPr>
          </w:p>
        </w:tc>
        <w:tc>
          <w:tcPr>
            <w:tcW w:w="317" w:type="dxa"/>
            <w:tcBorders>
              <w:right w:val="single" w:sz="4" w:space="0" w:color="auto"/>
            </w:tcBorders>
            <w:shd w:val="clear" w:color="auto" w:fill="auto"/>
          </w:tcPr>
          <w:p w:rsidR="00820E07" w:rsidRPr="0048203B" w:rsidRDefault="00820E07" w:rsidP="00B934D9">
            <w:pPr>
              <w:pStyle w:val="calendar"/>
            </w:pPr>
            <w:r w:rsidRPr="0048203B">
              <w:t>1</w:t>
            </w:r>
          </w:p>
        </w:tc>
      </w:tr>
      <w:tr w:rsidR="00820E07" w:rsidRPr="0048203B" w:rsidTr="00B934D9">
        <w:trPr>
          <w:jc w:val="center"/>
        </w:trPr>
        <w:tc>
          <w:tcPr>
            <w:tcW w:w="316" w:type="dxa"/>
            <w:tcBorders>
              <w:left w:val="single" w:sz="8" w:space="0" w:color="auto"/>
            </w:tcBorders>
            <w:shd w:val="clear" w:color="auto" w:fill="auto"/>
          </w:tcPr>
          <w:p w:rsidR="00820E07" w:rsidRPr="0048203B" w:rsidRDefault="00820E07" w:rsidP="00B934D9">
            <w:pPr>
              <w:pStyle w:val="calendar"/>
            </w:pPr>
            <w:r w:rsidRPr="0048203B">
              <w:t>5</w:t>
            </w:r>
          </w:p>
        </w:tc>
        <w:tc>
          <w:tcPr>
            <w:tcW w:w="317" w:type="dxa"/>
            <w:shd w:val="clear" w:color="auto" w:fill="auto"/>
          </w:tcPr>
          <w:p w:rsidR="00820E07" w:rsidRPr="0048203B" w:rsidRDefault="00820E07" w:rsidP="00B934D9">
            <w:pPr>
              <w:pStyle w:val="calendar"/>
            </w:pPr>
            <w:r w:rsidRPr="0048203B">
              <w:t>6</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7</w:t>
            </w:r>
          </w:p>
        </w:tc>
        <w:tc>
          <w:tcPr>
            <w:tcW w:w="316" w:type="dxa"/>
            <w:gridSpan w:val="2"/>
            <w:shd w:val="clear" w:color="auto" w:fill="auto"/>
          </w:tcPr>
          <w:p w:rsidR="00820E07" w:rsidRPr="0048203B" w:rsidRDefault="00820E07" w:rsidP="00B934D9">
            <w:pPr>
              <w:pStyle w:val="calendar"/>
            </w:pPr>
            <w:r w:rsidRPr="0048203B">
              <w:t>8</w:t>
            </w:r>
          </w:p>
        </w:tc>
        <w:tc>
          <w:tcPr>
            <w:tcW w:w="317" w:type="dxa"/>
            <w:gridSpan w:val="2"/>
            <w:shd w:val="clear" w:color="auto" w:fill="auto"/>
          </w:tcPr>
          <w:p w:rsidR="00820E07" w:rsidRPr="0048203B" w:rsidRDefault="00820E07" w:rsidP="00B934D9">
            <w:pPr>
              <w:pStyle w:val="calendar"/>
            </w:pPr>
            <w:r w:rsidRPr="0048203B">
              <w:t>9</w:t>
            </w:r>
          </w:p>
        </w:tc>
        <w:tc>
          <w:tcPr>
            <w:tcW w:w="317" w:type="dxa"/>
            <w:gridSpan w:val="2"/>
            <w:shd w:val="clear" w:color="auto" w:fill="auto"/>
          </w:tcPr>
          <w:p w:rsidR="00820E07" w:rsidRPr="0048203B" w:rsidRDefault="00820E07" w:rsidP="00B934D9">
            <w:pPr>
              <w:pStyle w:val="calendar"/>
            </w:pPr>
            <w:r w:rsidRPr="0048203B">
              <w:t>10</w:t>
            </w:r>
          </w:p>
        </w:tc>
        <w:tc>
          <w:tcPr>
            <w:tcW w:w="317" w:type="dxa"/>
            <w:gridSpan w:val="2"/>
            <w:shd w:val="clear" w:color="auto" w:fill="auto"/>
          </w:tcPr>
          <w:p w:rsidR="00820E07" w:rsidRPr="0048203B" w:rsidRDefault="00820E07" w:rsidP="00B934D9">
            <w:pPr>
              <w:pStyle w:val="calendar"/>
            </w:pPr>
            <w:r w:rsidRPr="0048203B">
              <w:t>11</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2</w:t>
            </w:r>
          </w:p>
        </w:tc>
        <w:tc>
          <w:tcPr>
            <w:tcW w:w="317" w:type="dxa"/>
            <w:gridSpan w:val="2"/>
            <w:shd w:val="clear" w:color="auto" w:fill="auto"/>
          </w:tcPr>
          <w:p w:rsidR="00820E07" w:rsidRPr="0048203B" w:rsidRDefault="00820E07" w:rsidP="00B934D9">
            <w:pPr>
              <w:pStyle w:val="calendar"/>
            </w:pPr>
            <w:r w:rsidRPr="0048203B">
              <w:t>3</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4</w:t>
            </w:r>
          </w:p>
        </w:tc>
        <w:tc>
          <w:tcPr>
            <w:tcW w:w="316" w:type="dxa"/>
            <w:gridSpan w:val="2"/>
            <w:shd w:val="clear" w:color="auto" w:fill="auto"/>
          </w:tcPr>
          <w:p w:rsidR="00820E07" w:rsidRPr="0048203B" w:rsidRDefault="00820E07" w:rsidP="00B934D9">
            <w:pPr>
              <w:pStyle w:val="calendar"/>
            </w:pPr>
            <w:r w:rsidRPr="0048203B">
              <w:t>5</w:t>
            </w:r>
          </w:p>
        </w:tc>
        <w:tc>
          <w:tcPr>
            <w:tcW w:w="317" w:type="dxa"/>
            <w:gridSpan w:val="2"/>
            <w:shd w:val="clear" w:color="auto" w:fill="auto"/>
          </w:tcPr>
          <w:p w:rsidR="00820E07" w:rsidRPr="0048203B" w:rsidRDefault="00820E07" w:rsidP="00B934D9">
            <w:pPr>
              <w:pStyle w:val="calendar"/>
            </w:pPr>
            <w:r w:rsidRPr="0048203B">
              <w:t>6</w:t>
            </w:r>
          </w:p>
        </w:tc>
        <w:tc>
          <w:tcPr>
            <w:tcW w:w="317" w:type="dxa"/>
            <w:gridSpan w:val="2"/>
            <w:shd w:val="clear" w:color="auto" w:fill="auto"/>
          </w:tcPr>
          <w:p w:rsidR="00820E07" w:rsidRPr="0048203B" w:rsidRDefault="00820E07" w:rsidP="00B934D9">
            <w:pPr>
              <w:pStyle w:val="calendar"/>
            </w:pPr>
            <w:r w:rsidRPr="0048203B">
              <w:t>7</w:t>
            </w:r>
          </w:p>
        </w:tc>
        <w:tc>
          <w:tcPr>
            <w:tcW w:w="317" w:type="dxa"/>
            <w:gridSpan w:val="2"/>
            <w:shd w:val="clear" w:color="auto" w:fill="auto"/>
          </w:tcPr>
          <w:p w:rsidR="00820E07" w:rsidRPr="0048203B" w:rsidRDefault="00820E07" w:rsidP="00B934D9">
            <w:pPr>
              <w:pStyle w:val="calendar"/>
            </w:pPr>
            <w:r w:rsidRPr="0048203B">
              <w:t>8</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2</w:t>
            </w:r>
          </w:p>
        </w:tc>
        <w:tc>
          <w:tcPr>
            <w:tcW w:w="317" w:type="dxa"/>
            <w:gridSpan w:val="2"/>
            <w:shd w:val="clear" w:color="auto" w:fill="auto"/>
          </w:tcPr>
          <w:p w:rsidR="00820E07" w:rsidRPr="0048203B" w:rsidRDefault="00820E07" w:rsidP="00B934D9">
            <w:pPr>
              <w:pStyle w:val="calendar"/>
            </w:pPr>
            <w:r w:rsidRPr="0048203B">
              <w:t>3</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4</w:t>
            </w:r>
          </w:p>
        </w:tc>
        <w:tc>
          <w:tcPr>
            <w:tcW w:w="316" w:type="dxa"/>
            <w:shd w:val="clear" w:color="auto" w:fill="auto"/>
          </w:tcPr>
          <w:p w:rsidR="00820E07" w:rsidRPr="0048203B" w:rsidRDefault="00820E07" w:rsidP="00B934D9">
            <w:pPr>
              <w:pStyle w:val="calendar"/>
            </w:pPr>
            <w:r w:rsidRPr="0048203B">
              <w:t>5</w:t>
            </w:r>
          </w:p>
        </w:tc>
        <w:tc>
          <w:tcPr>
            <w:tcW w:w="317" w:type="dxa"/>
            <w:shd w:val="clear" w:color="auto" w:fill="auto"/>
          </w:tcPr>
          <w:p w:rsidR="00820E07" w:rsidRPr="0048203B" w:rsidRDefault="00820E07" w:rsidP="00B934D9">
            <w:pPr>
              <w:pStyle w:val="calendar"/>
            </w:pPr>
            <w:r w:rsidRPr="0048203B">
              <w:t>6</w:t>
            </w:r>
          </w:p>
        </w:tc>
        <w:tc>
          <w:tcPr>
            <w:tcW w:w="317" w:type="dxa"/>
            <w:shd w:val="clear" w:color="auto" w:fill="auto"/>
          </w:tcPr>
          <w:p w:rsidR="00820E07" w:rsidRPr="0048203B" w:rsidRDefault="00820E07" w:rsidP="00B934D9">
            <w:pPr>
              <w:pStyle w:val="calendar"/>
            </w:pPr>
            <w:r w:rsidRPr="0048203B">
              <w:t>7</w:t>
            </w:r>
          </w:p>
        </w:tc>
        <w:tc>
          <w:tcPr>
            <w:tcW w:w="317" w:type="dxa"/>
            <w:tcBorders>
              <w:right w:val="single" w:sz="4" w:space="0" w:color="auto"/>
            </w:tcBorders>
            <w:shd w:val="clear" w:color="auto" w:fill="auto"/>
          </w:tcPr>
          <w:p w:rsidR="00820E07" w:rsidRPr="0048203B" w:rsidRDefault="00820E07" w:rsidP="00B934D9">
            <w:pPr>
              <w:pStyle w:val="calendar"/>
            </w:pPr>
            <w:r w:rsidRPr="0048203B">
              <w:t>8</w:t>
            </w:r>
          </w:p>
        </w:tc>
      </w:tr>
      <w:tr w:rsidR="00820E07" w:rsidRPr="0048203B" w:rsidTr="00B934D9">
        <w:trPr>
          <w:jc w:val="center"/>
        </w:trPr>
        <w:tc>
          <w:tcPr>
            <w:tcW w:w="316" w:type="dxa"/>
            <w:tcBorders>
              <w:left w:val="single" w:sz="8" w:space="0" w:color="auto"/>
            </w:tcBorders>
            <w:shd w:val="clear" w:color="auto" w:fill="auto"/>
          </w:tcPr>
          <w:p w:rsidR="00820E07" w:rsidRPr="0048203B" w:rsidRDefault="00820E07" w:rsidP="00B934D9">
            <w:pPr>
              <w:pStyle w:val="calendar"/>
            </w:pPr>
            <w:r w:rsidRPr="0048203B">
              <w:t>12</w:t>
            </w:r>
          </w:p>
        </w:tc>
        <w:tc>
          <w:tcPr>
            <w:tcW w:w="317" w:type="dxa"/>
            <w:shd w:val="clear" w:color="auto" w:fill="auto"/>
          </w:tcPr>
          <w:p w:rsidR="00820E07" w:rsidRPr="0048203B" w:rsidRDefault="00820E07" w:rsidP="00B934D9">
            <w:pPr>
              <w:pStyle w:val="calendar"/>
            </w:pPr>
            <w:r w:rsidRPr="0048203B">
              <w:t>13</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14</w:t>
            </w:r>
          </w:p>
        </w:tc>
        <w:tc>
          <w:tcPr>
            <w:tcW w:w="316" w:type="dxa"/>
            <w:gridSpan w:val="2"/>
            <w:shd w:val="clear" w:color="auto" w:fill="auto"/>
          </w:tcPr>
          <w:p w:rsidR="00820E07" w:rsidRPr="0048203B" w:rsidRDefault="00820E07" w:rsidP="00B934D9">
            <w:pPr>
              <w:pStyle w:val="calendar"/>
            </w:pPr>
            <w:r w:rsidRPr="0048203B">
              <w:t>15</w:t>
            </w:r>
          </w:p>
        </w:tc>
        <w:tc>
          <w:tcPr>
            <w:tcW w:w="317" w:type="dxa"/>
            <w:gridSpan w:val="2"/>
            <w:shd w:val="clear" w:color="auto" w:fill="auto"/>
          </w:tcPr>
          <w:p w:rsidR="00820E07" w:rsidRPr="0048203B" w:rsidRDefault="00820E07" w:rsidP="00B934D9">
            <w:pPr>
              <w:pStyle w:val="calendar"/>
            </w:pPr>
            <w:r w:rsidRPr="0048203B">
              <w:t>16</w:t>
            </w:r>
          </w:p>
        </w:tc>
        <w:tc>
          <w:tcPr>
            <w:tcW w:w="317" w:type="dxa"/>
            <w:gridSpan w:val="2"/>
            <w:shd w:val="clear" w:color="auto" w:fill="auto"/>
          </w:tcPr>
          <w:p w:rsidR="00820E07" w:rsidRPr="0048203B" w:rsidRDefault="00820E07" w:rsidP="00B934D9">
            <w:pPr>
              <w:pStyle w:val="calendar"/>
            </w:pPr>
            <w:r w:rsidRPr="0048203B">
              <w:t>17</w:t>
            </w:r>
          </w:p>
        </w:tc>
        <w:tc>
          <w:tcPr>
            <w:tcW w:w="317" w:type="dxa"/>
            <w:gridSpan w:val="2"/>
            <w:shd w:val="clear" w:color="auto" w:fill="auto"/>
          </w:tcPr>
          <w:p w:rsidR="00820E07" w:rsidRPr="0048203B" w:rsidRDefault="00820E07" w:rsidP="00B934D9">
            <w:pPr>
              <w:pStyle w:val="calendar"/>
            </w:pPr>
            <w:r w:rsidRPr="0048203B">
              <w:t>18</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9</w:t>
            </w:r>
          </w:p>
        </w:tc>
        <w:tc>
          <w:tcPr>
            <w:tcW w:w="317" w:type="dxa"/>
            <w:gridSpan w:val="2"/>
            <w:shd w:val="clear" w:color="auto" w:fill="auto"/>
          </w:tcPr>
          <w:p w:rsidR="00820E07" w:rsidRPr="0048203B" w:rsidRDefault="00820E07" w:rsidP="00B934D9">
            <w:pPr>
              <w:pStyle w:val="calendar"/>
            </w:pPr>
            <w:r w:rsidRPr="0048203B">
              <w:t>10</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11</w:t>
            </w:r>
          </w:p>
        </w:tc>
        <w:tc>
          <w:tcPr>
            <w:tcW w:w="316" w:type="dxa"/>
            <w:gridSpan w:val="2"/>
            <w:shd w:val="clear" w:color="auto" w:fill="auto"/>
          </w:tcPr>
          <w:p w:rsidR="00820E07" w:rsidRPr="0048203B" w:rsidRDefault="00820E07" w:rsidP="00B934D9">
            <w:pPr>
              <w:pStyle w:val="calendar"/>
            </w:pPr>
            <w:r w:rsidRPr="0048203B">
              <w:t>12</w:t>
            </w:r>
          </w:p>
        </w:tc>
        <w:tc>
          <w:tcPr>
            <w:tcW w:w="317" w:type="dxa"/>
            <w:gridSpan w:val="2"/>
            <w:shd w:val="clear" w:color="auto" w:fill="auto"/>
          </w:tcPr>
          <w:p w:rsidR="00820E07" w:rsidRPr="0048203B" w:rsidRDefault="00820E07" w:rsidP="00B934D9">
            <w:pPr>
              <w:pStyle w:val="calendar"/>
            </w:pPr>
            <w:r w:rsidRPr="0048203B">
              <w:t>13</w:t>
            </w:r>
          </w:p>
        </w:tc>
        <w:tc>
          <w:tcPr>
            <w:tcW w:w="317" w:type="dxa"/>
            <w:gridSpan w:val="2"/>
            <w:shd w:val="clear" w:color="auto" w:fill="auto"/>
          </w:tcPr>
          <w:p w:rsidR="00820E07" w:rsidRPr="0048203B" w:rsidRDefault="00820E07" w:rsidP="00B934D9">
            <w:pPr>
              <w:pStyle w:val="calendar"/>
            </w:pPr>
            <w:r w:rsidRPr="0048203B">
              <w:t>14</w:t>
            </w:r>
          </w:p>
        </w:tc>
        <w:tc>
          <w:tcPr>
            <w:tcW w:w="317" w:type="dxa"/>
            <w:gridSpan w:val="2"/>
            <w:shd w:val="clear" w:color="auto" w:fill="auto"/>
          </w:tcPr>
          <w:p w:rsidR="00820E07" w:rsidRPr="0048203B" w:rsidRDefault="00820E07" w:rsidP="00B934D9">
            <w:pPr>
              <w:pStyle w:val="calendar"/>
            </w:pPr>
            <w:r w:rsidRPr="0048203B">
              <w:t>15</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9</w:t>
            </w:r>
          </w:p>
        </w:tc>
        <w:tc>
          <w:tcPr>
            <w:tcW w:w="317" w:type="dxa"/>
            <w:gridSpan w:val="2"/>
            <w:shd w:val="clear" w:color="auto" w:fill="auto"/>
          </w:tcPr>
          <w:p w:rsidR="00820E07" w:rsidRPr="0048203B" w:rsidRDefault="00820E07" w:rsidP="00B934D9">
            <w:pPr>
              <w:pStyle w:val="calendar"/>
            </w:pPr>
            <w:r w:rsidRPr="0048203B">
              <w:t>10</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11</w:t>
            </w:r>
          </w:p>
        </w:tc>
        <w:tc>
          <w:tcPr>
            <w:tcW w:w="316" w:type="dxa"/>
            <w:shd w:val="clear" w:color="auto" w:fill="auto"/>
          </w:tcPr>
          <w:p w:rsidR="00820E07" w:rsidRPr="0048203B" w:rsidRDefault="00820E07" w:rsidP="00B934D9">
            <w:pPr>
              <w:pStyle w:val="calendar"/>
            </w:pPr>
            <w:r w:rsidRPr="0048203B">
              <w:t>12</w:t>
            </w:r>
          </w:p>
        </w:tc>
        <w:tc>
          <w:tcPr>
            <w:tcW w:w="317" w:type="dxa"/>
            <w:shd w:val="clear" w:color="auto" w:fill="auto"/>
          </w:tcPr>
          <w:p w:rsidR="00820E07" w:rsidRPr="0048203B" w:rsidRDefault="00820E07" w:rsidP="00B934D9">
            <w:pPr>
              <w:pStyle w:val="calendar"/>
            </w:pPr>
            <w:r w:rsidRPr="0048203B">
              <w:t>13</w:t>
            </w:r>
          </w:p>
        </w:tc>
        <w:tc>
          <w:tcPr>
            <w:tcW w:w="317" w:type="dxa"/>
            <w:shd w:val="clear" w:color="auto" w:fill="auto"/>
          </w:tcPr>
          <w:p w:rsidR="00820E07" w:rsidRPr="0048203B" w:rsidRDefault="00820E07" w:rsidP="00B934D9">
            <w:pPr>
              <w:pStyle w:val="calendar"/>
            </w:pPr>
            <w:r w:rsidRPr="0048203B">
              <w:t>14</w:t>
            </w:r>
          </w:p>
        </w:tc>
        <w:tc>
          <w:tcPr>
            <w:tcW w:w="317" w:type="dxa"/>
            <w:tcBorders>
              <w:right w:val="single" w:sz="4" w:space="0" w:color="auto"/>
            </w:tcBorders>
            <w:shd w:val="clear" w:color="auto" w:fill="auto"/>
          </w:tcPr>
          <w:p w:rsidR="00820E07" w:rsidRPr="0048203B" w:rsidRDefault="00820E07" w:rsidP="00B934D9">
            <w:pPr>
              <w:pStyle w:val="calendar"/>
            </w:pPr>
            <w:r w:rsidRPr="0048203B">
              <w:t>15</w:t>
            </w:r>
          </w:p>
        </w:tc>
      </w:tr>
      <w:tr w:rsidR="00820E07" w:rsidRPr="0048203B" w:rsidTr="00B934D9">
        <w:trPr>
          <w:jc w:val="center"/>
        </w:trPr>
        <w:tc>
          <w:tcPr>
            <w:tcW w:w="316" w:type="dxa"/>
            <w:tcBorders>
              <w:left w:val="single" w:sz="8" w:space="0" w:color="auto"/>
            </w:tcBorders>
            <w:shd w:val="clear" w:color="auto" w:fill="auto"/>
          </w:tcPr>
          <w:p w:rsidR="00820E07" w:rsidRPr="0048203B" w:rsidRDefault="00820E07" w:rsidP="00B934D9">
            <w:pPr>
              <w:pStyle w:val="calendar"/>
            </w:pPr>
            <w:r w:rsidRPr="0048203B">
              <w:t>19</w:t>
            </w:r>
          </w:p>
        </w:tc>
        <w:tc>
          <w:tcPr>
            <w:tcW w:w="317" w:type="dxa"/>
            <w:shd w:val="clear" w:color="auto" w:fill="auto"/>
          </w:tcPr>
          <w:p w:rsidR="00820E07" w:rsidRPr="0048203B" w:rsidRDefault="00820E07" w:rsidP="00B934D9">
            <w:pPr>
              <w:pStyle w:val="calendar"/>
            </w:pPr>
            <w:r w:rsidRPr="0048203B">
              <w:t>20</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21</w:t>
            </w:r>
          </w:p>
        </w:tc>
        <w:tc>
          <w:tcPr>
            <w:tcW w:w="316" w:type="dxa"/>
            <w:gridSpan w:val="2"/>
            <w:shd w:val="clear" w:color="auto" w:fill="auto"/>
          </w:tcPr>
          <w:p w:rsidR="00820E07" w:rsidRPr="0048203B" w:rsidRDefault="00820E07" w:rsidP="00B934D9">
            <w:pPr>
              <w:pStyle w:val="calendar"/>
            </w:pPr>
            <w:r w:rsidRPr="0048203B">
              <w:t>22</w:t>
            </w:r>
          </w:p>
        </w:tc>
        <w:tc>
          <w:tcPr>
            <w:tcW w:w="317" w:type="dxa"/>
            <w:gridSpan w:val="2"/>
            <w:shd w:val="clear" w:color="auto" w:fill="auto"/>
          </w:tcPr>
          <w:p w:rsidR="00820E07" w:rsidRPr="0048203B" w:rsidRDefault="00820E07" w:rsidP="00B934D9">
            <w:pPr>
              <w:pStyle w:val="calendar"/>
            </w:pPr>
            <w:r w:rsidRPr="0048203B">
              <w:t>23</w:t>
            </w:r>
          </w:p>
        </w:tc>
        <w:tc>
          <w:tcPr>
            <w:tcW w:w="317" w:type="dxa"/>
            <w:gridSpan w:val="2"/>
            <w:shd w:val="clear" w:color="auto" w:fill="auto"/>
          </w:tcPr>
          <w:p w:rsidR="00820E07" w:rsidRPr="0048203B" w:rsidRDefault="00820E07" w:rsidP="00B934D9">
            <w:pPr>
              <w:pStyle w:val="calendar"/>
            </w:pPr>
            <w:r w:rsidRPr="0048203B">
              <w:t>24</w:t>
            </w:r>
          </w:p>
        </w:tc>
        <w:tc>
          <w:tcPr>
            <w:tcW w:w="317" w:type="dxa"/>
            <w:gridSpan w:val="2"/>
            <w:shd w:val="clear" w:color="auto" w:fill="auto"/>
          </w:tcPr>
          <w:p w:rsidR="00820E07" w:rsidRPr="0048203B" w:rsidRDefault="00820E07" w:rsidP="00B934D9">
            <w:pPr>
              <w:pStyle w:val="calendar"/>
            </w:pPr>
            <w:r w:rsidRPr="0048203B">
              <w:t>25</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16</w:t>
            </w:r>
          </w:p>
        </w:tc>
        <w:tc>
          <w:tcPr>
            <w:tcW w:w="317" w:type="dxa"/>
            <w:gridSpan w:val="2"/>
            <w:shd w:val="clear" w:color="auto" w:fill="auto"/>
          </w:tcPr>
          <w:p w:rsidR="00820E07" w:rsidRPr="0048203B" w:rsidRDefault="00820E07" w:rsidP="00B934D9">
            <w:pPr>
              <w:pStyle w:val="calendar"/>
            </w:pPr>
            <w:r w:rsidRPr="0048203B">
              <w:t>17</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18</w:t>
            </w:r>
          </w:p>
        </w:tc>
        <w:tc>
          <w:tcPr>
            <w:tcW w:w="316" w:type="dxa"/>
            <w:gridSpan w:val="2"/>
            <w:shd w:val="clear" w:color="auto" w:fill="auto"/>
          </w:tcPr>
          <w:p w:rsidR="00820E07" w:rsidRPr="0048203B" w:rsidRDefault="00820E07" w:rsidP="00B934D9">
            <w:pPr>
              <w:pStyle w:val="calendar"/>
            </w:pPr>
            <w:r w:rsidRPr="0048203B">
              <w:t>19</w:t>
            </w:r>
          </w:p>
        </w:tc>
        <w:tc>
          <w:tcPr>
            <w:tcW w:w="317" w:type="dxa"/>
            <w:gridSpan w:val="2"/>
            <w:shd w:val="clear" w:color="auto" w:fill="auto"/>
          </w:tcPr>
          <w:p w:rsidR="00820E07" w:rsidRPr="0048203B" w:rsidRDefault="00820E07" w:rsidP="00B934D9">
            <w:pPr>
              <w:pStyle w:val="calendar"/>
            </w:pPr>
            <w:r w:rsidRPr="0048203B">
              <w:t>20</w:t>
            </w:r>
          </w:p>
        </w:tc>
        <w:tc>
          <w:tcPr>
            <w:tcW w:w="317" w:type="dxa"/>
            <w:gridSpan w:val="2"/>
            <w:shd w:val="clear" w:color="auto" w:fill="auto"/>
          </w:tcPr>
          <w:p w:rsidR="00820E07" w:rsidRPr="0048203B" w:rsidRDefault="00820E07" w:rsidP="00B934D9">
            <w:pPr>
              <w:pStyle w:val="calendar"/>
            </w:pPr>
            <w:r w:rsidRPr="0048203B">
              <w:t>21</w:t>
            </w:r>
          </w:p>
        </w:tc>
        <w:tc>
          <w:tcPr>
            <w:tcW w:w="317" w:type="dxa"/>
            <w:gridSpan w:val="2"/>
            <w:shd w:val="clear" w:color="auto" w:fill="auto"/>
          </w:tcPr>
          <w:p w:rsidR="00820E07" w:rsidRPr="0048203B" w:rsidRDefault="00820E07" w:rsidP="00B934D9">
            <w:pPr>
              <w:pStyle w:val="calendar"/>
            </w:pPr>
            <w:r w:rsidRPr="0048203B">
              <w:t>22</w:t>
            </w:r>
          </w:p>
        </w:tc>
        <w:tc>
          <w:tcPr>
            <w:tcW w:w="316" w:type="dxa"/>
            <w:gridSpan w:val="2"/>
            <w:tcBorders>
              <w:left w:val="single" w:sz="7" w:space="0" w:color="auto"/>
            </w:tcBorders>
            <w:shd w:val="clear" w:color="auto" w:fill="auto"/>
          </w:tcPr>
          <w:p w:rsidR="00820E07" w:rsidRPr="0048203B" w:rsidRDefault="00820E07" w:rsidP="00B934D9">
            <w:pPr>
              <w:pStyle w:val="calendar"/>
            </w:pPr>
            <w:r w:rsidRPr="0048203B">
              <w:t>16</w:t>
            </w:r>
          </w:p>
        </w:tc>
        <w:tc>
          <w:tcPr>
            <w:tcW w:w="317" w:type="dxa"/>
            <w:gridSpan w:val="2"/>
            <w:shd w:val="clear" w:color="auto" w:fill="auto"/>
          </w:tcPr>
          <w:p w:rsidR="00820E07" w:rsidRPr="0048203B" w:rsidRDefault="00820E07" w:rsidP="00B934D9">
            <w:pPr>
              <w:pStyle w:val="calendar"/>
            </w:pPr>
            <w:r w:rsidRPr="0048203B">
              <w:t>17</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18</w:t>
            </w:r>
          </w:p>
        </w:tc>
        <w:tc>
          <w:tcPr>
            <w:tcW w:w="316" w:type="dxa"/>
            <w:shd w:val="clear" w:color="auto" w:fill="auto"/>
          </w:tcPr>
          <w:p w:rsidR="00820E07" w:rsidRPr="0048203B" w:rsidRDefault="00820E07" w:rsidP="00B934D9">
            <w:pPr>
              <w:pStyle w:val="calendar"/>
            </w:pPr>
            <w:r w:rsidRPr="0048203B">
              <w:t>19</w:t>
            </w:r>
          </w:p>
        </w:tc>
        <w:tc>
          <w:tcPr>
            <w:tcW w:w="317" w:type="dxa"/>
            <w:shd w:val="clear" w:color="auto" w:fill="auto"/>
          </w:tcPr>
          <w:p w:rsidR="00820E07" w:rsidRPr="0048203B" w:rsidRDefault="00820E07" w:rsidP="00B934D9">
            <w:pPr>
              <w:pStyle w:val="calendar"/>
            </w:pPr>
            <w:r w:rsidRPr="0048203B">
              <w:t>20</w:t>
            </w:r>
          </w:p>
        </w:tc>
        <w:tc>
          <w:tcPr>
            <w:tcW w:w="317" w:type="dxa"/>
            <w:shd w:val="clear" w:color="auto" w:fill="auto"/>
          </w:tcPr>
          <w:p w:rsidR="00820E07" w:rsidRPr="0048203B" w:rsidRDefault="00820E07" w:rsidP="00B934D9">
            <w:pPr>
              <w:pStyle w:val="calendar"/>
            </w:pPr>
            <w:r w:rsidRPr="0048203B">
              <w:t>21</w:t>
            </w:r>
          </w:p>
        </w:tc>
        <w:tc>
          <w:tcPr>
            <w:tcW w:w="317" w:type="dxa"/>
            <w:tcBorders>
              <w:right w:val="single" w:sz="4" w:space="0" w:color="auto"/>
            </w:tcBorders>
            <w:shd w:val="clear" w:color="auto" w:fill="auto"/>
          </w:tcPr>
          <w:p w:rsidR="00820E07" w:rsidRPr="0048203B" w:rsidRDefault="00820E07" w:rsidP="00B934D9">
            <w:pPr>
              <w:pStyle w:val="calendar"/>
            </w:pPr>
            <w:r w:rsidRPr="0048203B">
              <w:t>22</w:t>
            </w:r>
          </w:p>
        </w:tc>
      </w:tr>
      <w:tr w:rsidR="00820E07" w:rsidRPr="0048203B" w:rsidTr="00B934D9">
        <w:trPr>
          <w:jc w:val="center"/>
        </w:trPr>
        <w:tc>
          <w:tcPr>
            <w:tcW w:w="316" w:type="dxa"/>
            <w:tcBorders>
              <w:left w:val="single" w:sz="7" w:space="0" w:color="auto"/>
            </w:tcBorders>
          </w:tcPr>
          <w:p w:rsidR="00820E07" w:rsidRPr="0048203B" w:rsidRDefault="00820E07" w:rsidP="00B934D9">
            <w:pPr>
              <w:pStyle w:val="calendar"/>
            </w:pPr>
            <w:r w:rsidRPr="0048203B">
              <w:t>26</w:t>
            </w:r>
          </w:p>
        </w:tc>
        <w:tc>
          <w:tcPr>
            <w:tcW w:w="317" w:type="dxa"/>
          </w:tcPr>
          <w:p w:rsidR="00820E07" w:rsidRPr="0048203B" w:rsidRDefault="00820E07" w:rsidP="00B934D9">
            <w:pPr>
              <w:pStyle w:val="calendar"/>
            </w:pPr>
            <w:r w:rsidRPr="0048203B">
              <w:t>27</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28</w:t>
            </w:r>
          </w:p>
        </w:tc>
        <w:tc>
          <w:tcPr>
            <w:tcW w:w="316" w:type="dxa"/>
            <w:gridSpan w:val="2"/>
          </w:tcPr>
          <w:p w:rsidR="00820E07" w:rsidRPr="0048203B" w:rsidRDefault="00820E07" w:rsidP="00B934D9">
            <w:pPr>
              <w:pStyle w:val="calendar"/>
            </w:pPr>
            <w:r w:rsidRPr="0048203B">
              <w:t>29</w:t>
            </w:r>
          </w:p>
        </w:tc>
        <w:tc>
          <w:tcPr>
            <w:tcW w:w="317" w:type="dxa"/>
            <w:gridSpan w:val="2"/>
          </w:tcPr>
          <w:p w:rsidR="00820E07" w:rsidRPr="0048203B" w:rsidRDefault="00820E07" w:rsidP="00B934D9">
            <w:pPr>
              <w:pStyle w:val="calendar"/>
            </w:pPr>
            <w:r w:rsidRPr="0048203B">
              <w:t>30</w:t>
            </w:r>
          </w:p>
        </w:tc>
        <w:tc>
          <w:tcPr>
            <w:tcW w:w="317" w:type="dxa"/>
            <w:gridSpan w:val="2"/>
          </w:tcPr>
          <w:p w:rsidR="00820E07" w:rsidRPr="0048203B" w:rsidRDefault="00820E07" w:rsidP="00B934D9">
            <w:pPr>
              <w:pStyle w:val="calendar"/>
            </w:pPr>
            <w:r w:rsidRPr="0048203B">
              <w:t>31</w:t>
            </w:r>
          </w:p>
        </w:tc>
        <w:tc>
          <w:tcPr>
            <w:tcW w:w="317" w:type="dxa"/>
            <w:gridSpan w:val="2"/>
          </w:tcPr>
          <w:p w:rsidR="00820E07" w:rsidRPr="0048203B" w:rsidRDefault="00820E07" w:rsidP="00B934D9">
            <w:pPr>
              <w:pStyle w:val="calendar"/>
            </w:pPr>
          </w:p>
        </w:tc>
        <w:tc>
          <w:tcPr>
            <w:tcW w:w="316" w:type="dxa"/>
            <w:gridSpan w:val="2"/>
            <w:tcBorders>
              <w:left w:val="single" w:sz="7" w:space="0" w:color="auto"/>
            </w:tcBorders>
          </w:tcPr>
          <w:p w:rsidR="00820E07" w:rsidRPr="0048203B" w:rsidRDefault="00820E07" w:rsidP="00B934D9">
            <w:pPr>
              <w:pStyle w:val="calendar"/>
            </w:pPr>
            <w:r w:rsidRPr="0048203B">
              <w:t>23</w:t>
            </w:r>
          </w:p>
        </w:tc>
        <w:tc>
          <w:tcPr>
            <w:tcW w:w="317" w:type="dxa"/>
            <w:gridSpan w:val="2"/>
          </w:tcPr>
          <w:p w:rsidR="00820E07" w:rsidRPr="0048203B" w:rsidRDefault="00820E07" w:rsidP="00B934D9">
            <w:pPr>
              <w:pStyle w:val="calendar"/>
            </w:pPr>
            <w:r w:rsidRPr="0048203B">
              <w:t>24</w:t>
            </w:r>
          </w:p>
        </w:tc>
        <w:tc>
          <w:tcPr>
            <w:tcW w:w="317" w:type="dxa"/>
            <w:gridSpan w:val="2"/>
            <w:shd w:val="clear" w:color="auto" w:fill="D9D9D9" w:themeFill="background1" w:themeFillShade="D9"/>
          </w:tcPr>
          <w:p w:rsidR="00820E07" w:rsidRPr="0048203B" w:rsidRDefault="00820E07" w:rsidP="00B934D9">
            <w:pPr>
              <w:pStyle w:val="calendar"/>
              <w:rPr>
                <w:b/>
              </w:rPr>
            </w:pPr>
            <w:r w:rsidRPr="0048203B">
              <w:rPr>
                <w:b/>
              </w:rPr>
              <w:t>25</w:t>
            </w:r>
          </w:p>
        </w:tc>
        <w:tc>
          <w:tcPr>
            <w:tcW w:w="316" w:type="dxa"/>
            <w:gridSpan w:val="2"/>
          </w:tcPr>
          <w:p w:rsidR="00820E07" w:rsidRPr="0048203B" w:rsidRDefault="00820E07" w:rsidP="00B934D9">
            <w:pPr>
              <w:pStyle w:val="calendar"/>
            </w:pPr>
            <w:r w:rsidRPr="0048203B">
              <w:t>26</w:t>
            </w:r>
          </w:p>
        </w:tc>
        <w:tc>
          <w:tcPr>
            <w:tcW w:w="317" w:type="dxa"/>
            <w:gridSpan w:val="2"/>
          </w:tcPr>
          <w:p w:rsidR="00820E07" w:rsidRPr="0048203B" w:rsidRDefault="00820E07" w:rsidP="00B934D9">
            <w:pPr>
              <w:pStyle w:val="calendar"/>
            </w:pPr>
            <w:r w:rsidRPr="0048203B">
              <w:t>27</w:t>
            </w:r>
          </w:p>
        </w:tc>
        <w:tc>
          <w:tcPr>
            <w:tcW w:w="317" w:type="dxa"/>
            <w:gridSpan w:val="2"/>
          </w:tcPr>
          <w:p w:rsidR="00820E07" w:rsidRPr="0048203B" w:rsidRDefault="00820E07" w:rsidP="00B934D9">
            <w:pPr>
              <w:pStyle w:val="calendar"/>
            </w:pPr>
            <w:r w:rsidRPr="0048203B">
              <w:t>28</w:t>
            </w:r>
          </w:p>
        </w:tc>
        <w:tc>
          <w:tcPr>
            <w:tcW w:w="317" w:type="dxa"/>
            <w:gridSpan w:val="2"/>
          </w:tcPr>
          <w:p w:rsidR="00820E07" w:rsidRPr="0048203B" w:rsidRDefault="00820E07" w:rsidP="00B934D9">
            <w:pPr>
              <w:pStyle w:val="calendar"/>
            </w:pPr>
          </w:p>
        </w:tc>
        <w:tc>
          <w:tcPr>
            <w:tcW w:w="316" w:type="dxa"/>
            <w:gridSpan w:val="2"/>
            <w:tcBorders>
              <w:left w:val="single" w:sz="7" w:space="0" w:color="auto"/>
            </w:tcBorders>
          </w:tcPr>
          <w:p w:rsidR="00820E07" w:rsidRPr="0048203B" w:rsidRDefault="00820E07" w:rsidP="00B934D9">
            <w:pPr>
              <w:pStyle w:val="calendar"/>
            </w:pPr>
            <w:r w:rsidRPr="0048203B">
              <w:t>23</w:t>
            </w:r>
          </w:p>
        </w:tc>
        <w:tc>
          <w:tcPr>
            <w:tcW w:w="317" w:type="dxa"/>
            <w:gridSpan w:val="2"/>
          </w:tcPr>
          <w:p w:rsidR="00820E07" w:rsidRPr="0048203B" w:rsidRDefault="00820E07" w:rsidP="00B934D9">
            <w:pPr>
              <w:pStyle w:val="calendar"/>
            </w:pPr>
            <w:r w:rsidRPr="0048203B">
              <w:t>24</w:t>
            </w:r>
          </w:p>
        </w:tc>
        <w:tc>
          <w:tcPr>
            <w:tcW w:w="317" w:type="dxa"/>
            <w:gridSpan w:val="2"/>
          </w:tcPr>
          <w:p w:rsidR="00820E07" w:rsidRPr="0048203B" w:rsidRDefault="00820E07" w:rsidP="00B934D9">
            <w:pPr>
              <w:pStyle w:val="calendar"/>
            </w:pPr>
            <w:r w:rsidRPr="0048203B">
              <w:t>25</w:t>
            </w:r>
          </w:p>
        </w:tc>
        <w:tc>
          <w:tcPr>
            <w:tcW w:w="316" w:type="dxa"/>
          </w:tcPr>
          <w:p w:rsidR="00820E07" w:rsidRPr="0048203B" w:rsidRDefault="00820E07" w:rsidP="00B934D9">
            <w:pPr>
              <w:pStyle w:val="calendar"/>
            </w:pPr>
            <w:r w:rsidRPr="0048203B">
              <w:t>26</w:t>
            </w:r>
          </w:p>
        </w:tc>
        <w:tc>
          <w:tcPr>
            <w:tcW w:w="317" w:type="dxa"/>
          </w:tcPr>
          <w:p w:rsidR="00820E07" w:rsidRPr="0048203B" w:rsidRDefault="00820E07" w:rsidP="00B934D9">
            <w:pPr>
              <w:pStyle w:val="calendar"/>
            </w:pPr>
            <w:r w:rsidRPr="0048203B">
              <w:t>27</w:t>
            </w:r>
          </w:p>
        </w:tc>
        <w:tc>
          <w:tcPr>
            <w:tcW w:w="317" w:type="dxa"/>
          </w:tcPr>
          <w:p w:rsidR="00820E07" w:rsidRPr="0048203B" w:rsidRDefault="00820E07" w:rsidP="00B934D9">
            <w:pPr>
              <w:pStyle w:val="calendar"/>
            </w:pPr>
            <w:r w:rsidRPr="0048203B">
              <w:t>28</w:t>
            </w:r>
          </w:p>
        </w:tc>
        <w:tc>
          <w:tcPr>
            <w:tcW w:w="317" w:type="dxa"/>
            <w:tcBorders>
              <w:right w:val="single" w:sz="4" w:space="0" w:color="auto"/>
            </w:tcBorders>
          </w:tcPr>
          <w:p w:rsidR="00820E07" w:rsidRPr="0048203B" w:rsidRDefault="00820E07" w:rsidP="00B934D9">
            <w:pPr>
              <w:pStyle w:val="calendar"/>
            </w:pPr>
            <w:r w:rsidRPr="0048203B">
              <w:t>29</w:t>
            </w:r>
          </w:p>
        </w:tc>
      </w:tr>
      <w:tr w:rsidR="00820E07" w:rsidRPr="0048203B" w:rsidTr="00B934D9">
        <w:trPr>
          <w:jc w:val="center"/>
        </w:trPr>
        <w:tc>
          <w:tcPr>
            <w:tcW w:w="316" w:type="dxa"/>
            <w:tcBorders>
              <w:left w:val="single" w:sz="7" w:space="0" w:color="auto"/>
              <w:bottom w:val="single" w:sz="8" w:space="0" w:color="auto"/>
            </w:tcBorders>
          </w:tcPr>
          <w:p w:rsidR="00820E07" w:rsidRPr="0048203B" w:rsidRDefault="00820E07" w:rsidP="00B934D9">
            <w:pPr>
              <w:pStyle w:val="calendar"/>
            </w:pPr>
          </w:p>
        </w:tc>
        <w:tc>
          <w:tcPr>
            <w:tcW w:w="317" w:type="dxa"/>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left w:val="single" w:sz="7" w:space="0" w:color="auto"/>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left w:val="single" w:sz="7" w:space="0" w:color="auto"/>
              <w:bottom w:val="single" w:sz="8" w:space="0" w:color="auto"/>
            </w:tcBorders>
          </w:tcPr>
          <w:p w:rsidR="00820E07" w:rsidRPr="0048203B" w:rsidRDefault="00820E07" w:rsidP="00B934D9">
            <w:pPr>
              <w:pStyle w:val="calendar"/>
            </w:pPr>
            <w:r w:rsidRPr="0048203B">
              <w:t>30</w:t>
            </w:r>
          </w:p>
        </w:tc>
        <w:tc>
          <w:tcPr>
            <w:tcW w:w="317" w:type="dxa"/>
            <w:gridSpan w:val="2"/>
            <w:tcBorders>
              <w:bottom w:val="single" w:sz="8" w:space="0" w:color="auto"/>
            </w:tcBorders>
          </w:tcPr>
          <w:p w:rsidR="00820E07" w:rsidRPr="0048203B" w:rsidRDefault="00820E07" w:rsidP="00B934D9">
            <w:pPr>
              <w:pStyle w:val="calendar"/>
            </w:pPr>
            <w:r w:rsidRPr="0048203B">
              <w:t>31</w:t>
            </w:r>
          </w:p>
        </w:tc>
        <w:tc>
          <w:tcPr>
            <w:tcW w:w="317" w:type="dxa"/>
            <w:gridSpan w:val="2"/>
            <w:tcBorders>
              <w:bottom w:val="single" w:sz="8" w:space="0" w:color="auto"/>
            </w:tcBorders>
          </w:tcPr>
          <w:p w:rsidR="00820E07" w:rsidRPr="0048203B" w:rsidRDefault="00820E07" w:rsidP="00B934D9">
            <w:pPr>
              <w:pStyle w:val="calendar"/>
            </w:pPr>
          </w:p>
        </w:tc>
        <w:tc>
          <w:tcPr>
            <w:tcW w:w="316" w:type="dxa"/>
            <w:tcBorders>
              <w:bottom w:val="single" w:sz="8" w:space="0" w:color="auto"/>
            </w:tcBorders>
          </w:tcPr>
          <w:p w:rsidR="00820E07" w:rsidRPr="0048203B" w:rsidRDefault="00820E07" w:rsidP="00B934D9">
            <w:pPr>
              <w:pStyle w:val="calendar"/>
            </w:pPr>
          </w:p>
        </w:tc>
        <w:tc>
          <w:tcPr>
            <w:tcW w:w="317" w:type="dxa"/>
            <w:tcBorders>
              <w:bottom w:val="single" w:sz="8" w:space="0" w:color="auto"/>
            </w:tcBorders>
          </w:tcPr>
          <w:p w:rsidR="00820E07" w:rsidRPr="0048203B" w:rsidRDefault="00820E07" w:rsidP="00B934D9">
            <w:pPr>
              <w:pStyle w:val="calendar"/>
            </w:pPr>
          </w:p>
        </w:tc>
        <w:tc>
          <w:tcPr>
            <w:tcW w:w="317" w:type="dxa"/>
            <w:tcBorders>
              <w:bottom w:val="single" w:sz="8" w:space="0" w:color="auto"/>
            </w:tcBorders>
          </w:tcPr>
          <w:p w:rsidR="00820E07" w:rsidRPr="0048203B" w:rsidRDefault="00820E07" w:rsidP="00B934D9">
            <w:pPr>
              <w:pStyle w:val="calendar"/>
            </w:pPr>
          </w:p>
        </w:tc>
        <w:tc>
          <w:tcPr>
            <w:tcW w:w="317" w:type="dxa"/>
            <w:tcBorders>
              <w:bottom w:val="single" w:sz="8" w:space="0" w:color="auto"/>
              <w:right w:val="single" w:sz="4" w:space="0" w:color="auto"/>
            </w:tcBorders>
          </w:tcPr>
          <w:p w:rsidR="00820E07" w:rsidRPr="0048203B" w:rsidRDefault="00820E07" w:rsidP="00B934D9">
            <w:pPr>
              <w:pStyle w:val="calendar"/>
            </w:pPr>
          </w:p>
        </w:tc>
      </w:tr>
      <w:tr w:rsidR="00820E07" w:rsidRPr="0048203B" w:rsidTr="00B934D9">
        <w:trPr>
          <w:gridBefore w:val="3"/>
          <w:gridAfter w:val="5"/>
          <w:wBefore w:w="720" w:type="dxa"/>
          <w:wAfter w:w="1497" w:type="dxa"/>
          <w:jc w:val="center"/>
        </w:trPr>
        <w:tc>
          <w:tcPr>
            <w:tcW w:w="2217" w:type="dxa"/>
            <w:gridSpan w:val="14"/>
            <w:tcBorders>
              <w:top w:val="single" w:sz="8" w:space="0" w:color="auto"/>
              <w:left w:val="single" w:sz="8" w:space="0" w:color="auto"/>
              <w:bottom w:val="single" w:sz="6" w:space="0" w:color="auto"/>
              <w:right w:val="single" w:sz="8" w:space="0" w:color="auto"/>
            </w:tcBorders>
          </w:tcPr>
          <w:p w:rsidR="00820E07" w:rsidRPr="0048203B" w:rsidRDefault="00820E07" w:rsidP="00B934D9">
            <w:pPr>
              <w:pStyle w:val="calendar"/>
              <w:rPr>
                <w:b/>
                <w:bCs/>
              </w:rPr>
            </w:pPr>
            <w:r w:rsidRPr="0048203B">
              <w:rPr>
                <w:b/>
                <w:bCs/>
              </w:rPr>
              <w:t>April 2014</w:t>
            </w:r>
          </w:p>
        </w:tc>
        <w:tc>
          <w:tcPr>
            <w:tcW w:w="2217" w:type="dxa"/>
            <w:gridSpan w:val="14"/>
            <w:tcBorders>
              <w:top w:val="single" w:sz="8" w:space="0" w:color="auto"/>
              <w:left w:val="single" w:sz="8" w:space="0" w:color="auto"/>
              <w:bottom w:val="single" w:sz="6" w:space="0" w:color="auto"/>
              <w:right w:val="single" w:sz="8" w:space="0" w:color="auto"/>
            </w:tcBorders>
          </w:tcPr>
          <w:p w:rsidR="00820E07" w:rsidRPr="0048203B" w:rsidRDefault="00820E07" w:rsidP="00B934D9">
            <w:pPr>
              <w:pStyle w:val="calendar"/>
              <w:rPr>
                <w:b/>
                <w:bCs/>
              </w:rPr>
            </w:pPr>
            <w:r w:rsidRPr="0048203B">
              <w:rPr>
                <w:b/>
                <w:bCs/>
              </w:rPr>
              <w:t>May 2014</w:t>
            </w:r>
          </w:p>
        </w:tc>
      </w:tr>
      <w:tr w:rsidR="00820E07" w:rsidRPr="0048203B" w:rsidTr="00B934D9">
        <w:trPr>
          <w:gridBefore w:val="3"/>
          <w:gridAfter w:val="5"/>
          <w:wBefore w:w="720" w:type="dxa"/>
          <w:wAfter w:w="1497" w:type="dxa"/>
          <w:jc w:val="center"/>
        </w:trPr>
        <w:tc>
          <w:tcPr>
            <w:tcW w:w="316" w:type="dxa"/>
            <w:gridSpan w:val="2"/>
            <w:tcBorders>
              <w:top w:val="single" w:sz="6" w:space="0" w:color="auto"/>
              <w:left w:val="single" w:sz="7" w:space="0" w:color="auto"/>
            </w:tcBorders>
          </w:tcPr>
          <w:p w:rsidR="00820E07" w:rsidRPr="0048203B" w:rsidRDefault="00820E07" w:rsidP="00B934D9">
            <w:pPr>
              <w:pStyle w:val="calendar"/>
            </w:pPr>
            <w:r w:rsidRPr="0048203B">
              <w:t>S</w:t>
            </w:r>
          </w:p>
        </w:tc>
        <w:tc>
          <w:tcPr>
            <w:tcW w:w="317" w:type="dxa"/>
            <w:gridSpan w:val="2"/>
            <w:tcBorders>
              <w:top w:val="single" w:sz="6" w:space="0" w:color="auto"/>
            </w:tcBorders>
          </w:tcPr>
          <w:p w:rsidR="00820E07" w:rsidRPr="0048203B" w:rsidRDefault="00820E07" w:rsidP="00B934D9">
            <w:pPr>
              <w:pStyle w:val="calendar"/>
            </w:pPr>
            <w:r w:rsidRPr="0048203B">
              <w:t>M</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6" w:type="dxa"/>
            <w:gridSpan w:val="2"/>
            <w:tcBorders>
              <w:top w:val="single" w:sz="6" w:space="0" w:color="auto"/>
            </w:tcBorders>
          </w:tcPr>
          <w:p w:rsidR="00820E07" w:rsidRPr="0048203B" w:rsidRDefault="00820E07" w:rsidP="00B934D9">
            <w:pPr>
              <w:pStyle w:val="calendar"/>
            </w:pPr>
            <w:r w:rsidRPr="0048203B">
              <w:t>W</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7" w:type="dxa"/>
            <w:gridSpan w:val="2"/>
            <w:tcBorders>
              <w:top w:val="single" w:sz="6" w:space="0" w:color="auto"/>
            </w:tcBorders>
          </w:tcPr>
          <w:p w:rsidR="00820E07" w:rsidRPr="0048203B" w:rsidRDefault="00820E07" w:rsidP="00B934D9">
            <w:pPr>
              <w:pStyle w:val="calendar"/>
            </w:pPr>
            <w:r w:rsidRPr="0048203B">
              <w:t>F</w:t>
            </w:r>
          </w:p>
        </w:tc>
        <w:tc>
          <w:tcPr>
            <w:tcW w:w="317" w:type="dxa"/>
            <w:gridSpan w:val="2"/>
            <w:tcBorders>
              <w:top w:val="single" w:sz="6" w:space="0" w:color="auto"/>
            </w:tcBorders>
          </w:tcPr>
          <w:p w:rsidR="00820E07" w:rsidRPr="0048203B" w:rsidRDefault="00820E07" w:rsidP="00B934D9">
            <w:pPr>
              <w:pStyle w:val="calendar"/>
            </w:pPr>
            <w:r w:rsidRPr="0048203B">
              <w:t>S</w:t>
            </w:r>
          </w:p>
        </w:tc>
        <w:tc>
          <w:tcPr>
            <w:tcW w:w="316" w:type="dxa"/>
            <w:gridSpan w:val="2"/>
            <w:tcBorders>
              <w:top w:val="single" w:sz="6" w:space="0" w:color="auto"/>
              <w:left w:val="single" w:sz="7" w:space="0" w:color="auto"/>
            </w:tcBorders>
          </w:tcPr>
          <w:p w:rsidR="00820E07" w:rsidRPr="0048203B" w:rsidRDefault="00820E07" w:rsidP="00B934D9">
            <w:pPr>
              <w:pStyle w:val="calendar"/>
            </w:pPr>
            <w:r w:rsidRPr="0048203B">
              <w:t>S</w:t>
            </w:r>
          </w:p>
        </w:tc>
        <w:tc>
          <w:tcPr>
            <w:tcW w:w="317" w:type="dxa"/>
            <w:gridSpan w:val="2"/>
            <w:tcBorders>
              <w:top w:val="single" w:sz="6" w:space="0" w:color="auto"/>
            </w:tcBorders>
          </w:tcPr>
          <w:p w:rsidR="00820E07" w:rsidRPr="0048203B" w:rsidRDefault="00820E07" w:rsidP="00B934D9">
            <w:pPr>
              <w:pStyle w:val="calendar"/>
            </w:pPr>
            <w:r w:rsidRPr="0048203B">
              <w:t>M</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6" w:type="dxa"/>
            <w:gridSpan w:val="2"/>
            <w:tcBorders>
              <w:top w:val="single" w:sz="6" w:space="0" w:color="auto"/>
            </w:tcBorders>
          </w:tcPr>
          <w:p w:rsidR="00820E07" w:rsidRPr="0048203B" w:rsidRDefault="00820E07" w:rsidP="00B934D9">
            <w:pPr>
              <w:pStyle w:val="calendar"/>
            </w:pPr>
            <w:r w:rsidRPr="0048203B">
              <w:t>W</w:t>
            </w:r>
          </w:p>
        </w:tc>
        <w:tc>
          <w:tcPr>
            <w:tcW w:w="317" w:type="dxa"/>
            <w:gridSpan w:val="2"/>
            <w:tcBorders>
              <w:top w:val="single" w:sz="6" w:space="0" w:color="auto"/>
            </w:tcBorders>
          </w:tcPr>
          <w:p w:rsidR="00820E07" w:rsidRPr="0048203B" w:rsidRDefault="00820E07" w:rsidP="00B934D9">
            <w:pPr>
              <w:pStyle w:val="calendar"/>
            </w:pPr>
            <w:r w:rsidRPr="0048203B">
              <w:t>T</w:t>
            </w:r>
          </w:p>
        </w:tc>
        <w:tc>
          <w:tcPr>
            <w:tcW w:w="317" w:type="dxa"/>
            <w:gridSpan w:val="2"/>
            <w:tcBorders>
              <w:top w:val="single" w:sz="6" w:space="0" w:color="auto"/>
            </w:tcBorders>
          </w:tcPr>
          <w:p w:rsidR="00820E07" w:rsidRPr="0048203B" w:rsidRDefault="00820E07" w:rsidP="00B934D9">
            <w:pPr>
              <w:pStyle w:val="calendar"/>
            </w:pPr>
            <w:r w:rsidRPr="0048203B">
              <w:t>F</w:t>
            </w:r>
          </w:p>
        </w:tc>
        <w:tc>
          <w:tcPr>
            <w:tcW w:w="317" w:type="dxa"/>
            <w:gridSpan w:val="2"/>
            <w:tcBorders>
              <w:top w:val="single" w:sz="6" w:space="0" w:color="auto"/>
              <w:right w:val="single" w:sz="4" w:space="0" w:color="auto"/>
            </w:tcBorders>
          </w:tcPr>
          <w:p w:rsidR="00820E07" w:rsidRPr="0048203B" w:rsidRDefault="00820E07" w:rsidP="00B934D9">
            <w:pPr>
              <w:pStyle w:val="calendar"/>
            </w:pPr>
            <w:r w:rsidRPr="0048203B">
              <w:t>S</w:t>
            </w:r>
          </w:p>
        </w:tc>
      </w:tr>
      <w:tr w:rsidR="00820E07" w:rsidRPr="0048203B" w:rsidTr="00B934D9">
        <w:trPr>
          <w:gridBefore w:val="3"/>
          <w:gridAfter w:val="5"/>
          <w:wBefore w:w="720" w:type="dxa"/>
          <w:wAfter w:w="1497" w:type="dxa"/>
          <w:jc w:val="center"/>
        </w:trPr>
        <w:tc>
          <w:tcPr>
            <w:tcW w:w="316" w:type="dxa"/>
            <w:gridSpan w:val="2"/>
            <w:tcBorders>
              <w:left w:val="single" w:sz="7" w:space="0" w:color="auto"/>
            </w:tcBorders>
          </w:tcPr>
          <w:p w:rsidR="00820E07" w:rsidRPr="0048203B" w:rsidRDefault="00820E07" w:rsidP="00B934D9">
            <w:pPr>
              <w:pStyle w:val="calendar"/>
            </w:pPr>
          </w:p>
        </w:tc>
        <w:tc>
          <w:tcPr>
            <w:tcW w:w="317" w:type="dxa"/>
            <w:gridSpan w:val="2"/>
          </w:tcPr>
          <w:p w:rsidR="00820E07" w:rsidRPr="0048203B" w:rsidRDefault="00820E07" w:rsidP="00B934D9">
            <w:pPr>
              <w:pStyle w:val="calendar"/>
            </w:pPr>
          </w:p>
        </w:tc>
        <w:tc>
          <w:tcPr>
            <w:tcW w:w="317" w:type="dxa"/>
            <w:gridSpan w:val="2"/>
            <w:shd w:val="clear" w:color="auto" w:fill="D9D9D9" w:themeFill="background1" w:themeFillShade="D9"/>
          </w:tcPr>
          <w:p w:rsidR="00820E07" w:rsidRPr="0048203B" w:rsidRDefault="00820E07" w:rsidP="00B934D9">
            <w:pPr>
              <w:pStyle w:val="calendar"/>
            </w:pPr>
            <w:r w:rsidRPr="0048203B">
              <w:t>1</w:t>
            </w:r>
          </w:p>
        </w:tc>
        <w:tc>
          <w:tcPr>
            <w:tcW w:w="316" w:type="dxa"/>
            <w:gridSpan w:val="2"/>
          </w:tcPr>
          <w:p w:rsidR="00820E07" w:rsidRPr="0048203B" w:rsidRDefault="00820E07" w:rsidP="00B934D9">
            <w:pPr>
              <w:pStyle w:val="calendar"/>
            </w:pPr>
            <w:r w:rsidRPr="0048203B">
              <w:t>2</w:t>
            </w:r>
          </w:p>
        </w:tc>
        <w:tc>
          <w:tcPr>
            <w:tcW w:w="317" w:type="dxa"/>
            <w:gridSpan w:val="2"/>
          </w:tcPr>
          <w:p w:rsidR="00820E07" w:rsidRPr="0048203B" w:rsidRDefault="00820E07" w:rsidP="00B934D9">
            <w:pPr>
              <w:pStyle w:val="calendar"/>
            </w:pPr>
            <w:r w:rsidRPr="0048203B">
              <w:t>3</w:t>
            </w:r>
          </w:p>
        </w:tc>
        <w:tc>
          <w:tcPr>
            <w:tcW w:w="317" w:type="dxa"/>
            <w:gridSpan w:val="2"/>
          </w:tcPr>
          <w:p w:rsidR="00820E07" w:rsidRPr="0048203B" w:rsidRDefault="00820E07" w:rsidP="00B934D9">
            <w:pPr>
              <w:pStyle w:val="calendar"/>
            </w:pPr>
            <w:r w:rsidRPr="0048203B">
              <w:t>4</w:t>
            </w:r>
          </w:p>
        </w:tc>
        <w:tc>
          <w:tcPr>
            <w:tcW w:w="317" w:type="dxa"/>
            <w:gridSpan w:val="2"/>
          </w:tcPr>
          <w:p w:rsidR="00820E07" w:rsidRPr="0048203B" w:rsidRDefault="00820E07" w:rsidP="00B934D9">
            <w:pPr>
              <w:pStyle w:val="calendar"/>
            </w:pPr>
            <w:r w:rsidRPr="0048203B">
              <w:t>5</w:t>
            </w:r>
          </w:p>
        </w:tc>
        <w:tc>
          <w:tcPr>
            <w:tcW w:w="316" w:type="dxa"/>
            <w:gridSpan w:val="2"/>
            <w:tcBorders>
              <w:left w:val="single" w:sz="7" w:space="0" w:color="auto"/>
            </w:tcBorders>
          </w:tcPr>
          <w:p w:rsidR="00820E07" w:rsidRPr="0048203B" w:rsidRDefault="00820E07" w:rsidP="00B934D9">
            <w:pPr>
              <w:pStyle w:val="calendar"/>
            </w:pPr>
          </w:p>
        </w:tc>
        <w:tc>
          <w:tcPr>
            <w:tcW w:w="317" w:type="dxa"/>
            <w:gridSpan w:val="2"/>
          </w:tcPr>
          <w:p w:rsidR="00820E07" w:rsidRPr="0048203B" w:rsidRDefault="00820E07" w:rsidP="00B934D9">
            <w:pPr>
              <w:pStyle w:val="calendar"/>
            </w:pPr>
          </w:p>
        </w:tc>
        <w:tc>
          <w:tcPr>
            <w:tcW w:w="317" w:type="dxa"/>
            <w:gridSpan w:val="2"/>
          </w:tcPr>
          <w:p w:rsidR="00820E07" w:rsidRPr="0048203B" w:rsidRDefault="00820E07" w:rsidP="00B934D9">
            <w:pPr>
              <w:pStyle w:val="calendar"/>
            </w:pPr>
          </w:p>
        </w:tc>
        <w:tc>
          <w:tcPr>
            <w:tcW w:w="316" w:type="dxa"/>
            <w:gridSpan w:val="2"/>
          </w:tcPr>
          <w:p w:rsidR="00820E07" w:rsidRPr="0048203B" w:rsidRDefault="00820E07" w:rsidP="00B934D9">
            <w:pPr>
              <w:pStyle w:val="calendar"/>
            </w:pPr>
          </w:p>
        </w:tc>
        <w:tc>
          <w:tcPr>
            <w:tcW w:w="317" w:type="dxa"/>
            <w:gridSpan w:val="2"/>
          </w:tcPr>
          <w:p w:rsidR="00820E07" w:rsidRPr="0048203B" w:rsidRDefault="00820E07" w:rsidP="00B934D9">
            <w:pPr>
              <w:pStyle w:val="calendar"/>
            </w:pPr>
            <w:r w:rsidRPr="0048203B">
              <w:t>1</w:t>
            </w:r>
          </w:p>
        </w:tc>
        <w:tc>
          <w:tcPr>
            <w:tcW w:w="317" w:type="dxa"/>
            <w:gridSpan w:val="2"/>
          </w:tcPr>
          <w:p w:rsidR="00820E07" w:rsidRPr="0048203B" w:rsidRDefault="00820E07" w:rsidP="00B934D9">
            <w:pPr>
              <w:pStyle w:val="calendar"/>
            </w:pPr>
            <w:r w:rsidRPr="0048203B">
              <w:t>2</w:t>
            </w:r>
          </w:p>
        </w:tc>
        <w:tc>
          <w:tcPr>
            <w:tcW w:w="317" w:type="dxa"/>
            <w:gridSpan w:val="2"/>
            <w:tcBorders>
              <w:right w:val="single" w:sz="4" w:space="0" w:color="auto"/>
            </w:tcBorders>
          </w:tcPr>
          <w:p w:rsidR="00820E07" w:rsidRPr="0048203B" w:rsidRDefault="00820E07" w:rsidP="00B934D9">
            <w:pPr>
              <w:pStyle w:val="calendar"/>
            </w:pPr>
            <w:r w:rsidRPr="0048203B">
              <w:t>3</w:t>
            </w:r>
          </w:p>
        </w:tc>
      </w:tr>
      <w:tr w:rsidR="00820E07" w:rsidRPr="0048203B" w:rsidTr="00B934D9">
        <w:trPr>
          <w:gridBefore w:val="3"/>
          <w:gridAfter w:val="5"/>
          <w:wBefore w:w="720" w:type="dxa"/>
          <w:wAfter w:w="1497" w:type="dxa"/>
          <w:jc w:val="center"/>
        </w:trPr>
        <w:tc>
          <w:tcPr>
            <w:tcW w:w="316" w:type="dxa"/>
            <w:gridSpan w:val="2"/>
            <w:tcBorders>
              <w:left w:val="single" w:sz="7" w:space="0" w:color="auto"/>
            </w:tcBorders>
          </w:tcPr>
          <w:p w:rsidR="00820E07" w:rsidRPr="0048203B" w:rsidRDefault="00820E07" w:rsidP="00B934D9">
            <w:pPr>
              <w:pStyle w:val="calendar"/>
            </w:pPr>
            <w:r w:rsidRPr="0048203B">
              <w:t>6</w:t>
            </w:r>
          </w:p>
        </w:tc>
        <w:tc>
          <w:tcPr>
            <w:tcW w:w="317" w:type="dxa"/>
            <w:gridSpan w:val="2"/>
          </w:tcPr>
          <w:p w:rsidR="00820E07" w:rsidRPr="0048203B" w:rsidRDefault="00820E07" w:rsidP="00B934D9">
            <w:pPr>
              <w:pStyle w:val="calendar"/>
            </w:pPr>
            <w:r w:rsidRPr="0048203B">
              <w:t>7</w:t>
            </w:r>
          </w:p>
        </w:tc>
        <w:tc>
          <w:tcPr>
            <w:tcW w:w="317" w:type="dxa"/>
            <w:gridSpan w:val="2"/>
            <w:shd w:val="clear" w:color="auto" w:fill="D9D9D9" w:themeFill="background1" w:themeFillShade="D9"/>
          </w:tcPr>
          <w:p w:rsidR="00820E07" w:rsidRPr="0048203B" w:rsidRDefault="00820E07" w:rsidP="00B934D9">
            <w:pPr>
              <w:pStyle w:val="calendar"/>
            </w:pPr>
            <w:r w:rsidRPr="0048203B">
              <w:t>8</w:t>
            </w:r>
          </w:p>
        </w:tc>
        <w:tc>
          <w:tcPr>
            <w:tcW w:w="316" w:type="dxa"/>
            <w:gridSpan w:val="2"/>
          </w:tcPr>
          <w:p w:rsidR="00820E07" w:rsidRPr="0048203B" w:rsidRDefault="00820E07" w:rsidP="00B934D9">
            <w:pPr>
              <w:pStyle w:val="calendar"/>
            </w:pPr>
            <w:r w:rsidRPr="0048203B">
              <w:t>9</w:t>
            </w:r>
          </w:p>
        </w:tc>
        <w:tc>
          <w:tcPr>
            <w:tcW w:w="317" w:type="dxa"/>
            <w:gridSpan w:val="2"/>
          </w:tcPr>
          <w:p w:rsidR="00820E07" w:rsidRPr="0048203B" w:rsidRDefault="00820E07" w:rsidP="00B934D9">
            <w:pPr>
              <w:pStyle w:val="calendar"/>
            </w:pPr>
            <w:r w:rsidRPr="0048203B">
              <w:t>10</w:t>
            </w:r>
          </w:p>
        </w:tc>
        <w:tc>
          <w:tcPr>
            <w:tcW w:w="317" w:type="dxa"/>
            <w:gridSpan w:val="2"/>
          </w:tcPr>
          <w:p w:rsidR="00820E07" w:rsidRPr="0048203B" w:rsidRDefault="00820E07" w:rsidP="00B934D9">
            <w:pPr>
              <w:pStyle w:val="calendar"/>
            </w:pPr>
            <w:r w:rsidRPr="0048203B">
              <w:t>11</w:t>
            </w:r>
          </w:p>
        </w:tc>
        <w:tc>
          <w:tcPr>
            <w:tcW w:w="317" w:type="dxa"/>
            <w:gridSpan w:val="2"/>
          </w:tcPr>
          <w:p w:rsidR="00820E07" w:rsidRPr="0048203B" w:rsidRDefault="00820E07" w:rsidP="00B934D9">
            <w:pPr>
              <w:pStyle w:val="calendar"/>
            </w:pPr>
            <w:r w:rsidRPr="0048203B">
              <w:t>12</w:t>
            </w:r>
          </w:p>
        </w:tc>
        <w:tc>
          <w:tcPr>
            <w:tcW w:w="316" w:type="dxa"/>
            <w:gridSpan w:val="2"/>
            <w:tcBorders>
              <w:left w:val="single" w:sz="7" w:space="0" w:color="auto"/>
            </w:tcBorders>
          </w:tcPr>
          <w:p w:rsidR="00820E07" w:rsidRPr="0048203B" w:rsidRDefault="00820E07" w:rsidP="00B934D9">
            <w:pPr>
              <w:pStyle w:val="calendar"/>
            </w:pPr>
            <w:r w:rsidRPr="0048203B">
              <w:t>4</w:t>
            </w:r>
          </w:p>
        </w:tc>
        <w:tc>
          <w:tcPr>
            <w:tcW w:w="317" w:type="dxa"/>
            <w:gridSpan w:val="2"/>
          </w:tcPr>
          <w:p w:rsidR="00820E07" w:rsidRPr="0048203B" w:rsidRDefault="00820E07" w:rsidP="00B934D9">
            <w:pPr>
              <w:pStyle w:val="calendar"/>
            </w:pPr>
            <w:r w:rsidRPr="0048203B">
              <w:t>5</w:t>
            </w:r>
          </w:p>
        </w:tc>
        <w:tc>
          <w:tcPr>
            <w:tcW w:w="317" w:type="dxa"/>
            <w:gridSpan w:val="2"/>
          </w:tcPr>
          <w:p w:rsidR="00820E07" w:rsidRPr="0048203B" w:rsidRDefault="00820E07" w:rsidP="00B934D9">
            <w:pPr>
              <w:pStyle w:val="calendar"/>
            </w:pPr>
            <w:r w:rsidRPr="0048203B">
              <w:t>6</w:t>
            </w:r>
          </w:p>
        </w:tc>
        <w:tc>
          <w:tcPr>
            <w:tcW w:w="316" w:type="dxa"/>
            <w:gridSpan w:val="2"/>
          </w:tcPr>
          <w:p w:rsidR="00820E07" w:rsidRPr="0048203B" w:rsidRDefault="00820E07" w:rsidP="00B934D9">
            <w:pPr>
              <w:pStyle w:val="calendar"/>
            </w:pPr>
            <w:r w:rsidRPr="0048203B">
              <w:t>7</w:t>
            </w:r>
          </w:p>
        </w:tc>
        <w:tc>
          <w:tcPr>
            <w:tcW w:w="317" w:type="dxa"/>
            <w:gridSpan w:val="2"/>
          </w:tcPr>
          <w:p w:rsidR="00820E07" w:rsidRPr="0048203B" w:rsidRDefault="00820E07" w:rsidP="00B934D9">
            <w:pPr>
              <w:pStyle w:val="calendar"/>
            </w:pPr>
            <w:r w:rsidRPr="0048203B">
              <w:t>8</w:t>
            </w:r>
          </w:p>
        </w:tc>
        <w:tc>
          <w:tcPr>
            <w:tcW w:w="317" w:type="dxa"/>
            <w:gridSpan w:val="2"/>
          </w:tcPr>
          <w:p w:rsidR="00820E07" w:rsidRPr="0048203B" w:rsidRDefault="00820E07" w:rsidP="00B934D9">
            <w:pPr>
              <w:pStyle w:val="calendar"/>
            </w:pPr>
            <w:r w:rsidRPr="0048203B">
              <w:t>9</w:t>
            </w:r>
          </w:p>
        </w:tc>
        <w:tc>
          <w:tcPr>
            <w:tcW w:w="317" w:type="dxa"/>
            <w:gridSpan w:val="2"/>
            <w:tcBorders>
              <w:right w:val="single" w:sz="4" w:space="0" w:color="auto"/>
            </w:tcBorders>
          </w:tcPr>
          <w:p w:rsidR="00820E07" w:rsidRPr="0048203B" w:rsidRDefault="00820E07" w:rsidP="00B934D9">
            <w:pPr>
              <w:pStyle w:val="calendar"/>
            </w:pPr>
            <w:r w:rsidRPr="0048203B">
              <w:t>10</w:t>
            </w:r>
          </w:p>
        </w:tc>
      </w:tr>
      <w:tr w:rsidR="00820E07" w:rsidRPr="0048203B" w:rsidTr="00B934D9">
        <w:trPr>
          <w:gridBefore w:val="3"/>
          <w:gridAfter w:val="5"/>
          <w:wBefore w:w="720" w:type="dxa"/>
          <w:wAfter w:w="1497" w:type="dxa"/>
          <w:jc w:val="center"/>
        </w:trPr>
        <w:tc>
          <w:tcPr>
            <w:tcW w:w="316" w:type="dxa"/>
            <w:gridSpan w:val="2"/>
            <w:tcBorders>
              <w:left w:val="single" w:sz="7" w:space="0" w:color="auto"/>
            </w:tcBorders>
          </w:tcPr>
          <w:p w:rsidR="00820E07" w:rsidRPr="0048203B" w:rsidRDefault="00820E07" w:rsidP="00B934D9">
            <w:pPr>
              <w:pStyle w:val="calendar"/>
            </w:pPr>
            <w:r w:rsidRPr="0048203B">
              <w:t>13</w:t>
            </w:r>
          </w:p>
        </w:tc>
        <w:tc>
          <w:tcPr>
            <w:tcW w:w="317" w:type="dxa"/>
            <w:gridSpan w:val="2"/>
          </w:tcPr>
          <w:p w:rsidR="00820E07" w:rsidRPr="0048203B" w:rsidRDefault="00820E07" w:rsidP="00B934D9">
            <w:pPr>
              <w:pStyle w:val="calendar"/>
            </w:pPr>
            <w:r w:rsidRPr="0048203B">
              <w:t>14</w:t>
            </w:r>
          </w:p>
        </w:tc>
        <w:tc>
          <w:tcPr>
            <w:tcW w:w="317" w:type="dxa"/>
            <w:gridSpan w:val="2"/>
            <w:shd w:val="clear" w:color="auto" w:fill="D9D9D9" w:themeFill="background1" w:themeFillShade="D9"/>
          </w:tcPr>
          <w:p w:rsidR="00820E07" w:rsidRPr="0048203B" w:rsidRDefault="00820E07" w:rsidP="00B934D9">
            <w:pPr>
              <w:pStyle w:val="calendar"/>
            </w:pPr>
            <w:r w:rsidRPr="0048203B">
              <w:t>15</w:t>
            </w:r>
          </w:p>
        </w:tc>
        <w:tc>
          <w:tcPr>
            <w:tcW w:w="316" w:type="dxa"/>
            <w:gridSpan w:val="2"/>
          </w:tcPr>
          <w:p w:rsidR="00820E07" w:rsidRPr="0048203B" w:rsidRDefault="00820E07" w:rsidP="00B934D9">
            <w:pPr>
              <w:pStyle w:val="calendar"/>
            </w:pPr>
            <w:r w:rsidRPr="0048203B">
              <w:t>16</w:t>
            </w:r>
          </w:p>
        </w:tc>
        <w:tc>
          <w:tcPr>
            <w:tcW w:w="317" w:type="dxa"/>
            <w:gridSpan w:val="2"/>
          </w:tcPr>
          <w:p w:rsidR="00820E07" w:rsidRPr="0048203B" w:rsidRDefault="00820E07" w:rsidP="00B934D9">
            <w:pPr>
              <w:pStyle w:val="calendar"/>
            </w:pPr>
            <w:r w:rsidRPr="0048203B">
              <w:t>17</w:t>
            </w:r>
          </w:p>
        </w:tc>
        <w:tc>
          <w:tcPr>
            <w:tcW w:w="317" w:type="dxa"/>
            <w:gridSpan w:val="2"/>
          </w:tcPr>
          <w:p w:rsidR="00820E07" w:rsidRPr="0048203B" w:rsidRDefault="00820E07" w:rsidP="00B934D9">
            <w:pPr>
              <w:pStyle w:val="calendar"/>
            </w:pPr>
            <w:r w:rsidRPr="0048203B">
              <w:t>18</w:t>
            </w:r>
          </w:p>
        </w:tc>
        <w:tc>
          <w:tcPr>
            <w:tcW w:w="317" w:type="dxa"/>
            <w:gridSpan w:val="2"/>
          </w:tcPr>
          <w:p w:rsidR="00820E07" w:rsidRPr="0048203B" w:rsidRDefault="00820E07" w:rsidP="00B934D9">
            <w:pPr>
              <w:pStyle w:val="calendar"/>
            </w:pPr>
            <w:r w:rsidRPr="0048203B">
              <w:t>19</w:t>
            </w:r>
          </w:p>
        </w:tc>
        <w:tc>
          <w:tcPr>
            <w:tcW w:w="316" w:type="dxa"/>
            <w:gridSpan w:val="2"/>
            <w:tcBorders>
              <w:left w:val="single" w:sz="7" w:space="0" w:color="auto"/>
            </w:tcBorders>
          </w:tcPr>
          <w:p w:rsidR="00820E07" w:rsidRPr="0048203B" w:rsidRDefault="00820E07" w:rsidP="00B934D9">
            <w:pPr>
              <w:pStyle w:val="calendar"/>
            </w:pPr>
            <w:r w:rsidRPr="0048203B">
              <w:t>11</w:t>
            </w:r>
          </w:p>
        </w:tc>
        <w:tc>
          <w:tcPr>
            <w:tcW w:w="317" w:type="dxa"/>
            <w:gridSpan w:val="2"/>
          </w:tcPr>
          <w:p w:rsidR="00820E07" w:rsidRPr="0048203B" w:rsidRDefault="00820E07" w:rsidP="00B934D9">
            <w:pPr>
              <w:pStyle w:val="calendar"/>
            </w:pPr>
            <w:r w:rsidRPr="0048203B">
              <w:t>12</w:t>
            </w:r>
          </w:p>
        </w:tc>
        <w:tc>
          <w:tcPr>
            <w:tcW w:w="317" w:type="dxa"/>
            <w:gridSpan w:val="2"/>
          </w:tcPr>
          <w:p w:rsidR="00820E07" w:rsidRPr="0048203B" w:rsidRDefault="00820E07" w:rsidP="00B934D9">
            <w:pPr>
              <w:pStyle w:val="calendar"/>
            </w:pPr>
            <w:r w:rsidRPr="0048203B">
              <w:t>13</w:t>
            </w:r>
          </w:p>
        </w:tc>
        <w:tc>
          <w:tcPr>
            <w:tcW w:w="316" w:type="dxa"/>
            <w:gridSpan w:val="2"/>
          </w:tcPr>
          <w:p w:rsidR="00820E07" w:rsidRPr="0048203B" w:rsidRDefault="00820E07" w:rsidP="00B934D9">
            <w:pPr>
              <w:pStyle w:val="calendar"/>
            </w:pPr>
            <w:r w:rsidRPr="0048203B">
              <w:t>14</w:t>
            </w:r>
          </w:p>
        </w:tc>
        <w:tc>
          <w:tcPr>
            <w:tcW w:w="317" w:type="dxa"/>
            <w:gridSpan w:val="2"/>
          </w:tcPr>
          <w:p w:rsidR="00820E07" w:rsidRPr="0048203B" w:rsidRDefault="00820E07" w:rsidP="00B934D9">
            <w:pPr>
              <w:pStyle w:val="calendar"/>
            </w:pPr>
            <w:r w:rsidRPr="0048203B">
              <w:t>15</w:t>
            </w:r>
          </w:p>
        </w:tc>
        <w:tc>
          <w:tcPr>
            <w:tcW w:w="317" w:type="dxa"/>
            <w:gridSpan w:val="2"/>
          </w:tcPr>
          <w:p w:rsidR="00820E07" w:rsidRPr="0048203B" w:rsidRDefault="00820E07" w:rsidP="00B934D9">
            <w:pPr>
              <w:pStyle w:val="calendar"/>
            </w:pPr>
            <w:r w:rsidRPr="0048203B">
              <w:t>16</w:t>
            </w:r>
          </w:p>
        </w:tc>
        <w:tc>
          <w:tcPr>
            <w:tcW w:w="317" w:type="dxa"/>
            <w:gridSpan w:val="2"/>
            <w:tcBorders>
              <w:right w:val="single" w:sz="4" w:space="0" w:color="auto"/>
            </w:tcBorders>
          </w:tcPr>
          <w:p w:rsidR="00820E07" w:rsidRPr="0048203B" w:rsidRDefault="00820E07" w:rsidP="00B934D9">
            <w:pPr>
              <w:pStyle w:val="calendar"/>
            </w:pPr>
            <w:r w:rsidRPr="0048203B">
              <w:t>17</w:t>
            </w:r>
          </w:p>
        </w:tc>
      </w:tr>
      <w:tr w:rsidR="00820E07" w:rsidRPr="0048203B" w:rsidTr="00B934D9">
        <w:trPr>
          <w:gridBefore w:val="3"/>
          <w:gridAfter w:val="5"/>
          <w:wBefore w:w="720" w:type="dxa"/>
          <w:wAfter w:w="1497" w:type="dxa"/>
          <w:jc w:val="center"/>
        </w:trPr>
        <w:tc>
          <w:tcPr>
            <w:tcW w:w="316" w:type="dxa"/>
            <w:gridSpan w:val="2"/>
            <w:tcBorders>
              <w:left w:val="single" w:sz="7" w:space="0" w:color="auto"/>
            </w:tcBorders>
          </w:tcPr>
          <w:p w:rsidR="00820E07" w:rsidRPr="0048203B" w:rsidRDefault="00820E07" w:rsidP="00B934D9">
            <w:pPr>
              <w:pStyle w:val="calendar"/>
            </w:pPr>
            <w:r w:rsidRPr="0048203B">
              <w:t>20</w:t>
            </w:r>
          </w:p>
        </w:tc>
        <w:tc>
          <w:tcPr>
            <w:tcW w:w="317" w:type="dxa"/>
            <w:gridSpan w:val="2"/>
          </w:tcPr>
          <w:p w:rsidR="00820E07" w:rsidRPr="0048203B" w:rsidRDefault="00820E07" w:rsidP="00B934D9">
            <w:pPr>
              <w:pStyle w:val="calendar"/>
            </w:pPr>
            <w:r w:rsidRPr="0048203B">
              <w:t>21</w:t>
            </w:r>
          </w:p>
        </w:tc>
        <w:tc>
          <w:tcPr>
            <w:tcW w:w="317" w:type="dxa"/>
            <w:gridSpan w:val="2"/>
            <w:shd w:val="clear" w:color="auto" w:fill="auto"/>
          </w:tcPr>
          <w:p w:rsidR="00820E07" w:rsidRPr="0048203B" w:rsidRDefault="00820E07" w:rsidP="00B934D9">
            <w:pPr>
              <w:pStyle w:val="calendar"/>
            </w:pPr>
            <w:r w:rsidRPr="0048203B">
              <w:t>22</w:t>
            </w:r>
          </w:p>
        </w:tc>
        <w:tc>
          <w:tcPr>
            <w:tcW w:w="316" w:type="dxa"/>
            <w:gridSpan w:val="2"/>
          </w:tcPr>
          <w:p w:rsidR="00820E07" w:rsidRPr="0048203B" w:rsidRDefault="00820E07" w:rsidP="00B934D9">
            <w:pPr>
              <w:pStyle w:val="calendar"/>
            </w:pPr>
            <w:r w:rsidRPr="0048203B">
              <w:t>23</w:t>
            </w:r>
          </w:p>
        </w:tc>
        <w:tc>
          <w:tcPr>
            <w:tcW w:w="317" w:type="dxa"/>
            <w:gridSpan w:val="2"/>
          </w:tcPr>
          <w:p w:rsidR="00820E07" w:rsidRPr="0048203B" w:rsidRDefault="00820E07" w:rsidP="00B934D9">
            <w:pPr>
              <w:pStyle w:val="calendar"/>
            </w:pPr>
            <w:r w:rsidRPr="0048203B">
              <w:t>24</w:t>
            </w:r>
          </w:p>
        </w:tc>
        <w:tc>
          <w:tcPr>
            <w:tcW w:w="317" w:type="dxa"/>
            <w:gridSpan w:val="2"/>
          </w:tcPr>
          <w:p w:rsidR="00820E07" w:rsidRPr="0048203B" w:rsidRDefault="00820E07" w:rsidP="00B934D9">
            <w:pPr>
              <w:pStyle w:val="calendar"/>
            </w:pPr>
            <w:r w:rsidRPr="0048203B">
              <w:t>25</w:t>
            </w:r>
          </w:p>
        </w:tc>
        <w:tc>
          <w:tcPr>
            <w:tcW w:w="317" w:type="dxa"/>
            <w:gridSpan w:val="2"/>
          </w:tcPr>
          <w:p w:rsidR="00820E07" w:rsidRPr="0048203B" w:rsidRDefault="00820E07" w:rsidP="00B934D9">
            <w:pPr>
              <w:pStyle w:val="calendar"/>
            </w:pPr>
            <w:r w:rsidRPr="0048203B">
              <w:t>26</w:t>
            </w:r>
          </w:p>
        </w:tc>
        <w:tc>
          <w:tcPr>
            <w:tcW w:w="316" w:type="dxa"/>
            <w:gridSpan w:val="2"/>
            <w:tcBorders>
              <w:left w:val="single" w:sz="7" w:space="0" w:color="auto"/>
            </w:tcBorders>
          </w:tcPr>
          <w:p w:rsidR="00820E07" w:rsidRPr="0048203B" w:rsidRDefault="00820E07" w:rsidP="00B934D9">
            <w:pPr>
              <w:pStyle w:val="calendar"/>
            </w:pPr>
            <w:r w:rsidRPr="0048203B">
              <w:t>18</w:t>
            </w:r>
          </w:p>
        </w:tc>
        <w:tc>
          <w:tcPr>
            <w:tcW w:w="317" w:type="dxa"/>
            <w:gridSpan w:val="2"/>
          </w:tcPr>
          <w:p w:rsidR="00820E07" w:rsidRPr="0048203B" w:rsidRDefault="00820E07" w:rsidP="00B934D9">
            <w:pPr>
              <w:pStyle w:val="calendar"/>
            </w:pPr>
            <w:r w:rsidRPr="0048203B">
              <w:t>19</w:t>
            </w:r>
          </w:p>
        </w:tc>
        <w:tc>
          <w:tcPr>
            <w:tcW w:w="317" w:type="dxa"/>
            <w:gridSpan w:val="2"/>
          </w:tcPr>
          <w:p w:rsidR="00820E07" w:rsidRPr="0048203B" w:rsidRDefault="00820E07" w:rsidP="00B934D9">
            <w:pPr>
              <w:pStyle w:val="calendar"/>
            </w:pPr>
            <w:r w:rsidRPr="0048203B">
              <w:t>20</w:t>
            </w:r>
          </w:p>
        </w:tc>
        <w:tc>
          <w:tcPr>
            <w:tcW w:w="316" w:type="dxa"/>
            <w:gridSpan w:val="2"/>
          </w:tcPr>
          <w:p w:rsidR="00820E07" w:rsidRPr="0048203B" w:rsidRDefault="00820E07" w:rsidP="00B934D9">
            <w:pPr>
              <w:pStyle w:val="calendar"/>
            </w:pPr>
            <w:r w:rsidRPr="0048203B">
              <w:t>21</w:t>
            </w:r>
          </w:p>
        </w:tc>
        <w:tc>
          <w:tcPr>
            <w:tcW w:w="317" w:type="dxa"/>
            <w:gridSpan w:val="2"/>
          </w:tcPr>
          <w:p w:rsidR="00820E07" w:rsidRPr="0048203B" w:rsidRDefault="00820E07" w:rsidP="00B934D9">
            <w:pPr>
              <w:pStyle w:val="calendar"/>
            </w:pPr>
            <w:r w:rsidRPr="0048203B">
              <w:t>22</w:t>
            </w:r>
          </w:p>
        </w:tc>
        <w:tc>
          <w:tcPr>
            <w:tcW w:w="317" w:type="dxa"/>
            <w:gridSpan w:val="2"/>
          </w:tcPr>
          <w:p w:rsidR="00820E07" w:rsidRPr="0048203B" w:rsidRDefault="00820E07" w:rsidP="00B934D9">
            <w:pPr>
              <w:pStyle w:val="calendar"/>
            </w:pPr>
            <w:r w:rsidRPr="0048203B">
              <w:t>23</w:t>
            </w:r>
          </w:p>
        </w:tc>
        <w:tc>
          <w:tcPr>
            <w:tcW w:w="317" w:type="dxa"/>
            <w:gridSpan w:val="2"/>
            <w:tcBorders>
              <w:right w:val="single" w:sz="4" w:space="0" w:color="auto"/>
            </w:tcBorders>
          </w:tcPr>
          <w:p w:rsidR="00820E07" w:rsidRPr="0048203B" w:rsidRDefault="00820E07" w:rsidP="00B934D9">
            <w:pPr>
              <w:pStyle w:val="calendar"/>
            </w:pPr>
            <w:r w:rsidRPr="0048203B">
              <w:t>24</w:t>
            </w:r>
          </w:p>
        </w:tc>
      </w:tr>
      <w:tr w:rsidR="00820E07" w:rsidRPr="0048203B" w:rsidTr="00B934D9">
        <w:trPr>
          <w:gridBefore w:val="3"/>
          <w:gridAfter w:val="5"/>
          <w:wBefore w:w="720" w:type="dxa"/>
          <w:wAfter w:w="1497" w:type="dxa"/>
          <w:jc w:val="center"/>
        </w:trPr>
        <w:tc>
          <w:tcPr>
            <w:tcW w:w="316" w:type="dxa"/>
            <w:gridSpan w:val="2"/>
            <w:tcBorders>
              <w:left w:val="single" w:sz="7" w:space="0" w:color="auto"/>
            </w:tcBorders>
          </w:tcPr>
          <w:p w:rsidR="00820E07" w:rsidRPr="0048203B" w:rsidRDefault="00820E07" w:rsidP="00B934D9">
            <w:pPr>
              <w:pStyle w:val="calendar"/>
            </w:pPr>
            <w:r w:rsidRPr="0048203B">
              <w:t>27</w:t>
            </w:r>
          </w:p>
        </w:tc>
        <w:tc>
          <w:tcPr>
            <w:tcW w:w="317" w:type="dxa"/>
            <w:gridSpan w:val="2"/>
          </w:tcPr>
          <w:p w:rsidR="00820E07" w:rsidRPr="0048203B" w:rsidRDefault="00820E07" w:rsidP="00B934D9">
            <w:pPr>
              <w:pStyle w:val="calendar"/>
            </w:pPr>
            <w:r w:rsidRPr="0048203B">
              <w:t>28</w:t>
            </w:r>
          </w:p>
        </w:tc>
        <w:tc>
          <w:tcPr>
            <w:tcW w:w="317" w:type="dxa"/>
            <w:gridSpan w:val="2"/>
            <w:shd w:val="clear" w:color="auto" w:fill="auto"/>
          </w:tcPr>
          <w:p w:rsidR="00820E07" w:rsidRPr="0048203B" w:rsidRDefault="00820E07" w:rsidP="00B934D9">
            <w:pPr>
              <w:pStyle w:val="calendar"/>
            </w:pPr>
            <w:r w:rsidRPr="0048203B">
              <w:t>29</w:t>
            </w:r>
          </w:p>
        </w:tc>
        <w:tc>
          <w:tcPr>
            <w:tcW w:w="316" w:type="dxa"/>
            <w:gridSpan w:val="2"/>
          </w:tcPr>
          <w:p w:rsidR="00820E07" w:rsidRPr="0048203B" w:rsidRDefault="00820E07" w:rsidP="00B934D9">
            <w:pPr>
              <w:pStyle w:val="calendar"/>
            </w:pPr>
            <w:r w:rsidRPr="0048203B">
              <w:t>30</w:t>
            </w:r>
          </w:p>
        </w:tc>
        <w:tc>
          <w:tcPr>
            <w:tcW w:w="317" w:type="dxa"/>
            <w:gridSpan w:val="2"/>
          </w:tcPr>
          <w:p w:rsidR="00820E07" w:rsidRPr="0048203B" w:rsidRDefault="00820E07" w:rsidP="00B934D9">
            <w:pPr>
              <w:pStyle w:val="calendar"/>
            </w:pPr>
          </w:p>
        </w:tc>
        <w:tc>
          <w:tcPr>
            <w:tcW w:w="317" w:type="dxa"/>
            <w:gridSpan w:val="2"/>
          </w:tcPr>
          <w:p w:rsidR="00820E07" w:rsidRPr="0048203B" w:rsidRDefault="00820E07" w:rsidP="00B934D9">
            <w:pPr>
              <w:pStyle w:val="calendar"/>
            </w:pPr>
          </w:p>
        </w:tc>
        <w:tc>
          <w:tcPr>
            <w:tcW w:w="317" w:type="dxa"/>
            <w:gridSpan w:val="2"/>
          </w:tcPr>
          <w:p w:rsidR="00820E07" w:rsidRPr="0048203B" w:rsidRDefault="00820E07" w:rsidP="00B934D9">
            <w:pPr>
              <w:pStyle w:val="calendar"/>
            </w:pPr>
          </w:p>
        </w:tc>
        <w:tc>
          <w:tcPr>
            <w:tcW w:w="316" w:type="dxa"/>
            <w:gridSpan w:val="2"/>
            <w:tcBorders>
              <w:left w:val="single" w:sz="7" w:space="0" w:color="auto"/>
            </w:tcBorders>
          </w:tcPr>
          <w:p w:rsidR="00820E07" w:rsidRPr="0048203B" w:rsidRDefault="00820E07" w:rsidP="00B934D9">
            <w:pPr>
              <w:pStyle w:val="calendar"/>
            </w:pPr>
            <w:r w:rsidRPr="0048203B">
              <w:t>25</w:t>
            </w:r>
          </w:p>
        </w:tc>
        <w:tc>
          <w:tcPr>
            <w:tcW w:w="317" w:type="dxa"/>
            <w:gridSpan w:val="2"/>
          </w:tcPr>
          <w:p w:rsidR="00820E07" w:rsidRPr="0048203B" w:rsidRDefault="00820E07" w:rsidP="00B934D9">
            <w:pPr>
              <w:pStyle w:val="calendar"/>
            </w:pPr>
            <w:r w:rsidRPr="0048203B">
              <w:t>26</w:t>
            </w:r>
          </w:p>
        </w:tc>
        <w:tc>
          <w:tcPr>
            <w:tcW w:w="317" w:type="dxa"/>
            <w:gridSpan w:val="2"/>
          </w:tcPr>
          <w:p w:rsidR="00820E07" w:rsidRPr="0048203B" w:rsidRDefault="00820E07" w:rsidP="00B934D9">
            <w:pPr>
              <w:pStyle w:val="calendar"/>
            </w:pPr>
            <w:r w:rsidRPr="0048203B">
              <w:t>27</w:t>
            </w:r>
          </w:p>
        </w:tc>
        <w:tc>
          <w:tcPr>
            <w:tcW w:w="316" w:type="dxa"/>
            <w:gridSpan w:val="2"/>
          </w:tcPr>
          <w:p w:rsidR="00820E07" w:rsidRPr="0048203B" w:rsidRDefault="00820E07" w:rsidP="00B934D9">
            <w:pPr>
              <w:pStyle w:val="calendar"/>
            </w:pPr>
            <w:r w:rsidRPr="0048203B">
              <w:t>28</w:t>
            </w:r>
          </w:p>
        </w:tc>
        <w:tc>
          <w:tcPr>
            <w:tcW w:w="317" w:type="dxa"/>
            <w:gridSpan w:val="2"/>
          </w:tcPr>
          <w:p w:rsidR="00820E07" w:rsidRPr="0048203B" w:rsidRDefault="00820E07" w:rsidP="00B934D9">
            <w:pPr>
              <w:pStyle w:val="calendar"/>
            </w:pPr>
            <w:r w:rsidRPr="0048203B">
              <w:t>29</w:t>
            </w:r>
          </w:p>
        </w:tc>
        <w:tc>
          <w:tcPr>
            <w:tcW w:w="317" w:type="dxa"/>
            <w:gridSpan w:val="2"/>
          </w:tcPr>
          <w:p w:rsidR="00820E07" w:rsidRPr="0048203B" w:rsidRDefault="00820E07" w:rsidP="00B934D9">
            <w:pPr>
              <w:pStyle w:val="calendar"/>
            </w:pPr>
            <w:r w:rsidRPr="0048203B">
              <w:t>30</w:t>
            </w:r>
          </w:p>
        </w:tc>
        <w:tc>
          <w:tcPr>
            <w:tcW w:w="317" w:type="dxa"/>
            <w:gridSpan w:val="2"/>
            <w:tcBorders>
              <w:right w:val="single" w:sz="4" w:space="0" w:color="auto"/>
            </w:tcBorders>
          </w:tcPr>
          <w:p w:rsidR="00820E07" w:rsidRPr="0048203B" w:rsidRDefault="00820E07" w:rsidP="00B934D9">
            <w:pPr>
              <w:pStyle w:val="calendar"/>
            </w:pPr>
            <w:r w:rsidRPr="0048203B">
              <w:t>31</w:t>
            </w:r>
          </w:p>
        </w:tc>
      </w:tr>
      <w:tr w:rsidR="00820E07" w:rsidRPr="0048203B" w:rsidTr="00B934D9">
        <w:trPr>
          <w:gridBefore w:val="3"/>
          <w:gridAfter w:val="5"/>
          <w:wBefore w:w="720" w:type="dxa"/>
          <w:wAfter w:w="1497" w:type="dxa"/>
          <w:jc w:val="center"/>
        </w:trPr>
        <w:tc>
          <w:tcPr>
            <w:tcW w:w="316" w:type="dxa"/>
            <w:gridSpan w:val="2"/>
            <w:tcBorders>
              <w:left w:val="single" w:sz="7" w:space="0" w:color="auto"/>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left w:val="single" w:sz="7" w:space="0" w:color="auto"/>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6"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tcBorders>
          </w:tcPr>
          <w:p w:rsidR="00820E07" w:rsidRPr="0048203B" w:rsidRDefault="00820E07" w:rsidP="00B934D9">
            <w:pPr>
              <w:pStyle w:val="calendar"/>
            </w:pPr>
          </w:p>
        </w:tc>
        <w:tc>
          <w:tcPr>
            <w:tcW w:w="317" w:type="dxa"/>
            <w:gridSpan w:val="2"/>
            <w:tcBorders>
              <w:bottom w:val="single" w:sz="8" w:space="0" w:color="auto"/>
              <w:right w:val="single" w:sz="4" w:space="0" w:color="auto"/>
            </w:tcBorders>
          </w:tcPr>
          <w:p w:rsidR="00820E07" w:rsidRPr="0048203B" w:rsidRDefault="00820E07" w:rsidP="00B934D9">
            <w:pPr>
              <w:pStyle w:val="calendar"/>
            </w:pPr>
          </w:p>
        </w:tc>
      </w:tr>
    </w:tbl>
    <w:p w:rsidR="00820E07" w:rsidRPr="0048203B" w:rsidRDefault="00820E07" w:rsidP="00820E07">
      <w:pPr>
        <w:pStyle w:val="CenterTextBoldUnd"/>
      </w:pPr>
    </w:p>
    <w:p w:rsidR="00820E07" w:rsidRPr="0048203B" w:rsidRDefault="00820E07" w:rsidP="00820E07"/>
    <w:p w:rsidR="00820E07" w:rsidRPr="0048203B" w:rsidRDefault="00820E07" w:rsidP="00820E07">
      <w:pPr>
        <w:pStyle w:val="CenterTextBoldUnd"/>
      </w:pPr>
      <w:r w:rsidRPr="0048203B">
        <w:t>Summary Course Outline</w:t>
      </w:r>
    </w:p>
    <w:p w:rsidR="00820E07" w:rsidRPr="0048203B" w:rsidRDefault="00820E07" w:rsidP="00820E07"/>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Introduction to the World of Venture Capital Companies (January 7, 2014)</w:t>
      </w:r>
    </w:p>
    <w:p w:rsidR="00820E07" w:rsidRPr="0048203B" w:rsidRDefault="00820E07" w:rsidP="00820E07">
      <w:pPr>
        <w:pStyle w:val="Heading1"/>
        <w:keepNext/>
        <w:numPr>
          <w:ilvl w:val="0"/>
          <w:numId w:val="14"/>
        </w:numPr>
        <w:tabs>
          <w:tab w:val="clear" w:pos="360"/>
        </w:tabs>
        <w:spacing w:before="0"/>
        <w:ind w:left="720" w:hanging="720"/>
        <w:rPr>
          <w:b w:val="0"/>
          <w:bCs/>
        </w:rPr>
      </w:pPr>
      <w:r w:rsidRPr="0048203B">
        <w:rPr>
          <w:b w:val="0"/>
        </w:rPr>
        <w:t>Starting a New Technology Venture</w:t>
      </w:r>
      <w:r w:rsidRPr="0048203B">
        <w:rPr>
          <w:b w:val="0"/>
          <w:bCs/>
        </w:rPr>
        <w:t xml:space="preserve"> (January 7 and 14,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Venture Capital Financings (January 14, 21 and 28,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Venture Capital Financing Termsheet Mock Negotiations (February 4,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Venture Capital Funds (February 11,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Stock Options and Equity Compensation (February 18,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VCs Behaving Badly? (February 25,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The Initial Public Offering (March 4 and 11,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The Initial Public Offering -- The Underwriters’ Perspective (March 18,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After the Initial Public Offering (April 1 and 8, 2014)</w:t>
      </w:r>
    </w:p>
    <w:p w:rsidR="00820E07" w:rsidRPr="0048203B" w:rsidRDefault="00820E07" w:rsidP="00820E07">
      <w:pPr>
        <w:pStyle w:val="Heading1"/>
        <w:keepNext/>
        <w:numPr>
          <w:ilvl w:val="0"/>
          <w:numId w:val="14"/>
        </w:numPr>
        <w:tabs>
          <w:tab w:val="clear" w:pos="360"/>
        </w:tabs>
        <w:spacing w:before="0"/>
        <w:ind w:left="720" w:hanging="720"/>
        <w:rPr>
          <w:b w:val="0"/>
        </w:rPr>
      </w:pPr>
      <w:r w:rsidRPr="0048203B">
        <w:rPr>
          <w:b w:val="0"/>
        </w:rPr>
        <w:t>The JOBS Act (April 15, 2014)</w:t>
      </w:r>
    </w:p>
    <w:p w:rsidR="00820E07" w:rsidRPr="0048203B" w:rsidRDefault="00820E07" w:rsidP="00820E07">
      <w:pPr>
        <w:pStyle w:val="Heading1"/>
        <w:keepNext/>
        <w:tabs>
          <w:tab w:val="clear" w:pos="360"/>
        </w:tabs>
        <w:spacing w:before="0"/>
        <w:ind w:left="720" w:hanging="720"/>
      </w:pPr>
      <w:r w:rsidRPr="0048203B">
        <w:rPr>
          <w:b w:val="0"/>
        </w:rPr>
        <w:t>Review Session (TBD: April 23 – April 25, 2014)</w:t>
      </w:r>
    </w:p>
    <w:p w:rsidR="00820E07" w:rsidRPr="0048203B" w:rsidRDefault="00820E07" w:rsidP="00820E07">
      <w:pPr>
        <w:spacing w:before="0"/>
      </w:pPr>
    </w:p>
    <w:p w:rsidR="00820E07" w:rsidRPr="0048203B" w:rsidRDefault="00820E07" w:rsidP="00820E07"/>
    <w:p w:rsidR="00820E07" w:rsidRPr="0048203B" w:rsidRDefault="00820E07" w:rsidP="00820E07">
      <w:pPr>
        <w:spacing w:before="0"/>
        <w:ind w:firstLine="0"/>
        <w:rPr>
          <w:b/>
          <w:u w:val="single"/>
        </w:rPr>
      </w:pPr>
      <w:r w:rsidRPr="0048203B">
        <w:br w:type="page"/>
      </w:r>
    </w:p>
    <w:p w:rsidR="0047071E" w:rsidRPr="0048203B" w:rsidRDefault="0047071E" w:rsidP="0047071E">
      <w:pPr>
        <w:pStyle w:val="CenterTextBoldUnd"/>
        <w:spacing w:after="360"/>
      </w:pPr>
      <w:r w:rsidRPr="0048203B">
        <w:lastRenderedPageBreak/>
        <w:t xml:space="preserve">General Matters </w:t>
      </w:r>
    </w:p>
    <w:p w:rsidR="0047071E" w:rsidRPr="0048203B" w:rsidRDefault="0047071E" w:rsidP="003A0A67">
      <w:pPr>
        <w:spacing w:before="0"/>
        <w:ind w:firstLine="0"/>
        <w:rPr>
          <w:b/>
          <w:bCs/>
        </w:rPr>
      </w:pPr>
      <w:r w:rsidRPr="0048203B">
        <w:rPr>
          <w:b/>
          <w:bCs/>
        </w:rPr>
        <w:t>C</w:t>
      </w:r>
      <w:r w:rsidR="009C391D">
        <w:rPr>
          <w:b/>
          <w:bCs/>
        </w:rPr>
        <w:t>lassroom Matters</w:t>
      </w:r>
    </w:p>
    <w:p w:rsidR="003A0A67" w:rsidRPr="0048203B" w:rsidRDefault="003A0A67" w:rsidP="003A0A67">
      <w:r w:rsidRPr="0048203B">
        <w:t xml:space="preserve">I encourage all of you to participate actively in class.  </w:t>
      </w:r>
      <w:r w:rsidR="0047071E" w:rsidRPr="0048203B">
        <w:t xml:space="preserve">Many </w:t>
      </w:r>
      <w:r w:rsidR="001B2F59" w:rsidRPr="0048203B">
        <w:t>of t</w:t>
      </w:r>
      <w:r w:rsidRPr="0048203B">
        <w:t xml:space="preserve">he matters we will be  discussing cannot be found in books or anywhere else.  This area of practices almost always </w:t>
      </w:r>
      <w:r w:rsidR="005B48BC" w:rsidRPr="0048203B">
        <w:t xml:space="preserve">has to be </w:t>
      </w:r>
      <w:r w:rsidRPr="0048203B">
        <w:t xml:space="preserve">learned by doing or, as in this case, by learning from someone else who does it.  Our class is small and </w:t>
      </w:r>
      <w:r w:rsidR="0047071E" w:rsidRPr="0048203B">
        <w:t>will be set up to foster intera</w:t>
      </w:r>
      <w:r w:rsidR="00A015CF" w:rsidRPr="0048203B">
        <w:t>c</w:t>
      </w:r>
      <w:r w:rsidR="0047071E" w:rsidRPr="0048203B">
        <w:t xml:space="preserve">tions between professor and students and among the </w:t>
      </w:r>
      <w:r w:rsidR="00A015CF" w:rsidRPr="0048203B">
        <w:t>students</w:t>
      </w:r>
      <w:r w:rsidR="0047071E" w:rsidRPr="0048203B">
        <w:t xml:space="preserve"> themselves.  </w:t>
      </w:r>
      <w:r w:rsidRPr="0048203B">
        <w:t xml:space="preserve">I </w:t>
      </w:r>
      <w:r w:rsidR="0047071E" w:rsidRPr="0048203B">
        <w:t>also believe that</w:t>
      </w:r>
      <w:r w:rsidRPr="0048203B">
        <w:t xml:space="preserve"> discussions </w:t>
      </w:r>
      <w:r w:rsidR="001B2F59" w:rsidRPr="0048203B">
        <w:t xml:space="preserve">will be much more interesting and educational </w:t>
      </w:r>
      <w:r w:rsidRPr="0048203B">
        <w:t>than str</w:t>
      </w:r>
      <w:r w:rsidR="0047071E" w:rsidRPr="0048203B">
        <w:t>ict</w:t>
      </w:r>
      <w:r w:rsidRPr="0048203B">
        <w:t xml:space="preserve"> lectures for both class and professor.  </w:t>
      </w:r>
    </w:p>
    <w:p w:rsidR="003A0A67" w:rsidRPr="0048203B" w:rsidRDefault="003A0A67" w:rsidP="003A0A67">
      <w:r w:rsidRPr="0048203B">
        <w:t>Given the foregoing, class attendance is very important</w:t>
      </w:r>
      <w:r w:rsidR="001B2F59" w:rsidRPr="0048203B">
        <w:t xml:space="preserve">.  I expect all students to make every </w:t>
      </w:r>
      <w:r w:rsidR="0047071E" w:rsidRPr="0048203B">
        <w:t xml:space="preserve">attempt to attend </w:t>
      </w:r>
      <w:r w:rsidR="005B48BC" w:rsidRPr="0048203B">
        <w:t xml:space="preserve">every </w:t>
      </w:r>
      <w:r w:rsidR="001B2F59" w:rsidRPr="0048203B">
        <w:t xml:space="preserve">class, and </w:t>
      </w:r>
      <w:r w:rsidR="005B48BC" w:rsidRPr="0048203B">
        <w:t xml:space="preserve">I </w:t>
      </w:r>
      <w:r w:rsidR="001B2F59" w:rsidRPr="0048203B">
        <w:t>will be taking attendance.  If you cannot make a class, please let me know in advance</w:t>
      </w:r>
      <w:r w:rsidR="00324322" w:rsidRPr="0048203B">
        <w:t xml:space="preserve"> by email</w:t>
      </w:r>
      <w:r w:rsidR="001B2F59" w:rsidRPr="0048203B">
        <w:t>.</w:t>
      </w:r>
      <w:r w:rsidRPr="0048203B">
        <w:t xml:space="preserve"> </w:t>
      </w:r>
      <w:r w:rsidR="001B2F59" w:rsidRPr="0048203B">
        <w:t xml:space="preserve">  I also expect all students to be prepared.  Notwithstanding the previous paragraph, there are some basic legal matters present</w:t>
      </w:r>
      <w:r w:rsidR="0047071E" w:rsidRPr="0048203B">
        <w:t>ed</w:t>
      </w:r>
      <w:r w:rsidR="001B2F59" w:rsidRPr="0048203B">
        <w:t xml:space="preserve"> in the </w:t>
      </w:r>
      <w:r w:rsidR="005B48BC" w:rsidRPr="0048203B">
        <w:t>readings</w:t>
      </w:r>
      <w:r w:rsidR="001B2F59" w:rsidRPr="0048203B">
        <w:t xml:space="preserve"> that underlie what we will </w:t>
      </w:r>
      <w:r w:rsidR="0047071E" w:rsidRPr="0048203B">
        <w:t xml:space="preserve">be </w:t>
      </w:r>
      <w:r w:rsidR="001B2F59" w:rsidRPr="0048203B">
        <w:t>discuss</w:t>
      </w:r>
      <w:r w:rsidR="0047071E" w:rsidRPr="0048203B">
        <w:t>ing</w:t>
      </w:r>
      <w:r w:rsidR="001B2F59" w:rsidRPr="0048203B">
        <w:t xml:space="preserve"> in class,.  I </w:t>
      </w:r>
      <w:r w:rsidR="00D35A30">
        <w:t xml:space="preserve">will </w:t>
      </w:r>
      <w:r w:rsidR="001B2F59" w:rsidRPr="0048203B">
        <w:t xml:space="preserve">expect everyone </w:t>
      </w:r>
      <w:r w:rsidR="0047071E" w:rsidRPr="0048203B">
        <w:t>to be</w:t>
      </w:r>
      <w:r w:rsidR="001B2F59" w:rsidRPr="0048203B">
        <w:t xml:space="preserve"> familiar with these matters, so that I can refer to them </w:t>
      </w:r>
      <w:r w:rsidR="0047071E" w:rsidRPr="0048203B">
        <w:t xml:space="preserve">in class </w:t>
      </w:r>
      <w:r w:rsidR="001B2F59" w:rsidRPr="0048203B">
        <w:t xml:space="preserve">with a minimum of </w:t>
      </w:r>
      <w:r w:rsidR="0047071E" w:rsidRPr="0048203B">
        <w:t xml:space="preserve">backfilling </w:t>
      </w:r>
      <w:r w:rsidR="001B2F59" w:rsidRPr="0048203B">
        <w:t xml:space="preserve">explanation.  </w:t>
      </w:r>
      <w:r w:rsidR="005B48BC" w:rsidRPr="0048203B">
        <w:t xml:space="preserve">If, because of an unusual circumstance, you are unable to prepare for a particular class, please let me know in person before the start of that class.  </w:t>
      </w:r>
    </w:p>
    <w:p w:rsidR="003A0A67" w:rsidRPr="0048203B" w:rsidRDefault="003A0A67" w:rsidP="003A0A67">
      <w:r w:rsidRPr="0048203B">
        <w:t>Laptops</w:t>
      </w:r>
      <w:r w:rsidR="001B2F59" w:rsidRPr="0048203B">
        <w:t xml:space="preserve"> and tablets</w:t>
      </w:r>
      <w:r w:rsidRPr="0048203B">
        <w:t xml:space="preserve"> are permitted in class only for taking notes or reviewing electronic versions of </w:t>
      </w:r>
      <w:r w:rsidR="00474F4E" w:rsidRPr="0048203B">
        <w:t xml:space="preserve">the </w:t>
      </w:r>
      <w:r w:rsidRPr="0048203B">
        <w:t>material</w:t>
      </w:r>
      <w:r w:rsidR="00474F4E" w:rsidRPr="0048203B">
        <w:t>s</w:t>
      </w:r>
      <w:r w:rsidRPr="0048203B">
        <w:t xml:space="preserve"> we are discussing.  </w:t>
      </w:r>
      <w:r w:rsidR="001B2F59" w:rsidRPr="0048203B">
        <w:t xml:space="preserve">Using </w:t>
      </w:r>
      <w:r w:rsidRPr="0048203B">
        <w:t>laptop</w:t>
      </w:r>
      <w:r w:rsidR="001B2F59" w:rsidRPr="0048203B">
        <w:t>s</w:t>
      </w:r>
      <w:r w:rsidRPr="0048203B">
        <w:t xml:space="preserve"> for </w:t>
      </w:r>
      <w:r w:rsidR="001B2F59" w:rsidRPr="0048203B">
        <w:t>other purpose, including e</w:t>
      </w:r>
      <w:r w:rsidRPr="0048203B">
        <w:t>mailing, web-browsing, chatting, shopping, playing games, viewing blogs</w:t>
      </w:r>
      <w:r w:rsidR="001B2F59" w:rsidRPr="0048203B">
        <w:t>, etc.</w:t>
      </w:r>
      <w:r w:rsidR="00474F4E" w:rsidRPr="0048203B">
        <w:t>,</w:t>
      </w:r>
      <w:r w:rsidR="001B2F59" w:rsidRPr="0048203B">
        <w:t xml:space="preserve"> </w:t>
      </w:r>
      <w:r w:rsidRPr="0048203B">
        <w:t xml:space="preserve">is </w:t>
      </w:r>
      <w:r w:rsidR="001B2F59" w:rsidRPr="0048203B">
        <w:t xml:space="preserve">not permitted.  Cellphone use is not permitted at all.  </w:t>
      </w:r>
      <w:r w:rsidRPr="0048203B">
        <w:t>If</w:t>
      </w:r>
      <w:r w:rsidR="00474F4E" w:rsidRPr="0048203B">
        <w:t>,</w:t>
      </w:r>
      <w:r w:rsidRPr="0048203B">
        <w:t xml:space="preserve"> due to an emergency personal circumstance</w:t>
      </w:r>
      <w:r w:rsidR="001B2F59" w:rsidRPr="0048203B">
        <w:t>,</w:t>
      </w:r>
      <w:r w:rsidRPr="0048203B">
        <w:t xml:space="preserve"> you need to monitor your email or your </w:t>
      </w:r>
      <w:r w:rsidR="00474F4E" w:rsidRPr="0048203B">
        <w:t>cell</w:t>
      </w:r>
      <w:r w:rsidRPr="0048203B">
        <w:t>phone during class</w:t>
      </w:r>
      <w:r w:rsidR="001B2F59" w:rsidRPr="0048203B">
        <w:t>,</w:t>
      </w:r>
      <w:r w:rsidRPr="0048203B">
        <w:t xml:space="preserve"> please </w:t>
      </w:r>
      <w:r w:rsidR="001B2F59" w:rsidRPr="0048203B">
        <w:t>let me know</w:t>
      </w:r>
      <w:r w:rsidRPr="0048203B">
        <w:t xml:space="preserve"> by email.</w:t>
      </w:r>
    </w:p>
    <w:p w:rsidR="00D35A30" w:rsidRDefault="00D35A30" w:rsidP="00E11EFA">
      <w:pPr>
        <w:ind w:firstLine="0"/>
      </w:pPr>
      <w:r>
        <w:rPr>
          <w:b/>
        </w:rPr>
        <w:t>Readings</w:t>
      </w:r>
    </w:p>
    <w:p w:rsidR="00D35A30" w:rsidRPr="00D35A30" w:rsidRDefault="00D35A30" w:rsidP="00E11EFA">
      <w:pPr>
        <w:ind w:firstLine="0"/>
      </w:pPr>
      <w:r>
        <w:tab/>
        <w:t>The list of</w:t>
      </w:r>
      <w:r w:rsidR="00192377">
        <w:t xml:space="preserve"> R</w:t>
      </w:r>
      <w:r>
        <w:t xml:space="preserve">eadings for the class is set forth later in this syllabus and on the course web page.  Readings for the first month of the course are set and posted online already.  Please let me know if anyone has any issues accessing or reading any of these materials.  Readings for later sections of the class will be posted at least two weeks prior to the time I will cover them in class.  It is likely that some of the </w:t>
      </w:r>
      <w:r w:rsidR="00192377">
        <w:t>R</w:t>
      </w:r>
      <w:r>
        <w:t>eadings for the IPO and post-IPO sections of the course will change somewhat, but mostly replacing articles and other shorter pieces currently in the syllabus with more recent similar pieces.</w:t>
      </w:r>
    </w:p>
    <w:p w:rsidR="00D35A30" w:rsidRPr="008213EE" w:rsidRDefault="00D35A30" w:rsidP="00E11EFA">
      <w:pPr>
        <w:ind w:firstLine="0"/>
        <w:rPr>
          <w:b/>
          <w:u w:val="single"/>
        </w:rPr>
      </w:pPr>
      <w:r>
        <w:tab/>
        <w:t xml:space="preserve">The </w:t>
      </w:r>
      <w:r w:rsidR="00192377">
        <w:t>R</w:t>
      </w:r>
      <w:r>
        <w:t>eadings are grouped based on the section of the course to which they relate, rather than by class</w:t>
      </w:r>
      <w:r w:rsidR="00192377">
        <w:t xml:space="preserve"> session</w:t>
      </w:r>
      <w:r>
        <w:t xml:space="preserve">.  Accordingly, as you near the end of the </w:t>
      </w:r>
      <w:r w:rsidR="00192377">
        <w:t>R</w:t>
      </w:r>
      <w:r>
        <w:t>eadings in one section of the class,</w:t>
      </w:r>
      <w:bookmarkStart w:id="0" w:name="_GoBack"/>
      <w:bookmarkEnd w:id="0"/>
      <w:r>
        <w:t xml:space="preserve"> you will need to look ahead to see if I anticipate starting the next section  during the same class </w:t>
      </w:r>
      <w:r w:rsidR="00192377">
        <w:t>session</w:t>
      </w:r>
      <w:r>
        <w:t xml:space="preserve"> in which </w:t>
      </w:r>
      <w:r w:rsidR="00192377">
        <w:t>I</w:t>
      </w:r>
      <w:r>
        <w:t xml:space="preserve"> finish the previous </w:t>
      </w:r>
      <w:r w:rsidR="00192377">
        <w:t>one</w:t>
      </w:r>
      <w:r>
        <w:t xml:space="preserve">.  </w:t>
      </w:r>
      <w:r w:rsidRPr="008213EE">
        <w:rPr>
          <w:b/>
          <w:u w:val="single"/>
        </w:rPr>
        <w:t xml:space="preserve">For example, I </w:t>
      </w:r>
      <w:r w:rsidR="00192377" w:rsidRPr="008213EE">
        <w:rPr>
          <w:b/>
          <w:u w:val="single"/>
        </w:rPr>
        <w:t>anticipate</w:t>
      </w:r>
      <w:r w:rsidRPr="008213EE">
        <w:rPr>
          <w:b/>
          <w:u w:val="single"/>
        </w:rPr>
        <w:t xml:space="preserve"> covering the entire first section </w:t>
      </w:r>
      <w:r w:rsidR="00192377" w:rsidRPr="008213EE">
        <w:rPr>
          <w:b/>
          <w:u w:val="single"/>
        </w:rPr>
        <w:t xml:space="preserve">of the course </w:t>
      </w:r>
      <w:r w:rsidRPr="008213EE">
        <w:rPr>
          <w:b/>
          <w:u w:val="single"/>
        </w:rPr>
        <w:t xml:space="preserve">in the first class session, plus portions of the second section.  Accordingly, you should both </w:t>
      </w:r>
      <w:r w:rsidR="00192377" w:rsidRPr="008213EE">
        <w:rPr>
          <w:b/>
          <w:u w:val="single"/>
        </w:rPr>
        <w:t xml:space="preserve">read </w:t>
      </w:r>
      <w:r w:rsidRPr="008213EE">
        <w:rPr>
          <w:b/>
          <w:u w:val="single"/>
        </w:rPr>
        <w:t xml:space="preserve">all the </w:t>
      </w:r>
      <w:r w:rsidR="00192377" w:rsidRPr="008213EE">
        <w:rPr>
          <w:b/>
          <w:u w:val="single"/>
        </w:rPr>
        <w:t>R</w:t>
      </w:r>
      <w:r w:rsidRPr="008213EE">
        <w:rPr>
          <w:b/>
          <w:u w:val="single"/>
        </w:rPr>
        <w:t xml:space="preserve">eadings for the first section and start the </w:t>
      </w:r>
      <w:r w:rsidR="00192377" w:rsidRPr="008213EE">
        <w:rPr>
          <w:b/>
          <w:u w:val="single"/>
        </w:rPr>
        <w:t>R</w:t>
      </w:r>
      <w:r w:rsidRPr="008213EE">
        <w:rPr>
          <w:b/>
          <w:u w:val="single"/>
        </w:rPr>
        <w:t>eadings for the second</w:t>
      </w:r>
      <w:r w:rsidR="00192377" w:rsidRPr="008213EE">
        <w:rPr>
          <w:b/>
          <w:u w:val="single"/>
        </w:rPr>
        <w:t xml:space="preserve"> section  before we meet for the first time. </w:t>
      </w:r>
    </w:p>
    <w:p w:rsidR="00192377" w:rsidRDefault="00192377" w:rsidP="00E11EFA">
      <w:pPr>
        <w:ind w:firstLine="0"/>
      </w:pPr>
      <w:r>
        <w:tab/>
        <w:t xml:space="preserve">Some groups of Readings for particular sections of the class </w:t>
      </w:r>
      <w:r>
        <w:t xml:space="preserve">– as well as some of the </w:t>
      </w:r>
      <w:r>
        <w:t>R</w:t>
      </w:r>
      <w:r>
        <w:t xml:space="preserve">eadings themselves -- </w:t>
      </w:r>
      <w:r>
        <w:t xml:space="preserve">are long.  In each case,  we will be discussing those larger Readings groups </w:t>
      </w:r>
      <w:r>
        <w:lastRenderedPageBreak/>
        <w:t>over multiple class sessions, so you do not need to have the entire group done before the first class session on that section.  Within each group, the Readings are listed in rough order of when I anticipate discussing them, and I</w:t>
      </w:r>
      <w:r w:rsidR="00D35A30" w:rsidRPr="0048203B">
        <w:t xml:space="preserve"> will try to give you guidance </w:t>
      </w:r>
      <w:r>
        <w:t>in</w:t>
      </w:r>
      <w:r>
        <w:t xml:space="preserve"> the each</w:t>
      </w:r>
      <w:r>
        <w:t xml:space="preserve"> class</w:t>
      </w:r>
      <w:r w:rsidRPr="0048203B">
        <w:t xml:space="preserve"> </w:t>
      </w:r>
      <w:r w:rsidR="00D35A30" w:rsidRPr="0048203B">
        <w:t xml:space="preserve">as to which </w:t>
      </w:r>
      <w:r>
        <w:t xml:space="preserve">Readings </w:t>
      </w:r>
      <w:r w:rsidR="00D35A30" w:rsidRPr="0048203B">
        <w:t>to focus on</w:t>
      </w:r>
      <w:r>
        <w:t xml:space="preserve"> for the next class.  </w:t>
      </w:r>
    </w:p>
    <w:p w:rsidR="00192377" w:rsidRPr="00192377" w:rsidRDefault="00192377" w:rsidP="00E11EFA">
      <w:pPr>
        <w:ind w:firstLine="0"/>
        <w:rPr>
          <w:b/>
        </w:rPr>
      </w:pPr>
      <w:r w:rsidRPr="00192377">
        <w:rPr>
          <w:b/>
        </w:rPr>
        <w:t>Exhibits</w:t>
      </w:r>
    </w:p>
    <w:p w:rsidR="00820E07" w:rsidRDefault="00192377" w:rsidP="00E11EFA">
      <w:pPr>
        <w:ind w:firstLine="0"/>
      </w:pPr>
      <w:r>
        <w:tab/>
        <w:t xml:space="preserve">For some sections of the course, there are Exhibits in addition to the Readings.  The Exhibits are </w:t>
      </w:r>
      <w:r w:rsidR="00820E07">
        <w:t>examples of actual documents used in the transactions we will be discussing.  You do not need to read them as you do the Readings.  But you should skim through them before the classes to which they relate, as I will be referring to them in class.  Please make sure you can access them during class sessions.  Note also that a number of the Exhibits include annotations that cover many of the issues, both major and subtle, that we will discuss in class.</w:t>
      </w:r>
    </w:p>
    <w:p w:rsidR="008213EE" w:rsidRPr="008213EE" w:rsidRDefault="008213EE" w:rsidP="00E11EFA">
      <w:pPr>
        <w:ind w:firstLine="0"/>
        <w:rPr>
          <w:b/>
        </w:rPr>
      </w:pPr>
      <w:r w:rsidRPr="008213EE">
        <w:rPr>
          <w:b/>
        </w:rPr>
        <w:t>Exercises</w:t>
      </w:r>
    </w:p>
    <w:p w:rsidR="008213EE" w:rsidRPr="0048203B" w:rsidRDefault="008213EE" w:rsidP="008213EE">
      <w:r w:rsidRPr="0048203B">
        <w:t>At various points in the course, students will be asked to engage in small-group exercises to help them gain greater understanding of certain concepts through hands-on grappling with the materials and with each other.  Some may be in-class, and some may be outside-of-class with in-class presentation of results.</w:t>
      </w:r>
      <w:r>
        <w:t xml:space="preserve">  Note, also, that some of them will require the use of Excel, including the ability to create charts in Excel.  If you do not have sufficient knowledge of Excel to feel comfortable, please let me know when I assign the groups, so that I can ensure that each group has a least one person with good knowledge of Excel.</w:t>
      </w:r>
    </w:p>
    <w:p w:rsidR="003A0A67" w:rsidRPr="0048203B" w:rsidRDefault="003A0A67" w:rsidP="00E11EFA">
      <w:pPr>
        <w:ind w:firstLine="0"/>
        <w:rPr>
          <w:b/>
        </w:rPr>
      </w:pPr>
      <w:r w:rsidRPr="0048203B">
        <w:rPr>
          <w:b/>
        </w:rPr>
        <w:t>Examination</w:t>
      </w:r>
    </w:p>
    <w:p w:rsidR="00324322" w:rsidRPr="0048203B" w:rsidRDefault="00324322" w:rsidP="003A0A67">
      <w:r w:rsidRPr="0048203B">
        <w:t xml:space="preserve">Students will be evaluated based on a final examination.  I will be providing </w:t>
      </w:r>
      <w:r w:rsidR="005B48BC" w:rsidRPr="0048203B">
        <w:t>details of the exam</w:t>
      </w:r>
      <w:r w:rsidRPr="0048203B">
        <w:t xml:space="preserve"> midway through the course and during the review session, but at this point students can anticipate that it will be a take-home exam with a time limit longer than a few hours and a page limit so that students don’t spend every one of those hours writing.  The exam will be open-book, including all student notes and all </w:t>
      </w:r>
      <w:r w:rsidR="005B48BC" w:rsidRPr="0048203B">
        <w:t>readings</w:t>
      </w:r>
      <w:r w:rsidRPr="0048203B">
        <w:t xml:space="preserve"> from the course.  Students may also use other </w:t>
      </w:r>
      <w:r w:rsidR="005B48BC" w:rsidRPr="0048203B">
        <w:t>re</w:t>
      </w:r>
      <w:r w:rsidRPr="0048203B">
        <w:t xml:space="preserve">sources, including the Internet, but will be required to </w:t>
      </w:r>
      <w:r w:rsidR="00880153" w:rsidRPr="0048203B">
        <w:t xml:space="preserve">list all sources </w:t>
      </w:r>
      <w:r w:rsidR="009C391D">
        <w:t>they</w:t>
      </w:r>
      <w:r w:rsidR="00880153" w:rsidRPr="0048203B">
        <w:t xml:space="preserve">.  To a great extent, the examine will be intended to have students write essays and summaries as if they were attorneys writing memos for clients or supervising attorneys.  As such, drawing on any available source </w:t>
      </w:r>
      <w:r w:rsidR="009C391D">
        <w:t>will be</w:t>
      </w:r>
      <w:r w:rsidR="00880153" w:rsidRPr="0048203B">
        <w:t xml:space="preserve"> permitted, but, unlike in practice, direct, unattributed copying </w:t>
      </w:r>
      <w:r w:rsidR="00474F4E" w:rsidRPr="0048203B">
        <w:t>will not be</w:t>
      </w:r>
      <w:r w:rsidR="00880153" w:rsidRPr="0048203B">
        <w:t xml:space="preserve"> permitted.  Similarly, collaboration or consultation with other students </w:t>
      </w:r>
      <w:r w:rsidR="00474F4E" w:rsidRPr="0048203B">
        <w:t>will be</w:t>
      </w:r>
      <w:r w:rsidR="00880153" w:rsidRPr="0048203B">
        <w:t xml:space="preserve"> strictly prohibited. </w:t>
      </w:r>
    </w:p>
    <w:p w:rsidR="00820E07" w:rsidRDefault="00820E07">
      <w:pPr>
        <w:spacing w:before="0"/>
        <w:ind w:firstLine="0"/>
        <w:rPr>
          <w:b/>
          <w:bCs/>
          <w:u w:val="single"/>
        </w:rPr>
      </w:pPr>
      <w:r>
        <w:rPr>
          <w:bCs/>
        </w:rPr>
        <w:br w:type="page"/>
      </w:r>
    </w:p>
    <w:p w:rsidR="009E7689" w:rsidRPr="0048203B" w:rsidRDefault="00AA326B">
      <w:pPr>
        <w:pStyle w:val="CenterTextBoldUnd"/>
        <w:spacing w:after="360"/>
      </w:pPr>
      <w:r w:rsidRPr="0048203B">
        <w:lastRenderedPageBreak/>
        <w:t>Detailed Course Outline and Readings</w:t>
      </w:r>
    </w:p>
    <w:p w:rsidR="009E7689" w:rsidRPr="0048203B" w:rsidRDefault="00AA326B" w:rsidP="00CE2170">
      <w:pPr>
        <w:pStyle w:val="Heading1"/>
        <w:keepNext/>
        <w:numPr>
          <w:ilvl w:val="0"/>
          <w:numId w:val="30"/>
        </w:numPr>
        <w:tabs>
          <w:tab w:val="clear" w:pos="360"/>
        </w:tabs>
      </w:pPr>
      <w:r w:rsidRPr="0048203B">
        <w:t>Introduction to the World of Venture Capital Companies</w:t>
      </w:r>
    </w:p>
    <w:p w:rsidR="009E7689" w:rsidRPr="0048203B" w:rsidRDefault="00AA326B">
      <w:pPr>
        <w:keepNext/>
        <w:spacing w:before="0"/>
      </w:pPr>
      <w:r w:rsidRPr="0048203B">
        <w:t>(January 7,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Salient characteristics of Silicon Valley</w:t>
      </w:r>
    </w:p>
    <w:p w:rsidR="009E7689" w:rsidRPr="0048203B" w:rsidRDefault="00AA326B" w:rsidP="00F63CC0">
      <w:pPr>
        <w:pStyle w:val="ListParagraph"/>
        <w:numPr>
          <w:ilvl w:val="0"/>
          <w:numId w:val="13"/>
        </w:numPr>
        <w:ind w:hanging="720"/>
      </w:pPr>
      <w:r w:rsidRPr="0048203B">
        <w:t>History</w:t>
      </w:r>
    </w:p>
    <w:p w:rsidR="00F605A2" w:rsidRPr="0048203B" w:rsidRDefault="00F605A2" w:rsidP="00F63CC0">
      <w:pPr>
        <w:pStyle w:val="ListParagraph"/>
        <w:numPr>
          <w:ilvl w:val="0"/>
          <w:numId w:val="13"/>
        </w:numPr>
        <w:ind w:hanging="720"/>
      </w:pPr>
      <w:r w:rsidRPr="0048203B">
        <w:t>The “Silicon Valley Model”</w:t>
      </w:r>
    </w:p>
    <w:p w:rsidR="009E7689" w:rsidRPr="0048203B" w:rsidRDefault="00AA326B" w:rsidP="00F63CC0">
      <w:pPr>
        <w:pStyle w:val="ListParagraph"/>
        <w:numPr>
          <w:ilvl w:val="0"/>
          <w:numId w:val="13"/>
        </w:numPr>
        <w:ind w:hanging="720"/>
      </w:pPr>
      <w:r w:rsidRPr="0048203B">
        <w:t>Recent statistics</w:t>
      </w:r>
    </w:p>
    <w:p w:rsidR="009E7689" w:rsidRPr="0048203B" w:rsidRDefault="00AA326B">
      <w:pPr>
        <w:ind w:left="720" w:firstLine="0"/>
        <w:contextualSpacing/>
      </w:pPr>
      <w:r w:rsidRPr="0048203B">
        <w:rPr>
          <w:u w:val="single"/>
        </w:rPr>
        <w:t>Readings</w:t>
      </w:r>
      <w:r w:rsidRPr="0048203B">
        <w:t>:</w:t>
      </w:r>
    </w:p>
    <w:p w:rsidR="005F5EE3" w:rsidRPr="0048203B" w:rsidRDefault="007E7188" w:rsidP="005F5EE3">
      <w:pPr>
        <w:pStyle w:val="Heading2"/>
      </w:pPr>
      <w:r w:rsidRPr="0048203B">
        <w:t xml:space="preserve">J. Fried, </w:t>
      </w:r>
      <w:r w:rsidRPr="0048203B">
        <w:rPr>
          <w:u w:val="single"/>
        </w:rPr>
        <w:t>Materials on Venture Law and Finance</w:t>
      </w:r>
      <w:r w:rsidRPr="0048203B">
        <w:t xml:space="preserve"> (2013), Chapter 1</w:t>
      </w:r>
      <w:r w:rsidR="005F5EE3" w:rsidRPr="0048203B">
        <w:t xml:space="preserve"> (pp. 1-11)</w:t>
      </w:r>
    </w:p>
    <w:p w:rsidR="008B31DF" w:rsidRPr="0048203B" w:rsidRDefault="008B31DF" w:rsidP="008B31DF">
      <w:pPr>
        <w:pStyle w:val="Heading2"/>
      </w:pPr>
      <w:r w:rsidRPr="0048203B">
        <w:t xml:space="preserve">C. Bagley </w:t>
      </w:r>
      <w:r w:rsidR="00D71EB3" w:rsidRPr="0048203B">
        <w:t>and</w:t>
      </w:r>
      <w:r w:rsidRPr="0048203B">
        <w:t xml:space="preserve"> C. Dauchy, </w:t>
      </w:r>
      <w:r w:rsidRPr="0048203B">
        <w:rPr>
          <w:u w:val="single"/>
        </w:rPr>
        <w:t>The Entrepreneur’s Guide to Business Law</w:t>
      </w:r>
      <w:r w:rsidRPr="0048203B">
        <w:t>, 4</w:t>
      </w:r>
      <w:r w:rsidRPr="0048203B">
        <w:rPr>
          <w:vertAlign w:val="superscript"/>
        </w:rPr>
        <w:t>th</w:t>
      </w:r>
      <w:r w:rsidRPr="0048203B">
        <w:t xml:space="preserve"> Edition (2011), Chapters 1 (pp. 1-11) and 2 (pp. 12-34)</w:t>
      </w:r>
    </w:p>
    <w:p w:rsidR="00911058" w:rsidRPr="0048203B" w:rsidRDefault="00911058" w:rsidP="00911058">
      <w:pPr>
        <w:pStyle w:val="Heading2"/>
      </w:pPr>
      <w:r w:rsidRPr="0048203B">
        <w:t>“Can Venture Capitalists Really Beat the Market?” The Wall Street Journal (October 2013)</w:t>
      </w:r>
    </w:p>
    <w:p w:rsidR="009E7689" w:rsidRPr="0048203B" w:rsidRDefault="00AA326B" w:rsidP="00A30A3B">
      <w:pPr>
        <w:pStyle w:val="Heading1"/>
        <w:keepNext/>
      </w:pPr>
      <w:r w:rsidRPr="0048203B">
        <w:t>Starting a New Technology Venture</w:t>
      </w:r>
      <w:r w:rsidRPr="0048203B">
        <w:rPr>
          <w:bCs/>
        </w:rPr>
        <w:t xml:space="preserve"> </w:t>
      </w:r>
    </w:p>
    <w:p w:rsidR="009E7689" w:rsidRPr="0048203B" w:rsidRDefault="00AA326B">
      <w:pPr>
        <w:keepNext/>
        <w:spacing w:before="0"/>
      </w:pPr>
      <w:r w:rsidRPr="0048203B">
        <w:t>(January 7 and 14,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Pre-formation matters</w:t>
      </w:r>
    </w:p>
    <w:p w:rsidR="009E7689" w:rsidRPr="0048203B" w:rsidRDefault="00AA326B" w:rsidP="00F63CC0">
      <w:pPr>
        <w:pStyle w:val="ListParagraph"/>
        <w:numPr>
          <w:ilvl w:val="1"/>
          <w:numId w:val="13"/>
        </w:numPr>
        <w:ind w:left="2160"/>
      </w:pPr>
      <w:r w:rsidRPr="0048203B">
        <w:t xml:space="preserve">Leaving </w:t>
      </w:r>
      <w:r w:rsidR="005B48BC" w:rsidRPr="0048203B">
        <w:t xml:space="preserve">a </w:t>
      </w:r>
      <w:r w:rsidRPr="0048203B">
        <w:t>previous employe</w:t>
      </w:r>
      <w:r w:rsidR="005B48BC" w:rsidRPr="0048203B">
        <w:t>r</w:t>
      </w:r>
    </w:p>
    <w:p w:rsidR="009E7689" w:rsidRPr="0048203B" w:rsidRDefault="005B48BC" w:rsidP="00F63CC0">
      <w:pPr>
        <w:pStyle w:val="ListParagraph"/>
        <w:numPr>
          <w:ilvl w:val="1"/>
          <w:numId w:val="13"/>
        </w:numPr>
        <w:ind w:left="2160"/>
      </w:pPr>
      <w:r w:rsidRPr="0048203B">
        <w:t>The l</w:t>
      </w:r>
      <w:r w:rsidR="00AA326B" w:rsidRPr="0048203B">
        <w:t>awyer’s role</w:t>
      </w:r>
    </w:p>
    <w:p w:rsidR="009E7689" w:rsidRPr="0048203B" w:rsidRDefault="00AA326B" w:rsidP="00F63CC0">
      <w:pPr>
        <w:pStyle w:val="ListParagraph"/>
        <w:numPr>
          <w:ilvl w:val="0"/>
          <w:numId w:val="13"/>
        </w:numPr>
        <w:ind w:hanging="720"/>
      </w:pPr>
      <w:r w:rsidRPr="0048203B">
        <w:t>Form of entity</w:t>
      </w:r>
    </w:p>
    <w:p w:rsidR="009E7689" w:rsidRPr="0048203B" w:rsidRDefault="00AA326B" w:rsidP="00F63CC0">
      <w:pPr>
        <w:pStyle w:val="ListParagraph"/>
        <w:numPr>
          <w:ilvl w:val="1"/>
          <w:numId w:val="13"/>
        </w:numPr>
        <w:ind w:left="2160"/>
      </w:pPr>
      <w:r w:rsidRPr="0048203B">
        <w:t>State of incorporation</w:t>
      </w:r>
    </w:p>
    <w:p w:rsidR="009E7689" w:rsidRPr="0048203B" w:rsidRDefault="00AA326B" w:rsidP="00F63CC0">
      <w:pPr>
        <w:pStyle w:val="ListParagraph"/>
        <w:numPr>
          <w:ilvl w:val="0"/>
          <w:numId w:val="13"/>
        </w:numPr>
        <w:ind w:hanging="720"/>
      </w:pPr>
      <w:r w:rsidRPr="0048203B">
        <w:t>Incorporation</w:t>
      </w:r>
    </w:p>
    <w:p w:rsidR="009E7689" w:rsidRPr="0048203B" w:rsidRDefault="00AA326B" w:rsidP="00F63CC0">
      <w:pPr>
        <w:pStyle w:val="ListParagraph"/>
        <w:numPr>
          <w:ilvl w:val="1"/>
          <w:numId w:val="13"/>
        </w:numPr>
        <w:ind w:left="2160"/>
      </w:pPr>
      <w:r w:rsidRPr="0048203B">
        <w:t>Basic documents</w:t>
      </w:r>
    </w:p>
    <w:p w:rsidR="009E7689" w:rsidRPr="0048203B" w:rsidRDefault="00AA326B" w:rsidP="00F63CC0">
      <w:pPr>
        <w:pStyle w:val="ListParagraph"/>
        <w:numPr>
          <w:ilvl w:val="0"/>
          <w:numId w:val="13"/>
        </w:numPr>
        <w:ind w:hanging="720"/>
      </w:pPr>
      <w:r w:rsidRPr="0048203B">
        <w:t>Initial equity matters</w:t>
      </w:r>
    </w:p>
    <w:p w:rsidR="009E7689" w:rsidRPr="0048203B" w:rsidRDefault="00AA326B" w:rsidP="00F63CC0">
      <w:pPr>
        <w:pStyle w:val="ListParagraph"/>
        <w:numPr>
          <w:ilvl w:val="1"/>
          <w:numId w:val="13"/>
        </w:numPr>
        <w:ind w:left="2160"/>
      </w:pPr>
      <w:r w:rsidRPr="0048203B">
        <w:t>Capitalization</w:t>
      </w:r>
    </w:p>
    <w:p w:rsidR="009E7689" w:rsidRPr="0048203B" w:rsidRDefault="00AA326B" w:rsidP="00F63CC0">
      <w:pPr>
        <w:pStyle w:val="ListParagraph"/>
        <w:numPr>
          <w:ilvl w:val="1"/>
          <w:numId w:val="13"/>
        </w:numPr>
        <w:ind w:left="2160"/>
      </w:pPr>
      <w:r w:rsidRPr="0048203B">
        <w:t>Consideration</w:t>
      </w:r>
      <w:r w:rsidR="005B48BC" w:rsidRPr="0048203B">
        <w:t xml:space="preserve"> for founders’ stock</w:t>
      </w:r>
    </w:p>
    <w:p w:rsidR="009E7689" w:rsidRPr="0048203B" w:rsidRDefault="00AA326B" w:rsidP="00F63CC0">
      <w:pPr>
        <w:pStyle w:val="ListParagraph"/>
        <w:numPr>
          <w:ilvl w:val="1"/>
          <w:numId w:val="13"/>
        </w:numPr>
        <w:ind w:left="2160"/>
      </w:pPr>
      <w:r w:rsidRPr="0048203B">
        <w:t>Vesting</w:t>
      </w:r>
    </w:p>
    <w:p w:rsidR="009E7689" w:rsidRPr="0048203B" w:rsidRDefault="00AA326B" w:rsidP="00F63CC0">
      <w:pPr>
        <w:pStyle w:val="ListParagraph"/>
        <w:numPr>
          <w:ilvl w:val="0"/>
          <w:numId w:val="13"/>
        </w:numPr>
        <w:ind w:hanging="720"/>
      </w:pPr>
      <w:r w:rsidRPr="0048203B">
        <w:t>Who is the client?</w:t>
      </w:r>
    </w:p>
    <w:p w:rsidR="009E7689" w:rsidRPr="0048203B" w:rsidRDefault="00AA326B">
      <w:pPr>
        <w:keepNext/>
        <w:ind w:left="720" w:firstLine="0"/>
      </w:pPr>
      <w:r w:rsidRPr="0048203B">
        <w:rPr>
          <w:u w:val="single"/>
        </w:rPr>
        <w:t>Readings</w:t>
      </w:r>
      <w:r w:rsidRPr="0048203B">
        <w:t xml:space="preserve">: </w:t>
      </w:r>
    </w:p>
    <w:p w:rsidR="009E7689" w:rsidRPr="0048203B" w:rsidRDefault="00AA326B" w:rsidP="00F63CC0">
      <w:pPr>
        <w:pStyle w:val="Heading2"/>
      </w:pPr>
      <w:r w:rsidRPr="0048203B">
        <w:t xml:space="preserve">R. Judge and A. Vasudevan, </w:t>
      </w:r>
      <w:r w:rsidRPr="0048203B">
        <w:rPr>
          <w:i/>
          <w:iCs/>
        </w:rPr>
        <w:t>et al</w:t>
      </w:r>
      <w:r w:rsidRPr="0048203B">
        <w:t xml:space="preserve">, </w:t>
      </w:r>
      <w:r w:rsidRPr="0048203B">
        <w:rPr>
          <w:u w:val="single"/>
        </w:rPr>
        <w:t xml:space="preserve">The First Mile - Essentials of </w:t>
      </w:r>
      <w:r w:rsidRPr="00ED41FE">
        <w:rPr>
          <w:u w:val="single"/>
        </w:rPr>
        <w:t xml:space="preserve">Entrepreneurship </w:t>
      </w:r>
      <w:r w:rsidR="00ED41FE" w:rsidRPr="00ED41FE">
        <w:rPr>
          <w:u w:val="single"/>
        </w:rPr>
        <w:t>–What It Takes to Create Successful Enterprises</w:t>
      </w:r>
      <w:r w:rsidR="00ED41FE">
        <w:t xml:space="preserve"> </w:t>
      </w:r>
      <w:r w:rsidRPr="0048203B">
        <w:t>(2003), Chapter 3 - Legal Matters, pp. 51-6</w:t>
      </w:r>
      <w:r w:rsidR="00FF14C2" w:rsidRPr="0048203B">
        <w:t>8</w:t>
      </w:r>
      <w:r w:rsidRPr="0048203B">
        <w:t>, 6</w:t>
      </w:r>
      <w:r w:rsidR="00FF14C2" w:rsidRPr="0048203B">
        <w:t>8</w:t>
      </w:r>
      <w:r w:rsidRPr="0048203B">
        <w:t>-7</w:t>
      </w:r>
      <w:r w:rsidR="00FF14C2" w:rsidRPr="0048203B">
        <w:t>5</w:t>
      </w:r>
      <w:r w:rsidRPr="0048203B">
        <w:t xml:space="preserve"> (</w:t>
      </w:r>
      <w:r w:rsidRPr="0048203B">
        <w:rPr>
          <w:b/>
          <w:i/>
        </w:rPr>
        <w:t>Skim</w:t>
      </w:r>
      <w:r w:rsidRPr="0048203B">
        <w:t>), 79-88</w:t>
      </w:r>
    </w:p>
    <w:p w:rsidR="009E7689" w:rsidRPr="0048203B" w:rsidRDefault="00AA326B" w:rsidP="00A30A3B">
      <w:pPr>
        <w:pStyle w:val="Heading2"/>
      </w:pPr>
      <w:r w:rsidRPr="0048203B">
        <w:lastRenderedPageBreak/>
        <w:t>California Labor Code Section 2870-2872</w:t>
      </w:r>
    </w:p>
    <w:p w:rsidR="009E7689" w:rsidRPr="0048203B" w:rsidRDefault="00AA326B" w:rsidP="00A30A3B">
      <w:pPr>
        <w:pStyle w:val="Heading2"/>
      </w:pPr>
      <w:r w:rsidRPr="0048203B">
        <w:rPr>
          <w:u w:val="single"/>
        </w:rPr>
        <w:t>Zynga Inc. v. Alan Patmore</w:t>
      </w:r>
      <w:r w:rsidRPr="0048203B">
        <w:t xml:space="preserve"> and DOES 1 through 50, inclusive, October 2012 (</w:t>
      </w:r>
      <w:r w:rsidRPr="0048203B">
        <w:rPr>
          <w:b/>
          <w:i/>
        </w:rPr>
        <w:t>Skim</w:t>
      </w:r>
      <w:r w:rsidRPr="0048203B">
        <w:t>)</w:t>
      </w:r>
    </w:p>
    <w:p w:rsidR="009E7689" w:rsidRPr="0048203B" w:rsidRDefault="00AA326B" w:rsidP="00A30A3B">
      <w:pPr>
        <w:pStyle w:val="Heading2"/>
      </w:pPr>
      <w:r w:rsidRPr="0048203B">
        <w:t>L</w:t>
      </w:r>
      <w:r w:rsidR="0068064D" w:rsidRPr="0048203B">
        <w:t>.</w:t>
      </w:r>
      <w:r w:rsidRPr="0048203B">
        <w:t xml:space="preserve"> Black, “Why Corporations Choose Delaware”</w:t>
      </w:r>
    </w:p>
    <w:p w:rsidR="009E7689" w:rsidRPr="0048203B" w:rsidRDefault="00AA326B" w:rsidP="00A30A3B">
      <w:pPr>
        <w:pStyle w:val="Heading2"/>
      </w:pPr>
      <w:r w:rsidRPr="0048203B">
        <w:t>Fried, Chapter 9, pp. 25-30</w:t>
      </w:r>
    </w:p>
    <w:p w:rsidR="009E7689" w:rsidRPr="0048203B" w:rsidRDefault="00AA326B" w:rsidP="00A30A3B">
      <w:pPr>
        <w:pStyle w:val="Heading2"/>
      </w:pPr>
      <w:r w:rsidRPr="0048203B">
        <w:t xml:space="preserve">Delaware Supreme Court Declares “Quasi-California Corporation” Statute Violates Internal Affairs Doctrine, Client Alert dated May 2005 of Wilson Sonsini Goodrich &amp; Rosati; WSGR Client Alert, August 2012 “At Last, a California Court Acknowledges Delaware Supreme Court Decision Holding that the State’s “Quasi-California Corporation” Statute Violates  Internal Affairs Doctrine.” </w:t>
      </w:r>
    </w:p>
    <w:p w:rsidR="009E7689" w:rsidRPr="0048203B" w:rsidRDefault="0068064D" w:rsidP="00A30A3B">
      <w:pPr>
        <w:pStyle w:val="Heading2"/>
      </w:pPr>
      <w:r w:rsidRPr="0048203B">
        <w:t>“</w:t>
      </w:r>
      <w:r w:rsidR="00AA326B" w:rsidRPr="0048203B">
        <w:t>Vesting of Founders’ Stock: Beyond the Basics,</w:t>
      </w:r>
      <w:r w:rsidRPr="0048203B">
        <w:t>”</w:t>
      </w:r>
      <w:r w:rsidR="00AA326B" w:rsidRPr="0048203B">
        <w:t xml:space="preserve"> WSGR Memorandum</w:t>
      </w:r>
    </w:p>
    <w:p w:rsidR="0068064D" w:rsidRPr="0048203B" w:rsidRDefault="0068064D" w:rsidP="0068064D">
      <w:pPr>
        <w:pStyle w:val="Heading2"/>
      </w:pPr>
      <w:r w:rsidRPr="0048203B">
        <w:t>A. Miller, “Startup Lawyers Rein in Control-Hungry Founders,” The Recorder (2012)</w:t>
      </w:r>
    </w:p>
    <w:p w:rsidR="009E7689" w:rsidRPr="0048203B" w:rsidRDefault="00AA326B" w:rsidP="00A30A3B">
      <w:pPr>
        <w:pStyle w:val="Heading2"/>
      </w:pPr>
      <w:r w:rsidRPr="0048203B">
        <w:t>California Rules of Professional Conduct: Rule 3-300</w:t>
      </w:r>
    </w:p>
    <w:p w:rsidR="007968E7" w:rsidRPr="0048203B" w:rsidRDefault="007968E7" w:rsidP="007968E7">
      <w:r w:rsidRPr="0048203B">
        <w:rPr>
          <w:u w:val="single"/>
        </w:rPr>
        <w:t>Exhibits</w:t>
      </w:r>
      <w:r w:rsidR="00B77D5E" w:rsidRPr="0048203B">
        <w:rPr>
          <w:rStyle w:val="FootnoteReference"/>
          <w:u w:val="single"/>
        </w:rPr>
        <w:footnoteReference w:id="1"/>
      </w:r>
      <w:r w:rsidR="007E7188" w:rsidRPr="0048203B">
        <w:t>:</w:t>
      </w:r>
    </w:p>
    <w:p w:rsidR="007968E7" w:rsidRDefault="009C391D" w:rsidP="00CE2170">
      <w:pPr>
        <w:pStyle w:val="Heading2"/>
        <w:numPr>
          <w:ilvl w:val="0"/>
          <w:numId w:val="0"/>
        </w:numPr>
        <w:ind w:left="720"/>
      </w:pPr>
      <w:r>
        <w:t>Forms of ba</w:t>
      </w:r>
      <w:r w:rsidR="007968E7" w:rsidRPr="0048203B">
        <w:t>sic incorporation documents</w:t>
      </w:r>
      <w:r w:rsidR="00CE2170" w:rsidRPr="0048203B">
        <w:t>:</w:t>
      </w:r>
    </w:p>
    <w:p w:rsidR="009C391D" w:rsidRDefault="009C391D" w:rsidP="009C391D">
      <w:pPr>
        <w:pStyle w:val="Heading2"/>
        <w:numPr>
          <w:ilvl w:val="0"/>
          <w:numId w:val="0"/>
        </w:numPr>
        <w:spacing w:before="0"/>
        <w:ind w:left="2160"/>
      </w:pPr>
    </w:p>
    <w:p w:rsidR="009C391D" w:rsidRDefault="009C391D" w:rsidP="009C391D">
      <w:pPr>
        <w:pStyle w:val="Heading2"/>
        <w:numPr>
          <w:ilvl w:val="0"/>
          <w:numId w:val="35"/>
        </w:numPr>
        <w:spacing w:before="0"/>
        <w:ind w:left="2160" w:hanging="720"/>
      </w:pPr>
      <w:r>
        <w:t>Incorporation Questionnaire</w:t>
      </w:r>
    </w:p>
    <w:p w:rsidR="007968E7" w:rsidRPr="0048203B" w:rsidRDefault="007968E7" w:rsidP="009C391D">
      <w:pPr>
        <w:pStyle w:val="Heading2"/>
        <w:numPr>
          <w:ilvl w:val="0"/>
          <w:numId w:val="35"/>
        </w:numPr>
        <w:spacing w:before="0"/>
        <w:ind w:left="2160" w:hanging="720"/>
      </w:pPr>
      <w:r w:rsidRPr="0048203B">
        <w:t xml:space="preserve">Certificate of Incorporation, </w:t>
      </w:r>
    </w:p>
    <w:p w:rsidR="007968E7" w:rsidRPr="0048203B" w:rsidRDefault="007968E7" w:rsidP="009C391D">
      <w:pPr>
        <w:pStyle w:val="Heading2"/>
        <w:numPr>
          <w:ilvl w:val="0"/>
          <w:numId w:val="35"/>
        </w:numPr>
        <w:spacing w:before="0"/>
        <w:ind w:left="2160" w:hanging="720"/>
      </w:pPr>
      <w:r w:rsidRPr="0048203B">
        <w:t xml:space="preserve">Action by Incorporator, </w:t>
      </w:r>
    </w:p>
    <w:p w:rsidR="007E7188" w:rsidRPr="0048203B" w:rsidRDefault="007968E7" w:rsidP="009C391D">
      <w:pPr>
        <w:pStyle w:val="Heading2"/>
        <w:numPr>
          <w:ilvl w:val="0"/>
          <w:numId w:val="35"/>
        </w:numPr>
        <w:spacing w:before="0"/>
        <w:ind w:left="2160" w:hanging="720"/>
      </w:pPr>
      <w:r w:rsidRPr="0048203B">
        <w:t>Bylaws</w:t>
      </w:r>
    </w:p>
    <w:p w:rsidR="007968E7" w:rsidRPr="0048203B" w:rsidRDefault="007968E7" w:rsidP="009C391D">
      <w:pPr>
        <w:pStyle w:val="Heading2"/>
        <w:numPr>
          <w:ilvl w:val="0"/>
          <w:numId w:val="35"/>
        </w:numPr>
        <w:spacing w:before="0"/>
        <w:ind w:left="2160" w:hanging="720"/>
      </w:pPr>
      <w:r w:rsidRPr="0048203B">
        <w:t xml:space="preserve">Action by Unanimous Written Consent </w:t>
      </w:r>
      <w:r w:rsidR="00102A7D">
        <w:t xml:space="preserve">of Board of Directors </w:t>
      </w:r>
      <w:r w:rsidRPr="0048203B">
        <w:t xml:space="preserve">in Lieu of First Minutes </w:t>
      </w:r>
    </w:p>
    <w:p w:rsidR="009E7689" w:rsidRPr="0048203B" w:rsidRDefault="00AA326B" w:rsidP="00A30A3B">
      <w:pPr>
        <w:pStyle w:val="Heading1"/>
        <w:keepNext/>
      </w:pPr>
      <w:r w:rsidRPr="0048203B">
        <w:t xml:space="preserve">Venture Capital Financings </w:t>
      </w:r>
    </w:p>
    <w:p w:rsidR="009E7689" w:rsidRPr="0048203B" w:rsidRDefault="00AA326B">
      <w:pPr>
        <w:keepNext/>
        <w:spacing w:before="0"/>
      </w:pPr>
      <w:r w:rsidRPr="0048203B">
        <w:t>(January 14, 21 and 28, 2014)</w:t>
      </w:r>
    </w:p>
    <w:p w:rsidR="009E7689" w:rsidRPr="0048203B" w:rsidRDefault="00AA326B">
      <w:pPr>
        <w:tabs>
          <w:tab w:val="left" w:pos="720"/>
        </w:tabs>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Sources of funding generally</w:t>
      </w:r>
    </w:p>
    <w:p w:rsidR="009E7689" w:rsidRPr="0048203B" w:rsidRDefault="00AA326B" w:rsidP="00F63CC0">
      <w:pPr>
        <w:pStyle w:val="ListParagraph"/>
        <w:numPr>
          <w:ilvl w:val="1"/>
          <w:numId w:val="13"/>
        </w:numPr>
        <w:ind w:left="2160"/>
      </w:pPr>
      <w:r w:rsidRPr="0048203B">
        <w:t>Advantages/disadvantages of each</w:t>
      </w:r>
    </w:p>
    <w:p w:rsidR="009E7689" w:rsidRPr="0048203B" w:rsidRDefault="00AA326B" w:rsidP="00F63CC0">
      <w:pPr>
        <w:pStyle w:val="ListParagraph"/>
        <w:numPr>
          <w:ilvl w:val="0"/>
          <w:numId w:val="13"/>
        </w:numPr>
        <w:ind w:hanging="720"/>
      </w:pPr>
      <w:r w:rsidRPr="0048203B">
        <w:t>Seeking VC funding</w:t>
      </w:r>
    </w:p>
    <w:p w:rsidR="009E7689" w:rsidRPr="0048203B" w:rsidRDefault="00AA326B" w:rsidP="00F63CC0">
      <w:pPr>
        <w:pStyle w:val="ListParagraph"/>
        <w:numPr>
          <w:ilvl w:val="1"/>
          <w:numId w:val="13"/>
        </w:numPr>
        <w:ind w:left="2160"/>
      </w:pPr>
      <w:r w:rsidRPr="0048203B">
        <w:t>The VC mating dance</w:t>
      </w:r>
    </w:p>
    <w:p w:rsidR="009E7689" w:rsidRPr="0048203B" w:rsidRDefault="00AA326B" w:rsidP="00F63CC0">
      <w:pPr>
        <w:pStyle w:val="ListParagraph"/>
        <w:numPr>
          <w:ilvl w:val="1"/>
          <w:numId w:val="13"/>
        </w:numPr>
        <w:ind w:left="2160"/>
      </w:pPr>
      <w:r w:rsidRPr="0048203B">
        <w:t>Business plans</w:t>
      </w:r>
    </w:p>
    <w:p w:rsidR="009E7689" w:rsidRPr="0048203B" w:rsidRDefault="00AA326B" w:rsidP="00F63CC0">
      <w:pPr>
        <w:pStyle w:val="ListParagraph"/>
        <w:numPr>
          <w:ilvl w:val="1"/>
          <w:numId w:val="13"/>
        </w:numPr>
        <w:ind w:left="2160"/>
      </w:pPr>
      <w:r w:rsidRPr="0048203B">
        <w:t>Diligence – business and legal</w:t>
      </w:r>
    </w:p>
    <w:p w:rsidR="009E7689" w:rsidRPr="0048203B" w:rsidRDefault="00AA326B" w:rsidP="009C391D">
      <w:pPr>
        <w:pStyle w:val="ListParagraph"/>
        <w:keepNext/>
        <w:keepLines/>
        <w:numPr>
          <w:ilvl w:val="0"/>
          <w:numId w:val="13"/>
        </w:numPr>
        <w:ind w:hanging="720"/>
      </w:pPr>
      <w:r w:rsidRPr="0048203B">
        <w:lastRenderedPageBreak/>
        <w:t>Mechanics</w:t>
      </w:r>
    </w:p>
    <w:p w:rsidR="009E7689" w:rsidRPr="0048203B" w:rsidRDefault="00AA326B" w:rsidP="009C391D">
      <w:pPr>
        <w:pStyle w:val="ListParagraph"/>
        <w:keepNext/>
        <w:keepLines/>
        <w:numPr>
          <w:ilvl w:val="1"/>
          <w:numId w:val="13"/>
        </w:numPr>
        <w:ind w:left="2160"/>
      </w:pPr>
      <w:r w:rsidRPr="0048203B">
        <w:t>Overview and timeline</w:t>
      </w:r>
    </w:p>
    <w:p w:rsidR="009E7689" w:rsidRPr="0048203B" w:rsidRDefault="00AA326B" w:rsidP="00F63CC0">
      <w:pPr>
        <w:pStyle w:val="ListParagraph"/>
        <w:numPr>
          <w:ilvl w:val="1"/>
          <w:numId w:val="13"/>
        </w:numPr>
        <w:ind w:left="2160"/>
      </w:pPr>
      <w:r w:rsidRPr="0048203B">
        <w:t>Documents</w:t>
      </w:r>
    </w:p>
    <w:p w:rsidR="009E7689" w:rsidRPr="0048203B" w:rsidRDefault="00AA326B" w:rsidP="00F63CC0">
      <w:pPr>
        <w:pStyle w:val="ListParagraph"/>
        <w:numPr>
          <w:ilvl w:val="0"/>
          <w:numId w:val="13"/>
        </w:numPr>
        <w:ind w:hanging="720"/>
      </w:pPr>
      <w:r w:rsidRPr="0048203B">
        <w:t>Fundamental concepts</w:t>
      </w:r>
    </w:p>
    <w:p w:rsidR="009E7689" w:rsidRPr="0048203B" w:rsidRDefault="00AA326B" w:rsidP="00F63CC0">
      <w:pPr>
        <w:pStyle w:val="ListParagraph"/>
        <w:numPr>
          <w:ilvl w:val="1"/>
          <w:numId w:val="13"/>
        </w:numPr>
        <w:ind w:left="2160"/>
      </w:pPr>
      <w:r w:rsidRPr="0048203B">
        <w:t>Dual class stock structure</w:t>
      </w:r>
    </w:p>
    <w:p w:rsidR="009E7689" w:rsidRPr="0048203B" w:rsidRDefault="00AA326B" w:rsidP="00F63CC0">
      <w:pPr>
        <w:pStyle w:val="ListParagraph"/>
        <w:numPr>
          <w:ilvl w:val="1"/>
          <w:numId w:val="13"/>
        </w:numPr>
        <w:ind w:left="2160"/>
      </w:pPr>
      <w:r w:rsidRPr="0048203B">
        <w:t>Valuation</w:t>
      </w:r>
    </w:p>
    <w:p w:rsidR="009E7689" w:rsidRPr="0048203B" w:rsidRDefault="00AA326B" w:rsidP="00F63CC0">
      <w:pPr>
        <w:pStyle w:val="ListParagraph"/>
        <w:numPr>
          <w:ilvl w:val="1"/>
          <w:numId w:val="13"/>
        </w:numPr>
        <w:ind w:left="2160"/>
      </w:pPr>
      <w:r w:rsidRPr="0048203B">
        <w:t>Capitalization</w:t>
      </w:r>
    </w:p>
    <w:p w:rsidR="009E7689" w:rsidRPr="0048203B" w:rsidRDefault="00AA326B" w:rsidP="00F63CC0">
      <w:pPr>
        <w:pStyle w:val="ListParagraph"/>
        <w:numPr>
          <w:ilvl w:val="0"/>
          <w:numId w:val="13"/>
        </w:numPr>
        <w:ind w:hanging="720"/>
      </w:pPr>
      <w:r w:rsidRPr="0048203B">
        <w:t>Termsheets and major terms</w:t>
      </w:r>
    </w:p>
    <w:p w:rsidR="009E7689" w:rsidRPr="0048203B" w:rsidRDefault="00AA326B" w:rsidP="00F63CC0">
      <w:pPr>
        <w:pStyle w:val="ListParagraph"/>
        <w:numPr>
          <w:ilvl w:val="1"/>
          <w:numId w:val="13"/>
        </w:numPr>
        <w:ind w:left="2160"/>
      </w:pPr>
      <w:r w:rsidRPr="0048203B">
        <w:t>Liquidation preferences</w:t>
      </w:r>
    </w:p>
    <w:p w:rsidR="009E7689" w:rsidRPr="0048203B" w:rsidRDefault="00AA326B" w:rsidP="00F63CC0">
      <w:pPr>
        <w:pStyle w:val="ListParagraph"/>
        <w:numPr>
          <w:ilvl w:val="1"/>
          <w:numId w:val="13"/>
        </w:numPr>
        <w:ind w:left="2160"/>
      </w:pPr>
      <w:r w:rsidRPr="0048203B">
        <w:t>Anti-dilution</w:t>
      </w:r>
    </w:p>
    <w:p w:rsidR="009E7689" w:rsidRPr="0048203B" w:rsidRDefault="00AA326B" w:rsidP="00F63CC0">
      <w:pPr>
        <w:pStyle w:val="ListParagraph"/>
        <w:numPr>
          <w:ilvl w:val="1"/>
          <w:numId w:val="13"/>
        </w:numPr>
        <w:ind w:left="2160"/>
      </w:pPr>
      <w:r w:rsidRPr="0048203B">
        <w:t>Voting and protective provisions</w:t>
      </w:r>
    </w:p>
    <w:p w:rsidR="009E7689" w:rsidRPr="0048203B" w:rsidRDefault="00AA326B" w:rsidP="00F63CC0">
      <w:pPr>
        <w:pStyle w:val="ListParagraph"/>
        <w:numPr>
          <w:ilvl w:val="1"/>
          <w:numId w:val="13"/>
        </w:numPr>
        <w:ind w:left="2160"/>
      </w:pPr>
      <w:r w:rsidRPr="0048203B">
        <w:t>Registration rights</w:t>
      </w:r>
    </w:p>
    <w:p w:rsidR="009E7689" w:rsidRPr="0048203B" w:rsidRDefault="00AA326B" w:rsidP="00F63CC0">
      <w:pPr>
        <w:pStyle w:val="ListParagraph"/>
        <w:numPr>
          <w:ilvl w:val="1"/>
          <w:numId w:val="13"/>
        </w:numPr>
        <w:ind w:left="2160"/>
      </w:pPr>
      <w:r w:rsidRPr="0048203B">
        <w:t>Founder stock matters</w:t>
      </w:r>
    </w:p>
    <w:p w:rsidR="009E7689" w:rsidRPr="0048203B" w:rsidRDefault="00AA326B" w:rsidP="00F63CC0">
      <w:pPr>
        <w:pStyle w:val="ListParagraph"/>
        <w:numPr>
          <w:ilvl w:val="0"/>
          <w:numId w:val="13"/>
        </w:numPr>
        <w:ind w:hanging="720"/>
      </w:pPr>
      <w:r w:rsidRPr="0048203B">
        <w:t xml:space="preserve">Securities laws </w:t>
      </w:r>
    </w:p>
    <w:p w:rsidR="009E7689" w:rsidRPr="0048203B" w:rsidRDefault="00AA326B">
      <w:pPr>
        <w:keepNext/>
        <w:ind w:left="720" w:firstLine="0"/>
      </w:pPr>
      <w:r w:rsidRPr="0048203B">
        <w:rPr>
          <w:u w:val="single"/>
        </w:rPr>
        <w:t>Readings</w:t>
      </w:r>
      <w:r w:rsidRPr="0048203B">
        <w:t>:</w:t>
      </w:r>
    </w:p>
    <w:p w:rsidR="009E7689" w:rsidRPr="0048203B" w:rsidRDefault="00AA326B" w:rsidP="00A30A3B">
      <w:pPr>
        <w:pStyle w:val="Heading2"/>
      </w:pPr>
      <w:r w:rsidRPr="0048203B">
        <w:t>Bagley &amp; Dauchy, Chapter 7 (pp</w:t>
      </w:r>
      <w:r w:rsidR="00C30487" w:rsidRPr="0048203B">
        <w:t>.</w:t>
      </w:r>
      <w:r w:rsidRPr="0048203B">
        <w:t xml:space="preserve"> 145-157) </w:t>
      </w:r>
    </w:p>
    <w:p w:rsidR="00911058" w:rsidRPr="0048203B" w:rsidRDefault="00911058" w:rsidP="00911058">
      <w:pPr>
        <w:pStyle w:val="Heading2"/>
      </w:pPr>
      <w:r w:rsidRPr="0048203B">
        <w:t>P. Delevett, “’A-Round Crunch’ Worries Silicon Valley Startups Looking for Funding to Grow Beyond Seed Stage,” S.J. Mercury News (January 2013)</w:t>
      </w:r>
    </w:p>
    <w:p w:rsidR="00B77D5E" w:rsidRPr="0048203B" w:rsidRDefault="00B77D5E" w:rsidP="00E3354A">
      <w:pPr>
        <w:pStyle w:val="Heading2"/>
      </w:pPr>
      <w:r w:rsidRPr="0048203B">
        <w:t>D. Panos, “Cozying Up to Goliath:  The Pros and Cons of Taking on a Strategic Investor,” WSGR Entrepreneurs’’ Report, Summary 2009 (pp. 1, 8-9)</w:t>
      </w:r>
    </w:p>
    <w:p w:rsidR="00E3354A" w:rsidRPr="0048203B" w:rsidRDefault="0068064D" w:rsidP="00E3354A">
      <w:pPr>
        <w:pStyle w:val="Heading2"/>
      </w:pPr>
      <w:r w:rsidRPr="0048203B">
        <w:t>“</w:t>
      </w:r>
      <w:r w:rsidR="00E3354A" w:rsidRPr="0048203B">
        <w:t>Strategic Investors in the Early Stage Company,</w:t>
      </w:r>
      <w:r w:rsidRPr="0048203B">
        <w:t>”</w:t>
      </w:r>
      <w:r w:rsidR="00E3354A" w:rsidRPr="0048203B">
        <w:t xml:space="preserve"> WSGR Memorandum</w:t>
      </w:r>
    </w:p>
    <w:p w:rsidR="009E7689" w:rsidRPr="0048203B" w:rsidRDefault="00E3354A" w:rsidP="00A30A3B">
      <w:pPr>
        <w:pStyle w:val="Heading2"/>
      </w:pPr>
      <w:r w:rsidRPr="0048203B">
        <w:t>Judge, pp. 93-110</w:t>
      </w:r>
    </w:p>
    <w:p w:rsidR="00E3354A" w:rsidRPr="0048203B" w:rsidRDefault="00E3354A" w:rsidP="001C5297">
      <w:pPr>
        <w:pStyle w:val="Heading2"/>
      </w:pPr>
      <w:r w:rsidRPr="0048203B">
        <w:t>Bagley &amp; Dauchy, Chapter 13 (pp. 458-515)</w:t>
      </w:r>
    </w:p>
    <w:p w:rsidR="009E7689" w:rsidRPr="0048203B" w:rsidRDefault="00AA326B" w:rsidP="00A30A3B">
      <w:pPr>
        <w:pStyle w:val="Heading2"/>
      </w:pPr>
      <w:r w:rsidRPr="0048203B">
        <w:t xml:space="preserve">Fried, Chapters 2 </w:t>
      </w:r>
      <w:r w:rsidR="00E3354A" w:rsidRPr="0048203B">
        <w:t xml:space="preserve">(pp. 1-20) </w:t>
      </w:r>
      <w:r w:rsidRPr="0048203B">
        <w:t>and 3</w:t>
      </w:r>
      <w:r w:rsidR="00E3354A" w:rsidRPr="0048203B">
        <w:t xml:space="preserve"> (pp. 1-24)</w:t>
      </w:r>
    </w:p>
    <w:p w:rsidR="009E7689" w:rsidRPr="0048203B" w:rsidRDefault="00AA326B" w:rsidP="00A30A3B">
      <w:pPr>
        <w:pStyle w:val="Heading2"/>
      </w:pPr>
      <w:r w:rsidRPr="0048203B">
        <w:t>WSGR Entrepreneurs</w:t>
      </w:r>
      <w:r w:rsidR="0068064D" w:rsidRPr="0048203B">
        <w:t>’</w:t>
      </w:r>
      <w:r w:rsidRPr="0048203B">
        <w:t xml:space="preserve"> Report, Fall 2008 </w:t>
      </w:r>
      <w:r w:rsidR="00B44FB9" w:rsidRPr="0048203B">
        <w:t xml:space="preserve">(pp. 2-4, 8-14) </w:t>
      </w:r>
      <w:r w:rsidRPr="0048203B">
        <w:t>and Q3 2012</w:t>
      </w:r>
      <w:r w:rsidR="00B44FB9" w:rsidRPr="0048203B">
        <w:t xml:space="preserve"> (pp.</w:t>
      </w:r>
      <w:r w:rsidR="00330C4D" w:rsidRPr="0048203B">
        <w:t xml:space="preserve"> </w:t>
      </w:r>
      <w:r w:rsidR="00B44FB9" w:rsidRPr="0048203B">
        <w:t>1-7)</w:t>
      </w:r>
    </w:p>
    <w:p w:rsidR="007E7188" w:rsidRPr="0048203B" w:rsidRDefault="007E7188" w:rsidP="007E7188">
      <w:r w:rsidRPr="0048203B">
        <w:rPr>
          <w:u w:val="single"/>
        </w:rPr>
        <w:t>Exhibits</w:t>
      </w:r>
      <w:r w:rsidRPr="0048203B">
        <w:t>:</w:t>
      </w:r>
    </w:p>
    <w:p w:rsidR="007E7188" w:rsidRDefault="009C391D" w:rsidP="001C5297">
      <w:pPr>
        <w:pStyle w:val="ListParagraph"/>
        <w:ind w:firstLine="0"/>
      </w:pPr>
      <w:r>
        <w:t>Forms of b</w:t>
      </w:r>
      <w:r w:rsidR="007E7188" w:rsidRPr="0048203B">
        <w:t>asic venture financing documents</w:t>
      </w:r>
      <w:r w:rsidR="00B77D5E" w:rsidRPr="0048203B">
        <w:t>:</w:t>
      </w:r>
    </w:p>
    <w:p w:rsidR="009C391D" w:rsidRPr="0048203B" w:rsidRDefault="009C391D" w:rsidP="001C5297">
      <w:pPr>
        <w:pStyle w:val="ListParagraph"/>
        <w:ind w:firstLine="0"/>
      </w:pPr>
    </w:p>
    <w:p w:rsidR="007E7188" w:rsidRPr="0048203B" w:rsidRDefault="007E7188" w:rsidP="001C5297">
      <w:pPr>
        <w:pStyle w:val="ListParagraph"/>
        <w:numPr>
          <w:ilvl w:val="0"/>
          <w:numId w:val="16"/>
        </w:numPr>
        <w:ind w:left="1440" w:hanging="720"/>
      </w:pPr>
      <w:r w:rsidRPr="0048203B">
        <w:t>Series A Preferred Stock Purchase Agreement</w:t>
      </w:r>
    </w:p>
    <w:p w:rsidR="007E7188" w:rsidRPr="0048203B" w:rsidRDefault="007E7188" w:rsidP="001C5297">
      <w:pPr>
        <w:pStyle w:val="ListParagraph"/>
        <w:numPr>
          <w:ilvl w:val="0"/>
          <w:numId w:val="16"/>
        </w:numPr>
        <w:ind w:left="1440" w:hanging="720"/>
      </w:pPr>
      <w:r w:rsidRPr="0048203B">
        <w:t>Restated Certificate of Incorporation</w:t>
      </w:r>
    </w:p>
    <w:p w:rsidR="007E7188" w:rsidRPr="0048203B" w:rsidRDefault="007E7188" w:rsidP="001C5297">
      <w:pPr>
        <w:pStyle w:val="ListParagraph"/>
        <w:numPr>
          <w:ilvl w:val="0"/>
          <w:numId w:val="16"/>
        </w:numPr>
        <w:ind w:left="1440" w:hanging="720"/>
      </w:pPr>
      <w:r w:rsidRPr="0048203B">
        <w:t>Stockholder Rights Agreement</w:t>
      </w:r>
    </w:p>
    <w:p w:rsidR="007E7188" w:rsidRPr="0048203B" w:rsidRDefault="007E7188" w:rsidP="001C5297">
      <w:pPr>
        <w:pStyle w:val="ListParagraph"/>
        <w:numPr>
          <w:ilvl w:val="0"/>
          <w:numId w:val="16"/>
        </w:numPr>
        <w:ind w:left="1440" w:hanging="720"/>
      </w:pPr>
      <w:r w:rsidRPr="0048203B">
        <w:t>Right of First Refusal and Co-sale Agreement</w:t>
      </w:r>
    </w:p>
    <w:p w:rsidR="007E7188" w:rsidRPr="0048203B" w:rsidRDefault="007E7188" w:rsidP="001C5297">
      <w:pPr>
        <w:pStyle w:val="ListParagraph"/>
        <w:numPr>
          <w:ilvl w:val="0"/>
          <w:numId w:val="16"/>
        </w:numPr>
        <w:ind w:left="1440" w:hanging="720"/>
      </w:pPr>
      <w:r w:rsidRPr="0048203B">
        <w:t>Action by Unanimous Written Consent of Board of Directors</w:t>
      </w:r>
    </w:p>
    <w:p w:rsidR="007E7188" w:rsidRPr="0048203B" w:rsidRDefault="007E7188" w:rsidP="001C5297">
      <w:pPr>
        <w:pStyle w:val="ListParagraph"/>
        <w:numPr>
          <w:ilvl w:val="0"/>
          <w:numId w:val="16"/>
        </w:numPr>
        <w:ind w:left="1440" w:hanging="720"/>
      </w:pPr>
      <w:r w:rsidRPr="0048203B">
        <w:t>Action by Written Consent of Stockholders</w:t>
      </w:r>
    </w:p>
    <w:p w:rsidR="007E7188" w:rsidRPr="0048203B" w:rsidRDefault="007E7188" w:rsidP="001C5297">
      <w:pPr>
        <w:pStyle w:val="ListParagraph"/>
        <w:numPr>
          <w:ilvl w:val="0"/>
          <w:numId w:val="16"/>
        </w:numPr>
        <w:ind w:left="1440" w:hanging="720"/>
      </w:pPr>
      <w:r w:rsidRPr="0048203B">
        <w:t>Notice on Form D</w:t>
      </w:r>
    </w:p>
    <w:p w:rsidR="009E7689" w:rsidRPr="0048203B" w:rsidRDefault="00AA326B" w:rsidP="00A30A3B">
      <w:pPr>
        <w:pStyle w:val="Heading1"/>
        <w:keepNext/>
      </w:pPr>
      <w:r w:rsidRPr="0048203B">
        <w:lastRenderedPageBreak/>
        <w:t>Venture Capital Financing Termsheet Mock Negotiations</w:t>
      </w:r>
    </w:p>
    <w:p w:rsidR="009E7689" w:rsidRPr="0048203B" w:rsidRDefault="00AA326B">
      <w:pPr>
        <w:keepNext/>
        <w:spacing w:before="0"/>
      </w:pPr>
      <w:r w:rsidRPr="0048203B">
        <w:t>(</w:t>
      </w:r>
      <w:r w:rsidR="00A30A3B" w:rsidRPr="0048203B">
        <w:t>February 4</w:t>
      </w:r>
      <w:r w:rsidRPr="0048203B">
        <w:t>,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rPr>
          <w:u w:val="single"/>
        </w:rPr>
        <w:t>S</w:t>
      </w:r>
      <w:r w:rsidRPr="0048203B">
        <w:t xml:space="preserve">elected issues in negotiating venture capital financings; </w:t>
      </w:r>
    </w:p>
    <w:p w:rsidR="009E7689" w:rsidRPr="0048203B" w:rsidRDefault="00AA326B">
      <w:pPr>
        <w:keepNext/>
        <w:ind w:left="720" w:firstLine="0"/>
      </w:pPr>
      <w:r w:rsidRPr="0048203B">
        <w:rPr>
          <w:u w:val="single"/>
        </w:rPr>
        <w:t>Readings</w:t>
      </w:r>
      <w:r w:rsidRPr="0048203B">
        <w:t>:</w:t>
      </w:r>
    </w:p>
    <w:p w:rsidR="00B44FB9" w:rsidRPr="0048203B" w:rsidRDefault="00B44FB9" w:rsidP="00B44FB9">
      <w:pPr>
        <w:pStyle w:val="Heading2"/>
      </w:pPr>
      <w:r w:rsidRPr="0048203B">
        <w:t>Annotated Memorandum of Terms</w:t>
      </w:r>
    </w:p>
    <w:p w:rsidR="009E7689" w:rsidRPr="0048203B" w:rsidRDefault="00AA326B" w:rsidP="00A30A3B">
      <w:pPr>
        <w:pStyle w:val="Heading2"/>
      </w:pPr>
      <w:r w:rsidRPr="0048203B">
        <w:t>Fried, Chapter 4</w:t>
      </w:r>
      <w:r w:rsidR="00B44FB9" w:rsidRPr="0048203B">
        <w:t xml:space="preserve"> </w:t>
      </w:r>
      <w:r w:rsidR="00A60765" w:rsidRPr="0048203B">
        <w:t>(pp. 1-13, 31-40)</w:t>
      </w:r>
    </w:p>
    <w:p w:rsidR="009E7689" w:rsidRPr="0048203B" w:rsidRDefault="00AA326B" w:rsidP="00A30A3B">
      <w:pPr>
        <w:pStyle w:val="Heading1"/>
        <w:keepNext/>
      </w:pPr>
      <w:r w:rsidRPr="0048203B">
        <w:t>Venture Capital Funds</w:t>
      </w:r>
    </w:p>
    <w:p w:rsidR="009E7689" w:rsidRPr="0048203B" w:rsidRDefault="00AA326B">
      <w:pPr>
        <w:keepNext/>
        <w:spacing w:before="0"/>
        <w:rPr>
          <w:b/>
        </w:rPr>
      </w:pPr>
      <w:r w:rsidRPr="0048203B">
        <w:t>(February 11,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Structure and objectives of venture capital funds;</w:t>
      </w:r>
    </w:p>
    <w:p w:rsidR="009E7689" w:rsidRPr="0048203B" w:rsidRDefault="00AA326B" w:rsidP="00F63CC0">
      <w:pPr>
        <w:pStyle w:val="ListParagraph"/>
        <w:numPr>
          <w:ilvl w:val="0"/>
          <w:numId w:val="13"/>
        </w:numPr>
        <w:ind w:hanging="720"/>
      </w:pPr>
      <w:r w:rsidRPr="0048203B">
        <w:t>Current status of the venture capital business</w:t>
      </w:r>
    </w:p>
    <w:p w:rsidR="009E7689" w:rsidRPr="0048203B" w:rsidRDefault="00AA326B" w:rsidP="00F63CC0">
      <w:pPr>
        <w:pStyle w:val="ListParagraph"/>
        <w:numPr>
          <w:ilvl w:val="0"/>
          <w:numId w:val="13"/>
        </w:numPr>
        <w:ind w:hanging="720"/>
      </w:pPr>
      <w:r w:rsidRPr="0048203B">
        <w:t>The role of lawyers in venture financings.</w:t>
      </w:r>
    </w:p>
    <w:p w:rsidR="009E7689" w:rsidRPr="0048203B" w:rsidRDefault="00AA326B">
      <w:pPr>
        <w:ind w:left="720" w:firstLine="0"/>
      </w:pPr>
      <w:r w:rsidRPr="0048203B">
        <w:rPr>
          <w:u w:val="single"/>
        </w:rPr>
        <w:t>Guest Speaker</w:t>
      </w:r>
      <w:r w:rsidRPr="0048203B">
        <w:t>:  Venture Capitalist – Neil Wolff, VantagePoint Capital Partners</w:t>
      </w:r>
    </w:p>
    <w:p w:rsidR="009E7689" w:rsidRPr="0048203B" w:rsidRDefault="00AA326B">
      <w:pPr>
        <w:keepNext/>
        <w:ind w:left="720" w:firstLine="0"/>
      </w:pPr>
      <w:r w:rsidRPr="0048203B">
        <w:rPr>
          <w:u w:val="single"/>
        </w:rPr>
        <w:t>Readings</w:t>
      </w:r>
      <w:r w:rsidRPr="0048203B">
        <w:t>:</w:t>
      </w:r>
    </w:p>
    <w:p w:rsidR="009E7689" w:rsidRPr="0048203B" w:rsidRDefault="00AA326B" w:rsidP="00A30A3B">
      <w:pPr>
        <w:pStyle w:val="Heading2"/>
      </w:pPr>
      <w:r w:rsidRPr="0048203B">
        <w:t>C</w:t>
      </w:r>
      <w:r w:rsidR="0068064D" w:rsidRPr="0048203B">
        <w:t xml:space="preserve">. </w:t>
      </w:r>
      <w:r w:rsidRPr="0048203B">
        <w:t xml:space="preserve">Ferguson, </w:t>
      </w:r>
      <w:r w:rsidRPr="0048203B">
        <w:rPr>
          <w:u w:val="single"/>
        </w:rPr>
        <w:t>High Stakes, No Prisoners</w:t>
      </w:r>
      <w:r w:rsidRPr="0048203B">
        <w:t xml:space="preserve"> </w:t>
      </w:r>
      <w:r w:rsidR="00330C4D" w:rsidRPr="0048203B">
        <w:t xml:space="preserve">(1999) </w:t>
      </w:r>
      <w:r w:rsidRPr="0048203B">
        <w:t xml:space="preserve">171-180 </w:t>
      </w:r>
    </w:p>
    <w:p w:rsidR="009E7689" w:rsidRPr="0048203B" w:rsidRDefault="00AA326B" w:rsidP="00A30A3B">
      <w:pPr>
        <w:pStyle w:val="Heading2"/>
      </w:pPr>
      <w:r w:rsidRPr="0048203B">
        <w:t>W</w:t>
      </w:r>
      <w:r w:rsidR="0068064D" w:rsidRPr="0048203B">
        <w:t>.</w:t>
      </w:r>
      <w:r w:rsidRPr="0048203B">
        <w:t xml:space="preserve"> Draper III, </w:t>
      </w:r>
      <w:r w:rsidRPr="0048203B">
        <w:rPr>
          <w:u w:val="single"/>
        </w:rPr>
        <w:t>How it Works</w:t>
      </w:r>
      <w:r w:rsidRPr="0048203B">
        <w:t xml:space="preserve"> </w:t>
      </w:r>
      <w:r w:rsidR="00330C4D" w:rsidRPr="0048203B">
        <w:t xml:space="preserve">(2011) </w:t>
      </w:r>
      <w:r w:rsidRPr="0048203B">
        <w:t xml:space="preserve">43-76 </w:t>
      </w:r>
    </w:p>
    <w:p w:rsidR="009E7689" w:rsidRPr="0048203B" w:rsidRDefault="00AA326B" w:rsidP="00A30A3B">
      <w:pPr>
        <w:pStyle w:val="Heading2"/>
      </w:pPr>
      <w:r w:rsidRPr="0048203B">
        <w:t>(</w:t>
      </w:r>
      <w:r w:rsidRPr="0048203B">
        <w:rPr>
          <w:b/>
          <w:i/>
        </w:rPr>
        <w:t>Additional materials may be added.</w:t>
      </w:r>
      <w:r w:rsidRPr="0048203B">
        <w:t>)</w:t>
      </w:r>
    </w:p>
    <w:p w:rsidR="009E7689" w:rsidRPr="0048203B" w:rsidRDefault="00AA326B" w:rsidP="00A30A3B">
      <w:pPr>
        <w:pStyle w:val="Heading1"/>
        <w:keepNext/>
      </w:pPr>
      <w:r w:rsidRPr="0048203B">
        <w:t>Stock Options and Equity Compensation</w:t>
      </w:r>
    </w:p>
    <w:p w:rsidR="009E7689" w:rsidRPr="0048203B" w:rsidRDefault="00AA326B">
      <w:pPr>
        <w:keepNext/>
        <w:spacing w:before="0"/>
      </w:pPr>
      <w:r w:rsidRPr="0048203B">
        <w:t>(February 18,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Forms of employee equity arrangements</w:t>
      </w:r>
    </w:p>
    <w:p w:rsidR="009E7689" w:rsidRPr="0048203B" w:rsidRDefault="00AA326B" w:rsidP="00F63CC0">
      <w:pPr>
        <w:pStyle w:val="ListParagraph"/>
        <w:numPr>
          <w:ilvl w:val="0"/>
          <w:numId w:val="13"/>
        </w:numPr>
        <w:ind w:hanging="720"/>
      </w:pPr>
      <w:r w:rsidRPr="0048203B">
        <w:t>Tax matters</w:t>
      </w:r>
    </w:p>
    <w:p w:rsidR="009E7689" w:rsidRPr="0048203B" w:rsidRDefault="00AA326B" w:rsidP="00F63CC0">
      <w:pPr>
        <w:pStyle w:val="ListParagraph"/>
        <w:numPr>
          <w:ilvl w:val="0"/>
          <w:numId w:val="13"/>
        </w:numPr>
        <w:ind w:hanging="720"/>
      </w:pPr>
      <w:r w:rsidRPr="0048203B">
        <w:t>Accounting matters</w:t>
      </w:r>
    </w:p>
    <w:p w:rsidR="009E7689" w:rsidRPr="0048203B" w:rsidRDefault="00AA326B" w:rsidP="00F63CC0">
      <w:pPr>
        <w:pStyle w:val="ListParagraph"/>
        <w:numPr>
          <w:ilvl w:val="0"/>
          <w:numId w:val="13"/>
        </w:numPr>
        <w:ind w:hanging="720"/>
      </w:pPr>
      <w:r w:rsidRPr="0048203B">
        <w:t>Securities law matters</w:t>
      </w:r>
    </w:p>
    <w:p w:rsidR="009E7689" w:rsidRPr="0048203B" w:rsidRDefault="00AA326B">
      <w:pPr>
        <w:ind w:left="720" w:firstLine="0"/>
      </w:pPr>
      <w:r w:rsidRPr="0048203B">
        <w:rPr>
          <w:u w:val="single"/>
        </w:rPr>
        <w:t>Guest Speaker</w:t>
      </w:r>
      <w:r w:rsidRPr="0048203B">
        <w:t>:  Employee Benefits Lawyer – Scott McCall, WSGR</w:t>
      </w:r>
    </w:p>
    <w:p w:rsidR="009E7689" w:rsidRPr="0048203B" w:rsidRDefault="00AA326B">
      <w:pPr>
        <w:keepNext/>
        <w:ind w:left="720" w:firstLine="0"/>
      </w:pPr>
      <w:r w:rsidRPr="0048203B">
        <w:rPr>
          <w:u w:val="single"/>
        </w:rPr>
        <w:t>Readings</w:t>
      </w:r>
      <w:r w:rsidRPr="0048203B">
        <w:t>:</w:t>
      </w:r>
    </w:p>
    <w:p w:rsidR="009E7689" w:rsidRPr="0048203B" w:rsidRDefault="00AA326B" w:rsidP="00A30A3B">
      <w:pPr>
        <w:pStyle w:val="Heading2"/>
      </w:pPr>
      <w:r w:rsidRPr="0048203B">
        <w:t>Equity Compensation Overview, WSGR Memorandum</w:t>
      </w:r>
    </w:p>
    <w:p w:rsidR="009E7689" w:rsidRPr="0048203B" w:rsidRDefault="00AA326B" w:rsidP="00A30A3B">
      <w:pPr>
        <w:pStyle w:val="Heading2"/>
      </w:pPr>
      <w:r w:rsidRPr="0048203B">
        <w:lastRenderedPageBreak/>
        <w:t>IRC Sections</w:t>
      </w:r>
      <w:r w:rsidR="00F1655A" w:rsidRPr="0048203B">
        <w:t xml:space="preserve"> </w:t>
      </w:r>
      <w:r w:rsidRPr="0048203B">
        <w:t>422 and 83</w:t>
      </w:r>
    </w:p>
    <w:p w:rsidR="009E7689" w:rsidRPr="0048203B" w:rsidRDefault="00AA326B" w:rsidP="00A30A3B">
      <w:pPr>
        <w:pStyle w:val="Heading2"/>
        <w:rPr>
          <w:color w:val="000000"/>
        </w:rPr>
      </w:pPr>
      <w:r w:rsidRPr="0048203B">
        <w:t>SEC Rule 701</w:t>
      </w:r>
    </w:p>
    <w:p w:rsidR="009E7689" w:rsidRPr="0048203B" w:rsidRDefault="00AA326B" w:rsidP="00A30A3B">
      <w:pPr>
        <w:pStyle w:val="Heading1"/>
        <w:keepNext/>
      </w:pPr>
      <w:r w:rsidRPr="0048203B">
        <w:t>VCs Behaving Badly?</w:t>
      </w:r>
    </w:p>
    <w:p w:rsidR="009E7689" w:rsidRPr="0048203B" w:rsidRDefault="00AA326B">
      <w:pPr>
        <w:keepNext/>
        <w:spacing w:before="0"/>
      </w:pPr>
      <w:r w:rsidRPr="0048203B">
        <w:t>(February 25,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Board fiduciary duties</w:t>
      </w:r>
    </w:p>
    <w:p w:rsidR="009E7689" w:rsidRPr="0048203B" w:rsidRDefault="00AA326B" w:rsidP="00F63CC0">
      <w:pPr>
        <w:pStyle w:val="ListParagraph"/>
        <w:numPr>
          <w:ilvl w:val="0"/>
          <w:numId w:val="13"/>
        </w:numPr>
        <w:ind w:hanging="720"/>
      </w:pPr>
      <w:r w:rsidRPr="0048203B">
        <w:t>“Down round” financings</w:t>
      </w:r>
    </w:p>
    <w:p w:rsidR="009E7689" w:rsidRPr="0048203B" w:rsidRDefault="00AA326B" w:rsidP="00F63CC0">
      <w:pPr>
        <w:pStyle w:val="ListParagraph"/>
        <w:numPr>
          <w:ilvl w:val="1"/>
          <w:numId w:val="13"/>
        </w:numPr>
        <w:ind w:left="2160"/>
      </w:pPr>
      <w:r w:rsidRPr="0048203B">
        <w:t>Pay-to-plays</w:t>
      </w:r>
    </w:p>
    <w:p w:rsidR="009E7689" w:rsidRPr="0048203B" w:rsidRDefault="00AA326B" w:rsidP="00F63CC0">
      <w:pPr>
        <w:pStyle w:val="ListParagraph"/>
        <w:numPr>
          <w:ilvl w:val="1"/>
          <w:numId w:val="13"/>
        </w:numPr>
        <w:ind w:left="2160"/>
      </w:pPr>
      <w:r w:rsidRPr="0048203B">
        <w:t>Benchmark and Watch</w:t>
      </w:r>
      <w:r w:rsidR="00E37B20" w:rsidRPr="0048203B">
        <w:t>M</w:t>
      </w:r>
      <w:r w:rsidRPr="0048203B">
        <w:t>ark</w:t>
      </w:r>
    </w:p>
    <w:p w:rsidR="009E7689" w:rsidRPr="0048203B" w:rsidRDefault="00AA326B" w:rsidP="00F63CC0">
      <w:pPr>
        <w:pStyle w:val="ListParagraph"/>
        <w:numPr>
          <w:ilvl w:val="0"/>
          <w:numId w:val="13"/>
        </w:numPr>
        <w:ind w:hanging="720"/>
      </w:pPr>
      <w:r w:rsidRPr="0048203B">
        <w:t>Downside exits</w:t>
      </w:r>
    </w:p>
    <w:p w:rsidR="009E7689" w:rsidRPr="0048203B" w:rsidRDefault="00AA326B" w:rsidP="00F63CC0">
      <w:pPr>
        <w:pStyle w:val="ListParagraph"/>
        <w:numPr>
          <w:ilvl w:val="1"/>
          <w:numId w:val="13"/>
        </w:numPr>
        <w:ind w:left="2160"/>
      </w:pPr>
      <w:r w:rsidRPr="0048203B">
        <w:t>Trados</w:t>
      </w:r>
    </w:p>
    <w:p w:rsidR="009E7689" w:rsidRPr="0048203B" w:rsidRDefault="00AA326B">
      <w:pPr>
        <w:keepNext/>
        <w:ind w:left="720" w:firstLine="0"/>
      </w:pPr>
      <w:r w:rsidRPr="0048203B">
        <w:rPr>
          <w:u w:val="single"/>
        </w:rPr>
        <w:t>Readings</w:t>
      </w:r>
      <w:r w:rsidRPr="0048203B">
        <w:t>:</w:t>
      </w:r>
    </w:p>
    <w:p w:rsidR="00C93FB1" w:rsidRPr="0048203B" w:rsidRDefault="0068064D" w:rsidP="00A30A3B">
      <w:pPr>
        <w:pStyle w:val="Heading2"/>
      </w:pPr>
      <w:r w:rsidRPr="0048203B">
        <w:t>“</w:t>
      </w:r>
      <w:r w:rsidR="00C93FB1" w:rsidRPr="0048203B">
        <w:t>Fiduciary Duties of the Board of Directors,</w:t>
      </w:r>
      <w:r w:rsidRPr="0048203B">
        <w:t>”</w:t>
      </w:r>
      <w:r w:rsidR="00C93FB1" w:rsidRPr="0048203B">
        <w:t xml:space="preserve"> Practical Law </w:t>
      </w:r>
      <w:r w:rsidR="002B0047" w:rsidRPr="0048203B">
        <w:t>Company</w:t>
      </w:r>
    </w:p>
    <w:p w:rsidR="009E7689" w:rsidRPr="0048203B" w:rsidRDefault="00AA326B" w:rsidP="00A30A3B">
      <w:pPr>
        <w:pStyle w:val="Heading2"/>
      </w:pPr>
      <w:r w:rsidRPr="0048203B">
        <w:t xml:space="preserve">J. Padilla, </w:t>
      </w:r>
      <w:r w:rsidR="0068064D" w:rsidRPr="0048203B">
        <w:t>“</w:t>
      </w:r>
      <w:r w:rsidRPr="0048203B">
        <w:t>What’s Wrong with a Washout?: Fiduciary Duties of the Venture Capitalist Investor in a Washout Financing,</w:t>
      </w:r>
      <w:r w:rsidR="0068064D" w:rsidRPr="0048203B">
        <w:t>”</w:t>
      </w:r>
      <w:r w:rsidRPr="0048203B">
        <w:t xml:space="preserve"> 1 H</w:t>
      </w:r>
      <w:r w:rsidR="000C2749" w:rsidRPr="0048203B">
        <w:t>ous,</w:t>
      </w:r>
      <w:r w:rsidRPr="0048203B">
        <w:t xml:space="preserve"> B</w:t>
      </w:r>
      <w:r w:rsidR="000C2749" w:rsidRPr="0048203B">
        <w:t>us</w:t>
      </w:r>
      <w:r w:rsidRPr="0048203B">
        <w:t xml:space="preserve"> </w:t>
      </w:r>
      <w:r w:rsidR="000C2749" w:rsidRPr="0048203B">
        <w:t>and</w:t>
      </w:r>
      <w:r w:rsidRPr="0048203B">
        <w:t xml:space="preserve"> T</w:t>
      </w:r>
      <w:r w:rsidR="000C2749" w:rsidRPr="0048203B">
        <w:t>ax</w:t>
      </w:r>
      <w:r w:rsidRPr="0048203B">
        <w:t xml:space="preserve"> L.J. 269</w:t>
      </w:r>
    </w:p>
    <w:p w:rsidR="009E7689" w:rsidRPr="0048203B" w:rsidRDefault="00AA326B" w:rsidP="00A30A3B">
      <w:pPr>
        <w:pStyle w:val="Heading2"/>
      </w:pPr>
      <w:r w:rsidRPr="0048203B">
        <w:t xml:space="preserve">M. Kendall and J. LeClaire, </w:t>
      </w:r>
      <w:r w:rsidR="0068064D" w:rsidRPr="0048203B">
        <w:t>“</w:t>
      </w:r>
      <w:r w:rsidRPr="0048203B">
        <w:t>The Benchmark Case and the Limits of Preferred Stock Protections,</w:t>
      </w:r>
      <w:r w:rsidR="0068064D" w:rsidRPr="0048203B">
        <w:t>”</w:t>
      </w:r>
      <w:r w:rsidRPr="0048203B">
        <w:t xml:space="preserve"> Venture Capital Journal, November 2002 </w:t>
      </w:r>
    </w:p>
    <w:p w:rsidR="009E7689" w:rsidRPr="0048203B" w:rsidRDefault="00AA326B" w:rsidP="00A30A3B">
      <w:pPr>
        <w:pStyle w:val="Heading2"/>
      </w:pPr>
      <w:r w:rsidRPr="0048203B">
        <w:t xml:space="preserve">J. LeClaire, M. Kendall, and K. Taft, </w:t>
      </w:r>
      <w:r w:rsidR="0068064D" w:rsidRPr="0048203B">
        <w:t>“</w:t>
      </w:r>
      <w:r w:rsidRPr="0048203B">
        <w:t>WatchMark Ruling Clarifies Pay-to-Play</w:t>
      </w:r>
      <w:r w:rsidR="0068064D" w:rsidRPr="0048203B">
        <w:t>”</w:t>
      </w:r>
    </w:p>
    <w:p w:rsidR="009E7689" w:rsidRPr="0048203B" w:rsidRDefault="00AA326B" w:rsidP="00A30A3B">
      <w:pPr>
        <w:pStyle w:val="Heading2"/>
      </w:pPr>
      <w:r w:rsidRPr="0048203B">
        <w:t xml:space="preserve">Fried, Chapters 5 </w:t>
      </w:r>
      <w:r w:rsidR="00A60765" w:rsidRPr="0048203B">
        <w:t xml:space="preserve">(pp. 1-21) </w:t>
      </w:r>
      <w:r w:rsidRPr="0048203B">
        <w:t>and 6 (</w:t>
      </w:r>
      <w:r w:rsidR="00A60765" w:rsidRPr="0048203B">
        <w:t xml:space="preserve">pp. 1-38 -- </w:t>
      </w:r>
      <w:r w:rsidRPr="0048203B">
        <w:rPr>
          <w:b/>
          <w:i/>
        </w:rPr>
        <w:t>Focus especially on Trados</w:t>
      </w:r>
      <w:r w:rsidRPr="0048203B">
        <w:t>)</w:t>
      </w:r>
    </w:p>
    <w:p w:rsidR="009E7689" w:rsidRPr="0048203B" w:rsidRDefault="00F1655A" w:rsidP="00A30A3B">
      <w:pPr>
        <w:pStyle w:val="Heading2"/>
      </w:pPr>
      <w:r w:rsidRPr="0048203B">
        <w:rPr>
          <w:i/>
        </w:rPr>
        <w:t>In re Trados Incor</w:t>
      </w:r>
      <w:r w:rsidR="004D5F71" w:rsidRPr="0048203B">
        <w:rPr>
          <w:i/>
        </w:rPr>
        <w:t>porated Shareholder Litigation</w:t>
      </w:r>
      <w:r w:rsidR="004D5F71" w:rsidRPr="0048203B">
        <w:t xml:space="preserve"> </w:t>
      </w:r>
      <w:r w:rsidR="004D5F71" w:rsidRPr="0048203B">
        <w:rPr>
          <w:i/>
        </w:rPr>
        <w:t>(</w:t>
      </w:r>
      <w:r w:rsidRPr="0048203B">
        <w:rPr>
          <w:i/>
        </w:rPr>
        <w:t>Del. Chan. Ct.</w:t>
      </w:r>
      <w:r w:rsidR="004D5F71" w:rsidRPr="0048203B">
        <w:rPr>
          <w:i/>
        </w:rPr>
        <w:t xml:space="preserve">, </w:t>
      </w:r>
      <w:r w:rsidRPr="0048203B">
        <w:rPr>
          <w:i/>
        </w:rPr>
        <w:t>August 16, 2013)</w:t>
      </w:r>
    </w:p>
    <w:p w:rsidR="009E7689" w:rsidRPr="0048203B" w:rsidRDefault="00AA326B" w:rsidP="00A30A3B">
      <w:pPr>
        <w:pStyle w:val="Heading1"/>
        <w:keepNext/>
      </w:pPr>
      <w:r w:rsidRPr="0048203B">
        <w:t xml:space="preserve">The Initial Public Offering </w:t>
      </w:r>
    </w:p>
    <w:p w:rsidR="009E7689" w:rsidRPr="0048203B" w:rsidRDefault="00AA326B">
      <w:pPr>
        <w:keepNext/>
        <w:spacing w:before="0"/>
      </w:pPr>
      <w:r w:rsidRPr="0048203B">
        <w:t>(March 4 and 11,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Reasons for going public and not</w:t>
      </w:r>
    </w:p>
    <w:p w:rsidR="009E7689" w:rsidRPr="0048203B" w:rsidRDefault="00AA326B" w:rsidP="00F63CC0">
      <w:pPr>
        <w:pStyle w:val="ListParagraph"/>
        <w:numPr>
          <w:ilvl w:val="0"/>
          <w:numId w:val="13"/>
        </w:numPr>
        <w:ind w:hanging="720"/>
      </w:pPr>
      <w:r w:rsidRPr="0048203B">
        <w:t>Preparations for going public</w:t>
      </w:r>
    </w:p>
    <w:p w:rsidR="009E7689" w:rsidRPr="0048203B" w:rsidRDefault="00AA326B" w:rsidP="00F63CC0">
      <w:pPr>
        <w:pStyle w:val="ListParagraph"/>
        <w:numPr>
          <w:ilvl w:val="1"/>
          <w:numId w:val="13"/>
        </w:numPr>
        <w:ind w:left="2160"/>
      </w:pPr>
      <w:r w:rsidRPr="0048203B">
        <w:t>Corporate governance</w:t>
      </w:r>
    </w:p>
    <w:p w:rsidR="009E7689" w:rsidRPr="0048203B" w:rsidRDefault="00AA326B" w:rsidP="00F63CC0">
      <w:pPr>
        <w:pStyle w:val="ListParagraph"/>
        <w:numPr>
          <w:ilvl w:val="1"/>
          <w:numId w:val="13"/>
        </w:numPr>
        <w:ind w:left="2160"/>
      </w:pPr>
      <w:r w:rsidRPr="0048203B">
        <w:t>Financial processes</w:t>
      </w:r>
    </w:p>
    <w:p w:rsidR="009E7689" w:rsidRPr="0048203B" w:rsidRDefault="00AA326B" w:rsidP="00F63CC0">
      <w:pPr>
        <w:pStyle w:val="ListParagraph"/>
        <w:numPr>
          <w:ilvl w:val="0"/>
          <w:numId w:val="13"/>
        </w:numPr>
        <w:ind w:hanging="720"/>
      </w:pPr>
      <w:r w:rsidRPr="0048203B">
        <w:t>The IPO process</w:t>
      </w:r>
    </w:p>
    <w:p w:rsidR="009E7689" w:rsidRPr="0048203B" w:rsidRDefault="00AA326B" w:rsidP="00F63CC0">
      <w:pPr>
        <w:pStyle w:val="ListParagraph"/>
        <w:numPr>
          <w:ilvl w:val="1"/>
          <w:numId w:val="13"/>
        </w:numPr>
        <w:ind w:left="2160"/>
      </w:pPr>
      <w:r w:rsidRPr="0048203B">
        <w:t>Timeline and players</w:t>
      </w:r>
    </w:p>
    <w:p w:rsidR="009E7689" w:rsidRPr="0048203B" w:rsidRDefault="00AA326B" w:rsidP="00F63CC0">
      <w:pPr>
        <w:pStyle w:val="ListParagraph"/>
        <w:numPr>
          <w:ilvl w:val="0"/>
          <w:numId w:val="13"/>
        </w:numPr>
        <w:ind w:hanging="720"/>
      </w:pPr>
      <w:r w:rsidRPr="0048203B">
        <w:t>Securities laws – the registration process</w:t>
      </w:r>
    </w:p>
    <w:p w:rsidR="009E7689" w:rsidRPr="0048203B" w:rsidRDefault="00AA326B" w:rsidP="00F63CC0">
      <w:pPr>
        <w:pStyle w:val="ListParagraph"/>
        <w:numPr>
          <w:ilvl w:val="1"/>
          <w:numId w:val="13"/>
        </w:numPr>
        <w:ind w:left="2160"/>
      </w:pPr>
      <w:r w:rsidRPr="0048203B">
        <w:t>Gun-jumping</w:t>
      </w:r>
    </w:p>
    <w:p w:rsidR="009E7689" w:rsidRPr="0048203B" w:rsidRDefault="00AA326B" w:rsidP="00F63CC0">
      <w:pPr>
        <w:pStyle w:val="ListParagraph"/>
        <w:numPr>
          <w:ilvl w:val="0"/>
          <w:numId w:val="13"/>
        </w:numPr>
        <w:ind w:hanging="720"/>
      </w:pPr>
      <w:r w:rsidRPr="0048203B">
        <w:t>Securities laws - liability</w:t>
      </w:r>
    </w:p>
    <w:p w:rsidR="009E7689" w:rsidRPr="0048203B" w:rsidRDefault="00AA326B" w:rsidP="00F63CC0">
      <w:pPr>
        <w:pStyle w:val="ListParagraph"/>
        <w:numPr>
          <w:ilvl w:val="1"/>
          <w:numId w:val="13"/>
        </w:numPr>
        <w:ind w:left="2160"/>
      </w:pPr>
      <w:r w:rsidRPr="0048203B">
        <w:t>Due diligence</w:t>
      </w:r>
    </w:p>
    <w:p w:rsidR="009E7689" w:rsidRPr="0048203B" w:rsidRDefault="00AA326B" w:rsidP="00F63CC0">
      <w:pPr>
        <w:pStyle w:val="ListParagraph"/>
        <w:numPr>
          <w:ilvl w:val="0"/>
          <w:numId w:val="13"/>
        </w:numPr>
        <w:ind w:hanging="720"/>
      </w:pPr>
      <w:r w:rsidRPr="0048203B">
        <w:lastRenderedPageBreak/>
        <w:t>The Registration Statement</w:t>
      </w:r>
    </w:p>
    <w:p w:rsidR="009E7689" w:rsidRPr="0048203B" w:rsidRDefault="00AA326B" w:rsidP="00F63CC0">
      <w:pPr>
        <w:pStyle w:val="ListParagraph"/>
        <w:numPr>
          <w:ilvl w:val="1"/>
          <w:numId w:val="13"/>
        </w:numPr>
        <w:ind w:left="2160"/>
      </w:pPr>
      <w:r w:rsidRPr="0048203B">
        <w:t>Business</w:t>
      </w:r>
    </w:p>
    <w:p w:rsidR="009E7689" w:rsidRPr="0048203B" w:rsidRDefault="00AA326B" w:rsidP="00F63CC0">
      <w:pPr>
        <w:pStyle w:val="ListParagraph"/>
        <w:numPr>
          <w:ilvl w:val="1"/>
          <w:numId w:val="13"/>
        </w:numPr>
        <w:ind w:left="2160"/>
      </w:pPr>
      <w:r w:rsidRPr="0048203B">
        <w:t xml:space="preserve">MD&amp;A </w:t>
      </w:r>
    </w:p>
    <w:p w:rsidR="009E7689" w:rsidRPr="0048203B" w:rsidRDefault="00AA326B" w:rsidP="00F63CC0">
      <w:pPr>
        <w:pStyle w:val="ListParagraph"/>
        <w:numPr>
          <w:ilvl w:val="1"/>
          <w:numId w:val="13"/>
        </w:numPr>
        <w:ind w:left="2160"/>
      </w:pPr>
      <w:r w:rsidRPr="0048203B">
        <w:t>Risk Factors</w:t>
      </w:r>
    </w:p>
    <w:p w:rsidR="009E7689" w:rsidRPr="0048203B" w:rsidRDefault="00AA326B" w:rsidP="00F63CC0">
      <w:pPr>
        <w:pStyle w:val="ListParagraph"/>
        <w:numPr>
          <w:ilvl w:val="1"/>
          <w:numId w:val="13"/>
        </w:numPr>
        <w:ind w:left="2160"/>
      </w:pPr>
      <w:r w:rsidRPr="0048203B">
        <w:t>The “Back Half”</w:t>
      </w:r>
    </w:p>
    <w:p w:rsidR="009E7689" w:rsidRPr="0048203B" w:rsidRDefault="00AA326B">
      <w:pPr>
        <w:keepNext/>
        <w:ind w:left="720" w:firstLine="0"/>
      </w:pPr>
      <w:r w:rsidRPr="0048203B">
        <w:rPr>
          <w:u w:val="single"/>
        </w:rPr>
        <w:t>Readings</w:t>
      </w:r>
      <w:r w:rsidRPr="0048203B">
        <w:t>:</w:t>
      </w:r>
    </w:p>
    <w:p w:rsidR="009E7689" w:rsidRPr="0048203B" w:rsidRDefault="00AA326B" w:rsidP="00A30A3B">
      <w:pPr>
        <w:pStyle w:val="Heading2"/>
      </w:pPr>
      <w:r w:rsidRPr="0048203B">
        <w:t xml:space="preserve">S. Bochner et al., </w:t>
      </w:r>
      <w:r w:rsidRPr="0048203B">
        <w:rPr>
          <w:u w:val="single"/>
        </w:rPr>
        <w:t>Guide to the Initial Public Offering</w:t>
      </w:r>
      <w:r w:rsidRPr="0048203B">
        <w:t xml:space="preserve">, 7th Edition (2010) </w:t>
      </w:r>
      <w:r w:rsidRPr="0048203B">
        <w:rPr>
          <w:color w:val="000000"/>
        </w:rPr>
        <w:t>(</w:t>
      </w:r>
      <w:r w:rsidR="00E37B20" w:rsidRPr="0048203B">
        <w:rPr>
          <w:color w:val="000000"/>
        </w:rPr>
        <w:t>pp.</w:t>
      </w:r>
      <w:r w:rsidRPr="0048203B">
        <w:rPr>
          <w:color w:val="000000"/>
        </w:rPr>
        <w:t xml:space="preserve"> 1-</w:t>
      </w:r>
      <w:r w:rsidR="00073795" w:rsidRPr="0048203B">
        <w:rPr>
          <w:color w:val="000000"/>
        </w:rPr>
        <w:t>51</w:t>
      </w:r>
      <w:r w:rsidRPr="0048203B">
        <w:rPr>
          <w:color w:val="000000"/>
        </w:rPr>
        <w:t>)</w:t>
      </w:r>
    </w:p>
    <w:p w:rsidR="009E7689" w:rsidRPr="0048203B" w:rsidRDefault="00AA326B" w:rsidP="00A30A3B">
      <w:pPr>
        <w:pStyle w:val="Heading2"/>
      </w:pPr>
      <w:r w:rsidRPr="0048203B">
        <w:rPr>
          <w:u w:val="single"/>
        </w:rPr>
        <w:t>The Initial Public Offering, A Guidebook for Executives and Boards of Directors,</w:t>
      </w:r>
      <w:r w:rsidRPr="0048203B">
        <w:t xml:space="preserve"> 3</w:t>
      </w:r>
      <w:r w:rsidRPr="0048203B">
        <w:rPr>
          <w:vertAlign w:val="superscript"/>
        </w:rPr>
        <w:t>rd</w:t>
      </w:r>
      <w:r w:rsidRPr="0048203B">
        <w:t xml:space="preserve"> Edition (2008), Chapter 7</w:t>
      </w:r>
      <w:r w:rsidR="00073795" w:rsidRPr="0048203B">
        <w:t xml:space="preserve"> (pp. 109-131)</w:t>
      </w:r>
    </w:p>
    <w:p w:rsidR="009E7689" w:rsidRPr="0048203B" w:rsidRDefault="00AA326B" w:rsidP="00A30A3B">
      <w:pPr>
        <w:pStyle w:val="Heading2"/>
      </w:pPr>
      <w:r w:rsidRPr="0048203B">
        <w:t xml:space="preserve">G. Brown, </w:t>
      </w:r>
      <w:r w:rsidRPr="0048203B">
        <w:rPr>
          <w:u w:val="single"/>
        </w:rPr>
        <w:t>Soderquist on the Securities Laws,</w:t>
      </w:r>
      <w:r w:rsidRPr="0048203B">
        <w:t xml:space="preserve"> 5</w:t>
      </w:r>
      <w:r w:rsidRPr="0048203B">
        <w:rPr>
          <w:vertAlign w:val="superscript"/>
        </w:rPr>
        <w:t>th</w:t>
      </w:r>
      <w:r w:rsidRPr="0048203B">
        <w:t xml:space="preserve"> Ed., Chapter 1</w:t>
      </w:r>
    </w:p>
    <w:p w:rsidR="009E7689" w:rsidRPr="0048203B" w:rsidRDefault="0068064D" w:rsidP="00A30A3B">
      <w:pPr>
        <w:pStyle w:val="Heading2"/>
      </w:pPr>
      <w:r w:rsidRPr="0048203B">
        <w:t>“</w:t>
      </w:r>
      <w:r w:rsidR="00AA326B" w:rsidRPr="0048203B">
        <w:t>SEC Adopts Broad Securities Offering Reforms,</w:t>
      </w:r>
      <w:r w:rsidRPr="0048203B">
        <w:t>”</w:t>
      </w:r>
      <w:r w:rsidR="00AA326B" w:rsidRPr="0048203B">
        <w:t xml:space="preserve"> WSGR Memorandum</w:t>
      </w:r>
    </w:p>
    <w:p w:rsidR="009E7689" w:rsidRPr="0048203B" w:rsidRDefault="0068064D" w:rsidP="00A30A3B">
      <w:pPr>
        <w:pStyle w:val="Heading2"/>
      </w:pPr>
      <w:r w:rsidRPr="0048203B">
        <w:t>“</w:t>
      </w:r>
      <w:r w:rsidR="00AA326B" w:rsidRPr="0048203B">
        <w:t>SEC Guidance re Corporate Websites,</w:t>
      </w:r>
      <w:r w:rsidRPr="0048203B">
        <w:t>”</w:t>
      </w:r>
      <w:r w:rsidR="00AA326B" w:rsidRPr="0048203B">
        <w:t xml:space="preserve"> WSGR Memorandum</w:t>
      </w:r>
    </w:p>
    <w:p w:rsidR="009E7689" w:rsidRPr="0048203B" w:rsidRDefault="00AA326B" w:rsidP="00A30A3B">
      <w:pPr>
        <w:pStyle w:val="Heading2"/>
      </w:pPr>
      <w:r w:rsidRPr="0048203B">
        <w:t xml:space="preserve">Dickens, </w:t>
      </w:r>
      <w:r w:rsidRPr="0048203B">
        <w:rPr>
          <w:i/>
        </w:rPr>
        <w:t>et al</w:t>
      </w:r>
      <w:r w:rsidRPr="0048203B">
        <w:t xml:space="preserve">., </w:t>
      </w:r>
      <w:r w:rsidR="0068064D" w:rsidRPr="0048203B">
        <w:t>“</w:t>
      </w:r>
      <w:r w:rsidRPr="0048203B">
        <w:t>Underwriter Due Diligence: Worldcom &amp; Beyond,</w:t>
      </w:r>
      <w:r w:rsidR="0068064D" w:rsidRPr="0048203B">
        <w:t>”</w:t>
      </w:r>
      <w:r w:rsidRPr="0048203B">
        <w:t xml:space="preserve"> INSIGHTS, Volume 19, Number 4, April 2005</w:t>
      </w:r>
    </w:p>
    <w:p w:rsidR="009E7689" w:rsidRPr="0048203B" w:rsidRDefault="00F1655A" w:rsidP="00A30A3B">
      <w:pPr>
        <w:pStyle w:val="Heading2"/>
      </w:pPr>
      <w:r w:rsidRPr="0048203B">
        <w:rPr>
          <w:i/>
        </w:rPr>
        <w:t>Escott v. BarChris Construction Corp</w:t>
      </w:r>
      <w:r w:rsidRPr="0048203B">
        <w:t xml:space="preserve">., 283 F. Supp. 643 (S.D.N.Y </w:t>
      </w:r>
      <w:r w:rsidR="004D5F71" w:rsidRPr="0048203B">
        <w:t>1968)</w:t>
      </w:r>
    </w:p>
    <w:p w:rsidR="0000579F" w:rsidRPr="0048203B" w:rsidRDefault="0000579F" w:rsidP="0000579F">
      <w:pPr>
        <w:pStyle w:val="Heading2"/>
      </w:pPr>
      <w:r w:rsidRPr="0048203B">
        <w:t>SEC Form S-1 and Regulation S-K, Items 101, 303, 401, 404, 501-512 and  601(</w:t>
      </w:r>
      <w:r w:rsidRPr="0048203B">
        <w:rPr>
          <w:b/>
          <w:i/>
        </w:rPr>
        <w:t>Skim all).</w:t>
      </w:r>
    </w:p>
    <w:p w:rsidR="000C2749" w:rsidRPr="0048203B" w:rsidRDefault="000C2749" w:rsidP="000C2749">
      <w:pPr>
        <w:rPr>
          <w:u w:val="single"/>
        </w:rPr>
      </w:pPr>
      <w:r w:rsidRPr="0048203B">
        <w:rPr>
          <w:u w:val="single"/>
        </w:rPr>
        <w:t>Exhibit</w:t>
      </w:r>
    </w:p>
    <w:p w:rsidR="000C2749" w:rsidRPr="0048203B" w:rsidRDefault="000C2749" w:rsidP="000C2749">
      <w:r w:rsidRPr="0048203B">
        <w:t>Sample IPO Registration Statement</w:t>
      </w:r>
    </w:p>
    <w:p w:rsidR="009E7689" w:rsidRPr="0048203B" w:rsidRDefault="00AA326B" w:rsidP="00A30A3B">
      <w:pPr>
        <w:pStyle w:val="Heading1"/>
        <w:keepNext/>
      </w:pPr>
      <w:r w:rsidRPr="0048203B">
        <w:t>The Initial Public Offering -- The Underwriters’ Perspective</w:t>
      </w:r>
    </w:p>
    <w:p w:rsidR="009E7689" w:rsidRPr="0048203B" w:rsidRDefault="00AA326B">
      <w:pPr>
        <w:keepNext/>
        <w:spacing w:before="0"/>
      </w:pPr>
      <w:r w:rsidRPr="0048203B">
        <w:t>(March 18,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The IPO from the Investment Banker’s perspective</w:t>
      </w:r>
    </w:p>
    <w:p w:rsidR="009E7689" w:rsidRPr="0048203B" w:rsidRDefault="00AA326B" w:rsidP="00F63CC0">
      <w:pPr>
        <w:pStyle w:val="ListParagraph"/>
        <w:numPr>
          <w:ilvl w:val="0"/>
          <w:numId w:val="13"/>
        </w:numPr>
        <w:ind w:hanging="720"/>
      </w:pPr>
      <w:r w:rsidRPr="0048203B">
        <w:t>The role of the underwriters.</w:t>
      </w:r>
    </w:p>
    <w:p w:rsidR="009E7689" w:rsidRPr="0048203B" w:rsidRDefault="00AA326B">
      <w:pPr>
        <w:ind w:left="720" w:firstLine="0"/>
      </w:pPr>
      <w:r w:rsidRPr="0048203B">
        <w:rPr>
          <w:u w:val="single"/>
        </w:rPr>
        <w:t>Guest Speaker</w:t>
      </w:r>
      <w:r w:rsidRPr="0048203B">
        <w:t xml:space="preserve">:  Investment Banker – </w:t>
      </w:r>
      <w:r w:rsidR="000C2749" w:rsidRPr="0048203B">
        <w:t>TBD</w:t>
      </w:r>
    </w:p>
    <w:p w:rsidR="009E7689" w:rsidRPr="0048203B" w:rsidRDefault="007D6891">
      <w:pPr>
        <w:keepNext/>
        <w:ind w:left="720" w:firstLine="0"/>
      </w:pPr>
      <w:r w:rsidRPr="0048203B">
        <w:rPr>
          <w:u w:val="single"/>
        </w:rPr>
        <w:t>Exhibit</w:t>
      </w:r>
      <w:r w:rsidR="00AA326B" w:rsidRPr="0048203B">
        <w:t>:</w:t>
      </w:r>
    </w:p>
    <w:p w:rsidR="009E7689" w:rsidRPr="0048203B" w:rsidRDefault="00AA326B" w:rsidP="007D6891">
      <w:pPr>
        <w:pStyle w:val="Heading2"/>
        <w:numPr>
          <w:ilvl w:val="0"/>
          <w:numId w:val="0"/>
        </w:numPr>
        <w:ind w:left="720"/>
      </w:pPr>
      <w:r w:rsidRPr="0048203B">
        <w:t>Sample IPO Prospectus</w:t>
      </w:r>
      <w:r w:rsidR="007D6891" w:rsidRPr="0048203B">
        <w:t xml:space="preserve"> </w:t>
      </w:r>
    </w:p>
    <w:p w:rsidR="009E7689" w:rsidRPr="0048203B" w:rsidRDefault="009E7689">
      <w:pPr>
        <w:spacing w:before="120"/>
        <w:ind w:left="1440" w:hanging="720"/>
        <w:rPr>
          <w:b/>
          <w:bCs/>
          <w:sz w:val="22"/>
          <w:szCs w:val="22"/>
          <w:highlight w:val="yellow"/>
        </w:rPr>
      </w:pPr>
    </w:p>
    <w:p w:rsidR="009E7689" w:rsidRPr="0048203B" w:rsidRDefault="00AA326B">
      <w:pPr>
        <w:spacing w:before="120"/>
        <w:ind w:left="1440" w:hanging="720"/>
        <w:rPr>
          <w:b/>
          <w:bCs/>
          <w:sz w:val="22"/>
          <w:szCs w:val="22"/>
        </w:rPr>
      </w:pPr>
      <w:r w:rsidRPr="0048203B">
        <w:rPr>
          <w:b/>
          <w:bCs/>
          <w:sz w:val="22"/>
          <w:szCs w:val="22"/>
        </w:rPr>
        <w:t>SPRING RECESS: March 2</w:t>
      </w:r>
      <w:r w:rsidR="000C2749" w:rsidRPr="0048203B">
        <w:rPr>
          <w:b/>
          <w:bCs/>
          <w:sz w:val="22"/>
          <w:szCs w:val="22"/>
        </w:rPr>
        <w:t>4</w:t>
      </w:r>
      <w:r w:rsidRPr="0048203B">
        <w:rPr>
          <w:b/>
          <w:bCs/>
          <w:sz w:val="22"/>
          <w:szCs w:val="22"/>
        </w:rPr>
        <w:t>-</w:t>
      </w:r>
      <w:r w:rsidR="000C2749" w:rsidRPr="0048203B">
        <w:rPr>
          <w:b/>
          <w:bCs/>
          <w:sz w:val="22"/>
          <w:szCs w:val="22"/>
        </w:rPr>
        <w:t>28</w:t>
      </w:r>
      <w:r w:rsidRPr="0048203B">
        <w:rPr>
          <w:b/>
          <w:bCs/>
          <w:sz w:val="22"/>
          <w:szCs w:val="22"/>
        </w:rPr>
        <w:t>, 2014</w:t>
      </w:r>
    </w:p>
    <w:p w:rsidR="009E7689" w:rsidRPr="0048203B" w:rsidRDefault="00AA326B" w:rsidP="00A30A3B">
      <w:pPr>
        <w:pStyle w:val="Heading1"/>
        <w:keepNext/>
      </w:pPr>
      <w:r w:rsidRPr="0048203B">
        <w:lastRenderedPageBreak/>
        <w:t>After the Initial Public Offering</w:t>
      </w:r>
    </w:p>
    <w:p w:rsidR="009E7689" w:rsidRPr="0048203B" w:rsidRDefault="00AA326B">
      <w:pPr>
        <w:keepNext/>
        <w:spacing w:before="0"/>
      </w:pPr>
      <w:r w:rsidRPr="0048203B">
        <w:t>(April 1 and 8, 2014)</w:t>
      </w:r>
    </w:p>
    <w:p w:rsidR="009E7689" w:rsidRPr="0048203B" w:rsidRDefault="00AA326B">
      <w:pPr>
        <w:ind w:left="720" w:firstLine="0"/>
      </w:pPr>
      <w:r w:rsidRPr="0048203B">
        <w:rPr>
          <w:u w:val="single"/>
        </w:rPr>
        <w:t>Topics Include</w:t>
      </w:r>
      <w:r w:rsidRPr="0048203B">
        <w:t xml:space="preserve">: </w:t>
      </w:r>
    </w:p>
    <w:p w:rsidR="009E7689" w:rsidRPr="0048203B" w:rsidRDefault="00AA326B" w:rsidP="00F63CC0">
      <w:pPr>
        <w:pStyle w:val="ListParagraph"/>
        <w:numPr>
          <w:ilvl w:val="0"/>
          <w:numId w:val="13"/>
        </w:numPr>
        <w:ind w:hanging="720"/>
      </w:pPr>
      <w:r w:rsidRPr="0048203B">
        <w:t xml:space="preserve">Public company reporting and disclosure obligations; </w:t>
      </w:r>
    </w:p>
    <w:p w:rsidR="009E7689" w:rsidRPr="0048203B" w:rsidRDefault="00AA326B" w:rsidP="00F63CC0">
      <w:pPr>
        <w:pStyle w:val="ListParagraph"/>
        <w:numPr>
          <w:ilvl w:val="1"/>
          <w:numId w:val="13"/>
        </w:numPr>
        <w:ind w:left="2160"/>
      </w:pPr>
      <w:r w:rsidRPr="0048203B">
        <w:t xml:space="preserve">Materiality and the duty to disclose; </w:t>
      </w:r>
    </w:p>
    <w:p w:rsidR="009E7689" w:rsidRPr="0048203B" w:rsidRDefault="00AA326B" w:rsidP="00F63CC0">
      <w:pPr>
        <w:pStyle w:val="ListParagraph"/>
        <w:numPr>
          <w:ilvl w:val="1"/>
          <w:numId w:val="13"/>
        </w:numPr>
        <w:ind w:left="2160"/>
      </w:pPr>
      <w:r w:rsidRPr="0048203B">
        <w:t xml:space="preserve">Form 8-K and “real-time” disclosure requirements; </w:t>
      </w:r>
    </w:p>
    <w:p w:rsidR="009E7689" w:rsidRPr="0048203B" w:rsidRDefault="00AA326B" w:rsidP="00F63CC0">
      <w:pPr>
        <w:pStyle w:val="ListParagraph"/>
        <w:numPr>
          <w:ilvl w:val="1"/>
          <w:numId w:val="13"/>
        </w:numPr>
        <w:ind w:left="2160"/>
      </w:pPr>
      <w:r w:rsidRPr="0048203B">
        <w:t>The role of securities analysts and Regulation FD.</w:t>
      </w:r>
    </w:p>
    <w:p w:rsidR="009E7689" w:rsidRPr="0048203B" w:rsidRDefault="00AA326B" w:rsidP="00F63CC0">
      <w:pPr>
        <w:pStyle w:val="ListParagraph"/>
        <w:numPr>
          <w:ilvl w:val="0"/>
          <w:numId w:val="13"/>
        </w:numPr>
        <w:ind w:hanging="720"/>
      </w:pPr>
      <w:r w:rsidRPr="0048203B">
        <w:t>Corporate governance</w:t>
      </w:r>
    </w:p>
    <w:p w:rsidR="009E7689" w:rsidRPr="0048203B" w:rsidRDefault="00AA326B" w:rsidP="00F63CC0">
      <w:pPr>
        <w:pStyle w:val="ListParagraph"/>
        <w:numPr>
          <w:ilvl w:val="1"/>
          <w:numId w:val="13"/>
        </w:numPr>
        <w:ind w:left="2160"/>
      </w:pPr>
      <w:r w:rsidRPr="0048203B">
        <w:t>Sarbanes-Oxley and corporate governance reform;</w:t>
      </w:r>
    </w:p>
    <w:p w:rsidR="009E7689" w:rsidRPr="0048203B" w:rsidRDefault="00AA326B" w:rsidP="00F63CC0">
      <w:pPr>
        <w:pStyle w:val="ListParagraph"/>
        <w:numPr>
          <w:ilvl w:val="1"/>
          <w:numId w:val="13"/>
        </w:numPr>
        <w:ind w:left="2160"/>
      </w:pPr>
      <w:r w:rsidRPr="0048203B">
        <w:t>Struggles among boards, management and shareholders</w:t>
      </w:r>
    </w:p>
    <w:p w:rsidR="009E7689" w:rsidRPr="0048203B" w:rsidRDefault="00AA326B" w:rsidP="00F63CC0">
      <w:pPr>
        <w:pStyle w:val="ListParagraph"/>
        <w:numPr>
          <w:ilvl w:val="0"/>
          <w:numId w:val="13"/>
        </w:numPr>
        <w:ind w:hanging="720"/>
      </w:pPr>
      <w:r w:rsidRPr="0048203B">
        <w:t>Post-IPO stock trading</w:t>
      </w:r>
    </w:p>
    <w:p w:rsidR="009E7689" w:rsidRPr="0048203B" w:rsidRDefault="00AA326B" w:rsidP="00F63CC0">
      <w:pPr>
        <w:pStyle w:val="ListParagraph"/>
        <w:numPr>
          <w:ilvl w:val="1"/>
          <w:numId w:val="13"/>
        </w:numPr>
        <w:ind w:left="2160"/>
      </w:pPr>
      <w:r w:rsidRPr="0048203B">
        <w:t>Insider trading</w:t>
      </w:r>
    </w:p>
    <w:p w:rsidR="009E7689" w:rsidRPr="0048203B" w:rsidRDefault="00AA326B" w:rsidP="00F63CC0">
      <w:pPr>
        <w:pStyle w:val="ListParagraph"/>
        <w:numPr>
          <w:ilvl w:val="1"/>
          <w:numId w:val="13"/>
        </w:numPr>
        <w:ind w:left="2160"/>
      </w:pPr>
      <w:r w:rsidRPr="0048203B">
        <w:t>Section 16</w:t>
      </w:r>
    </w:p>
    <w:p w:rsidR="009E7689" w:rsidRPr="0048203B" w:rsidRDefault="00AA326B" w:rsidP="00F63CC0">
      <w:pPr>
        <w:pStyle w:val="ListParagraph"/>
        <w:numPr>
          <w:ilvl w:val="1"/>
          <w:numId w:val="13"/>
        </w:numPr>
        <w:ind w:left="2160"/>
      </w:pPr>
      <w:r w:rsidRPr="0048203B">
        <w:t>Rule 144</w:t>
      </w:r>
    </w:p>
    <w:p w:rsidR="009E7689" w:rsidRPr="0048203B" w:rsidRDefault="00AA326B" w:rsidP="00F63CC0">
      <w:pPr>
        <w:pStyle w:val="ListParagraph"/>
        <w:numPr>
          <w:ilvl w:val="0"/>
          <w:numId w:val="13"/>
        </w:numPr>
        <w:ind w:hanging="720"/>
      </w:pPr>
      <w:r w:rsidRPr="0048203B">
        <w:t>The SEC’s 21st Century Disclosure Initiative</w:t>
      </w:r>
    </w:p>
    <w:p w:rsidR="009E7689" w:rsidRPr="0048203B" w:rsidRDefault="00AA326B" w:rsidP="00F63CC0">
      <w:pPr>
        <w:pStyle w:val="ListParagraph"/>
        <w:numPr>
          <w:ilvl w:val="1"/>
          <w:numId w:val="13"/>
        </w:numPr>
        <w:ind w:left="2160"/>
      </w:pPr>
      <w:r w:rsidRPr="0048203B">
        <w:t>Forward-looking statements “safe harbor”</w:t>
      </w:r>
    </w:p>
    <w:p w:rsidR="009E7689" w:rsidRPr="0048203B" w:rsidRDefault="00AA326B" w:rsidP="00F63CC0">
      <w:pPr>
        <w:pStyle w:val="ListParagraph"/>
        <w:numPr>
          <w:ilvl w:val="1"/>
          <w:numId w:val="13"/>
        </w:numPr>
        <w:ind w:left="2160"/>
      </w:pPr>
      <w:r w:rsidRPr="0048203B">
        <w:t>Evolving use of websites and technology</w:t>
      </w:r>
    </w:p>
    <w:p w:rsidR="009E7689" w:rsidRPr="0048203B" w:rsidRDefault="00AA326B">
      <w:pPr>
        <w:keepNext/>
        <w:ind w:left="720" w:firstLine="0"/>
      </w:pPr>
      <w:r w:rsidRPr="0048203B">
        <w:rPr>
          <w:u w:val="single"/>
        </w:rPr>
        <w:t>Readings</w:t>
      </w:r>
      <w:r w:rsidRPr="0048203B">
        <w:t>:</w:t>
      </w:r>
    </w:p>
    <w:p w:rsidR="009E7689" w:rsidRPr="0048203B" w:rsidRDefault="00AA326B" w:rsidP="00A30A3B">
      <w:pPr>
        <w:pStyle w:val="Heading2"/>
      </w:pPr>
      <w:r w:rsidRPr="0048203B">
        <w:t>S. Bochner et al., (pp</w:t>
      </w:r>
      <w:r w:rsidR="000C2749" w:rsidRPr="0048203B">
        <w:t>.</w:t>
      </w:r>
      <w:r w:rsidRPr="0048203B">
        <w:t xml:space="preserve"> 5</w:t>
      </w:r>
      <w:r w:rsidR="00073795" w:rsidRPr="0048203B">
        <w:t>1</w:t>
      </w:r>
      <w:r w:rsidRPr="0048203B">
        <w:t>-71)</w:t>
      </w:r>
    </w:p>
    <w:p w:rsidR="0057138D" w:rsidRPr="0048203B" w:rsidRDefault="0068064D" w:rsidP="0057138D">
      <w:pPr>
        <w:pStyle w:val="Heading2"/>
      </w:pPr>
      <w:r w:rsidRPr="0048203B">
        <w:t>“</w:t>
      </w:r>
      <w:r w:rsidR="0057138D" w:rsidRPr="0048203B">
        <w:t>Corporate Governance and Disclosure Practices of Venture-Backed Companies in U.S. Initial Public Offerings, July 2011 through June 2012</w:t>
      </w:r>
      <w:r w:rsidRPr="0048203B">
        <w:t>,”</w:t>
      </w:r>
      <w:r w:rsidR="0057138D" w:rsidRPr="0048203B">
        <w:t xml:space="preserve"> WSGR Memorandum</w:t>
      </w:r>
    </w:p>
    <w:p w:rsidR="0057138D" w:rsidRPr="0048203B" w:rsidRDefault="0057138D" w:rsidP="0057138D">
      <w:pPr>
        <w:pStyle w:val="Heading2"/>
      </w:pPr>
      <w:r w:rsidRPr="0048203B">
        <w:t>SEC Staff Accounting Bulletin No. 99 – Materiality (17 CFR Part 221)</w:t>
      </w:r>
    </w:p>
    <w:p w:rsidR="00073795" w:rsidRPr="0048203B" w:rsidRDefault="00073795" w:rsidP="00A30A3B">
      <w:pPr>
        <w:pStyle w:val="Heading2"/>
      </w:pPr>
      <w:r w:rsidRPr="0048203B">
        <w:t>S</w:t>
      </w:r>
      <w:r w:rsidR="0068064D" w:rsidRPr="0048203B">
        <w:t>. D</w:t>
      </w:r>
      <w:r w:rsidRPr="0048203B">
        <w:t xml:space="preserve">avidoff, </w:t>
      </w:r>
      <w:r w:rsidR="0068064D" w:rsidRPr="0048203B">
        <w:t>“</w:t>
      </w:r>
      <w:r w:rsidRPr="0048203B">
        <w:t>In Netflix Case, a Chance to Re-examine Old Rules,</w:t>
      </w:r>
      <w:r w:rsidR="0068064D" w:rsidRPr="0048203B">
        <w:t>”</w:t>
      </w:r>
      <w:r w:rsidRPr="0048203B">
        <w:t xml:space="preserve"> NY Times Dealbook (December 11, 2012)</w:t>
      </w:r>
    </w:p>
    <w:p w:rsidR="00073795" w:rsidRPr="0048203B" w:rsidRDefault="0068064D" w:rsidP="00073795">
      <w:pPr>
        <w:pStyle w:val="Heading2"/>
      </w:pPr>
      <w:r w:rsidRPr="0048203B">
        <w:t>“</w:t>
      </w:r>
      <w:r w:rsidR="00073795" w:rsidRPr="0048203B">
        <w:rPr>
          <w:i/>
        </w:rPr>
        <w:t>SEC v. Christopher A Black</w:t>
      </w:r>
      <w:r w:rsidR="00073795" w:rsidRPr="0048203B">
        <w:t>: New Regulation FD Case Shows Importance of Company Compliance Programs,</w:t>
      </w:r>
      <w:r w:rsidRPr="0048203B">
        <w:t>”</w:t>
      </w:r>
      <w:r w:rsidR="00073795" w:rsidRPr="0048203B">
        <w:t xml:space="preserve"> WSGR Memorandum</w:t>
      </w:r>
    </w:p>
    <w:p w:rsidR="00073795" w:rsidRPr="0048203B" w:rsidRDefault="0068064D" w:rsidP="00073795">
      <w:pPr>
        <w:pStyle w:val="Heading2"/>
      </w:pPr>
      <w:r w:rsidRPr="0048203B">
        <w:t>“</w:t>
      </w:r>
      <w:r w:rsidR="00073795" w:rsidRPr="0048203B">
        <w:t>Enforcement Action Shows SEC Will Not Tolerate Attempts to Circumvent Regulation FD,</w:t>
      </w:r>
      <w:r w:rsidRPr="0048203B">
        <w:t>”</w:t>
      </w:r>
      <w:r w:rsidR="00073795" w:rsidRPr="0048203B">
        <w:t xml:space="preserve"> WSGR Memorandum</w:t>
      </w:r>
    </w:p>
    <w:p w:rsidR="00073795" w:rsidRPr="0048203B" w:rsidRDefault="0068064D" w:rsidP="00073795">
      <w:pPr>
        <w:pStyle w:val="Heading2"/>
      </w:pPr>
      <w:r w:rsidRPr="0048203B">
        <w:rPr>
          <w:szCs w:val="22"/>
        </w:rPr>
        <w:t>“</w:t>
      </w:r>
      <w:r w:rsidR="00073795" w:rsidRPr="0048203B">
        <w:rPr>
          <w:szCs w:val="22"/>
        </w:rPr>
        <w:t xml:space="preserve">SEC </w:t>
      </w:r>
      <w:r w:rsidR="00073795" w:rsidRPr="0048203B">
        <w:t>Brings Enforcement Action against Public Company for Confirming Guidance,</w:t>
      </w:r>
      <w:r w:rsidRPr="0048203B">
        <w:t>”</w:t>
      </w:r>
      <w:r w:rsidR="00073795" w:rsidRPr="0048203B">
        <w:t xml:space="preserve"> WSGR Memorandum</w:t>
      </w:r>
    </w:p>
    <w:p w:rsidR="009E7689" w:rsidRPr="0048203B" w:rsidRDefault="0068064D" w:rsidP="00A30A3B">
      <w:pPr>
        <w:pStyle w:val="Heading2"/>
        <w:rPr>
          <w:szCs w:val="22"/>
        </w:rPr>
      </w:pPr>
      <w:r w:rsidRPr="0048203B">
        <w:t>“</w:t>
      </w:r>
      <w:r w:rsidR="00AA326B" w:rsidRPr="0048203B">
        <w:t>SEC Liberalizes Rules Regarding Resales of Securities: Amended Rule 144 and Regulation S</w:t>
      </w:r>
      <w:r w:rsidR="00AA326B" w:rsidRPr="0048203B">
        <w:rPr>
          <w:szCs w:val="22"/>
        </w:rPr>
        <w:t>,</w:t>
      </w:r>
      <w:r w:rsidRPr="0048203B">
        <w:rPr>
          <w:szCs w:val="22"/>
        </w:rPr>
        <w:t>”</w:t>
      </w:r>
      <w:r w:rsidR="00AA326B" w:rsidRPr="0048203B">
        <w:rPr>
          <w:szCs w:val="22"/>
        </w:rPr>
        <w:t xml:space="preserve"> WSGR Memorandum</w:t>
      </w:r>
    </w:p>
    <w:p w:rsidR="009E7689" w:rsidRPr="0048203B" w:rsidRDefault="00AA326B" w:rsidP="00A30A3B">
      <w:pPr>
        <w:pStyle w:val="Heading2"/>
        <w:rPr>
          <w:lang w:val="nl-NL"/>
        </w:rPr>
      </w:pPr>
      <w:r w:rsidRPr="0048203B">
        <w:rPr>
          <w:i/>
          <w:iCs/>
          <w:lang w:val="nl-NL"/>
        </w:rPr>
        <w:t>Smith v. Van Gorkom</w:t>
      </w:r>
      <w:r w:rsidRPr="0048203B">
        <w:rPr>
          <w:lang w:val="nl-NL"/>
        </w:rPr>
        <w:t>, Del.Supr., 488 A.2d 858 (1985)</w:t>
      </w:r>
    </w:p>
    <w:p w:rsidR="009E7689" w:rsidRPr="0048203B" w:rsidRDefault="00AA326B" w:rsidP="00A30A3B">
      <w:pPr>
        <w:pStyle w:val="Heading2"/>
      </w:pPr>
      <w:r w:rsidRPr="0048203B">
        <w:t>Sections 309 and 310 of the California Corporations Code</w:t>
      </w:r>
    </w:p>
    <w:p w:rsidR="009E7689" w:rsidRPr="0048203B" w:rsidRDefault="0068064D" w:rsidP="00A30A3B">
      <w:pPr>
        <w:pStyle w:val="Heading2"/>
      </w:pPr>
      <w:r w:rsidRPr="0048203B">
        <w:lastRenderedPageBreak/>
        <w:t>“</w:t>
      </w:r>
      <w:r w:rsidR="00AA326B" w:rsidRPr="0048203B">
        <w:t>Critical Issues for Board of Directors: A Perspective from Wilson Sonsini Goodrich &amp; Rosati,</w:t>
      </w:r>
      <w:r w:rsidRPr="0048203B">
        <w:t>”</w:t>
      </w:r>
      <w:r w:rsidR="00AA326B" w:rsidRPr="0048203B">
        <w:t xml:space="preserve"> WSGR Memorandum</w:t>
      </w:r>
    </w:p>
    <w:p w:rsidR="009E7689" w:rsidRPr="0048203B" w:rsidRDefault="0068064D" w:rsidP="00A30A3B">
      <w:pPr>
        <w:pStyle w:val="Heading2"/>
      </w:pPr>
      <w:r w:rsidRPr="0048203B">
        <w:t>“</w:t>
      </w:r>
      <w:r w:rsidR="00AA326B" w:rsidRPr="0048203B">
        <w:t>SEC Adopts Final Rules for Say-On-Pay, Say-When-On-Pay, and Golden Parachute Arrangements,</w:t>
      </w:r>
      <w:r w:rsidRPr="0048203B">
        <w:t>”</w:t>
      </w:r>
      <w:r w:rsidR="00AA326B" w:rsidRPr="0048203B">
        <w:t xml:space="preserve"> WSGR Memorandum</w:t>
      </w:r>
    </w:p>
    <w:p w:rsidR="009E7689" w:rsidRPr="0048203B" w:rsidRDefault="00AA326B" w:rsidP="00A30A3B">
      <w:pPr>
        <w:pStyle w:val="Heading1"/>
        <w:keepNext/>
      </w:pPr>
      <w:r w:rsidRPr="0048203B">
        <w:t>The JOBS Act</w:t>
      </w:r>
    </w:p>
    <w:p w:rsidR="009E7689" w:rsidRPr="0048203B" w:rsidRDefault="00AA326B">
      <w:pPr>
        <w:keepNext/>
        <w:spacing w:before="0"/>
      </w:pPr>
      <w:r w:rsidRPr="0048203B">
        <w:t>(April 15, 2014)</w:t>
      </w:r>
    </w:p>
    <w:p w:rsidR="009E7689" w:rsidRPr="0048203B" w:rsidRDefault="00AA326B">
      <w:r w:rsidRPr="0048203B">
        <w:rPr>
          <w:u w:val="single"/>
        </w:rPr>
        <w:t>Topics Include</w:t>
      </w:r>
      <w:r w:rsidRPr="0048203B">
        <w:t>:</w:t>
      </w:r>
    </w:p>
    <w:p w:rsidR="009E7689" w:rsidRPr="0048203B" w:rsidRDefault="00AA326B" w:rsidP="00F63CC0">
      <w:pPr>
        <w:pStyle w:val="ListParagraph"/>
        <w:numPr>
          <w:ilvl w:val="0"/>
          <w:numId w:val="13"/>
        </w:numPr>
        <w:ind w:hanging="720"/>
      </w:pPr>
      <w:r w:rsidRPr="0048203B">
        <w:t>VC financing implications</w:t>
      </w:r>
    </w:p>
    <w:p w:rsidR="009E7689" w:rsidRPr="0048203B" w:rsidRDefault="00AA326B" w:rsidP="00F63CC0">
      <w:pPr>
        <w:pStyle w:val="ListParagraph"/>
        <w:numPr>
          <w:ilvl w:val="1"/>
          <w:numId w:val="13"/>
        </w:numPr>
        <w:ind w:left="2160"/>
      </w:pPr>
      <w:r w:rsidRPr="0048203B">
        <w:t>General solicitation</w:t>
      </w:r>
    </w:p>
    <w:p w:rsidR="009E7689" w:rsidRPr="0048203B" w:rsidRDefault="00AA326B" w:rsidP="00F63CC0">
      <w:pPr>
        <w:pStyle w:val="ListParagraph"/>
        <w:numPr>
          <w:ilvl w:val="1"/>
          <w:numId w:val="13"/>
        </w:numPr>
        <w:ind w:left="2160"/>
      </w:pPr>
      <w:r w:rsidRPr="0048203B">
        <w:t>“Bad boy” prohibition</w:t>
      </w:r>
    </w:p>
    <w:p w:rsidR="009E7689" w:rsidRPr="0048203B" w:rsidRDefault="00AA326B" w:rsidP="00F63CC0">
      <w:pPr>
        <w:pStyle w:val="ListParagraph"/>
        <w:numPr>
          <w:ilvl w:val="1"/>
          <w:numId w:val="13"/>
        </w:numPr>
        <w:ind w:left="2160"/>
      </w:pPr>
      <w:r w:rsidRPr="0048203B">
        <w:t>Crowd</w:t>
      </w:r>
      <w:r w:rsidR="000C2749" w:rsidRPr="0048203B">
        <w:t>-</w:t>
      </w:r>
      <w:r w:rsidRPr="0048203B">
        <w:t>funding</w:t>
      </w:r>
    </w:p>
    <w:p w:rsidR="009E7689" w:rsidRPr="0048203B" w:rsidRDefault="00AA326B" w:rsidP="00F63CC0">
      <w:pPr>
        <w:pStyle w:val="ListParagraph"/>
        <w:numPr>
          <w:ilvl w:val="1"/>
          <w:numId w:val="13"/>
        </w:numPr>
        <w:ind w:left="2160"/>
      </w:pPr>
      <w:r w:rsidRPr="0048203B">
        <w:t>“Back-door going public” relief</w:t>
      </w:r>
    </w:p>
    <w:p w:rsidR="009E7689" w:rsidRPr="0048203B" w:rsidRDefault="00AA326B" w:rsidP="00F63CC0">
      <w:pPr>
        <w:pStyle w:val="ListParagraph"/>
        <w:numPr>
          <w:ilvl w:val="0"/>
          <w:numId w:val="13"/>
        </w:numPr>
        <w:ind w:hanging="720"/>
      </w:pPr>
      <w:r w:rsidRPr="0048203B">
        <w:t>IPO implications</w:t>
      </w:r>
    </w:p>
    <w:p w:rsidR="009E7689" w:rsidRPr="0048203B" w:rsidRDefault="00AA326B" w:rsidP="00F63CC0">
      <w:pPr>
        <w:pStyle w:val="ListParagraph"/>
        <w:numPr>
          <w:ilvl w:val="1"/>
          <w:numId w:val="13"/>
        </w:numPr>
        <w:ind w:left="2160"/>
      </w:pPr>
      <w:r w:rsidRPr="0048203B">
        <w:t>IPO on-ramp</w:t>
      </w:r>
    </w:p>
    <w:p w:rsidR="009E7689" w:rsidRPr="0048203B" w:rsidRDefault="00AA326B" w:rsidP="00F63CC0">
      <w:pPr>
        <w:pStyle w:val="ListParagraph"/>
        <w:numPr>
          <w:ilvl w:val="1"/>
          <w:numId w:val="13"/>
        </w:numPr>
        <w:ind w:left="2160"/>
      </w:pPr>
      <w:r w:rsidRPr="0048203B">
        <w:t>“Testing the waters”</w:t>
      </w:r>
    </w:p>
    <w:p w:rsidR="009E7689" w:rsidRPr="0048203B" w:rsidRDefault="00AA326B" w:rsidP="00F63CC0">
      <w:pPr>
        <w:pStyle w:val="ListParagraph"/>
        <w:numPr>
          <w:ilvl w:val="1"/>
          <w:numId w:val="13"/>
        </w:numPr>
        <w:ind w:left="2160"/>
      </w:pPr>
      <w:r w:rsidRPr="0048203B">
        <w:t>Relaxation of corporate governance requirements</w:t>
      </w:r>
    </w:p>
    <w:p w:rsidR="009E7689" w:rsidRPr="0048203B" w:rsidRDefault="00AA326B">
      <w:pPr>
        <w:keepNext/>
        <w:ind w:left="720" w:firstLine="0"/>
      </w:pPr>
      <w:r w:rsidRPr="0048203B">
        <w:rPr>
          <w:u w:val="single"/>
        </w:rPr>
        <w:t>Readings</w:t>
      </w:r>
      <w:r w:rsidRPr="0048203B">
        <w:t>:</w:t>
      </w:r>
    </w:p>
    <w:p w:rsidR="009E7689" w:rsidRPr="0048203B" w:rsidRDefault="0068064D" w:rsidP="00A30A3B">
      <w:pPr>
        <w:pStyle w:val="Heading2"/>
      </w:pPr>
      <w:r w:rsidRPr="0048203B">
        <w:t>J. Rubin</w:t>
      </w:r>
      <w:r w:rsidR="00AA326B" w:rsidRPr="0048203B">
        <w:t xml:space="preserve">, </w:t>
      </w:r>
      <w:r w:rsidR="00890BD0" w:rsidRPr="0048203B">
        <w:t>“</w:t>
      </w:r>
      <w:r w:rsidR="00AA326B" w:rsidRPr="0048203B">
        <w:t>The JOBS Act:  An Overvie</w:t>
      </w:r>
      <w:r w:rsidR="00890BD0" w:rsidRPr="0048203B">
        <w:t>w – What every Business Lawyer S</w:t>
      </w:r>
      <w:r w:rsidR="00AA326B" w:rsidRPr="0048203B">
        <w:t xml:space="preserve">hould </w:t>
      </w:r>
      <w:r w:rsidR="00890BD0" w:rsidRPr="0048203B">
        <w:t>K</w:t>
      </w:r>
      <w:r w:rsidR="00AA326B" w:rsidRPr="0048203B">
        <w:t>now,</w:t>
      </w:r>
      <w:r w:rsidR="00890BD0" w:rsidRPr="0048203B">
        <w:t>”</w:t>
      </w:r>
      <w:r w:rsidR="00AA326B" w:rsidRPr="0048203B">
        <w:t xml:space="preserve"> </w:t>
      </w:r>
      <w:r w:rsidR="00890BD0" w:rsidRPr="0048203B">
        <w:t>Business Law Today, (</w:t>
      </w:r>
      <w:r w:rsidR="00AA326B" w:rsidRPr="0048203B">
        <w:t>May 2012</w:t>
      </w:r>
      <w:r w:rsidR="00890BD0" w:rsidRPr="0048203B">
        <w:t>)</w:t>
      </w:r>
    </w:p>
    <w:p w:rsidR="009E7689" w:rsidRPr="0048203B" w:rsidRDefault="00890BD0" w:rsidP="00A30A3B">
      <w:pPr>
        <w:pStyle w:val="Heading2"/>
      </w:pPr>
      <w:r w:rsidRPr="0048203B">
        <w:t>“</w:t>
      </w:r>
      <w:r w:rsidR="00AA326B" w:rsidRPr="0048203B">
        <w:t>The JOBS Act,</w:t>
      </w:r>
      <w:r w:rsidRPr="0048203B">
        <w:t>”</w:t>
      </w:r>
      <w:r w:rsidR="00AA326B" w:rsidRPr="0048203B">
        <w:t xml:space="preserve"> Morrison Foerster News Bulletin, March 26, 2012 (pp. 7 – 12)</w:t>
      </w:r>
    </w:p>
    <w:p w:rsidR="009E7689" w:rsidRPr="0048203B" w:rsidRDefault="00AA326B" w:rsidP="00A30A3B">
      <w:pPr>
        <w:pStyle w:val="Heading1"/>
        <w:keepNext/>
      </w:pPr>
      <w:r w:rsidRPr="0048203B">
        <w:t>Review Session</w:t>
      </w:r>
    </w:p>
    <w:p w:rsidR="009E7689" w:rsidRPr="0048203B" w:rsidRDefault="00AA326B">
      <w:pPr>
        <w:spacing w:before="0"/>
      </w:pPr>
      <w:r w:rsidRPr="0048203B">
        <w:t xml:space="preserve">(TBD: </w:t>
      </w:r>
      <w:r w:rsidR="000C2749" w:rsidRPr="0048203B">
        <w:t xml:space="preserve"> </w:t>
      </w:r>
      <w:r w:rsidRPr="0048203B">
        <w:t>April 23 – April 25, 2014)</w:t>
      </w:r>
    </w:p>
    <w:p w:rsidR="009E7689" w:rsidRPr="0048203B" w:rsidRDefault="009E7689">
      <w:pPr>
        <w:spacing w:before="0"/>
      </w:pPr>
    </w:p>
    <w:p w:rsidR="009E7689" w:rsidRPr="0048203B" w:rsidRDefault="00AA326B">
      <w:pPr>
        <w:ind w:firstLine="0"/>
      </w:pPr>
      <w:r w:rsidRPr="0048203B">
        <w:rPr>
          <w:b/>
          <w:bCs/>
        </w:rPr>
        <w:t>Final Examination:</w:t>
      </w:r>
      <w:r w:rsidRPr="0048203B">
        <w:t xml:space="preserve"> </w:t>
      </w:r>
      <w:r w:rsidR="000C2749" w:rsidRPr="0048203B">
        <w:t xml:space="preserve">TBD:  </w:t>
      </w:r>
      <w:r w:rsidRPr="0048203B">
        <w:t>April 2</w:t>
      </w:r>
      <w:r w:rsidR="000C2749" w:rsidRPr="0048203B">
        <w:t>8</w:t>
      </w:r>
      <w:r w:rsidRPr="0048203B">
        <w:t xml:space="preserve"> – May </w:t>
      </w:r>
      <w:r w:rsidR="000C2749" w:rsidRPr="0048203B">
        <w:t>8</w:t>
      </w:r>
      <w:r w:rsidRPr="0048203B">
        <w:t xml:space="preserve">, 2014 </w:t>
      </w:r>
    </w:p>
    <w:p w:rsidR="009E7689" w:rsidRPr="0048203B" w:rsidRDefault="009E7689">
      <w:pPr>
        <w:spacing w:before="0"/>
        <w:ind w:firstLine="0"/>
        <w:rPr>
          <w:b/>
          <w:bCs/>
        </w:rPr>
      </w:pPr>
    </w:p>
    <w:p w:rsidR="007968E7" w:rsidRPr="0048203B" w:rsidRDefault="007968E7">
      <w:pPr>
        <w:spacing w:before="0"/>
        <w:ind w:firstLine="0"/>
        <w:rPr>
          <w:b/>
          <w:bCs/>
        </w:rPr>
      </w:pPr>
    </w:p>
    <w:p w:rsidR="007968E7" w:rsidRPr="0048203B" w:rsidRDefault="007968E7">
      <w:pPr>
        <w:spacing w:before="0"/>
        <w:ind w:firstLine="0"/>
        <w:rPr>
          <w:b/>
          <w:bCs/>
          <w:highlight w:val="yellow"/>
        </w:rPr>
      </w:pPr>
    </w:p>
    <w:sectPr w:rsidR="007968E7" w:rsidRPr="0048203B">
      <w:footerReference w:type="default" r:id="rId9"/>
      <w:footerReference w:type="first" r:id="rId10"/>
      <w:endnotePr>
        <w:numFmt w:val="decimal"/>
      </w:endnotePr>
      <w:pgSz w:w="12240" w:h="15840" w:code="1"/>
      <w:pgMar w:top="1584" w:right="1080" w:bottom="1584" w:left="1440" w:header="1872"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30" w:rsidRDefault="00D35A30">
      <w:r>
        <w:separator/>
      </w:r>
    </w:p>
  </w:endnote>
  <w:endnote w:type="continuationSeparator" w:id="0">
    <w:p w:rsidR="00D35A30" w:rsidRDefault="00D3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30" w:rsidRDefault="00D35A30">
    <w:pPr>
      <w:pStyle w:val="Footer"/>
      <w:rPr>
        <w:lang w:val="it-IT"/>
      </w:rPr>
    </w:pPr>
    <w:r>
      <w:rPr>
        <w:sz w:val="15"/>
        <w:szCs w:val="15"/>
      </w:rPr>
      <w:fldChar w:fldCharType="begin"/>
    </w:r>
    <w:r>
      <w:rPr>
        <w:sz w:val="15"/>
        <w:szCs w:val="15"/>
      </w:rPr>
      <w:instrText xml:space="preserve"> FILENAME  </w:instrText>
    </w:r>
    <w:r>
      <w:rPr>
        <w:sz w:val="15"/>
        <w:szCs w:val="15"/>
      </w:rPr>
      <w:fldChar w:fldCharType="separate"/>
    </w:r>
    <w:r>
      <w:rPr>
        <w:noProof/>
        <w:sz w:val="15"/>
        <w:szCs w:val="15"/>
      </w:rPr>
      <w:t>6514233_2.docx</w:t>
    </w:r>
    <w:r>
      <w:rPr>
        <w:sz w:val="15"/>
        <w:szCs w:val="15"/>
      </w:rPr>
      <w:fldChar w:fldCharType="end"/>
    </w:r>
    <w:r>
      <w:rPr>
        <w:lang w:val="it-IT"/>
      </w:rPr>
      <w:tab/>
      <w:t>-</w:t>
    </w:r>
    <w:r>
      <w:rPr>
        <w:rStyle w:val="PageNumber"/>
      </w:rPr>
      <w:fldChar w:fldCharType="begin"/>
    </w:r>
    <w:r>
      <w:rPr>
        <w:rStyle w:val="PageNumber"/>
        <w:lang w:val="it-IT"/>
      </w:rPr>
      <w:instrText xml:space="preserve"> PAGE </w:instrText>
    </w:r>
    <w:r>
      <w:rPr>
        <w:rStyle w:val="PageNumber"/>
      </w:rPr>
      <w:fldChar w:fldCharType="separate"/>
    </w:r>
    <w:r w:rsidR="009C55EE">
      <w:rPr>
        <w:rStyle w:val="PageNumber"/>
        <w:noProof/>
        <w:lang w:val="it-IT"/>
      </w:rPr>
      <w:t>4</w:t>
    </w:r>
    <w:r>
      <w:rPr>
        <w:rStyle w:val="PageNumber"/>
      </w:rPr>
      <w:fldChar w:fldCharType="end"/>
    </w:r>
    <w:r>
      <w:rPr>
        <w:rStyle w:val="PageNumber"/>
        <w:lang w:val="it-I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30" w:rsidRDefault="00D35A30">
    <w:pPr>
      <w:pStyle w:val="Footer"/>
      <w:rPr>
        <w:sz w:val="15"/>
        <w:szCs w:val="15"/>
      </w:rPr>
    </w:pPr>
    <w:fldSimple w:instr=" FILENAME   \* MERGEFORMAT ">
      <w:r w:rsidRPr="00D71EB3">
        <w:rPr>
          <w:noProof/>
          <w:sz w:val="15"/>
          <w:szCs w:val="15"/>
        </w:rPr>
        <w:t>6514233_2.docx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30" w:rsidRDefault="00D35A30">
      <w:r>
        <w:separator/>
      </w:r>
    </w:p>
  </w:footnote>
  <w:footnote w:type="continuationSeparator" w:id="0">
    <w:p w:rsidR="00D35A30" w:rsidRDefault="00D35A30">
      <w:r>
        <w:continuationSeparator/>
      </w:r>
    </w:p>
  </w:footnote>
  <w:footnote w:id="1">
    <w:p w:rsidR="00D35A30" w:rsidRPr="00B77D5E" w:rsidRDefault="00D35A30" w:rsidP="00B77D5E">
      <w:pPr>
        <w:pStyle w:val="FootnoteText"/>
        <w:ind w:left="540" w:hanging="180"/>
      </w:pPr>
      <w:r>
        <w:rPr>
          <w:rStyle w:val="FootnoteReference"/>
        </w:rPr>
        <w:footnoteRef/>
      </w:r>
      <w:r>
        <w:t xml:space="preserve"> </w:t>
      </w:r>
      <w:r w:rsidRPr="00B77D5E">
        <w:t>Exhibits are not to be read word-for-word, but</w:t>
      </w:r>
      <w:r>
        <w:t xml:space="preserve"> they</w:t>
      </w:r>
      <w:r w:rsidRPr="00B77D5E">
        <w:t xml:space="preserve"> will be referred to and discussed </w:t>
      </w:r>
      <w:r>
        <w:t xml:space="preserve">in </w:t>
      </w:r>
      <w:r w:rsidRPr="00B77D5E">
        <w:t>class</w:t>
      </w:r>
      <w:r>
        <w:t xml:space="preserve"> frequently</w:t>
      </w:r>
      <w:r w:rsidRPr="00B77D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032"/>
    <w:multiLevelType w:val="hybridMultilevel"/>
    <w:tmpl w:val="357678E6"/>
    <w:lvl w:ilvl="0" w:tplc="04090001">
      <w:start w:val="1"/>
      <w:numFmt w:val="bullet"/>
      <w:lvlText w:val=""/>
      <w:lvlJc w:val="left"/>
      <w:pPr>
        <w:ind w:left="1440" w:hanging="360"/>
      </w:pPr>
      <w:rPr>
        <w:rFonts w:ascii="Symbol" w:hAnsi="Symbol" w:hint="default"/>
      </w:rPr>
    </w:lvl>
    <w:lvl w:ilvl="1" w:tplc="8AA8E4AA">
      <w:start w:val="1"/>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nsid w:val="2BF92201"/>
    <w:multiLevelType w:val="multilevel"/>
    <w:tmpl w:val="CDC8E8CE"/>
    <w:lvl w:ilvl="0">
      <w:start w:val="1"/>
      <w:numFmt w:val="decimal"/>
      <w:pStyle w:val="Heading1"/>
      <w:lvlText w:val="%1."/>
      <w:lvlJc w:val="left"/>
      <w:pPr>
        <w:tabs>
          <w:tab w:val="num" w:pos="360"/>
        </w:tabs>
        <w:ind w:left="-720" w:firstLine="720"/>
      </w:pPr>
      <w:rPr>
        <w:rFonts w:hint="default"/>
        <w:b/>
        <w:i w:val="0"/>
        <w:u w:val="none"/>
      </w:rPr>
    </w:lvl>
    <w:lvl w:ilvl="1">
      <w:start w:val="1"/>
      <w:numFmt w:val="decimal"/>
      <w:lvlRestart w:val="0"/>
      <w:pStyle w:val="Heading2"/>
      <w:lvlText w:val="%2."/>
      <w:lvlJc w:val="left"/>
      <w:pPr>
        <w:tabs>
          <w:tab w:val="num" w:pos="1440"/>
        </w:tabs>
        <w:ind w:left="1440" w:hanging="720"/>
      </w:pPr>
      <w:rPr>
        <w:rFonts w:hint="default"/>
        <w:u w:val="none"/>
      </w:rPr>
    </w:lvl>
    <w:lvl w:ilvl="2">
      <w:start w:val="1"/>
      <w:numFmt w:val="lowerRoman"/>
      <w:pStyle w:val="Heading3"/>
      <w:lvlText w:val="(%3)"/>
      <w:lvlJc w:val="right"/>
      <w:pPr>
        <w:tabs>
          <w:tab w:val="num" w:pos="2160"/>
        </w:tabs>
        <w:ind w:left="-720" w:firstLine="2520"/>
      </w:pPr>
      <w:rPr>
        <w:rFonts w:hint="default"/>
        <w:u w:val="none"/>
      </w:rPr>
    </w:lvl>
    <w:lvl w:ilvl="3">
      <w:start w:val="1"/>
      <w:numFmt w:val="decimal"/>
      <w:pStyle w:val="Heading4"/>
      <w:lvlText w:val="(%4)"/>
      <w:lvlJc w:val="left"/>
      <w:pPr>
        <w:tabs>
          <w:tab w:val="num" w:pos="2520"/>
        </w:tabs>
        <w:ind w:left="-720" w:firstLine="2880"/>
      </w:pPr>
      <w:rPr>
        <w:rFonts w:hint="default"/>
        <w:u w:val="none"/>
      </w:rPr>
    </w:lvl>
    <w:lvl w:ilvl="4">
      <w:start w:val="1"/>
      <w:numFmt w:val="lowerLetter"/>
      <w:pStyle w:val="Heading5"/>
      <w:lvlText w:val="%5)"/>
      <w:lvlJc w:val="left"/>
      <w:pPr>
        <w:tabs>
          <w:tab w:val="num" w:pos="3240"/>
        </w:tabs>
        <w:ind w:left="-720" w:firstLine="3600"/>
      </w:pPr>
      <w:rPr>
        <w:rFonts w:hint="default"/>
      </w:rPr>
    </w:lvl>
    <w:lvl w:ilvl="5">
      <w:start w:val="1"/>
      <w:numFmt w:val="lowerRoman"/>
      <w:pStyle w:val="Heading6"/>
      <w:lvlText w:val="%6)"/>
      <w:lvlJc w:val="right"/>
      <w:pPr>
        <w:tabs>
          <w:tab w:val="num" w:pos="4320"/>
        </w:tabs>
        <w:ind w:left="-720" w:firstLine="4680"/>
      </w:pPr>
      <w:rPr>
        <w:rFonts w:hint="default"/>
        <w:u w:val="none"/>
      </w:rPr>
    </w:lvl>
    <w:lvl w:ilvl="6">
      <w:start w:val="1"/>
      <w:numFmt w:val="decimal"/>
      <w:pStyle w:val="Heading7"/>
      <w:lvlText w:val="%7)"/>
      <w:lvlJc w:val="left"/>
      <w:pPr>
        <w:tabs>
          <w:tab w:val="num" w:pos="4680"/>
        </w:tabs>
        <w:ind w:left="-720" w:firstLine="5040"/>
      </w:pPr>
      <w:rPr>
        <w:rFonts w:hint="default"/>
        <w:u w:val="none"/>
      </w:rPr>
    </w:lvl>
    <w:lvl w:ilvl="7">
      <w:start w:val="1"/>
      <w:numFmt w:val="lowerLetter"/>
      <w:pStyle w:val="Heading8"/>
      <w:lvlText w:val="%8."/>
      <w:lvlJc w:val="left"/>
      <w:pPr>
        <w:tabs>
          <w:tab w:val="num" w:pos="5400"/>
        </w:tabs>
        <w:ind w:left="-720" w:firstLine="5760"/>
      </w:pPr>
      <w:rPr>
        <w:rFonts w:hint="default"/>
        <w:u w:val="none"/>
      </w:rPr>
    </w:lvl>
    <w:lvl w:ilvl="8">
      <w:start w:val="1"/>
      <w:numFmt w:val="lowerRoman"/>
      <w:lvlText w:val="%9."/>
      <w:lvlJc w:val="left"/>
      <w:pPr>
        <w:tabs>
          <w:tab w:val="num" w:pos="2880"/>
        </w:tabs>
        <w:ind w:left="2520" w:hanging="360"/>
      </w:pPr>
      <w:rPr>
        <w:rFonts w:hint="default"/>
        <w:u w:val="none"/>
      </w:rPr>
    </w:lvl>
  </w:abstractNum>
  <w:abstractNum w:abstractNumId="3">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nsid w:val="38B66F98"/>
    <w:multiLevelType w:val="hybridMultilevel"/>
    <w:tmpl w:val="6388BB8E"/>
    <w:lvl w:ilvl="0" w:tplc="3C341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C75B85"/>
    <w:multiLevelType w:val="hybridMultilevel"/>
    <w:tmpl w:val="B082064A"/>
    <w:lvl w:ilvl="0" w:tplc="04090015">
      <w:start w:val="1"/>
      <w:numFmt w:val="upperLetter"/>
      <w:lvlText w:val="%1."/>
      <w:lvlJc w:val="left"/>
      <w:pPr>
        <w:ind w:left="-300" w:hanging="360"/>
      </w:pPr>
      <w:rPr>
        <w:rFonts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6">
    <w:nsid w:val="7FD5748E"/>
    <w:multiLevelType w:val="hybridMultilevel"/>
    <w:tmpl w:val="F9B2D132"/>
    <w:lvl w:ilvl="0" w:tplc="A810F468">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2"/>
  </w:num>
  <w:num w:numId="13">
    <w:abstractNumId w:val="0"/>
  </w:num>
  <w:num w:numId="14">
    <w:abstractNumId w:val="2"/>
  </w:num>
  <w:num w:numId="15">
    <w:abstractNumId w:val="4"/>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89"/>
    <w:rsid w:val="0000579F"/>
    <w:rsid w:val="00073795"/>
    <w:rsid w:val="000C2749"/>
    <w:rsid w:val="000C48F7"/>
    <w:rsid w:val="00102A7D"/>
    <w:rsid w:val="00192377"/>
    <w:rsid w:val="001B2F59"/>
    <w:rsid w:val="001C5297"/>
    <w:rsid w:val="0022005A"/>
    <w:rsid w:val="002B0047"/>
    <w:rsid w:val="00324322"/>
    <w:rsid w:val="00330C4D"/>
    <w:rsid w:val="00335DC8"/>
    <w:rsid w:val="003A0A67"/>
    <w:rsid w:val="0047071E"/>
    <w:rsid w:val="00474F4E"/>
    <w:rsid w:val="0048203B"/>
    <w:rsid w:val="004B7283"/>
    <w:rsid w:val="004D5F71"/>
    <w:rsid w:val="0057138D"/>
    <w:rsid w:val="005B48BC"/>
    <w:rsid w:val="005F5EE3"/>
    <w:rsid w:val="0068064D"/>
    <w:rsid w:val="007968E7"/>
    <w:rsid w:val="007D6891"/>
    <w:rsid w:val="007E7188"/>
    <w:rsid w:val="00820E07"/>
    <w:rsid w:val="008213EE"/>
    <w:rsid w:val="00880153"/>
    <w:rsid w:val="00890BD0"/>
    <w:rsid w:val="008B31DF"/>
    <w:rsid w:val="008E0810"/>
    <w:rsid w:val="00911058"/>
    <w:rsid w:val="00930FC7"/>
    <w:rsid w:val="009B19F5"/>
    <w:rsid w:val="009C391D"/>
    <w:rsid w:val="009C55EE"/>
    <w:rsid w:val="009E7689"/>
    <w:rsid w:val="00A015CF"/>
    <w:rsid w:val="00A30A3B"/>
    <w:rsid w:val="00A54DAA"/>
    <w:rsid w:val="00A60765"/>
    <w:rsid w:val="00AA326B"/>
    <w:rsid w:val="00AB08DD"/>
    <w:rsid w:val="00B44FB9"/>
    <w:rsid w:val="00B77D5E"/>
    <w:rsid w:val="00BF08E4"/>
    <w:rsid w:val="00C30487"/>
    <w:rsid w:val="00C93FB1"/>
    <w:rsid w:val="00CE2170"/>
    <w:rsid w:val="00D35A30"/>
    <w:rsid w:val="00D71EB3"/>
    <w:rsid w:val="00D97C9B"/>
    <w:rsid w:val="00E11EFA"/>
    <w:rsid w:val="00E3354A"/>
    <w:rsid w:val="00E37B20"/>
    <w:rsid w:val="00EC58F9"/>
    <w:rsid w:val="00ED41FE"/>
    <w:rsid w:val="00F1655A"/>
    <w:rsid w:val="00F605A2"/>
    <w:rsid w:val="00F63CC0"/>
    <w:rsid w:val="00FF14C2"/>
    <w:rsid w:val="00FF7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A3B"/>
    <w:pPr>
      <w:spacing w:before="240"/>
      <w:ind w:firstLine="720"/>
    </w:pPr>
    <w:rPr>
      <w:sz w:val="24"/>
    </w:rPr>
  </w:style>
  <w:style w:type="paragraph" w:styleId="Heading1">
    <w:name w:val="heading 1"/>
    <w:basedOn w:val="Normal"/>
    <w:next w:val="Normal"/>
    <w:link w:val="Heading1Char"/>
    <w:qFormat/>
    <w:pPr>
      <w:numPr>
        <w:numId w:val="1"/>
      </w:numPr>
      <w:outlineLvl w:val="0"/>
    </w:pPr>
    <w:rPr>
      <w:b/>
      <w:kern w:val="28"/>
    </w:rPr>
  </w:style>
  <w:style w:type="paragraph" w:styleId="Heading2">
    <w:name w:val="heading 2"/>
    <w:basedOn w:val="Normal"/>
    <w:next w:val="Normal"/>
    <w:link w:val="Heading2Char"/>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tabs>
        <w:tab w:val="num" w:pos="3240"/>
      </w:tabs>
      <w:spacing w:after="60"/>
      <w:ind w:left="324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TOC1">
    <w:name w:val="toc 1"/>
    <w:basedOn w:val="Normal"/>
    <w:next w:val="Normal"/>
    <w:semiHidden/>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r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rPr>
  </w:style>
  <w:style w:type="paragraph" w:customStyle="1" w:styleId="CenterTextBold">
    <w:name w:val="Center Text Bold"/>
    <w:basedOn w:val="CenterText"/>
    <w:next w:val="Normal"/>
    <w:rPr>
      <w:b/>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tabs>
        <w:tab w:val="clear" w:pos="1080"/>
      </w:tabs>
    </w:pPr>
  </w:style>
  <w:style w:type="paragraph" w:customStyle="1" w:styleId="Def2Heading2">
    <w:name w:val="Def2 Heading 2"/>
    <w:basedOn w:val="Normal"/>
    <w:next w:val="Normal"/>
    <w:pPr>
      <w:numPr>
        <w:ilvl w:val="1"/>
        <w:numId w:val="3"/>
      </w:numPr>
      <w:tabs>
        <w:tab w:val="clear" w:pos="1800"/>
      </w:tabs>
    </w:pPr>
  </w:style>
  <w:style w:type="paragraph" w:customStyle="1" w:styleId="Def2Heading3">
    <w:name w:val="Def2 Heading 3"/>
    <w:basedOn w:val="Normal"/>
    <w:next w:val="Normal"/>
    <w:pPr>
      <w:numPr>
        <w:ilvl w:val="2"/>
        <w:numId w:val="4"/>
      </w:numPr>
      <w:tabs>
        <w:tab w:val="clear" w:pos="2880"/>
      </w:tabs>
    </w:pPr>
  </w:style>
  <w:style w:type="paragraph" w:customStyle="1" w:styleId="Def2Heading4">
    <w:name w:val="Def2 Heading 4"/>
    <w:basedOn w:val="Normal"/>
    <w:next w:val="Normal"/>
    <w:pPr>
      <w:numPr>
        <w:ilvl w:val="3"/>
        <w:numId w:val="5"/>
      </w:numPr>
      <w:tabs>
        <w:tab w:val="clear" w:pos="3240"/>
      </w:tabs>
    </w:pPr>
  </w:style>
  <w:style w:type="paragraph" w:customStyle="1" w:styleId="Def2Heading5">
    <w:name w:val="Def2 Heading 5"/>
    <w:basedOn w:val="Normal"/>
    <w:next w:val="Normal"/>
    <w:pPr>
      <w:numPr>
        <w:ilvl w:val="4"/>
        <w:numId w:val="6"/>
      </w:numPr>
      <w:tabs>
        <w:tab w:val="clear" w:pos="3960"/>
      </w:tabs>
    </w:pPr>
  </w:style>
  <w:style w:type="paragraph" w:customStyle="1" w:styleId="ExAHeading1">
    <w:name w:val="ExA Heading 1"/>
    <w:basedOn w:val="Normal"/>
    <w:next w:val="Normal"/>
    <w:pPr>
      <w:numPr>
        <w:numId w:val="7"/>
      </w:numPr>
      <w:tabs>
        <w:tab w:val="clear" w:pos="1080"/>
      </w:tabs>
    </w:pPr>
  </w:style>
  <w:style w:type="paragraph" w:customStyle="1" w:styleId="ExAHeading2">
    <w:name w:val="ExA Heading 2"/>
    <w:basedOn w:val="Normal"/>
    <w:next w:val="Normal"/>
    <w:pPr>
      <w:numPr>
        <w:ilvl w:val="1"/>
        <w:numId w:val="8"/>
      </w:numPr>
      <w:tabs>
        <w:tab w:val="clear" w:pos="1800"/>
      </w:tabs>
    </w:pPr>
  </w:style>
  <w:style w:type="paragraph" w:customStyle="1" w:styleId="ExAHeading3">
    <w:name w:val="ExA Heading 3"/>
    <w:basedOn w:val="Normal"/>
    <w:next w:val="Normal"/>
    <w:pPr>
      <w:numPr>
        <w:ilvl w:val="2"/>
        <w:numId w:val="9"/>
      </w:numPr>
      <w:tabs>
        <w:tab w:val="clear" w:pos="2880"/>
      </w:tabs>
    </w:pPr>
  </w:style>
  <w:style w:type="paragraph" w:customStyle="1" w:styleId="ExAHeading4">
    <w:name w:val="ExA Heading 4"/>
    <w:basedOn w:val="Normal"/>
    <w:next w:val="Normal"/>
    <w:pPr>
      <w:numPr>
        <w:ilvl w:val="3"/>
        <w:numId w:val="10"/>
      </w:numPr>
      <w:tabs>
        <w:tab w:val="clear" w:pos="3240"/>
      </w:tabs>
    </w:pPr>
  </w:style>
  <w:style w:type="paragraph" w:customStyle="1" w:styleId="ExAHeading5">
    <w:name w:val="ExA Heading 5"/>
    <w:basedOn w:val="Normal"/>
    <w:next w:val="Normal"/>
    <w:pPr>
      <w:numPr>
        <w:ilvl w:val="4"/>
        <w:numId w:val="11"/>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styleId="Title">
    <w:name w:val="Title"/>
    <w:basedOn w:val="Normal"/>
    <w:qFormat/>
    <w:pPr>
      <w:jc w:val="center"/>
    </w:pPr>
    <w:rPr>
      <w:b/>
    </w:rPr>
  </w:style>
  <w:style w:type="paragraph" w:customStyle="1" w:styleId="Label">
    <w:name w:val="Label"/>
    <w:basedOn w:val="Normal"/>
    <w:pPr>
      <w:spacing w:before="0"/>
      <w:ind w:firstLine="0"/>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styleId="Subtitle">
    <w:name w:val="Subtitle"/>
    <w:basedOn w:val="Normal"/>
    <w:qFormat/>
    <w:pPr>
      <w:jc w:val="center"/>
    </w:pPr>
    <w:rPr>
      <w:u w:val="single"/>
    </w:rPr>
  </w:style>
  <w:style w:type="character" w:styleId="Hyperlink">
    <w:name w:val="Hyperlink"/>
    <w:basedOn w:val="DefaultParagraphFont"/>
    <w:rPr>
      <w:color w:val="0000FF"/>
      <w:u w:val="single"/>
    </w:rPr>
  </w:style>
  <w:style w:type="paragraph" w:customStyle="1" w:styleId="calendarmo">
    <w:name w:val="calendarmo"/>
    <w:basedOn w:val="calendar"/>
    <w:rPr>
      <w:b/>
    </w:rPr>
  </w:style>
  <w:style w:type="paragraph" w:customStyle="1" w:styleId="calendar">
    <w:name w:val="calendar"/>
    <w:basedOn w:val="Normal"/>
    <w:pPr>
      <w:tabs>
        <w:tab w:val="left" w:pos="-720"/>
      </w:tabs>
      <w:suppressAutoHyphens/>
      <w:spacing w:before="0"/>
      <w:ind w:firstLine="0"/>
      <w:jc w:val="center"/>
    </w:pPr>
    <w:rPr>
      <w:sz w:val="17"/>
    </w:rPr>
  </w:style>
  <w:style w:type="paragraph" w:customStyle="1" w:styleId="Style0">
    <w:name w:val="Style0"/>
    <w:pPr>
      <w:autoSpaceDE w:val="0"/>
      <w:autoSpaceDN w:val="0"/>
      <w:adjustRightInd w:val="0"/>
    </w:pPr>
    <w:rPr>
      <w:rFonts w:ascii="Arial" w:hAnsi="Arial"/>
      <w:sz w:val="24"/>
      <w:szCs w:val="24"/>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Pr>
      <w:sz w:val="24"/>
    </w:rPr>
  </w:style>
  <w:style w:type="character" w:customStyle="1" w:styleId="apple-style-span">
    <w:name w:val="apple-style-span"/>
    <w:basedOn w:val="DefaultParagraphFont"/>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rsid w:val="00B77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A3B"/>
    <w:pPr>
      <w:spacing w:before="240"/>
      <w:ind w:firstLine="720"/>
    </w:pPr>
    <w:rPr>
      <w:sz w:val="24"/>
    </w:rPr>
  </w:style>
  <w:style w:type="paragraph" w:styleId="Heading1">
    <w:name w:val="heading 1"/>
    <w:basedOn w:val="Normal"/>
    <w:next w:val="Normal"/>
    <w:link w:val="Heading1Char"/>
    <w:qFormat/>
    <w:pPr>
      <w:numPr>
        <w:numId w:val="1"/>
      </w:numPr>
      <w:outlineLvl w:val="0"/>
    </w:pPr>
    <w:rPr>
      <w:b/>
      <w:kern w:val="28"/>
    </w:rPr>
  </w:style>
  <w:style w:type="paragraph" w:styleId="Heading2">
    <w:name w:val="heading 2"/>
    <w:basedOn w:val="Normal"/>
    <w:next w:val="Normal"/>
    <w:link w:val="Heading2Char"/>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tabs>
        <w:tab w:val="num" w:pos="3240"/>
      </w:tabs>
      <w:spacing w:after="60"/>
      <w:ind w:left="324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TOC1">
    <w:name w:val="toc 1"/>
    <w:basedOn w:val="Normal"/>
    <w:next w:val="Normal"/>
    <w:semiHidden/>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r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rPr>
  </w:style>
  <w:style w:type="paragraph" w:customStyle="1" w:styleId="CenterTextBold">
    <w:name w:val="Center Text Bold"/>
    <w:basedOn w:val="CenterText"/>
    <w:next w:val="Normal"/>
    <w:rPr>
      <w:b/>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tabs>
        <w:tab w:val="clear" w:pos="1080"/>
      </w:tabs>
    </w:pPr>
  </w:style>
  <w:style w:type="paragraph" w:customStyle="1" w:styleId="Def2Heading2">
    <w:name w:val="Def2 Heading 2"/>
    <w:basedOn w:val="Normal"/>
    <w:next w:val="Normal"/>
    <w:pPr>
      <w:numPr>
        <w:ilvl w:val="1"/>
        <w:numId w:val="3"/>
      </w:numPr>
      <w:tabs>
        <w:tab w:val="clear" w:pos="1800"/>
      </w:tabs>
    </w:pPr>
  </w:style>
  <w:style w:type="paragraph" w:customStyle="1" w:styleId="Def2Heading3">
    <w:name w:val="Def2 Heading 3"/>
    <w:basedOn w:val="Normal"/>
    <w:next w:val="Normal"/>
    <w:pPr>
      <w:numPr>
        <w:ilvl w:val="2"/>
        <w:numId w:val="4"/>
      </w:numPr>
      <w:tabs>
        <w:tab w:val="clear" w:pos="2880"/>
      </w:tabs>
    </w:pPr>
  </w:style>
  <w:style w:type="paragraph" w:customStyle="1" w:styleId="Def2Heading4">
    <w:name w:val="Def2 Heading 4"/>
    <w:basedOn w:val="Normal"/>
    <w:next w:val="Normal"/>
    <w:pPr>
      <w:numPr>
        <w:ilvl w:val="3"/>
        <w:numId w:val="5"/>
      </w:numPr>
      <w:tabs>
        <w:tab w:val="clear" w:pos="3240"/>
      </w:tabs>
    </w:pPr>
  </w:style>
  <w:style w:type="paragraph" w:customStyle="1" w:styleId="Def2Heading5">
    <w:name w:val="Def2 Heading 5"/>
    <w:basedOn w:val="Normal"/>
    <w:next w:val="Normal"/>
    <w:pPr>
      <w:numPr>
        <w:ilvl w:val="4"/>
        <w:numId w:val="6"/>
      </w:numPr>
      <w:tabs>
        <w:tab w:val="clear" w:pos="3960"/>
      </w:tabs>
    </w:pPr>
  </w:style>
  <w:style w:type="paragraph" w:customStyle="1" w:styleId="ExAHeading1">
    <w:name w:val="ExA Heading 1"/>
    <w:basedOn w:val="Normal"/>
    <w:next w:val="Normal"/>
    <w:pPr>
      <w:numPr>
        <w:numId w:val="7"/>
      </w:numPr>
      <w:tabs>
        <w:tab w:val="clear" w:pos="1080"/>
      </w:tabs>
    </w:pPr>
  </w:style>
  <w:style w:type="paragraph" w:customStyle="1" w:styleId="ExAHeading2">
    <w:name w:val="ExA Heading 2"/>
    <w:basedOn w:val="Normal"/>
    <w:next w:val="Normal"/>
    <w:pPr>
      <w:numPr>
        <w:ilvl w:val="1"/>
        <w:numId w:val="8"/>
      </w:numPr>
      <w:tabs>
        <w:tab w:val="clear" w:pos="1800"/>
      </w:tabs>
    </w:pPr>
  </w:style>
  <w:style w:type="paragraph" w:customStyle="1" w:styleId="ExAHeading3">
    <w:name w:val="ExA Heading 3"/>
    <w:basedOn w:val="Normal"/>
    <w:next w:val="Normal"/>
    <w:pPr>
      <w:numPr>
        <w:ilvl w:val="2"/>
        <w:numId w:val="9"/>
      </w:numPr>
      <w:tabs>
        <w:tab w:val="clear" w:pos="2880"/>
      </w:tabs>
    </w:pPr>
  </w:style>
  <w:style w:type="paragraph" w:customStyle="1" w:styleId="ExAHeading4">
    <w:name w:val="ExA Heading 4"/>
    <w:basedOn w:val="Normal"/>
    <w:next w:val="Normal"/>
    <w:pPr>
      <w:numPr>
        <w:ilvl w:val="3"/>
        <w:numId w:val="10"/>
      </w:numPr>
      <w:tabs>
        <w:tab w:val="clear" w:pos="3240"/>
      </w:tabs>
    </w:pPr>
  </w:style>
  <w:style w:type="paragraph" w:customStyle="1" w:styleId="ExAHeading5">
    <w:name w:val="ExA Heading 5"/>
    <w:basedOn w:val="Normal"/>
    <w:next w:val="Normal"/>
    <w:pPr>
      <w:numPr>
        <w:ilvl w:val="4"/>
        <w:numId w:val="11"/>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styleId="Title">
    <w:name w:val="Title"/>
    <w:basedOn w:val="Normal"/>
    <w:qFormat/>
    <w:pPr>
      <w:jc w:val="center"/>
    </w:pPr>
    <w:rPr>
      <w:b/>
    </w:rPr>
  </w:style>
  <w:style w:type="paragraph" w:customStyle="1" w:styleId="Label">
    <w:name w:val="Label"/>
    <w:basedOn w:val="Normal"/>
    <w:pPr>
      <w:spacing w:before="0"/>
      <w:ind w:firstLine="0"/>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styleId="Subtitle">
    <w:name w:val="Subtitle"/>
    <w:basedOn w:val="Normal"/>
    <w:qFormat/>
    <w:pPr>
      <w:jc w:val="center"/>
    </w:pPr>
    <w:rPr>
      <w:u w:val="single"/>
    </w:rPr>
  </w:style>
  <w:style w:type="character" w:styleId="Hyperlink">
    <w:name w:val="Hyperlink"/>
    <w:basedOn w:val="DefaultParagraphFont"/>
    <w:rPr>
      <w:color w:val="0000FF"/>
      <w:u w:val="single"/>
    </w:rPr>
  </w:style>
  <w:style w:type="paragraph" w:customStyle="1" w:styleId="calendarmo">
    <w:name w:val="calendarmo"/>
    <w:basedOn w:val="calendar"/>
    <w:rPr>
      <w:b/>
    </w:rPr>
  </w:style>
  <w:style w:type="paragraph" w:customStyle="1" w:styleId="calendar">
    <w:name w:val="calendar"/>
    <w:basedOn w:val="Normal"/>
    <w:pPr>
      <w:tabs>
        <w:tab w:val="left" w:pos="-720"/>
      </w:tabs>
      <w:suppressAutoHyphens/>
      <w:spacing w:before="0"/>
      <w:ind w:firstLine="0"/>
      <w:jc w:val="center"/>
    </w:pPr>
    <w:rPr>
      <w:sz w:val="17"/>
    </w:rPr>
  </w:style>
  <w:style w:type="paragraph" w:customStyle="1" w:styleId="Style0">
    <w:name w:val="Style0"/>
    <w:pPr>
      <w:autoSpaceDE w:val="0"/>
      <w:autoSpaceDN w:val="0"/>
      <w:adjustRightInd w:val="0"/>
    </w:pPr>
    <w:rPr>
      <w:rFonts w:ascii="Arial" w:hAnsi="Arial"/>
      <w:sz w:val="24"/>
      <w:szCs w:val="24"/>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Pr>
      <w:sz w:val="24"/>
    </w:rPr>
  </w:style>
  <w:style w:type="character" w:customStyle="1" w:styleId="apple-style-span">
    <w:name w:val="apple-style-span"/>
    <w:basedOn w:val="DefaultParagraphFont"/>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rsid w:val="00B77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f\AppData\Roaming\Microsoft\Templates\WSGR%20Generic%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70C9-B748-4EB2-BE03-20D2AB7F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WSGR Generic Blank Document.dot</Template>
  <TotalTime>0</TotalTime>
  <Pages>12</Pages>
  <Words>2680</Words>
  <Characters>14450</Characters>
  <Application>Microsoft Office Word</Application>
  <DocSecurity>0</DocSecurity>
  <Lines>203</Lines>
  <Paragraphs>65</Paragraphs>
  <ScaleCrop>false</ScaleCrop>
  <HeadingPairs>
    <vt:vector size="2" baseType="variant">
      <vt:variant>
        <vt:lpstr>Title</vt:lpstr>
      </vt:variant>
      <vt:variant>
        <vt:i4>1</vt:i4>
      </vt:variant>
    </vt:vector>
  </HeadingPairs>
  <TitlesOfParts>
    <vt:vector size="1" baseType="lpstr">
      <vt:lpstr/>
    </vt:vector>
  </TitlesOfParts>
  <Company>Wilson Sonsini Goodrich &amp; Rosati</Company>
  <LinksUpToDate>false</LinksUpToDate>
  <CharactersWithSpaces>17065</CharactersWithSpaces>
  <SharedDoc>false</SharedDoc>
  <HLinks>
    <vt:vector size="6" baseType="variant">
      <vt:variant>
        <vt:i4>4849764</vt:i4>
      </vt:variant>
      <vt:variant>
        <vt:i4>0</vt:i4>
      </vt:variant>
      <vt:variant>
        <vt:i4>0</vt:i4>
      </vt:variant>
      <vt:variant>
        <vt:i4>5</vt:i4>
      </vt:variant>
      <vt:variant>
        <vt:lpwstr>mailto:dpetkanics@wsgr.com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 Lee</dc:creator>
  <cp:lastModifiedBy>Fockler, Herbert</cp:lastModifiedBy>
  <cp:revision>2</cp:revision>
  <cp:lastPrinted>2013-12-16T17:22:00Z</cp:lastPrinted>
  <dcterms:created xsi:type="dcterms:W3CDTF">2013-12-27T00:32:00Z</dcterms:created>
  <dcterms:modified xsi:type="dcterms:W3CDTF">2013-12-27T00:32:00Z</dcterms:modified>
</cp:coreProperties>
</file>