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FC" w:rsidRPr="00A940FC" w:rsidRDefault="00A940FC" w:rsidP="00470842">
      <w:pPr>
        <w:rPr>
          <w:b/>
        </w:rPr>
      </w:pPr>
    </w:p>
    <w:p w:rsidR="00A940FC" w:rsidRPr="00A940FC" w:rsidRDefault="00C97706" w:rsidP="00470842">
      <w:r w:rsidRPr="00A940FC">
        <w:rPr>
          <w:b/>
        </w:rPr>
        <w:t>Objective</w:t>
      </w:r>
      <w:r w:rsidR="00DB19B1" w:rsidRPr="00A940FC">
        <w:t>:  This course will look at the historical and current relations between corporations, race and democratic society. There is a deep relationship betwe</w:t>
      </w:r>
      <w:r w:rsidR="00A940FC" w:rsidRPr="00A940FC">
        <w:t xml:space="preserve">en how we think of corporations’ rights and the </w:t>
      </w:r>
      <w:r w:rsidR="00DB19B1" w:rsidRPr="00A940FC">
        <w:t>social-political space they occupy and the space for marginal groups</w:t>
      </w:r>
      <w:bookmarkStart w:id="0" w:name="_GoBack"/>
      <w:bookmarkEnd w:id="0"/>
      <w:r w:rsidR="00DB19B1" w:rsidRPr="00A940FC">
        <w:t>, especially people of color and women. This relation is seldom explored or understood. This failure has important implications for our democracy, civil rights, and our economy. To the extent that we discuss this at all, it is framed in terms of public and private. This is a mistake that obscures the dynamic between people and corporations and what is at stake.</w:t>
      </w:r>
    </w:p>
    <w:p w:rsidR="00764808" w:rsidRDefault="00B22B24" w:rsidP="005D7E37">
      <w:pPr>
        <w:pStyle w:val="Subtitle"/>
        <w:rPr>
          <w:rFonts w:asciiTheme="minorHAnsi" w:eastAsiaTheme="minorHAnsi" w:hAnsiTheme="minorHAnsi" w:cstheme="minorBidi"/>
          <w:i w:val="0"/>
          <w:iCs w:val="0"/>
          <w:color w:val="auto"/>
          <w:spacing w:val="0"/>
          <w:sz w:val="22"/>
          <w:szCs w:val="22"/>
        </w:rPr>
      </w:pPr>
      <w:r w:rsidRPr="00A940FC">
        <w:rPr>
          <w:rFonts w:asciiTheme="minorHAnsi" w:eastAsiaTheme="minorHAnsi" w:hAnsiTheme="minorHAnsi" w:cstheme="minorBidi"/>
          <w:b/>
          <w:i w:val="0"/>
          <w:iCs w:val="0"/>
          <w:color w:val="auto"/>
          <w:spacing w:val="0"/>
          <w:sz w:val="22"/>
          <w:szCs w:val="22"/>
        </w:rPr>
        <w:t>Readings:</w:t>
      </w:r>
      <w:r w:rsidRPr="00A940FC">
        <w:rPr>
          <w:rFonts w:asciiTheme="minorHAnsi" w:eastAsiaTheme="minorHAnsi" w:hAnsiTheme="minorHAnsi" w:cstheme="minorBidi"/>
          <w:i w:val="0"/>
          <w:iCs w:val="0"/>
          <w:color w:val="auto"/>
          <w:spacing w:val="0"/>
          <w:sz w:val="22"/>
          <w:szCs w:val="22"/>
        </w:rPr>
        <w:t xml:space="preserve"> Most of the assignments in this course will be cases, law review articles, or book chapters.  Many of the readings will be excerpts.   Please note that the syllabus is subject to change, and that additional assignments may be provided during the course of the semester.  </w:t>
      </w:r>
    </w:p>
    <w:p w:rsidR="00461DCB" w:rsidRPr="00461DCB" w:rsidRDefault="00461DCB" w:rsidP="00461DCB">
      <w:pPr>
        <w:rPr>
          <w:i/>
        </w:rPr>
      </w:pPr>
      <w:r w:rsidRPr="00461DCB">
        <w:rPr>
          <w:b/>
        </w:rPr>
        <w:t>Note:</w:t>
      </w:r>
      <w:r>
        <w:rPr>
          <w:i/>
        </w:rPr>
        <w:t xml:space="preserve"> </w:t>
      </w:r>
      <w:r w:rsidRPr="00461DCB">
        <w:rPr>
          <w:i/>
        </w:rPr>
        <w:t xml:space="preserve">Please copy Legal Assistant Jake Feltham, jfeltham@law.berkeley.edu, on all communications with Professor </w:t>
      </w:r>
      <w:proofErr w:type="spellStart"/>
      <w:proofErr w:type="gramStart"/>
      <w:r w:rsidRPr="00461DCB">
        <w:rPr>
          <w:i/>
        </w:rPr>
        <w:t>powell</w:t>
      </w:r>
      <w:proofErr w:type="spellEnd"/>
      <w:proofErr w:type="gramEnd"/>
      <w:r w:rsidRPr="00461DCB">
        <w:rPr>
          <w:i/>
        </w:rPr>
        <w:t xml:space="preserve">. </w:t>
      </w:r>
    </w:p>
    <w:p w:rsidR="00A940FC" w:rsidRPr="005D7E37" w:rsidRDefault="00B22B24" w:rsidP="005D7E37">
      <w:pPr>
        <w:pStyle w:val="Subtitle"/>
        <w:rPr>
          <w:rFonts w:asciiTheme="minorHAnsi" w:eastAsiaTheme="minorHAnsi" w:hAnsiTheme="minorHAnsi" w:cstheme="minorBidi"/>
          <w:i w:val="0"/>
          <w:iCs w:val="0"/>
          <w:color w:val="auto"/>
          <w:spacing w:val="0"/>
          <w:sz w:val="22"/>
          <w:szCs w:val="22"/>
        </w:rPr>
      </w:pPr>
      <w:r w:rsidRPr="00A940FC">
        <w:rPr>
          <w:rFonts w:asciiTheme="minorHAnsi" w:eastAsiaTheme="minorHAnsi" w:hAnsiTheme="minorHAnsi" w:cstheme="minorBidi"/>
          <w:i w:val="0"/>
          <w:iCs w:val="0"/>
          <w:color w:val="auto"/>
          <w:spacing w:val="0"/>
          <w:sz w:val="22"/>
          <w:szCs w:val="22"/>
        </w:rPr>
        <w:t xml:space="preserve"> </w:t>
      </w:r>
    </w:p>
    <w:p w:rsidR="00764808" w:rsidRPr="00764808" w:rsidRDefault="00764808" w:rsidP="00764808">
      <w:pPr>
        <w:rPr>
          <w:i/>
        </w:rPr>
      </w:pPr>
      <w:r>
        <w:rPr>
          <w:i/>
        </w:rPr>
        <w:t>Week 1:  Consciousness the self and inclusion</w:t>
      </w:r>
    </w:p>
    <w:p w:rsidR="00764808" w:rsidRDefault="00764808" w:rsidP="00764808">
      <w:pPr>
        <w:pStyle w:val="ListParagraph"/>
        <w:numPr>
          <w:ilvl w:val="0"/>
          <w:numId w:val="18"/>
        </w:numPr>
        <w:spacing w:after="0" w:line="240" w:lineRule="auto"/>
      </w:pPr>
      <w:proofErr w:type="spellStart"/>
      <w:r w:rsidRPr="009E4E96">
        <w:rPr>
          <w:i/>
        </w:rPr>
        <w:t>Thematizing</w:t>
      </w:r>
      <w:proofErr w:type="spellEnd"/>
      <w:r w:rsidRPr="009E4E96">
        <w:rPr>
          <w:i/>
        </w:rPr>
        <w:t xml:space="preserve"> Inclusion</w:t>
      </w:r>
      <w:r w:rsidR="009E4E96">
        <w:rPr>
          <w:i/>
        </w:rPr>
        <w:t>:</w:t>
      </w:r>
      <w:r w:rsidRPr="009E4E96">
        <w:rPr>
          <w:i/>
        </w:rPr>
        <w:t xml:space="preserve">  Young. Inc</w:t>
      </w:r>
      <w:r w:rsidR="009E4E96" w:rsidRPr="009E4E96">
        <w:rPr>
          <w:i/>
        </w:rPr>
        <w:t>lusion and Democracy</w:t>
      </w:r>
      <w:r w:rsidR="009E4E96">
        <w:t>:</w:t>
      </w:r>
      <w:r>
        <w:t xml:space="preserve"> pp. 11-14 posted</w:t>
      </w:r>
    </w:p>
    <w:p w:rsidR="00764808" w:rsidRDefault="00764808" w:rsidP="00764808">
      <w:pPr>
        <w:pStyle w:val="ListParagraph"/>
        <w:numPr>
          <w:ilvl w:val="0"/>
          <w:numId w:val="18"/>
        </w:numPr>
        <w:spacing w:after="0" w:line="240" w:lineRule="auto"/>
      </w:pPr>
      <w:r w:rsidRPr="009E4E96">
        <w:rPr>
          <w:i/>
        </w:rPr>
        <w:t>Difference</w:t>
      </w:r>
      <w:r w:rsidR="009E4E96">
        <w:rPr>
          <w:i/>
        </w:rPr>
        <w:t>:</w:t>
      </w:r>
      <w:r w:rsidRPr="009E4E96">
        <w:rPr>
          <w:i/>
        </w:rPr>
        <w:t xml:space="preserve"> </w:t>
      </w:r>
      <w:proofErr w:type="spellStart"/>
      <w:r w:rsidRPr="009E4E96">
        <w:rPr>
          <w:i/>
        </w:rPr>
        <w:t>Minow</w:t>
      </w:r>
      <w:proofErr w:type="spellEnd"/>
      <w:r>
        <w:t xml:space="preserve"> pp. 19-31, 79-80 posted</w:t>
      </w:r>
    </w:p>
    <w:p w:rsidR="00764808" w:rsidRDefault="00764808" w:rsidP="00764808">
      <w:pPr>
        <w:pStyle w:val="ListParagraph"/>
        <w:numPr>
          <w:ilvl w:val="0"/>
          <w:numId w:val="18"/>
        </w:numPr>
        <w:spacing w:after="0" w:line="240" w:lineRule="auto"/>
      </w:pPr>
      <w:r w:rsidRPr="009E4E96">
        <w:rPr>
          <w:i/>
        </w:rPr>
        <w:t>Illusion of the Self</w:t>
      </w:r>
      <w:r w:rsidR="009E4E96" w:rsidRPr="009E4E96">
        <w:rPr>
          <w:i/>
        </w:rPr>
        <w:t>: Wilson</w:t>
      </w:r>
      <w:r>
        <w:t xml:space="preserve">  pp. 43-50</w:t>
      </w:r>
    </w:p>
    <w:p w:rsidR="00764808" w:rsidRDefault="00764808" w:rsidP="00764808">
      <w:pPr>
        <w:pStyle w:val="ListParagraph"/>
        <w:numPr>
          <w:ilvl w:val="0"/>
          <w:numId w:val="18"/>
        </w:numPr>
        <w:spacing w:after="0" w:line="240" w:lineRule="auto"/>
      </w:pPr>
      <w:r w:rsidRPr="009E4E96">
        <w:rPr>
          <w:i/>
        </w:rPr>
        <w:t>Racing to Justice</w:t>
      </w:r>
      <w:r>
        <w:t xml:space="preserve"> chapter six</w:t>
      </w:r>
    </w:p>
    <w:p w:rsidR="00764808" w:rsidRPr="009E4E96" w:rsidRDefault="00764808" w:rsidP="00764808">
      <w:pPr>
        <w:pStyle w:val="ListParagraph"/>
        <w:numPr>
          <w:ilvl w:val="0"/>
          <w:numId w:val="18"/>
        </w:numPr>
        <w:spacing w:after="0" w:line="240" w:lineRule="auto"/>
        <w:rPr>
          <w:i/>
        </w:rPr>
      </w:pPr>
      <w:r w:rsidRPr="009E4E96">
        <w:rPr>
          <w:i/>
        </w:rPr>
        <w:t>Primer Kang: posted</w:t>
      </w:r>
    </w:p>
    <w:p w:rsidR="00764808" w:rsidRDefault="00764808" w:rsidP="008E787B">
      <w:pPr>
        <w:rPr>
          <w:i/>
        </w:rPr>
      </w:pPr>
    </w:p>
    <w:p w:rsidR="00764808" w:rsidRDefault="00764808" w:rsidP="008E787B">
      <w:pPr>
        <w:rPr>
          <w:i/>
        </w:rPr>
      </w:pPr>
      <w:r>
        <w:rPr>
          <w:i/>
        </w:rPr>
        <w:tab/>
      </w:r>
    </w:p>
    <w:p w:rsidR="008E787B" w:rsidRPr="00A940FC" w:rsidRDefault="00764808" w:rsidP="008E787B">
      <w:pPr>
        <w:rPr>
          <w:i/>
        </w:rPr>
      </w:pPr>
      <w:r>
        <w:rPr>
          <w:i/>
        </w:rPr>
        <w:t>Week 2</w:t>
      </w:r>
      <w:r w:rsidR="008E787B" w:rsidRPr="00A940FC">
        <w:rPr>
          <w:i/>
        </w:rPr>
        <w:t>: Slavery, Personhood and Citizenship</w:t>
      </w:r>
    </w:p>
    <w:p w:rsidR="008E787B" w:rsidRDefault="008E787B" w:rsidP="008E787B">
      <w:pPr>
        <w:pStyle w:val="ListParagraph"/>
        <w:numPr>
          <w:ilvl w:val="0"/>
          <w:numId w:val="2"/>
        </w:numPr>
      </w:pPr>
      <w:r w:rsidRPr="00A940FC">
        <w:t xml:space="preserve"> </w:t>
      </w:r>
      <w:r w:rsidRPr="00A940FC">
        <w:rPr>
          <w:i/>
        </w:rPr>
        <w:t>Dred Scott v. Sanford</w:t>
      </w:r>
      <w:r w:rsidRPr="00A940FC">
        <w:t xml:space="preserve">, 60 U.S. 393 (1856).  </w:t>
      </w:r>
    </w:p>
    <w:p w:rsidR="008E787B" w:rsidRPr="00A940FC" w:rsidRDefault="008E787B" w:rsidP="008E787B">
      <w:pPr>
        <w:pStyle w:val="ListParagraph"/>
        <w:numPr>
          <w:ilvl w:val="1"/>
          <w:numId w:val="2"/>
        </w:numPr>
      </w:pPr>
      <w:r w:rsidRPr="00A940FC">
        <w:t>Read pp. 397-431 (C. Justice Taney on the citizenship question and plea in abatement), and pp. 564-590 (Justice Curtis Dissenting on the citizenship question and plea in abatement).</w:t>
      </w:r>
    </w:p>
    <w:p w:rsidR="008E787B" w:rsidRDefault="008E787B" w:rsidP="008E787B">
      <w:pPr>
        <w:pStyle w:val="ListParagraph"/>
        <w:numPr>
          <w:ilvl w:val="0"/>
          <w:numId w:val="2"/>
        </w:numPr>
      </w:pPr>
      <w:r w:rsidRPr="00A940FC">
        <w:t>13</w:t>
      </w:r>
      <w:r w:rsidRPr="00A940FC">
        <w:rPr>
          <w:vertAlign w:val="superscript"/>
        </w:rPr>
        <w:t>th</w:t>
      </w:r>
      <w:r w:rsidRPr="00A940FC">
        <w:t>, 14</w:t>
      </w:r>
      <w:r w:rsidRPr="00A940FC">
        <w:rPr>
          <w:vertAlign w:val="superscript"/>
        </w:rPr>
        <w:t>th</w:t>
      </w:r>
      <w:r w:rsidRPr="00A940FC">
        <w:t>, and 15</w:t>
      </w:r>
      <w:r w:rsidRPr="00A940FC">
        <w:rPr>
          <w:vertAlign w:val="superscript"/>
        </w:rPr>
        <w:t>th</w:t>
      </w:r>
      <w:r w:rsidRPr="00A940FC">
        <w:t xml:space="preserve"> Amendments </w:t>
      </w:r>
    </w:p>
    <w:p w:rsidR="008E787B" w:rsidRPr="008E787B" w:rsidRDefault="008E787B" w:rsidP="00523AEA">
      <w:pPr>
        <w:pStyle w:val="ListParagraph"/>
        <w:numPr>
          <w:ilvl w:val="1"/>
          <w:numId w:val="2"/>
        </w:numPr>
      </w:pPr>
      <w:r>
        <w:t xml:space="preserve">Read </w:t>
      </w:r>
      <w:r w:rsidRPr="00A940FC">
        <w:t xml:space="preserve">in their entirety.  </w:t>
      </w:r>
    </w:p>
    <w:p w:rsidR="008E787B" w:rsidRDefault="008E787B" w:rsidP="00523AEA">
      <w:pPr>
        <w:rPr>
          <w:i/>
        </w:rPr>
      </w:pPr>
    </w:p>
    <w:p w:rsidR="00523AEA" w:rsidRPr="00A940FC" w:rsidRDefault="009E4E96" w:rsidP="00523AEA">
      <w:pPr>
        <w:rPr>
          <w:i/>
        </w:rPr>
      </w:pPr>
      <w:r>
        <w:rPr>
          <w:i/>
        </w:rPr>
        <w:t>Week 3</w:t>
      </w:r>
      <w:r w:rsidR="00523AEA" w:rsidRPr="00A940FC">
        <w:rPr>
          <w:i/>
        </w:rPr>
        <w:t xml:space="preserve">: </w:t>
      </w:r>
      <w:r w:rsidR="00733FCA" w:rsidRPr="00A940FC">
        <w:rPr>
          <w:i/>
        </w:rPr>
        <w:t>Jim Crow and Corporate Personhood</w:t>
      </w:r>
    </w:p>
    <w:p w:rsidR="00F34DC4" w:rsidRDefault="00A5175F" w:rsidP="00A5175F">
      <w:pPr>
        <w:pStyle w:val="ListParagraph"/>
        <w:numPr>
          <w:ilvl w:val="0"/>
          <w:numId w:val="1"/>
        </w:numPr>
      </w:pPr>
      <w:r w:rsidRPr="00A940FC">
        <w:rPr>
          <w:i/>
        </w:rPr>
        <w:lastRenderedPageBreak/>
        <w:t>The Slaughterhouse Cases</w:t>
      </w:r>
      <w:r w:rsidRPr="00A940FC">
        <w:t xml:space="preserve">, 83 U.S. 36 (1873) </w:t>
      </w:r>
    </w:p>
    <w:p w:rsidR="00A5175F" w:rsidRPr="00A940FC" w:rsidRDefault="00A5175F" w:rsidP="00F34DC4">
      <w:pPr>
        <w:pStyle w:val="ListParagraph"/>
        <w:numPr>
          <w:ilvl w:val="1"/>
          <w:numId w:val="1"/>
        </w:numPr>
      </w:pPr>
      <w:r w:rsidRPr="00A940FC">
        <w:t>Read Justice Miller’s opinion and Justice Field’s dissent</w:t>
      </w:r>
    </w:p>
    <w:p w:rsidR="00A5175F" w:rsidRPr="00A940FC" w:rsidRDefault="000333B2" w:rsidP="00A5175F">
      <w:pPr>
        <w:pStyle w:val="ListParagraph"/>
        <w:numPr>
          <w:ilvl w:val="0"/>
          <w:numId w:val="1"/>
        </w:numPr>
      </w:pPr>
      <w:r w:rsidRPr="00A940FC">
        <w:rPr>
          <w:i/>
        </w:rPr>
        <w:t>Santa Clara County v. Southern Pacific R. Co.,</w:t>
      </w:r>
      <w:r w:rsidRPr="00A940FC">
        <w:t xml:space="preserve"> 118 U.S. 394 (1886).</w:t>
      </w:r>
      <w:r w:rsidR="00A5175F" w:rsidRPr="00A940FC">
        <w:t xml:space="preserve"> </w:t>
      </w:r>
    </w:p>
    <w:p w:rsidR="000333B2" w:rsidRPr="00A940FC" w:rsidRDefault="00F34DC4" w:rsidP="00F34DC4">
      <w:pPr>
        <w:pStyle w:val="ListParagraph"/>
        <w:numPr>
          <w:ilvl w:val="0"/>
          <w:numId w:val="1"/>
        </w:numPr>
      </w:pPr>
      <w:r>
        <w:t xml:space="preserve">Charles Black, “Human Rights and the States,” </w:t>
      </w:r>
      <w:r w:rsidR="00A5175F" w:rsidRPr="00F34DC4">
        <w:rPr>
          <w:i/>
        </w:rPr>
        <w:t>A New Birth of Freedom</w:t>
      </w:r>
      <w:r w:rsidRPr="00F34DC4">
        <w:rPr>
          <w:i/>
        </w:rPr>
        <w:t xml:space="preserve">: Human Rights, Named and </w:t>
      </w:r>
      <w:r w:rsidRPr="00F34DC4">
        <w:t>Unnamed</w:t>
      </w:r>
      <w:r>
        <w:t xml:space="preserve">, </w:t>
      </w:r>
      <w:r w:rsidR="00A5175F" w:rsidRPr="00F34DC4">
        <w:t>Chapter</w:t>
      </w:r>
      <w:r w:rsidR="00A5175F" w:rsidRPr="00A940FC">
        <w:t xml:space="preserve"> 2</w:t>
      </w:r>
      <w:r>
        <w:t>.</w:t>
      </w:r>
      <w:r w:rsidR="00A5175F" w:rsidRPr="00A940FC">
        <w:t xml:space="preserve"> (</w:t>
      </w:r>
      <w:r>
        <w:t>See h</w:t>
      </w:r>
      <w:r w:rsidR="00A5175F" w:rsidRPr="00A940FC">
        <w:t>andout)</w:t>
      </w:r>
    </w:p>
    <w:p w:rsidR="00523AEA" w:rsidRPr="00A940FC" w:rsidRDefault="009E4E96">
      <w:pPr>
        <w:rPr>
          <w:i/>
        </w:rPr>
      </w:pPr>
      <w:r>
        <w:rPr>
          <w:i/>
        </w:rPr>
        <w:t>Week 4</w:t>
      </w:r>
      <w:r w:rsidR="00523AEA" w:rsidRPr="00A940FC">
        <w:rPr>
          <w:i/>
        </w:rPr>
        <w:t xml:space="preserve">: </w:t>
      </w:r>
      <w:r w:rsidR="00733FCA" w:rsidRPr="00A940FC">
        <w:rPr>
          <w:i/>
        </w:rPr>
        <w:t>The Revolution of 1937</w:t>
      </w:r>
    </w:p>
    <w:p w:rsidR="00F34DC4" w:rsidRDefault="00A5175F" w:rsidP="00A5175F">
      <w:pPr>
        <w:pStyle w:val="ListParagraph"/>
        <w:numPr>
          <w:ilvl w:val="0"/>
          <w:numId w:val="2"/>
        </w:numPr>
      </w:pPr>
      <w:proofErr w:type="spellStart"/>
      <w:r w:rsidRPr="00A940FC">
        <w:rPr>
          <w:i/>
        </w:rPr>
        <w:t>Plessy</w:t>
      </w:r>
      <w:proofErr w:type="spellEnd"/>
      <w:r w:rsidRPr="00A940FC">
        <w:rPr>
          <w:i/>
        </w:rPr>
        <w:t xml:space="preserve"> v. Ferguson, </w:t>
      </w:r>
      <w:r w:rsidRPr="00A940FC">
        <w:t xml:space="preserve">163 U.S. 537 (1896) </w:t>
      </w:r>
    </w:p>
    <w:p w:rsidR="00A5175F" w:rsidRPr="00A940FC" w:rsidRDefault="00A5175F" w:rsidP="00F34DC4">
      <w:pPr>
        <w:pStyle w:val="ListParagraph"/>
        <w:numPr>
          <w:ilvl w:val="1"/>
          <w:numId w:val="2"/>
        </w:numPr>
      </w:pPr>
      <w:r w:rsidRPr="00A940FC">
        <w:t xml:space="preserve">Be sure to read Justice Harlan’s dissent.  </w:t>
      </w:r>
    </w:p>
    <w:p w:rsidR="00A5175F" w:rsidRPr="00A940FC" w:rsidRDefault="00A5175F" w:rsidP="00A5175F">
      <w:pPr>
        <w:pStyle w:val="ListParagraph"/>
        <w:numPr>
          <w:ilvl w:val="0"/>
          <w:numId w:val="2"/>
        </w:numPr>
        <w:rPr>
          <w:rStyle w:val="IntenseEmphasis"/>
          <w:b w:val="0"/>
          <w:bCs w:val="0"/>
          <w:i w:val="0"/>
          <w:iCs w:val="0"/>
          <w:color w:val="auto"/>
        </w:rPr>
      </w:pPr>
      <w:proofErr w:type="spellStart"/>
      <w:r w:rsidRPr="00A940FC">
        <w:rPr>
          <w:rStyle w:val="IntenseEmphasis"/>
          <w:b w:val="0"/>
          <w:bCs w:val="0"/>
          <w:iCs w:val="0"/>
          <w:color w:val="auto"/>
        </w:rPr>
        <w:t>Lochner</w:t>
      </w:r>
      <w:proofErr w:type="spellEnd"/>
      <w:r w:rsidRPr="00A940FC">
        <w:rPr>
          <w:rStyle w:val="IntenseEmphasis"/>
          <w:b w:val="0"/>
          <w:bCs w:val="0"/>
          <w:iCs w:val="0"/>
          <w:color w:val="auto"/>
        </w:rPr>
        <w:t xml:space="preserve"> v. New York</w:t>
      </w:r>
      <w:r w:rsidRPr="00A940FC">
        <w:rPr>
          <w:rStyle w:val="IntenseEmphasis"/>
          <w:b w:val="0"/>
          <w:bCs w:val="0"/>
          <w:i w:val="0"/>
          <w:iCs w:val="0"/>
          <w:color w:val="auto"/>
        </w:rPr>
        <w:t>, 198 U.S. 45 (1905)</w:t>
      </w:r>
    </w:p>
    <w:p w:rsidR="000333B2" w:rsidRPr="00A940FC" w:rsidRDefault="000333B2" w:rsidP="000333B2">
      <w:pPr>
        <w:pStyle w:val="ListParagraph"/>
        <w:numPr>
          <w:ilvl w:val="0"/>
          <w:numId w:val="2"/>
        </w:numPr>
        <w:rPr>
          <w:rStyle w:val="IntenseEmphasis"/>
          <w:b w:val="0"/>
          <w:bCs w:val="0"/>
          <w:i w:val="0"/>
          <w:iCs w:val="0"/>
          <w:color w:val="auto"/>
        </w:rPr>
      </w:pPr>
      <w:r w:rsidRPr="00A940FC">
        <w:rPr>
          <w:rStyle w:val="IntenseEmphasis"/>
          <w:b w:val="0"/>
          <w:bCs w:val="0"/>
          <w:iCs w:val="0"/>
          <w:color w:val="auto"/>
        </w:rPr>
        <w:t xml:space="preserve">United States v. </w:t>
      </w:r>
      <w:proofErr w:type="spellStart"/>
      <w:r w:rsidRPr="00A940FC">
        <w:rPr>
          <w:rStyle w:val="IntenseEmphasis"/>
          <w:b w:val="0"/>
          <w:bCs w:val="0"/>
          <w:iCs w:val="0"/>
          <w:color w:val="auto"/>
        </w:rPr>
        <w:t>Carolene</w:t>
      </w:r>
      <w:proofErr w:type="spellEnd"/>
      <w:r w:rsidRPr="00A940FC">
        <w:rPr>
          <w:rStyle w:val="IntenseEmphasis"/>
          <w:b w:val="0"/>
          <w:bCs w:val="0"/>
          <w:iCs w:val="0"/>
          <w:color w:val="auto"/>
        </w:rPr>
        <w:t xml:space="preserve"> Prods. Co., </w:t>
      </w:r>
      <w:r w:rsidRPr="00A940FC">
        <w:rPr>
          <w:rStyle w:val="IntenseEmphasis"/>
          <w:b w:val="0"/>
          <w:bCs w:val="0"/>
          <w:i w:val="0"/>
          <w:iCs w:val="0"/>
          <w:color w:val="auto"/>
        </w:rPr>
        <w:t xml:space="preserve">304 U.S. 144 (1938). </w:t>
      </w:r>
    </w:p>
    <w:p w:rsidR="000333B2" w:rsidRPr="00A940FC" w:rsidRDefault="000333B2" w:rsidP="000333B2">
      <w:pPr>
        <w:pStyle w:val="ListParagraph"/>
        <w:numPr>
          <w:ilvl w:val="0"/>
          <w:numId w:val="2"/>
        </w:numPr>
        <w:rPr>
          <w:rStyle w:val="IntenseEmphasis"/>
          <w:b w:val="0"/>
          <w:bCs w:val="0"/>
          <w:i w:val="0"/>
          <w:iCs w:val="0"/>
          <w:color w:val="auto"/>
        </w:rPr>
      </w:pPr>
      <w:r w:rsidRPr="00A940FC">
        <w:rPr>
          <w:rStyle w:val="IntenseEmphasis"/>
          <w:b w:val="0"/>
          <w:bCs w:val="0"/>
          <w:i w:val="0"/>
          <w:iCs w:val="0"/>
          <w:color w:val="auto"/>
        </w:rPr>
        <w:t xml:space="preserve">Cass </w:t>
      </w:r>
      <w:proofErr w:type="spellStart"/>
      <w:r w:rsidRPr="00A940FC">
        <w:rPr>
          <w:rStyle w:val="IntenseEmphasis"/>
          <w:b w:val="0"/>
          <w:bCs w:val="0"/>
          <w:i w:val="0"/>
          <w:iCs w:val="0"/>
          <w:color w:val="auto"/>
        </w:rPr>
        <w:t>Sunstein</w:t>
      </w:r>
      <w:proofErr w:type="spellEnd"/>
      <w:r w:rsidRPr="00A940FC">
        <w:rPr>
          <w:rStyle w:val="IntenseEmphasis"/>
          <w:b w:val="0"/>
          <w:bCs w:val="0"/>
          <w:i w:val="0"/>
          <w:iCs w:val="0"/>
          <w:color w:val="auto"/>
        </w:rPr>
        <w:t>,</w:t>
      </w:r>
      <w:r w:rsidR="005D7E37">
        <w:rPr>
          <w:rStyle w:val="IntenseEmphasis"/>
          <w:b w:val="0"/>
          <w:bCs w:val="0"/>
          <w:i w:val="0"/>
          <w:iCs w:val="0"/>
          <w:color w:val="auto"/>
        </w:rPr>
        <w:t xml:space="preserve"> “The Revolution of 1937,”</w:t>
      </w:r>
      <w:r w:rsidRPr="00A940FC">
        <w:rPr>
          <w:rStyle w:val="IntenseEmphasis"/>
          <w:b w:val="0"/>
          <w:bCs w:val="0"/>
          <w:i w:val="0"/>
          <w:iCs w:val="0"/>
          <w:color w:val="auto"/>
        </w:rPr>
        <w:t xml:space="preserve"> </w:t>
      </w:r>
      <w:r w:rsidRPr="005D7E37">
        <w:rPr>
          <w:rStyle w:val="IntenseEmphasis"/>
          <w:b w:val="0"/>
          <w:bCs w:val="0"/>
          <w:iCs w:val="0"/>
          <w:color w:val="auto"/>
        </w:rPr>
        <w:t>The Partial Constitution</w:t>
      </w:r>
      <w:r w:rsidRPr="00A940FC">
        <w:rPr>
          <w:rStyle w:val="IntenseEmphasis"/>
          <w:b w:val="0"/>
          <w:bCs w:val="0"/>
          <w:i w:val="0"/>
          <w:iCs w:val="0"/>
          <w:color w:val="auto"/>
        </w:rPr>
        <w:t>, Chapter 2</w:t>
      </w:r>
      <w:r w:rsidR="005D7E37">
        <w:rPr>
          <w:rStyle w:val="IntenseEmphasis"/>
          <w:b w:val="0"/>
          <w:bCs w:val="0"/>
          <w:i w:val="0"/>
          <w:iCs w:val="0"/>
          <w:color w:val="auto"/>
        </w:rPr>
        <w:t xml:space="preserve"> (see handout).</w:t>
      </w:r>
    </w:p>
    <w:p w:rsidR="000333B2" w:rsidRPr="00A940FC" w:rsidRDefault="005D7E37" w:rsidP="000333B2">
      <w:pPr>
        <w:pStyle w:val="ListParagraph"/>
        <w:numPr>
          <w:ilvl w:val="0"/>
          <w:numId w:val="2"/>
        </w:numPr>
      </w:pPr>
      <w:proofErr w:type="gramStart"/>
      <w:r>
        <w:t>john</w:t>
      </w:r>
      <w:proofErr w:type="gramEnd"/>
      <w:r>
        <w:t xml:space="preserve"> </w:t>
      </w:r>
      <w:proofErr w:type="spellStart"/>
      <w:r>
        <w:t>powell</w:t>
      </w:r>
      <w:proofErr w:type="spellEnd"/>
      <w:r>
        <w:t xml:space="preserve">, </w:t>
      </w:r>
      <w:r w:rsidR="000333B2" w:rsidRPr="00F34DC4">
        <w:rPr>
          <w:i/>
        </w:rPr>
        <w:t>Constitutional</w:t>
      </w:r>
      <w:r w:rsidR="00F34DC4" w:rsidRPr="00F34DC4">
        <w:rPr>
          <w:i/>
        </w:rPr>
        <w:t>ism</w:t>
      </w:r>
      <w:r w:rsidR="000333B2" w:rsidRPr="00F34DC4">
        <w:rPr>
          <w:i/>
        </w:rPr>
        <w:t xml:space="preserve"> and the Extreme Poor: Neo-Dred Scott and the Contemporary “Discrete and Insular Minorities</w:t>
      </w:r>
      <w:r>
        <w:t>,</w:t>
      </w:r>
      <w:r w:rsidR="00F34DC4">
        <w:t xml:space="preserve">” </w:t>
      </w:r>
      <w:r w:rsidR="000333B2" w:rsidRPr="00A940FC">
        <w:t>60</w:t>
      </w:r>
      <w:r>
        <w:t xml:space="preserve"> </w:t>
      </w:r>
      <w:r w:rsidRPr="00A940FC">
        <w:t>Drake L</w:t>
      </w:r>
      <w:r>
        <w:t xml:space="preserve">. Rev. 1069 </w:t>
      </w:r>
      <w:r w:rsidR="000333B2" w:rsidRPr="00A940FC">
        <w:t>(2012</w:t>
      </w:r>
      <w:r>
        <w:t>).</w:t>
      </w:r>
    </w:p>
    <w:p w:rsidR="00A5175F" w:rsidRPr="00A940FC" w:rsidRDefault="009E4E96" w:rsidP="00A5175F">
      <w:pPr>
        <w:rPr>
          <w:i/>
        </w:rPr>
      </w:pPr>
      <w:r>
        <w:rPr>
          <w:i/>
        </w:rPr>
        <w:t>Week 5</w:t>
      </w:r>
      <w:r w:rsidR="0048444D" w:rsidRPr="00A940FC">
        <w:rPr>
          <w:i/>
        </w:rPr>
        <w:t xml:space="preserve">: </w:t>
      </w:r>
      <w:r w:rsidR="000333B2" w:rsidRPr="00A940FC">
        <w:rPr>
          <w:i/>
        </w:rPr>
        <w:t xml:space="preserve">The Public-Private Distinction    </w:t>
      </w:r>
    </w:p>
    <w:p w:rsidR="00A5175F" w:rsidRPr="00A940FC" w:rsidRDefault="00A5175F" w:rsidP="00A5175F">
      <w:pPr>
        <w:pStyle w:val="ListParagraph"/>
        <w:numPr>
          <w:ilvl w:val="0"/>
          <w:numId w:val="2"/>
        </w:numPr>
      </w:pPr>
      <w:r w:rsidRPr="00A940FC">
        <w:rPr>
          <w:i/>
        </w:rPr>
        <w:t>Dartmouth College v. Woodward</w:t>
      </w:r>
      <w:r w:rsidRPr="00A940FC">
        <w:t>, 17 U.S. 518 (1819)</w:t>
      </w:r>
      <w:r w:rsidR="005D7E37">
        <w:t>.</w:t>
      </w:r>
    </w:p>
    <w:p w:rsidR="002B1446" w:rsidRPr="00A940FC" w:rsidRDefault="002B1446" w:rsidP="002B1446">
      <w:pPr>
        <w:pStyle w:val="ListParagraph"/>
        <w:numPr>
          <w:ilvl w:val="0"/>
          <w:numId w:val="2"/>
        </w:numPr>
      </w:pPr>
      <w:r w:rsidRPr="00A940FC">
        <w:rPr>
          <w:i/>
        </w:rPr>
        <w:t>Marsh v. Alabama</w:t>
      </w:r>
      <w:r>
        <w:t>, 326 U.S. 501 (1946).</w:t>
      </w:r>
    </w:p>
    <w:p w:rsidR="00A5175F" w:rsidRPr="00A940FC" w:rsidRDefault="00A5175F" w:rsidP="00A5175F">
      <w:pPr>
        <w:pStyle w:val="ListParagraph"/>
        <w:numPr>
          <w:ilvl w:val="0"/>
          <w:numId w:val="2"/>
        </w:numPr>
      </w:pPr>
      <w:r w:rsidRPr="00A940FC">
        <w:rPr>
          <w:i/>
        </w:rPr>
        <w:t>Shelly v. Kraemer</w:t>
      </w:r>
      <w:r w:rsidRPr="00A940FC">
        <w:t>, 334 U.S. 1 (1948)</w:t>
      </w:r>
      <w:r w:rsidR="005D7E37">
        <w:t>.</w:t>
      </w:r>
    </w:p>
    <w:p w:rsidR="00A5175F" w:rsidRPr="00A940FC" w:rsidRDefault="00A5175F" w:rsidP="00A5175F">
      <w:pPr>
        <w:pStyle w:val="ListParagraph"/>
        <w:numPr>
          <w:ilvl w:val="0"/>
          <w:numId w:val="2"/>
        </w:numPr>
      </w:pPr>
      <w:r w:rsidRPr="00A940FC">
        <w:t>The Dartmouth College Case and the Public-Private Penumbr</w:t>
      </w:r>
      <w:r w:rsidR="002B1446">
        <w:t>a,” Judge Henry Friendly (1969)</w:t>
      </w:r>
    </w:p>
    <w:p w:rsidR="005D7E37" w:rsidRPr="00EE0DC8" w:rsidRDefault="005D7E37" w:rsidP="00EE0DC8">
      <w:pPr>
        <w:pStyle w:val="ListParagraph"/>
        <w:numPr>
          <w:ilvl w:val="0"/>
          <w:numId w:val="2"/>
        </w:numPr>
      </w:pPr>
      <w:r>
        <w:t xml:space="preserve">David </w:t>
      </w:r>
      <w:proofErr w:type="spellStart"/>
      <w:r>
        <w:t>Rothkopf</w:t>
      </w:r>
      <w:proofErr w:type="spellEnd"/>
      <w:r>
        <w:t xml:space="preserve">. “How the Rule of Law Backfired,” </w:t>
      </w:r>
      <w:r w:rsidR="00A5175F" w:rsidRPr="005D7E37">
        <w:rPr>
          <w:i/>
        </w:rPr>
        <w:t>Power Inc.</w:t>
      </w:r>
      <w:r w:rsidRPr="005D7E37">
        <w:rPr>
          <w:i/>
        </w:rPr>
        <w:t xml:space="preserve">: The Epic Rivalry </w:t>
      </w:r>
      <w:proofErr w:type="gramStart"/>
      <w:r w:rsidRPr="005D7E37">
        <w:rPr>
          <w:i/>
        </w:rPr>
        <w:t>Between</w:t>
      </w:r>
      <w:proofErr w:type="gramEnd"/>
      <w:r w:rsidRPr="005D7E37">
        <w:rPr>
          <w:i/>
        </w:rPr>
        <w:t xml:space="preserve"> Big Business and Government and the Reckoning that Lies Ahead</w:t>
      </w:r>
      <w:r>
        <w:t xml:space="preserve">, </w:t>
      </w:r>
      <w:r w:rsidR="00A5175F" w:rsidRPr="00A940FC">
        <w:t>Chapter 6</w:t>
      </w:r>
      <w:r>
        <w:t xml:space="preserve"> (see handout).</w:t>
      </w:r>
    </w:p>
    <w:p w:rsidR="00733FCA" w:rsidRPr="00A940FC" w:rsidRDefault="009E4E96" w:rsidP="00733FCA">
      <w:pPr>
        <w:rPr>
          <w:bCs/>
          <w:i/>
        </w:rPr>
      </w:pPr>
      <w:r>
        <w:rPr>
          <w:bCs/>
          <w:i/>
        </w:rPr>
        <w:t>Week 6</w:t>
      </w:r>
      <w:r w:rsidR="00733FCA" w:rsidRPr="00A940FC">
        <w:rPr>
          <w:bCs/>
          <w:i/>
        </w:rPr>
        <w:t xml:space="preserve">: The Powell Memo &amp; </w:t>
      </w:r>
      <w:proofErr w:type="gramStart"/>
      <w:r w:rsidR="00733FCA" w:rsidRPr="00A940FC">
        <w:rPr>
          <w:bCs/>
          <w:i/>
        </w:rPr>
        <w:t>The</w:t>
      </w:r>
      <w:proofErr w:type="gramEnd"/>
      <w:r w:rsidR="00733FCA" w:rsidRPr="00A940FC">
        <w:rPr>
          <w:bCs/>
          <w:i/>
        </w:rPr>
        <w:t xml:space="preserve"> Expansion of Corporate Rights</w:t>
      </w:r>
    </w:p>
    <w:p w:rsidR="00733FCA" w:rsidRDefault="00733FCA" w:rsidP="00733FCA">
      <w:pPr>
        <w:pStyle w:val="ListParagraph"/>
        <w:numPr>
          <w:ilvl w:val="0"/>
          <w:numId w:val="9"/>
        </w:numPr>
      </w:pPr>
      <w:r w:rsidRPr="00A940FC">
        <w:t xml:space="preserve">The Powell Memo, available online at </w:t>
      </w:r>
      <w:hyperlink r:id="rId9" w:history="1">
        <w:r w:rsidRPr="00A940FC">
          <w:rPr>
            <w:rStyle w:val="Hyperlink"/>
          </w:rPr>
          <w:t>http://reclaimdemocracy.org/corporate_accountability/powell_memo_lewis.html</w:t>
        </w:r>
      </w:hyperlink>
      <w:r w:rsidRPr="00A940FC">
        <w:t xml:space="preserve"> </w:t>
      </w:r>
    </w:p>
    <w:p w:rsidR="0086158D" w:rsidRPr="0086158D" w:rsidRDefault="0086158D" w:rsidP="00733FCA">
      <w:pPr>
        <w:pStyle w:val="ListParagraph"/>
        <w:numPr>
          <w:ilvl w:val="0"/>
          <w:numId w:val="9"/>
        </w:numPr>
      </w:pPr>
      <w:r>
        <w:rPr>
          <w:i/>
        </w:rPr>
        <w:t xml:space="preserve">Citizens United v. Fed. Election </w:t>
      </w:r>
      <w:proofErr w:type="spellStart"/>
      <w:r>
        <w:rPr>
          <w:i/>
        </w:rPr>
        <w:t>Comm’n</w:t>
      </w:r>
      <w:proofErr w:type="spellEnd"/>
      <w:r>
        <w:rPr>
          <w:i/>
        </w:rPr>
        <w:t>.</w:t>
      </w:r>
      <w:r>
        <w:t xml:space="preserve"> 558 U.S. 310 (2010).</w:t>
      </w:r>
    </w:p>
    <w:p w:rsidR="0086158D" w:rsidRPr="00A940FC" w:rsidRDefault="0086158D" w:rsidP="00733FCA">
      <w:pPr>
        <w:pStyle w:val="ListParagraph"/>
        <w:numPr>
          <w:ilvl w:val="0"/>
          <w:numId w:val="9"/>
        </w:numPr>
      </w:pPr>
      <w:r>
        <w:rPr>
          <w:i/>
        </w:rPr>
        <w:t xml:space="preserve">Money Unlimited, How Chief Justice John Roberts orchestrated the Citizens United decision. </w:t>
      </w:r>
      <w:r>
        <w:t xml:space="preserve">Jeffrey </w:t>
      </w:r>
      <w:proofErr w:type="spellStart"/>
      <w:r>
        <w:t>Toobin</w:t>
      </w:r>
      <w:proofErr w:type="spellEnd"/>
      <w:r>
        <w:t>. The New Yorker, May 21, 2012.</w:t>
      </w:r>
    </w:p>
    <w:p w:rsidR="0086158D" w:rsidRPr="00A940FC" w:rsidRDefault="00B50DC5" w:rsidP="0086158D">
      <w:pPr>
        <w:pStyle w:val="ListParagraph"/>
        <w:numPr>
          <w:ilvl w:val="0"/>
          <w:numId w:val="9"/>
        </w:numPr>
      </w:pPr>
      <w:r>
        <w:rPr>
          <w:bCs/>
          <w:i/>
        </w:rPr>
        <w:t>Optional</w:t>
      </w:r>
      <w:r w:rsidR="002B1446">
        <w:rPr>
          <w:bCs/>
          <w:i/>
        </w:rPr>
        <w:t xml:space="preserve">: </w:t>
      </w:r>
      <w:r>
        <w:rPr>
          <w:bCs/>
          <w:i/>
        </w:rPr>
        <w:t xml:space="preserve"> </w:t>
      </w:r>
      <w:r w:rsidR="00733FCA" w:rsidRPr="00A940FC">
        <w:rPr>
          <w:bCs/>
          <w:i/>
        </w:rPr>
        <w:t xml:space="preserve">First National Bank of Boston v. </w:t>
      </w:r>
      <w:proofErr w:type="spellStart"/>
      <w:r w:rsidR="00733FCA" w:rsidRPr="00A940FC">
        <w:rPr>
          <w:bCs/>
          <w:i/>
        </w:rPr>
        <w:t>Bellotti</w:t>
      </w:r>
      <w:proofErr w:type="spellEnd"/>
      <w:r w:rsidR="00733FCA" w:rsidRPr="00A940FC">
        <w:rPr>
          <w:bCs/>
        </w:rPr>
        <w:t>, 435 U.S. 765 (1978)</w:t>
      </w:r>
    </w:p>
    <w:p w:rsidR="0048444D" w:rsidRPr="00A940FC" w:rsidRDefault="009E4E96" w:rsidP="0048444D">
      <w:r>
        <w:rPr>
          <w:i/>
        </w:rPr>
        <w:t>Week 7</w:t>
      </w:r>
      <w:r w:rsidR="00733FCA" w:rsidRPr="00A940FC">
        <w:rPr>
          <w:i/>
        </w:rPr>
        <w:t>:</w:t>
      </w:r>
      <w:r w:rsidR="0048444D" w:rsidRPr="00A940FC">
        <w:rPr>
          <w:i/>
        </w:rPr>
        <w:t xml:space="preserve"> </w:t>
      </w:r>
      <w:r w:rsidR="00733FCA" w:rsidRPr="00A940FC">
        <w:rPr>
          <w:i/>
        </w:rPr>
        <w:t>Beyond Public/Private</w:t>
      </w:r>
    </w:p>
    <w:p w:rsidR="006C66F3" w:rsidRPr="00A940FC" w:rsidRDefault="006C66F3" w:rsidP="006C66F3">
      <w:pPr>
        <w:pStyle w:val="ListParagraph"/>
        <w:numPr>
          <w:ilvl w:val="0"/>
          <w:numId w:val="4"/>
        </w:numPr>
      </w:pPr>
      <w:r>
        <w:t xml:space="preserve">Richard Rothstein, </w:t>
      </w:r>
      <w:r>
        <w:rPr>
          <w:i/>
        </w:rPr>
        <w:t>Race and public housing: Revisiting the federal role</w:t>
      </w:r>
      <w:r>
        <w:t xml:space="preserve">, Economic Policy Institute, 17 Dec. 2012.  </w:t>
      </w:r>
      <w:hyperlink r:id="rId10" w:history="1">
        <w:r w:rsidRPr="00A940FC">
          <w:rPr>
            <w:rStyle w:val="Hyperlink"/>
          </w:rPr>
          <w:t>http://www.epi.org/publication/race-public-housing-revisiting-federal-role/</w:t>
        </w:r>
      </w:hyperlink>
      <w:r w:rsidRPr="00A940FC">
        <w:t xml:space="preserve"> </w:t>
      </w:r>
    </w:p>
    <w:p w:rsidR="00733FCA" w:rsidRPr="00A940FC" w:rsidRDefault="00733FCA" w:rsidP="00733FCA">
      <w:pPr>
        <w:pStyle w:val="ListParagraph"/>
        <w:numPr>
          <w:ilvl w:val="0"/>
          <w:numId w:val="4"/>
        </w:numPr>
      </w:pPr>
      <w:proofErr w:type="gramStart"/>
      <w:r w:rsidRPr="00A940FC">
        <w:t>john</w:t>
      </w:r>
      <w:proofErr w:type="gramEnd"/>
      <w:r w:rsidRPr="00A940FC">
        <w:t xml:space="preserve"> </w:t>
      </w:r>
      <w:r w:rsidR="006C66F3">
        <w:t xml:space="preserve">a. </w:t>
      </w:r>
      <w:proofErr w:type="spellStart"/>
      <w:r w:rsidR="006C66F3">
        <w:t>powell</w:t>
      </w:r>
      <w:proofErr w:type="spellEnd"/>
      <w:r w:rsidR="006C66F3">
        <w:t xml:space="preserve"> &amp; Stephen </w:t>
      </w:r>
      <w:proofErr w:type="spellStart"/>
      <w:r w:rsidR="006C66F3">
        <w:t>Menendian</w:t>
      </w:r>
      <w:proofErr w:type="spellEnd"/>
      <w:r w:rsidR="006C66F3">
        <w:t xml:space="preserve">, </w:t>
      </w:r>
      <w:r w:rsidRPr="006C66F3">
        <w:rPr>
          <w:i/>
        </w:rPr>
        <w:t>Beyond Public/Private: Understanding Excessive Corporate Prerogative</w:t>
      </w:r>
      <w:r w:rsidR="006C66F3">
        <w:t>,</w:t>
      </w:r>
      <w:r w:rsidRPr="00A940FC">
        <w:t xml:space="preserve"> </w:t>
      </w:r>
      <w:r w:rsidR="006C66F3">
        <w:t xml:space="preserve">100 </w:t>
      </w:r>
      <w:r w:rsidRPr="00A940FC">
        <w:t>K</w:t>
      </w:r>
      <w:r w:rsidR="006C66F3">
        <w:t>Y. L.J. 84 (2011/12)</w:t>
      </w:r>
      <w:r w:rsidRPr="00A940FC">
        <w:t>.</w:t>
      </w:r>
    </w:p>
    <w:p w:rsidR="00034413" w:rsidRPr="00A940FC" w:rsidRDefault="009E4E96" w:rsidP="00034413">
      <w:pPr>
        <w:rPr>
          <w:rStyle w:val="IntenseEmphasis"/>
          <w:b w:val="0"/>
          <w:bCs w:val="0"/>
          <w:iCs w:val="0"/>
          <w:color w:val="auto"/>
        </w:rPr>
      </w:pPr>
      <w:r>
        <w:rPr>
          <w:rStyle w:val="IntenseEmphasis"/>
          <w:b w:val="0"/>
          <w:bCs w:val="0"/>
          <w:iCs w:val="0"/>
          <w:color w:val="auto"/>
        </w:rPr>
        <w:lastRenderedPageBreak/>
        <w:t>Week 8</w:t>
      </w:r>
      <w:r w:rsidR="00034413" w:rsidRPr="00A940FC">
        <w:rPr>
          <w:rStyle w:val="IntenseEmphasis"/>
          <w:b w:val="0"/>
          <w:bCs w:val="0"/>
          <w:iCs w:val="0"/>
          <w:color w:val="auto"/>
        </w:rPr>
        <w:t>: The Political Restructuring Doctrine</w:t>
      </w:r>
    </w:p>
    <w:p w:rsidR="00034413" w:rsidRPr="00A940FC" w:rsidRDefault="00034413" w:rsidP="00034413">
      <w:pPr>
        <w:pStyle w:val="ListParagraph"/>
        <w:numPr>
          <w:ilvl w:val="0"/>
          <w:numId w:val="14"/>
        </w:numPr>
      </w:pPr>
      <w:r w:rsidRPr="00A940FC">
        <w:rPr>
          <w:i/>
        </w:rPr>
        <w:t>Hunter v. Erickson</w:t>
      </w:r>
      <w:r w:rsidR="006C66F3">
        <w:t xml:space="preserve">, 393 U.S. 385 (1969). </w:t>
      </w:r>
    </w:p>
    <w:p w:rsidR="00034413" w:rsidRDefault="00034413" w:rsidP="00034413">
      <w:pPr>
        <w:pStyle w:val="ListParagraph"/>
        <w:numPr>
          <w:ilvl w:val="0"/>
          <w:numId w:val="14"/>
        </w:numPr>
      </w:pPr>
      <w:r w:rsidRPr="00A940FC">
        <w:rPr>
          <w:i/>
        </w:rPr>
        <w:t xml:space="preserve">James v. </w:t>
      </w:r>
      <w:proofErr w:type="spellStart"/>
      <w:r w:rsidRPr="00A940FC">
        <w:rPr>
          <w:i/>
        </w:rPr>
        <w:t>Valtierra</w:t>
      </w:r>
      <w:proofErr w:type="spellEnd"/>
      <w:r w:rsidR="006C66F3">
        <w:t>, 402 U.S. 137 (1971).</w:t>
      </w:r>
    </w:p>
    <w:p w:rsidR="002B1446" w:rsidRPr="002B1446" w:rsidRDefault="002B1446" w:rsidP="00034413">
      <w:pPr>
        <w:pStyle w:val="ListParagraph"/>
        <w:numPr>
          <w:ilvl w:val="0"/>
          <w:numId w:val="14"/>
        </w:numPr>
      </w:pPr>
      <w:r w:rsidRPr="00071123">
        <w:rPr>
          <w:i/>
        </w:rPr>
        <w:t>Crawford v. Board of Education of the City of Los Angeles</w:t>
      </w:r>
      <w:r w:rsidRPr="00A940FC">
        <w:rPr>
          <w:i/>
        </w:rPr>
        <w:t xml:space="preserve"> </w:t>
      </w:r>
    </w:p>
    <w:p w:rsidR="00034413" w:rsidRPr="00A940FC" w:rsidRDefault="00034413" w:rsidP="00034413">
      <w:pPr>
        <w:pStyle w:val="ListParagraph"/>
        <w:numPr>
          <w:ilvl w:val="0"/>
          <w:numId w:val="14"/>
        </w:numPr>
      </w:pPr>
      <w:r w:rsidRPr="00A940FC">
        <w:rPr>
          <w:i/>
        </w:rPr>
        <w:t>Washington v. Seattle School Dist. No 1</w:t>
      </w:r>
      <w:r w:rsidR="006C66F3">
        <w:t>, 458 U.S. 457 (1982).</w:t>
      </w:r>
    </w:p>
    <w:p w:rsidR="002B1446" w:rsidRDefault="006C66F3" w:rsidP="002B1446">
      <w:pPr>
        <w:pStyle w:val="ListParagraph"/>
        <w:numPr>
          <w:ilvl w:val="0"/>
          <w:numId w:val="14"/>
        </w:numPr>
      </w:pPr>
      <w:r>
        <w:rPr>
          <w:i/>
        </w:rPr>
        <w:t>United States v. Cantrell</w:t>
      </w:r>
      <w:r>
        <w:t>, 433 F.3d 1269 (9</w:t>
      </w:r>
      <w:r w:rsidRPr="006C66F3">
        <w:rPr>
          <w:vertAlign w:val="superscript"/>
        </w:rPr>
        <w:t>th</w:t>
      </w:r>
      <w:r>
        <w:t xml:space="preserve"> Cir. 2006). </w:t>
      </w:r>
    </w:p>
    <w:p w:rsidR="00EE0DC8" w:rsidRPr="00EE0DC8" w:rsidRDefault="002B1446" w:rsidP="002B1446">
      <w:pPr>
        <w:pStyle w:val="ListParagraph"/>
        <w:numPr>
          <w:ilvl w:val="0"/>
          <w:numId w:val="14"/>
        </w:numPr>
      </w:pPr>
      <w:r w:rsidRPr="00A940FC">
        <w:rPr>
          <w:i/>
        </w:rPr>
        <w:t>Cantrell Petition to the US Supreme Court</w:t>
      </w:r>
    </w:p>
    <w:p w:rsidR="00EE0DC8" w:rsidRDefault="009E4E96" w:rsidP="00EE0DC8">
      <w:pPr>
        <w:rPr>
          <w:i/>
        </w:rPr>
      </w:pPr>
      <w:r>
        <w:rPr>
          <w:i/>
        </w:rPr>
        <w:t>Week 9</w:t>
      </w:r>
      <w:r w:rsidR="00EE0DC8">
        <w:rPr>
          <w:i/>
        </w:rPr>
        <w:t xml:space="preserve">: Disparate Impact Doctrine </w:t>
      </w:r>
      <w:proofErr w:type="gramStart"/>
      <w:r w:rsidR="00EE0DC8">
        <w:rPr>
          <w:i/>
        </w:rPr>
        <w:t>Under</w:t>
      </w:r>
      <w:proofErr w:type="gramEnd"/>
      <w:r w:rsidR="00EE0DC8">
        <w:rPr>
          <w:i/>
        </w:rPr>
        <w:t xml:space="preserve"> Attack</w:t>
      </w:r>
    </w:p>
    <w:p w:rsidR="00EE0DC8" w:rsidRPr="00A940FC" w:rsidRDefault="00EE0DC8" w:rsidP="00EE0DC8">
      <w:pPr>
        <w:pStyle w:val="ListParagraph"/>
        <w:numPr>
          <w:ilvl w:val="0"/>
          <w:numId w:val="8"/>
        </w:numPr>
        <w:spacing w:after="0" w:line="240" w:lineRule="auto"/>
        <w:rPr>
          <w:rFonts w:eastAsia="Times New Roman" w:cs="Times New Roman"/>
        </w:rPr>
      </w:pPr>
      <w:r w:rsidRPr="00A940FC">
        <w:rPr>
          <w:i/>
        </w:rPr>
        <w:t xml:space="preserve">Ricci v. </w:t>
      </w:r>
      <w:proofErr w:type="spellStart"/>
      <w:r w:rsidRPr="00A940FC">
        <w:rPr>
          <w:i/>
        </w:rPr>
        <w:t>DeStefano</w:t>
      </w:r>
      <w:proofErr w:type="spellEnd"/>
      <w:r w:rsidRPr="00A940FC">
        <w:rPr>
          <w:rFonts w:eastAsia="Times New Roman" w:cs="Times New Roman"/>
        </w:rPr>
        <w:t>, 557 U.S. 557 (2009).</w:t>
      </w:r>
    </w:p>
    <w:p w:rsidR="00EE0DC8" w:rsidRPr="00EE0DC8" w:rsidRDefault="00EE0DC8" w:rsidP="00EE0DC8">
      <w:pPr>
        <w:pStyle w:val="ListParagraph"/>
        <w:numPr>
          <w:ilvl w:val="0"/>
          <w:numId w:val="8"/>
        </w:numPr>
        <w:rPr>
          <w:bCs/>
        </w:rPr>
      </w:pPr>
      <w:r w:rsidRPr="00A940FC">
        <w:rPr>
          <w:rFonts w:eastAsia="Times New Roman" w:cs="Times New Roman"/>
          <w:i/>
        </w:rPr>
        <w:t>Mt. Holly Gardens Citizens in Action, Inc. v. Twp. of Mount Holly,</w:t>
      </w:r>
      <w:r w:rsidRPr="00A940FC">
        <w:rPr>
          <w:rFonts w:eastAsia="Times New Roman" w:cs="Times New Roman"/>
        </w:rPr>
        <w:t xml:space="preserve"> 658 F.3d 375 (3d Cir. 2011) </w:t>
      </w:r>
      <w:r w:rsidRPr="00A940FC">
        <w:rPr>
          <w:rFonts w:eastAsia="Times New Roman" w:cs="Times New Roman"/>
          <w:i/>
        </w:rPr>
        <w:t>cert. granted in part,</w:t>
      </w:r>
      <w:r w:rsidRPr="00A940FC">
        <w:rPr>
          <w:rFonts w:eastAsia="Times New Roman" w:cs="Times New Roman"/>
        </w:rPr>
        <w:t xml:space="preserve"> 133 S. Ct. 2824 (U.S. 2013).</w:t>
      </w:r>
    </w:p>
    <w:p w:rsidR="00EE0DC8" w:rsidRPr="00D27943" w:rsidRDefault="00EE0DC8" w:rsidP="00EE0DC8">
      <w:pPr>
        <w:pStyle w:val="ListParagraph"/>
        <w:numPr>
          <w:ilvl w:val="0"/>
          <w:numId w:val="8"/>
        </w:numPr>
        <w:rPr>
          <w:bCs/>
        </w:rPr>
      </w:pPr>
      <w:r>
        <w:rPr>
          <w:rFonts w:eastAsia="Times New Roman" w:cs="Times New Roman"/>
          <w:i/>
        </w:rPr>
        <w:t>Petition for Cert, Mt. Holly Gardens, to US Supreme Court</w:t>
      </w:r>
    </w:p>
    <w:p w:rsidR="006C66F3" w:rsidRPr="006C66F3" w:rsidRDefault="006C66F3" w:rsidP="00EE0DC8"/>
    <w:p w:rsidR="00034413" w:rsidRPr="00A940FC" w:rsidRDefault="009E4E96" w:rsidP="00034413">
      <w:pPr>
        <w:rPr>
          <w:i/>
        </w:rPr>
      </w:pPr>
      <w:r>
        <w:rPr>
          <w:i/>
        </w:rPr>
        <w:t>Week 10</w:t>
      </w:r>
      <w:r w:rsidR="00034413" w:rsidRPr="00A940FC">
        <w:rPr>
          <w:i/>
        </w:rPr>
        <w:t xml:space="preserve">: Voting Rights </w:t>
      </w:r>
    </w:p>
    <w:p w:rsidR="00A940FC" w:rsidRDefault="00A940FC" w:rsidP="00FE324A">
      <w:pPr>
        <w:pStyle w:val="ListParagraph"/>
        <w:numPr>
          <w:ilvl w:val="0"/>
          <w:numId w:val="16"/>
        </w:numPr>
        <w:spacing w:after="240" w:line="240" w:lineRule="auto"/>
      </w:pPr>
      <w:r w:rsidRPr="00FE324A">
        <w:t xml:space="preserve">Shelby </w:t>
      </w:r>
      <w:proofErr w:type="spellStart"/>
      <w:r w:rsidRPr="00FE324A">
        <w:t>Cnty</w:t>
      </w:r>
      <w:proofErr w:type="spellEnd"/>
      <w:r w:rsidRPr="00FE324A">
        <w:t>., Ala. v. Holder, 133 S. Ct. 2612 (2013).</w:t>
      </w:r>
    </w:p>
    <w:p w:rsidR="00FE324A" w:rsidRPr="00FE324A" w:rsidRDefault="00FE324A" w:rsidP="005D7E37">
      <w:pPr>
        <w:pStyle w:val="ListParagraph"/>
        <w:numPr>
          <w:ilvl w:val="0"/>
          <w:numId w:val="16"/>
        </w:numPr>
        <w:spacing w:after="240" w:line="240" w:lineRule="auto"/>
      </w:pPr>
      <w:r>
        <w:rPr>
          <w:i/>
        </w:rPr>
        <w:t xml:space="preserve">The Triumph of Tokenism: The Voting Rights Act and the Theory of Black Electoral Success. </w:t>
      </w:r>
      <w:proofErr w:type="spellStart"/>
      <w:r>
        <w:t>Lani</w:t>
      </w:r>
      <w:proofErr w:type="spellEnd"/>
      <w:r>
        <w:t xml:space="preserve"> </w:t>
      </w:r>
      <w:proofErr w:type="spellStart"/>
      <w:r>
        <w:t>Guinier</w:t>
      </w:r>
      <w:proofErr w:type="spellEnd"/>
      <w:r>
        <w:t>. Michigan Law Review, Vol. 89, No. 5 (Mar., 1991), pp. 1077-1154.</w:t>
      </w:r>
    </w:p>
    <w:p w:rsidR="00733FCA" w:rsidRPr="00A940FC" w:rsidRDefault="009E4E96" w:rsidP="00733FCA">
      <w:pPr>
        <w:rPr>
          <w:i/>
        </w:rPr>
      </w:pPr>
      <w:r>
        <w:rPr>
          <w:i/>
        </w:rPr>
        <w:t>Week 11</w:t>
      </w:r>
      <w:r w:rsidR="0048444D" w:rsidRPr="00A940FC">
        <w:rPr>
          <w:i/>
        </w:rPr>
        <w:t xml:space="preserve">: </w:t>
      </w:r>
      <w:proofErr w:type="spellStart"/>
      <w:r w:rsidR="00EE0DC8">
        <w:rPr>
          <w:i/>
        </w:rPr>
        <w:t>Othering</w:t>
      </w:r>
      <w:proofErr w:type="spellEnd"/>
      <w:r w:rsidR="00EE0DC8">
        <w:rPr>
          <w:i/>
        </w:rPr>
        <w:t xml:space="preserve">, Belonging, </w:t>
      </w:r>
      <w:r w:rsidR="00733FCA" w:rsidRPr="00A940FC">
        <w:rPr>
          <w:i/>
        </w:rPr>
        <w:t>Marginality</w:t>
      </w:r>
      <w:r w:rsidR="00EE0DC8">
        <w:rPr>
          <w:i/>
        </w:rPr>
        <w:t xml:space="preserve"> and Accommodation</w:t>
      </w:r>
    </w:p>
    <w:p w:rsidR="00733FCA" w:rsidRPr="00A940FC" w:rsidRDefault="00733FCA" w:rsidP="00733FCA">
      <w:pPr>
        <w:pStyle w:val="ListParagraph"/>
        <w:numPr>
          <w:ilvl w:val="0"/>
          <w:numId w:val="13"/>
        </w:numPr>
      </w:pPr>
      <w:proofErr w:type="gramStart"/>
      <w:r w:rsidRPr="00A940FC">
        <w:t>john</w:t>
      </w:r>
      <w:proofErr w:type="gramEnd"/>
      <w:r w:rsidRPr="00A940FC">
        <w:t xml:space="preserve"> </w:t>
      </w:r>
      <w:proofErr w:type="spellStart"/>
      <w:r w:rsidRPr="00A940FC">
        <w:t>powell</w:t>
      </w:r>
      <w:proofErr w:type="spellEnd"/>
      <w:r w:rsidRPr="00A940FC">
        <w:t>,</w:t>
      </w:r>
      <w:r w:rsidR="0093664F">
        <w:t xml:space="preserve"> “Introduction,” </w:t>
      </w:r>
      <w:r w:rsidR="0093664F">
        <w:rPr>
          <w:i/>
        </w:rPr>
        <w:t>Racing to Justice</w:t>
      </w:r>
      <w:r w:rsidR="0093664F">
        <w:t xml:space="preserve">,  </w:t>
      </w:r>
      <w:r w:rsidRPr="00A940FC">
        <w:t>p</w:t>
      </w:r>
      <w:r w:rsidR="0093664F">
        <w:t>p. XVII-XXV</w:t>
      </w:r>
      <w:r w:rsidRPr="00A940FC">
        <w:t xml:space="preserve"> (</w:t>
      </w:r>
      <w:r w:rsidR="00D27943">
        <w:t>see handout</w:t>
      </w:r>
      <w:r w:rsidRPr="00A940FC">
        <w:t>)</w:t>
      </w:r>
      <w:r w:rsidR="0093664F">
        <w:t>.</w:t>
      </w:r>
    </w:p>
    <w:p w:rsidR="00EE0DC8" w:rsidRDefault="00733FCA" w:rsidP="00EE0DC8">
      <w:pPr>
        <w:pStyle w:val="ListParagraph"/>
        <w:numPr>
          <w:ilvl w:val="0"/>
          <w:numId w:val="12"/>
        </w:numPr>
      </w:pPr>
      <w:proofErr w:type="gramStart"/>
      <w:r w:rsidRPr="00A940FC">
        <w:t>john</w:t>
      </w:r>
      <w:proofErr w:type="gramEnd"/>
      <w:r w:rsidRPr="00A940FC">
        <w:t xml:space="preserve"> </w:t>
      </w:r>
      <w:proofErr w:type="spellStart"/>
      <w:r w:rsidRPr="00A940FC">
        <w:t>powell</w:t>
      </w:r>
      <w:proofErr w:type="spellEnd"/>
      <w:r w:rsidRPr="00A940FC">
        <w:t>, “Poverty and R</w:t>
      </w:r>
      <w:r w:rsidR="0093664F">
        <w:t>ace Through a Belongingness Lens,</w:t>
      </w:r>
      <w:r w:rsidRPr="00A940FC">
        <w:t>”</w:t>
      </w:r>
      <w:r w:rsidR="0093664F">
        <w:t xml:space="preserve"> (</w:t>
      </w:r>
      <w:r w:rsidRPr="00A940FC">
        <w:t xml:space="preserve">Policy Matters, </w:t>
      </w:r>
      <w:r w:rsidR="0093664F">
        <w:t xml:space="preserve"> vol. 1, </w:t>
      </w:r>
      <w:proofErr w:type="spellStart"/>
      <w:r w:rsidR="0093664F">
        <w:t>iss</w:t>
      </w:r>
      <w:proofErr w:type="spellEnd"/>
      <w:r w:rsidR="0093664F">
        <w:t xml:space="preserve">. 5, April </w:t>
      </w:r>
      <w:r w:rsidRPr="00A940FC">
        <w:t>2012) (</w:t>
      </w:r>
      <w:r w:rsidR="00D27943">
        <w:t>see handout</w:t>
      </w:r>
      <w:r w:rsidRPr="00A940FC">
        <w:t>)</w:t>
      </w:r>
      <w:r w:rsidR="0093664F">
        <w:t>.</w:t>
      </w:r>
      <w:r w:rsidR="00EE0DC8" w:rsidRPr="00EE0DC8">
        <w:t xml:space="preserve"> </w:t>
      </w:r>
    </w:p>
    <w:p w:rsidR="00733FCA" w:rsidRPr="00A940FC" w:rsidRDefault="00EE0DC8" w:rsidP="00EE0DC8">
      <w:pPr>
        <w:pStyle w:val="ListParagraph"/>
        <w:numPr>
          <w:ilvl w:val="0"/>
          <w:numId w:val="12"/>
        </w:numPr>
      </w:pPr>
      <w:r>
        <w:t xml:space="preserve">Andrew Solomon, “Son” and “Father,” </w:t>
      </w:r>
      <w:r w:rsidRPr="0093664F">
        <w:rPr>
          <w:i/>
        </w:rPr>
        <w:t>Far From the Tree, Parents Children and the Search for Identity</w:t>
      </w:r>
      <w:r>
        <w:t xml:space="preserve">. </w:t>
      </w:r>
      <w:r w:rsidRPr="00A940FC">
        <w:t xml:space="preserve"> Chapter</w:t>
      </w:r>
      <w:r>
        <w:t>s</w:t>
      </w:r>
      <w:r w:rsidRPr="00A940FC">
        <w:t xml:space="preserve"> 1 &amp; 12</w:t>
      </w:r>
      <w:r>
        <w:t xml:space="preserve"> (see handout).</w:t>
      </w:r>
    </w:p>
    <w:p w:rsidR="00AE5400" w:rsidRDefault="009E4E96" w:rsidP="0086158D">
      <w:pPr>
        <w:spacing w:after="0"/>
        <w:rPr>
          <w:i/>
        </w:rPr>
      </w:pPr>
      <w:r>
        <w:rPr>
          <w:i/>
        </w:rPr>
        <w:t>Week 12</w:t>
      </w:r>
      <w:r w:rsidR="0048444D" w:rsidRPr="00A940FC">
        <w:rPr>
          <w:i/>
        </w:rPr>
        <w:t xml:space="preserve">: </w:t>
      </w:r>
      <w:r w:rsidR="00733FCA" w:rsidRPr="00A940FC">
        <w:rPr>
          <w:i/>
        </w:rPr>
        <w:t xml:space="preserve">LGBTQ Constitutional Rights and </w:t>
      </w:r>
      <w:proofErr w:type="spellStart"/>
      <w:r w:rsidR="00733FCA" w:rsidRPr="00A940FC">
        <w:rPr>
          <w:i/>
        </w:rPr>
        <w:t>Othering</w:t>
      </w:r>
      <w:proofErr w:type="spellEnd"/>
    </w:p>
    <w:p w:rsidR="0086158D" w:rsidRPr="009E4E96" w:rsidRDefault="009E4E96" w:rsidP="0086158D">
      <w:pPr>
        <w:pStyle w:val="ListParagraph"/>
        <w:spacing w:after="0"/>
        <w:rPr>
          <w:i/>
        </w:rPr>
      </w:pPr>
      <w:r>
        <w:rPr>
          <w:i/>
        </w:rPr>
        <w:t>TBD</w:t>
      </w:r>
    </w:p>
    <w:p w:rsidR="00D27943" w:rsidRPr="00D27943" w:rsidRDefault="00D27943" w:rsidP="00D27943">
      <w:pPr>
        <w:pStyle w:val="ListParagraph"/>
        <w:rPr>
          <w:bCs/>
        </w:rPr>
      </w:pPr>
    </w:p>
    <w:p w:rsidR="001E127D" w:rsidRPr="00A940FC" w:rsidRDefault="001E127D" w:rsidP="0014230A">
      <w:pPr>
        <w:rPr>
          <w:bCs/>
          <w:i/>
        </w:rPr>
      </w:pPr>
      <w:r w:rsidRPr="00A940FC">
        <w:rPr>
          <w:bCs/>
          <w:i/>
        </w:rPr>
        <w:t>Week 13: Present Papers in Class</w:t>
      </w:r>
    </w:p>
    <w:p w:rsidR="001E127D" w:rsidRPr="00A940FC" w:rsidRDefault="001E127D" w:rsidP="0014230A">
      <w:pPr>
        <w:rPr>
          <w:bCs/>
          <w:i/>
        </w:rPr>
      </w:pPr>
      <w:r w:rsidRPr="00A940FC">
        <w:rPr>
          <w:bCs/>
          <w:i/>
        </w:rPr>
        <w:t>Week 14: Present Papers in Class</w:t>
      </w:r>
    </w:p>
    <w:p w:rsidR="0086158D" w:rsidRDefault="0086158D"/>
    <w:p w:rsidR="0086158D" w:rsidRPr="00A940FC" w:rsidRDefault="0086158D"/>
    <w:sectPr w:rsidR="0086158D" w:rsidRPr="00A940FC" w:rsidSect="00A940FC">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0B" w:rsidRDefault="0087550B" w:rsidP="00A940FC">
      <w:pPr>
        <w:spacing w:after="0" w:line="240" w:lineRule="auto"/>
      </w:pPr>
      <w:r>
        <w:separator/>
      </w:r>
    </w:p>
  </w:endnote>
  <w:endnote w:type="continuationSeparator" w:id="0">
    <w:p w:rsidR="0087550B" w:rsidRDefault="0087550B" w:rsidP="00A9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08" w:rsidRDefault="00764808" w:rsidP="00A940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4808" w:rsidRDefault="00764808" w:rsidP="00A940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08" w:rsidRDefault="00764808" w:rsidP="00A940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DCB">
      <w:rPr>
        <w:rStyle w:val="PageNumber"/>
        <w:noProof/>
      </w:rPr>
      <w:t>1</w:t>
    </w:r>
    <w:r>
      <w:rPr>
        <w:rStyle w:val="PageNumber"/>
      </w:rPr>
      <w:fldChar w:fldCharType="end"/>
    </w:r>
  </w:p>
  <w:p w:rsidR="00764808" w:rsidRDefault="00764808" w:rsidP="00A940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0B" w:rsidRDefault="0087550B" w:rsidP="00A940FC">
      <w:pPr>
        <w:spacing w:after="0" w:line="240" w:lineRule="auto"/>
      </w:pPr>
      <w:r>
        <w:separator/>
      </w:r>
    </w:p>
  </w:footnote>
  <w:footnote w:type="continuationSeparator" w:id="0">
    <w:p w:rsidR="0087550B" w:rsidRDefault="0087550B" w:rsidP="00A94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808" w:rsidRDefault="00764808" w:rsidP="00A940FC">
    <w:pPr>
      <w:pStyle w:val="Heading1"/>
      <w:spacing w:line="240" w:lineRule="auto"/>
      <w:jc w:val="center"/>
    </w:pPr>
    <w:r>
      <w:t>Advanced Civil Rights</w:t>
    </w:r>
  </w:p>
  <w:p w:rsidR="00764808" w:rsidRPr="00F86C37" w:rsidRDefault="00764808" w:rsidP="00A940FC">
    <w:pPr>
      <w:pStyle w:val="Heading2"/>
      <w:spacing w:line="240" w:lineRule="auto"/>
      <w:jc w:val="center"/>
      <w:rPr>
        <w:sz w:val="24"/>
        <w:szCs w:val="24"/>
      </w:rPr>
    </w:pPr>
    <w:r>
      <w:rPr>
        <w:sz w:val="24"/>
        <w:szCs w:val="24"/>
      </w:rPr>
      <w:t>Fall, 2013</w:t>
    </w:r>
  </w:p>
  <w:p w:rsidR="00764808" w:rsidRPr="00F86C37" w:rsidRDefault="00764808" w:rsidP="00A940FC">
    <w:pPr>
      <w:pStyle w:val="Heading2"/>
      <w:spacing w:line="240" w:lineRule="auto"/>
      <w:jc w:val="center"/>
      <w:rPr>
        <w:sz w:val="24"/>
        <w:szCs w:val="24"/>
      </w:rPr>
    </w:pPr>
    <w:r w:rsidRPr="00F86C37">
      <w:rPr>
        <w:sz w:val="24"/>
        <w:szCs w:val="24"/>
      </w:rPr>
      <w:t>Syllabus</w:t>
    </w:r>
  </w:p>
  <w:p w:rsidR="00764808" w:rsidRDefault="00764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6DE2"/>
    <w:multiLevelType w:val="hybridMultilevel"/>
    <w:tmpl w:val="697C1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21B62"/>
    <w:multiLevelType w:val="hybridMultilevel"/>
    <w:tmpl w:val="8DA434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12AE6"/>
    <w:multiLevelType w:val="hybridMultilevel"/>
    <w:tmpl w:val="B90A4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41F6B"/>
    <w:multiLevelType w:val="hybridMultilevel"/>
    <w:tmpl w:val="E8A462F8"/>
    <w:lvl w:ilvl="0" w:tplc="1158DDFE">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662E3"/>
    <w:multiLevelType w:val="hybridMultilevel"/>
    <w:tmpl w:val="CA42EB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71F02"/>
    <w:multiLevelType w:val="hybridMultilevel"/>
    <w:tmpl w:val="8C6E0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42479"/>
    <w:multiLevelType w:val="hybridMultilevel"/>
    <w:tmpl w:val="C66C8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C0F82"/>
    <w:multiLevelType w:val="hybridMultilevel"/>
    <w:tmpl w:val="627A4A1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379C14E2"/>
    <w:multiLevelType w:val="hybridMultilevel"/>
    <w:tmpl w:val="A1500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04D89"/>
    <w:multiLevelType w:val="hybridMultilevel"/>
    <w:tmpl w:val="A0E06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42E91"/>
    <w:multiLevelType w:val="multilevel"/>
    <w:tmpl w:val="469E7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09446F"/>
    <w:multiLevelType w:val="hybridMultilevel"/>
    <w:tmpl w:val="3B767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B80381"/>
    <w:multiLevelType w:val="hybridMultilevel"/>
    <w:tmpl w:val="0BCE4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F57C5"/>
    <w:multiLevelType w:val="hybridMultilevel"/>
    <w:tmpl w:val="CA7C6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8C6A7C"/>
    <w:multiLevelType w:val="hybridMultilevel"/>
    <w:tmpl w:val="EEF602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41E1B"/>
    <w:multiLevelType w:val="hybridMultilevel"/>
    <w:tmpl w:val="34028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4921C1"/>
    <w:multiLevelType w:val="hybridMultilevel"/>
    <w:tmpl w:val="5914D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954E5A"/>
    <w:multiLevelType w:val="hybridMultilevel"/>
    <w:tmpl w:val="1D885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5"/>
  </w:num>
  <w:num w:numId="4">
    <w:abstractNumId w:val="0"/>
  </w:num>
  <w:num w:numId="5">
    <w:abstractNumId w:val="6"/>
  </w:num>
  <w:num w:numId="6">
    <w:abstractNumId w:val="9"/>
  </w:num>
  <w:num w:numId="7">
    <w:abstractNumId w:val="13"/>
  </w:num>
  <w:num w:numId="8">
    <w:abstractNumId w:val="4"/>
  </w:num>
  <w:num w:numId="9">
    <w:abstractNumId w:val="12"/>
  </w:num>
  <w:num w:numId="10">
    <w:abstractNumId w:val="17"/>
  </w:num>
  <w:num w:numId="11">
    <w:abstractNumId w:val="8"/>
  </w:num>
  <w:num w:numId="12">
    <w:abstractNumId w:val="11"/>
  </w:num>
  <w:num w:numId="13">
    <w:abstractNumId w:val="7"/>
  </w:num>
  <w:num w:numId="14">
    <w:abstractNumId w:val="2"/>
  </w:num>
  <w:num w:numId="15">
    <w:abstractNumId w:val="3"/>
  </w:num>
  <w:num w:numId="16">
    <w:abstractNumId w:val="5"/>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42"/>
    <w:rsid w:val="00026DCE"/>
    <w:rsid w:val="000333B2"/>
    <w:rsid w:val="00034413"/>
    <w:rsid w:val="00062FE3"/>
    <w:rsid w:val="0012008C"/>
    <w:rsid w:val="0014230A"/>
    <w:rsid w:val="001E127D"/>
    <w:rsid w:val="001F6E03"/>
    <w:rsid w:val="0024632D"/>
    <w:rsid w:val="002B1446"/>
    <w:rsid w:val="002C0523"/>
    <w:rsid w:val="002F799E"/>
    <w:rsid w:val="003372FB"/>
    <w:rsid w:val="004400A3"/>
    <w:rsid w:val="00461DCB"/>
    <w:rsid w:val="00470842"/>
    <w:rsid w:val="0048444D"/>
    <w:rsid w:val="004B1F3E"/>
    <w:rsid w:val="00523AEA"/>
    <w:rsid w:val="005809D5"/>
    <w:rsid w:val="005D7E37"/>
    <w:rsid w:val="006C66F3"/>
    <w:rsid w:val="00733FCA"/>
    <w:rsid w:val="00764808"/>
    <w:rsid w:val="007B752C"/>
    <w:rsid w:val="007C4251"/>
    <w:rsid w:val="0086158D"/>
    <w:rsid w:val="00874405"/>
    <w:rsid w:val="0087550B"/>
    <w:rsid w:val="008E787B"/>
    <w:rsid w:val="0093664F"/>
    <w:rsid w:val="00983A51"/>
    <w:rsid w:val="009E4E96"/>
    <w:rsid w:val="00A05F9B"/>
    <w:rsid w:val="00A26D25"/>
    <w:rsid w:val="00A507F9"/>
    <w:rsid w:val="00A5175F"/>
    <w:rsid w:val="00A572BD"/>
    <w:rsid w:val="00A940FC"/>
    <w:rsid w:val="00A95E73"/>
    <w:rsid w:val="00AE5400"/>
    <w:rsid w:val="00AF1870"/>
    <w:rsid w:val="00AF63E4"/>
    <w:rsid w:val="00B22B24"/>
    <w:rsid w:val="00B50DC5"/>
    <w:rsid w:val="00BE2CDB"/>
    <w:rsid w:val="00C97706"/>
    <w:rsid w:val="00D27943"/>
    <w:rsid w:val="00D46D66"/>
    <w:rsid w:val="00D5309F"/>
    <w:rsid w:val="00D733DD"/>
    <w:rsid w:val="00DB19B1"/>
    <w:rsid w:val="00DF1BBE"/>
    <w:rsid w:val="00E21B93"/>
    <w:rsid w:val="00E93A37"/>
    <w:rsid w:val="00EE0DC8"/>
    <w:rsid w:val="00F34DC4"/>
    <w:rsid w:val="00F86C37"/>
    <w:rsid w:val="00FE3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0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2B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70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7084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70842"/>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C97706"/>
    <w:rPr>
      <w:b/>
      <w:bCs/>
      <w:i/>
      <w:iCs/>
      <w:color w:val="4F81BD" w:themeColor="accent1"/>
    </w:rPr>
  </w:style>
  <w:style w:type="character" w:customStyle="1" w:styleId="Heading2Char">
    <w:name w:val="Heading 2 Char"/>
    <w:basedOn w:val="DefaultParagraphFont"/>
    <w:link w:val="Heading2"/>
    <w:uiPriority w:val="9"/>
    <w:rsid w:val="00B22B2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400A3"/>
    <w:pPr>
      <w:ind w:left="720"/>
      <w:contextualSpacing/>
    </w:pPr>
  </w:style>
  <w:style w:type="character" w:styleId="Hyperlink">
    <w:name w:val="Hyperlink"/>
    <w:basedOn w:val="DefaultParagraphFont"/>
    <w:uiPriority w:val="99"/>
    <w:unhideWhenUsed/>
    <w:rsid w:val="0048444D"/>
    <w:rPr>
      <w:color w:val="0000FF"/>
      <w:u w:val="single"/>
    </w:rPr>
  </w:style>
  <w:style w:type="character" w:customStyle="1" w:styleId="small">
    <w:name w:val="small"/>
    <w:basedOn w:val="DefaultParagraphFont"/>
    <w:rsid w:val="0048444D"/>
  </w:style>
  <w:style w:type="character" w:customStyle="1" w:styleId="smallcaps">
    <w:name w:val="smallcaps"/>
    <w:basedOn w:val="DefaultParagraphFont"/>
    <w:rsid w:val="0048444D"/>
  </w:style>
  <w:style w:type="character" w:styleId="Emphasis">
    <w:name w:val="Emphasis"/>
    <w:basedOn w:val="DefaultParagraphFont"/>
    <w:uiPriority w:val="20"/>
    <w:qFormat/>
    <w:rsid w:val="001E127D"/>
    <w:rPr>
      <w:i/>
      <w:iCs/>
    </w:rPr>
  </w:style>
  <w:style w:type="paragraph" w:styleId="BalloonText">
    <w:name w:val="Balloon Text"/>
    <w:basedOn w:val="Normal"/>
    <w:link w:val="BalloonTextChar"/>
    <w:uiPriority w:val="99"/>
    <w:semiHidden/>
    <w:unhideWhenUsed/>
    <w:rsid w:val="00DB1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9B1"/>
    <w:rPr>
      <w:rFonts w:ascii="Tahoma" w:hAnsi="Tahoma" w:cs="Tahoma"/>
      <w:sz w:val="16"/>
      <w:szCs w:val="16"/>
    </w:rPr>
  </w:style>
  <w:style w:type="paragraph" w:styleId="Header">
    <w:name w:val="header"/>
    <w:basedOn w:val="Normal"/>
    <w:link w:val="HeaderChar"/>
    <w:uiPriority w:val="99"/>
    <w:unhideWhenUsed/>
    <w:rsid w:val="00A940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40FC"/>
  </w:style>
  <w:style w:type="paragraph" w:styleId="Footer">
    <w:name w:val="footer"/>
    <w:basedOn w:val="Normal"/>
    <w:link w:val="FooterChar"/>
    <w:uiPriority w:val="99"/>
    <w:unhideWhenUsed/>
    <w:rsid w:val="00A940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40FC"/>
  </w:style>
  <w:style w:type="character" w:styleId="PageNumber">
    <w:name w:val="page number"/>
    <w:basedOn w:val="DefaultParagraphFont"/>
    <w:uiPriority w:val="99"/>
    <w:semiHidden/>
    <w:unhideWhenUsed/>
    <w:rsid w:val="00A940FC"/>
  </w:style>
  <w:style w:type="character" w:styleId="HTMLCite">
    <w:name w:val="HTML Cite"/>
    <w:basedOn w:val="DefaultParagraphFont"/>
    <w:uiPriority w:val="99"/>
    <w:semiHidden/>
    <w:unhideWhenUsed/>
    <w:rsid w:val="00FE324A"/>
    <w:rPr>
      <w:i/>
      <w:iCs/>
    </w:rPr>
  </w:style>
  <w:style w:type="character" w:customStyle="1" w:styleId="apple-converted-space">
    <w:name w:val="apple-converted-space"/>
    <w:basedOn w:val="DefaultParagraphFont"/>
    <w:rsid w:val="00FE324A"/>
  </w:style>
  <w:style w:type="character" w:styleId="FollowedHyperlink">
    <w:name w:val="FollowedHyperlink"/>
    <w:basedOn w:val="DefaultParagraphFont"/>
    <w:uiPriority w:val="99"/>
    <w:semiHidden/>
    <w:unhideWhenUsed/>
    <w:rsid w:val="009366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0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2B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70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7084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70842"/>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C97706"/>
    <w:rPr>
      <w:b/>
      <w:bCs/>
      <w:i/>
      <w:iCs/>
      <w:color w:val="4F81BD" w:themeColor="accent1"/>
    </w:rPr>
  </w:style>
  <w:style w:type="character" w:customStyle="1" w:styleId="Heading2Char">
    <w:name w:val="Heading 2 Char"/>
    <w:basedOn w:val="DefaultParagraphFont"/>
    <w:link w:val="Heading2"/>
    <w:uiPriority w:val="9"/>
    <w:rsid w:val="00B22B2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400A3"/>
    <w:pPr>
      <w:ind w:left="720"/>
      <w:contextualSpacing/>
    </w:pPr>
  </w:style>
  <w:style w:type="character" w:styleId="Hyperlink">
    <w:name w:val="Hyperlink"/>
    <w:basedOn w:val="DefaultParagraphFont"/>
    <w:uiPriority w:val="99"/>
    <w:unhideWhenUsed/>
    <w:rsid w:val="0048444D"/>
    <w:rPr>
      <w:color w:val="0000FF"/>
      <w:u w:val="single"/>
    </w:rPr>
  </w:style>
  <w:style w:type="character" w:customStyle="1" w:styleId="small">
    <w:name w:val="small"/>
    <w:basedOn w:val="DefaultParagraphFont"/>
    <w:rsid w:val="0048444D"/>
  </w:style>
  <w:style w:type="character" w:customStyle="1" w:styleId="smallcaps">
    <w:name w:val="smallcaps"/>
    <w:basedOn w:val="DefaultParagraphFont"/>
    <w:rsid w:val="0048444D"/>
  </w:style>
  <w:style w:type="character" w:styleId="Emphasis">
    <w:name w:val="Emphasis"/>
    <w:basedOn w:val="DefaultParagraphFont"/>
    <w:uiPriority w:val="20"/>
    <w:qFormat/>
    <w:rsid w:val="001E127D"/>
    <w:rPr>
      <w:i/>
      <w:iCs/>
    </w:rPr>
  </w:style>
  <w:style w:type="paragraph" w:styleId="BalloonText">
    <w:name w:val="Balloon Text"/>
    <w:basedOn w:val="Normal"/>
    <w:link w:val="BalloonTextChar"/>
    <w:uiPriority w:val="99"/>
    <w:semiHidden/>
    <w:unhideWhenUsed/>
    <w:rsid w:val="00DB1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9B1"/>
    <w:rPr>
      <w:rFonts w:ascii="Tahoma" w:hAnsi="Tahoma" w:cs="Tahoma"/>
      <w:sz w:val="16"/>
      <w:szCs w:val="16"/>
    </w:rPr>
  </w:style>
  <w:style w:type="paragraph" w:styleId="Header">
    <w:name w:val="header"/>
    <w:basedOn w:val="Normal"/>
    <w:link w:val="HeaderChar"/>
    <w:uiPriority w:val="99"/>
    <w:unhideWhenUsed/>
    <w:rsid w:val="00A940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40FC"/>
  </w:style>
  <w:style w:type="paragraph" w:styleId="Footer">
    <w:name w:val="footer"/>
    <w:basedOn w:val="Normal"/>
    <w:link w:val="FooterChar"/>
    <w:uiPriority w:val="99"/>
    <w:unhideWhenUsed/>
    <w:rsid w:val="00A940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40FC"/>
  </w:style>
  <w:style w:type="character" w:styleId="PageNumber">
    <w:name w:val="page number"/>
    <w:basedOn w:val="DefaultParagraphFont"/>
    <w:uiPriority w:val="99"/>
    <w:semiHidden/>
    <w:unhideWhenUsed/>
    <w:rsid w:val="00A940FC"/>
  </w:style>
  <w:style w:type="character" w:styleId="HTMLCite">
    <w:name w:val="HTML Cite"/>
    <w:basedOn w:val="DefaultParagraphFont"/>
    <w:uiPriority w:val="99"/>
    <w:semiHidden/>
    <w:unhideWhenUsed/>
    <w:rsid w:val="00FE324A"/>
    <w:rPr>
      <w:i/>
      <w:iCs/>
    </w:rPr>
  </w:style>
  <w:style w:type="character" w:customStyle="1" w:styleId="apple-converted-space">
    <w:name w:val="apple-converted-space"/>
    <w:basedOn w:val="DefaultParagraphFont"/>
    <w:rsid w:val="00FE324A"/>
  </w:style>
  <w:style w:type="character" w:styleId="FollowedHyperlink">
    <w:name w:val="FollowedHyperlink"/>
    <w:basedOn w:val="DefaultParagraphFont"/>
    <w:uiPriority w:val="99"/>
    <w:semiHidden/>
    <w:unhideWhenUsed/>
    <w:rsid w:val="00936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9610">
      <w:bodyDiv w:val="1"/>
      <w:marLeft w:val="0"/>
      <w:marRight w:val="0"/>
      <w:marTop w:val="0"/>
      <w:marBottom w:val="0"/>
      <w:divBdr>
        <w:top w:val="none" w:sz="0" w:space="0" w:color="auto"/>
        <w:left w:val="none" w:sz="0" w:space="0" w:color="auto"/>
        <w:bottom w:val="none" w:sz="0" w:space="0" w:color="auto"/>
        <w:right w:val="none" w:sz="0" w:space="0" w:color="auto"/>
      </w:divBdr>
      <w:divsChild>
        <w:div w:id="1441142012">
          <w:marLeft w:val="0"/>
          <w:marRight w:val="0"/>
          <w:marTop w:val="0"/>
          <w:marBottom w:val="0"/>
          <w:divBdr>
            <w:top w:val="none" w:sz="0" w:space="0" w:color="auto"/>
            <w:left w:val="none" w:sz="0" w:space="0" w:color="auto"/>
            <w:bottom w:val="none" w:sz="0" w:space="0" w:color="auto"/>
            <w:right w:val="none" w:sz="0" w:space="0" w:color="auto"/>
          </w:divBdr>
          <w:divsChild>
            <w:div w:id="16687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5291">
      <w:bodyDiv w:val="1"/>
      <w:marLeft w:val="0"/>
      <w:marRight w:val="0"/>
      <w:marTop w:val="0"/>
      <w:marBottom w:val="0"/>
      <w:divBdr>
        <w:top w:val="none" w:sz="0" w:space="0" w:color="auto"/>
        <w:left w:val="none" w:sz="0" w:space="0" w:color="auto"/>
        <w:bottom w:val="none" w:sz="0" w:space="0" w:color="auto"/>
        <w:right w:val="none" w:sz="0" w:space="0" w:color="auto"/>
      </w:divBdr>
      <w:divsChild>
        <w:div w:id="1119757068">
          <w:marLeft w:val="0"/>
          <w:marRight w:val="0"/>
          <w:marTop w:val="0"/>
          <w:marBottom w:val="0"/>
          <w:divBdr>
            <w:top w:val="none" w:sz="0" w:space="0" w:color="auto"/>
            <w:left w:val="none" w:sz="0" w:space="0" w:color="auto"/>
            <w:bottom w:val="none" w:sz="0" w:space="0" w:color="auto"/>
            <w:right w:val="none" w:sz="0" w:space="0" w:color="auto"/>
          </w:divBdr>
          <w:divsChild>
            <w:div w:id="20857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0456">
      <w:bodyDiv w:val="1"/>
      <w:marLeft w:val="0"/>
      <w:marRight w:val="0"/>
      <w:marTop w:val="0"/>
      <w:marBottom w:val="0"/>
      <w:divBdr>
        <w:top w:val="none" w:sz="0" w:space="0" w:color="auto"/>
        <w:left w:val="none" w:sz="0" w:space="0" w:color="auto"/>
        <w:bottom w:val="none" w:sz="0" w:space="0" w:color="auto"/>
        <w:right w:val="none" w:sz="0" w:space="0" w:color="auto"/>
      </w:divBdr>
      <w:divsChild>
        <w:div w:id="747382167">
          <w:marLeft w:val="0"/>
          <w:marRight w:val="0"/>
          <w:marTop w:val="0"/>
          <w:marBottom w:val="0"/>
          <w:divBdr>
            <w:top w:val="none" w:sz="0" w:space="0" w:color="auto"/>
            <w:left w:val="none" w:sz="0" w:space="0" w:color="auto"/>
            <w:bottom w:val="none" w:sz="0" w:space="0" w:color="auto"/>
            <w:right w:val="none" w:sz="0" w:space="0" w:color="auto"/>
          </w:divBdr>
          <w:divsChild>
            <w:div w:id="10772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4295">
      <w:bodyDiv w:val="1"/>
      <w:marLeft w:val="0"/>
      <w:marRight w:val="0"/>
      <w:marTop w:val="0"/>
      <w:marBottom w:val="0"/>
      <w:divBdr>
        <w:top w:val="none" w:sz="0" w:space="0" w:color="auto"/>
        <w:left w:val="none" w:sz="0" w:space="0" w:color="auto"/>
        <w:bottom w:val="none" w:sz="0" w:space="0" w:color="auto"/>
        <w:right w:val="none" w:sz="0" w:space="0" w:color="auto"/>
      </w:divBdr>
      <w:divsChild>
        <w:div w:id="388263915">
          <w:marLeft w:val="0"/>
          <w:marRight w:val="0"/>
          <w:marTop w:val="0"/>
          <w:marBottom w:val="0"/>
          <w:divBdr>
            <w:top w:val="none" w:sz="0" w:space="0" w:color="auto"/>
            <w:left w:val="none" w:sz="0" w:space="0" w:color="auto"/>
            <w:bottom w:val="none" w:sz="0" w:space="0" w:color="auto"/>
            <w:right w:val="none" w:sz="0" w:space="0" w:color="auto"/>
          </w:divBdr>
          <w:divsChild>
            <w:div w:id="14876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03582">
      <w:bodyDiv w:val="1"/>
      <w:marLeft w:val="0"/>
      <w:marRight w:val="0"/>
      <w:marTop w:val="0"/>
      <w:marBottom w:val="0"/>
      <w:divBdr>
        <w:top w:val="none" w:sz="0" w:space="0" w:color="auto"/>
        <w:left w:val="none" w:sz="0" w:space="0" w:color="auto"/>
        <w:bottom w:val="none" w:sz="0" w:space="0" w:color="auto"/>
        <w:right w:val="none" w:sz="0" w:space="0" w:color="auto"/>
      </w:divBdr>
    </w:div>
    <w:div w:id="1016273703">
      <w:bodyDiv w:val="1"/>
      <w:marLeft w:val="0"/>
      <w:marRight w:val="0"/>
      <w:marTop w:val="0"/>
      <w:marBottom w:val="0"/>
      <w:divBdr>
        <w:top w:val="none" w:sz="0" w:space="0" w:color="auto"/>
        <w:left w:val="none" w:sz="0" w:space="0" w:color="auto"/>
        <w:bottom w:val="none" w:sz="0" w:space="0" w:color="auto"/>
        <w:right w:val="none" w:sz="0" w:space="0" w:color="auto"/>
      </w:divBdr>
      <w:divsChild>
        <w:div w:id="1442189862">
          <w:marLeft w:val="0"/>
          <w:marRight w:val="0"/>
          <w:marTop w:val="0"/>
          <w:marBottom w:val="0"/>
          <w:divBdr>
            <w:top w:val="none" w:sz="0" w:space="0" w:color="auto"/>
            <w:left w:val="none" w:sz="0" w:space="0" w:color="auto"/>
            <w:bottom w:val="none" w:sz="0" w:space="0" w:color="auto"/>
            <w:right w:val="none" w:sz="0" w:space="0" w:color="auto"/>
          </w:divBdr>
          <w:divsChild>
            <w:div w:id="1383365120">
              <w:marLeft w:val="0"/>
              <w:marRight w:val="0"/>
              <w:marTop w:val="0"/>
              <w:marBottom w:val="0"/>
              <w:divBdr>
                <w:top w:val="none" w:sz="0" w:space="0" w:color="auto"/>
                <w:left w:val="none" w:sz="0" w:space="0" w:color="auto"/>
                <w:bottom w:val="none" w:sz="0" w:space="0" w:color="auto"/>
                <w:right w:val="none" w:sz="0" w:space="0" w:color="auto"/>
              </w:divBdr>
              <w:divsChild>
                <w:div w:id="1050567115">
                  <w:marLeft w:val="0"/>
                  <w:marRight w:val="0"/>
                  <w:marTop w:val="0"/>
                  <w:marBottom w:val="0"/>
                  <w:divBdr>
                    <w:top w:val="none" w:sz="0" w:space="0" w:color="auto"/>
                    <w:left w:val="none" w:sz="0" w:space="0" w:color="auto"/>
                    <w:bottom w:val="none" w:sz="0" w:space="0" w:color="auto"/>
                    <w:right w:val="none" w:sz="0" w:space="0" w:color="auto"/>
                  </w:divBdr>
                </w:div>
              </w:divsChild>
            </w:div>
            <w:div w:id="958415352">
              <w:marLeft w:val="0"/>
              <w:marRight w:val="0"/>
              <w:marTop w:val="0"/>
              <w:marBottom w:val="0"/>
              <w:divBdr>
                <w:top w:val="none" w:sz="0" w:space="0" w:color="auto"/>
                <w:left w:val="none" w:sz="0" w:space="0" w:color="auto"/>
                <w:bottom w:val="none" w:sz="0" w:space="0" w:color="auto"/>
                <w:right w:val="none" w:sz="0" w:space="0" w:color="auto"/>
              </w:divBdr>
              <w:divsChild>
                <w:div w:id="15087360">
                  <w:marLeft w:val="0"/>
                  <w:marRight w:val="0"/>
                  <w:marTop w:val="0"/>
                  <w:marBottom w:val="0"/>
                  <w:divBdr>
                    <w:top w:val="none" w:sz="0" w:space="0" w:color="auto"/>
                    <w:left w:val="none" w:sz="0" w:space="0" w:color="auto"/>
                    <w:bottom w:val="none" w:sz="0" w:space="0" w:color="auto"/>
                    <w:right w:val="none" w:sz="0" w:space="0" w:color="auto"/>
                  </w:divBdr>
                </w:div>
                <w:div w:id="413860453">
                  <w:marLeft w:val="0"/>
                  <w:marRight w:val="0"/>
                  <w:marTop w:val="0"/>
                  <w:marBottom w:val="0"/>
                  <w:divBdr>
                    <w:top w:val="none" w:sz="0" w:space="0" w:color="auto"/>
                    <w:left w:val="none" w:sz="0" w:space="0" w:color="auto"/>
                    <w:bottom w:val="none" w:sz="0" w:space="0" w:color="auto"/>
                    <w:right w:val="none" w:sz="0" w:space="0" w:color="auto"/>
                  </w:divBdr>
                </w:div>
                <w:div w:id="14817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8451">
      <w:bodyDiv w:val="1"/>
      <w:marLeft w:val="0"/>
      <w:marRight w:val="0"/>
      <w:marTop w:val="0"/>
      <w:marBottom w:val="0"/>
      <w:divBdr>
        <w:top w:val="none" w:sz="0" w:space="0" w:color="auto"/>
        <w:left w:val="none" w:sz="0" w:space="0" w:color="auto"/>
        <w:bottom w:val="none" w:sz="0" w:space="0" w:color="auto"/>
        <w:right w:val="none" w:sz="0" w:space="0" w:color="auto"/>
      </w:divBdr>
      <w:divsChild>
        <w:div w:id="341321652">
          <w:marLeft w:val="0"/>
          <w:marRight w:val="0"/>
          <w:marTop w:val="0"/>
          <w:marBottom w:val="0"/>
          <w:divBdr>
            <w:top w:val="none" w:sz="0" w:space="0" w:color="auto"/>
            <w:left w:val="none" w:sz="0" w:space="0" w:color="auto"/>
            <w:bottom w:val="none" w:sz="0" w:space="0" w:color="auto"/>
            <w:right w:val="none" w:sz="0" w:space="0" w:color="auto"/>
          </w:divBdr>
          <w:divsChild>
            <w:div w:id="340594346">
              <w:marLeft w:val="0"/>
              <w:marRight w:val="0"/>
              <w:marTop w:val="0"/>
              <w:marBottom w:val="0"/>
              <w:divBdr>
                <w:top w:val="none" w:sz="0" w:space="0" w:color="auto"/>
                <w:left w:val="none" w:sz="0" w:space="0" w:color="auto"/>
                <w:bottom w:val="none" w:sz="0" w:space="0" w:color="auto"/>
                <w:right w:val="none" w:sz="0" w:space="0" w:color="auto"/>
              </w:divBdr>
              <w:divsChild>
                <w:div w:id="892228925">
                  <w:marLeft w:val="0"/>
                  <w:marRight w:val="0"/>
                  <w:marTop w:val="0"/>
                  <w:marBottom w:val="0"/>
                  <w:divBdr>
                    <w:top w:val="none" w:sz="0" w:space="0" w:color="auto"/>
                    <w:left w:val="none" w:sz="0" w:space="0" w:color="auto"/>
                    <w:bottom w:val="none" w:sz="0" w:space="0" w:color="auto"/>
                    <w:right w:val="none" w:sz="0" w:space="0" w:color="auto"/>
                  </w:divBdr>
                </w:div>
              </w:divsChild>
            </w:div>
            <w:div w:id="267742980">
              <w:marLeft w:val="0"/>
              <w:marRight w:val="0"/>
              <w:marTop w:val="0"/>
              <w:marBottom w:val="0"/>
              <w:divBdr>
                <w:top w:val="none" w:sz="0" w:space="0" w:color="auto"/>
                <w:left w:val="none" w:sz="0" w:space="0" w:color="auto"/>
                <w:bottom w:val="none" w:sz="0" w:space="0" w:color="auto"/>
                <w:right w:val="none" w:sz="0" w:space="0" w:color="auto"/>
              </w:divBdr>
              <w:divsChild>
                <w:div w:id="463429278">
                  <w:marLeft w:val="0"/>
                  <w:marRight w:val="0"/>
                  <w:marTop w:val="0"/>
                  <w:marBottom w:val="0"/>
                  <w:divBdr>
                    <w:top w:val="none" w:sz="0" w:space="0" w:color="auto"/>
                    <w:left w:val="none" w:sz="0" w:space="0" w:color="auto"/>
                    <w:bottom w:val="none" w:sz="0" w:space="0" w:color="auto"/>
                    <w:right w:val="none" w:sz="0" w:space="0" w:color="auto"/>
                  </w:divBdr>
                </w:div>
                <w:div w:id="144245985">
                  <w:marLeft w:val="0"/>
                  <w:marRight w:val="0"/>
                  <w:marTop w:val="0"/>
                  <w:marBottom w:val="0"/>
                  <w:divBdr>
                    <w:top w:val="none" w:sz="0" w:space="0" w:color="auto"/>
                    <w:left w:val="none" w:sz="0" w:space="0" w:color="auto"/>
                    <w:bottom w:val="none" w:sz="0" w:space="0" w:color="auto"/>
                    <w:right w:val="none" w:sz="0" w:space="0" w:color="auto"/>
                  </w:divBdr>
                </w:div>
                <w:div w:id="8750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4986">
      <w:bodyDiv w:val="1"/>
      <w:marLeft w:val="0"/>
      <w:marRight w:val="0"/>
      <w:marTop w:val="0"/>
      <w:marBottom w:val="0"/>
      <w:divBdr>
        <w:top w:val="none" w:sz="0" w:space="0" w:color="auto"/>
        <w:left w:val="none" w:sz="0" w:space="0" w:color="auto"/>
        <w:bottom w:val="none" w:sz="0" w:space="0" w:color="auto"/>
        <w:right w:val="none" w:sz="0" w:space="0" w:color="auto"/>
      </w:divBdr>
      <w:divsChild>
        <w:div w:id="1249994861">
          <w:marLeft w:val="0"/>
          <w:marRight w:val="0"/>
          <w:marTop w:val="0"/>
          <w:marBottom w:val="0"/>
          <w:divBdr>
            <w:top w:val="none" w:sz="0" w:space="0" w:color="auto"/>
            <w:left w:val="none" w:sz="0" w:space="0" w:color="auto"/>
            <w:bottom w:val="none" w:sz="0" w:space="0" w:color="auto"/>
            <w:right w:val="none" w:sz="0" w:space="0" w:color="auto"/>
          </w:divBdr>
          <w:divsChild>
            <w:div w:id="98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61008">
      <w:bodyDiv w:val="1"/>
      <w:marLeft w:val="0"/>
      <w:marRight w:val="0"/>
      <w:marTop w:val="0"/>
      <w:marBottom w:val="0"/>
      <w:divBdr>
        <w:top w:val="none" w:sz="0" w:space="0" w:color="auto"/>
        <w:left w:val="none" w:sz="0" w:space="0" w:color="auto"/>
        <w:bottom w:val="none" w:sz="0" w:space="0" w:color="auto"/>
        <w:right w:val="none" w:sz="0" w:space="0" w:color="auto"/>
      </w:divBdr>
    </w:div>
    <w:div w:id="1609578971">
      <w:bodyDiv w:val="1"/>
      <w:marLeft w:val="0"/>
      <w:marRight w:val="0"/>
      <w:marTop w:val="0"/>
      <w:marBottom w:val="0"/>
      <w:divBdr>
        <w:top w:val="none" w:sz="0" w:space="0" w:color="auto"/>
        <w:left w:val="none" w:sz="0" w:space="0" w:color="auto"/>
        <w:bottom w:val="none" w:sz="0" w:space="0" w:color="auto"/>
        <w:right w:val="none" w:sz="0" w:space="0" w:color="auto"/>
      </w:divBdr>
      <w:divsChild>
        <w:div w:id="546768689">
          <w:marLeft w:val="0"/>
          <w:marRight w:val="0"/>
          <w:marTop w:val="0"/>
          <w:marBottom w:val="0"/>
          <w:divBdr>
            <w:top w:val="none" w:sz="0" w:space="0" w:color="auto"/>
            <w:left w:val="none" w:sz="0" w:space="0" w:color="auto"/>
            <w:bottom w:val="none" w:sz="0" w:space="0" w:color="auto"/>
            <w:right w:val="none" w:sz="0" w:space="0" w:color="auto"/>
          </w:divBdr>
          <w:divsChild>
            <w:div w:id="213588324">
              <w:marLeft w:val="0"/>
              <w:marRight w:val="0"/>
              <w:marTop w:val="0"/>
              <w:marBottom w:val="0"/>
              <w:divBdr>
                <w:top w:val="none" w:sz="0" w:space="0" w:color="auto"/>
                <w:left w:val="none" w:sz="0" w:space="0" w:color="auto"/>
                <w:bottom w:val="none" w:sz="0" w:space="0" w:color="auto"/>
                <w:right w:val="none" w:sz="0" w:space="0" w:color="auto"/>
              </w:divBdr>
              <w:divsChild>
                <w:div w:id="1689482065">
                  <w:marLeft w:val="0"/>
                  <w:marRight w:val="0"/>
                  <w:marTop w:val="0"/>
                  <w:marBottom w:val="0"/>
                  <w:divBdr>
                    <w:top w:val="none" w:sz="0" w:space="0" w:color="auto"/>
                    <w:left w:val="none" w:sz="0" w:space="0" w:color="auto"/>
                    <w:bottom w:val="none" w:sz="0" w:space="0" w:color="auto"/>
                    <w:right w:val="none" w:sz="0" w:space="0" w:color="auto"/>
                  </w:divBdr>
                </w:div>
              </w:divsChild>
            </w:div>
            <w:div w:id="1343126411">
              <w:marLeft w:val="0"/>
              <w:marRight w:val="0"/>
              <w:marTop w:val="0"/>
              <w:marBottom w:val="0"/>
              <w:divBdr>
                <w:top w:val="none" w:sz="0" w:space="0" w:color="auto"/>
                <w:left w:val="none" w:sz="0" w:space="0" w:color="auto"/>
                <w:bottom w:val="none" w:sz="0" w:space="0" w:color="auto"/>
                <w:right w:val="none" w:sz="0" w:space="0" w:color="auto"/>
              </w:divBdr>
              <w:divsChild>
                <w:div w:id="687828947">
                  <w:marLeft w:val="0"/>
                  <w:marRight w:val="0"/>
                  <w:marTop w:val="0"/>
                  <w:marBottom w:val="0"/>
                  <w:divBdr>
                    <w:top w:val="none" w:sz="0" w:space="0" w:color="auto"/>
                    <w:left w:val="none" w:sz="0" w:space="0" w:color="auto"/>
                    <w:bottom w:val="none" w:sz="0" w:space="0" w:color="auto"/>
                    <w:right w:val="none" w:sz="0" w:space="0" w:color="auto"/>
                  </w:divBdr>
                </w:div>
                <w:div w:id="344290682">
                  <w:marLeft w:val="0"/>
                  <w:marRight w:val="0"/>
                  <w:marTop w:val="0"/>
                  <w:marBottom w:val="0"/>
                  <w:divBdr>
                    <w:top w:val="none" w:sz="0" w:space="0" w:color="auto"/>
                    <w:left w:val="none" w:sz="0" w:space="0" w:color="auto"/>
                    <w:bottom w:val="none" w:sz="0" w:space="0" w:color="auto"/>
                    <w:right w:val="none" w:sz="0" w:space="0" w:color="auto"/>
                  </w:divBdr>
                </w:div>
                <w:div w:id="21454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2087">
      <w:bodyDiv w:val="1"/>
      <w:marLeft w:val="0"/>
      <w:marRight w:val="0"/>
      <w:marTop w:val="0"/>
      <w:marBottom w:val="0"/>
      <w:divBdr>
        <w:top w:val="none" w:sz="0" w:space="0" w:color="auto"/>
        <w:left w:val="none" w:sz="0" w:space="0" w:color="auto"/>
        <w:bottom w:val="none" w:sz="0" w:space="0" w:color="auto"/>
        <w:right w:val="none" w:sz="0" w:space="0" w:color="auto"/>
      </w:divBdr>
      <w:divsChild>
        <w:div w:id="1231769354">
          <w:marLeft w:val="0"/>
          <w:marRight w:val="0"/>
          <w:marTop w:val="0"/>
          <w:marBottom w:val="0"/>
          <w:divBdr>
            <w:top w:val="none" w:sz="0" w:space="0" w:color="auto"/>
            <w:left w:val="none" w:sz="0" w:space="0" w:color="auto"/>
            <w:bottom w:val="none" w:sz="0" w:space="0" w:color="auto"/>
            <w:right w:val="none" w:sz="0" w:space="0" w:color="auto"/>
          </w:divBdr>
          <w:divsChild>
            <w:div w:id="5990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0309">
      <w:bodyDiv w:val="1"/>
      <w:marLeft w:val="0"/>
      <w:marRight w:val="0"/>
      <w:marTop w:val="0"/>
      <w:marBottom w:val="0"/>
      <w:divBdr>
        <w:top w:val="none" w:sz="0" w:space="0" w:color="auto"/>
        <w:left w:val="none" w:sz="0" w:space="0" w:color="auto"/>
        <w:bottom w:val="none" w:sz="0" w:space="0" w:color="auto"/>
        <w:right w:val="none" w:sz="0" w:space="0" w:color="auto"/>
      </w:divBdr>
      <w:divsChild>
        <w:div w:id="1272476920">
          <w:marLeft w:val="0"/>
          <w:marRight w:val="0"/>
          <w:marTop w:val="0"/>
          <w:marBottom w:val="0"/>
          <w:divBdr>
            <w:top w:val="none" w:sz="0" w:space="0" w:color="auto"/>
            <w:left w:val="none" w:sz="0" w:space="0" w:color="auto"/>
            <w:bottom w:val="none" w:sz="0" w:space="0" w:color="auto"/>
            <w:right w:val="none" w:sz="0" w:space="0" w:color="auto"/>
          </w:divBdr>
          <w:divsChild>
            <w:div w:id="1127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19596">
      <w:bodyDiv w:val="1"/>
      <w:marLeft w:val="0"/>
      <w:marRight w:val="0"/>
      <w:marTop w:val="0"/>
      <w:marBottom w:val="0"/>
      <w:divBdr>
        <w:top w:val="none" w:sz="0" w:space="0" w:color="auto"/>
        <w:left w:val="none" w:sz="0" w:space="0" w:color="auto"/>
        <w:bottom w:val="none" w:sz="0" w:space="0" w:color="auto"/>
        <w:right w:val="none" w:sz="0" w:space="0" w:color="auto"/>
      </w:divBdr>
      <w:divsChild>
        <w:div w:id="263465106">
          <w:marLeft w:val="0"/>
          <w:marRight w:val="0"/>
          <w:marTop w:val="0"/>
          <w:marBottom w:val="0"/>
          <w:divBdr>
            <w:top w:val="none" w:sz="0" w:space="0" w:color="auto"/>
            <w:left w:val="none" w:sz="0" w:space="0" w:color="auto"/>
            <w:bottom w:val="none" w:sz="0" w:space="0" w:color="auto"/>
            <w:right w:val="none" w:sz="0" w:space="0" w:color="auto"/>
          </w:divBdr>
          <w:divsChild>
            <w:div w:id="1450778715">
              <w:marLeft w:val="0"/>
              <w:marRight w:val="0"/>
              <w:marTop w:val="0"/>
              <w:marBottom w:val="0"/>
              <w:divBdr>
                <w:top w:val="none" w:sz="0" w:space="0" w:color="auto"/>
                <w:left w:val="none" w:sz="0" w:space="0" w:color="auto"/>
                <w:bottom w:val="none" w:sz="0" w:space="0" w:color="auto"/>
                <w:right w:val="none" w:sz="0" w:space="0" w:color="auto"/>
              </w:divBdr>
              <w:divsChild>
                <w:div w:id="750933380">
                  <w:marLeft w:val="0"/>
                  <w:marRight w:val="0"/>
                  <w:marTop w:val="0"/>
                  <w:marBottom w:val="0"/>
                  <w:divBdr>
                    <w:top w:val="none" w:sz="0" w:space="0" w:color="auto"/>
                    <w:left w:val="none" w:sz="0" w:space="0" w:color="auto"/>
                    <w:bottom w:val="none" w:sz="0" w:space="0" w:color="auto"/>
                    <w:right w:val="none" w:sz="0" w:space="0" w:color="auto"/>
                  </w:divBdr>
                </w:div>
              </w:divsChild>
            </w:div>
            <w:div w:id="1072386494">
              <w:marLeft w:val="0"/>
              <w:marRight w:val="0"/>
              <w:marTop w:val="0"/>
              <w:marBottom w:val="0"/>
              <w:divBdr>
                <w:top w:val="none" w:sz="0" w:space="0" w:color="auto"/>
                <w:left w:val="none" w:sz="0" w:space="0" w:color="auto"/>
                <w:bottom w:val="none" w:sz="0" w:space="0" w:color="auto"/>
                <w:right w:val="none" w:sz="0" w:space="0" w:color="auto"/>
              </w:divBdr>
              <w:divsChild>
                <w:div w:id="1692533878">
                  <w:marLeft w:val="0"/>
                  <w:marRight w:val="0"/>
                  <w:marTop w:val="0"/>
                  <w:marBottom w:val="0"/>
                  <w:divBdr>
                    <w:top w:val="none" w:sz="0" w:space="0" w:color="auto"/>
                    <w:left w:val="none" w:sz="0" w:space="0" w:color="auto"/>
                    <w:bottom w:val="none" w:sz="0" w:space="0" w:color="auto"/>
                    <w:right w:val="none" w:sz="0" w:space="0" w:color="auto"/>
                  </w:divBdr>
                </w:div>
                <w:div w:id="877009747">
                  <w:marLeft w:val="0"/>
                  <w:marRight w:val="0"/>
                  <w:marTop w:val="0"/>
                  <w:marBottom w:val="0"/>
                  <w:divBdr>
                    <w:top w:val="none" w:sz="0" w:space="0" w:color="auto"/>
                    <w:left w:val="none" w:sz="0" w:space="0" w:color="auto"/>
                    <w:bottom w:val="none" w:sz="0" w:space="0" w:color="auto"/>
                    <w:right w:val="none" w:sz="0" w:space="0" w:color="auto"/>
                  </w:divBdr>
                </w:div>
                <w:div w:id="14860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45086">
      <w:bodyDiv w:val="1"/>
      <w:marLeft w:val="0"/>
      <w:marRight w:val="0"/>
      <w:marTop w:val="0"/>
      <w:marBottom w:val="0"/>
      <w:divBdr>
        <w:top w:val="none" w:sz="0" w:space="0" w:color="auto"/>
        <w:left w:val="none" w:sz="0" w:space="0" w:color="auto"/>
        <w:bottom w:val="none" w:sz="0" w:space="0" w:color="auto"/>
        <w:right w:val="none" w:sz="0" w:space="0" w:color="auto"/>
      </w:divBdr>
      <w:divsChild>
        <w:div w:id="16588725">
          <w:marLeft w:val="0"/>
          <w:marRight w:val="0"/>
          <w:marTop w:val="0"/>
          <w:marBottom w:val="0"/>
          <w:divBdr>
            <w:top w:val="none" w:sz="0" w:space="0" w:color="auto"/>
            <w:left w:val="none" w:sz="0" w:space="0" w:color="auto"/>
            <w:bottom w:val="none" w:sz="0" w:space="0" w:color="auto"/>
            <w:right w:val="none" w:sz="0" w:space="0" w:color="auto"/>
          </w:divBdr>
          <w:divsChild>
            <w:div w:id="1410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i.org/publication/race-public-housing-revisiting-federal-role/" TargetMode="External"/><Relationship Id="rId4" Type="http://schemas.microsoft.com/office/2007/relationships/stylesWithEffects" Target="stylesWithEffects.xml"/><Relationship Id="rId9" Type="http://schemas.openxmlformats.org/officeDocument/2006/relationships/hyperlink" Target="http://reclaimdemocracy.org/corporate_accountability/powell_memo_lewi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51B18-C46B-4002-8E45-68AAEA14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jfeltham</cp:lastModifiedBy>
  <cp:revision>3</cp:revision>
  <cp:lastPrinted>2013-07-30T21:34:00Z</cp:lastPrinted>
  <dcterms:created xsi:type="dcterms:W3CDTF">2013-08-05T23:42:00Z</dcterms:created>
  <dcterms:modified xsi:type="dcterms:W3CDTF">2013-08-12T18:06:00Z</dcterms:modified>
</cp:coreProperties>
</file>