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CF7A" w14:textId="77777777" w:rsidR="006779EB" w:rsidRPr="00855D83" w:rsidRDefault="006779EB" w:rsidP="0017127E">
      <w:pPr>
        <w:jc w:val="center"/>
        <w:rPr>
          <w:b/>
          <w:sz w:val="32"/>
        </w:rPr>
      </w:pPr>
      <w:r w:rsidRPr="00855D83">
        <w:rPr>
          <w:b/>
          <w:sz w:val="32"/>
        </w:rPr>
        <w:t>SYLLABUS</w:t>
      </w:r>
    </w:p>
    <w:p w14:paraId="370A3DA2" w14:textId="77777777" w:rsidR="006779EB" w:rsidRPr="00855D83" w:rsidRDefault="006779EB" w:rsidP="006779EB">
      <w:pPr>
        <w:jc w:val="center"/>
        <w:rPr>
          <w:b/>
          <w:sz w:val="32"/>
        </w:rPr>
      </w:pPr>
      <w:r w:rsidRPr="00855D83">
        <w:rPr>
          <w:b/>
          <w:sz w:val="32"/>
        </w:rPr>
        <w:t>Topics in Sports Law</w:t>
      </w:r>
    </w:p>
    <w:p w14:paraId="1EEB402D" w14:textId="77777777" w:rsidR="006779EB" w:rsidRPr="00855D83" w:rsidRDefault="006779EB" w:rsidP="006779EB">
      <w:pPr>
        <w:jc w:val="center"/>
        <w:rPr>
          <w:b/>
          <w:sz w:val="32"/>
        </w:rPr>
      </w:pPr>
      <w:r w:rsidRPr="00855D83">
        <w:rPr>
          <w:b/>
          <w:sz w:val="32"/>
        </w:rPr>
        <w:t>255.6</w:t>
      </w:r>
    </w:p>
    <w:p w14:paraId="4209CD66" w14:textId="0D645184" w:rsidR="006779EB" w:rsidRPr="00855D83" w:rsidRDefault="006779EB" w:rsidP="006779EB">
      <w:pPr>
        <w:jc w:val="center"/>
        <w:rPr>
          <w:b/>
          <w:sz w:val="32"/>
        </w:rPr>
      </w:pPr>
      <w:r w:rsidRPr="00855D83">
        <w:rPr>
          <w:b/>
          <w:sz w:val="32"/>
        </w:rPr>
        <w:t>Spring 201</w:t>
      </w:r>
      <w:r w:rsidR="007A12D6" w:rsidRPr="00855D83">
        <w:rPr>
          <w:b/>
          <w:sz w:val="32"/>
        </w:rPr>
        <w:t>3</w:t>
      </w:r>
    </w:p>
    <w:p w14:paraId="0D198DBC" w14:textId="21E55431" w:rsidR="006779EB" w:rsidRPr="00855D83" w:rsidRDefault="006779EB" w:rsidP="006779EB">
      <w:pPr>
        <w:jc w:val="center"/>
        <w:rPr>
          <w:b/>
          <w:sz w:val="32"/>
        </w:rPr>
      </w:pPr>
      <w:r w:rsidRPr="00855D83">
        <w:rPr>
          <w:b/>
          <w:sz w:val="32"/>
        </w:rPr>
        <w:t xml:space="preserve">Professor </w:t>
      </w:r>
      <w:r w:rsidR="007D1C16">
        <w:rPr>
          <w:b/>
          <w:sz w:val="32"/>
        </w:rPr>
        <w:t xml:space="preserve">Roy </w:t>
      </w:r>
      <w:r w:rsidRPr="00855D83">
        <w:rPr>
          <w:b/>
          <w:sz w:val="32"/>
        </w:rPr>
        <w:t>Eisenhardt</w:t>
      </w:r>
    </w:p>
    <w:p w14:paraId="63DFF8C0" w14:textId="1C75D69F" w:rsidR="006779EB" w:rsidRPr="00227A5A" w:rsidRDefault="00D91C6A" w:rsidP="00227A5A">
      <w:pPr>
        <w:jc w:val="center"/>
        <w:rPr>
          <w:sz w:val="22"/>
          <w:szCs w:val="22"/>
        </w:rPr>
      </w:pPr>
      <w:r w:rsidRPr="00227A5A">
        <w:rPr>
          <w:sz w:val="22"/>
          <w:szCs w:val="22"/>
        </w:rPr>
        <w:t xml:space="preserve">Chapter References are </w:t>
      </w:r>
      <w:r w:rsidR="00855D83" w:rsidRPr="00227A5A">
        <w:rPr>
          <w:sz w:val="22"/>
          <w:szCs w:val="22"/>
        </w:rPr>
        <w:t>to</w:t>
      </w:r>
      <w:r w:rsidRPr="00227A5A">
        <w:rPr>
          <w:sz w:val="22"/>
          <w:szCs w:val="22"/>
        </w:rPr>
        <w:t xml:space="preserve"> the Casebook,</w:t>
      </w:r>
    </w:p>
    <w:p w14:paraId="037D192F" w14:textId="77777777" w:rsidR="00427C8D" w:rsidRPr="00227A5A" w:rsidRDefault="00D91C6A" w:rsidP="00457BF3">
      <w:pPr>
        <w:jc w:val="center"/>
        <w:rPr>
          <w:sz w:val="22"/>
          <w:szCs w:val="22"/>
        </w:rPr>
      </w:pPr>
      <w:r w:rsidRPr="00227A5A">
        <w:rPr>
          <w:i/>
          <w:sz w:val="22"/>
          <w:szCs w:val="22"/>
        </w:rPr>
        <w:t>Sports Law and Regulation</w:t>
      </w:r>
      <w:r w:rsidRPr="00227A5A">
        <w:rPr>
          <w:sz w:val="22"/>
          <w:szCs w:val="22"/>
        </w:rPr>
        <w:t>, 2</w:t>
      </w:r>
      <w:r w:rsidRPr="00227A5A">
        <w:rPr>
          <w:sz w:val="22"/>
          <w:szCs w:val="22"/>
          <w:vertAlign w:val="superscript"/>
        </w:rPr>
        <w:t>nd</w:t>
      </w:r>
      <w:r w:rsidRPr="00227A5A">
        <w:rPr>
          <w:sz w:val="22"/>
          <w:szCs w:val="22"/>
        </w:rPr>
        <w:t xml:space="preserve"> Ed.</w:t>
      </w:r>
      <w:r w:rsidR="00457BF3" w:rsidRPr="00227A5A">
        <w:rPr>
          <w:sz w:val="22"/>
          <w:szCs w:val="22"/>
        </w:rPr>
        <w:t xml:space="preserve">  </w:t>
      </w:r>
    </w:p>
    <w:p w14:paraId="5623E964" w14:textId="1F57D816" w:rsidR="00457BF3" w:rsidRPr="00227A5A" w:rsidRDefault="00457BF3" w:rsidP="00427C8D">
      <w:pPr>
        <w:jc w:val="center"/>
        <w:rPr>
          <w:sz w:val="22"/>
          <w:szCs w:val="22"/>
        </w:rPr>
      </w:pPr>
      <w:r w:rsidRPr="00227A5A">
        <w:rPr>
          <w:sz w:val="22"/>
          <w:szCs w:val="22"/>
        </w:rPr>
        <w:t>Supplementary reading is on bSpace.</w:t>
      </w:r>
    </w:p>
    <w:p w14:paraId="33528A32" w14:textId="77777777" w:rsidR="00F674A5" w:rsidRPr="00855D83" w:rsidRDefault="00F674A5" w:rsidP="00D91C6A">
      <w:pPr>
        <w:jc w:val="center"/>
        <w:rPr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1080"/>
        <w:gridCol w:w="7290"/>
      </w:tblGrid>
      <w:tr w:rsidR="006779EB" w:rsidRPr="00363E6D" w14:paraId="0912F7BA" w14:textId="77777777" w:rsidTr="006779EB">
        <w:tc>
          <w:tcPr>
            <w:tcW w:w="1368" w:type="dxa"/>
          </w:tcPr>
          <w:p w14:paraId="2256B6EB" w14:textId="77777777" w:rsidR="006779EB" w:rsidRPr="00363E6D" w:rsidRDefault="006779EB" w:rsidP="006779EB">
            <w:pPr>
              <w:rPr>
                <w:b/>
                <w:sz w:val="32"/>
                <w:u w:val="single"/>
              </w:rPr>
            </w:pPr>
            <w:r w:rsidRPr="00363E6D">
              <w:rPr>
                <w:b/>
                <w:sz w:val="32"/>
                <w:u w:val="single"/>
              </w:rPr>
              <w:t>Class</w:t>
            </w:r>
          </w:p>
        </w:tc>
        <w:tc>
          <w:tcPr>
            <w:tcW w:w="1080" w:type="dxa"/>
          </w:tcPr>
          <w:p w14:paraId="73B40EB0" w14:textId="77777777" w:rsidR="006779EB" w:rsidRPr="00363E6D" w:rsidRDefault="006779EB" w:rsidP="006779EB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Date</w:t>
            </w:r>
          </w:p>
        </w:tc>
        <w:tc>
          <w:tcPr>
            <w:tcW w:w="7290" w:type="dxa"/>
          </w:tcPr>
          <w:p w14:paraId="5DA4746A" w14:textId="77777777" w:rsidR="006779EB" w:rsidRPr="00363E6D" w:rsidRDefault="006779EB" w:rsidP="006779EB">
            <w:pPr>
              <w:jc w:val="center"/>
              <w:rPr>
                <w:b/>
                <w:sz w:val="32"/>
                <w:u w:val="single"/>
              </w:rPr>
            </w:pPr>
            <w:r w:rsidRPr="00363E6D">
              <w:rPr>
                <w:b/>
                <w:sz w:val="32"/>
                <w:u w:val="single"/>
              </w:rPr>
              <w:t>Assignment</w:t>
            </w:r>
          </w:p>
        </w:tc>
      </w:tr>
      <w:tr w:rsidR="006779EB" w14:paraId="44A7C17C" w14:textId="77777777" w:rsidTr="006779EB">
        <w:tc>
          <w:tcPr>
            <w:tcW w:w="1368" w:type="dxa"/>
          </w:tcPr>
          <w:p w14:paraId="37B65FA8" w14:textId="77777777" w:rsidR="006779EB" w:rsidRPr="00363E6D" w:rsidRDefault="006779EB" w:rsidP="006779EB">
            <w:r w:rsidRPr="00363E6D">
              <w:t>Class 1</w:t>
            </w:r>
          </w:p>
        </w:tc>
        <w:tc>
          <w:tcPr>
            <w:tcW w:w="1080" w:type="dxa"/>
          </w:tcPr>
          <w:p w14:paraId="6A8075A3" w14:textId="7560AE26" w:rsidR="006779EB" w:rsidRPr="00363E6D" w:rsidRDefault="006779EB" w:rsidP="00415A10">
            <w:r>
              <w:t xml:space="preserve">Jan </w:t>
            </w:r>
            <w:r w:rsidR="00415A10">
              <w:t>8</w:t>
            </w:r>
          </w:p>
        </w:tc>
        <w:tc>
          <w:tcPr>
            <w:tcW w:w="7290" w:type="dxa"/>
          </w:tcPr>
          <w:p w14:paraId="67CAE405" w14:textId="77777777" w:rsidR="001E71A5" w:rsidRPr="00704580" w:rsidRDefault="001E71A5" w:rsidP="001E71A5">
            <w:pPr>
              <w:jc w:val="center"/>
              <w:rPr>
                <w:b/>
              </w:rPr>
            </w:pPr>
            <w:r w:rsidRPr="00704580">
              <w:rPr>
                <w:b/>
              </w:rPr>
              <w:t>Introductory</w:t>
            </w:r>
          </w:p>
          <w:p w14:paraId="230EA311" w14:textId="235F8105" w:rsidR="007251EC" w:rsidRDefault="00DD3E34" w:rsidP="001E71A5">
            <w:r>
              <w:t xml:space="preserve">We start with the </w:t>
            </w:r>
            <w:r w:rsidR="003D6CF4">
              <w:t xml:space="preserve">history of </w:t>
            </w:r>
            <w:r w:rsidR="007D1C16">
              <w:t xml:space="preserve">a </w:t>
            </w:r>
            <w:r w:rsidR="001E71A5">
              <w:t xml:space="preserve">professional </w:t>
            </w:r>
            <w:r w:rsidR="003D6CF4">
              <w:t>team</w:t>
            </w:r>
            <w:r w:rsidR="007D1C16">
              <w:t>’s</w:t>
            </w:r>
            <w:r w:rsidR="003D6CF4">
              <w:t xml:space="preserve"> </w:t>
            </w:r>
            <w:r w:rsidR="007D1C16">
              <w:t xml:space="preserve">contractual </w:t>
            </w:r>
            <w:r w:rsidR="003D6CF4">
              <w:t>control over players’ rights,</w:t>
            </w:r>
            <w:r w:rsidR="001E71A5">
              <w:t xml:space="preserve"> </w:t>
            </w:r>
            <w:r w:rsidR="00366C47">
              <w:t>p</w:t>
            </w:r>
            <w:r w:rsidR="007D1C16">
              <w:t xml:space="preserve">articularly the reserve clause;  under this clause, </w:t>
            </w:r>
            <w:r w:rsidR="00366C47">
              <w:t>a team could bind a player to play his entire career for that team</w:t>
            </w:r>
            <w:r w:rsidR="006B4110">
              <w:t>.</w:t>
            </w:r>
            <w:r>
              <w:t xml:space="preserve">  </w:t>
            </w:r>
            <w:r w:rsidR="00043847">
              <w:t xml:space="preserve">You encountered this issue in another </w:t>
            </w:r>
            <w:r w:rsidR="00200919">
              <w:t xml:space="preserve">context—most likely </w:t>
            </w:r>
            <w:r w:rsidR="00200919" w:rsidRPr="00200919">
              <w:rPr>
                <w:i/>
              </w:rPr>
              <w:t>Lumley v. Wagner</w:t>
            </w:r>
            <w:r w:rsidR="00200919">
              <w:t xml:space="preserve">—in first year contracts (opinion is on </w:t>
            </w:r>
            <w:r w:rsidR="00200919" w:rsidRPr="007D1C16">
              <w:rPr>
                <w:i/>
              </w:rPr>
              <w:t>bSpace</w:t>
            </w:r>
            <w:r w:rsidR="00200919">
              <w:t xml:space="preserve">).  </w:t>
            </w:r>
            <w:r w:rsidR="001E71A5">
              <w:t xml:space="preserve"> Do not be concerned if you </w:t>
            </w:r>
            <w:r w:rsidR="00200919">
              <w:t>lack</w:t>
            </w:r>
            <w:r w:rsidR="001E71A5">
              <w:t xml:space="preserve"> an understanding of Antitrust </w:t>
            </w:r>
            <w:r w:rsidR="007D1C16">
              <w:t xml:space="preserve">law </w:t>
            </w:r>
            <w:r w:rsidR="001E71A5">
              <w:t xml:space="preserve">at this point; we will provide this in subsequent classes.  </w:t>
            </w:r>
            <w:r>
              <w:t>For this class please read</w:t>
            </w:r>
            <w:r w:rsidR="007251EC">
              <w:t>:</w:t>
            </w:r>
          </w:p>
          <w:p w14:paraId="1023FD0A" w14:textId="15953E36" w:rsidR="007251EC" w:rsidRDefault="00461719" w:rsidP="00AD3FB6">
            <w:pPr>
              <w:pStyle w:val="ListParagraph"/>
              <w:numPr>
                <w:ilvl w:val="0"/>
                <w:numId w:val="5"/>
              </w:numPr>
            </w:pPr>
            <w:r>
              <w:t xml:space="preserve">Chap. 6, </w:t>
            </w:r>
            <w:r w:rsidR="002D6A75">
              <w:t xml:space="preserve">Sec. C, </w:t>
            </w:r>
            <w:r>
              <w:t>pp. 406-411;</w:t>
            </w:r>
          </w:p>
          <w:p w14:paraId="0F4E67E3" w14:textId="5CB7BB22" w:rsidR="007251EC" w:rsidRDefault="007251EC" w:rsidP="00AD3FB6">
            <w:pPr>
              <w:pStyle w:val="ListParagraph"/>
              <w:numPr>
                <w:ilvl w:val="0"/>
                <w:numId w:val="5"/>
              </w:numPr>
            </w:pPr>
            <w:r>
              <w:t xml:space="preserve">Chap. 6, </w:t>
            </w:r>
            <w:r w:rsidR="002D6A75">
              <w:t xml:space="preserve">Part 2, </w:t>
            </w:r>
            <w:r w:rsidR="00B2549A">
              <w:t>pp.  421</w:t>
            </w:r>
            <w:r w:rsidR="00D6350E">
              <w:t>-4</w:t>
            </w:r>
            <w:r w:rsidR="00DD3E34">
              <w:t>26</w:t>
            </w:r>
            <w:r w:rsidR="00D6350E">
              <w:t>.</w:t>
            </w:r>
            <w:r w:rsidR="007A12D6">
              <w:t xml:space="preserve"> </w:t>
            </w:r>
          </w:p>
          <w:p w14:paraId="301280A9" w14:textId="36D5B7E5" w:rsidR="006779EB" w:rsidRDefault="007251EC" w:rsidP="00F27EC4">
            <w:pPr>
              <w:pStyle w:val="ListParagraph"/>
              <w:numPr>
                <w:ilvl w:val="0"/>
                <w:numId w:val="5"/>
              </w:numPr>
            </w:pPr>
            <w:r w:rsidRPr="007251EC">
              <w:rPr>
                <w:i/>
              </w:rPr>
              <w:t>Flood v. Kuhn</w:t>
            </w:r>
            <w:r>
              <w:t>.</w:t>
            </w:r>
            <w:r w:rsidR="007A12D6">
              <w:t xml:space="preserve"> </w:t>
            </w:r>
            <w:r w:rsidR="00DD3E34">
              <w:t xml:space="preserve">In lieu of the edited version of </w:t>
            </w:r>
            <w:r w:rsidR="00DD3E34" w:rsidRPr="007251EC">
              <w:rPr>
                <w:i/>
              </w:rPr>
              <w:t>Flood v. Kuhn</w:t>
            </w:r>
            <w:r w:rsidR="00DD3E34">
              <w:t xml:space="preserve"> found on p. 426 please read the </w:t>
            </w:r>
            <w:r w:rsidR="007D1C16">
              <w:t>unedited</w:t>
            </w:r>
            <w:r w:rsidR="00DD3E34">
              <w:t xml:space="preserve"> opinion of the Court.   I have posted this opinion on </w:t>
            </w:r>
            <w:r w:rsidR="00DD3E34" w:rsidRPr="007D1C16">
              <w:rPr>
                <w:i/>
              </w:rPr>
              <w:t>bSpace</w:t>
            </w:r>
            <w:r w:rsidR="00DD3E34">
              <w:t xml:space="preserve">. </w:t>
            </w:r>
            <w:r w:rsidR="001E71A5">
              <w:t xml:space="preserve"> Think about why several justices disengaged themselves from Part I of the opinion.</w:t>
            </w:r>
          </w:p>
          <w:p w14:paraId="0C686644" w14:textId="13260B6F" w:rsidR="00200919" w:rsidRDefault="00461719" w:rsidP="007D1C16">
            <w:pPr>
              <w:pStyle w:val="ListParagraph"/>
              <w:numPr>
                <w:ilvl w:val="0"/>
                <w:numId w:val="5"/>
              </w:numPr>
            </w:pPr>
            <w:r w:rsidRPr="00DC6157">
              <w:rPr>
                <w:i/>
              </w:rPr>
              <w:t>Nat’l &amp; Am. League v. MLBPA</w:t>
            </w:r>
            <w:r>
              <w:t xml:space="preserve">, </w:t>
            </w:r>
            <w:r w:rsidR="00DC6157">
              <w:t xml:space="preserve">Chap 7, </w:t>
            </w:r>
            <w:r>
              <w:t>pp. 538-542</w:t>
            </w:r>
          </w:p>
          <w:p w14:paraId="5D2DE49A" w14:textId="0DE75D19" w:rsidR="00643801" w:rsidRPr="00363E6D" w:rsidRDefault="00643801" w:rsidP="00794C62">
            <w:pPr>
              <w:pStyle w:val="ListParagraph"/>
            </w:pPr>
          </w:p>
        </w:tc>
      </w:tr>
      <w:tr w:rsidR="006779EB" w14:paraId="0760E532" w14:textId="77777777" w:rsidTr="006779EB">
        <w:tc>
          <w:tcPr>
            <w:tcW w:w="1368" w:type="dxa"/>
          </w:tcPr>
          <w:p w14:paraId="72B68E35" w14:textId="046A7914" w:rsidR="006779EB" w:rsidRPr="00363E6D" w:rsidRDefault="00EA7C7D" w:rsidP="000C2EE1">
            <w:r>
              <w:t xml:space="preserve"> </w:t>
            </w:r>
            <w:r w:rsidR="00A97098">
              <w:t>Cl</w:t>
            </w:r>
            <w:r w:rsidR="007D1C16">
              <w:t xml:space="preserve">ass </w:t>
            </w:r>
            <w:r w:rsidR="006779EB">
              <w:t>2</w:t>
            </w:r>
          </w:p>
        </w:tc>
        <w:tc>
          <w:tcPr>
            <w:tcW w:w="1080" w:type="dxa"/>
          </w:tcPr>
          <w:p w14:paraId="607A7120" w14:textId="0FBCC7D8" w:rsidR="006779EB" w:rsidRPr="004D770B" w:rsidRDefault="006779EB" w:rsidP="00415A10">
            <w:r>
              <w:t xml:space="preserve">Jan </w:t>
            </w:r>
            <w:r w:rsidR="00415A10">
              <w:t>15</w:t>
            </w:r>
          </w:p>
        </w:tc>
        <w:tc>
          <w:tcPr>
            <w:tcW w:w="7290" w:type="dxa"/>
          </w:tcPr>
          <w:p w14:paraId="70F71D17" w14:textId="0D042260" w:rsidR="003D6CF4" w:rsidRDefault="006B4110" w:rsidP="001E71A5">
            <w:pPr>
              <w:jc w:val="center"/>
            </w:pPr>
            <w:r>
              <w:rPr>
                <w:b/>
              </w:rPr>
              <w:t xml:space="preserve">Introduction to </w:t>
            </w:r>
            <w:r w:rsidR="003D6CF4" w:rsidRPr="00704580">
              <w:rPr>
                <w:b/>
              </w:rPr>
              <w:t>Antitrust</w:t>
            </w:r>
            <w:r>
              <w:rPr>
                <w:b/>
              </w:rPr>
              <w:t xml:space="preserve"> Issues</w:t>
            </w:r>
            <w:r w:rsidR="003D6CF4">
              <w:t>.</w:t>
            </w:r>
          </w:p>
          <w:p w14:paraId="73B647BE" w14:textId="4117995B" w:rsidR="00F87AD4" w:rsidRDefault="00BF5DD0" w:rsidP="000504F8">
            <w:r>
              <w:t xml:space="preserve">This class </w:t>
            </w:r>
            <w:r w:rsidR="00201919">
              <w:t>and the next explore</w:t>
            </w:r>
            <w:r w:rsidR="007D1C16">
              <w:t xml:space="preserve"> the</w:t>
            </w:r>
            <w:r>
              <w:t xml:space="preserve"> </w:t>
            </w:r>
            <w:r w:rsidR="008E2D16">
              <w:t>inherent</w:t>
            </w:r>
            <w:r>
              <w:t xml:space="preserve"> tension between </w:t>
            </w:r>
            <w:r w:rsidR="006B4110">
              <w:t>(1) T</w:t>
            </w:r>
            <w:r>
              <w:t xml:space="preserve">he </w:t>
            </w:r>
            <w:r w:rsidR="000504F8">
              <w:t>need for</w:t>
            </w:r>
            <w:r w:rsidR="007D1C16">
              <w:t xml:space="preserve"> individual teams and the l</w:t>
            </w:r>
            <w:r w:rsidR="006B4110">
              <w:t xml:space="preserve">eague to operate collaboratively, </w:t>
            </w:r>
            <w:r w:rsidR="000956F9">
              <w:t>and</w:t>
            </w:r>
            <w:r w:rsidR="006B4110">
              <w:t xml:space="preserve"> (2)</w:t>
            </w:r>
            <w:r w:rsidR="000956F9">
              <w:t xml:space="preserve"> </w:t>
            </w:r>
            <w:r w:rsidR="007D1C16">
              <w:t>T</w:t>
            </w:r>
            <w:r w:rsidR="000504F8">
              <w:t xml:space="preserve">he general policy of antitrust law to resist </w:t>
            </w:r>
            <w:r w:rsidR="000504F8" w:rsidRPr="000956F9">
              <w:rPr>
                <w:i/>
              </w:rPr>
              <w:t>combinations</w:t>
            </w:r>
            <w:r w:rsidR="000504F8">
              <w:t xml:space="preserve"> that “restrain trade.” </w:t>
            </w:r>
            <w:r w:rsidR="006B4110">
              <w:t xml:space="preserve">  We will consider this </w:t>
            </w:r>
            <w:r w:rsidR="008E2D16">
              <w:t xml:space="preserve">tension </w:t>
            </w:r>
            <w:r w:rsidR="006B4110">
              <w:t xml:space="preserve">both in terms of internal </w:t>
            </w:r>
            <w:r w:rsidR="002D6A75">
              <w:t xml:space="preserve">league </w:t>
            </w:r>
            <w:r w:rsidR="006B4110">
              <w:t>governance or “self-ordering,” and contracts between the League</w:t>
            </w:r>
            <w:r w:rsidR="007D1C16">
              <w:t>,</w:t>
            </w:r>
            <w:r w:rsidR="006B4110">
              <w:t xml:space="preserve"> and </w:t>
            </w:r>
            <w:r w:rsidR="002D6A75">
              <w:t xml:space="preserve">other </w:t>
            </w:r>
            <w:r w:rsidR="007D1C16">
              <w:t xml:space="preserve">persons and </w:t>
            </w:r>
            <w:r w:rsidR="002D6A75">
              <w:t>industries</w:t>
            </w:r>
            <w:r w:rsidR="006B4110">
              <w:t>.</w:t>
            </w:r>
          </w:p>
          <w:p w14:paraId="2F62AB25" w14:textId="77777777" w:rsidR="00F87AD4" w:rsidRDefault="00F87AD4" w:rsidP="000504F8"/>
          <w:p w14:paraId="5A942E9A" w14:textId="32EB26DB" w:rsidR="000504F8" w:rsidRDefault="000504F8" w:rsidP="000504F8">
            <w:r>
              <w:t xml:space="preserve"> Please read:</w:t>
            </w:r>
          </w:p>
          <w:p w14:paraId="64529E6E" w14:textId="265886E7" w:rsidR="000504F8" w:rsidRPr="00201919" w:rsidRDefault="00D6350E" w:rsidP="00AD3FB6">
            <w:pPr>
              <w:pStyle w:val="ListParagraph"/>
              <w:numPr>
                <w:ilvl w:val="0"/>
                <w:numId w:val="6"/>
              </w:numPr>
            </w:pPr>
            <w:r w:rsidRPr="00D6350E">
              <w:t>Chap 8</w:t>
            </w:r>
            <w:r w:rsidR="000504F8">
              <w:t>—</w:t>
            </w:r>
            <w:r w:rsidRPr="00D6350E">
              <w:t>pp</w:t>
            </w:r>
            <w:r w:rsidR="000504F8">
              <w:t>.</w:t>
            </w:r>
            <w:r w:rsidR="00201919">
              <w:t xml:space="preserve"> 625-645</w:t>
            </w:r>
            <w:r w:rsidR="000956F9">
              <w:t xml:space="preserve"> including Note</w:t>
            </w:r>
            <w:r w:rsidR="00201919">
              <w:t>s</w:t>
            </w:r>
            <w:r w:rsidR="000956F9">
              <w:t xml:space="preserve"> 1</w:t>
            </w:r>
            <w:r w:rsidR="00201919">
              <w:t>-4</w:t>
            </w:r>
            <w:r w:rsidRPr="00D6350E">
              <w:t>; pp. 652-</w:t>
            </w:r>
            <w:r w:rsidR="000956F9">
              <w:t>656</w:t>
            </w:r>
            <w:r w:rsidRPr="000956F9">
              <w:rPr>
                <w:sz w:val="32"/>
                <w:szCs w:val="32"/>
              </w:rPr>
              <w:t xml:space="preserve">; </w:t>
            </w:r>
          </w:p>
          <w:p w14:paraId="2D3C187F" w14:textId="30FA67F0" w:rsidR="00201919" w:rsidRDefault="00201919" w:rsidP="00AD3FB6">
            <w:pPr>
              <w:pStyle w:val="ListParagraph"/>
              <w:numPr>
                <w:ilvl w:val="0"/>
                <w:numId w:val="6"/>
              </w:numPr>
            </w:pPr>
            <w:r w:rsidRPr="00201919">
              <w:rPr>
                <w:i/>
              </w:rPr>
              <w:t>American Needle v NFL</w:t>
            </w:r>
            <w:r>
              <w:t>, pp. 656-660, 7</w:t>
            </w:r>
            <w:r w:rsidRPr="00201919">
              <w:rPr>
                <w:vertAlign w:val="superscript"/>
              </w:rPr>
              <w:t>th</w:t>
            </w:r>
            <w:r>
              <w:t xml:space="preserve"> Cir</w:t>
            </w:r>
            <w:r w:rsidR="002D6A75">
              <w:t>.</w:t>
            </w:r>
            <w:r>
              <w:t xml:space="preserve"> opinion</w:t>
            </w:r>
          </w:p>
          <w:p w14:paraId="5452CBCA" w14:textId="08699FC6" w:rsidR="00A97098" w:rsidRPr="00C736DE" w:rsidRDefault="000504F8" w:rsidP="00A97098">
            <w:pPr>
              <w:pStyle w:val="ListParagraph"/>
              <w:numPr>
                <w:ilvl w:val="0"/>
                <w:numId w:val="6"/>
              </w:numPr>
            </w:pPr>
            <w:r w:rsidRPr="000956F9">
              <w:rPr>
                <w:i/>
              </w:rPr>
              <w:t>American Needle v. NFL</w:t>
            </w:r>
            <w:r>
              <w:t xml:space="preserve">, </w:t>
            </w:r>
            <w:r w:rsidR="005A4418" w:rsidRPr="000956F9">
              <w:rPr>
                <w:rFonts w:asciiTheme="majorHAnsi" w:eastAsiaTheme="minorEastAsia" w:hAnsiTheme="majorHAnsi" w:cs="Verdana"/>
                <w:color w:val="242424"/>
              </w:rPr>
              <w:t>130 S. Ct. 2201 (2010)</w:t>
            </w:r>
            <w:r w:rsidRPr="000956F9">
              <w:rPr>
                <w:rFonts w:asciiTheme="majorHAnsi" w:eastAsiaTheme="minorEastAsia" w:hAnsiTheme="majorHAnsi" w:cs="Verdana"/>
                <w:color w:val="242424"/>
              </w:rPr>
              <w:t xml:space="preserve"> reversing the 7</w:t>
            </w:r>
            <w:r w:rsidRPr="000956F9">
              <w:rPr>
                <w:rFonts w:asciiTheme="majorHAnsi" w:eastAsiaTheme="minorEastAsia" w:hAnsiTheme="majorHAnsi" w:cs="Verdana"/>
                <w:color w:val="242424"/>
                <w:vertAlign w:val="superscript"/>
              </w:rPr>
              <w:t>th</w:t>
            </w:r>
            <w:r w:rsidRPr="000956F9">
              <w:rPr>
                <w:rFonts w:asciiTheme="majorHAnsi" w:eastAsiaTheme="minorEastAsia" w:hAnsiTheme="majorHAnsi" w:cs="Verdana"/>
                <w:color w:val="242424"/>
              </w:rPr>
              <w:t xml:space="preserve"> Cir</w:t>
            </w:r>
            <w:r w:rsidR="002D6A75">
              <w:rPr>
                <w:rFonts w:asciiTheme="majorHAnsi" w:eastAsiaTheme="minorEastAsia" w:hAnsiTheme="majorHAnsi" w:cs="Verdana"/>
                <w:color w:val="242424"/>
              </w:rPr>
              <w:t>.</w:t>
            </w:r>
            <w:r w:rsidRPr="000956F9">
              <w:rPr>
                <w:rFonts w:asciiTheme="majorHAnsi" w:eastAsiaTheme="minorEastAsia" w:hAnsiTheme="majorHAnsi" w:cs="Verdana"/>
                <w:color w:val="242424"/>
              </w:rPr>
              <w:t xml:space="preserve"> opinion</w:t>
            </w:r>
            <w:r w:rsidR="000956F9">
              <w:rPr>
                <w:rFonts w:asciiTheme="majorHAnsi" w:eastAsiaTheme="minorEastAsia" w:hAnsiTheme="majorHAnsi" w:cs="Verdana"/>
                <w:color w:val="242424"/>
              </w:rPr>
              <w:t xml:space="preserve"> printed in the casebook</w:t>
            </w:r>
            <w:r w:rsidRPr="000956F9">
              <w:rPr>
                <w:rFonts w:asciiTheme="majorHAnsi" w:eastAsiaTheme="minorEastAsia" w:hAnsiTheme="majorHAnsi" w:cs="Verdana"/>
                <w:color w:val="242424"/>
              </w:rPr>
              <w:t>.</w:t>
            </w:r>
            <w:r w:rsidR="005A4418" w:rsidRPr="000956F9">
              <w:rPr>
                <w:rFonts w:asciiTheme="majorHAnsi" w:eastAsiaTheme="minorEastAsia" w:hAnsiTheme="majorHAnsi" w:cs="Verdana"/>
                <w:color w:val="242424"/>
              </w:rPr>
              <w:t xml:space="preserve"> </w:t>
            </w:r>
            <w:r w:rsidR="000956F9">
              <w:t>(As optional reading, t</w:t>
            </w:r>
            <w:r w:rsidR="00C736DE" w:rsidRPr="00C736DE">
              <w:t xml:space="preserve">he original district court opinion is also in </w:t>
            </w:r>
            <w:r w:rsidR="00C736DE" w:rsidRPr="007D1C16">
              <w:rPr>
                <w:i/>
              </w:rPr>
              <w:t>bSpace</w:t>
            </w:r>
            <w:r w:rsidR="0018231D">
              <w:t xml:space="preserve">, as well as the </w:t>
            </w:r>
            <w:r w:rsidR="00221650">
              <w:lastRenderedPageBreak/>
              <w:t>Solicitor</w:t>
            </w:r>
            <w:r w:rsidR="0018231D">
              <w:t xml:space="preserve"> General’s brief</w:t>
            </w:r>
            <w:r w:rsidR="000956F9">
              <w:t xml:space="preserve"> to the Supreme Court.)</w:t>
            </w:r>
          </w:p>
        </w:tc>
      </w:tr>
    </w:tbl>
    <w:p w14:paraId="7FC0A48E" w14:textId="77777777" w:rsidR="00B70895" w:rsidRPr="00227A5A" w:rsidRDefault="00B70895" w:rsidP="00227A5A">
      <w:pPr>
        <w:sectPr w:rsidR="00B70895" w:rsidRPr="00227A5A" w:rsidSect="00D379EC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1080"/>
        <w:gridCol w:w="7290"/>
      </w:tblGrid>
      <w:tr w:rsidR="006779EB" w14:paraId="43E0E78D" w14:textId="77777777" w:rsidTr="006779EB">
        <w:tc>
          <w:tcPr>
            <w:tcW w:w="1368" w:type="dxa"/>
          </w:tcPr>
          <w:p w14:paraId="2B45565A" w14:textId="586BEFD2" w:rsidR="006779EB" w:rsidRPr="00363E6D" w:rsidRDefault="006779EB" w:rsidP="006779EB">
            <w:r>
              <w:lastRenderedPageBreak/>
              <w:t>Class 3</w:t>
            </w:r>
          </w:p>
        </w:tc>
        <w:tc>
          <w:tcPr>
            <w:tcW w:w="1080" w:type="dxa"/>
          </w:tcPr>
          <w:p w14:paraId="1E0E9476" w14:textId="5D8FE937" w:rsidR="006779EB" w:rsidRPr="004D770B" w:rsidRDefault="006779EB" w:rsidP="00415A10">
            <w:r>
              <w:t xml:space="preserve">Jan </w:t>
            </w:r>
            <w:r w:rsidR="00415A10">
              <w:t>22</w:t>
            </w:r>
          </w:p>
        </w:tc>
        <w:tc>
          <w:tcPr>
            <w:tcW w:w="7290" w:type="dxa"/>
          </w:tcPr>
          <w:p w14:paraId="58CF5EC5" w14:textId="0017E6E6" w:rsidR="001E71A5" w:rsidRPr="00704580" w:rsidRDefault="000956F9" w:rsidP="001E71A5">
            <w:pPr>
              <w:jc w:val="center"/>
              <w:rPr>
                <w:b/>
              </w:rPr>
            </w:pPr>
            <w:r w:rsidRPr="00704580">
              <w:rPr>
                <w:b/>
              </w:rPr>
              <w:t>Co</w:t>
            </w:r>
            <w:r w:rsidR="00201919">
              <w:rPr>
                <w:b/>
              </w:rPr>
              <w:t>ntinuation of Antitrust Issue</w:t>
            </w:r>
          </w:p>
          <w:p w14:paraId="4201D107" w14:textId="26738A5A" w:rsidR="00AD3FB6" w:rsidRDefault="00AD3FB6" w:rsidP="001E71A5">
            <w:r>
              <w:t>Please read:</w:t>
            </w:r>
          </w:p>
          <w:p w14:paraId="6A4A8417" w14:textId="03B3AFB0" w:rsidR="00AD3FB6" w:rsidRPr="00AD3FB6" w:rsidRDefault="00AD3FB6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AD3FB6">
              <w:rPr>
                <w:i/>
              </w:rPr>
              <w:t>No.</w:t>
            </w:r>
            <w:r w:rsidR="007D1C16">
              <w:rPr>
                <w:i/>
              </w:rPr>
              <w:t xml:space="preserve"> </w:t>
            </w:r>
            <w:r w:rsidRPr="00AD3FB6">
              <w:rPr>
                <w:i/>
              </w:rPr>
              <w:t>Am.Soccer v. NFL</w:t>
            </w:r>
            <w:r>
              <w:t xml:space="preserve">, </w:t>
            </w:r>
            <w:r w:rsidR="00014A1E" w:rsidRPr="00014A1E">
              <w:t>Chap. 8, pp. 665-670</w:t>
            </w:r>
          </w:p>
          <w:p w14:paraId="51C172DE" w14:textId="532DE46B" w:rsidR="00AD3FB6" w:rsidRPr="00AD3FB6" w:rsidRDefault="00AD3FB6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AD3FB6">
              <w:rPr>
                <w:i/>
              </w:rPr>
              <w:t>AFL v. NFL</w:t>
            </w:r>
            <w:r>
              <w:t>, p. 671</w:t>
            </w:r>
            <w:r w:rsidR="00014A1E">
              <w:t>-675</w:t>
            </w:r>
          </w:p>
          <w:p w14:paraId="62F3B9FF" w14:textId="22A0BDAE" w:rsidR="00AD3FB6" w:rsidRPr="00AD3FB6" w:rsidRDefault="00AD3FB6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AD3FB6">
              <w:rPr>
                <w:i/>
              </w:rPr>
              <w:t>Hecht v. Pro-Football</w:t>
            </w:r>
            <w:r>
              <w:t>, p. 675</w:t>
            </w:r>
            <w:r w:rsidR="00014A1E">
              <w:t>-678</w:t>
            </w:r>
          </w:p>
          <w:p w14:paraId="68DB95CC" w14:textId="0B9989C4" w:rsidR="00AD3FB6" w:rsidRPr="00AD3FB6" w:rsidRDefault="000956F9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AD3FB6">
              <w:rPr>
                <w:i/>
              </w:rPr>
              <w:t>Phila. World Hockey v. Phila. Hockey</w:t>
            </w:r>
            <w:r w:rsidR="00AD3FB6">
              <w:t>, p. 678</w:t>
            </w:r>
            <w:r w:rsidR="00014A1E">
              <w:t>-684</w:t>
            </w:r>
          </w:p>
          <w:p w14:paraId="0D389ECA" w14:textId="1C46D79B" w:rsidR="00AD3FB6" w:rsidRPr="00014A1E" w:rsidRDefault="00AD3FB6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 w:rsidRPr="00AD3FB6">
              <w:rPr>
                <w:i/>
              </w:rPr>
              <w:t>USFL v. NFL</w:t>
            </w:r>
            <w:r>
              <w:t>, p. 685</w:t>
            </w:r>
            <w:r w:rsidR="00014A1E">
              <w:t>-691;</w:t>
            </w:r>
          </w:p>
          <w:p w14:paraId="64CA2003" w14:textId="460C0EA3" w:rsidR="00014A1E" w:rsidRPr="00014A1E" w:rsidRDefault="000C2EE1" w:rsidP="00AD3FB6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  <w:r>
              <w:t>The opinion of Judge Scheindli</w:t>
            </w:r>
            <w:r w:rsidR="00014A1E" w:rsidRPr="00014A1E">
              <w:t xml:space="preserve">n </w:t>
            </w:r>
            <w:r w:rsidR="00014A1E">
              <w:t xml:space="preserve">denying </w:t>
            </w:r>
            <w:r w:rsidR="007D1C16">
              <w:t xml:space="preserve">defendants’ </w:t>
            </w:r>
            <w:r>
              <w:t xml:space="preserve">FRCP </w:t>
            </w:r>
            <w:r w:rsidR="00014A1E">
              <w:t xml:space="preserve">12(b)(6) motion </w:t>
            </w:r>
            <w:r w:rsidR="00014A1E" w:rsidRPr="00014A1E">
              <w:t>in</w:t>
            </w:r>
            <w:r w:rsidR="00014A1E">
              <w:rPr>
                <w:i/>
              </w:rPr>
              <w:t xml:space="preserve"> Laumann v. NHL, et al.; &amp; Garber v. MLB.   </w:t>
            </w:r>
            <w:r w:rsidR="002D6A75">
              <w:t>I have uploaded this to</w:t>
            </w:r>
            <w:r w:rsidR="00014A1E" w:rsidRPr="00014A1E">
              <w:t xml:space="preserve"> </w:t>
            </w:r>
            <w:r w:rsidR="00014A1E" w:rsidRPr="007D1C16">
              <w:rPr>
                <w:i/>
              </w:rPr>
              <w:t>bSpace</w:t>
            </w:r>
            <w:r w:rsidR="00014A1E" w:rsidRPr="00014A1E">
              <w:t>.</w:t>
            </w:r>
          </w:p>
          <w:p w14:paraId="30623D92" w14:textId="3964A656" w:rsidR="006779EB" w:rsidRPr="000956F9" w:rsidRDefault="006779EB" w:rsidP="00014A1E">
            <w:pPr>
              <w:rPr>
                <w:sz w:val="32"/>
              </w:rPr>
            </w:pPr>
          </w:p>
        </w:tc>
      </w:tr>
      <w:tr w:rsidR="006779EB" w14:paraId="50071978" w14:textId="77777777" w:rsidTr="006779EB">
        <w:tc>
          <w:tcPr>
            <w:tcW w:w="1368" w:type="dxa"/>
          </w:tcPr>
          <w:p w14:paraId="261FDA13" w14:textId="5ABCC84B" w:rsidR="006779EB" w:rsidRPr="00363E6D" w:rsidRDefault="006779EB" w:rsidP="006779EB">
            <w:r>
              <w:t>Class 4</w:t>
            </w:r>
          </w:p>
        </w:tc>
        <w:tc>
          <w:tcPr>
            <w:tcW w:w="1080" w:type="dxa"/>
          </w:tcPr>
          <w:p w14:paraId="2EFDDA2E" w14:textId="62502D6F" w:rsidR="006779EB" w:rsidRPr="004D770B" w:rsidRDefault="00415A10" w:rsidP="00415A10">
            <w:r>
              <w:t>Jan 29</w:t>
            </w:r>
          </w:p>
        </w:tc>
        <w:tc>
          <w:tcPr>
            <w:tcW w:w="7290" w:type="dxa"/>
          </w:tcPr>
          <w:p w14:paraId="6E1F3564" w14:textId="49F2F237" w:rsidR="00704580" w:rsidRPr="00704580" w:rsidRDefault="00704580" w:rsidP="00704580">
            <w:pPr>
              <w:jc w:val="center"/>
              <w:rPr>
                <w:b/>
              </w:rPr>
            </w:pPr>
            <w:r w:rsidRPr="00704580">
              <w:rPr>
                <w:b/>
              </w:rPr>
              <w:t>Labor Law Fundamentals.</w:t>
            </w:r>
          </w:p>
          <w:p w14:paraId="26B9FF90" w14:textId="2DE32850" w:rsidR="00F87AD4" w:rsidRDefault="00851091" w:rsidP="00AD3FB6">
            <w:r>
              <w:t xml:space="preserve">This </w:t>
            </w:r>
            <w:r w:rsidR="00AD3FB6">
              <w:t>class</w:t>
            </w:r>
            <w:r w:rsidR="00303D79">
              <w:t xml:space="preserve"> </w:t>
            </w:r>
            <w:r w:rsidR="00D27BFD">
              <w:t>is an introduction to</w:t>
            </w:r>
            <w:r w:rsidR="00303D79">
              <w:t xml:space="preserve"> </w:t>
            </w:r>
            <w:r w:rsidR="00D27BFD">
              <w:t xml:space="preserve">the </w:t>
            </w:r>
            <w:r w:rsidR="0018231D">
              <w:t xml:space="preserve">important and </w:t>
            </w:r>
            <w:r w:rsidR="00E40E25">
              <w:t xml:space="preserve">interesting </w:t>
            </w:r>
            <w:r w:rsidR="00D27BFD">
              <w:t xml:space="preserve">history of </w:t>
            </w:r>
            <w:r w:rsidR="00303D79">
              <w:t xml:space="preserve">federal </w:t>
            </w:r>
            <w:r>
              <w:t>labor l</w:t>
            </w:r>
            <w:r w:rsidR="006B41CA">
              <w:t xml:space="preserve">aw and its </w:t>
            </w:r>
            <w:r w:rsidR="00E40E25">
              <w:t xml:space="preserve">current </w:t>
            </w:r>
            <w:r w:rsidR="006B41CA">
              <w:t xml:space="preserve">application to </w:t>
            </w:r>
            <w:r w:rsidR="00D27BFD">
              <w:t xml:space="preserve">professional </w:t>
            </w:r>
            <w:r w:rsidR="006B41CA">
              <w:t xml:space="preserve">sports.  </w:t>
            </w:r>
            <w:r w:rsidR="00014A1E">
              <w:t xml:space="preserve">I have uploaded the NLRA and the Taft Hartley Act to </w:t>
            </w:r>
            <w:r w:rsidR="00014A1E" w:rsidRPr="007D1C16">
              <w:rPr>
                <w:i/>
              </w:rPr>
              <w:t>bSpace</w:t>
            </w:r>
            <w:r w:rsidR="00014A1E">
              <w:t xml:space="preserve"> for your reference.</w:t>
            </w:r>
          </w:p>
          <w:p w14:paraId="723EE3C1" w14:textId="77777777" w:rsidR="00014A1E" w:rsidRDefault="00014A1E" w:rsidP="00AD3FB6"/>
          <w:p w14:paraId="491873B1" w14:textId="488DF414" w:rsidR="00AD3FB6" w:rsidRDefault="00AD3FB6" w:rsidP="00AD3FB6">
            <w:r>
              <w:t xml:space="preserve">Please read: </w:t>
            </w:r>
          </w:p>
          <w:p w14:paraId="0F06FE43" w14:textId="16B5760E" w:rsidR="00AD3FB6" w:rsidRDefault="00AD3FB6" w:rsidP="00704580">
            <w:pPr>
              <w:pStyle w:val="ListParagraph"/>
              <w:numPr>
                <w:ilvl w:val="0"/>
                <w:numId w:val="11"/>
              </w:numPr>
            </w:pPr>
            <w:r>
              <w:t>Chap. 7-- pp. 483-514</w:t>
            </w:r>
          </w:p>
          <w:p w14:paraId="5B42910D" w14:textId="77777777" w:rsidR="00704580" w:rsidRDefault="00704580" w:rsidP="00014A1E">
            <w:pPr>
              <w:pStyle w:val="ListParagraph"/>
            </w:pPr>
          </w:p>
          <w:p w14:paraId="5BA7D0EE" w14:textId="2B649655" w:rsidR="006779EB" w:rsidRDefault="006B41CA" w:rsidP="00DC6FE3">
            <w:pPr>
              <w:rPr>
                <w:sz w:val="32"/>
              </w:rPr>
            </w:pPr>
            <w:r>
              <w:t xml:space="preserve"> I have </w:t>
            </w:r>
            <w:r w:rsidR="00014A1E">
              <w:t xml:space="preserve">also </w:t>
            </w:r>
            <w:r>
              <w:t>uploaded the curre</w:t>
            </w:r>
            <w:r w:rsidR="00DC6FE3">
              <w:t xml:space="preserve">nt CBA’s of the WNBA, NBA, NFL </w:t>
            </w:r>
            <w:r>
              <w:t xml:space="preserve">and MLB in </w:t>
            </w:r>
            <w:r w:rsidRPr="007D1C16">
              <w:rPr>
                <w:i/>
              </w:rPr>
              <w:t>bSpace</w:t>
            </w:r>
            <w:r>
              <w:t xml:space="preserve"> for convenient reference. </w:t>
            </w:r>
            <w:r w:rsidR="00704580">
              <w:t>Depending upon the circumstances</w:t>
            </w:r>
            <w:r w:rsidR="002D6A75">
              <w:t xml:space="preserve"> at the time</w:t>
            </w:r>
            <w:r w:rsidR="00704580">
              <w:t>, we may dedicate part of this class to a discussion of the NHL lockout.</w:t>
            </w:r>
            <w:r>
              <w:t xml:space="preserve"> </w:t>
            </w:r>
          </w:p>
        </w:tc>
      </w:tr>
      <w:tr w:rsidR="006779EB" w14:paraId="00C0E907" w14:textId="77777777" w:rsidTr="006779EB">
        <w:tc>
          <w:tcPr>
            <w:tcW w:w="1368" w:type="dxa"/>
          </w:tcPr>
          <w:p w14:paraId="3B68F6B9" w14:textId="71B4530E" w:rsidR="006779EB" w:rsidRPr="00363E6D" w:rsidRDefault="006779EB" w:rsidP="006779EB">
            <w:r>
              <w:t>Class 5</w:t>
            </w:r>
          </w:p>
        </w:tc>
        <w:tc>
          <w:tcPr>
            <w:tcW w:w="1080" w:type="dxa"/>
          </w:tcPr>
          <w:p w14:paraId="44CDE0C9" w14:textId="4B7CF0FF" w:rsidR="006779EB" w:rsidRPr="004D770B" w:rsidRDefault="006779EB" w:rsidP="00415A10">
            <w:r>
              <w:t xml:space="preserve">Feb </w:t>
            </w:r>
            <w:r w:rsidR="00415A10">
              <w:t>5</w:t>
            </w:r>
          </w:p>
        </w:tc>
        <w:tc>
          <w:tcPr>
            <w:tcW w:w="7290" w:type="dxa"/>
          </w:tcPr>
          <w:p w14:paraId="70A8DA86" w14:textId="09B77634" w:rsidR="00F87AD4" w:rsidRDefault="00704580" w:rsidP="00F87AD4">
            <w:pPr>
              <w:jc w:val="center"/>
              <w:rPr>
                <w:b/>
              </w:rPr>
            </w:pPr>
            <w:r w:rsidRPr="00704580">
              <w:rPr>
                <w:b/>
              </w:rPr>
              <w:t>Dispute Resolution and Discipline under the CBAs/ Th</w:t>
            </w:r>
            <w:r w:rsidR="00014A1E">
              <w:rPr>
                <w:b/>
              </w:rPr>
              <w:t>e A</w:t>
            </w:r>
            <w:r w:rsidR="00F87AD4">
              <w:rPr>
                <w:b/>
              </w:rPr>
              <w:t>uthority of the Commissioner</w:t>
            </w:r>
            <w:r w:rsidRPr="00704580">
              <w:rPr>
                <w:b/>
              </w:rPr>
              <w:t>.</w:t>
            </w:r>
          </w:p>
          <w:p w14:paraId="3F3DF28B" w14:textId="0AB1C60A" w:rsidR="0092256F" w:rsidRPr="00F87AD4" w:rsidRDefault="00DC6FE3" w:rsidP="00F87AD4">
            <w:pPr>
              <w:rPr>
                <w:b/>
              </w:rPr>
            </w:pPr>
            <w:r>
              <w:t xml:space="preserve">A fundamental aspect of </w:t>
            </w:r>
            <w:r w:rsidR="002D6A75">
              <w:t>players’ rights under the CBAs</w:t>
            </w:r>
            <w:r>
              <w:t xml:space="preserve"> is the inclusion of arbitration in the dispute resolution process</w:t>
            </w:r>
            <w:r w:rsidR="00466333">
              <w:t xml:space="preserve">.  This class will explore the </w:t>
            </w:r>
            <w:r w:rsidR="00C07228">
              <w:t xml:space="preserve">importance </w:t>
            </w:r>
            <w:r w:rsidR="00466333">
              <w:t>of arbitration in the sports industry</w:t>
            </w:r>
            <w:r w:rsidR="00C07228">
              <w:t xml:space="preserve"> as a chosen method of dispute resolution</w:t>
            </w:r>
            <w:r w:rsidR="000C2EE1">
              <w:t>.</w:t>
            </w:r>
            <w:r w:rsidR="00466333">
              <w:t xml:space="preserve">  Please read:</w:t>
            </w:r>
          </w:p>
          <w:p w14:paraId="0B49B323" w14:textId="77777777" w:rsidR="006779EB" w:rsidRDefault="0092256F" w:rsidP="0092256F">
            <w:pPr>
              <w:pStyle w:val="ListParagraph"/>
              <w:numPr>
                <w:ilvl w:val="0"/>
                <w:numId w:val="9"/>
              </w:numPr>
            </w:pPr>
            <w:r>
              <w:t>Chap 7, pp. 537-550</w:t>
            </w:r>
          </w:p>
          <w:p w14:paraId="6EB49105" w14:textId="77777777" w:rsidR="0092256F" w:rsidRDefault="0092256F" w:rsidP="0092256F">
            <w:pPr>
              <w:pStyle w:val="ListParagraph"/>
              <w:numPr>
                <w:ilvl w:val="0"/>
                <w:numId w:val="9"/>
              </w:numPr>
            </w:pPr>
            <w:r w:rsidRPr="0092256F">
              <w:rPr>
                <w:i/>
              </w:rPr>
              <w:t>Boston Celtics v. Shaw</w:t>
            </w:r>
            <w:r>
              <w:t>, p. 559</w:t>
            </w:r>
          </w:p>
          <w:p w14:paraId="6250F6B8" w14:textId="77777777" w:rsidR="0092256F" w:rsidRDefault="0092256F" w:rsidP="0092256F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 xml:space="preserve">Owens et al., </w:t>
            </w:r>
            <w:r w:rsidRPr="0092256F">
              <w:t>p. 564</w:t>
            </w:r>
          </w:p>
          <w:p w14:paraId="7B973B86" w14:textId="77777777" w:rsidR="0092256F" w:rsidRDefault="0092256F" w:rsidP="0092256F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 xml:space="preserve">NBA v. NBPA, </w:t>
            </w:r>
            <w:r w:rsidRPr="0092256F">
              <w:t>p. 570</w:t>
            </w:r>
          </w:p>
          <w:p w14:paraId="00AF053F" w14:textId="0DAD0915" w:rsidR="00855D83" w:rsidRDefault="00855D83" w:rsidP="0092256F">
            <w:pPr>
              <w:pStyle w:val="ListParagraph"/>
              <w:numPr>
                <w:ilvl w:val="0"/>
                <w:numId w:val="9"/>
              </w:numPr>
            </w:pPr>
            <w:r w:rsidRPr="00855D83">
              <w:t>Pp. 579-80</w:t>
            </w:r>
            <w:r>
              <w:rPr>
                <w:i/>
              </w:rPr>
              <w:t xml:space="preserve">,Notes 1 &amp; </w:t>
            </w:r>
            <w:r w:rsidRPr="00855D83">
              <w:rPr>
                <w:i/>
              </w:rPr>
              <w:t>2</w:t>
            </w:r>
            <w:r w:rsidR="00221650">
              <w:rPr>
                <w:i/>
              </w:rPr>
              <w:t>,</w:t>
            </w:r>
            <w:r w:rsidR="00221650" w:rsidRPr="00855D83">
              <w:t xml:space="preserve"> regarding</w:t>
            </w:r>
            <w:r w:rsidRPr="00855D83">
              <w:t xml:space="preserve"> Latrell Sprewell</w:t>
            </w:r>
            <w:r>
              <w:rPr>
                <w:i/>
              </w:rPr>
              <w:t>.</w:t>
            </w:r>
          </w:p>
          <w:p w14:paraId="29356719" w14:textId="1A7F21AC" w:rsidR="0092256F" w:rsidRPr="004D770B" w:rsidRDefault="00D21606" w:rsidP="0092256F">
            <w:pPr>
              <w:pStyle w:val="ListParagraph"/>
              <w:numPr>
                <w:ilvl w:val="0"/>
                <w:numId w:val="9"/>
              </w:numPr>
            </w:pPr>
            <w:r>
              <w:t>New Orleans Saints “bounty” discipline and player appeals.  Material on bSpace.</w:t>
            </w:r>
            <w:r w:rsidR="00704580">
              <w:t xml:space="preserve">  See particularly the opinion of Paul Tagliabue modifying the discipline imposed by Commissioner Goodell.  </w:t>
            </w:r>
          </w:p>
        </w:tc>
      </w:tr>
    </w:tbl>
    <w:p w14:paraId="48B639BB" w14:textId="1E8CC115" w:rsidR="00227A5A" w:rsidRDefault="00227A5A" w:rsidP="00227A5A">
      <w:pPr>
        <w:tabs>
          <w:tab w:val="left" w:pos="1640"/>
        </w:tabs>
      </w:pPr>
    </w:p>
    <w:p w14:paraId="3F9A4E20" w14:textId="1DB4043C" w:rsidR="00227A5A" w:rsidRDefault="00227A5A" w:rsidP="00227A5A"/>
    <w:p w14:paraId="1E133DC7" w14:textId="77777777" w:rsidR="00B70895" w:rsidRPr="00227A5A" w:rsidRDefault="00B70895" w:rsidP="00227A5A">
      <w:pPr>
        <w:sectPr w:rsidR="00B70895" w:rsidRPr="00227A5A" w:rsidSect="00D379EC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1080"/>
        <w:gridCol w:w="7290"/>
      </w:tblGrid>
      <w:tr w:rsidR="006779EB" w14:paraId="30277F15" w14:textId="77777777" w:rsidTr="006779EB">
        <w:tc>
          <w:tcPr>
            <w:tcW w:w="1368" w:type="dxa"/>
          </w:tcPr>
          <w:p w14:paraId="03B854D7" w14:textId="7FD902FF" w:rsidR="006779EB" w:rsidRPr="00363E6D" w:rsidRDefault="006779EB" w:rsidP="006779EB">
            <w:r>
              <w:lastRenderedPageBreak/>
              <w:t>Class 6</w:t>
            </w:r>
          </w:p>
        </w:tc>
        <w:tc>
          <w:tcPr>
            <w:tcW w:w="1080" w:type="dxa"/>
          </w:tcPr>
          <w:p w14:paraId="519B5E6C" w14:textId="24BE89B3" w:rsidR="006779EB" w:rsidRPr="004D770B" w:rsidRDefault="006779EB" w:rsidP="00415A10">
            <w:r>
              <w:t>Feb 1</w:t>
            </w:r>
            <w:r w:rsidR="00415A10">
              <w:t>2</w:t>
            </w:r>
          </w:p>
        </w:tc>
        <w:tc>
          <w:tcPr>
            <w:tcW w:w="7290" w:type="dxa"/>
          </w:tcPr>
          <w:p w14:paraId="37AE1726" w14:textId="692B90DC" w:rsidR="00704580" w:rsidRPr="00704580" w:rsidRDefault="00704580" w:rsidP="00704580">
            <w:pPr>
              <w:jc w:val="center"/>
              <w:rPr>
                <w:b/>
              </w:rPr>
            </w:pPr>
            <w:r w:rsidRPr="00704580">
              <w:rPr>
                <w:b/>
              </w:rPr>
              <w:t>The Interface of Antitrust and Labor Law—the Non-statutory Labor Exemption</w:t>
            </w:r>
            <w:r w:rsidR="007A13FF">
              <w:rPr>
                <w:b/>
              </w:rPr>
              <w:t xml:space="preserve"> (NSLE)</w:t>
            </w:r>
            <w:r w:rsidRPr="00704580">
              <w:rPr>
                <w:b/>
              </w:rPr>
              <w:t>.</w:t>
            </w:r>
          </w:p>
          <w:p w14:paraId="44481E50" w14:textId="7F3D9503" w:rsidR="00F87AD4" w:rsidRDefault="007D1C16" w:rsidP="000A655A">
            <w:r>
              <w:t>Now that you have a basic</w:t>
            </w:r>
            <w:r w:rsidR="000A655A">
              <w:t xml:space="preserve"> understanding of both antitrust and labor law, </w:t>
            </w:r>
            <w:r w:rsidR="004163B1">
              <w:t xml:space="preserve">and the history of evolving player </w:t>
            </w:r>
            <w:r>
              <w:t>bargaining power</w:t>
            </w:r>
            <w:r w:rsidR="004163B1">
              <w:t xml:space="preserve">, </w:t>
            </w:r>
            <w:r w:rsidR="00D21606">
              <w:t>the next two classes address</w:t>
            </w:r>
            <w:r w:rsidR="000A655A">
              <w:t xml:space="preserve"> the important intersection between </w:t>
            </w:r>
            <w:r>
              <w:t>league</w:t>
            </w:r>
            <w:r w:rsidR="002D6A75">
              <w:t xml:space="preserve"> </w:t>
            </w:r>
            <w:r w:rsidR="00F87AD4">
              <w:t xml:space="preserve">collective bargaining </w:t>
            </w:r>
            <w:r w:rsidR="002D6A75">
              <w:t>and</w:t>
            </w:r>
            <w:r w:rsidR="000A655A">
              <w:t xml:space="preserve"> </w:t>
            </w:r>
            <w:r w:rsidR="002D6A75">
              <w:t xml:space="preserve">federal </w:t>
            </w:r>
            <w:r w:rsidR="000A655A">
              <w:t xml:space="preserve">antitrust </w:t>
            </w:r>
            <w:r w:rsidR="002D6A75">
              <w:t>policy.</w:t>
            </w:r>
          </w:p>
          <w:p w14:paraId="5F0F637A" w14:textId="77777777" w:rsidR="00F87AD4" w:rsidRDefault="00F87AD4" w:rsidP="000A655A"/>
          <w:p w14:paraId="7547CB91" w14:textId="336C7DA9" w:rsidR="00D21606" w:rsidRDefault="00A12C9D" w:rsidP="000A655A">
            <w:r>
              <w:t>Please read for the next two classes:</w:t>
            </w:r>
          </w:p>
          <w:p w14:paraId="237BCABE" w14:textId="5D80F452" w:rsidR="00D21606" w:rsidRDefault="00D21606" w:rsidP="00D21606">
            <w:pPr>
              <w:pStyle w:val="ListParagraph"/>
              <w:numPr>
                <w:ilvl w:val="0"/>
                <w:numId w:val="10"/>
              </w:numPr>
            </w:pPr>
            <w:r>
              <w:t>Chap. 6—pp. 436-</w:t>
            </w:r>
            <w:r w:rsidR="00A12C9D">
              <w:t>461</w:t>
            </w:r>
            <w:r w:rsidR="00221650">
              <w:t>.</w:t>
            </w:r>
            <w:r>
              <w:t xml:space="preserve">  </w:t>
            </w:r>
          </w:p>
          <w:p w14:paraId="7DE7F73D" w14:textId="3EC3A7CF" w:rsidR="00D21606" w:rsidRDefault="00D21606" w:rsidP="00D21606">
            <w:pPr>
              <w:pStyle w:val="ListParagraph"/>
              <w:numPr>
                <w:ilvl w:val="0"/>
                <w:numId w:val="10"/>
              </w:numPr>
            </w:pPr>
            <w:r w:rsidRPr="00D21606">
              <w:rPr>
                <w:i/>
              </w:rPr>
              <w:t>Brady v. NFL</w:t>
            </w:r>
            <w:r>
              <w:t xml:space="preserve"> </w:t>
            </w:r>
            <w:r w:rsidR="00221650">
              <w:t>644 F.3d</w:t>
            </w:r>
            <w:r>
              <w:t xml:space="preserve"> 661 (2011) (bSpace)</w:t>
            </w:r>
          </w:p>
          <w:p w14:paraId="2169DF91" w14:textId="77559E0D" w:rsidR="00D21606" w:rsidRDefault="00D21606" w:rsidP="00D21606">
            <w:pPr>
              <w:pStyle w:val="ListParagraph"/>
              <w:numPr>
                <w:ilvl w:val="0"/>
                <w:numId w:val="10"/>
              </w:numPr>
            </w:pPr>
            <w:r w:rsidRPr="00201F9C">
              <w:rPr>
                <w:i/>
              </w:rPr>
              <w:t>NBA v. NBPA</w:t>
            </w:r>
            <w:r>
              <w:t xml:space="preserve"> complaint (bSpace)</w:t>
            </w:r>
          </w:p>
          <w:p w14:paraId="2A9D5B8D" w14:textId="195C4F13" w:rsidR="00D21606" w:rsidRPr="00D21606" w:rsidRDefault="00D21606" w:rsidP="00D21606">
            <w:pPr>
              <w:pStyle w:val="ListParagraph"/>
              <w:numPr>
                <w:ilvl w:val="0"/>
                <w:numId w:val="10"/>
              </w:numPr>
            </w:pPr>
            <w:r w:rsidRPr="00E32AB2">
              <w:rPr>
                <w:i/>
              </w:rPr>
              <w:t>Butler et al. v. NBA</w:t>
            </w:r>
            <w:r>
              <w:rPr>
                <w:i/>
              </w:rPr>
              <w:t xml:space="preserve"> </w:t>
            </w:r>
            <w:r w:rsidRPr="00D21606">
              <w:t>complaint</w:t>
            </w:r>
            <w:r>
              <w:t xml:space="preserve"> (bSpace)</w:t>
            </w:r>
          </w:p>
          <w:p w14:paraId="1B2D03D4" w14:textId="057BA9AB" w:rsidR="000A655A" w:rsidRDefault="00E32AB2" w:rsidP="000A655A">
            <w:r>
              <w:t xml:space="preserve">I suggest you </w:t>
            </w:r>
            <w:r w:rsidR="00D21606">
              <w:t xml:space="preserve">review </w:t>
            </w:r>
            <w:r w:rsidR="00D21606" w:rsidRPr="002D6A75">
              <w:rPr>
                <w:i/>
              </w:rPr>
              <w:t>Brady</w:t>
            </w:r>
            <w:r w:rsidR="00FB51A9" w:rsidRPr="002D6A75">
              <w:rPr>
                <w:i/>
              </w:rPr>
              <w:t xml:space="preserve"> v. NFL</w:t>
            </w:r>
            <w:r w:rsidR="00D21606">
              <w:t xml:space="preserve"> and the two NBA complaints</w:t>
            </w:r>
            <w:r>
              <w:t xml:space="preserve"> </w:t>
            </w:r>
            <w:r w:rsidR="000A655A">
              <w:t xml:space="preserve">to observe how </w:t>
            </w:r>
            <w:r>
              <w:t>use of the judicial process can become a tactic</w:t>
            </w:r>
            <w:r w:rsidR="000A655A">
              <w:t xml:space="preserve"> in negotiation of the collective bargaining agreements.  </w:t>
            </w:r>
            <w:r w:rsidR="007A13FF">
              <w:t>We will also discuss the NHL lockout in the context of the NSLE.</w:t>
            </w:r>
          </w:p>
          <w:p w14:paraId="508241EA" w14:textId="5871A753" w:rsidR="006779EB" w:rsidRPr="000A655A" w:rsidRDefault="006779EB" w:rsidP="00036F5B"/>
        </w:tc>
      </w:tr>
      <w:tr w:rsidR="006779EB" w14:paraId="106017B0" w14:textId="77777777" w:rsidTr="006779EB">
        <w:tc>
          <w:tcPr>
            <w:tcW w:w="1368" w:type="dxa"/>
          </w:tcPr>
          <w:p w14:paraId="764310A2" w14:textId="1DBFB855" w:rsidR="006779EB" w:rsidRPr="004D770B" w:rsidRDefault="006779EB" w:rsidP="006779EB">
            <w:r w:rsidRPr="004D770B">
              <w:t>Class 7</w:t>
            </w:r>
          </w:p>
        </w:tc>
        <w:tc>
          <w:tcPr>
            <w:tcW w:w="1080" w:type="dxa"/>
          </w:tcPr>
          <w:p w14:paraId="05E2060D" w14:textId="39E6CFB6" w:rsidR="006779EB" w:rsidRPr="004D770B" w:rsidRDefault="00221650" w:rsidP="00415A10">
            <w:r>
              <w:t>Feb 19</w:t>
            </w:r>
          </w:p>
        </w:tc>
        <w:tc>
          <w:tcPr>
            <w:tcW w:w="7290" w:type="dxa"/>
          </w:tcPr>
          <w:p w14:paraId="17045293" w14:textId="77777777" w:rsidR="00704580" w:rsidRPr="00704580" w:rsidRDefault="00B94805" w:rsidP="00704580">
            <w:pPr>
              <w:jc w:val="center"/>
              <w:rPr>
                <w:b/>
              </w:rPr>
            </w:pPr>
            <w:r w:rsidRPr="00704580">
              <w:rPr>
                <w:b/>
              </w:rPr>
              <w:t>Continuation of the NSLE—</w:t>
            </w:r>
          </w:p>
          <w:p w14:paraId="6A8DC09F" w14:textId="5CC77006" w:rsidR="00704580" w:rsidRDefault="00A12C9D" w:rsidP="00F87AD4">
            <w:r>
              <w:t xml:space="preserve">We will continue our discussion of the cases arising from the NFL, NBA, and NHL lockouts.  </w:t>
            </w:r>
            <w:r w:rsidR="00704580">
              <w:t xml:space="preserve">Please </w:t>
            </w:r>
            <w:r>
              <w:t xml:space="preserve">also </w:t>
            </w:r>
            <w:r w:rsidR="00704580">
              <w:t xml:space="preserve">read </w:t>
            </w:r>
            <w:r>
              <w:t xml:space="preserve">Chap 6, </w:t>
            </w:r>
            <w:r w:rsidR="00B94805">
              <w:t xml:space="preserve">pp. 461-480. </w:t>
            </w:r>
          </w:p>
          <w:p w14:paraId="4B0EC31D" w14:textId="5B2385A7" w:rsidR="006779EB" w:rsidRPr="004D770B" w:rsidRDefault="00B94805" w:rsidP="00704580">
            <w:pPr>
              <w:jc w:val="center"/>
            </w:pPr>
            <w:r>
              <w:t xml:space="preserve"> </w:t>
            </w:r>
          </w:p>
        </w:tc>
      </w:tr>
      <w:tr w:rsidR="006779EB" w14:paraId="7082458C" w14:textId="77777777" w:rsidTr="006779EB">
        <w:tc>
          <w:tcPr>
            <w:tcW w:w="1368" w:type="dxa"/>
          </w:tcPr>
          <w:p w14:paraId="517980D8" w14:textId="77777777" w:rsidR="006779EB" w:rsidRPr="004D770B" w:rsidRDefault="006779EB" w:rsidP="006779EB">
            <w:r w:rsidRPr="004D770B">
              <w:t>Class 8</w:t>
            </w:r>
          </w:p>
        </w:tc>
        <w:tc>
          <w:tcPr>
            <w:tcW w:w="1080" w:type="dxa"/>
          </w:tcPr>
          <w:p w14:paraId="3D50CA5E" w14:textId="6D302C29" w:rsidR="006779EB" w:rsidRPr="004D770B" w:rsidRDefault="00415A10" w:rsidP="006779EB">
            <w:r>
              <w:t>Feb 26</w:t>
            </w:r>
          </w:p>
        </w:tc>
        <w:tc>
          <w:tcPr>
            <w:tcW w:w="7290" w:type="dxa"/>
          </w:tcPr>
          <w:p w14:paraId="1AC113B2" w14:textId="7F183D78" w:rsidR="00704580" w:rsidRPr="00704580" w:rsidRDefault="00D31B7A" w:rsidP="00704580">
            <w:pPr>
              <w:jc w:val="center"/>
              <w:rPr>
                <w:b/>
              </w:rPr>
            </w:pPr>
            <w:r w:rsidRPr="00704580">
              <w:rPr>
                <w:b/>
              </w:rPr>
              <w:t>Health, Safety, and Risk Management Issues.</w:t>
            </w:r>
          </w:p>
          <w:p w14:paraId="094D8C9E" w14:textId="19601903" w:rsidR="00704580" w:rsidRDefault="00A12C9D" w:rsidP="00D31B7A">
            <w:r>
              <w:t xml:space="preserve">.  The next two classes will deal with </w:t>
            </w:r>
            <w:r w:rsidR="00897889">
              <w:t>current issues relating to o</w:t>
            </w:r>
            <w:r w:rsidR="00897889">
              <w:t xml:space="preserve">n-field violence, life-endangering injuries, players with disabilities, and </w:t>
            </w:r>
            <w:r w:rsidR="00897889">
              <w:t xml:space="preserve">performance enhancing </w:t>
            </w:r>
            <w:r w:rsidR="00897889">
              <w:t>drug</w:t>
            </w:r>
            <w:r w:rsidR="00897889">
              <w:t>s</w:t>
            </w:r>
            <w:r w:rsidR="00897889">
              <w:t xml:space="preserve"> </w:t>
            </w:r>
            <w:r w:rsidR="00897889">
              <w:t>.</w:t>
            </w:r>
          </w:p>
          <w:p w14:paraId="77A2F25B" w14:textId="16AC3DD1" w:rsidR="00A12C9D" w:rsidRDefault="00D31B7A" w:rsidP="00A12C9D">
            <w:r>
              <w:t xml:space="preserve">Please read </w:t>
            </w:r>
            <w:r w:rsidR="006C41B5">
              <w:t>Chap.  12--</w:t>
            </w:r>
            <w:r>
              <w:t>pp. 9</w:t>
            </w:r>
            <w:r w:rsidR="007A13FF">
              <w:t>11</w:t>
            </w:r>
            <w:r>
              <w:t>-936</w:t>
            </w:r>
            <w:r w:rsidR="00A12C9D">
              <w:t xml:space="preserve">; 1006-1013 &amp; Note 1.   </w:t>
            </w:r>
          </w:p>
          <w:p w14:paraId="5F704134" w14:textId="2E73D8FC" w:rsidR="006779EB" w:rsidRPr="004D770B" w:rsidRDefault="007A13FF" w:rsidP="00D31B7A">
            <w:r>
              <w:t xml:space="preserve">In addition to </w:t>
            </w:r>
            <w:r w:rsidRPr="002D6A75">
              <w:rPr>
                <w:i/>
              </w:rPr>
              <w:t>McSorley</w:t>
            </w:r>
            <w:r>
              <w:t>, w</w:t>
            </w:r>
            <w:r w:rsidR="007F3AD2">
              <w:t xml:space="preserve">e will also discuss the pending Todd </w:t>
            </w:r>
            <w:r w:rsidR="00221650">
              <w:t>Bertuzzi civil</w:t>
            </w:r>
            <w:r w:rsidR="00704580">
              <w:t xml:space="preserve"> </w:t>
            </w:r>
            <w:r w:rsidR="00221650">
              <w:t xml:space="preserve">trial. </w:t>
            </w:r>
            <w:r w:rsidR="00A12C9D">
              <w:t xml:space="preserve"> See the materials on </w:t>
            </w:r>
            <w:r w:rsidR="00A12C9D" w:rsidRPr="00897889">
              <w:rPr>
                <w:i/>
              </w:rPr>
              <w:t>bSpace</w:t>
            </w:r>
            <w:r w:rsidR="00A12C9D">
              <w:t>.</w:t>
            </w:r>
          </w:p>
        </w:tc>
      </w:tr>
      <w:tr w:rsidR="006779EB" w14:paraId="45FDD5F1" w14:textId="77777777" w:rsidTr="006779EB">
        <w:tc>
          <w:tcPr>
            <w:tcW w:w="1368" w:type="dxa"/>
          </w:tcPr>
          <w:p w14:paraId="50B30E02" w14:textId="7C5F701E" w:rsidR="006779EB" w:rsidRPr="004D770B" w:rsidRDefault="006779EB" w:rsidP="006779EB">
            <w:r w:rsidRPr="004D770B">
              <w:t>Class 9</w:t>
            </w:r>
          </w:p>
        </w:tc>
        <w:tc>
          <w:tcPr>
            <w:tcW w:w="1080" w:type="dxa"/>
          </w:tcPr>
          <w:p w14:paraId="002D5033" w14:textId="640039CC" w:rsidR="006779EB" w:rsidRPr="004D770B" w:rsidRDefault="00415A10" w:rsidP="006779EB">
            <w:r>
              <w:t>Mar 5</w:t>
            </w:r>
          </w:p>
        </w:tc>
        <w:tc>
          <w:tcPr>
            <w:tcW w:w="7290" w:type="dxa"/>
          </w:tcPr>
          <w:p w14:paraId="6F89C1DB" w14:textId="66B47BD2" w:rsidR="00704580" w:rsidRDefault="00704580" w:rsidP="00704580">
            <w:pPr>
              <w:jc w:val="center"/>
              <w:rPr>
                <w:b/>
              </w:rPr>
            </w:pPr>
            <w:r w:rsidRPr="00704580">
              <w:rPr>
                <w:b/>
              </w:rPr>
              <w:t>Health, Safety, and Risk Management Issue</w:t>
            </w:r>
            <w:r>
              <w:rPr>
                <w:b/>
              </w:rPr>
              <w:t>s, cont.</w:t>
            </w:r>
          </w:p>
          <w:p w14:paraId="0C49CE4C" w14:textId="77777777" w:rsidR="00704580" w:rsidRDefault="00704580" w:rsidP="006C41B5">
            <w:pPr>
              <w:rPr>
                <w:b/>
              </w:rPr>
            </w:pPr>
          </w:p>
          <w:p w14:paraId="039939B1" w14:textId="77777777" w:rsidR="005727D7" w:rsidRDefault="00704580" w:rsidP="006C41B5">
            <w:pPr>
              <w:rPr>
                <w:b/>
              </w:rPr>
            </w:pPr>
            <w:r w:rsidRPr="00FE3ACE">
              <w:t>Please read</w:t>
            </w:r>
            <w:r>
              <w:rPr>
                <w:b/>
              </w:rPr>
              <w:t xml:space="preserve">: </w:t>
            </w:r>
            <w:r w:rsidR="005727D7">
              <w:rPr>
                <w:b/>
              </w:rPr>
              <w:t xml:space="preserve"> </w:t>
            </w:r>
          </w:p>
          <w:p w14:paraId="4D58D401" w14:textId="77777777" w:rsidR="001A199C" w:rsidRDefault="005727D7" w:rsidP="005727D7">
            <w:pPr>
              <w:pStyle w:val="ListParagraph"/>
              <w:numPr>
                <w:ilvl w:val="0"/>
                <w:numId w:val="14"/>
              </w:numPr>
            </w:pPr>
            <w:r w:rsidRPr="005727D7">
              <w:t>Chap. 7, 594-605</w:t>
            </w:r>
            <w:r w:rsidRPr="005727D7">
              <w:rPr>
                <w:b/>
              </w:rPr>
              <w:t xml:space="preserve">.  </w:t>
            </w:r>
            <w:r w:rsidRPr="005727D7">
              <w:t xml:space="preserve">I have excerpted the drug policies from the CBAs on bSpace. </w:t>
            </w:r>
          </w:p>
          <w:p w14:paraId="2EB4563A" w14:textId="63CA0241" w:rsidR="00704580" w:rsidRDefault="006C41B5" w:rsidP="005727D7">
            <w:pPr>
              <w:pStyle w:val="ListParagraph"/>
              <w:numPr>
                <w:ilvl w:val="0"/>
                <w:numId w:val="14"/>
              </w:numPr>
            </w:pPr>
            <w:r>
              <w:t>Chap</w:t>
            </w:r>
            <w:r w:rsidR="00E734E5">
              <w:t>.</w:t>
            </w:r>
            <w:r>
              <w:t xml:space="preserve"> 12--</w:t>
            </w:r>
            <w:r w:rsidRPr="00363E6D">
              <w:t>971-</w:t>
            </w:r>
            <w:r w:rsidR="005727D7">
              <w:t>975</w:t>
            </w:r>
            <w:r w:rsidR="00495BB0">
              <w:t xml:space="preserve">; </w:t>
            </w:r>
            <w:r w:rsidR="005727D7">
              <w:t>978-979; 988-991.</w:t>
            </w:r>
          </w:p>
          <w:p w14:paraId="40B332AA" w14:textId="77777777" w:rsidR="00FE3ACE" w:rsidRDefault="007F3AD2" w:rsidP="006C41B5">
            <w:r>
              <w:t xml:space="preserve">We will </w:t>
            </w:r>
            <w:r w:rsidR="009C0CA8">
              <w:t xml:space="preserve">also </w:t>
            </w:r>
            <w:r>
              <w:t>discuss</w:t>
            </w:r>
            <w:r w:rsidR="00FE3ACE">
              <w:t>:</w:t>
            </w:r>
          </w:p>
          <w:p w14:paraId="418A7930" w14:textId="77A28D80" w:rsidR="00FE3ACE" w:rsidRDefault="000C2EE1" w:rsidP="00FE3ACE">
            <w:pPr>
              <w:pStyle w:val="ListParagraph"/>
              <w:numPr>
                <w:ilvl w:val="0"/>
                <w:numId w:val="12"/>
              </w:numPr>
            </w:pPr>
            <w:r>
              <w:t>The</w:t>
            </w:r>
            <w:r w:rsidR="007F3AD2">
              <w:t xml:space="preserve"> current </w:t>
            </w:r>
            <w:r w:rsidR="009C0CA8">
              <w:t xml:space="preserve">legal </w:t>
            </w:r>
            <w:r w:rsidR="007F3AD2">
              <w:t xml:space="preserve">issues around </w:t>
            </w:r>
            <w:r w:rsidR="009C0CA8">
              <w:t xml:space="preserve">player </w:t>
            </w:r>
            <w:r w:rsidR="007F3AD2">
              <w:t>concussions</w:t>
            </w:r>
            <w:r w:rsidR="00746C76">
              <w:t xml:space="preserve">, </w:t>
            </w:r>
            <w:r w:rsidR="00FE3ACE">
              <w:t>efforts of the NFL to reduce injury, and possible long term effects on the NFL;</w:t>
            </w:r>
          </w:p>
          <w:p w14:paraId="656A7676" w14:textId="0861844D" w:rsidR="006C41B5" w:rsidRPr="00CC4415" w:rsidRDefault="00D31B7A" w:rsidP="00FE3ACE">
            <w:pPr>
              <w:pStyle w:val="ListParagraph"/>
              <w:numPr>
                <w:ilvl w:val="0"/>
                <w:numId w:val="12"/>
              </w:numPr>
            </w:pPr>
            <w:r>
              <w:t xml:space="preserve">I have scheduled </w:t>
            </w:r>
            <w:r w:rsidR="00704580">
              <w:t>the</w:t>
            </w:r>
            <w:r>
              <w:t xml:space="preserve"> team physician </w:t>
            </w:r>
            <w:r w:rsidR="00704580">
              <w:t>for the Oakland A’s</w:t>
            </w:r>
            <w:r w:rsidR="00897889">
              <w:t xml:space="preserve"> as a guest speaker,</w:t>
            </w:r>
            <w:r w:rsidR="00704580">
              <w:t xml:space="preserve"> </w:t>
            </w:r>
            <w:r>
              <w:t xml:space="preserve">to </w:t>
            </w:r>
            <w:r w:rsidR="00897889">
              <w:t>discuss</w:t>
            </w:r>
            <w:r w:rsidR="00704580">
              <w:t xml:space="preserve"> </w:t>
            </w:r>
            <w:r>
              <w:t>current medical issues in professional team sports.</w:t>
            </w:r>
          </w:p>
          <w:p w14:paraId="404F8714" w14:textId="77777777" w:rsidR="006779EB" w:rsidRPr="004D770B" w:rsidRDefault="006779EB" w:rsidP="00CC4415"/>
        </w:tc>
      </w:tr>
    </w:tbl>
    <w:p w14:paraId="53C30831" w14:textId="77777777" w:rsidR="002151FD" w:rsidRDefault="002151FD" w:rsidP="006779EB">
      <w:pPr>
        <w:sectPr w:rsidR="002151FD" w:rsidSect="00D379EC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1080"/>
        <w:gridCol w:w="7290"/>
      </w:tblGrid>
      <w:tr w:rsidR="006779EB" w14:paraId="1F836501" w14:textId="77777777" w:rsidTr="006779EB">
        <w:tc>
          <w:tcPr>
            <w:tcW w:w="1368" w:type="dxa"/>
          </w:tcPr>
          <w:p w14:paraId="360569ED" w14:textId="6D28DD69" w:rsidR="006779EB" w:rsidRPr="004D770B" w:rsidRDefault="006779EB" w:rsidP="006779EB">
            <w:r w:rsidRPr="004D770B">
              <w:lastRenderedPageBreak/>
              <w:t>Class 10</w:t>
            </w:r>
          </w:p>
        </w:tc>
        <w:tc>
          <w:tcPr>
            <w:tcW w:w="1080" w:type="dxa"/>
          </w:tcPr>
          <w:p w14:paraId="08BD67BE" w14:textId="251A2DE9" w:rsidR="006779EB" w:rsidRPr="004D770B" w:rsidRDefault="006779EB" w:rsidP="00415A10">
            <w:r>
              <w:t xml:space="preserve">Mar </w:t>
            </w:r>
            <w:r w:rsidR="00415A10">
              <w:t>12</w:t>
            </w:r>
          </w:p>
        </w:tc>
        <w:tc>
          <w:tcPr>
            <w:tcW w:w="7290" w:type="dxa"/>
          </w:tcPr>
          <w:p w14:paraId="03392B03" w14:textId="77777777" w:rsidR="00FE3ACE" w:rsidRDefault="00FE3ACE" w:rsidP="00FE3ACE">
            <w:pPr>
              <w:jc w:val="center"/>
              <w:rPr>
                <w:b/>
              </w:rPr>
            </w:pPr>
            <w:r w:rsidRPr="00FE3ACE">
              <w:rPr>
                <w:b/>
              </w:rPr>
              <w:t>Intellectual Property</w:t>
            </w:r>
          </w:p>
          <w:p w14:paraId="42158421" w14:textId="584BA099" w:rsidR="00227A5A" w:rsidRDefault="00E23464" w:rsidP="00E23464">
            <w:r>
              <w:t>We now move to</w:t>
            </w:r>
            <w:r w:rsidR="00746C76">
              <w:t xml:space="preserve"> Intellectual Property</w:t>
            </w:r>
            <w:r w:rsidR="00227A5A">
              <w:t xml:space="preserve"> in the context of the sports industry</w:t>
            </w:r>
            <w:r w:rsidR="00746C76">
              <w:t xml:space="preserve">, the third </w:t>
            </w:r>
            <w:r>
              <w:t>substantive</w:t>
            </w:r>
            <w:r w:rsidR="00746C76">
              <w:t xml:space="preserve"> segment of the course.</w:t>
            </w:r>
            <w:r>
              <w:t xml:space="preserve">  </w:t>
            </w:r>
            <w:r w:rsidR="00BF0E7E">
              <w:t xml:space="preserve">We will cover this broad area in the next three classes. </w:t>
            </w:r>
          </w:p>
          <w:p w14:paraId="758DE6A6" w14:textId="4E7ACE5D" w:rsidR="00E92705" w:rsidRDefault="00BF0E7E" w:rsidP="00E23464">
            <w:r>
              <w:t xml:space="preserve"> </w:t>
            </w:r>
          </w:p>
          <w:p w14:paraId="654191CD" w14:textId="432B969F" w:rsidR="00E23464" w:rsidRPr="004D770B" w:rsidRDefault="00272859" w:rsidP="00E23464">
            <w:r>
              <w:t>For the first class p</w:t>
            </w:r>
            <w:r w:rsidR="00F87AD4">
              <w:t xml:space="preserve">lease read: </w:t>
            </w:r>
            <w:r w:rsidR="00E23464">
              <w:t>Chap. 13--</w:t>
            </w:r>
            <w:r w:rsidR="00E23464" w:rsidRPr="00363E6D">
              <w:t>pp. 1023-10</w:t>
            </w:r>
            <w:r w:rsidR="00E23464">
              <w:t>52.</w:t>
            </w:r>
          </w:p>
        </w:tc>
      </w:tr>
      <w:tr w:rsidR="006779EB" w14:paraId="40FB59B1" w14:textId="77777777" w:rsidTr="006779EB">
        <w:tc>
          <w:tcPr>
            <w:tcW w:w="1368" w:type="dxa"/>
          </w:tcPr>
          <w:p w14:paraId="0EC690B0" w14:textId="5FD656AE" w:rsidR="006779EB" w:rsidRPr="004D770B" w:rsidRDefault="006779EB" w:rsidP="006779EB">
            <w:r w:rsidRPr="004D770B">
              <w:t>Class 11</w:t>
            </w:r>
          </w:p>
        </w:tc>
        <w:tc>
          <w:tcPr>
            <w:tcW w:w="1080" w:type="dxa"/>
          </w:tcPr>
          <w:p w14:paraId="72A961B0" w14:textId="18E80046" w:rsidR="006779EB" w:rsidRPr="004D770B" w:rsidRDefault="006779EB" w:rsidP="00415A10">
            <w:r>
              <w:t xml:space="preserve">Mar </w:t>
            </w:r>
            <w:r w:rsidR="00415A10">
              <w:t>19</w:t>
            </w:r>
          </w:p>
        </w:tc>
        <w:tc>
          <w:tcPr>
            <w:tcW w:w="7290" w:type="dxa"/>
          </w:tcPr>
          <w:p w14:paraId="7C1A3705" w14:textId="77777777" w:rsidR="00F87AD4" w:rsidRPr="00F87AD4" w:rsidRDefault="00F87AD4" w:rsidP="00F87AD4">
            <w:pPr>
              <w:jc w:val="center"/>
              <w:rPr>
                <w:b/>
              </w:rPr>
            </w:pPr>
            <w:r w:rsidRPr="00F87AD4">
              <w:rPr>
                <w:b/>
              </w:rPr>
              <w:t>Intellectual Property Continued</w:t>
            </w:r>
          </w:p>
          <w:p w14:paraId="67158E27" w14:textId="61A7DE79" w:rsidR="00E133CD" w:rsidRPr="004D770B" w:rsidRDefault="00F87AD4" w:rsidP="00BF0E7E">
            <w:r>
              <w:t xml:space="preserve">Please read: </w:t>
            </w:r>
            <w:r w:rsidR="009B74E1">
              <w:t>Chap. 13--</w:t>
            </w:r>
            <w:r w:rsidR="001A17D7">
              <w:t>pp.</w:t>
            </w:r>
            <w:r w:rsidR="00025922">
              <w:t xml:space="preserve"> 10</w:t>
            </w:r>
            <w:r w:rsidR="00C123A5">
              <w:t>52</w:t>
            </w:r>
            <w:r w:rsidR="009B74E1" w:rsidRPr="00363E6D">
              <w:t>-10</w:t>
            </w:r>
            <w:r w:rsidR="00BF0E7E">
              <w:t>72</w:t>
            </w:r>
            <w:r w:rsidR="005C380C">
              <w:t xml:space="preserve">.  </w:t>
            </w:r>
            <w:r w:rsidR="00E734E5"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1783" w:tblpY="3961"/>
        <w:tblW w:w="9738" w:type="dxa"/>
        <w:tblLook w:val="04A0" w:firstRow="1" w:lastRow="0" w:firstColumn="1" w:lastColumn="0" w:noHBand="0" w:noVBand="1"/>
      </w:tblPr>
      <w:tblGrid>
        <w:gridCol w:w="1368"/>
        <w:gridCol w:w="1080"/>
        <w:gridCol w:w="7290"/>
      </w:tblGrid>
      <w:tr w:rsidR="002151FD" w14:paraId="00EAA0FE" w14:textId="77777777" w:rsidTr="002151FD">
        <w:trPr>
          <w:trHeight w:val="251"/>
        </w:trPr>
        <w:tc>
          <w:tcPr>
            <w:tcW w:w="1368" w:type="dxa"/>
          </w:tcPr>
          <w:p w14:paraId="1C774A1F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 w:rsidRPr="004D770B">
              <w:t>Class 12</w:t>
            </w:r>
          </w:p>
        </w:tc>
        <w:tc>
          <w:tcPr>
            <w:tcW w:w="1080" w:type="dxa"/>
          </w:tcPr>
          <w:p w14:paraId="27635BA2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>
              <w:t>Apr 2</w:t>
            </w:r>
          </w:p>
        </w:tc>
        <w:tc>
          <w:tcPr>
            <w:tcW w:w="7290" w:type="dxa"/>
          </w:tcPr>
          <w:p w14:paraId="29BF1D8F" w14:textId="77777777" w:rsidR="002151FD" w:rsidRPr="00F87AD4" w:rsidRDefault="002151FD" w:rsidP="002151FD">
            <w:pPr>
              <w:tabs>
                <w:tab w:val="left" w:pos="0"/>
              </w:tabs>
              <w:ind w:hanging="90"/>
              <w:jc w:val="center"/>
              <w:rPr>
                <w:b/>
              </w:rPr>
            </w:pPr>
            <w:r w:rsidRPr="00F87AD4">
              <w:rPr>
                <w:b/>
              </w:rPr>
              <w:t>Intellectual Property Continued</w:t>
            </w:r>
          </w:p>
          <w:p w14:paraId="23DDCA46" w14:textId="77777777" w:rsidR="002151FD" w:rsidRDefault="002151FD" w:rsidP="002151FD">
            <w:pPr>
              <w:tabs>
                <w:tab w:val="left" w:pos="0"/>
              </w:tabs>
              <w:ind w:hanging="90"/>
            </w:pPr>
            <w:r>
              <w:t xml:space="preserve">Please read: Chap. 13: 1072—1100. </w:t>
            </w:r>
          </w:p>
          <w:p w14:paraId="0EA5924F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>
              <w:t xml:space="preserve">In addition to this reading, I suggest you review the complaint in </w:t>
            </w:r>
            <w:r w:rsidRPr="002B2729">
              <w:rPr>
                <w:i/>
              </w:rPr>
              <w:t>Barnett v. NFL</w:t>
            </w:r>
            <w:r>
              <w:t xml:space="preserve"> (</w:t>
            </w:r>
            <w:bookmarkStart w:id="0" w:name="_GoBack"/>
            <w:r w:rsidRPr="00897889">
              <w:rPr>
                <w:i/>
              </w:rPr>
              <w:t>bSpace</w:t>
            </w:r>
            <w:bookmarkEnd w:id="0"/>
            <w:r>
              <w:t xml:space="preserve">) regarding use of images of retired players.  We will also discuss the </w:t>
            </w:r>
            <w:r w:rsidRPr="001A199C">
              <w:rPr>
                <w:i/>
              </w:rPr>
              <w:t>O’Bannon</w:t>
            </w:r>
            <w:r>
              <w:t xml:space="preserve"> and </w:t>
            </w:r>
            <w:r w:rsidRPr="001A199C">
              <w:rPr>
                <w:i/>
              </w:rPr>
              <w:t>Keller</w:t>
            </w:r>
            <w:r>
              <w:t xml:space="preserve"> litigation regarding college players’ right of publicity, and the current lawsuit by the Professional Leagues against the State of New Jersey regarding state legalization of sports betting</w:t>
            </w:r>
          </w:p>
        </w:tc>
      </w:tr>
      <w:tr w:rsidR="002151FD" w14:paraId="36017168" w14:textId="77777777" w:rsidTr="002151FD">
        <w:tc>
          <w:tcPr>
            <w:tcW w:w="1368" w:type="dxa"/>
          </w:tcPr>
          <w:p w14:paraId="442EDDE8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 w:rsidRPr="004D770B">
              <w:t>Class 13</w:t>
            </w:r>
          </w:p>
        </w:tc>
        <w:tc>
          <w:tcPr>
            <w:tcW w:w="1080" w:type="dxa"/>
          </w:tcPr>
          <w:p w14:paraId="5503D882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>
              <w:t>Apr 9</w:t>
            </w:r>
          </w:p>
        </w:tc>
        <w:tc>
          <w:tcPr>
            <w:tcW w:w="7290" w:type="dxa"/>
          </w:tcPr>
          <w:p w14:paraId="0F95E69F" w14:textId="77777777" w:rsidR="002151FD" w:rsidRDefault="002151FD" w:rsidP="002151FD">
            <w:pPr>
              <w:tabs>
                <w:tab w:val="left" w:pos="0"/>
              </w:tabs>
              <w:ind w:hanging="90"/>
              <w:jc w:val="center"/>
              <w:rPr>
                <w:b/>
              </w:rPr>
            </w:pPr>
            <w:r w:rsidRPr="00FE3ACE">
              <w:rPr>
                <w:b/>
              </w:rPr>
              <w:t>Title IX</w:t>
            </w:r>
            <w:r>
              <w:rPr>
                <w:b/>
              </w:rPr>
              <w:t>:  Gender Equality</w:t>
            </w:r>
          </w:p>
          <w:p w14:paraId="04BD0AC0" w14:textId="4FCBB977" w:rsidR="002151FD" w:rsidRDefault="002151FD" w:rsidP="002151FD">
            <w:pPr>
              <w:tabs>
                <w:tab w:val="left" w:pos="0"/>
              </w:tabs>
              <w:ind w:hanging="90"/>
            </w:pPr>
            <w:r>
              <w:t>This class will introduce you to the his</w:t>
            </w:r>
            <w:r w:rsidR="00025922">
              <w:t xml:space="preserve">tory and current application of </w:t>
            </w:r>
            <w:r>
              <w:t xml:space="preserve">Title IX in intercollegiate sports.  </w:t>
            </w:r>
          </w:p>
          <w:p w14:paraId="635228F0" w14:textId="77777777" w:rsidR="002151FD" w:rsidRDefault="002151FD" w:rsidP="002151FD">
            <w:pPr>
              <w:tabs>
                <w:tab w:val="left" w:pos="0"/>
              </w:tabs>
              <w:ind w:hanging="90"/>
            </w:pPr>
            <w:r>
              <w:t xml:space="preserve">Please read:  Chap. 11, p 825-831; 832-842; 849-856-859 </w:t>
            </w:r>
          </w:p>
          <w:p w14:paraId="61F95A13" w14:textId="77777777" w:rsidR="002151FD" w:rsidRPr="00FE3ACE" w:rsidRDefault="002151FD" w:rsidP="002151FD">
            <w:pPr>
              <w:tabs>
                <w:tab w:val="left" w:pos="0"/>
              </w:tabs>
              <w:ind w:hanging="90"/>
            </w:pPr>
          </w:p>
        </w:tc>
      </w:tr>
      <w:tr w:rsidR="002151FD" w14:paraId="6DF3ECFD" w14:textId="77777777" w:rsidTr="002151FD">
        <w:tc>
          <w:tcPr>
            <w:tcW w:w="1368" w:type="dxa"/>
          </w:tcPr>
          <w:p w14:paraId="706868D6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 w:rsidRPr="004D770B">
              <w:t>Class 14</w:t>
            </w:r>
          </w:p>
        </w:tc>
        <w:tc>
          <w:tcPr>
            <w:tcW w:w="1080" w:type="dxa"/>
          </w:tcPr>
          <w:p w14:paraId="708AD393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>
              <w:t>Apr 16</w:t>
            </w:r>
          </w:p>
        </w:tc>
        <w:tc>
          <w:tcPr>
            <w:tcW w:w="7290" w:type="dxa"/>
          </w:tcPr>
          <w:p w14:paraId="18E395BB" w14:textId="77777777" w:rsidR="002151FD" w:rsidRPr="004D770B" w:rsidRDefault="002151FD" w:rsidP="002151FD">
            <w:pPr>
              <w:tabs>
                <w:tab w:val="left" w:pos="0"/>
              </w:tabs>
              <w:ind w:hanging="90"/>
            </w:pPr>
            <w:r>
              <w:t xml:space="preserve">Reserved </w:t>
            </w:r>
          </w:p>
        </w:tc>
      </w:tr>
    </w:tbl>
    <w:p w14:paraId="13C0C449" w14:textId="77777777" w:rsidR="00D379EC" w:rsidRDefault="00D379EC"/>
    <w:sectPr w:rsidR="00D379EC" w:rsidSect="00D379E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6E7DE" w14:textId="77777777" w:rsidR="007D1C16" w:rsidRDefault="007D1C16" w:rsidP="00B70895">
      <w:r>
        <w:separator/>
      </w:r>
    </w:p>
  </w:endnote>
  <w:endnote w:type="continuationSeparator" w:id="0">
    <w:p w14:paraId="4161C3AB" w14:textId="77777777" w:rsidR="007D1C16" w:rsidRDefault="007D1C16" w:rsidP="00B7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EB5B" w14:textId="77777777" w:rsidR="007D1C16" w:rsidRDefault="007D1C16" w:rsidP="006438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A121D" w14:textId="77777777" w:rsidR="007D1C16" w:rsidRDefault="007D1C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2C64" w14:textId="77777777" w:rsidR="007D1C16" w:rsidRDefault="007D1C16" w:rsidP="006438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8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36D71" w14:textId="77777777" w:rsidR="007D1C16" w:rsidRDefault="007D1C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8919" w14:textId="77777777" w:rsidR="007D1C16" w:rsidRDefault="007D1C16" w:rsidP="00B70895">
      <w:r>
        <w:separator/>
      </w:r>
    </w:p>
  </w:footnote>
  <w:footnote w:type="continuationSeparator" w:id="0">
    <w:p w14:paraId="319E2712" w14:textId="77777777" w:rsidR="007D1C16" w:rsidRDefault="007D1C16" w:rsidP="00B7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C18"/>
    <w:multiLevelType w:val="hybridMultilevel"/>
    <w:tmpl w:val="074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40D"/>
    <w:multiLevelType w:val="hybridMultilevel"/>
    <w:tmpl w:val="D6C2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DDA"/>
    <w:multiLevelType w:val="hybridMultilevel"/>
    <w:tmpl w:val="CA7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288"/>
    <w:multiLevelType w:val="hybridMultilevel"/>
    <w:tmpl w:val="176A8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4612E2"/>
    <w:multiLevelType w:val="hybridMultilevel"/>
    <w:tmpl w:val="F9EEAAC6"/>
    <w:lvl w:ilvl="0" w:tplc="1BA4D208">
      <w:start w:val="25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B430E"/>
    <w:multiLevelType w:val="hybridMultilevel"/>
    <w:tmpl w:val="81227EB2"/>
    <w:lvl w:ilvl="0" w:tplc="1BA4D208">
      <w:start w:val="25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631D"/>
    <w:multiLevelType w:val="hybridMultilevel"/>
    <w:tmpl w:val="3016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792A"/>
    <w:multiLevelType w:val="hybridMultilevel"/>
    <w:tmpl w:val="CFC0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276C9"/>
    <w:multiLevelType w:val="hybridMultilevel"/>
    <w:tmpl w:val="B35AF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7D9"/>
    <w:multiLevelType w:val="hybridMultilevel"/>
    <w:tmpl w:val="9AD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D7D33"/>
    <w:multiLevelType w:val="hybridMultilevel"/>
    <w:tmpl w:val="D37C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A24C3"/>
    <w:multiLevelType w:val="hybridMultilevel"/>
    <w:tmpl w:val="80F0F846"/>
    <w:lvl w:ilvl="0" w:tplc="1BA4D208">
      <w:start w:val="25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538C"/>
    <w:multiLevelType w:val="hybridMultilevel"/>
    <w:tmpl w:val="EBCA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27560"/>
    <w:multiLevelType w:val="hybridMultilevel"/>
    <w:tmpl w:val="4FD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B"/>
    <w:rsid w:val="0000616D"/>
    <w:rsid w:val="00014A1E"/>
    <w:rsid w:val="00024257"/>
    <w:rsid w:val="00025922"/>
    <w:rsid w:val="00036F5B"/>
    <w:rsid w:val="00043847"/>
    <w:rsid w:val="000504F8"/>
    <w:rsid w:val="000671BD"/>
    <w:rsid w:val="000956F9"/>
    <w:rsid w:val="000A655A"/>
    <w:rsid w:val="000C2EE1"/>
    <w:rsid w:val="001049BF"/>
    <w:rsid w:val="00171209"/>
    <w:rsid w:val="0017127E"/>
    <w:rsid w:val="00174DC7"/>
    <w:rsid w:val="0018231D"/>
    <w:rsid w:val="001A17D7"/>
    <w:rsid w:val="001A199C"/>
    <w:rsid w:val="001B3D75"/>
    <w:rsid w:val="001B75F5"/>
    <w:rsid w:val="001E71A5"/>
    <w:rsid w:val="00200919"/>
    <w:rsid w:val="00201919"/>
    <w:rsid w:val="00201F9C"/>
    <w:rsid w:val="002151FD"/>
    <w:rsid w:val="00221650"/>
    <w:rsid w:val="00224BE3"/>
    <w:rsid w:val="00227A5A"/>
    <w:rsid w:val="00272859"/>
    <w:rsid w:val="00290EFD"/>
    <w:rsid w:val="002B2729"/>
    <w:rsid w:val="002D5B5E"/>
    <w:rsid w:val="002D6A75"/>
    <w:rsid w:val="002F2C1B"/>
    <w:rsid w:val="00303D79"/>
    <w:rsid w:val="00366C47"/>
    <w:rsid w:val="003A5985"/>
    <w:rsid w:val="003D2A8E"/>
    <w:rsid w:val="003D6CF4"/>
    <w:rsid w:val="003E0E3A"/>
    <w:rsid w:val="00415A10"/>
    <w:rsid w:val="004163B1"/>
    <w:rsid w:val="00427C8D"/>
    <w:rsid w:val="00453350"/>
    <w:rsid w:val="00457BF3"/>
    <w:rsid w:val="00461719"/>
    <w:rsid w:val="00466333"/>
    <w:rsid w:val="00495BB0"/>
    <w:rsid w:val="00532231"/>
    <w:rsid w:val="005709DE"/>
    <w:rsid w:val="005727D7"/>
    <w:rsid w:val="005A1F4E"/>
    <w:rsid w:val="005A4418"/>
    <w:rsid w:val="005A7260"/>
    <w:rsid w:val="005C380C"/>
    <w:rsid w:val="00643801"/>
    <w:rsid w:val="00661C2E"/>
    <w:rsid w:val="006779EB"/>
    <w:rsid w:val="006A498E"/>
    <w:rsid w:val="006B4110"/>
    <w:rsid w:val="006B41CA"/>
    <w:rsid w:val="006C41B5"/>
    <w:rsid w:val="00704580"/>
    <w:rsid w:val="007251EC"/>
    <w:rsid w:val="00735E86"/>
    <w:rsid w:val="00741C40"/>
    <w:rsid w:val="00746C76"/>
    <w:rsid w:val="007501B2"/>
    <w:rsid w:val="00794C62"/>
    <w:rsid w:val="007A12D6"/>
    <w:rsid w:val="007A13FF"/>
    <w:rsid w:val="007C56D5"/>
    <w:rsid w:val="007D1C16"/>
    <w:rsid w:val="007F3AD2"/>
    <w:rsid w:val="00825983"/>
    <w:rsid w:val="0083341C"/>
    <w:rsid w:val="00841F5A"/>
    <w:rsid w:val="00851091"/>
    <w:rsid w:val="00855D83"/>
    <w:rsid w:val="00897889"/>
    <w:rsid w:val="008E2D16"/>
    <w:rsid w:val="0092256F"/>
    <w:rsid w:val="00963C03"/>
    <w:rsid w:val="009B2C6A"/>
    <w:rsid w:val="009B74E1"/>
    <w:rsid w:val="009C0CA8"/>
    <w:rsid w:val="009D2E22"/>
    <w:rsid w:val="00A07216"/>
    <w:rsid w:val="00A12C9D"/>
    <w:rsid w:val="00A25C13"/>
    <w:rsid w:val="00A96BBF"/>
    <w:rsid w:val="00A97098"/>
    <w:rsid w:val="00AD2013"/>
    <w:rsid w:val="00AD3FB6"/>
    <w:rsid w:val="00AF0A12"/>
    <w:rsid w:val="00B2549A"/>
    <w:rsid w:val="00B35822"/>
    <w:rsid w:val="00B70895"/>
    <w:rsid w:val="00B94805"/>
    <w:rsid w:val="00BF0E7E"/>
    <w:rsid w:val="00BF5DD0"/>
    <w:rsid w:val="00BF7124"/>
    <w:rsid w:val="00C07228"/>
    <w:rsid w:val="00C123A5"/>
    <w:rsid w:val="00C429D5"/>
    <w:rsid w:val="00C736DE"/>
    <w:rsid w:val="00C93FC3"/>
    <w:rsid w:val="00CC4415"/>
    <w:rsid w:val="00D21606"/>
    <w:rsid w:val="00D220BA"/>
    <w:rsid w:val="00D27BFD"/>
    <w:rsid w:val="00D31B7A"/>
    <w:rsid w:val="00D379EC"/>
    <w:rsid w:val="00D37BCC"/>
    <w:rsid w:val="00D6350E"/>
    <w:rsid w:val="00D91C6A"/>
    <w:rsid w:val="00DB1F93"/>
    <w:rsid w:val="00DC18FA"/>
    <w:rsid w:val="00DC6157"/>
    <w:rsid w:val="00DC6FE3"/>
    <w:rsid w:val="00DD3E34"/>
    <w:rsid w:val="00DF77AE"/>
    <w:rsid w:val="00E04EEE"/>
    <w:rsid w:val="00E133CD"/>
    <w:rsid w:val="00E23464"/>
    <w:rsid w:val="00E32AB2"/>
    <w:rsid w:val="00E40E25"/>
    <w:rsid w:val="00E46BB5"/>
    <w:rsid w:val="00E733BD"/>
    <w:rsid w:val="00E734E5"/>
    <w:rsid w:val="00E92705"/>
    <w:rsid w:val="00EA22F0"/>
    <w:rsid w:val="00EA7C7D"/>
    <w:rsid w:val="00F27EC4"/>
    <w:rsid w:val="00F674A5"/>
    <w:rsid w:val="00F87AD4"/>
    <w:rsid w:val="00F906DA"/>
    <w:rsid w:val="00F96EDC"/>
    <w:rsid w:val="00FA21D6"/>
    <w:rsid w:val="00FB51A9"/>
    <w:rsid w:val="00FC6C28"/>
    <w:rsid w:val="00FC7E53"/>
    <w:rsid w:val="00FD3984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90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1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0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9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708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1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0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95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7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AF6CF-48F9-AB40-AD94-27A6E303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1070</Words>
  <Characters>5343</Characters>
  <Application>Microsoft Macintosh Word</Application>
  <DocSecurity>0</DocSecurity>
  <Lines>190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EISENHARDT</dc:creator>
  <cp:keywords/>
  <dc:description/>
  <cp:lastModifiedBy>Elizabeth Eisenhardt</cp:lastModifiedBy>
  <cp:revision>2</cp:revision>
  <cp:lastPrinted>2012-12-15T02:26:00Z</cp:lastPrinted>
  <dcterms:created xsi:type="dcterms:W3CDTF">2012-12-21T19:13:00Z</dcterms:created>
  <dcterms:modified xsi:type="dcterms:W3CDTF">2012-12-21T19:13:00Z</dcterms:modified>
</cp:coreProperties>
</file>