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B9" w:rsidRDefault="001459B9" w:rsidP="00CB7585">
      <w:pPr>
        <w:contextualSpacing/>
        <w:rPr>
          <w:b/>
        </w:rPr>
      </w:pPr>
    </w:p>
    <w:p w:rsidR="001459B9" w:rsidRDefault="001459B9" w:rsidP="00CF082D">
      <w:pPr>
        <w:contextualSpacing/>
        <w:jc w:val="center"/>
        <w:rPr>
          <w:b/>
        </w:rPr>
      </w:pPr>
      <w:r>
        <w:rPr>
          <w:b/>
        </w:rPr>
        <w:t>Mental Health and the Law</w:t>
      </w:r>
    </w:p>
    <w:p w:rsidR="001459B9" w:rsidRPr="00CF082D" w:rsidRDefault="001459B9" w:rsidP="00CF082D">
      <w:pPr>
        <w:contextualSpacing/>
        <w:jc w:val="center"/>
        <w:rPr>
          <w:b/>
        </w:rPr>
      </w:pPr>
      <w:r>
        <w:rPr>
          <w:b/>
        </w:rPr>
        <w:t>Spring 2013</w:t>
      </w:r>
    </w:p>
    <w:p w:rsidR="001459B9" w:rsidRDefault="001459B9">
      <w:pPr>
        <w:contextualSpacing/>
      </w:pPr>
    </w:p>
    <w:p w:rsidR="001459B9" w:rsidRPr="00C265E3" w:rsidRDefault="001459B9">
      <w:pPr>
        <w:contextualSpacing/>
      </w:pPr>
    </w:p>
    <w:p w:rsidR="001459B9" w:rsidRPr="00C265E3" w:rsidRDefault="001459B9">
      <w:pPr>
        <w:contextualSpacing/>
      </w:pPr>
      <w:r w:rsidRPr="00C265E3">
        <w:t>George Woods, M.D.</w:t>
      </w:r>
    </w:p>
    <w:p w:rsidR="001459B9" w:rsidRPr="00C265E3" w:rsidRDefault="001459B9" w:rsidP="00C265E3">
      <w:pPr>
        <w:widowControl w:val="0"/>
        <w:autoSpaceDE w:val="0"/>
        <w:autoSpaceDN w:val="0"/>
        <w:adjustRightInd w:val="0"/>
        <w:spacing w:after="0"/>
        <w:rPr>
          <w:rFonts w:cs="Helvetica"/>
        </w:rPr>
      </w:pPr>
      <w:r w:rsidRPr="00C265E3">
        <w:rPr>
          <w:rFonts w:cs="Helvetica"/>
        </w:rPr>
        <w:t>1000 Brannan Street, Suite 488</w:t>
      </w:r>
    </w:p>
    <w:p w:rsidR="001459B9" w:rsidRPr="00C265E3" w:rsidRDefault="001459B9" w:rsidP="00C265E3">
      <w:pPr>
        <w:widowControl w:val="0"/>
        <w:autoSpaceDE w:val="0"/>
        <w:autoSpaceDN w:val="0"/>
        <w:adjustRightInd w:val="0"/>
        <w:spacing w:after="0"/>
        <w:rPr>
          <w:rFonts w:cs="Helvetica"/>
        </w:rPr>
      </w:pPr>
      <w:r w:rsidRPr="00C265E3">
        <w:rPr>
          <w:rFonts w:cs="Helvetica"/>
        </w:rPr>
        <w:t>San Francisco, California 94103</w:t>
      </w:r>
    </w:p>
    <w:p w:rsidR="001459B9" w:rsidRPr="00C265E3" w:rsidRDefault="001459B9" w:rsidP="00C265E3">
      <w:pPr>
        <w:widowControl w:val="0"/>
        <w:autoSpaceDE w:val="0"/>
        <w:autoSpaceDN w:val="0"/>
        <w:adjustRightInd w:val="0"/>
        <w:spacing w:after="0"/>
        <w:rPr>
          <w:rFonts w:cs="Helvetica"/>
        </w:rPr>
      </w:pPr>
      <w:r>
        <w:rPr>
          <w:rFonts w:cs="Helvetica"/>
        </w:rPr>
        <w:t>Phone:  415-503-</w:t>
      </w:r>
      <w:r w:rsidRPr="00C265E3">
        <w:rPr>
          <w:rFonts w:cs="Helvetica"/>
        </w:rPr>
        <w:t>3959</w:t>
      </w:r>
    </w:p>
    <w:p w:rsidR="001459B9" w:rsidRDefault="001459B9" w:rsidP="00C265E3">
      <w:pPr>
        <w:widowControl w:val="0"/>
        <w:autoSpaceDE w:val="0"/>
        <w:autoSpaceDN w:val="0"/>
        <w:adjustRightInd w:val="0"/>
        <w:spacing w:after="0"/>
        <w:rPr>
          <w:rFonts w:cs="Helvetica"/>
        </w:rPr>
      </w:pPr>
      <w:hyperlink r:id="rId7" w:history="1">
        <w:r w:rsidRPr="006D4828">
          <w:rPr>
            <w:rStyle w:val="Hyperlink"/>
            <w:rFonts w:cs="Helvetica"/>
          </w:rPr>
          <w:t>george@johnson-woods.com</w:t>
        </w:r>
      </w:hyperlink>
    </w:p>
    <w:p w:rsidR="001459B9" w:rsidRDefault="001459B9">
      <w:pPr>
        <w:contextualSpacing/>
      </w:pPr>
    </w:p>
    <w:p w:rsidR="001459B9" w:rsidRDefault="001459B9">
      <w:pPr>
        <w:contextualSpacing/>
      </w:pPr>
      <w:r>
        <w:t>Jennifer Johnson, J.D.</w:t>
      </w:r>
    </w:p>
    <w:p w:rsidR="001459B9" w:rsidRDefault="001459B9">
      <w:pPr>
        <w:contextualSpacing/>
      </w:pPr>
      <w:r>
        <w:t>Office of the Public Defender</w:t>
      </w:r>
    </w:p>
    <w:p w:rsidR="001459B9" w:rsidRDefault="001459B9">
      <w:pPr>
        <w:contextualSpacing/>
      </w:pPr>
      <w:r>
        <w:t>555 Seventh Street</w:t>
      </w:r>
    </w:p>
    <w:p w:rsidR="001459B9" w:rsidRDefault="001459B9">
      <w:pPr>
        <w:contextualSpacing/>
      </w:pPr>
      <w:r>
        <w:t>San Francisco, CA 94103</w:t>
      </w:r>
    </w:p>
    <w:p w:rsidR="001459B9" w:rsidRDefault="001459B9">
      <w:pPr>
        <w:contextualSpacing/>
      </w:pPr>
      <w:r>
        <w:t>Phone:  415-310-5512</w:t>
      </w:r>
    </w:p>
    <w:p w:rsidR="001459B9" w:rsidRDefault="001459B9" w:rsidP="0022170A">
      <w:pPr>
        <w:contextualSpacing/>
      </w:pPr>
      <w:hyperlink r:id="rId8" w:history="1">
        <w:r w:rsidRPr="006D4828">
          <w:rPr>
            <w:rStyle w:val="Hyperlink"/>
          </w:rPr>
          <w:t>jennifer@johnson-woods.com</w:t>
        </w:r>
      </w:hyperlink>
      <w:r>
        <w:br/>
      </w:r>
      <w:r>
        <w:br/>
      </w:r>
    </w:p>
    <w:p w:rsidR="001459B9" w:rsidRPr="00B86DDC" w:rsidRDefault="001459B9" w:rsidP="0022170A">
      <w:pPr>
        <w:rPr>
          <w:b/>
        </w:rPr>
      </w:pPr>
      <w:r>
        <w:rPr>
          <w:b/>
        </w:rPr>
        <w:t>COURSE DESCRIPTION</w:t>
      </w:r>
    </w:p>
    <w:p w:rsidR="001459B9" w:rsidRDefault="001459B9" w:rsidP="00395764">
      <w:r>
        <w:t xml:space="preserve">This two-unit seminar will explore the intersection of mental health and the law and provide students with tools to improve advocacy when mental health is an issue in a case.   </w:t>
      </w:r>
    </w:p>
    <w:p w:rsidR="001459B9" w:rsidRDefault="001459B9" w:rsidP="00395764">
      <w:r>
        <w:t>In the last three decades, the legal system has seen an evolution in the understanding between life circumstances, mental health and involvement with the law.  Advances in brain science and social history investigation, as well as an increasingly nuanced view of mental disorders have prompted these strides in various aspects of the law, most notably in death penalty cases.</w:t>
      </w:r>
    </w:p>
    <w:p w:rsidR="001459B9" w:rsidRDefault="001459B9" w:rsidP="00395764">
      <w:r>
        <w:t xml:space="preserve">However, this recognition of the role of cognition in legal cases extends beyond the confines of criminal law.  People with mental disorders interact with the civil legal system in employment cases, civil rights actions, family law disputes, elder law cases and the corporate arena.  Lawyers in most practice areas will at some point encounter a client, a witness, a family member, or a lawyer with one or more mental disorders.  They must recognize the issue, and understand its implications with respect to their legal representation of the client. </w:t>
      </w:r>
    </w:p>
    <w:p w:rsidR="001459B9" w:rsidRDefault="001459B9" w:rsidP="00395764">
      <w:r>
        <w:t xml:space="preserve">Lawyers graduating today are faced with a system that is dramatically changing where mental health meets the law.  Knowledge that was once considered a specialty area for lawyers is now best practice.  New attorneys should be prepared for this new world.   </w:t>
      </w:r>
    </w:p>
    <w:p w:rsidR="001459B9" w:rsidRDefault="001459B9" w:rsidP="00395764"/>
    <w:p w:rsidR="001459B9" w:rsidRDefault="001459B9" w:rsidP="00395764"/>
    <w:p w:rsidR="001459B9" w:rsidRDefault="001459B9" w:rsidP="00395764">
      <w:r>
        <w:rPr>
          <w:b/>
        </w:rPr>
        <w:t>FACULTY</w:t>
      </w:r>
    </w:p>
    <w:p w:rsidR="001459B9" w:rsidRDefault="001459B9" w:rsidP="00395764">
      <w:r>
        <w:t>Dr. George Woods is a neuropsychiatrist with a private practice in San Francisco.  In addition to his clinical practice in disorders of the brain, he consults and testifies as a forensic mental health expert in both civil and criminal matters throughout the United States.  He is an Associate Adjunct Professor at Morehouse School of Medicine in Atlanta and has published articles in peer reviewed medical and legal publications.</w:t>
      </w:r>
    </w:p>
    <w:p w:rsidR="001459B9" w:rsidRPr="00CB7585" w:rsidRDefault="001459B9" w:rsidP="00F47BEB">
      <w:r>
        <w:t xml:space="preserve">Jennifer Johnson is a Deputy Public Defender in San Francisco and represents clients in Behavioral Health Court.  She was a founding member of the mental health court and is actively involved in shaping public policy and public perception at the crossroads of mental health and the law.  In partnership with Dr. Woods, Ms. Johnson has started a monthly continuing legal education series through West LegalEdcenter, </w:t>
      </w:r>
      <w:r w:rsidRPr="00395764">
        <w:rPr>
          <w:i/>
        </w:rPr>
        <w:t>Where Mental Health Meets the Law</w:t>
      </w:r>
      <w:r>
        <w:t>.</w:t>
      </w:r>
      <w:r>
        <w:br/>
      </w:r>
      <w:r>
        <w:br/>
      </w:r>
      <w:r>
        <w:br/>
      </w:r>
      <w:r w:rsidRPr="00582885">
        <w:rPr>
          <w:b/>
        </w:rPr>
        <w:t>OBJECTIVES</w:t>
      </w:r>
    </w:p>
    <w:p w:rsidR="001459B9" w:rsidRPr="00582885" w:rsidRDefault="001459B9" w:rsidP="00F47BEB">
      <w:pPr>
        <w:numPr>
          <w:ilvl w:val="0"/>
          <w:numId w:val="2"/>
        </w:numPr>
        <w:spacing w:after="0"/>
      </w:pPr>
      <w:r w:rsidRPr="00582885">
        <w:t>To address philosophical, definitional, operational, and occupational issues that are found when psychiatry and the la</w:t>
      </w:r>
      <w:r>
        <w:t>w interact.</w:t>
      </w:r>
      <w:r>
        <w:br/>
      </w:r>
    </w:p>
    <w:p w:rsidR="001459B9" w:rsidRPr="00582885" w:rsidRDefault="001459B9" w:rsidP="00F47BEB">
      <w:pPr>
        <w:numPr>
          <w:ilvl w:val="0"/>
          <w:numId w:val="2"/>
        </w:numPr>
        <w:spacing w:after="0"/>
      </w:pPr>
      <w:r w:rsidRPr="00582885">
        <w:t xml:space="preserve">To provide a theoretical understanding </w:t>
      </w:r>
      <w:r>
        <w:t>of the medicolegal relationship.</w:t>
      </w:r>
      <w:r>
        <w:br/>
      </w:r>
    </w:p>
    <w:p w:rsidR="001459B9" w:rsidRPr="00582885" w:rsidRDefault="001459B9" w:rsidP="00F47BEB">
      <w:pPr>
        <w:numPr>
          <w:ilvl w:val="0"/>
          <w:numId w:val="2"/>
        </w:numPr>
        <w:spacing w:after="0"/>
      </w:pPr>
      <w:r w:rsidRPr="00582885">
        <w:t xml:space="preserve">To explore the human rights components </w:t>
      </w:r>
      <w:r>
        <w:t>specific to forensic psychiatry.</w:t>
      </w:r>
      <w:r>
        <w:br/>
      </w:r>
    </w:p>
    <w:p w:rsidR="001459B9" w:rsidRDefault="001459B9" w:rsidP="002B2F2F">
      <w:pPr>
        <w:pStyle w:val="ListParagraph"/>
        <w:widowControl w:val="0"/>
        <w:numPr>
          <w:ilvl w:val="0"/>
          <w:numId w:val="2"/>
        </w:numPr>
      </w:pPr>
      <w:r w:rsidRPr="00582885">
        <w:t>To provide law students with a bibliographical infrastructure.</w:t>
      </w:r>
    </w:p>
    <w:p w:rsidR="001459B9" w:rsidRPr="00F90482" w:rsidRDefault="001459B9" w:rsidP="002B2F2F">
      <w:pPr>
        <w:pStyle w:val="ListParagraph"/>
        <w:widowControl w:val="0"/>
        <w:ind w:left="0"/>
      </w:pPr>
      <w:r>
        <w:rPr>
          <w:b/>
        </w:rPr>
        <w:br/>
      </w:r>
      <w:r>
        <w:rPr>
          <w:b/>
        </w:rPr>
        <w:br/>
      </w:r>
      <w:r w:rsidRPr="002B2F2F">
        <w:rPr>
          <w:b/>
        </w:rPr>
        <w:t>EXPECTATIONS</w:t>
      </w:r>
    </w:p>
    <w:p w:rsidR="001459B9" w:rsidRPr="00CB7585" w:rsidRDefault="001459B9" w:rsidP="00F47BEB">
      <w:pPr>
        <w:widowControl w:val="0"/>
        <w:rPr>
          <w:b/>
        </w:rPr>
      </w:pPr>
      <w:r>
        <w:t xml:space="preserve">Regular attendance is critical.  Each week builds upon the last and inconsistent attendance will limit your ability to master the material. </w:t>
      </w:r>
    </w:p>
    <w:p w:rsidR="001459B9" w:rsidRDefault="001459B9" w:rsidP="00F47BEB">
      <w:pPr>
        <w:widowControl w:val="0"/>
      </w:pPr>
      <w:r>
        <w:t>Participation is extremely important and will count for 25% of the final grade.  Much of this material may be new to your academic experience.  Participating in class and group discussions, as well as asking questions, will bolster your understanding the subject matter.</w:t>
      </w:r>
    </w:p>
    <w:p w:rsidR="001459B9" w:rsidRPr="00C7571E" w:rsidRDefault="001459B9" w:rsidP="00C7571E">
      <w:pPr>
        <w:widowControl w:val="0"/>
      </w:pPr>
      <w:r>
        <w:t xml:space="preserve">The remaining 75% of the grade will be based on three six-page papers assigned throughout the semester.  The course is divided into four subparts.  Each student will be required to write one paper from Part II: </w:t>
      </w:r>
      <w:r w:rsidRPr="00422234">
        <w:rPr>
          <w:i/>
        </w:rPr>
        <w:t xml:space="preserve"> Where Does Mental Illness Show Up in the Law Today?</w:t>
      </w:r>
      <w:r>
        <w:t xml:space="preserve">  Students can choose to write a paper on two of the remaining three subparts.</w:t>
      </w:r>
    </w:p>
    <w:p w:rsidR="001459B9" w:rsidRDefault="001459B9" w:rsidP="0022170A">
      <w:pPr>
        <w:contextualSpacing/>
        <w:rPr>
          <w:b/>
        </w:rPr>
      </w:pPr>
      <w:r>
        <w:rPr>
          <w:b/>
        </w:rPr>
        <w:br/>
      </w:r>
    </w:p>
    <w:p w:rsidR="001459B9" w:rsidRDefault="001459B9" w:rsidP="0022170A">
      <w:pPr>
        <w:contextualSpacing/>
        <w:rPr>
          <w:b/>
        </w:rPr>
      </w:pPr>
    </w:p>
    <w:p w:rsidR="001459B9" w:rsidRPr="000E4947" w:rsidRDefault="001459B9" w:rsidP="0022170A">
      <w:pPr>
        <w:contextualSpacing/>
        <w:rPr>
          <w:b/>
          <w:sz w:val="28"/>
        </w:rPr>
      </w:pPr>
      <w:r w:rsidRPr="000E4947">
        <w:rPr>
          <w:b/>
          <w:sz w:val="28"/>
        </w:rPr>
        <w:t xml:space="preserve">Part I:  </w:t>
      </w:r>
      <w:r>
        <w:rPr>
          <w:b/>
          <w:sz w:val="28"/>
        </w:rPr>
        <w:t>Introduction to t</w:t>
      </w:r>
      <w:r w:rsidRPr="000E4947">
        <w:rPr>
          <w:b/>
          <w:sz w:val="28"/>
        </w:rPr>
        <w:t>he History of Mental Illness</w:t>
      </w:r>
    </w:p>
    <w:p w:rsidR="001459B9" w:rsidRPr="00582885" w:rsidRDefault="001459B9" w:rsidP="0022170A">
      <w:pPr>
        <w:contextualSpacing/>
      </w:pPr>
      <w:r>
        <w:br/>
        <w:t>In the first three classes of the semester, we will introduce law students to the intersection of mental health and the law by examining history, philosophy, public policy and the classifications of mental illness.</w:t>
      </w:r>
    </w:p>
    <w:p w:rsidR="001459B9" w:rsidRDefault="001459B9" w:rsidP="00D91128">
      <w:pPr>
        <w:contextualSpacing/>
        <w:rPr>
          <w:b/>
          <w:u w:val="single"/>
        </w:rPr>
      </w:pPr>
    </w:p>
    <w:p w:rsidR="001459B9" w:rsidRPr="00587081" w:rsidRDefault="001459B9" w:rsidP="00D91128">
      <w:pPr>
        <w:contextualSpacing/>
      </w:pPr>
      <w:r>
        <w:rPr>
          <w:b/>
        </w:rPr>
        <w:br/>
      </w:r>
      <w:r w:rsidRPr="00587081">
        <w:rPr>
          <w:b/>
        </w:rPr>
        <w:t>Week 1:  What is Mental Illness?</w:t>
      </w:r>
    </w:p>
    <w:p w:rsidR="001459B9" w:rsidRDefault="001459B9" w:rsidP="00D91128">
      <w:pPr>
        <w:contextualSpacing/>
      </w:pPr>
      <w:r>
        <w:br/>
        <w:t>In the first class, we will explore our conceptualization of mental illness in the last century through the works of Michel Foucault, Baruch Spinoza and others.  We will examine how the law has struggled to make sense of an evolving understanding of mental illness and to define mental health terms as legal concepts.</w:t>
      </w:r>
    </w:p>
    <w:p w:rsidR="001459B9" w:rsidRPr="003F2FEB" w:rsidRDefault="001459B9" w:rsidP="00D91128">
      <w:pPr>
        <w:contextualSpacing/>
        <w:rPr>
          <w:b/>
        </w:rPr>
      </w:pPr>
    </w:p>
    <w:p w:rsidR="001459B9" w:rsidRPr="00587081" w:rsidRDefault="001459B9" w:rsidP="00587081">
      <w:pPr>
        <w:ind w:firstLine="360"/>
        <w:contextualSpacing/>
        <w:rPr>
          <w:b/>
          <w:i/>
        </w:rPr>
      </w:pPr>
      <w:r>
        <w:rPr>
          <w:b/>
          <w:i/>
        </w:rPr>
        <w:t>Reading</w:t>
      </w:r>
    </w:p>
    <w:p w:rsidR="001459B9" w:rsidRPr="00C7571E" w:rsidRDefault="001459B9" w:rsidP="002B5400">
      <w:pPr>
        <w:contextualSpacing/>
      </w:pPr>
      <w:r>
        <w:rPr>
          <w:u w:val="single"/>
        </w:rPr>
        <w:br/>
      </w:r>
      <w:r w:rsidRPr="00587081">
        <w:t>M</w:t>
      </w:r>
      <w:r>
        <w:t>’</w:t>
      </w:r>
      <w:r w:rsidRPr="00587081">
        <w:t xml:space="preserve">Naghten's </w:t>
      </w:r>
      <w:r>
        <w:t>c</w:t>
      </w:r>
      <w:r w:rsidRPr="00587081">
        <w:t>ase</w:t>
      </w:r>
      <w:r w:rsidRPr="00C7571E">
        <w:t>, 8 Eng. Rep.</w:t>
      </w:r>
      <w:r>
        <w:t xml:space="preserve"> 718, Volume 8</w:t>
      </w:r>
      <w:r w:rsidRPr="00C7571E">
        <w:t xml:space="preserve"> (1843) </w:t>
      </w:r>
      <w:r>
        <w:br/>
      </w:r>
    </w:p>
    <w:p w:rsidR="001459B9" w:rsidRDefault="001459B9" w:rsidP="002B5400">
      <w:pPr>
        <w:contextualSpacing/>
      </w:pPr>
      <w:r w:rsidRPr="00587081">
        <w:rPr>
          <w:i/>
        </w:rPr>
        <w:t>Ake v. Oklahoma</w:t>
      </w:r>
      <w:r>
        <w:t>, 470 U.S. 68 (1985)</w:t>
      </w:r>
    </w:p>
    <w:p w:rsidR="001459B9" w:rsidRPr="003F2FEB" w:rsidRDefault="001459B9" w:rsidP="00587081">
      <w:pPr>
        <w:ind w:firstLine="360"/>
        <w:contextualSpacing/>
      </w:pPr>
    </w:p>
    <w:p w:rsidR="001459B9" w:rsidRPr="00092897" w:rsidRDefault="001459B9" w:rsidP="002B5400">
      <w:pPr>
        <w:spacing w:after="0"/>
        <w:rPr>
          <w:noProof/>
        </w:rPr>
      </w:pPr>
      <w:r w:rsidRPr="00092897">
        <w:rPr>
          <w:noProof/>
        </w:rPr>
        <w:t xml:space="preserve">Prosono. (2003). History of Forensic Psychiatry. In R. Rosner (Ed.), </w:t>
      </w:r>
      <w:r>
        <w:rPr>
          <w:i/>
          <w:noProof/>
        </w:rPr>
        <w:t xml:space="preserve">Principles and </w:t>
      </w:r>
      <w:r w:rsidRPr="00092897">
        <w:rPr>
          <w:i/>
          <w:noProof/>
        </w:rPr>
        <w:t>Practice of Forensic Psychiatry</w:t>
      </w:r>
      <w:r w:rsidRPr="00092897">
        <w:rPr>
          <w:noProof/>
        </w:rPr>
        <w:t xml:space="preserve"> (Vol. 2).</w:t>
      </w:r>
    </w:p>
    <w:p w:rsidR="001459B9" w:rsidRDefault="001459B9" w:rsidP="00587081">
      <w:pPr>
        <w:spacing w:after="0"/>
        <w:ind w:firstLine="360"/>
      </w:pPr>
      <w:bookmarkStart w:id="0" w:name="_ENREF_11"/>
    </w:p>
    <w:p w:rsidR="001459B9" w:rsidRPr="00092897" w:rsidRDefault="001459B9" w:rsidP="002B5400">
      <w:pPr>
        <w:spacing w:after="0"/>
        <w:rPr>
          <w:noProof/>
        </w:rPr>
      </w:pPr>
      <w:r w:rsidRPr="00092897">
        <w:rPr>
          <w:noProof/>
        </w:rPr>
        <w:t xml:space="preserve">Foucault, M. (1961). </w:t>
      </w:r>
      <w:r w:rsidRPr="00092897">
        <w:rPr>
          <w:i/>
          <w:noProof/>
        </w:rPr>
        <w:t>History of Madness</w:t>
      </w:r>
      <w:r w:rsidRPr="00092897">
        <w:rPr>
          <w:noProof/>
        </w:rPr>
        <w:t>. New York: Routledge</w:t>
      </w:r>
      <w:bookmarkEnd w:id="0"/>
      <w:r>
        <w:rPr>
          <w:noProof/>
        </w:rPr>
        <w:t>, pp. 44-108.</w:t>
      </w:r>
    </w:p>
    <w:p w:rsidR="001459B9" w:rsidRDefault="001459B9" w:rsidP="00D91128">
      <w:pPr>
        <w:contextualSpacing/>
        <w:rPr>
          <w:b/>
          <w:u w:val="single"/>
        </w:rPr>
      </w:pPr>
    </w:p>
    <w:p w:rsidR="001459B9" w:rsidRDefault="001459B9" w:rsidP="004B0507">
      <w:pPr>
        <w:contextualSpacing/>
        <w:rPr>
          <w:b/>
        </w:rPr>
      </w:pPr>
    </w:p>
    <w:p w:rsidR="001459B9" w:rsidRPr="00587081" w:rsidRDefault="001459B9" w:rsidP="004B0507">
      <w:pPr>
        <w:contextualSpacing/>
        <w:rPr>
          <w:b/>
        </w:rPr>
      </w:pPr>
      <w:r w:rsidRPr="00587081">
        <w:rPr>
          <w:b/>
        </w:rPr>
        <w:t xml:space="preserve">Week 2:  History and Public Policy </w:t>
      </w:r>
      <w:r>
        <w:rPr>
          <w:b/>
        </w:rPr>
        <w:br/>
      </w:r>
    </w:p>
    <w:p w:rsidR="001459B9" w:rsidRDefault="001459B9" w:rsidP="004B0507">
      <w:pPr>
        <w:contextualSpacing/>
      </w:pPr>
      <w:r>
        <w:t>Over the last four decades, failed public policy, targeted budget cuts, and the economic crisis have had a disproportionate impact on those with serious mental illness.  The consequence is an underclass of Americans with untreated grave mental illnesses cycling through psychiatric hospitals, civil courts, criminal courts, the streets, and the jails.  In this class, we will unravel the complicated political and economic decisions that have led us to where we are today.</w:t>
      </w:r>
    </w:p>
    <w:p w:rsidR="001459B9" w:rsidRDefault="001459B9" w:rsidP="00D91128">
      <w:pPr>
        <w:contextualSpacing/>
      </w:pPr>
    </w:p>
    <w:p w:rsidR="001459B9" w:rsidRPr="00587081" w:rsidRDefault="001459B9" w:rsidP="00587081">
      <w:pPr>
        <w:ind w:firstLine="360"/>
        <w:contextualSpacing/>
        <w:rPr>
          <w:b/>
          <w:i/>
        </w:rPr>
      </w:pPr>
      <w:r>
        <w:rPr>
          <w:b/>
          <w:i/>
        </w:rPr>
        <w:t>Reading</w:t>
      </w:r>
    </w:p>
    <w:p w:rsidR="001459B9" w:rsidRPr="00587081" w:rsidRDefault="001459B9" w:rsidP="00587081">
      <w:pPr>
        <w:ind w:firstLine="360"/>
        <w:contextualSpacing/>
        <w:rPr>
          <w:b/>
          <w:i/>
        </w:rPr>
      </w:pPr>
      <w:r w:rsidRPr="00587081">
        <w:rPr>
          <w:b/>
          <w:i/>
        </w:rPr>
        <w:t xml:space="preserve"> </w:t>
      </w:r>
    </w:p>
    <w:p w:rsidR="001459B9" w:rsidRDefault="001459B9" w:rsidP="002B5400">
      <w:pPr>
        <w:contextualSpacing/>
      </w:pPr>
      <w:r w:rsidRPr="00587081">
        <w:rPr>
          <w:i/>
        </w:rPr>
        <w:t>Brown v. Plata</w:t>
      </w:r>
      <w:r>
        <w:t>, 563 US___ (</w:t>
      </w:r>
      <w:r w:rsidRPr="009E52F1">
        <w:t xml:space="preserve">2011) </w:t>
      </w:r>
    </w:p>
    <w:p w:rsidR="001459B9" w:rsidRDefault="001459B9" w:rsidP="003F2FEB">
      <w:pPr>
        <w:contextualSpacing/>
      </w:pPr>
    </w:p>
    <w:p w:rsidR="001459B9" w:rsidRPr="009E52F1" w:rsidRDefault="001459B9" w:rsidP="009E52F1">
      <w:pPr>
        <w:contextualSpacing/>
      </w:pPr>
      <w:r w:rsidRPr="009E52F1">
        <w:t xml:space="preserve">The National Leadership Forum on Behavioral Health/Criminal Justice Services in </w:t>
      </w:r>
      <w:r w:rsidRPr="009E52F1">
        <w:rPr>
          <w:i/>
          <w:iCs/>
        </w:rPr>
        <w:t>Ending an American Tragedy: Addressing the Needs of Justice-Involved People with Mental Illnesses and Co-Occurring Disorders</w:t>
      </w:r>
      <w:r w:rsidRPr="009E52F1">
        <w:t>, September 2009</w:t>
      </w:r>
    </w:p>
    <w:p w:rsidR="001459B9" w:rsidRDefault="001459B9" w:rsidP="00153D8A">
      <w:pPr>
        <w:contextualSpacing/>
      </w:pPr>
    </w:p>
    <w:p w:rsidR="001459B9" w:rsidRDefault="001459B9" w:rsidP="00153D8A">
      <w:pPr>
        <w:contextualSpacing/>
        <w:rPr>
          <w:b/>
          <w:u w:val="single"/>
        </w:rPr>
      </w:pPr>
    </w:p>
    <w:p w:rsidR="001459B9" w:rsidRDefault="001459B9" w:rsidP="00153D8A">
      <w:pPr>
        <w:contextualSpacing/>
        <w:rPr>
          <w:b/>
          <w:u w:val="single"/>
        </w:rPr>
      </w:pPr>
    </w:p>
    <w:p w:rsidR="001459B9" w:rsidRDefault="001459B9" w:rsidP="00153D8A">
      <w:pPr>
        <w:contextualSpacing/>
        <w:rPr>
          <w:b/>
        </w:rPr>
      </w:pPr>
      <w:r w:rsidRPr="002B5400">
        <w:rPr>
          <w:b/>
        </w:rPr>
        <w:t>Week 3:  Psychopathology and Classification</w:t>
      </w:r>
    </w:p>
    <w:p w:rsidR="001459B9" w:rsidRPr="002B5400" w:rsidRDefault="001459B9" w:rsidP="00153D8A">
      <w:pPr>
        <w:contextualSpacing/>
      </w:pPr>
    </w:p>
    <w:p w:rsidR="001459B9" w:rsidRDefault="001459B9" w:rsidP="00153D8A">
      <w:pPr>
        <w:contextualSpacing/>
      </w:pPr>
      <w:r>
        <w:t>In week three, we review the modern classifications systems for mental health disorders and the International Classification of Diseases.  We will discuss how advances in science have muddied the distinction between neurological and psychological dysfunction—a distinction the law still makes.  Finally, we will define major mental illnesses that are seen most often in the legal context.</w:t>
      </w:r>
    </w:p>
    <w:p w:rsidR="001459B9" w:rsidRDefault="001459B9" w:rsidP="0022170A">
      <w:pPr>
        <w:contextualSpacing/>
        <w:rPr>
          <w:u w:val="single"/>
        </w:rPr>
      </w:pPr>
    </w:p>
    <w:p w:rsidR="001459B9" w:rsidRPr="00587081" w:rsidRDefault="001459B9" w:rsidP="00587081">
      <w:pPr>
        <w:ind w:firstLine="360"/>
        <w:contextualSpacing/>
        <w:rPr>
          <w:b/>
          <w:i/>
        </w:rPr>
      </w:pPr>
      <w:r>
        <w:rPr>
          <w:b/>
          <w:i/>
        </w:rPr>
        <w:t>Reading</w:t>
      </w:r>
    </w:p>
    <w:p w:rsidR="001459B9" w:rsidRDefault="001459B9" w:rsidP="003F2FEB">
      <w:pPr>
        <w:contextualSpacing/>
        <w:rPr>
          <w:u w:val="single"/>
        </w:rPr>
      </w:pPr>
    </w:p>
    <w:p w:rsidR="001459B9" w:rsidRPr="001110A5" w:rsidRDefault="001459B9" w:rsidP="002B5400">
      <w:pPr>
        <w:contextualSpacing/>
      </w:pPr>
      <w:r w:rsidRPr="00587081">
        <w:rPr>
          <w:i/>
        </w:rPr>
        <w:t>Daubert v. Merrell Dow Pharmaceuticals, Inc.</w:t>
      </w:r>
      <w:r w:rsidRPr="00C7571E">
        <w:t>, 509 U.S. 5</w:t>
      </w:r>
      <w:r>
        <w:t>79 (1993)</w:t>
      </w:r>
    </w:p>
    <w:p w:rsidR="001459B9" w:rsidRDefault="001459B9" w:rsidP="0022170A">
      <w:pPr>
        <w:contextualSpacing/>
        <w:rPr>
          <w:b/>
          <w:sz w:val="28"/>
        </w:rPr>
      </w:pPr>
    </w:p>
    <w:p w:rsidR="001459B9" w:rsidRDefault="001459B9" w:rsidP="0022170A">
      <w:pPr>
        <w:contextualSpacing/>
        <w:rPr>
          <w:b/>
          <w:sz w:val="28"/>
        </w:rPr>
      </w:pPr>
    </w:p>
    <w:p w:rsidR="001459B9" w:rsidRPr="000E4947" w:rsidRDefault="001459B9" w:rsidP="0022170A">
      <w:pPr>
        <w:contextualSpacing/>
        <w:rPr>
          <w:b/>
          <w:sz w:val="28"/>
        </w:rPr>
      </w:pPr>
      <w:r w:rsidRPr="000E4947">
        <w:rPr>
          <w:b/>
          <w:sz w:val="28"/>
        </w:rPr>
        <w:t xml:space="preserve">Part II:  </w:t>
      </w:r>
      <w:r>
        <w:rPr>
          <w:b/>
          <w:sz w:val="28"/>
        </w:rPr>
        <w:t xml:space="preserve">Where </w:t>
      </w:r>
      <w:r w:rsidRPr="000E4947">
        <w:rPr>
          <w:b/>
          <w:sz w:val="28"/>
        </w:rPr>
        <w:t>Does Mental Illness Show Up in the Law Today?</w:t>
      </w:r>
    </w:p>
    <w:p w:rsidR="001459B9" w:rsidRDefault="001459B9" w:rsidP="0022170A">
      <w:pPr>
        <w:contextualSpacing/>
      </w:pPr>
    </w:p>
    <w:p w:rsidR="001459B9" w:rsidRPr="00B86DDC" w:rsidRDefault="001459B9" w:rsidP="0022170A">
      <w:pPr>
        <w:contextualSpacing/>
        <w:rPr>
          <w:b/>
          <w:u w:val="single"/>
        </w:rPr>
      </w:pPr>
      <w:r>
        <w:t>In the next segment of the course, we examine how mental health interfaces with civil and criminal law.  We will explore the concepts of competency, insanity, capacity, specific intent, mitigation, and disease versus defect.  We will look at which disorders have meaning in the legal context and which do not.  Finally, we will compare and contrast our approach to the intersection of mental health and law with that of other nations</w:t>
      </w:r>
    </w:p>
    <w:p w:rsidR="001459B9" w:rsidRDefault="001459B9" w:rsidP="0022170A">
      <w:pPr>
        <w:contextualSpacing/>
        <w:rPr>
          <w:b/>
          <w:u w:val="single"/>
        </w:rPr>
      </w:pPr>
      <w:r>
        <w:rPr>
          <w:b/>
          <w:u w:val="single"/>
        </w:rPr>
        <w:br/>
      </w:r>
    </w:p>
    <w:p w:rsidR="001459B9" w:rsidRPr="002B5400" w:rsidRDefault="001459B9" w:rsidP="0022170A">
      <w:pPr>
        <w:contextualSpacing/>
        <w:rPr>
          <w:b/>
        </w:rPr>
      </w:pPr>
      <w:r w:rsidRPr="002B5400">
        <w:rPr>
          <w:b/>
        </w:rPr>
        <w:t>Week 4:  Competence</w:t>
      </w:r>
      <w:r>
        <w:rPr>
          <w:b/>
        </w:rPr>
        <w:br/>
      </w:r>
    </w:p>
    <w:p w:rsidR="001459B9" w:rsidRPr="00CB5D07" w:rsidRDefault="001459B9" w:rsidP="00BA6D6D">
      <w:pPr>
        <w:contextualSpacing/>
      </w:pPr>
      <w:r w:rsidRPr="00CB5D07">
        <w:t>Whether involved in the legal system as a criminal defendant, a civil plaintiff, a client in a contract negotiation</w:t>
      </w:r>
      <w:r>
        <w:t>,</w:t>
      </w:r>
      <w:r w:rsidRPr="00CB5D07">
        <w:t xml:space="preserve"> or an elderly person planning a</w:t>
      </w:r>
      <w:r>
        <w:t xml:space="preserve">n estate, the law requires </w:t>
      </w:r>
      <w:r w:rsidRPr="00CB5D07">
        <w:t xml:space="preserve">a decision maker to be competent. </w:t>
      </w:r>
      <w:r>
        <w:t xml:space="preserve"> </w:t>
      </w:r>
      <w:r w:rsidRPr="00CB5D07">
        <w:t>This class will focus on what it means to be “competent” and how that applies in different legal settings.</w:t>
      </w:r>
    </w:p>
    <w:p w:rsidR="001459B9" w:rsidRPr="00113420" w:rsidRDefault="001459B9" w:rsidP="0022170A">
      <w:pPr>
        <w:contextualSpacing/>
        <w:rPr>
          <w:b/>
        </w:rPr>
      </w:pPr>
      <w:r>
        <w:rPr>
          <w:b/>
        </w:rPr>
        <w:t xml:space="preserve"> </w:t>
      </w:r>
    </w:p>
    <w:p w:rsidR="001459B9" w:rsidRPr="00587081" w:rsidRDefault="001459B9" w:rsidP="00587081">
      <w:pPr>
        <w:ind w:firstLine="360"/>
        <w:contextualSpacing/>
        <w:rPr>
          <w:b/>
          <w:i/>
        </w:rPr>
      </w:pPr>
      <w:r>
        <w:rPr>
          <w:b/>
          <w:i/>
        </w:rPr>
        <w:t>Reading</w:t>
      </w:r>
    </w:p>
    <w:p w:rsidR="001459B9" w:rsidRDefault="001459B9" w:rsidP="0021344A">
      <w:pPr>
        <w:contextualSpacing/>
      </w:pPr>
      <w:r>
        <w:rPr>
          <w:i/>
        </w:rPr>
        <w:br/>
      </w:r>
      <w:r w:rsidRPr="00587081">
        <w:rPr>
          <w:i/>
        </w:rPr>
        <w:t>Dusky v. United States, 362 U.S. 402</w:t>
      </w:r>
      <w:r>
        <w:t xml:space="preserve"> </w:t>
      </w:r>
      <w:r w:rsidRPr="00C7571E">
        <w:t xml:space="preserve">(1960) </w:t>
      </w:r>
    </w:p>
    <w:p w:rsidR="001459B9" w:rsidRPr="00C7571E" w:rsidRDefault="001459B9" w:rsidP="003F2FEB">
      <w:pPr>
        <w:contextualSpacing/>
      </w:pPr>
    </w:p>
    <w:p w:rsidR="001459B9" w:rsidRDefault="001459B9" w:rsidP="0021344A">
      <w:pPr>
        <w:spacing w:after="0"/>
        <w:rPr>
          <w:noProof/>
        </w:rPr>
      </w:pPr>
      <w:r w:rsidRPr="00092897">
        <w:rPr>
          <w:noProof/>
        </w:rPr>
        <w:t xml:space="preserve">Schwartz, H. Informed Consent and Competency. </w:t>
      </w:r>
      <w:r w:rsidRPr="00092897">
        <w:rPr>
          <w:i/>
          <w:noProof/>
        </w:rPr>
        <w:t>Legal Regulation of Psychiatric Practice</w:t>
      </w:r>
      <w:r w:rsidRPr="00092897">
        <w:rPr>
          <w:noProof/>
        </w:rPr>
        <w:t xml:space="preserve">. </w:t>
      </w:r>
    </w:p>
    <w:p w:rsidR="001459B9" w:rsidRDefault="001459B9" w:rsidP="00DF502D">
      <w:pPr>
        <w:contextualSpacing/>
      </w:pPr>
    </w:p>
    <w:p w:rsidR="001459B9" w:rsidRDefault="001459B9" w:rsidP="0021344A">
      <w:pPr>
        <w:contextualSpacing/>
      </w:pPr>
      <w:r>
        <w:t>Jared Loughner’s plea agreement</w:t>
      </w:r>
    </w:p>
    <w:p w:rsidR="001459B9" w:rsidRDefault="001459B9" w:rsidP="0022170A">
      <w:pPr>
        <w:contextualSpacing/>
        <w:rPr>
          <w:b/>
          <w:u w:val="single"/>
        </w:rPr>
      </w:pPr>
    </w:p>
    <w:p w:rsidR="001459B9" w:rsidRDefault="001459B9" w:rsidP="0022170A">
      <w:pPr>
        <w:contextualSpacing/>
        <w:rPr>
          <w:b/>
        </w:rPr>
      </w:pPr>
      <w:r>
        <w:rPr>
          <w:b/>
          <w:u w:val="single"/>
        </w:rPr>
        <w:br/>
      </w:r>
      <w:r w:rsidRPr="0021344A">
        <w:rPr>
          <w:b/>
        </w:rPr>
        <w:t>Week 5:  Capacity</w:t>
      </w:r>
    </w:p>
    <w:p w:rsidR="001459B9" w:rsidRPr="0021344A" w:rsidRDefault="001459B9" w:rsidP="0022170A">
      <w:pPr>
        <w:contextualSpacing/>
        <w:rPr>
          <w:b/>
        </w:rPr>
      </w:pPr>
    </w:p>
    <w:p w:rsidR="001459B9" w:rsidRPr="00CB5D07" w:rsidRDefault="001459B9" w:rsidP="0022170A">
      <w:pPr>
        <w:contextualSpacing/>
      </w:pPr>
      <w:r w:rsidRPr="00CB5D07">
        <w:t>Capacity is an ambiguous term in the law.  What is meant by capacity?  Is capacity actualized or is it an abstraction of the relationship between the law and ability? How has capacity been applied in understanding a person’s culpability?  How is mental health capacity measured?</w:t>
      </w:r>
    </w:p>
    <w:p w:rsidR="001459B9" w:rsidRPr="00C7571E" w:rsidRDefault="001459B9" w:rsidP="0022170A">
      <w:pPr>
        <w:contextualSpacing/>
        <w:rPr>
          <w:b/>
        </w:rPr>
      </w:pPr>
    </w:p>
    <w:p w:rsidR="001459B9" w:rsidRPr="00587081" w:rsidRDefault="001459B9" w:rsidP="00587081">
      <w:pPr>
        <w:ind w:firstLine="360"/>
        <w:contextualSpacing/>
        <w:rPr>
          <w:b/>
          <w:i/>
        </w:rPr>
      </w:pPr>
      <w:r>
        <w:rPr>
          <w:b/>
          <w:i/>
        </w:rPr>
        <w:t>Reading</w:t>
      </w:r>
    </w:p>
    <w:p w:rsidR="001459B9" w:rsidRDefault="001459B9" w:rsidP="0021344A">
      <w:pPr>
        <w:contextualSpacing/>
        <w:rPr>
          <w:i/>
          <w:lang w:val="de-DE"/>
        </w:rPr>
      </w:pPr>
    </w:p>
    <w:p w:rsidR="001459B9" w:rsidRPr="0011492B" w:rsidRDefault="001459B9" w:rsidP="0021344A">
      <w:pPr>
        <w:contextualSpacing/>
      </w:pPr>
      <w:r w:rsidRPr="00587081">
        <w:rPr>
          <w:i/>
          <w:lang w:val="de-DE"/>
        </w:rPr>
        <w:t>Montana v. Engelhoff</w:t>
      </w:r>
      <w:r>
        <w:rPr>
          <w:lang w:val="de-DE"/>
        </w:rPr>
        <w:t xml:space="preserve">, 518 U.S. 37 </w:t>
      </w:r>
      <w:r w:rsidRPr="00AA7E00">
        <w:rPr>
          <w:lang w:val="de-DE"/>
        </w:rPr>
        <w:t xml:space="preserve">(1996) </w:t>
      </w:r>
    </w:p>
    <w:p w:rsidR="001459B9" w:rsidRPr="00C7571E" w:rsidRDefault="001459B9" w:rsidP="0022170A">
      <w:pPr>
        <w:contextualSpacing/>
        <w:rPr>
          <w:b/>
        </w:rPr>
      </w:pPr>
    </w:p>
    <w:p w:rsidR="001459B9" w:rsidRPr="00092897" w:rsidRDefault="001459B9" w:rsidP="0021344A">
      <w:pPr>
        <w:rPr>
          <w:noProof/>
        </w:rPr>
      </w:pPr>
      <w:bookmarkStart w:id="1" w:name="_ENREF_4"/>
      <w:r w:rsidRPr="00092897">
        <w:rPr>
          <w:noProof/>
        </w:rPr>
        <w:t xml:space="preserve">Appelbaum, P. S., Bonnie, R. J., &amp; Karlawish, J. H. (2005). </w:t>
      </w:r>
      <w:r>
        <w:rPr>
          <w:noProof/>
        </w:rPr>
        <w:t>“</w:t>
      </w:r>
      <w:r w:rsidRPr="00092897">
        <w:rPr>
          <w:noProof/>
        </w:rPr>
        <w:t xml:space="preserve">The </w:t>
      </w:r>
      <w:r>
        <w:rPr>
          <w:noProof/>
        </w:rPr>
        <w:t>C</w:t>
      </w:r>
      <w:r w:rsidRPr="00092897">
        <w:rPr>
          <w:noProof/>
        </w:rPr>
        <w:t xml:space="preserve">apacity to </w:t>
      </w:r>
      <w:r>
        <w:rPr>
          <w:noProof/>
        </w:rPr>
        <w:t>V</w:t>
      </w:r>
      <w:r w:rsidRPr="00092897">
        <w:rPr>
          <w:noProof/>
        </w:rPr>
        <w:t xml:space="preserve">ote of </w:t>
      </w:r>
      <w:r>
        <w:rPr>
          <w:noProof/>
        </w:rPr>
        <w:t>P</w:t>
      </w:r>
      <w:r w:rsidRPr="00092897">
        <w:rPr>
          <w:noProof/>
        </w:rPr>
        <w:t xml:space="preserve">ersons with Alzheimer's </w:t>
      </w:r>
      <w:r>
        <w:rPr>
          <w:noProof/>
        </w:rPr>
        <w:t>D</w:t>
      </w:r>
      <w:r w:rsidRPr="00092897">
        <w:rPr>
          <w:noProof/>
        </w:rPr>
        <w:t>isease.</w:t>
      </w:r>
      <w:r>
        <w:rPr>
          <w:noProof/>
        </w:rPr>
        <w:t>”</w:t>
      </w:r>
      <w:r w:rsidRPr="00092897">
        <w:rPr>
          <w:noProof/>
        </w:rPr>
        <w:t xml:space="preserve"> [Comparative Study</w:t>
      </w:r>
      <w:r>
        <w:rPr>
          <w:noProof/>
        </w:rPr>
        <w:t xml:space="preserve"> </w:t>
      </w:r>
      <w:r w:rsidRPr="00092897">
        <w:rPr>
          <w:noProof/>
        </w:rPr>
        <w:t>Multicenter Study</w:t>
      </w:r>
      <w:r>
        <w:rPr>
          <w:noProof/>
        </w:rPr>
        <w:t xml:space="preserve"> </w:t>
      </w:r>
      <w:r w:rsidRPr="00092897">
        <w:rPr>
          <w:noProof/>
        </w:rPr>
        <w:t xml:space="preserve">Research Support, Non-U.S. Gov't]. </w:t>
      </w:r>
      <w:r w:rsidRPr="00092897">
        <w:rPr>
          <w:i/>
          <w:noProof/>
        </w:rPr>
        <w:t xml:space="preserve">The American </w:t>
      </w:r>
      <w:r>
        <w:rPr>
          <w:i/>
          <w:noProof/>
        </w:rPr>
        <w:t>J</w:t>
      </w:r>
      <w:r w:rsidRPr="00092897">
        <w:rPr>
          <w:i/>
          <w:noProof/>
        </w:rPr>
        <w:t xml:space="preserve">ournal of </w:t>
      </w:r>
      <w:r>
        <w:rPr>
          <w:i/>
          <w:noProof/>
        </w:rPr>
        <w:t>P</w:t>
      </w:r>
      <w:r w:rsidRPr="00092897">
        <w:rPr>
          <w:i/>
          <w:noProof/>
        </w:rPr>
        <w:t>sychiatry, 162</w:t>
      </w:r>
      <w:r w:rsidRPr="00092897">
        <w:rPr>
          <w:noProof/>
        </w:rPr>
        <w:t>(11), 2094-2100. doi: 10.1176/appi.ajp.162.11.2094</w:t>
      </w:r>
      <w:bookmarkEnd w:id="1"/>
    </w:p>
    <w:p w:rsidR="001459B9" w:rsidRDefault="001459B9" w:rsidP="0022170A">
      <w:pPr>
        <w:contextualSpacing/>
        <w:rPr>
          <w:b/>
          <w:u w:val="single"/>
        </w:rPr>
      </w:pPr>
    </w:p>
    <w:p w:rsidR="001459B9" w:rsidRPr="0021344A" w:rsidRDefault="001459B9" w:rsidP="0022170A">
      <w:pPr>
        <w:contextualSpacing/>
        <w:rPr>
          <w:b/>
        </w:rPr>
      </w:pPr>
      <w:r w:rsidRPr="0021344A">
        <w:rPr>
          <w:b/>
        </w:rPr>
        <w:t xml:space="preserve">Week 6:  Specific Intent </w:t>
      </w:r>
    </w:p>
    <w:p w:rsidR="001459B9" w:rsidRDefault="001459B9" w:rsidP="0022170A">
      <w:pPr>
        <w:contextualSpacing/>
      </w:pPr>
    </w:p>
    <w:p w:rsidR="001459B9" w:rsidRPr="00CB5D07" w:rsidRDefault="001459B9" w:rsidP="0022170A">
      <w:pPr>
        <w:contextualSpacing/>
      </w:pPr>
      <w:r w:rsidRPr="00CB5D07">
        <w:t>Along with competency and capacity, the law defines other states of mind that must be present as an element in a legal action.  Intentional behavior requires weighing</w:t>
      </w:r>
      <w:r>
        <w:t xml:space="preserve"> and deliberation, </w:t>
      </w:r>
      <w:r w:rsidRPr="00CB5D07">
        <w:t>distinguish</w:t>
      </w:r>
      <w:r>
        <w:t>ing</w:t>
      </w:r>
      <w:r w:rsidRPr="00CB5D07">
        <w:t xml:space="preserve"> </w:t>
      </w:r>
      <w:r>
        <w:t xml:space="preserve">it from purposeful action that </w:t>
      </w:r>
      <w:r w:rsidRPr="00CB5D07">
        <w:t xml:space="preserve">only requires goal-directed behavior.  The state of mind of the actor, or </w:t>
      </w:r>
      <w:r w:rsidRPr="0021344A">
        <w:rPr>
          <w:i/>
        </w:rPr>
        <w:t>mens rea</w:t>
      </w:r>
      <w:r w:rsidRPr="00CB5D07">
        <w:t xml:space="preserve">, is the central question in most criminal legal theory.  </w:t>
      </w:r>
      <w:r>
        <w:t xml:space="preserve"> In this class we examine how</w:t>
      </w:r>
      <w:r w:rsidRPr="00CB5D07">
        <w:t xml:space="preserve"> intent </w:t>
      </w:r>
      <w:r>
        <w:t xml:space="preserve">is </w:t>
      </w:r>
      <w:r w:rsidRPr="00CB5D07">
        <w:t xml:space="preserve">defined and the relationship between intent and mental disorder. </w:t>
      </w:r>
    </w:p>
    <w:p w:rsidR="001459B9" w:rsidRPr="00C7571E" w:rsidRDefault="001459B9" w:rsidP="0022170A">
      <w:pPr>
        <w:contextualSpacing/>
        <w:rPr>
          <w:b/>
        </w:rPr>
      </w:pPr>
    </w:p>
    <w:p w:rsidR="001459B9" w:rsidRDefault="001459B9" w:rsidP="00587081">
      <w:pPr>
        <w:ind w:firstLine="360"/>
        <w:contextualSpacing/>
        <w:rPr>
          <w:b/>
          <w:i/>
        </w:rPr>
      </w:pPr>
      <w:bookmarkStart w:id="2" w:name="_ENREF_21"/>
      <w:r>
        <w:rPr>
          <w:b/>
          <w:i/>
        </w:rPr>
        <w:t>Reading</w:t>
      </w:r>
    </w:p>
    <w:p w:rsidR="001459B9" w:rsidRPr="00587081" w:rsidRDefault="001459B9" w:rsidP="00587081">
      <w:pPr>
        <w:ind w:firstLine="360"/>
        <w:contextualSpacing/>
        <w:rPr>
          <w:b/>
          <w:i/>
        </w:rPr>
      </w:pPr>
    </w:p>
    <w:p w:rsidR="001459B9" w:rsidRPr="00092897" w:rsidRDefault="001459B9" w:rsidP="0021344A">
      <w:pPr>
        <w:spacing w:after="0"/>
        <w:rPr>
          <w:noProof/>
        </w:rPr>
      </w:pPr>
      <w:r>
        <w:rPr>
          <w:noProof/>
        </w:rPr>
        <w:t>“</w:t>
      </w:r>
      <w:r w:rsidRPr="00092897">
        <w:rPr>
          <w:noProof/>
        </w:rPr>
        <w:t xml:space="preserve">Modern </w:t>
      </w:r>
      <w:r>
        <w:rPr>
          <w:noProof/>
        </w:rPr>
        <w:t>N</w:t>
      </w:r>
      <w:r w:rsidRPr="00092897">
        <w:rPr>
          <w:noProof/>
        </w:rPr>
        <w:t xml:space="preserve">euroscience </w:t>
      </w:r>
      <w:r>
        <w:rPr>
          <w:noProof/>
        </w:rPr>
        <w:t>I</w:t>
      </w:r>
      <w:r w:rsidRPr="00092897">
        <w:rPr>
          <w:noProof/>
        </w:rPr>
        <w:t xml:space="preserve">s </w:t>
      </w:r>
      <w:r>
        <w:rPr>
          <w:noProof/>
        </w:rPr>
        <w:t>E</w:t>
      </w:r>
      <w:r w:rsidRPr="00092897">
        <w:rPr>
          <w:noProof/>
        </w:rPr>
        <w:t xml:space="preserve">roding the </w:t>
      </w:r>
      <w:r>
        <w:rPr>
          <w:noProof/>
        </w:rPr>
        <w:t>I</w:t>
      </w:r>
      <w:r w:rsidRPr="00092897">
        <w:rPr>
          <w:noProof/>
        </w:rPr>
        <w:t xml:space="preserve">dea of </w:t>
      </w:r>
      <w:r>
        <w:rPr>
          <w:noProof/>
        </w:rPr>
        <w:t>F</w:t>
      </w:r>
      <w:r w:rsidRPr="00092897">
        <w:rPr>
          <w:noProof/>
        </w:rPr>
        <w:t xml:space="preserve">ree </w:t>
      </w:r>
      <w:r>
        <w:rPr>
          <w:noProof/>
        </w:rPr>
        <w:t>Will.”</w:t>
      </w:r>
      <w:r w:rsidRPr="00092897">
        <w:rPr>
          <w:noProof/>
        </w:rPr>
        <w:t xml:space="preserve"> (2006). </w:t>
      </w:r>
      <w:r>
        <w:rPr>
          <w:noProof/>
        </w:rPr>
        <w:t xml:space="preserve"> </w:t>
      </w:r>
      <w:r>
        <w:rPr>
          <w:i/>
          <w:noProof/>
        </w:rPr>
        <w:t>T</w:t>
      </w:r>
      <w:r w:rsidRPr="00092897">
        <w:rPr>
          <w:i/>
          <w:noProof/>
        </w:rPr>
        <w:t>he Economist</w:t>
      </w:r>
      <w:r w:rsidRPr="00092897">
        <w:rPr>
          <w:noProof/>
        </w:rPr>
        <w:t xml:space="preserve">. </w:t>
      </w:r>
      <w:bookmarkEnd w:id="2"/>
    </w:p>
    <w:p w:rsidR="001459B9" w:rsidRDefault="001459B9" w:rsidP="00BB4260">
      <w:pPr>
        <w:spacing w:after="0"/>
      </w:pPr>
      <w:bookmarkStart w:id="3" w:name="_ENREF_1"/>
    </w:p>
    <w:p w:rsidR="001459B9" w:rsidRDefault="001459B9" w:rsidP="00BB4260">
      <w:pPr>
        <w:spacing w:after="0"/>
      </w:pPr>
    </w:p>
    <w:bookmarkEnd w:id="3"/>
    <w:p w:rsidR="001459B9" w:rsidRPr="0021344A" w:rsidRDefault="001459B9" w:rsidP="0022170A">
      <w:pPr>
        <w:contextualSpacing/>
      </w:pPr>
      <w:r w:rsidRPr="0021344A">
        <w:rPr>
          <w:b/>
        </w:rPr>
        <w:t>Week 7:  Insanity</w:t>
      </w:r>
    </w:p>
    <w:p w:rsidR="001459B9" w:rsidRDefault="001459B9" w:rsidP="0022170A">
      <w:pPr>
        <w:contextualSpacing/>
      </w:pPr>
    </w:p>
    <w:p w:rsidR="001459B9" w:rsidRPr="00CB5D07" w:rsidRDefault="001459B9" w:rsidP="0022170A">
      <w:pPr>
        <w:contextualSpacing/>
      </w:pPr>
      <w:r w:rsidRPr="00CB5D07">
        <w:t>The legal concept of insanity is often confused with the psychiatric concept of psychosis.  Insanity is a purely legal construct with little or no relationship to any form of mental illness or any particular symptoms.  In this class we explore the history of the definition of insanity.  What does it mean legally and how does that translate into specific mental symptoms?</w:t>
      </w:r>
    </w:p>
    <w:p w:rsidR="001459B9" w:rsidRDefault="001459B9" w:rsidP="0022170A">
      <w:pPr>
        <w:contextualSpacing/>
        <w:rPr>
          <w:u w:val="single"/>
        </w:rPr>
      </w:pPr>
    </w:p>
    <w:p w:rsidR="001459B9" w:rsidRPr="00587081" w:rsidRDefault="001459B9" w:rsidP="00587081">
      <w:pPr>
        <w:ind w:firstLine="360"/>
        <w:contextualSpacing/>
        <w:rPr>
          <w:b/>
          <w:i/>
        </w:rPr>
      </w:pPr>
      <w:r>
        <w:rPr>
          <w:b/>
          <w:i/>
        </w:rPr>
        <w:t>Reading</w:t>
      </w:r>
    </w:p>
    <w:p w:rsidR="001459B9" w:rsidRDefault="001459B9" w:rsidP="0021344A">
      <w:pPr>
        <w:contextualSpacing/>
        <w:rPr>
          <w:rFonts w:cs="Helvetica"/>
          <w:i/>
        </w:rPr>
      </w:pPr>
    </w:p>
    <w:p w:rsidR="001459B9" w:rsidRPr="00C7571E" w:rsidRDefault="001459B9" w:rsidP="0021344A">
      <w:pPr>
        <w:contextualSpacing/>
        <w:rPr>
          <w:b/>
          <w:u w:val="single"/>
        </w:rPr>
      </w:pPr>
      <w:r w:rsidRPr="00587081">
        <w:rPr>
          <w:rFonts w:cs="Helvetica"/>
          <w:i/>
        </w:rPr>
        <w:t>United States v. Hinckley</w:t>
      </w:r>
      <w:r w:rsidRPr="00C7571E">
        <w:rPr>
          <w:rFonts w:cs="Helvetica"/>
        </w:rPr>
        <w:t xml:space="preserve">, 672 F. 2d 115 </w:t>
      </w:r>
      <w:r>
        <w:rPr>
          <w:rFonts w:cs="Helvetica"/>
        </w:rPr>
        <w:t>(</w:t>
      </w:r>
      <w:r w:rsidRPr="00C7571E">
        <w:rPr>
          <w:rFonts w:cs="Helvetica"/>
        </w:rPr>
        <w:t>1982</w:t>
      </w:r>
      <w:r>
        <w:rPr>
          <w:rFonts w:cs="Helvetica"/>
        </w:rPr>
        <w:t>)</w:t>
      </w:r>
    </w:p>
    <w:p w:rsidR="001459B9" w:rsidRDefault="001459B9" w:rsidP="004C0F52">
      <w:pPr>
        <w:contextualSpacing/>
      </w:pPr>
    </w:p>
    <w:p w:rsidR="001459B9" w:rsidRPr="004C0F52" w:rsidRDefault="001459B9" w:rsidP="0021344A">
      <w:pPr>
        <w:contextualSpacing/>
        <w:rPr>
          <w:b/>
        </w:rPr>
      </w:pPr>
      <w:r w:rsidRPr="00C7571E">
        <w:fldChar w:fldCharType="begin"/>
      </w:r>
      <w:r w:rsidRPr="00C7571E">
        <w:instrText xml:space="preserve"> ADDIN EN.CITE &lt;EndNote&gt;&lt;Cite&gt;&lt;Author&gt;Miller&lt;/Author&gt;&lt;Year&gt;2003&lt;/Year&gt;&lt;RecNum&gt;3522&lt;/RecNum&gt;&lt;DisplayText&gt;(Miller, 2003)&lt;/DisplayText&gt;&lt;record&gt;&lt;rec-number&gt;3522&lt;/rec-number&gt;&lt;foreign-keys&gt;&lt;key app="EN" db-id="tr2rxa098av998ezpaexe2rkdw9ppwzwp5r2"&gt;3522&lt;/key&gt;&lt;/foreign-keys&gt;&lt;ref-type name="Book Section"&gt;5&lt;/ref-type&gt;&lt;contributors&gt;&lt;authors&gt;&lt;author&gt;Miller, Robert&lt;/author&gt;&lt;/authors&gt;&lt;secondary-authors&gt;&lt;author&gt;Rosner, Richard&lt;/author&gt;&lt;/secondary-authors&gt;&lt;/contributors&gt;&lt;titles&gt;&lt;title&gt;Criminal Responsibility&lt;/title&gt;&lt;secondary-title&gt;Principles and Practice of Forensic Psychiatry&lt;/secondary-title&gt;&lt;/titles&gt;&lt;volume&gt;2&lt;/volume&gt;&lt;dates&gt;&lt;year&gt;2003&lt;/year&gt;&lt;/dates&gt;&lt;urls&gt;&lt;/urls&gt;&lt;/record&gt;&lt;/Cite&gt;&lt;/EndNote&gt;</w:instrText>
      </w:r>
      <w:r w:rsidRPr="00C7571E">
        <w:fldChar w:fldCharType="separate"/>
      </w:r>
      <w:bookmarkStart w:id="4" w:name="_ENREF_20"/>
      <w:r w:rsidRPr="00092897">
        <w:rPr>
          <w:noProof/>
        </w:rPr>
        <w:t xml:space="preserve">Miller, R. (2003). Criminal Responsibility. In R. Rosner (Ed.), </w:t>
      </w:r>
      <w:r w:rsidRPr="00092897">
        <w:rPr>
          <w:i/>
          <w:noProof/>
        </w:rPr>
        <w:t>Principles and Practice of Forensic Psychiatry</w:t>
      </w:r>
      <w:r w:rsidRPr="00092897">
        <w:rPr>
          <w:noProof/>
        </w:rPr>
        <w:t xml:space="preserve"> (Vol. 2).</w:t>
      </w:r>
      <w:bookmarkEnd w:id="4"/>
    </w:p>
    <w:p w:rsidR="001459B9" w:rsidRDefault="001459B9" w:rsidP="004C0F52">
      <w:pPr>
        <w:contextualSpacing/>
        <w:rPr>
          <w:b/>
          <w:u w:val="single"/>
        </w:rPr>
      </w:pPr>
      <w:r w:rsidRPr="00C7571E">
        <w:fldChar w:fldCharType="end"/>
      </w:r>
    </w:p>
    <w:p w:rsidR="001459B9" w:rsidRDefault="001459B9" w:rsidP="004C0F52">
      <w:pPr>
        <w:contextualSpacing/>
      </w:pPr>
    </w:p>
    <w:p w:rsidR="001459B9" w:rsidRDefault="001459B9" w:rsidP="00A64B74">
      <w:pPr>
        <w:contextualSpacing/>
        <w:rPr>
          <w:b/>
          <w:sz w:val="28"/>
        </w:rPr>
      </w:pPr>
    </w:p>
    <w:p w:rsidR="001459B9" w:rsidRDefault="001459B9" w:rsidP="00A64B74">
      <w:pPr>
        <w:contextualSpacing/>
        <w:rPr>
          <w:b/>
          <w:sz w:val="28"/>
        </w:rPr>
      </w:pPr>
    </w:p>
    <w:p w:rsidR="001459B9" w:rsidRPr="00D3707B" w:rsidRDefault="001459B9" w:rsidP="00A64B74">
      <w:pPr>
        <w:contextualSpacing/>
        <w:rPr>
          <w:b/>
          <w:sz w:val="28"/>
        </w:rPr>
      </w:pPr>
      <w:r w:rsidRPr="00D3707B">
        <w:rPr>
          <w:b/>
          <w:sz w:val="28"/>
        </w:rPr>
        <w:t>Part III:  Context and the Science of the Brain</w:t>
      </w:r>
    </w:p>
    <w:p w:rsidR="001459B9" w:rsidRDefault="001459B9" w:rsidP="00A64B74">
      <w:pPr>
        <w:contextualSpacing/>
      </w:pPr>
    </w:p>
    <w:p w:rsidR="001459B9" w:rsidRPr="00CB5D07" w:rsidRDefault="001459B9" w:rsidP="00A64B74">
      <w:pPr>
        <w:contextualSpacing/>
      </w:pPr>
      <w:r w:rsidRPr="00CB5D07">
        <w:t xml:space="preserve">For a complete picture of the client, lawyers need to examine context and the life history of the person who comes into contact with the legal system.  Both the lawyer and the doctor examining a person are at a distinct disadvantage without a comprehensive social history and an inquiry into question of race, culture and gender.  </w:t>
      </w:r>
    </w:p>
    <w:p w:rsidR="001459B9" w:rsidRDefault="001459B9" w:rsidP="00A64B74">
      <w:pPr>
        <w:contextualSpacing/>
        <w:rPr>
          <w:b/>
          <w:u w:val="single"/>
        </w:rPr>
      </w:pPr>
    </w:p>
    <w:p w:rsidR="001459B9" w:rsidRPr="0021344A" w:rsidRDefault="001459B9" w:rsidP="0022170A">
      <w:pPr>
        <w:contextualSpacing/>
        <w:rPr>
          <w:b/>
        </w:rPr>
      </w:pPr>
      <w:r w:rsidRPr="0021344A">
        <w:rPr>
          <w:b/>
        </w:rPr>
        <w:t>Week 8:  Unraveling a Social History in Concentric Circles</w:t>
      </w:r>
    </w:p>
    <w:p w:rsidR="001459B9" w:rsidRDefault="001459B9" w:rsidP="0022170A">
      <w:pPr>
        <w:contextualSpacing/>
      </w:pPr>
    </w:p>
    <w:p w:rsidR="001459B9" w:rsidRPr="00B86DDC" w:rsidRDefault="001459B9" w:rsidP="0022170A">
      <w:pPr>
        <w:contextualSpacing/>
        <w:rPr>
          <w:b/>
        </w:rPr>
      </w:pPr>
      <w:r>
        <w:t xml:space="preserve">In week eight, we turn the conversation to individual clients within the criminal and civil systems.  An essential starting place when mental health is an issue in a case is a comprehensive, multigenerational social history of the client.  The inquiry into a client’s background, school history, and family history is not a luxury for the lawyer but a necessity.  In this class we explore the United States Supreme Court’s decisions that define the concept of mitigation and impose a duty on capital defense lawyers to uncover mitigating evidence through life history investigation. </w:t>
      </w:r>
    </w:p>
    <w:p w:rsidR="001459B9" w:rsidRPr="00203AEE" w:rsidRDefault="001459B9" w:rsidP="00DF502D">
      <w:pPr>
        <w:contextualSpacing/>
      </w:pPr>
    </w:p>
    <w:p w:rsidR="001459B9" w:rsidRPr="00587081" w:rsidRDefault="001459B9" w:rsidP="00587081">
      <w:pPr>
        <w:ind w:firstLine="360"/>
        <w:contextualSpacing/>
        <w:rPr>
          <w:b/>
          <w:i/>
        </w:rPr>
      </w:pPr>
      <w:r>
        <w:rPr>
          <w:b/>
          <w:i/>
        </w:rPr>
        <w:t>Reading</w:t>
      </w:r>
      <w:r>
        <w:rPr>
          <w:b/>
          <w:i/>
        </w:rPr>
        <w:br/>
      </w:r>
    </w:p>
    <w:p w:rsidR="001459B9" w:rsidRDefault="001459B9" w:rsidP="0021344A">
      <w:pPr>
        <w:contextualSpacing/>
      </w:pPr>
      <w:r w:rsidRPr="00587081">
        <w:rPr>
          <w:i/>
          <w:iCs/>
        </w:rPr>
        <w:t>Wiggins v. Smith</w:t>
      </w:r>
      <w:r w:rsidRPr="00C7571E">
        <w:rPr>
          <w:iCs/>
        </w:rPr>
        <w:t>,</w:t>
      </w:r>
      <w:r>
        <w:t xml:space="preserve"> 539 U.S. 510 </w:t>
      </w:r>
      <w:r w:rsidRPr="00C7571E">
        <w:t>(2003)</w:t>
      </w:r>
    </w:p>
    <w:p w:rsidR="001459B9" w:rsidRDefault="001459B9" w:rsidP="003F2FEB">
      <w:pPr>
        <w:contextualSpacing/>
        <w:rPr>
          <w:noProof/>
        </w:rPr>
      </w:pPr>
    </w:p>
    <w:p w:rsidR="001459B9" w:rsidRPr="003F2FEB" w:rsidRDefault="001459B9" w:rsidP="0021344A">
      <w:pPr>
        <w:contextualSpacing/>
      </w:pPr>
      <w:r>
        <w:rPr>
          <w:noProof/>
        </w:rPr>
        <w:t>Holdman, Scharlette and Seeds, Christopher, “</w:t>
      </w:r>
      <w:r w:rsidRPr="00A44376">
        <w:rPr>
          <w:noProof/>
        </w:rPr>
        <w:t>Cultural Competency in Capital Mitigation</w:t>
      </w:r>
      <w:r>
        <w:rPr>
          <w:noProof/>
        </w:rPr>
        <w:t xml:space="preserve">,” </w:t>
      </w:r>
      <w:r w:rsidRPr="00A44376">
        <w:rPr>
          <w:i/>
          <w:noProof/>
        </w:rPr>
        <w:t>Hofstra Law Review</w:t>
      </w:r>
      <w:r>
        <w:rPr>
          <w:noProof/>
        </w:rPr>
        <w:t>, Volume 36, No. 3, p. 883 (2008)</w:t>
      </w:r>
    </w:p>
    <w:p w:rsidR="001459B9" w:rsidRDefault="001459B9" w:rsidP="0022170A">
      <w:pPr>
        <w:contextualSpacing/>
        <w:rPr>
          <w:b/>
        </w:rPr>
      </w:pPr>
    </w:p>
    <w:p w:rsidR="001459B9" w:rsidRDefault="001459B9" w:rsidP="00504964">
      <w:pPr>
        <w:contextualSpacing/>
        <w:rPr>
          <w:b/>
          <w:u w:val="single"/>
        </w:rPr>
      </w:pPr>
    </w:p>
    <w:p w:rsidR="001459B9" w:rsidRPr="0021344A" w:rsidRDefault="001459B9" w:rsidP="00504964">
      <w:pPr>
        <w:contextualSpacing/>
      </w:pPr>
      <w:r w:rsidRPr="0021344A">
        <w:rPr>
          <w:b/>
        </w:rPr>
        <w:t>Week 9:  Race, Culture, Gender and Mental Illness</w:t>
      </w:r>
    </w:p>
    <w:p w:rsidR="001459B9" w:rsidRDefault="001459B9" w:rsidP="0021344A">
      <w:r>
        <w:br/>
      </w:r>
      <w:r w:rsidRPr="00267703">
        <w:t xml:space="preserve">Race, culture, and gender all play a </w:t>
      </w:r>
      <w:r>
        <w:t>significant role in the expr</w:t>
      </w:r>
      <w:r w:rsidRPr="00267703">
        <w:t xml:space="preserve">ession of mental health symptoms.  </w:t>
      </w:r>
      <w:r>
        <w:t xml:space="preserve">How a person understands his or </w:t>
      </w:r>
      <w:r w:rsidRPr="009A5D5D">
        <w:t>her identity affects how medical and mental illnesses are described, understood, and exper</w:t>
      </w:r>
      <w:r>
        <w:t xml:space="preserve">ienced by an individual and his or </w:t>
      </w:r>
      <w:r w:rsidRPr="009A5D5D">
        <w:t>her community</w:t>
      </w:r>
      <w:r>
        <w:t xml:space="preserve">.   In this class, we explore the importance of being aware of cultural norms in order </w:t>
      </w:r>
      <w:r w:rsidRPr="009A5D5D">
        <w:t>to accurately interpret data gathered through observation, records</w:t>
      </w:r>
      <w:r>
        <w:t>,</w:t>
      </w:r>
      <w:r w:rsidRPr="009A5D5D">
        <w:t xml:space="preserve"> and interviews</w:t>
      </w:r>
      <w:r>
        <w:t xml:space="preserve">.   </w:t>
      </w:r>
    </w:p>
    <w:p w:rsidR="001459B9" w:rsidRPr="0021344A" w:rsidRDefault="001459B9" w:rsidP="0021344A">
      <w:pPr>
        <w:ind w:firstLine="360"/>
      </w:pPr>
      <w:r>
        <w:rPr>
          <w:b/>
          <w:i/>
        </w:rPr>
        <w:t>Reading</w:t>
      </w:r>
    </w:p>
    <w:p w:rsidR="001459B9" w:rsidRPr="00C7571E" w:rsidRDefault="001459B9" w:rsidP="0021344A">
      <w:pPr>
        <w:contextualSpacing/>
      </w:pPr>
      <w:r w:rsidRPr="00587081">
        <w:rPr>
          <w:rFonts w:cs="Helvetica"/>
          <w:i/>
        </w:rPr>
        <w:t>Mak v. Blodgett</w:t>
      </w:r>
      <w:r w:rsidRPr="00C7571E">
        <w:rPr>
          <w:rFonts w:cs="Helvetica"/>
        </w:rPr>
        <w:t>, 970 F.2d 614 (9th Cir. 1992)</w:t>
      </w:r>
    </w:p>
    <w:p w:rsidR="001459B9" w:rsidRDefault="001459B9" w:rsidP="00DF502D">
      <w:pPr>
        <w:contextualSpacing/>
      </w:pPr>
    </w:p>
    <w:p w:rsidR="001459B9" w:rsidRDefault="001459B9" w:rsidP="0021344A">
      <w:pPr>
        <w:contextualSpacing/>
      </w:pPr>
      <w:r>
        <w:t>Dudley, Richard and Leonard, Pamela Blume, “</w:t>
      </w:r>
      <w:r w:rsidRPr="0021344A">
        <w:t>Getting It Right:  Life History Investigation as the Foundation for a Reliable Mental Health Assessment</w:t>
      </w:r>
      <w:r>
        <w:t xml:space="preserve">,” </w:t>
      </w:r>
      <w:r w:rsidRPr="0021344A">
        <w:rPr>
          <w:i/>
        </w:rPr>
        <w:t>Hofstra Law Review</w:t>
      </w:r>
      <w:r>
        <w:t>, Volume 36, No. 3, p. 963 (2008)</w:t>
      </w:r>
    </w:p>
    <w:p w:rsidR="001459B9" w:rsidRDefault="001459B9" w:rsidP="00DF502D">
      <w:pPr>
        <w:contextualSpacing/>
      </w:pPr>
    </w:p>
    <w:p w:rsidR="001459B9" w:rsidRDefault="001459B9" w:rsidP="00DF502D">
      <w:pPr>
        <w:contextualSpacing/>
      </w:pPr>
    </w:p>
    <w:p w:rsidR="001459B9" w:rsidRDefault="001459B9" w:rsidP="00DF502D">
      <w:pPr>
        <w:contextualSpacing/>
      </w:pPr>
    </w:p>
    <w:p w:rsidR="001459B9" w:rsidRDefault="001459B9" w:rsidP="00DF502D">
      <w:pPr>
        <w:contextualSpacing/>
      </w:pPr>
    </w:p>
    <w:p w:rsidR="001459B9" w:rsidRPr="0021344A" w:rsidRDefault="001459B9" w:rsidP="00AE387F">
      <w:pPr>
        <w:contextualSpacing/>
      </w:pPr>
      <w:r w:rsidRPr="0021344A">
        <w:rPr>
          <w:b/>
        </w:rPr>
        <w:t>Week 10:  Understanding the State of Brain Science and the Law</w:t>
      </w:r>
    </w:p>
    <w:p w:rsidR="001459B9" w:rsidRDefault="001459B9" w:rsidP="00A44376">
      <w:r>
        <w:br/>
        <w:t>What causes mental health symptoms?  As our understanding of the brain evolves, that question becomes both easier and more difficult to answer.  This class will focus on the brain.  What makes us human?  How do we learn?  What makes us feel?  How can we measure brain function?  Just as mental health experts must understand the law, lawyers need to understand science to adequately represent clients at the intersection of mental health and law.</w:t>
      </w:r>
    </w:p>
    <w:p w:rsidR="001459B9" w:rsidRPr="00A44376" w:rsidRDefault="001459B9" w:rsidP="00A44376">
      <w:pPr>
        <w:ind w:firstLine="360"/>
      </w:pPr>
      <w:r>
        <w:rPr>
          <w:b/>
          <w:i/>
        </w:rPr>
        <w:t>Reading</w:t>
      </w:r>
    </w:p>
    <w:p w:rsidR="001459B9" w:rsidRPr="00C7571E" w:rsidRDefault="001459B9" w:rsidP="0021344A">
      <w:pPr>
        <w:contextualSpacing/>
      </w:pPr>
      <w:r w:rsidRPr="00587081">
        <w:rPr>
          <w:i/>
        </w:rPr>
        <w:t>Graham v. Florida</w:t>
      </w:r>
      <w:r>
        <w:t>, 982 So.</w:t>
      </w:r>
      <w:r w:rsidRPr="00C7571E">
        <w:t>2d 43</w:t>
      </w:r>
      <w:r>
        <w:t xml:space="preserve"> (2010) </w:t>
      </w:r>
      <w:r w:rsidRPr="00A44376">
        <w:rPr>
          <w:color w:val="FF0000"/>
        </w:rPr>
        <w:t>(USSC CITE 560 U.S. ___ (2010))</w:t>
      </w:r>
    </w:p>
    <w:p w:rsidR="001459B9" w:rsidRDefault="001459B9" w:rsidP="0021344A">
      <w:pPr>
        <w:contextualSpacing/>
      </w:pPr>
    </w:p>
    <w:p w:rsidR="001459B9" w:rsidRPr="006C18F2" w:rsidRDefault="001459B9" w:rsidP="0021344A">
      <w:pPr>
        <w:contextualSpacing/>
      </w:pPr>
      <w:r w:rsidRPr="006C18F2">
        <w:t>Neurobehavioral Assessment</w:t>
      </w:r>
      <w:r>
        <w:t>s</w:t>
      </w:r>
    </w:p>
    <w:p w:rsidR="001459B9" w:rsidRDefault="001459B9" w:rsidP="009A73D6">
      <w:pPr>
        <w:contextualSpacing/>
        <w:rPr>
          <w:b/>
          <w:u w:val="single"/>
        </w:rPr>
      </w:pPr>
    </w:p>
    <w:p w:rsidR="001459B9" w:rsidRPr="003B3E3E" w:rsidRDefault="001459B9" w:rsidP="009A73D6">
      <w:pPr>
        <w:contextualSpacing/>
        <w:rPr>
          <w:b/>
          <w:u w:val="single"/>
        </w:rPr>
      </w:pPr>
    </w:p>
    <w:p w:rsidR="001459B9" w:rsidRPr="00D3707B" w:rsidRDefault="001459B9" w:rsidP="001110A5">
      <w:pPr>
        <w:contextualSpacing/>
        <w:rPr>
          <w:b/>
          <w:sz w:val="28"/>
        </w:rPr>
      </w:pPr>
      <w:r w:rsidRPr="00D3707B">
        <w:rPr>
          <w:b/>
          <w:sz w:val="28"/>
        </w:rPr>
        <w:t>Part IV:  Special Populations</w:t>
      </w:r>
    </w:p>
    <w:p w:rsidR="001459B9" w:rsidRDefault="001459B9" w:rsidP="001110A5">
      <w:pPr>
        <w:contextualSpacing/>
      </w:pPr>
    </w:p>
    <w:p w:rsidR="001459B9" w:rsidRPr="006C18F2" w:rsidRDefault="001459B9" w:rsidP="001110A5">
      <w:pPr>
        <w:contextualSpacing/>
      </w:pPr>
      <w:r w:rsidRPr="006C18F2">
        <w:t>Along with understanding the context in which clients come to the attention of the legal system, there are a number of special populations that present novel issues to the lawyer and to the mental health professional.  These last classes will look at clients along the age continuum and explore how mental health affects different generations in a different way.  Also we look at the effects of trauma, the Americans with Disabilities Act, and the concept of therapeutic jurisprudence.   Once peripheral to the main topic, these subjects are now integral to the discussion at the intersection of law and mental health.</w:t>
      </w:r>
      <w:r>
        <w:br/>
      </w:r>
    </w:p>
    <w:p w:rsidR="001459B9" w:rsidRDefault="001459B9" w:rsidP="001110A5">
      <w:pPr>
        <w:contextualSpacing/>
      </w:pPr>
    </w:p>
    <w:p w:rsidR="001459B9" w:rsidRPr="00A44376" w:rsidRDefault="001459B9" w:rsidP="001044CE">
      <w:pPr>
        <w:contextualSpacing/>
        <w:rPr>
          <w:b/>
        </w:rPr>
      </w:pPr>
      <w:r w:rsidRPr="0021344A">
        <w:rPr>
          <w:b/>
        </w:rPr>
        <w:t>Week 11:  Juvenile and Geriatric Mental Health</w:t>
      </w:r>
      <w:r>
        <w:rPr>
          <w:b/>
        </w:rPr>
        <w:br/>
      </w:r>
    </w:p>
    <w:p w:rsidR="001459B9" w:rsidRDefault="001459B9" w:rsidP="001044CE">
      <w:r>
        <w:t xml:space="preserve">In week eleven, we focus on two overlooked populations — juveniles and the elderly.   First, what are kids diagnosed with and when?  Are there “rush to judgment” diagnoses that lead to problems as kids get older?  Can substance abuse cause mental illness in children?  Are the symptoms of mental illness really just reactions to an undeveloped brain, trauma, poverty, and living in an urban war zone?  </w:t>
      </w:r>
    </w:p>
    <w:p w:rsidR="001459B9" w:rsidRPr="00CB7585" w:rsidRDefault="001459B9" w:rsidP="006C18F2">
      <w:r>
        <w:t xml:space="preserve">On the other end of the spectrum, understanding elder mental health is increasingly important as America ages.  </w:t>
      </w:r>
      <w:r w:rsidRPr="00DD662F">
        <w:t xml:space="preserve">How has the graying of our society </w:t>
      </w:r>
      <w:r>
        <w:t>af</w:t>
      </w:r>
      <w:r w:rsidRPr="00DD662F">
        <w:t>fected our legal system?</w:t>
      </w:r>
      <w:r>
        <w:t xml:space="preserve">  We see record numbers of elderly people in our legal system</w:t>
      </w:r>
      <w:r>
        <w:rPr>
          <w:b/>
        </w:rPr>
        <w:t xml:space="preserve"> </w:t>
      </w:r>
      <w:r>
        <w:t xml:space="preserve">due to increased drug and </w:t>
      </w:r>
      <w:r w:rsidRPr="00DD662F">
        <w:t>alcoho</w:t>
      </w:r>
      <w:r>
        <w:t xml:space="preserve">l use, issues of competency, elder </w:t>
      </w:r>
      <w:r w:rsidRPr="00DD662F">
        <w:t xml:space="preserve">abuse, and increased rates of property crime. </w:t>
      </w:r>
      <w:r>
        <w:t xml:space="preserve">  In this class, we examine both ends of the age continuum as it relates to mental health and the legal system.</w:t>
      </w:r>
    </w:p>
    <w:p w:rsidR="001459B9" w:rsidRDefault="001459B9" w:rsidP="00A44376">
      <w:pPr>
        <w:contextualSpacing/>
        <w:rPr>
          <w:b/>
          <w:i/>
        </w:rPr>
      </w:pPr>
      <w:r>
        <w:rPr>
          <w:b/>
          <w:i/>
        </w:rPr>
        <w:br/>
      </w:r>
      <w:r>
        <w:rPr>
          <w:b/>
          <w:i/>
        </w:rPr>
        <w:br/>
      </w:r>
    </w:p>
    <w:p w:rsidR="001459B9" w:rsidRPr="00587081" w:rsidRDefault="001459B9" w:rsidP="00A44376">
      <w:pPr>
        <w:contextualSpacing/>
        <w:rPr>
          <w:b/>
          <w:i/>
        </w:rPr>
      </w:pPr>
      <w:r>
        <w:rPr>
          <w:b/>
          <w:i/>
        </w:rPr>
        <w:t>Reading</w:t>
      </w:r>
    </w:p>
    <w:p w:rsidR="001459B9" w:rsidRDefault="001459B9" w:rsidP="00587081">
      <w:pPr>
        <w:ind w:firstLine="360"/>
        <w:contextualSpacing/>
        <w:rPr>
          <w:i/>
        </w:rPr>
      </w:pPr>
    </w:p>
    <w:p w:rsidR="001459B9" w:rsidRDefault="001459B9" w:rsidP="00717C84">
      <w:pPr>
        <w:contextualSpacing/>
      </w:pPr>
      <w:r w:rsidRPr="00587081">
        <w:rPr>
          <w:i/>
        </w:rPr>
        <w:t>Graham v. Florida</w:t>
      </w:r>
      <w:r>
        <w:t>, 982 So.</w:t>
      </w:r>
      <w:r w:rsidRPr="00C7571E">
        <w:t>2d 43</w:t>
      </w:r>
      <w:r>
        <w:t xml:space="preserve"> (2010) </w:t>
      </w:r>
      <w:r w:rsidRPr="00A44376">
        <w:rPr>
          <w:color w:val="FF0000"/>
        </w:rPr>
        <w:t>(USSC CITE 560 U.S. ___ (2010))</w:t>
      </w:r>
    </w:p>
    <w:p w:rsidR="001459B9" w:rsidRPr="00203AEE" w:rsidDel="00C442CB" w:rsidRDefault="001459B9" w:rsidP="003F2FEB">
      <w:pPr>
        <w:contextualSpacing/>
      </w:pPr>
    </w:p>
    <w:p w:rsidR="001459B9" w:rsidRPr="006C18F2" w:rsidRDefault="001459B9" w:rsidP="00717C84">
      <w:pPr>
        <w:spacing w:after="0"/>
        <w:rPr>
          <w:noProof/>
        </w:rPr>
      </w:pPr>
      <w:r w:rsidRPr="006C18F2">
        <w:rPr>
          <w:noProof/>
        </w:rPr>
        <w:t xml:space="preserve">Phillips, J. P. S. a. D. A. (2000). </w:t>
      </w:r>
      <w:r w:rsidRPr="00717C84">
        <w:rPr>
          <w:i/>
          <w:noProof/>
        </w:rPr>
        <w:t>From Neurons to Neighborhoods: The Science of Early Childhood Development</w:t>
      </w:r>
      <w:r w:rsidRPr="006C18F2">
        <w:rPr>
          <w:noProof/>
        </w:rPr>
        <w:t xml:space="preserve">. </w:t>
      </w:r>
    </w:p>
    <w:p w:rsidR="001459B9" w:rsidRDefault="001459B9" w:rsidP="001110A5">
      <w:pPr>
        <w:contextualSpacing/>
        <w:rPr>
          <w:u w:val="single"/>
        </w:rPr>
      </w:pPr>
      <w:r>
        <w:rPr>
          <w:u w:val="single"/>
        </w:rPr>
        <w:br/>
      </w:r>
    </w:p>
    <w:p w:rsidR="001459B9" w:rsidRPr="00717C84" w:rsidRDefault="001459B9" w:rsidP="003176BA">
      <w:pPr>
        <w:contextualSpacing/>
      </w:pPr>
      <w:r w:rsidRPr="00717C84">
        <w:rPr>
          <w:b/>
        </w:rPr>
        <w:t>Week 12:  The Effects of Trauma</w:t>
      </w:r>
    </w:p>
    <w:p w:rsidR="001459B9" w:rsidRDefault="001459B9" w:rsidP="003176BA">
      <w:r>
        <w:br/>
        <w:t xml:space="preserve">The effects of trauma on clients involved with the law in both criminal and civil matters are pervasive and also may not be easily recognizable.  We often associate symptoms of trauma with the after effects of war or natural disaster.  Indeed, veterans returning from the most recent wars </w:t>
      </w:r>
      <w:r w:rsidRPr="0027362A">
        <w:t xml:space="preserve">have provided us </w:t>
      </w:r>
      <w:r>
        <w:t>with a wealth of new scientific data</w:t>
      </w:r>
      <w:r w:rsidRPr="0027362A">
        <w:t xml:space="preserve"> about </w:t>
      </w:r>
      <w:r>
        <w:t xml:space="preserve">brain impairment and </w:t>
      </w:r>
      <w:r w:rsidRPr="0027362A">
        <w:t>the implications of living with co</w:t>
      </w:r>
      <w:r>
        <w:t>gnitive deficits</w:t>
      </w:r>
      <w:r w:rsidRPr="0027362A">
        <w:t>.</w:t>
      </w:r>
    </w:p>
    <w:p w:rsidR="001459B9" w:rsidRPr="00D233A3" w:rsidRDefault="001459B9" w:rsidP="003F2FEB">
      <w:r>
        <w:t>However, trauma is also caused by less obvious micro-assaults:  repeated exposure to urban events, incarceration in prisons and jails, problems at work, family dysfunction, chronic poverty, medical problems, and child maltreatment.  In week ten, we learn about how an individual’s response to trauma may impact his or her involvement with the legal system.</w:t>
      </w:r>
      <w:r w:rsidRPr="00203051">
        <w:t xml:space="preserve"> </w:t>
      </w:r>
      <w:r>
        <w:t xml:space="preserve"> </w:t>
      </w:r>
      <w:r>
        <w:br/>
      </w:r>
      <w:r>
        <w:br/>
      </w:r>
      <w:r>
        <w:rPr>
          <w:b/>
          <w:i/>
        </w:rPr>
        <w:t>Reading</w:t>
      </w:r>
      <w:r>
        <w:br/>
      </w:r>
      <w:r>
        <w:br/>
      </w:r>
      <w:r w:rsidRPr="00587081">
        <w:rPr>
          <w:i/>
          <w:iCs/>
        </w:rPr>
        <w:t>Wiggins v. Smith</w:t>
      </w:r>
      <w:r w:rsidRPr="00D233A3">
        <w:rPr>
          <w:iCs/>
        </w:rPr>
        <w:t>,</w:t>
      </w:r>
      <w:r>
        <w:t xml:space="preserve"> 539 U.S. 510 </w:t>
      </w:r>
      <w:r w:rsidRPr="00D233A3">
        <w:t>(2003)</w:t>
      </w:r>
    </w:p>
    <w:p w:rsidR="001459B9" w:rsidRDefault="001459B9" w:rsidP="00717C84">
      <w:pPr>
        <w:contextualSpacing/>
      </w:pPr>
      <w:r>
        <w:t>Wayland, Kathleen, “</w:t>
      </w:r>
      <w:r w:rsidRPr="00717C84">
        <w:t>The Importance of Recognizing Trauma Throughout Capital Mitigation Investigation and Presentations</w:t>
      </w:r>
      <w:r>
        <w:t xml:space="preserve">.” </w:t>
      </w:r>
      <w:r w:rsidRPr="00717C84">
        <w:rPr>
          <w:i/>
        </w:rPr>
        <w:t>Hofstra Law Review</w:t>
      </w:r>
      <w:r>
        <w:t>, Volume 36, No. 3, p. 923 (2008)</w:t>
      </w:r>
    </w:p>
    <w:p w:rsidR="001459B9" w:rsidRPr="00116CA0" w:rsidRDefault="001459B9" w:rsidP="00284D55">
      <w:pPr>
        <w:contextualSpacing/>
      </w:pPr>
      <w:r>
        <w:br/>
      </w:r>
    </w:p>
    <w:p w:rsidR="001459B9" w:rsidRPr="00717C84" w:rsidRDefault="001459B9" w:rsidP="00C442CB">
      <w:pPr>
        <w:contextualSpacing/>
        <w:rPr>
          <w:b/>
        </w:rPr>
      </w:pPr>
      <w:r w:rsidRPr="00717C84">
        <w:rPr>
          <w:b/>
        </w:rPr>
        <w:t>Week 13: Disability Rights</w:t>
      </w:r>
    </w:p>
    <w:p w:rsidR="001459B9" w:rsidRDefault="001459B9" w:rsidP="00C442CB">
      <w:pPr>
        <w:contextualSpacing/>
      </w:pPr>
    </w:p>
    <w:p w:rsidR="001459B9" w:rsidRPr="006C18F2" w:rsidRDefault="001459B9" w:rsidP="00C442CB">
      <w:pPr>
        <w:contextualSpacing/>
      </w:pPr>
      <w:r w:rsidRPr="006C18F2">
        <w:t>The Americans with Disabilities Act (1991) is an extension of civil rights to those with physical and mental challenges.  The Act establishes the right of access for those with physical and mental disabilities to all aspects of the American Dream.  This expansion of rights has changed transportation, construction, sports, educati</w:t>
      </w:r>
      <w:r>
        <w:t>on and medicine.  How was this a</w:t>
      </w:r>
      <w:r w:rsidRPr="006C18F2">
        <w:t xml:space="preserve">ct developed?  How have subsequent laws followed the ADA?  How are those laws applied? </w:t>
      </w:r>
    </w:p>
    <w:p w:rsidR="001459B9" w:rsidRPr="003F2FEB" w:rsidRDefault="001459B9" w:rsidP="00284D55">
      <w:pPr>
        <w:contextualSpacing/>
      </w:pPr>
    </w:p>
    <w:p w:rsidR="001459B9" w:rsidRDefault="001459B9" w:rsidP="00587081">
      <w:pPr>
        <w:ind w:firstLine="360"/>
        <w:contextualSpacing/>
        <w:rPr>
          <w:b/>
          <w:i/>
        </w:rPr>
      </w:pPr>
      <w:bookmarkStart w:id="5" w:name="_ENREF_15"/>
      <w:r>
        <w:rPr>
          <w:b/>
          <w:i/>
        </w:rPr>
        <w:t>Reading</w:t>
      </w:r>
    </w:p>
    <w:p w:rsidR="001459B9" w:rsidRPr="00587081" w:rsidRDefault="001459B9" w:rsidP="00587081">
      <w:pPr>
        <w:ind w:firstLine="360"/>
        <w:contextualSpacing/>
        <w:rPr>
          <w:b/>
          <w:i/>
        </w:rPr>
      </w:pPr>
    </w:p>
    <w:p w:rsidR="001459B9" w:rsidRPr="006C18F2" w:rsidRDefault="001459B9" w:rsidP="00717C84">
      <w:pPr>
        <w:contextualSpacing/>
      </w:pPr>
      <w:r w:rsidRPr="006C18F2">
        <w:t>A</w:t>
      </w:r>
      <w:r>
        <w:t xml:space="preserve">mericans with </w:t>
      </w:r>
      <w:r w:rsidRPr="006C18F2">
        <w:t>D</w:t>
      </w:r>
      <w:r>
        <w:t xml:space="preserve">isabilities </w:t>
      </w:r>
      <w:r w:rsidRPr="006C18F2">
        <w:t>A</w:t>
      </w:r>
      <w:r>
        <w:t>ct</w:t>
      </w:r>
    </w:p>
    <w:p w:rsidR="001459B9" w:rsidRDefault="001459B9" w:rsidP="003F2FEB">
      <w:pPr>
        <w:contextualSpacing/>
        <w:rPr>
          <w:iCs/>
          <w:u w:val="single"/>
        </w:rPr>
      </w:pPr>
    </w:p>
    <w:p w:rsidR="001459B9" w:rsidRDefault="001459B9" w:rsidP="00717C84">
      <w:pPr>
        <w:contextualSpacing/>
      </w:pPr>
      <w:r w:rsidRPr="00587081">
        <w:rPr>
          <w:i/>
          <w:iCs/>
        </w:rPr>
        <w:t>Atkins v. Virginia</w:t>
      </w:r>
      <w:r w:rsidRPr="009E52F1">
        <w:t>, 536 U.S. 304 (2002)</w:t>
      </w:r>
    </w:p>
    <w:p w:rsidR="001459B9" w:rsidRDefault="001459B9" w:rsidP="00F20E71">
      <w:pPr>
        <w:spacing w:after="0"/>
        <w:rPr>
          <w:noProof/>
        </w:rPr>
      </w:pPr>
    </w:p>
    <w:p w:rsidR="001459B9" w:rsidRDefault="001459B9" w:rsidP="00717C84">
      <w:pPr>
        <w:spacing w:after="0"/>
        <w:rPr>
          <w:noProof/>
        </w:rPr>
      </w:pPr>
      <w:r w:rsidRPr="00092897">
        <w:rPr>
          <w:noProof/>
        </w:rPr>
        <w:t xml:space="preserve">Greenspan, S., Switzky, H. N., &amp; Woods, G. W. (2011). </w:t>
      </w:r>
      <w:r>
        <w:rPr>
          <w:noProof/>
        </w:rPr>
        <w:t>“</w:t>
      </w:r>
      <w:r w:rsidRPr="00092897">
        <w:rPr>
          <w:noProof/>
        </w:rPr>
        <w:t xml:space="preserve">Intelligence </w:t>
      </w:r>
      <w:r>
        <w:rPr>
          <w:noProof/>
        </w:rPr>
        <w:t>I</w:t>
      </w:r>
      <w:r w:rsidRPr="00092897">
        <w:rPr>
          <w:noProof/>
        </w:rPr>
        <w:t xml:space="preserve">nvolves </w:t>
      </w:r>
      <w:r>
        <w:rPr>
          <w:noProof/>
        </w:rPr>
        <w:t>R</w:t>
      </w:r>
      <w:r w:rsidRPr="00092897">
        <w:rPr>
          <w:noProof/>
        </w:rPr>
        <w:t>isk-</w:t>
      </w:r>
      <w:r>
        <w:rPr>
          <w:noProof/>
        </w:rPr>
        <w:t>A</w:t>
      </w:r>
      <w:r w:rsidRPr="00092897">
        <w:rPr>
          <w:noProof/>
        </w:rPr>
        <w:t xml:space="preserve">wareness and </w:t>
      </w:r>
      <w:r>
        <w:rPr>
          <w:noProof/>
        </w:rPr>
        <w:t>I</w:t>
      </w:r>
      <w:r w:rsidRPr="00092897">
        <w:rPr>
          <w:noProof/>
        </w:rPr>
        <w:t xml:space="preserve">ntellectual </w:t>
      </w:r>
      <w:r>
        <w:rPr>
          <w:noProof/>
        </w:rPr>
        <w:t>D</w:t>
      </w:r>
      <w:r w:rsidRPr="00092897">
        <w:rPr>
          <w:noProof/>
        </w:rPr>
        <w:t xml:space="preserve">isability </w:t>
      </w:r>
      <w:r>
        <w:rPr>
          <w:noProof/>
        </w:rPr>
        <w:t>I</w:t>
      </w:r>
      <w:r w:rsidRPr="00092897">
        <w:rPr>
          <w:noProof/>
        </w:rPr>
        <w:t xml:space="preserve">nvolves </w:t>
      </w:r>
      <w:r>
        <w:rPr>
          <w:noProof/>
        </w:rPr>
        <w:t>R</w:t>
      </w:r>
      <w:r w:rsidRPr="00092897">
        <w:rPr>
          <w:noProof/>
        </w:rPr>
        <w:t>isk-</w:t>
      </w:r>
      <w:r>
        <w:rPr>
          <w:noProof/>
        </w:rPr>
        <w:t>U</w:t>
      </w:r>
      <w:r w:rsidRPr="00092897">
        <w:rPr>
          <w:noProof/>
        </w:rPr>
        <w:t xml:space="preserve">nawareness: Implications of a </w:t>
      </w:r>
      <w:r>
        <w:rPr>
          <w:noProof/>
        </w:rPr>
        <w:t>T</w:t>
      </w:r>
      <w:r w:rsidRPr="00092897">
        <w:rPr>
          <w:noProof/>
        </w:rPr>
        <w:t xml:space="preserve">heory of </w:t>
      </w:r>
      <w:r>
        <w:rPr>
          <w:noProof/>
        </w:rPr>
        <w:t>C</w:t>
      </w:r>
      <w:r w:rsidRPr="00092897">
        <w:rPr>
          <w:noProof/>
        </w:rPr>
        <w:t xml:space="preserve">ommon </w:t>
      </w:r>
      <w:r>
        <w:rPr>
          <w:noProof/>
        </w:rPr>
        <w:t>S</w:t>
      </w:r>
      <w:r w:rsidRPr="00092897">
        <w:rPr>
          <w:noProof/>
        </w:rPr>
        <w:t>ense.</w:t>
      </w:r>
      <w:r>
        <w:rPr>
          <w:noProof/>
        </w:rPr>
        <w:t>”</w:t>
      </w:r>
      <w:r w:rsidRPr="00092897">
        <w:rPr>
          <w:noProof/>
        </w:rPr>
        <w:t xml:space="preserve"> </w:t>
      </w:r>
      <w:r>
        <w:rPr>
          <w:noProof/>
        </w:rPr>
        <w:t xml:space="preserve"> </w:t>
      </w:r>
      <w:r w:rsidRPr="00092897">
        <w:rPr>
          <w:i/>
          <w:noProof/>
        </w:rPr>
        <w:t>J</w:t>
      </w:r>
      <w:r>
        <w:rPr>
          <w:i/>
          <w:noProof/>
        </w:rPr>
        <w:t xml:space="preserve">ournal of </w:t>
      </w:r>
      <w:r w:rsidRPr="00092897">
        <w:rPr>
          <w:i/>
          <w:noProof/>
        </w:rPr>
        <w:t>Intellect</w:t>
      </w:r>
      <w:r>
        <w:rPr>
          <w:i/>
          <w:noProof/>
        </w:rPr>
        <w:t>ual and</w:t>
      </w:r>
      <w:r w:rsidRPr="00092897">
        <w:rPr>
          <w:i/>
          <w:noProof/>
        </w:rPr>
        <w:t xml:space="preserve"> Dev</w:t>
      </w:r>
      <w:r>
        <w:rPr>
          <w:i/>
          <w:noProof/>
        </w:rPr>
        <w:t>elopmental</w:t>
      </w:r>
      <w:r w:rsidRPr="00092897">
        <w:rPr>
          <w:i/>
          <w:noProof/>
        </w:rPr>
        <w:t xml:space="preserve"> Disabil</w:t>
      </w:r>
      <w:r>
        <w:rPr>
          <w:i/>
          <w:noProof/>
        </w:rPr>
        <w:t>ity</w:t>
      </w:r>
      <w:r w:rsidRPr="00092897">
        <w:rPr>
          <w:i/>
          <w:noProof/>
        </w:rPr>
        <w:t>, 36</w:t>
      </w:r>
      <w:r w:rsidRPr="00092897">
        <w:rPr>
          <w:noProof/>
        </w:rPr>
        <w:t>(4), 242-253. doi: 10.3109/13668250.2011.626759</w:t>
      </w:r>
      <w:bookmarkEnd w:id="5"/>
    </w:p>
    <w:p w:rsidR="001459B9" w:rsidRDefault="001459B9" w:rsidP="00284D55">
      <w:pPr>
        <w:contextualSpacing/>
        <w:rPr>
          <w:u w:val="single"/>
        </w:rPr>
      </w:pPr>
    </w:p>
    <w:p w:rsidR="001459B9" w:rsidRDefault="001459B9" w:rsidP="00D70200">
      <w:pPr>
        <w:contextualSpacing/>
        <w:rPr>
          <w:b/>
          <w:u w:val="single"/>
        </w:rPr>
      </w:pPr>
    </w:p>
    <w:p w:rsidR="001459B9" w:rsidRDefault="001459B9" w:rsidP="00D70200">
      <w:pPr>
        <w:contextualSpacing/>
        <w:rPr>
          <w:b/>
        </w:rPr>
      </w:pPr>
      <w:r w:rsidRPr="00717C84">
        <w:rPr>
          <w:b/>
        </w:rPr>
        <w:t>Week 14:  Collaborative Courts and the Evolving Criminal Justice System</w:t>
      </w:r>
    </w:p>
    <w:p w:rsidR="001459B9" w:rsidRDefault="001459B9" w:rsidP="00D70200">
      <w:pPr>
        <w:contextualSpacing/>
      </w:pPr>
    </w:p>
    <w:p w:rsidR="001459B9" w:rsidRDefault="001459B9" w:rsidP="00D70200">
      <w:r>
        <w:t>In California and elsewhere, criminal justice policy has been driven by politics—specifically the politics of fear.  The failure of that policy has resulted in a trend toward therapeutic jurisprudence, an approach that aims to treat the root causes of behavior in a collaborative treatment court rather than through the adversarial system.  This movement started with Drug Courts in the 1990s and has grown to include Mental Health Courts, Veterans Treatment Courts, Homeless Courts and Elder Courts.</w:t>
      </w:r>
    </w:p>
    <w:p w:rsidR="001459B9" w:rsidRDefault="001459B9" w:rsidP="0022170A">
      <w:r>
        <w:t>This class will explore the growth of this movement, the success of therapeutic models and some of the ethical dilemmas that lawyers practicing in these courts face.</w:t>
      </w:r>
    </w:p>
    <w:p w:rsidR="001459B9" w:rsidRDefault="001459B9" w:rsidP="00587081">
      <w:pPr>
        <w:ind w:firstLine="360"/>
        <w:contextualSpacing/>
        <w:rPr>
          <w:b/>
          <w:i/>
        </w:rPr>
      </w:pPr>
      <w:r>
        <w:rPr>
          <w:b/>
          <w:i/>
        </w:rPr>
        <w:t>Reading</w:t>
      </w:r>
    </w:p>
    <w:p w:rsidR="001459B9" w:rsidRPr="00587081" w:rsidRDefault="001459B9" w:rsidP="00587081">
      <w:pPr>
        <w:ind w:firstLine="360"/>
        <w:contextualSpacing/>
        <w:rPr>
          <w:b/>
          <w:i/>
        </w:rPr>
      </w:pPr>
    </w:p>
    <w:p w:rsidR="001459B9" w:rsidRPr="009E52F1" w:rsidRDefault="001459B9" w:rsidP="00717C84">
      <w:pPr>
        <w:contextualSpacing/>
      </w:pPr>
      <w:r w:rsidRPr="00587081">
        <w:rPr>
          <w:i/>
        </w:rPr>
        <w:t>Brown v. Plata,</w:t>
      </w:r>
      <w:r>
        <w:t xml:space="preserve"> 563 US___ (</w:t>
      </w:r>
      <w:r w:rsidRPr="009E52F1">
        <w:t xml:space="preserve">2011) </w:t>
      </w:r>
    </w:p>
    <w:p w:rsidR="001459B9" w:rsidRDefault="001459B9">
      <w:pPr>
        <w:contextualSpacing/>
      </w:pPr>
    </w:p>
    <w:p w:rsidR="001459B9" w:rsidRDefault="001459B9">
      <w:pPr>
        <w:contextualSpacing/>
      </w:pPr>
    </w:p>
    <w:p w:rsidR="001459B9" w:rsidRDefault="001459B9" w:rsidP="002653B5">
      <w:pPr>
        <w:jc w:val="center"/>
        <w:rPr>
          <w:b/>
          <w:u w:val="single"/>
        </w:rPr>
      </w:pPr>
      <w:r>
        <w:rPr>
          <w:b/>
          <w:u w:val="single"/>
        </w:rPr>
        <w:br w:type="page"/>
        <w:t>ADDENDUM</w:t>
      </w:r>
    </w:p>
    <w:p w:rsidR="001459B9" w:rsidRPr="003F2FEB" w:rsidRDefault="001459B9" w:rsidP="003F2FEB">
      <w:pPr>
        <w:contextualSpacing/>
        <w:rPr>
          <w:b/>
        </w:rPr>
      </w:pPr>
    </w:p>
    <w:p w:rsidR="001459B9" w:rsidRPr="00717C84" w:rsidRDefault="001459B9" w:rsidP="003F2FEB">
      <w:pPr>
        <w:contextualSpacing/>
        <w:rPr>
          <w:b/>
        </w:rPr>
      </w:pPr>
      <w:r w:rsidRPr="00717C84">
        <w:rPr>
          <w:b/>
        </w:rPr>
        <w:t xml:space="preserve">Week 2:  History and Policy </w:t>
      </w:r>
    </w:p>
    <w:p w:rsidR="001459B9" w:rsidRPr="00717C84" w:rsidRDefault="001459B9" w:rsidP="00BB2E91">
      <w:pPr>
        <w:rPr>
          <w:noProof/>
        </w:rPr>
      </w:pPr>
      <w:bookmarkStart w:id="6" w:name="_ENREF_3"/>
      <w:r>
        <w:rPr>
          <w:noProof/>
        </w:rPr>
        <w:br/>
      </w:r>
      <w:r w:rsidRPr="00092897">
        <w:rPr>
          <w:noProof/>
        </w:rPr>
        <w:t xml:space="preserve">Appelbaum, P. S. (2006). </w:t>
      </w:r>
      <w:r>
        <w:rPr>
          <w:noProof/>
        </w:rPr>
        <w:t>“</w:t>
      </w:r>
      <w:r w:rsidRPr="00092897">
        <w:rPr>
          <w:noProof/>
        </w:rPr>
        <w:t xml:space="preserve">Violence and </w:t>
      </w:r>
      <w:r>
        <w:rPr>
          <w:noProof/>
        </w:rPr>
        <w:t>M</w:t>
      </w:r>
      <w:r w:rsidRPr="00092897">
        <w:rPr>
          <w:noProof/>
        </w:rPr>
        <w:t xml:space="preserve">ental </w:t>
      </w:r>
      <w:r>
        <w:rPr>
          <w:noProof/>
        </w:rPr>
        <w:t>D</w:t>
      </w:r>
      <w:r w:rsidRPr="00092897">
        <w:rPr>
          <w:noProof/>
        </w:rPr>
        <w:t xml:space="preserve">isorders: </w:t>
      </w:r>
      <w:r>
        <w:rPr>
          <w:noProof/>
        </w:rPr>
        <w:t>D</w:t>
      </w:r>
      <w:r w:rsidRPr="00092897">
        <w:rPr>
          <w:noProof/>
        </w:rPr>
        <w:t xml:space="preserve">ata and </w:t>
      </w:r>
      <w:r>
        <w:rPr>
          <w:noProof/>
        </w:rPr>
        <w:t>P</w:t>
      </w:r>
      <w:r w:rsidRPr="00092897">
        <w:rPr>
          <w:noProof/>
        </w:rPr>
        <w:t xml:space="preserve">ublic </w:t>
      </w:r>
      <w:r>
        <w:rPr>
          <w:noProof/>
        </w:rPr>
        <w:t>P</w:t>
      </w:r>
      <w:r w:rsidRPr="00092897">
        <w:rPr>
          <w:noProof/>
        </w:rPr>
        <w:t>olicy.</w:t>
      </w:r>
      <w:r>
        <w:rPr>
          <w:noProof/>
        </w:rPr>
        <w:t>”</w:t>
      </w:r>
      <w:r w:rsidRPr="00092897">
        <w:rPr>
          <w:noProof/>
        </w:rPr>
        <w:t xml:space="preserve"> [Comment</w:t>
      </w:r>
      <w:r>
        <w:rPr>
          <w:noProof/>
        </w:rPr>
        <w:t xml:space="preserve"> </w:t>
      </w:r>
      <w:r w:rsidRPr="00092897">
        <w:rPr>
          <w:noProof/>
        </w:rPr>
        <w:t xml:space="preserve">Editorial]. </w:t>
      </w:r>
      <w:r w:rsidRPr="00092897">
        <w:rPr>
          <w:i/>
          <w:noProof/>
        </w:rPr>
        <w:t xml:space="preserve">The American </w:t>
      </w:r>
      <w:r>
        <w:rPr>
          <w:i/>
          <w:noProof/>
        </w:rPr>
        <w:t>J</w:t>
      </w:r>
      <w:r w:rsidRPr="00092897">
        <w:rPr>
          <w:i/>
          <w:noProof/>
        </w:rPr>
        <w:t xml:space="preserve">ournal of </w:t>
      </w:r>
      <w:r>
        <w:rPr>
          <w:i/>
          <w:noProof/>
        </w:rPr>
        <w:t>P</w:t>
      </w:r>
      <w:r w:rsidRPr="00092897">
        <w:rPr>
          <w:i/>
          <w:noProof/>
        </w:rPr>
        <w:t>sychiatry, 163</w:t>
      </w:r>
      <w:r w:rsidRPr="00092897">
        <w:rPr>
          <w:noProof/>
        </w:rPr>
        <w:t>(8), 1319-1321. doi: 10.1176/appi.ajp.163.8.1319</w:t>
      </w:r>
      <w:bookmarkEnd w:id="6"/>
      <w:r>
        <w:rPr>
          <w:noProof/>
        </w:rPr>
        <w:br/>
      </w:r>
      <w:r>
        <w:rPr>
          <w:noProof/>
        </w:rPr>
        <w:br/>
      </w:r>
      <w:r>
        <w:rPr>
          <w:b/>
          <w:u w:val="single"/>
        </w:rPr>
        <w:br/>
      </w:r>
      <w:r w:rsidRPr="00717C84">
        <w:rPr>
          <w:b/>
        </w:rPr>
        <w:t xml:space="preserve">Week 4:  Competence </w:t>
      </w:r>
      <w:r>
        <w:rPr>
          <w:noProof/>
        </w:rPr>
        <w:br/>
      </w:r>
      <w:r>
        <w:rPr>
          <w:rFonts w:cs="Arial"/>
          <w:bCs/>
          <w:szCs w:val="26"/>
          <w:u w:val="single"/>
        </w:rPr>
        <w:br/>
      </w:r>
      <w:r w:rsidRPr="00587081">
        <w:rPr>
          <w:rFonts w:cs="Arial"/>
          <w:bCs/>
          <w:i/>
          <w:szCs w:val="26"/>
        </w:rPr>
        <w:t>Rohan ex rel</w:t>
      </w:r>
      <w:r w:rsidRPr="00587081">
        <w:rPr>
          <w:rFonts w:cs="Arial"/>
          <w:i/>
          <w:color w:val="222222"/>
          <w:szCs w:val="26"/>
        </w:rPr>
        <w:t xml:space="preserve">. </w:t>
      </w:r>
      <w:r w:rsidRPr="00587081">
        <w:rPr>
          <w:rFonts w:cs="Arial"/>
          <w:bCs/>
          <w:i/>
          <w:szCs w:val="26"/>
        </w:rPr>
        <w:t>Gates v</w:t>
      </w:r>
      <w:r w:rsidRPr="00587081">
        <w:rPr>
          <w:rFonts w:cs="Arial"/>
          <w:i/>
          <w:color w:val="222222"/>
          <w:szCs w:val="26"/>
        </w:rPr>
        <w:t xml:space="preserve">. </w:t>
      </w:r>
      <w:r w:rsidRPr="00587081">
        <w:rPr>
          <w:rFonts w:cs="Arial"/>
          <w:bCs/>
          <w:i/>
          <w:szCs w:val="26"/>
        </w:rPr>
        <w:t>Woodford</w:t>
      </w:r>
      <w:r>
        <w:rPr>
          <w:rFonts w:cs="Arial"/>
          <w:color w:val="222222"/>
          <w:szCs w:val="26"/>
        </w:rPr>
        <w:t>, 334 F.3d 803 (9th Cir. 2003)</w:t>
      </w:r>
      <w:r>
        <w:rPr>
          <w:noProof/>
        </w:rPr>
        <w:br/>
      </w:r>
      <w:r>
        <w:rPr>
          <w:noProof/>
        </w:rPr>
        <w:br/>
      </w:r>
      <w:r w:rsidRPr="00092897">
        <w:rPr>
          <w:noProof/>
        </w:rPr>
        <w:t xml:space="preserve">Poortinga, E., Lemmen, C., &amp; Jibson, M. D. (2006). </w:t>
      </w:r>
      <w:r>
        <w:rPr>
          <w:noProof/>
        </w:rPr>
        <w:t>“</w:t>
      </w:r>
      <w:r w:rsidRPr="00092897">
        <w:rPr>
          <w:noProof/>
        </w:rPr>
        <w:t>A Case Control Study: White‐Collar Defendants Compared With Defendants Charged With Other Nonviolent Theft.</w:t>
      </w:r>
      <w:r>
        <w:rPr>
          <w:noProof/>
        </w:rPr>
        <w:t>”</w:t>
      </w:r>
      <w:r w:rsidRPr="00092897">
        <w:rPr>
          <w:noProof/>
        </w:rPr>
        <w:t xml:space="preserve"> </w:t>
      </w:r>
      <w:r w:rsidRPr="00092897">
        <w:rPr>
          <w:i/>
          <w:noProof/>
        </w:rPr>
        <w:t>Journal of the American Academy of Psychiatry and the Law Online, 34</w:t>
      </w:r>
      <w:r>
        <w:rPr>
          <w:noProof/>
        </w:rPr>
        <w:t>(1), 82-89.</w:t>
      </w:r>
      <w:r>
        <w:rPr>
          <w:noProof/>
        </w:rPr>
        <w:br/>
      </w:r>
    </w:p>
    <w:p w:rsidR="001459B9" w:rsidRPr="00717C84" w:rsidRDefault="001459B9" w:rsidP="00BB2E91">
      <w:pPr>
        <w:contextualSpacing/>
        <w:rPr>
          <w:b/>
        </w:rPr>
      </w:pPr>
      <w:r w:rsidRPr="00717C84">
        <w:rPr>
          <w:b/>
        </w:rPr>
        <w:t xml:space="preserve">Week 7:  Insanity </w:t>
      </w:r>
      <w:r w:rsidRPr="00717C84">
        <w:rPr>
          <w:b/>
        </w:rPr>
        <w:br/>
      </w:r>
    </w:p>
    <w:p w:rsidR="001459B9" w:rsidRPr="00CB7585" w:rsidRDefault="001459B9" w:rsidP="00D82101">
      <w:pPr>
        <w:contextualSpacing/>
      </w:pPr>
      <w:r w:rsidRPr="00587081">
        <w:rPr>
          <w:i/>
        </w:rPr>
        <w:t>Durham v. U.S.</w:t>
      </w:r>
      <w:r w:rsidRPr="00CB7585">
        <w:t xml:space="preserve">, 94 U.S. App. D.C. 228, 214 F.2d 862, (1954) </w:t>
      </w:r>
    </w:p>
    <w:p w:rsidR="001459B9" w:rsidRPr="00CB7585" w:rsidRDefault="001459B9" w:rsidP="00BB2E91">
      <w:pPr>
        <w:contextualSpacing/>
      </w:pPr>
      <w:r>
        <w:br/>
      </w:r>
    </w:p>
    <w:p w:rsidR="001459B9" w:rsidRPr="00717C84" w:rsidRDefault="001459B9" w:rsidP="00BB2E91">
      <w:pPr>
        <w:contextualSpacing/>
        <w:rPr>
          <w:b/>
        </w:rPr>
      </w:pPr>
      <w:r w:rsidRPr="00717C84">
        <w:rPr>
          <w:b/>
        </w:rPr>
        <w:t xml:space="preserve">Week 8:  Social History </w:t>
      </w:r>
      <w:r w:rsidRPr="00717C84">
        <w:rPr>
          <w:b/>
        </w:rPr>
        <w:br/>
      </w:r>
    </w:p>
    <w:p w:rsidR="001459B9" w:rsidRPr="00CB7585" w:rsidRDefault="001459B9" w:rsidP="00D82101">
      <w:pPr>
        <w:contextualSpacing/>
      </w:pPr>
      <w:r w:rsidRPr="00587081">
        <w:rPr>
          <w:i/>
          <w:iCs/>
        </w:rPr>
        <w:t>Williams v. Taylor</w:t>
      </w:r>
      <w:r w:rsidRPr="00CB7585">
        <w:t>, 529 U.S. 362 (2000)</w:t>
      </w:r>
    </w:p>
    <w:p w:rsidR="001459B9" w:rsidRPr="006F015B" w:rsidRDefault="001459B9" w:rsidP="000D607E">
      <w:pPr>
        <w:contextualSpacing/>
      </w:pPr>
    </w:p>
    <w:p w:rsidR="001459B9" w:rsidRDefault="001459B9" w:rsidP="003F2FEB">
      <w:pPr>
        <w:contextualSpacing/>
        <w:rPr>
          <w:b/>
          <w:u w:val="single"/>
        </w:rPr>
      </w:pPr>
      <w:r>
        <w:t>Wayland, Kathleen, “</w:t>
      </w:r>
      <w:r w:rsidRPr="006C18F2">
        <w:t>T</w:t>
      </w:r>
      <w:r>
        <w:t xml:space="preserve">he Importance of Recognizing Trauma Throughout Capital Mitigation Investigation and Presentations,” </w:t>
      </w:r>
      <w:r w:rsidRPr="00587081">
        <w:rPr>
          <w:i/>
        </w:rPr>
        <w:t>Hofstra Law Review</w:t>
      </w:r>
      <w:r>
        <w:t>, Volume 36, No. 3, p. 923 (2008)</w:t>
      </w:r>
    </w:p>
    <w:p w:rsidR="001459B9" w:rsidRDefault="001459B9" w:rsidP="003F2FEB">
      <w:pPr>
        <w:contextualSpacing/>
        <w:rPr>
          <w:b/>
          <w:u w:val="single"/>
        </w:rPr>
      </w:pPr>
      <w:r>
        <w:rPr>
          <w:b/>
          <w:u w:val="single"/>
        </w:rPr>
        <w:br/>
      </w:r>
    </w:p>
    <w:p w:rsidR="001459B9" w:rsidRPr="00717C84" w:rsidRDefault="001459B9" w:rsidP="003F2FEB">
      <w:pPr>
        <w:contextualSpacing/>
        <w:rPr>
          <w:b/>
          <w:noProof/>
        </w:rPr>
      </w:pPr>
      <w:r w:rsidRPr="00717C84">
        <w:rPr>
          <w:b/>
          <w:noProof/>
        </w:rPr>
        <w:t>Week 9:  Race, Culture, Gender and Mental Illness</w:t>
      </w:r>
      <w:r w:rsidRPr="00717C84">
        <w:rPr>
          <w:b/>
          <w:noProof/>
        </w:rPr>
        <w:br/>
      </w:r>
    </w:p>
    <w:p w:rsidR="001459B9" w:rsidRPr="00092897" w:rsidRDefault="001459B9" w:rsidP="00FD60D2">
      <w:pPr>
        <w:contextualSpacing/>
        <w:rPr>
          <w:noProof/>
        </w:rPr>
      </w:pPr>
      <w:r w:rsidRPr="00092897">
        <w:rPr>
          <w:noProof/>
        </w:rPr>
        <w:t xml:space="preserve">Friedman, S. H., Shelton, M. D., Elhaj, O., Youngstrom, E. A., Rapport, D. J., Packer, K. </w:t>
      </w:r>
      <w:r>
        <w:rPr>
          <w:noProof/>
        </w:rPr>
        <w:t xml:space="preserve">A., Bilali, S. R.,  Jackson, K. S., Sakai, H. E., Resnick, P. J., Finding, R. L., </w:t>
      </w:r>
      <w:r w:rsidRPr="00092897">
        <w:rPr>
          <w:noProof/>
        </w:rPr>
        <w:t xml:space="preserve">Calabrese, J. R. (2005). </w:t>
      </w:r>
      <w:r>
        <w:rPr>
          <w:noProof/>
        </w:rPr>
        <w:t>“</w:t>
      </w:r>
      <w:r w:rsidRPr="00092897">
        <w:rPr>
          <w:noProof/>
        </w:rPr>
        <w:t>Gender Differences in Criminality</w:t>
      </w:r>
      <w:r>
        <w:rPr>
          <w:noProof/>
        </w:rPr>
        <w:t>:  Bipolar Disorder with Co-Occurring Substance Abuse</w:t>
      </w:r>
      <w:r w:rsidRPr="00092897">
        <w:rPr>
          <w:noProof/>
        </w:rPr>
        <w:t>.</w:t>
      </w:r>
      <w:r>
        <w:rPr>
          <w:noProof/>
        </w:rPr>
        <w:t xml:space="preserve">” </w:t>
      </w:r>
      <w:r w:rsidRPr="00092897">
        <w:rPr>
          <w:noProof/>
        </w:rPr>
        <w:t xml:space="preserve"> </w:t>
      </w:r>
      <w:r w:rsidRPr="00092897">
        <w:rPr>
          <w:i/>
          <w:noProof/>
        </w:rPr>
        <w:t>Journal of the American Academy of Psychiatry and the Law Online, 33</w:t>
      </w:r>
      <w:r w:rsidRPr="00092897">
        <w:rPr>
          <w:noProof/>
        </w:rPr>
        <w:t xml:space="preserve">(2), 188-195. </w:t>
      </w:r>
    </w:p>
    <w:p w:rsidR="001459B9" w:rsidRPr="00092897" w:rsidRDefault="001459B9" w:rsidP="00565CE9">
      <w:pPr>
        <w:spacing w:after="0"/>
        <w:rPr>
          <w:noProof/>
        </w:rPr>
      </w:pPr>
    </w:p>
    <w:p w:rsidR="001459B9" w:rsidRDefault="001459B9" w:rsidP="00AA11DF">
      <w:pPr>
        <w:rPr>
          <w:noProof/>
        </w:rPr>
      </w:pPr>
      <w:bookmarkStart w:id="7" w:name="_ENREF_5"/>
      <w:r w:rsidRPr="00092897">
        <w:rPr>
          <w:noProof/>
        </w:rPr>
        <w:t xml:space="preserve">Arnold, L. M. (2003). </w:t>
      </w:r>
      <w:r>
        <w:rPr>
          <w:noProof/>
        </w:rPr>
        <w:t>“</w:t>
      </w:r>
      <w:r w:rsidRPr="00092897">
        <w:rPr>
          <w:noProof/>
        </w:rPr>
        <w:t xml:space="preserve">Gender </w:t>
      </w:r>
      <w:r>
        <w:rPr>
          <w:noProof/>
        </w:rPr>
        <w:t>D</w:t>
      </w:r>
      <w:r w:rsidRPr="00092897">
        <w:rPr>
          <w:noProof/>
        </w:rPr>
        <w:t xml:space="preserve">ifferences in </w:t>
      </w:r>
      <w:r>
        <w:rPr>
          <w:noProof/>
        </w:rPr>
        <w:t>B</w:t>
      </w:r>
      <w:r w:rsidRPr="00092897">
        <w:rPr>
          <w:noProof/>
        </w:rPr>
        <w:t xml:space="preserve">ipolar </w:t>
      </w:r>
      <w:r>
        <w:rPr>
          <w:noProof/>
        </w:rPr>
        <w:t>D</w:t>
      </w:r>
      <w:r w:rsidRPr="00092897">
        <w:rPr>
          <w:noProof/>
        </w:rPr>
        <w:t>isorder.</w:t>
      </w:r>
      <w:r>
        <w:rPr>
          <w:noProof/>
        </w:rPr>
        <w:t>”</w:t>
      </w:r>
      <w:r w:rsidRPr="00092897">
        <w:rPr>
          <w:noProof/>
        </w:rPr>
        <w:t xml:space="preserve"> [Comparative StudyReview]. </w:t>
      </w:r>
      <w:r w:rsidRPr="00092897">
        <w:rPr>
          <w:i/>
          <w:noProof/>
        </w:rPr>
        <w:t xml:space="preserve">The Psychiatric </w:t>
      </w:r>
      <w:r>
        <w:rPr>
          <w:i/>
          <w:noProof/>
        </w:rPr>
        <w:t>C</w:t>
      </w:r>
      <w:r w:rsidRPr="00092897">
        <w:rPr>
          <w:i/>
          <w:noProof/>
        </w:rPr>
        <w:t>linics of North America, 26</w:t>
      </w:r>
      <w:r w:rsidRPr="00092897">
        <w:rPr>
          <w:noProof/>
        </w:rPr>
        <w:t xml:space="preserve">(3), 595-620. </w:t>
      </w:r>
      <w:bookmarkEnd w:id="7"/>
      <w:r>
        <w:rPr>
          <w:noProof/>
        </w:rPr>
        <w:br/>
      </w:r>
    </w:p>
    <w:p w:rsidR="001459B9" w:rsidRPr="00717C84" w:rsidRDefault="001459B9" w:rsidP="00AA11DF">
      <w:pPr>
        <w:contextualSpacing/>
        <w:rPr>
          <w:b/>
        </w:rPr>
      </w:pPr>
      <w:r w:rsidRPr="00717C84">
        <w:rPr>
          <w:b/>
        </w:rPr>
        <w:t xml:space="preserve">Week 10:  Brain Science </w:t>
      </w:r>
    </w:p>
    <w:p w:rsidR="001459B9" w:rsidRDefault="001459B9" w:rsidP="00CB7585">
      <w:pPr>
        <w:spacing w:after="0"/>
        <w:rPr>
          <w:noProof/>
        </w:rPr>
      </w:pPr>
      <w:bookmarkStart w:id="8" w:name="_ENREF_17"/>
    </w:p>
    <w:p w:rsidR="001459B9" w:rsidRPr="00092897" w:rsidRDefault="001459B9" w:rsidP="00CB7585">
      <w:pPr>
        <w:spacing w:after="0"/>
        <w:rPr>
          <w:noProof/>
        </w:rPr>
      </w:pPr>
      <w:r w:rsidRPr="00092897">
        <w:rPr>
          <w:noProof/>
        </w:rPr>
        <w:t xml:space="preserve">Hayes, B. K., &amp; Chen, T. H. (2008). </w:t>
      </w:r>
      <w:r>
        <w:rPr>
          <w:noProof/>
        </w:rPr>
        <w:t>“</w:t>
      </w:r>
      <w:r w:rsidRPr="00092897">
        <w:rPr>
          <w:noProof/>
        </w:rPr>
        <w:t xml:space="preserve">Clinical </w:t>
      </w:r>
      <w:r>
        <w:rPr>
          <w:noProof/>
        </w:rPr>
        <w:t>E</w:t>
      </w:r>
      <w:r w:rsidRPr="00092897">
        <w:rPr>
          <w:noProof/>
        </w:rPr>
        <w:t xml:space="preserve">xpertise and </w:t>
      </w:r>
      <w:r>
        <w:rPr>
          <w:noProof/>
        </w:rPr>
        <w:t>R</w:t>
      </w:r>
      <w:r w:rsidRPr="00092897">
        <w:rPr>
          <w:noProof/>
        </w:rPr>
        <w:t xml:space="preserve">easoning with </w:t>
      </w:r>
      <w:r>
        <w:rPr>
          <w:noProof/>
        </w:rPr>
        <w:t>U</w:t>
      </w:r>
      <w:r w:rsidRPr="00092897">
        <w:rPr>
          <w:noProof/>
        </w:rPr>
        <w:t xml:space="preserve">ncertain </w:t>
      </w:r>
      <w:r>
        <w:rPr>
          <w:noProof/>
        </w:rPr>
        <w:t>C</w:t>
      </w:r>
      <w:r w:rsidRPr="00092897">
        <w:rPr>
          <w:noProof/>
        </w:rPr>
        <w:t>ategories.</w:t>
      </w:r>
      <w:r>
        <w:rPr>
          <w:noProof/>
        </w:rPr>
        <w:t>”</w:t>
      </w:r>
      <w:r w:rsidRPr="00092897">
        <w:rPr>
          <w:noProof/>
        </w:rPr>
        <w:t xml:space="preserve"> [</w:t>
      </w:r>
      <w:r>
        <w:rPr>
          <w:noProof/>
        </w:rPr>
        <w:t>Research Support, Non-U.S. Government</w:t>
      </w:r>
      <w:r w:rsidRPr="00092897">
        <w:rPr>
          <w:noProof/>
        </w:rPr>
        <w:t xml:space="preserve">]. </w:t>
      </w:r>
      <w:r w:rsidRPr="008D664A">
        <w:rPr>
          <w:rStyle w:val="st"/>
          <w:i/>
        </w:rPr>
        <w:t>Psychonomic Bulletin and Review</w:t>
      </w:r>
      <w:r w:rsidRPr="00092897">
        <w:rPr>
          <w:i/>
          <w:noProof/>
        </w:rPr>
        <w:t xml:space="preserve"> 15</w:t>
      </w:r>
      <w:r w:rsidRPr="00092897">
        <w:rPr>
          <w:noProof/>
        </w:rPr>
        <w:t>(5), 1002-1007. doi: 10.3758/PBR.15.5.1002</w:t>
      </w:r>
      <w:bookmarkEnd w:id="8"/>
    </w:p>
    <w:p w:rsidR="001459B9" w:rsidRDefault="001459B9" w:rsidP="006D041F">
      <w:pPr>
        <w:contextualSpacing/>
        <w:rPr>
          <w:b/>
          <w:u w:val="single"/>
        </w:rPr>
      </w:pPr>
      <w:r>
        <w:rPr>
          <w:b/>
          <w:u w:val="single"/>
        </w:rPr>
        <w:br/>
      </w:r>
    </w:p>
    <w:p w:rsidR="001459B9" w:rsidRPr="00717C84" w:rsidRDefault="001459B9" w:rsidP="006D041F">
      <w:pPr>
        <w:contextualSpacing/>
        <w:rPr>
          <w:b/>
        </w:rPr>
      </w:pPr>
      <w:r w:rsidRPr="00717C84">
        <w:rPr>
          <w:b/>
        </w:rPr>
        <w:t>Week 11:  Juvenile and Geriatric Mental Health</w:t>
      </w:r>
    </w:p>
    <w:p w:rsidR="001459B9" w:rsidRPr="00CB7585" w:rsidRDefault="001459B9" w:rsidP="006D041F">
      <w:pPr>
        <w:contextualSpacing/>
        <w:rPr>
          <w:noProof/>
        </w:rPr>
      </w:pPr>
      <w:r>
        <w:rPr>
          <w:noProof/>
        </w:rPr>
        <w:br/>
      </w:r>
      <w:r w:rsidRPr="00092897">
        <w:rPr>
          <w:noProof/>
        </w:rPr>
        <w:t xml:space="preserve">Faust, D. S., Walker, D., &amp; Sands, M. (2006). </w:t>
      </w:r>
      <w:r>
        <w:rPr>
          <w:noProof/>
        </w:rPr>
        <w:t>“</w:t>
      </w:r>
      <w:r w:rsidRPr="00092897">
        <w:rPr>
          <w:noProof/>
        </w:rPr>
        <w:t xml:space="preserve">Diagnosis and </w:t>
      </w:r>
      <w:r>
        <w:rPr>
          <w:noProof/>
        </w:rPr>
        <w:t>M</w:t>
      </w:r>
      <w:r w:rsidRPr="00092897">
        <w:rPr>
          <w:noProof/>
        </w:rPr>
        <w:t xml:space="preserve">anagement of </w:t>
      </w:r>
      <w:r>
        <w:rPr>
          <w:noProof/>
        </w:rPr>
        <w:t>C</w:t>
      </w:r>
      <w:r w:rsidRPr="00092897">
        <w:rPr>
          <w:noProof/>
        </w:rPr>
        <w:t xml:space="preserve">hildhood </w:t>
      </w:r>
      <w:r>
        <w:rPr>
          <w:noProof/>
        </w:rPr>
        <w:t>B</w:t>
      </w:r>
      <w:r w:rsidRPr="00092897">
        <w:rPr>
          <w:noProof/>
        </w:rPr>
        <w:t xml:space="preserve">ipolar </w:t>
      </w:r>
      <w:r>
        <w:rPr>
          <w:noProof/>
        </w:rPr>
        <w:t>D</w:t>
      </w:r>
      <w:r w:rsidRPr="00092897">
        <w:rPr>
          <w:noProof/>
        </w:rPr>
        <w:t xml:space="preserve">isorder in the </w:t>
      </w:r>
      <w:r>
        <w:rPr>
          <w:noProof/>
        </w:rPr>
        <w:t>P</w:t>
      </w:r>
      <w:r w:rsidRPr="00092897">
        <w:rPr>
          <w:noProof/>
        </w:rPr>
        <w:t xml:space="preserve">rimary </w:t>
      </w:r>
      <w:r>
        <w:rPr>
          <w:noProof/>
        </w:rPr>
        <w:t>C</w:t>
      </w:r>
      <w:r w:rsidRPr="00092897">
        <w:rPr>
          <w:noProof/>
        </w:rPr>
        <w:t xml:space="preserve">are </w:t>
      </w:r>
      <w:r>
        <w:rPr>
          <w:noProof/>
        </w:rPr>
        <w:t>S</w:t>
      </w:r>
      <w:r w:rsidRPr="00092897">
        <w:rPr>
          <w:noProof/>
        </w:rPr>
        <w:t>etting.</w:t>
      </w:r>
      <w:r>
        <w:rPr>
          <w:noProof/>
        </w:rPr>
        <w:t>”</w:t>
      </w:r>
      <w:r w:rsidRPr="00092897">
        <w:rPr>
          <w:noProof/>
        </w:rPr>
        <w:t xml:space="preserve"> [Case Reports</w:t>
      </w:r>
      <w:r>
        <w:rPr>
          <w:noProof/>
        </w:rPr>
        <w:t xml:space="preserve"> </w:t>
      </w:r>
      <w:r w:rsidRPr="00092897">
        <w:rPr>
          <w:noProof/>
        </w:rPr>
        <w:t xml:space="preserve">Review]. </w:t>
      </w:r>
      <w:r w:rsidRPr="00092897">
        <w:rPr>
          <w:i/>
          <w:noProof/>
        </w:rPr>
        <w:t xml:space="preserve">Clinical </w:t>
      </w:r>
      <w:r>
        <w:rPr>
          <w:i/>
          <w:noProof/>
        </w:rPr>
        <w:t>P</w:t>
      </w:r>
      <w:r w:rsidRPr="00092897">
        <w:rPr>
          <w:i/>
          <w:noProof/>
        </w:rPr>
        <w:t>ediatrics, 45</w:t>
      </w:r>
      <w:r w:rsidRPr="00092897">
        <w:rPr>
          <w:noProof/>
        </w:rPr>
        <w:t>(9), 801-808. doi: 10.1177/0009922806295279</w:t>
      </w:r>
    </w:p>
    <w:p w:rsidR="001459B9" w:rsidRDefault="001459B9" w:rsidP="00FD60D2">
      <w:pPr>
        <w:spacing w:after="0"/>
        <w:rPr>
          <w:noProof/>
        </w:rPr>
      </w:pPr>
      <w:r>
        <w:rPr>
          <w:noProof/>
        </w:rPr>
        <w:br/>
      </w:r>
      <w:r w:rsidRPr="00092897">
        <w:rPr>
          <w:noProof/>
        </w:rPr>
        <w:t xml:space="preserve">Patel NC, Delbello MP, &amp; SM., S. (2004). </w:t>
      </w:r>
      <w:r>
        <w:rPr>
          <w:noProof/>
        </w:rPr>
        <w:t>“</w:t>
      </w:r>
      <w:r w:rsidRPr="00092897">
        <w:rPr>
          <w:noProof/>
        </w:rPr>
        <w:t xml:space="preserve">Ethnic </w:t>
      </w:r>
      <w:r>
        <w:rPr>
          <w:noProof/>
        </w:rPr>
        <w:t>D</w:t>
      </w:r>
      <w:r w:rsidRPr="00092897">
        <w:rPr>
          <w:noProof/>
        </w:rPr>
        <w:t xml:space="preserve">ifferences in </w:t>
      </w:r>
      <w:r>
        <w:rPr>
          <w:noProof/>
        </w:rPr>
        <w:t>S</w:t>
      </w:r>
      <w:r w:rsidRPr="00092897">
        <w:rPr>
          <w:noProof/>
        </w:rPr>
        <w:t xml:space="preserve">ymptom </w:t>
      </w:r>
      <w:r>
        <w:rPr>
          <w:noProof/>
        </w:rPr>
        <w:t>P</w:t>
      </w:r>
      <w:r w:rsidRPr="00092897">
        <w:rPr>
          <w:noProof/>
        </w:rPr>
        <w:t xml:space="preserve">resentation of </w:t>
      </w:r>
      <w:r>
        <w:rPr>
          <w:noProof/>
        </w:rPr>
        <w:t>Y</w:t>
      </w:r>
      <w:r w:rsidRPr="00092897">
        <w:rPr>
          <w:noProof/>
        </w:rPr>
        <w:t xml:space="preserve">ouths with </w:t>
      </w:r>
      <w:r>
        <w:rPr>
          <w:noProof/>
        </w:rPr>
        <w:t>B</w:t>
      </w:r>
      <w:r w:rsidRPr="00092897">
        <w:rPr>
          <w:noProof/>
        </w:rPr>
        <w:t xml:space="preserve">ipolar </w:t>
      </w:r>
      <w:r>
        <w:rPr>
          <w:noProof/>
        </w:rPr>
        <w:t>D</w:t>
      </w:r>
      <w:r w:rsidRPr="00092897">
        <w:rPr>
          <w:noProof/>
        </w:rPr>
        <w:t xml:space="preserve">isorder. </w:t>
      </w:r>
    </w:p>
    <w:p w:rsidR="001459B9" w:rsidRDefault="001459B9" w:rsidP="006D041F">
      <w:pPr>
        <w:contextualSpacing/>
        <w:rPr>
          <w:noProof/>
        </w:rPr>
      </w:pPr>
      <w:r>
        <w:rPr>
          <w:noProof/>
        </w:rPr>
        <w:br/>
      </w:r>
    </w:p>
    <w:p w:rsidR="001459B9" w:rsidRPr="00717C84" w:rsidRDefault="001459B9" w:rsidP="006D041F">
      <w:pPr>
        <w:contextualSpacing/>
        <w:rPr>
          <w:b/>
        </w:rPr>
      </w:pPr>
      <w:r w:rsidRPr="00717C84">
        <w:rPr>
          <w:b/>
        </w:rPr>
        <w:t>Week 12:  The Effects of Trauma</w:t>
      </w:r>
    </w:p>
    <w:p w:rsidR="001459B9" w:rsidRDefault="001459B9" w:rsidP="00CB7585">
      <w:pPr>
        <w:spacing w:after="0"/>
        <w:rPr>
          <w:noProof/>
        </w:rPr>
      </w:pPr>
    </w:p>
    <w:p w:rsidR="001459B9" w:rsidRDefault="001459B9" w:rsidP="00CB7585">
      <w:pPr>
        <w:spacing w:after="0"/>
        <w:rPr>
          <w:noProof/>
        </w:rPr>
      </w:pPr>
      <w:r w:rsidRPr="00092897">
        <w:rPr>
          <w:noProof/>
        </w:rPr>
        <w:t xml:space="preserve">de Jong, J. T., Komproe, I. H., Spinazzola, J., van der Kolk, B. A., &amp; Van Ommeren, M. H. (2005). </w:t>
      </w:r>
      <w:r>
        <w:rPr>
          <w:noProof/>
        </w:rPr>
        <w:t>“</w:t>
      </w:r>
      <w:r w:rsidRPr="00092897">
        <w:rPr>
          <w:noProof/>
        </w:rPr>
        <w:t xml:space="preserve">DESNOS in </w:t>
      </w:r>
      <w:r>
        <w:rPr>
          <w:noProof/>
        </w:rPr>
        <w:t>T</w:t>
      </w:r>
      <w:r w:rsidRPr="00092897">
        <w:rPr>
          <w:noProof/>
        </w:rPr>
        <w:t xml:space="preserve">hree </w:t>
      </w:r>
      <w:r>
        <w:rPr>
          <w:noProof/>
        </w:rPr>
        <w:t>P</w:t>
      </w:r>
      <w:r w:rsidRPr="00092897">
        <w:rPr>
          <w:noProof/>
        </w:rPr>
        <w:t xml:space="preserve">ostconflict </w:t>
      </w:r>
      <w:r>
        <w:rPr>
          <w:noProof/>
        </w:rPr>
        <w:t>S</w:t>
      </w:r>
      <w:r w:rsidRPr="00092897">
        <w:rPr>
          <w:noProof/>
        </w:rPr>
        <w:t xml:space="preserve">ettings: </w:t>
      </w:r>
      <w:r>
        <w:rPr>
          <w:noProof/>
        </w:rPr>
        <w:t xml:space="preserve"> A</w:t>
      </w:r>
      <w:r w:rsidRPr="00092897">
        <w:rPr>
          <w:noProof/>
        </w:rPr>
        <w:t xml:space="preserve">ssessing </w:t>
      </w:r>
      <w:r>
        <w:rPr>
          <w:noProof/>
        </w:rPr>
        <w:t>C</w:t>
      </w:r>
      <w:r w:rsidRPr="00092897">
        <w:rPr>
          <w:noProof/>
        </w:rPr>
        <w:t>ross-</w:t>
      </w:r>
      <w:r>
        <w:rPr>
          <w:noProof/>
        </w:rPr>
        <w:t>c</w:t>
      </w:r>
      <w:r w:rsidRPr="00092897">
        <w:rPr>
          <w:noProof/>
        </w:rPr>
        <w:t xml:space="preserve">ultural </w:t>
      </w:r>
      <w:r>
        <w:rPr>
          <w:noProof/>
        </w:rPr>
        <w:t>C</w:t>
      </w:r>
      <w:r w:rsidRPr="00092897">
        <w:rPr>
          <w:noProof/>
        </w:rPr>
        <w:t xml:space="preserve">onstruct </w:t>
      </w:r>
      <w:r>
        <w:rPr>
          <w:noProof/>
        </w:rPr>
        <w:t>E</w:t>
      </w:r>
      <w:r w:rsidRPr="00092897">
        <w:rPr>
          <w:noProof/>
        </w:rPr>
        <w:t>quivalence.</w:t>
      </w:r>
      <w:r>
        <w:rPr>
          <w:noProof/>
        </w:rPr>
        <w:t>”</w:t>
      </w:r>
      <w:r w:rsidRPr="00092897">
        <w:rPr>
          <w:noProof/>
        </w:rPr>
        <w:t xml:space="preserve"> [Validation Studies]. </w:t>
      </w:r>
      <w:r w:rsidRPr="00092897">
        <w:rPr>
          <w:i/>
          <w:noProof/>
        </w:rPr>
        <w:t xml:space="preserve">Journal of </w:t>
      </w:r>
      <w:r>
        <w:rPr>
          <w:i/>
          <w:noProof/>
        </w:rPr>
        <w:t>T</w:t>
      </w:r>
      <w:r w:rsidRPr="00092897">
        <w:rPr>
          <w:i/>
          <w:noProof/>
        </w:rPr>
        <w:t xml:space="preserve">raumatic </w:t>
      </w:r>
      <w:r>
        <w:rPr>
          <w:i/>
          <w:noProof/>
        </w:rPr>
        <w:t>S</w:t>
      </w:r>
      <w:r w:rsidRPr="00092897">
        <w:rPr>
          <w:i/>
          <w:noProof/>
        </w:rPr>
        <w:t>tress, 18</w:t>
      </w:r>
      <w:r w:rsidRPr="00092897">
        <w:rPr>
          <w:noProof/>
        </w:rPr>
        <w:t>(1), 13-21. doi: 10.1002/jts.20005</w:t>
      </w:r>
    </w:p>
    <w:p w:rsidR="001459B9" w:rsidRDefault="001459B9" w:rsidP="00284D55">
      <w:pPr>
        <w:contextualSpacing/>
      </w:pPr>
    </w:p>
    <w:p w:rsidR="001459B9" w:rsidRDefault="001459B9" w:rsidP="00CB7585">
      <w:pPr>
        <w:rPr>
          <w:noProof/>
        </w:rPr>
      </w:pPr>
      <w:r w:rsidRPr="00092897">
        <w:rPr>
          <w:noProof/>
        </w:rPr>
        <w:t xml:space="preserve">van der Kolk, B. A., Roth, S., Pelcovitz, D., Sunday, S., &amp; Spinazzola, J. (2005). </w:t>
      </w:r>
      <w:r>
        <w:rPr>
          <w:noProof/>
        </w:rPr>
        <w:t>“</w:t>
      </w:r>
      <w:r w:rsidRPr="00092897">
        <w:rPr>
          <w:noProof/>
        </w:rPr>
        <w:t xml:space="preserve">Disorders of </w:t>
      </w:r>
      <w:r>
        <w:rPr>
          <w:noProof/>
        </w:rPr>
        <w:t>E</w:t>
      </w:r>
      <w:r w:rsidRPr="00092897">
        <w:rPr>
          <w:noProof/>
        </w:rPr>
        <w:t xml:space="preserve">xtreme </w:t>
      </w:r>
      <w:r>
        <w:rPr>
          <w:noProof/>
        </w:rPr>
        <w:t>S</w:t>
      </w:r>
      <w:r w:rsidRPr="00092897">
        <w:rPr>
          <w:noProof/>
        </w:rPr>
        <w:t xml:space="preserve">tress: The </w:t>
      </w:r>
      <w:r>
        <w:rPr>
          <w:noProof/>
        </w:rPr>
        <w:t>E</w:t>
      </w:r>
      <w:r w:rsidRPr="00092897">
        <w:rPr>
          <w:noProof/>
        </w:rPr>
        <w:t xml:space="preserve">mpirical </w:t>
      </w:r>
      <w:r>
        <w:rPr>
          <w:noProof/>
        </w:rPr>
        <w:t>F</w:t>
      </w:r>
      <w:r w:rsidRPr="00092897">
        <w:rPr>
          <w:noProof/>
        </w:rPr>
        <w:t xml:space="preserve">oundation of a </w:t>
      </w:r>
      <w:r>
        <w:rPr>
          <w:noProof/>
        </w:rPr>
        <w:t>C</w:t>
      </w:r>
      <w:r w:rsidRPr="00092897">
        <w:rPr>
          <w:noProof/>
        </w:rPr>
        <w:t xml:space="preserve">omplex </w:t>
      </w:r>
      <w:r>
        <w:rPr>
          <w:noProof/>
        </w:rPr>
        <w:t>A</w:t>
      </w:r>
      <w:r w:rsidRPr="00092897">
        <w:rPr>
          <w:noProof/>
        </w:rPr>
        <w:t xml:space="preserve">daptation to </w:t>
      </w:r>
      <w:r>
        <w:rPr>
          <w:noProof/>
        </w:rPr>
        <w:t>T</w:t>
      </w:r>
      <w:r w:rsidRPr="00092897">
        <w:rPr>
          <w:noProof/>
        </w:rPr>
        <w:t>rauma.</w:t>
      </w:r>
      <w:r>
        <w:rPr>
          <w:noProof/>
        </w:rPr>
        <w:t>”</w:t>
      </w:r>
      <w:r w:rsidRPr="00092897">
        <w:rPr>
          <w:noProof/>
        </w:rPr>
        <w:t xml:space="preserve"> [Research Support, N.I.H., Extramural]. </w:t>
      </w:r>
      <w:r w:rsidRPr="00092897">
        <w:rPr>
          <w:i/>
          <w:noProof/>
        </w:rPr>
        <w:t xml:space="preserve">Journal of </w:t>
      </w:r>
      <w:r>
        <w:rPr>
          <w:i/>
          <w:noProof/>
        </w:rPr>
        <w:t>T</w:t>
      </w:r>
      <w:r w:rsidRPr="00092897">
        <w:rPr>
          <w:i/>
          <w:noProof/>
        </w:rPr>
        <w:t xml:space="preserve">raumatic </w:t>
      </w:r>
      <w:r>
        <w:rPr>
          <w:i/>
          <w:noProof/>
        </w:rPr>
        <w:t>S</w:t>
      </w:r>
      <w:r w:rsidRPr="00092897">
        <w:rPr>
          <w:i/>
          <w:noProof/>
        </w:rPr>
        <w:t>tress, 18</w:t>
      </w:r>
      <w:r w:rsidRPr="00092897">
        <w:rPr>
          <w:noProof/>
        </w:rPr>
        <w:t>(5), 389-399. doi: 10.1002/jts.20047</w:t>
      </w:r>
    </w:p>
    <w:p w:rsidR="001459B9" w:rsidRPr="00092897" w:rsidRDefault="001459B9" w:rsidP="000F0BB7">
      <w:pPr>
        <w:spacing w:after="0"/>
        <w:rPr>
          <w:noProof/>
        </w:rPr>
      </w:pPr>
      <w:bookmarkStart w:id="9" w:name="_ENREF_19"/>
      <w:r w:rsidRPr="00092897">
        <w:rPr>
          <w:noProof/>
        </w:rPr>
        <w:t xml:space="preserve">Lavik, N. J., Hauff, E., Skrondal, A., &amp; Solberg, O. (1996). </w:t>
      </w:r>
      <w:r>
        <w:rPr>
          <w:noProof/>
        </w:rPr>
        <w:t>“</w:t>
      </w:r>
      <w:r w:rsidRPr="00092897">
        <w:rPr>
          <w:noProof/>
        </w:rPr>
        <w:t xml:space="preserve">Mental </w:t>
      </w:r>
      <w:r>
        <w:rPr>
          <w:noProof/>
        </w:rPr>
        <w:t>D</w:t>
      </w:r>
      <w:r w:rsidRPr="00092897">
        <w:rPr>
          <w:noProof/>
        </w:rPr>
        <w:t xml:space="preserve">isorder among </w:t>
      </w:r>
      <w:r>
        <w:rPr>
          <w:noProof/>
        </w:rPr>
        <w:t>R</w:t>
      </w:r>
      <w:r w:rsidRPr="00092897">
        <w:rPr>
          <w:noProof/>
        </w:rPr>
        <w:t xml:space="preserve">efugees and the </w:t>
      </w:r>
      <w:r>
        <w:rPr>
          <w:noProof/>
        </w:rPr>
        <w:t>I</w:t>
      </w:r>
      <w:r w:rsidRPr="00092897">
        <w:rPr>
          <w:noProof/>
        </w:rPr>
        <w:t xml:space="preserve">mpact of </w:t>
      </w:r>
      <w:r>
        <w:rPr>
          <w:noProof/>
        </w:rPr>
        <w:t>P</w:t>
      </w:r>
      <w:r w:rsidRPr="00092897">
        <w:rPr>
          <w:noProof/>
        </w:rPr>
        <w:t xml:space="preserve">ersecution and </w:t>
      </w:r>
      <w:r>
        <w:rPr>
          <w:noProof/>
        </w:rPr>
        <w:t>E</w:t>
      </w:r>
      <w:r w:rsidRPr="00092897">
        <w:rPr>
          <w:noProof/>
        </w:rPr>
        <w:t xml:space="preserve">xile: </w:t>
      </w:r>
      <w:r>
        <w:rPr>
          <w:noProof/>
        </w:rPr>
        <w:t xml:space="preserve"> S</w:t>
      </w:r>
      <w:r w:rsidRPr="00092897">
        <w:rPr>
          <w:noProof/>
        </w:rPr>
        <w:t xml:space="preserve">ome </w:t>
      </w:r>
      <w:r>
        <w:rPr>
          <w:noProof/>
        </w:rPr>
        <w:t>F</w:t>
      </w:r>
      <w:r w:rsidRPr="00092897">
        <w:rPr>
          <w:noProof/>
        </w:rPr>
        <w:t xml:space="preserve">indings from an </w:t>
      </w:r>
      <w:r>
        <w:rPr>
          <w:noProof/>
        </w:rPr>
        <w:t>O</w:t>
      </w:r>
      <w:r w:rsidRPr="00092897">
        <w:rPr>
          <w:noProof/>
        </w:rPr>
        <w:t xml:space="preserve">ut-patient </w:t>
      </w:r>
      <w:r>
        <w:rPr>
          <w:noProof/>
        </w:rPr>
        <w:t>P</w:t>
      </w:r>
      <w:r w:rsidRPr="00092897">
        <w:rPr>
          <w:noProof/>
        </w:rPr>
        <w:t xml:space="preserve">opulation. </w:t>
      </w:r>
      <w:r>
        <w:rPr>
          <w:i/>
          <w:noProof/>
        </w:rPr>
        <w:t xml:space="preserve">The </w:t>
      </w:r>
      <w:r w:rsidRPr="00092897">
        <w:rPr>
          <w:i/>
          <w:noProof/>
        </w:rPr>
        <w:t>Br</w:t>
      </w:r>
      <w:r>
        <w:rPr>
          <w:i/>
          <w:noProof/>
        </w:rPr>
        <w:t>itish</w:t>
      </w:r>
      <w:r w:rsidRPr="00092897">
        <w:rPr>
          <w:i/>
          <w:noProof/>
        </w:rPr>
        <w:t xml:space="preserve"> J</w:t>
      </w:r>
      <w:r>
        <w:rPr>
          <w:i/>
          <w:noProof/>
        </w:rPr>
        <w:t>ournal of</w:t>
      </w:r>
      <w:r w:rsidRPr="00092897">
        <w:rPr>
          <w:i/>
          <w:noProof/>
        </w:rPr>
        <w:t xml:space="preserve"> Psychiatry, 169</w:t>
      </w:r>
      <w:r w:rsidRPr="00092897">
        <w:rPr>
          <w:noProof/>
        </w:rPr>
        <w:t xml:space="preserve">(6), 726-732. </w:t>
      </w:r>
      <w:bookmarkEnd w:id="9"/>
    </w:p>
    <w:p w:rsidR="001459B9" w:rsidRDefault="001459B9" w:rsidP="00284D55">
      <w:pPr>
        <w:contextualSpacing/>
        <w:rPr>
          <w:b/>
        </w:rPr>
      </w:pPr>
      <w:r>
        <w:rPr>
          <w:b/>
        </w:rPr>
        <w:br/>
      </w:r>
    </w:p>
    <w:p w:rsidR="001459B9" w:rsidRPr="00717C84" w:rsidRDefault="001459B9" w:rsidP="00284D55">
      <w:pPr>
        <w:contextualSpacing/>
        <w:rPr>
          <w:b/>
        </w:rPr>
      </w:pPr>
      <w:r w:rsidRPr="00717C84">
        <w:rPr>
          <w:b/>
        </w:rPr>
        <w:t>Week 13:  Disability Rights</w:t>
      </w:r>
    </w:p>
    <w:p w:rsidR="001459B9" w:rsidRDefault="001459B9" w:rsidP="00CB7585">
      <w:pPr>
        <w:spacing w:after="0"/>
        <w:rPr>
          <w:noProof/>
        </w:rPr>
      </w:pPr>
      <w:bookmarkStart w:id="10" w:name="_ENREF_8"/>
    </w:p>
    <w:p w:rsidR="001459B9" w:rsidRDefault="001459B9" w:rsidP="00CB7585">
      <w:pPr>
        <w:spacing w:after="0"/>
        <w:rPr>
          <w:noProof/>
        </w:rPr>
      </w:pPr>
      <w:r w:rsidRPr="00092897">
        <w:rPr>
          <w:noProof/>
        </w:rPr>
        <w:t xml:space="preserve">Disabilities, A. A. o. I. a. D. (2010a). Intellectual Disabiliity: Definition, Classification, and Systems of Supports. </w:t>
      </w:r>
      <w:bookmarkEnd w:id="10"/>
    </w:p>
    <w:p w:rsidR="001459B9" w:rsidRDefault="001459B9">
      <w:pPr>
        <w:contextualSpacing/>
        <w:rPr>
          <w:u w:val="single"/>
        </w:rPr>
      </w:pPr>
    </w:p>
    <w:p w:rsidR="001459B9" w:rsidRPr="00C97EB1" w:rsidRDefault="001459B9" w:rsidP="00C97EB1">
      <w:pPr>
        <w:spacing w:after="0"/>
        <w:rPr>
          <w:noProof/>
        </w:rPr>
      </w:pPr>
      <w:bookmarkStart w:id="11" w:name="_ENREF_9"/>
      <w:r w:rsidRPr="00092897">
        <w:rPr>
          <w:noProof/>
        </w:rPr>
        <w:t xml:space="preserve">Disabilities, A. A. o. I. a. D. (2010b). </w:t>
      </w:r>
      <w:r w:rsidRPr="00092897">
        <w:rPr>
          <w:i/>
          <w:noProof/>
        </w:rPr>
        <w:t xml:space="preserve">Manual of the American Association of Intellectual </w:t>
      </w:r>
      <w:bookmarkStart w:id="12" w:name="_GoBack"/>
      <w:bookmarkEnd w:id="12"/>
      <w:r w:rsidRPr="00092897">
        <w:rPr>
          <w:i/>
          <w:noProof/>
        </w:rPr>
        <w:t>and Developmental Disabiities</w:t>
      </w:r>
      <w:r w:rsidRPr="00092897">
        <w:rPr>
          <w:noProof/>
        </w:rPr>
        <w:t>: AAIDD.</w:t>
      </w:r>
      <w:bookmarkEnd w:id="11"/>
    </w:p>
    <w:sectPr w:rsidR="001459B9" w:rsidRPr="00C97EB1" w:rsidSect="00CF082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B9" w:rsidRDefault="001459B9" w:rsidP="008D1BD6">
      <w:pPr>
        <w:spacing w:after="0"/>
      </w:pPr>
      <w:r>
        <w:separator/>
      </w:r>
    </w:p>
  </w:endnote>
  <w:endnote w:type="continuationSeparator" w:id="0">
    <w:p w:rsidR="001459B9" w:rsidRDefault="001459B9" w:rsidP="008D1B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pperplate"/>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B9" w:rsidRDefault="001459B9" w:rsidP="00582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9B9" w:rsidRDefault="00145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B9" w:rsidRDefault="001459B9" w:rsidP="00582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59B9" w:rsidRDefault="00145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B9" w:rsidRDefault="001459B9" w:rsidP="008D1BD6">
      <w:pPr>
        <w:spacing w:after="0"/>
      </w:pPr>
      <w:r>
        <w:separator/>
      </w:r>
    </w:p>
  </w:footnote>
  <w:footnote w:type="continuationSeparator" w:id="0">
    <w:p w:rsidR="001459B9" w:rsidRDefault="001459B9" w:rsidP="008D1B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cs="Times New Roman"/>
      </w:rPr>
    </w:lvl>
  </w:abstractNum>
  <w:abstractNum w:abstractNumId="1">
    <w:nsid w:val="741237C1"/>
    <w:multiLevelType w:val="hybridMultilevel"/>
    <w:tmpl w:val="0ABE69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2rxa098av998ezpaexe2rkdw9ppwzwp5r2&quot;&gt;Woods Clinical Articles Library&lt;record-ids&gt;&lt;item&gt;350&lt;/item&gt;&lt;item&gt;426&lt;/item&gt;&lt;item&gt;864&lt;/item&gt;&lt;item&gt;873&lt;/item&gt;&lt;item&gt;983&lt;/item&gt;&lt;item&gt;1030&lt;/item&gt;&lt;item&gt;1125&lt;/item&gt;&lt;item&gt;1311&lt;/item&gt;&lt;item&gt;1329&lt;/item&gt;&lt;item&gt;1602&lt;/item&gt;&lt;item&gt;1623&lt;/item&gt;&lt;item&gt;1628&lt;/item&gt;&lt;item&gt;1666&lt;/item&gt;&lt;item&gt;2589&lt;/item&gt;&lt;item&gt;2669&lt;/item&gt;&lt;item&gt;2670&lt;/item&gt;&lt;item&gt;3198&lt;/item&gt;&lt;item&gt;3322&lt;/item&gt;&lt;item&gt;3336&lt;/item&gt;&lt;item&gt;3380&lt;/item&gt;&lt;item&gt;3474&lt;/item&gt;&lt;item&gt;3480&lt;/item&gt;&lt;item&gt;3518&lt;/item&gt;&lt;item&gt;3519&lt;/item&gt;&lt;item&gt;3521&lt;/item&gt;&lt;item&gt;3522&lt;/item&gt;&lt;/record-ids&gt;&lt;/item&gt;&lt;/Libraries&gt;"/>
  </w:docVars>
  <w:rsids>
    <w:rsidRoot w:val="00CF082D"/>
    <w:rsid w:val="00005616"/>
    <w:rsid w:val="0001214A"/>
    <w:rsid w:val="00023FAD"/>
    <w:rsid w:val="000304D5"/>
    <w:rsid w:val="000333ED"/>
    <w:rsid w:val="0004133F"/>
    <w:rsid w:val="000436F6"/>
    <w:rsid w:val="00045F84"/>
    <w:rsid w:val="00072082"/>
    <w:rsid w:val="00092897"/>
    <w:rsid w:val="000C1C7E"/>
    <w:rsid w:val="000D607E"/>
    <w:rsid w:val="000E241A"/>
    <w:rsid w:val="000E4947"/>
    <w:rsid w:val="000E5437"/>
    <w:rsid w:val="000F0BB7"/>
    <w:rsid w:val="00102077"/>
    <w:rsid w:val="001044CE"/>
    <w:rsid w:val="001110A5"/>
    <w:rsid w:val="00113420"/>
    <w:rsid w:val="0011492B"/>
    <w:rsid w:val="00116CA0"/>
    <w:rsid w:val="001336CE"/>
    <w:rsid w:val="001459B9"/>
    <w:rsid w:val="00145D55"/>
    <w:rsid w:val="00153D8A"/>
    <w:rsid w:val="001B2088"/>
    <w:rsid w:val="001D6B41"/>
    <w:rsid w:val="001D7DAC"/>
    <w:rsid w:val="00203051"/>
    <w:rsid w:val="00203AEE"/>
    <w:rsid w:val="00212883"/>
    <w:rsid w:val="0021344A"/>
    <w:rsid w:val="0022170A"/>
    <w:rsid w:val="002274FB"/>
    <w:rsid w:val="002519A8"/>
    <w:rsid w:val="002653B5"/>
    <w:rsid w:val="00267703"/>
    <w:rsid w:val="0027362A"/>
    <w:rsid w:val="00284D55"/>
    <w:rsid w:val="002970AF"/>
    <w:rsid w:val="002A18AE"/>
    <w:rsid w:val="002B2002"/>
    <w:rsid w:val="002B2F2F"/>
    <w:rsid w:val="002B5400"/>
    <w:rsid w:val="002F0516"/>
    <w:rsid w:val="0030457A"/>
    <w:rsid w:val="003061A4"/>
    <w:rsid w:val="003176BA"/>
    <w:rsid w:val="00335870"/>
    <w:rsid w:val="0036782A"/>
    <w:rsid w:val="0038332F"/>
    <w:rsid w:val="00395764"/>
    <w:rsid w:val="003A64A2"/>
    <w:rsid w:val="003A6991"/>
    <w:rsid w:val="003B3E3E"/>
    <w:rsid w:val="003D3123"/>
    <w:rsid w:val="003F2FEB"/>
    <w:rsid w:val="003F6024"/>
    <w:rsid w:val="003F6B29"/>
    <w:rsid w:val="00411399"/>
    <w:rsid w:val="00422234"/>
    <w:rsid w:val="00465610"/>
    <w:rsid w:val="00477500"/>
    <w:rsid w:val="00496C4F"/>
    <w:rsid w:val="004B0507"/>
    <w:rsid w:val="004C0F52"/>
    <w:rsid w:val="004C3B7B"/>
    <w:rsid w:val="004C7C19"/>
    <w:rsid w:val="004D43F2"/>
    <w:rsid w:val="004D52A6"/>
    <w:rsid w:val="004D69ED"/>
    <w:rsid w:val="004E24CF"/>
    <w:rsid w:val="00503EC0"/>
    <w:rsid w:val="00504964"/>
    <w:rsid w:val="00515A32"/>
    <w:rsid w:val="00531B7C"/>
    <w:rsid w:val="00537066"/>
    <w:rsid w:val="00565CE9"/>
    <w:rsid w:val="00572CE5"/>
    <w:rsid w:val="005800B1"/>
    <w:rsid w:val="00582885"/>
    <w:rsid w:val="00587081"/>
    <w:rsid w:val="005A5848"/>
    <w:rsid w:val="005B1526"/>
    <w:rsid w:val="005C665F"/>
    <w:rsid w:val="005D0062"/>
    <w:rsid w:val="005D6176"/>
    <w:rsid w:val="005E2A08"/>
    <w:rsid w:val="005E62E1"/>
    <w:rsid w:val="006160D0"/>
    <w:rsid w:val="0061710C"/>
    <w:rsid w:val="00617F09"/>
    <w:rsid w:val="0065215C"/>
    <w:rsid w:val="006857A0"/>
    <w:rsid w:val="006907A5"/>
    <w:rsid w:val="006949D8"/>
    <w:rsid w:val="006A2243"/>
    <w:rsid w:val="006B2F94"/>
    <w:rsid w:val="006C18F2"/>
    <w:rsid w:val="006D041F"/>
    <w:rsid w:val="006D4828"/>
    <w:rsid w:val="006E38A4"/>
    <w:rsid w:val="006F015B"/>
    <w:rsid w:val="006F4C8C"/>
    <w:rsid w:val="00703C8F"/>
    <w:rsid w:val="00717357"/>
    <w:rsid w:val="00717C84"/>
    <w:rsid w:val="00750C00"/>
    <w:rsid w:val="0077248F"/>
    <w:rsid w:val="007A620F"/>
    <w:rsid w:val="007B61E2"/>
    <w:rsid w:val="007F0570"/>
    <w:rsid w:val="00800B86"/>
    <w:rsid w:val="008250FB"/>
    <w:rsid w:val="00826045"/>
    <w:rsid w:val="008A7D84"/>
    <w:rsid w:val="008D1BD6"/>
    <w:rsid w:val="008D664A"/>
    <w:rsid w:val="008F60F9"/>
    <w:rsid w:val="00913117"/>
    <w:rsid w:val="009464DB"/>
    <w:rsid w:val="00951A76"/>
    <w:rsid w:val="0096497D"/>
    <w:rsid w:val="00991517"/>
    <w:rsid w:val="009A500F"/>
    <w:rsid w:val="009A5D5D"/>
    <w:rsid w:val="009A73D6"/>
    <w:rsid w:val="009B426E"/>
    <w:rsid w:val="009E52F1"/>
    <w:rsid w:val="009F5C1D"/>
    <w:rsid w:val="00A072B0"/>
    <w:rsid w:val="00A25A10"/>
    <w:rsid w:val="00A37FF1"/>
    <w:rsid w:val="00A4321B"/>
    <w:rsid w:val="00A44376"/>
    <w:rsid w:val="00A641DA"/>
    <w:rsid w:val="00A64B74"/>
    <w:rsid w:val="00AA11DF"/>
    <w:rsid w:val="00AA58D6"/>
    <w:rsid w:val="00AA7E00"/>
    <w:rsid w:val="00AB1013"/>
    <w:rsid w:val="00AE3681"/>
    <w:rsid w:val="00AE387F"/>
    <w:rsid w:val="00B02627"/>
    <w:rsid w:val="00B251EE"/>
    <w:rsid w:val="00B432A0"/>
    <w:rsid w:val="00B72C8C"/>
    <w:rsid w:val="00B7532A"/>
    <w:rsid w:val="00B771CD"/>
    <w:rsid w:val="00B8120D"/>
    <w:rsid w:val="00B86DDC"/>
    <w:rsid w:val="00B9589D"/>
    <w:rsid w:val="00BA6D6D"/>
    <w:rsid w:val="00BB2375"/>
    <w:rsid w:val="00BB2E91"/>
    <w:rsid w:val="00BB4260"/>
    <w:rsid w:val="00BD6B0E"/>
    <w:rsid w:val="00C12971"/>
    <w:rsid w:val="00C265E3"/>
    <w:rsid w:val="00C43BA7"/>
    <w:rsid w:val="00C442CB"/>
    <w:rsid w:val="00C64683"/>
    <w:rsid w:val="00C7571E"/>
    <w:rsid w:val="00C9795D"/>
    <w:rsid w:val="00C97EB1"/>
    <w:rsid w:val="00CB5D07"/>
    <w:rsid w:val="00CB7585"/>
    <w:rsid w:val="00CF082D"/>
    <w:rsid w:val="00D012B9"/>
    <w:rsid w:val="00D07CCB"/>
    <w:rsid w:val="00D166C8"/>
    <w:rsid w:val="00D20D4F"/>
    <w:rsid w:val="00D233A3"/>
    <w:rsid w:val="00D3707B"/>
    <w:rsid w:val="00D70200"/>
    <w:rsid w:val="00D70887"/>
    <w:rsid w:val="00D75972"/>
    <w:rsid w:val="00D76EA6"/>
    <w:rsid w:val="00D7747D"/>
    <w:rsid w:val="00D82101"/>
    <w:rsid w:val="00D8695E"/>
    <w:rsid w:val="00D91128"/>
    <w:rsid w:val="00DD2CCF"/>
    <w:rsid w:val="00DD662F"/>
    <w:rsid w:val="00DF502D"/>
    <w:rsid w:val="00E23E3B"/>
    <w:rsid w:val="00E36CC2"/>
    <w:rsid w:val="00E53FC0"/>
    <w:rsid w:val="00E57153"/>
    <w:rsid w:val="00EA4B85"/>
    <w:rsid w:val="00EB05DB"/>
    <w:rsid w:val="00EC3097"/>
    <w:rsid w:val="00EC66A5"/>
    <w:rsid w:val="00EE2F2C"/>
    <w:rsid w:val="00F00881"/>
    <w:rsid w:val="00F0402B"/>
    <w:rsid w:val="00F20E71"/>
    <w:rsid w:val="00F47BEB"/>
    <w:rsid w:val="00F6786F"/>
    <w:rsid w:val="00F90482"/>
    <w:rsid w:val="00FC1FAA"/>
    <w:rsid w:val="00FD29AA"/>
    <w:rsid w:val="00FD5FC5"/>
    <w:rsid w:val="00FD6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2">
    <w:name w:val="heading 2"/>
    <w:basedOn w:val="Normal"/>
    <w:next w:val="Normal"/>
    <w:link w:val="Heading2Char"/>
    <w:uiPriority w:val="99"/>
    <w:qFormat/>
    <w:rsid w:val="00F47BEB"/>
    <w:pPr>
      <w:keepNext/>
      <w:spacing w:after="0"/>
      <w:outlineLvl w:val="1"/>
    </w:pPr>
    <w:rPr>
      <w:rFonts w:ascii="Times New Roman" w:eastAsia="Times New Roman" w:hAnsi="Times New Roman"/>
      <w:b/>
      <w:bCs/>
      <w:i/>
      <w:iCs/>
    </w:rPr>
  </w:style>
  <w:style w:type="paragraph" w:styleId="Heading5">
    <w:name w:val="heading 5"/>
    <w:basedOn w:val="Normal"/>
    <w:next w:val="Normal"/>
    <w:link w:val="Heading5Char"/>
    <w:uiPriority w:val="99"/>
    <w:qFormat/>
    <w:rsid w:val="0011492B"/>
    <w:pPr>
      <w:keepNext/>
      <w:keepLines/>
      <w:spacing w:before="200" w:after="0"/>
      <w:outlineLvl w:val="4"/>
    </w:pPr>
    <w:rPr>
      <w:rFonts w:ascii="Calibri" w:eastAsia="Times New Roman" w:hAnsi="Calibri"/>
      <w:color w:val="24406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47BEB"/>
    <w:rPr>
      <w:rFonts w:ascii="Times New Roman" w:hAnsi="Times New Roman" w:cs="Times New Roman"/>
      <w:b/>
      <w:bCs/>
      <w:i/>
      <w:iCs/>
    </w:rPr>
  </w:style>
  <w:style w:type="character" w:customStyle="1" w:styleId="Heading5Char">
    <w:name w:val="Heading 5 Char"/>
    <w:basedOn w:val="DefaultParagraphFont"/>
    <w:link w:val="Heading5"/>
    <w:uiPriority w:val="99"/>
    <w:locked/>
    <w:rsid w:val="0011492B"/>
    <w:rPr>
      <w:rFonts w:ascii="Calibri" w:hAnsi="Calibri" w:cs="Times New Roman"/>
      <w:color w:val="244061"/>
    </w:rPr>
  </w:style>
  <w:style w:type="paragraph" w:styleId="ListParagraph">
    <w:name w:val="List Paragraph"/>
    <w:basedOn w:val="Normal"/>
    <w:uiPriority w:val="99"/>
    <w:qFormat/>
    <w:rsid w:val="0022170A"/>
    <w:pPr>
      <w:ind w:left="720"/>
      <w:contextualSpacing/>
    </w:pPr>
  </w:style>
  <w:style w:type="character" w:styleId="Hyperlink">
    <w:name w:val="Hyperlink"/>
    <w:basedOn w:val="DefaultParagraphFont"/>
    <w:uiPriority w:val="99"/>
    <w:rsid w:val="00C265E3"/>
    <w:rPr>
      <w:rFonts w:cs="Times New Roman"/>
      <w:color w:val="0000FF"/>
      <w:u w:val="single"/>
    </w:rPr>
  </w:style>
  <w:style w:type="paragraph" w:customStyle="1" w:styleId="Level1">
    <w:name w:val="Level 1"/>
    <w:basedOn w:val="Normal"/>
    <w:uiPriority w:val="99"/>
    <w:rsid w:val="00F47BEB"/>
    <w:pPr>
      <w:widowControl w:val="0"/>
      <w:spacing w:after="0"/>
    </w:pPr>
    <w:rPr>
      <w:rFonts w:ascii="Times New Roman" w:eastAsia="Times New Roman" w:hAnsi="Times New Roman"/>
      <w:bCs/>
      <w:iCs/>
      <w:szCs w:val="48"/>
    </w:rPr>
  </w:style>
  <w:style w:type="paragraph" w:styleId="NormalWeb">
    <w:name w:val="Normal (Web)"/>
    <w:basedOn w:val="Normal"/>
    <w:uiPriority w:val="99"/>
    <w:rsid w:val="009A5D5D"/>
    <w:pPr>
      <w:spacing w:beforeLines="1" w:afterLines="1"/>
    </w:pPr>
    <w:rPr>
      <w:rFonts w:ascii="Times" w:hAnsi="Times"/>
      <w:sz w:val="20"/>
      <w:szCs w:val="20"/>
    </w:rPr>
  </w:style>
  <w:style w:type="paragraph" w:styleId="BalloonText">
    <w:name w:val="Balloon Text"/>
    <w:basedOn w:val="Normal"/>
    <w:link w:val="BalloonTextChar"/>
    <w:uiPriority w:val="99"/>
    <w:rsid w:val="00703C8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703C8F"/>
    <w:rPr>
      <w:rFonts w:ascii="Lucida Grande" w:hAnsi="Lucida Grande" w:cs="Times New Roman"/>
      <w:sz w:val="18"/>
      <w:szCs w:val="18"/>
    </w:rPr>
  </w:style>
  <w:style w:type="paragraph" w:styleId="Footer">
    <w:name w:val="footer"/>
    <w:basedOn w:val="Normal"/>
    <w:link w:val="FooterChar"/>
    <w:uiPriority w:val="99"/>
    <w:rsid w:val="008D1BD6"/>
    <w:pPr>
      <w:tabs>
        <w:tab w:val="center" w:pos="4320"/>
        <w:tab w:val="right" w:pos="8640"/>
      </w:tabs>
      <w:spacing w:after="0"/>
    </w:pPr>
  </w:style>
  <w:style w:type="character" w:customStyle="1" w:styleId="FooterChar">
    <w:name w:val="Footer Char"/>
    <w:basedOn w:val="DefaultParagraphFont"/>
    <w:link w:val="Footer"/>
    <w:uiPriority w:val="99"/>
    <w:locked/>
    <w:rsid w:val="008D1BD6"/>
    <w:rPr>
      <w:rFonts w:cs="Times New Roman"/>
    </w:rPr>
  </w:style>
  <w:style w:type="character" w:styleId="PageNumber">
    <w:name w:val="page number"/>
    <w:basedOn w:val="DefaultParagraphFont"/>
    <w:uiPriority w:val="99"/>
    <w:rsid w:val="008D1BD6"/>
    <w:rPr>
      <w:rFonts w:cs="Times New Roman"/>
    </w:rPr>
  </w:style>
  <w:style w:type="paragraph" w:styleId="Header">
    <w:name w:val="header"/>
    <w:basedOn w:val="Normal"/>
    <w:link w:val="HeaderChar"/>
    <w:uiPriority w:val="99"/>
    <w:rsid w:val="00496C4F"/>
    <w:pPr>
      <w:tabs>
        <w:tab w:val="center" w:pos="4320"/>
        <w:tab w:val="right" w:pos="8640"/>
      </w:tabs>
      <w:spacing w:after="0"/>
    </w:pPr>
  </w:style>
  <w:style w:type="character" w:customStyle="1" w:styleId="HeaderChar">
    <w:name w:val="Header Char"/>
    <w:basedOn w:val="DefaultParagraphFont"/>
    <w:link w:val="Header"/>
    <w:uiPriority w:val="99"/>
    <w:locked/>
    <w:rsid w:val="00496C4F"/>
    <w:rPr>
      <w:rFonts w:cs="Times New Roman"/>
    </w:rPr>
  </w:style>
  <w:style w:type="character" w:customStyle="1" w:styleId="st">
    <w:name w:val="st"/>
    <w:basedOn w:val="DefaultParagraphFont"/>
    <w:uiPriority w:val="99"/>
    <w:rsid w:val="008D664A"/>
    <w:rPr>
      <w:rFonts w:cs="Times New Roman"/>
    </w:rPr>
  </w:style>
</w:styles>
</file>

<file path=word/webSettings.xml><?xml version="1.0" encoding="utf-8"?>
<w:webSettings xmlns:r="http://schemas.openxmlformats.org/officeDocument/2006/relationships" xmlns:w="http://schemas.openxmlformats.org/wordprocessingml/2006/main">
  <w:divs>
    <w:div w:id="738291080">
      <w:marLeft w:val="0"/>
      <w:marRight w:val="0"/>
      <w:marTop w:val="0"/>
      <w:marBottom w:val="0"/>
      <w:divBdr>
        <w:top w:val="none" w:sz="0" w:space="0" w:color="auto"/>
        <w:left w:val="none" w:sz="0" w:space="0" w:color="auto"/>
        <w:bottom w:val="none" w:sz="0" w:space="0" w:color="auto"/>
        <w:right w:val="none" w:sz="0" w:space="0" w:color="auto"/>
      </w:divBdr>
    </w:div>
    <w:div w:id="738291082">
      <w:marLeft w:val="0"/>
      <w:marRight w:val="0"/>
      <w:marTop w:val="0"/>
      <w:marBottom w:val="0"/>
      <w:divBdr>
        <w:top w:val="none" w:sz="0" w:space="0" w:color="auto"/>
        <w:left w:val="none" w:sz="0" w:space="0" w:color="auto"/>
        <w:bottom w:val="none" w:sz="0" w:space="0" w:color="auto"/>
        <w:right w:val="none" w:sz="0" w:space="0" w:color="auto"/>
      </w:divBdr>
      <w:divsChild>
        <w:div w:id="738291097">
          <w:marLeft w:val="432"/>
          <w:marRight w:val="0"/>
          <w:marTop w:val="0"/>
          <w:marBottom w:val="0"/>
          <w:divBdr>
            <w:top w:val="none" w:sz="0" w:space="0" w:color="auto"/>
            <w:left w:val="none" w:sz="0" w:space="0" w:color="auto"/>
            <w:bottom w:val="none" w:sz="0" w:space="0" w:color="auto"/>
            <w:right w:val="none" w:sz="0" w:space="0" w:color="auto"/>
          </w:divBdr>
        </w:div>
      </w:divsChild>
    </w:div>
    <w:div w:id="738291084">
      <w:marLeft w:val="0"/>
      <w:marRight w:val="0"/>
      <w:marTop w:val="0"/>
      <w:marBottom w:val="0"/>
      <w:divBdr>
        <w:top w:val="none" w:sz="0" w:space="0" w:color="auto"/>
        <w:left w:val="none" w:sz="0" w:space="0" w:color="auto"/>
        <w:bottom w:val="none" w:sz="0" w:space="0" w:color="auto"/>
        <w:right w:val="none" w:sz="0" w:space="0" w:color="auto"/>
      </w:divBdr>
      <w:divsChild>
        <w:div w:id="738291100">
          <w:marLeft w:val="432"/>
          <w:marRight w:val="0"/>
          <w:marTop w:val="0"/>
          <w:marBottom w:val="0"/>
          <w:divBdr>
            <w:top w:val="none" w:sz="0" w:space="0" w:color="auto"/>
            <w:left w:val="none" w:sz="0" w:space="0" w:color="auto"/>
            <w:bottom w:val="none" w:sz="0" w:space="0" w:color="auto"/>
            <w:right w:val="none" w:sz="0" w:space="0" w:color="auto"/>
          </w:divBdr>
        </w:div>
      </w:divsChild>
    </w:div>
    <w:div w:id="738291086">
      <w:marLeft w:val="0"/>
      <w:marRight w:val="0"/>
      <w:marTop w:val="0"/>
      <w:marBottom w:val="0"/>
      <w:divBdr>
        <w:top w:val="none" w:sz="0" w:space="0" w:color="auto"/>
        <w:left w:val="none" w:sz="0" w:space="0" w:color="auto"/>
        <w:bottom w:val="none" w:sz="0" w:space="0" w:color="auto"/>
        <w:right w:val="none" w:sz="0" w:space="0" w:color="auto"/>
      </w:divBdr>
      <w:divsChild>
        <w:div w:id="738291094">
          <w:marLeft w:val="432"/>
          <w:marRight w:val="0"/>
          <w:marTop w:val="0"/>
          <w:marBottom w:val="0"/>
          <w:divBdr>
            <w:top w:val="none" w:sz="0" w:space="0" w:color="auto"/>
            <w:left w:val="none" w:sz="0" w:space="0" w:color="auto"/>
            <w:bottom w:val="none" w:sz="0" w:space="0" w:color="auto"/>
            <w:right w:val="none" w:sz="0" w:space="0" w:color="auto"/>
          </w:divBdr>
        </w:div>
      </w:divsChild>
    </w:div>
    <w:div w:id="738291087">
      <w:marLeft w:val="0"/>
      <w:marRight w:val="0"/>
      <w:marTop w:val="0"/>
      <w:marBottom w:val="0"/>
      <w:divBdr>
        <w:top w:val="none" w:sz="0" w:space="0" w:color="auto"/>
        <w:left w:val="none" w:sz="0" w:space="0" w:color="auto"/>
        <w:bottom w:val="none" w:sz="0" w:space="0" w:color="auto"/>
        <w:right w:val="none" w:sz="0" w:space="0" w:color="auto"/>
      </w:divBdr>
    </w:div>
    <w:div w:id="738291088">
      <w:marLeft w:val="0"/>
      <w:marRight w:val="0"/>
      <w:marTop w:val="0"/>
      <w:marBottom w:val="0"/>
      <w:divBdr>
        <w:top w:val="none" w:sz="0" w:space="0" w:color="auto"/>
        <w:left w:val="none" w:sz="0" w:space="0" w:color="auto"/>
        <w:bottom w:val="none" w:sz="0" w:space="0" w:color="auto"/>
        <w:right w:val="none" w:sz="0" w:space="0" w:color="auto"/>
      </w:divBdr>
      <w:divsChild>
        <w:div w:id="738291093">
          <w:marLeft w:val="432"/>
          <w:marRight w:val="0"/>
          <w:marTop w:val="0"/>
          <w:marBottom w:val="0"/>
          <w:divBdr>
            <w:top w:val="none" w:sz="0" w:space="0" w:color="auto"/>
            <w:left w:val="none" w:sz="0" w:space="0" w:color="auto"/>
            <w:bottom w:val="none" w:sz="0" w:space="0" w:color="auto"/>
            <w:right w:val="none" w:sz="0" w:space="0" w:color="auto"/>
          </w:divBdr>
        </w:div>
      </w:divsChild>
    </w:div>
    <w:div w:id="738291089">
      <w:marLeft w:val="0"/>
      <w:marRight w:val="0"/>
      <w:marTop w:val="0"/>
      <w:marBottom w:val="0"/>
      <w:divBdr>
        <w:top w:val="none" w:sz="0" w:space="0" w:color="auto"/>
        <w:left w:val="none" w:sz="0" w:space="0" w:color="auto"/>
        <w:bottom w:val="none" w:sz="0" w:space="0" w:color="auto"/>
        <w:right w:val="none" w:sz="0" w:space="0" w:color="auto"/>
      </w:divBdr>
      <w:divsChild>
        <w:div w:id="738291085">
          <w:marLeft w:val="432"/>
          <w:marRight w:val="0"/>
          <w:marTop w:val="0"/>
          <w:marBottom w:val="0"/>
          <w:divBdr>
            <w:top w:val="none" w:sz="0" w:space="0" w:color="auto"/>
            <w:left w:val="none" w:sz="0" w:space="0" w:color="auto"/>
            <w:bottom w:val="none" w:sz="0" w:space="0" w:color="auto"/>
            <w:right w:val="none" w:sz="0" w:space="0" w:color="auto"/>
          </w:divBdr>
        </w:div>
        <w:div w:id="738291095">
          <w:marLeft w:val="432"/>
          <w:marRight w:val="0"/>
          <w:marTop w:val="0"/>
          <w:marBottom w:val="0"/>
          <w:divBdr>
            <w:top w:val="none" w:sz="0" w:space="0" w:color="auto"/>
            <w:left w:val="none" w:sz="0" w:space="0" w:color="auto"/>
            <w:bottom w:val="none" w:sz="0" w:space="0" w:color="auto"/>
            <w:right w:val="none" w:sz="0" w:space="0" w:color="auto"/>
          </w:divBdr>
        </w:div>
      </w:divsChild>
    </w:div>
    <w:div w:id="738291090">
      <w:marLeft w:val="0"/>
      <w:marRight w:val="0"/>
      <w:marTop w:val="0"/>
      <w:marBottom w:val="0"/>
      <w:divBdr>
        <w:top w:val="none" w:sz="0" w:space="0" w:color="auto"/>
        <w:left w:val="none" w:sz="0" w:space="0" w:color="auto"/>
        <w:bottom w:val="none" w:sz="0" w:space="0" w:color="auto"/>
        <w:right w:val="none" w:sz="0" w:space="0" w:color="auto"/>
      </w:divBdr>
    </w:div>
    <w:div w:id="738291091">
      <w:marLeft w:val="0"/>
      <w:marRight w:val="0"/>
      <w:marTop w:val="0"/>
      <w:marBottom w:val="0"/>
      <w:divBdr>
        <w:top w:val="none" w:sz="0" w:space="0" w:color="auto"/>
        <w:left w:val="none" w:sz="0" w:space="0" w:color="auto"/>
        <w:bottom w:val="none" w:sz="0" w:space="0" w:color="auto"/>
        <w:right w:val="none" w:sz="0" w:space="0" w:color="auto"/>
      </w:divBdr>
    </w:div>
    <w:div w:id="738291092">
      <w:marLeft w:val="0"/>
      <w:marRight w:val="0"/>
      <w:marTop w:val="0"/>
      <w:marBottom w:val="0"/>
      <w:divBdr>
        <w:top w:val="none" w:sz="0" w:space="0" w:color="auto"/>
        <w:left w:val="none" w:sz="0" w:space="0" w:color="auto"/>
        <w:bottom w:val="none" w:sz="0" w:space="0" w:color="auto"/>
        <w:right w:val="none" w:sz="0" w:space="0" w:color="auto"/>
      </w:divBdr>
    </w:div>
    <w:div w:id="738291098">
      <w:marLeft w:val="0"/>
      <w:marRight w:val="0"/>
      <w:marTop w:val="0"/>
      <w:marBottom w:val="0"/>
      <w:divBdr>
        <w:top w:val="none" w:sz="0" w:space="0" w:color="auto"/>
        <w:left w:val="none" w:sz="0" w:space="0" w:color="auto"/>
        <w:bottom w:val="none" w:sz="0" w:space="0" w:color="auto"/>
        <w:right w:val="none" w:sz="0" w:space="0" w:color="auto"/>
      </w:divBdr>
      <w:divsChild>
        <w:div w:id="738291081">
          <w:marLeft w:val="432"/>
          <w:marRight w:val="0"/>
          <w:marTop w:val="0"/>
          <w:marBottom w:val="0"/>
          <w:divBdr>
            <w:top w:val="none" w:sz="0" w:space="0" w:color="auto"/>
            <w:left w:val="none" w:sz="0" w:space="0" w:color="auto"/>
            <w:bottom w:val="none" w:sz="0" w:space="0" w:color="auto"/>
            <w:right w:val="none" w:sz="0" w:space="0" w:color="auto"/>
          </w:divBdr>
        </w:div>
        <w:div w:id="738291083">
          <w:marLeft w:val="432"/>
          <w:marRight w:val="0"/>
          <w:marTop w:val="0"/>
          <w:marBottom w:val="0"/>
          <w:divBdr>
            <w:top w:val="none" w:sz="0" w:space="0" w:color="auto"/>
            <w:left w:val="none" w:sz="0" w:space="0" w:color="auto"/>
            <w:bottom w:val="none" w:sz="0" w:space="0" w:color="auto"/>
            <w:right w:val="none" w:sz="0" w:space="0" w:color="auto"/>
          </w:divBdr>
        </w:div>
        <w:div w:id="738291096">
          <w:marLeft w:val="432"/>
          <w:marRight w:val="0"/>
          <w:marTop w:val="0"/>
          <w:marBottom w:val="0"/>
          <w:divBdr>
            <w:top w:val="none" w:sz="0" w:space="0" w:color="auto"/>
            <w:left w:val="none" w:sz="0" w:space="0" w:color="auto"/>
            <w:bottom w:val="none" w:sz="0" w:space="0" w:color="auto"/>
            <w:right w:val="none" w:sz="0" w:space="0" w:color="auto"/>
          </w:divBdr>
        </w:div>
      </w:divsChild>
    </w:div>
    <w:div w:id="7382910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ennifer@johnson-woods.com" TargetMode="External"/><Relationship Id="rId3" Type="http://schemas.openxmlformats.org/officeDocument/2006/relationships/settings" Target="settings.xml"/><Relationship Id="rId7" Type="http://schemas.openxmlformats.org/officeDocument/2006/relationships/hyperlink" Target="mailto:george@johnson-woo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2952</Words>
  <Characters>16833</Characters>
  <Application>Microsoft Office Outlook</Application>
  <DocSecurity>0</DocSecurity>
  <Lines>0</Lines>
  <Paragraphs>0</Paragraphs>
  <ScaleCrop>false</ScaleCrop>
  <Company>Public Defender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the Law</dc:title>
  <dc:subject/>
  <dc:creator>Jennifer Johnson</dc:creator>
  <cp:keywords/>
  <dc:description/>
  <cp:lastModifiedBy>Hayley Bower</cp:lastModifiedBy>
  <cp:revision>2</cp:revision>
  <cp:lastPrinted>2012-09-04T19:46:00Z</cp:lastPrinted>
  <dcterms:created xsi:type="dcterms:W3CDTF">2012-10-17T16:01:00Z</dcterms:created>
  <dcterms:modified xsi:type="dcterms:W3CDTF">2012-10-17T16:01:00Z</dcterms:modified>
</cp:coreProperties>
</file>