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A067" w14:textId="77FED7D2" w:rsidR="00B85915" w:rsidRPr="0015348B" w:rsidRDefault="00F54DE2" w:rsidP="00C86071">
      <w:pPr>
        <w:ind w:right="90"/>
        <w:jc w:val="both"/>
        <w:rPr>
          <w:rFonts w:asciiTheme="majorHAnsi" w:hAnsiTheme="majorHAnsi" w:cstheme="majorHAnsi"/>
          <w:b/>
          <w:color w:val="4F81BD"/>
        </w:rPr>
      </w:pPr>
      <w:r w:rsidRPr="0015348B">
        <w:rPr>
          <w:rFonts w:asciiTheme="majorHAnsi" w:hAnsiTheme="majorHAnsi" w:cstheme="majorHAnsi"/>
          <w:b/>
          <w:color w:val="000000"/>
        </w:rPr>
        <w:t>B</w:t>
      </w:r>
    </w:p>
    <w:p w14:paraId="62EF4F54" w14:textId="77777777" w:rsidR="00B85915" w:rsidRPr="0015348B" w:rsidRDefault="00B85915">
      <w:pPr>
        <w:jc w:val="both"/>
        <w:rPr>
          <w:rFonts w:asciiTheme="majorHAnsi" w:hAnsiTheme="majorHAnsi" w:cstheme="majorHAnsi"/>
          <w:b/>
          <w:color w:val="FF0000"/>
        </w:rPr>
      </w:pPr>
    </w:p>
    <w:p w14:paraId="11C34766" w14:textId="77777777" w:rsidR="00B85915" w:rsidRPr="0015348B" w:rsidRDefault="00F54DE2">
      <w:pPr>
        <w:jc w:val="center"/>
        <w:rPr>
          <w:rFonts w:asciiTheme="majorHAnsi" w:hAnsiTheme="majorHAnsi" w:cstheme="majorHAnsi"/>
          <w:b/>
        </w:rPr>
      </w:pPr>
      <w:r w:rsidRPr="0015348B">
        <w:rPr>
          <w:rFonts w:asciiTheme="majorHAnsi" w:hAnsiTheme="majorHAnsi" w:cstheme="majorHAnsi"/>
          <w:b/>
        </w:rPr>
        <w:t>Syllabus and Course Schedule</w:t>
      </w:r>
    </w:p>
    <w:p w14:paraId="0B96CD87" w14:textId="56C6F317" w:rsidR="00B85915" w:rsidRPr="0015348B" w:rsidRDefault="00463A5D">
      <w:pPr>
        <w:jc w:val="center"/>
        <w:rPr>
          <w:rFonts w:asciiTheme="majorHAnsi" w:hAnsiTheme="majorHAnsi" w:cstheme="majorHAnsi"/>
          <w:b/>
        </w:rPr>
      </w:pPr>
      <w:r w:rsidRPr="0015348B">
        <w:rPr>
          <w:rFonts w:asciiTheme="majorHAnsi" w:hAnsiTheme="majorHAnsi" w:cstheme="majorHAnsi"/>
          <w:b/>
        </w:rPr>
        <w:t>278.8S Sec. 001</w:t>
      </w:r>
      <w:r w:rsidR="00F54DE2" w:rsidRPr="0015348B">
        <w:rPr>
          <w:rFonts w:asciiTheme="majorHAnsi" w:hAnsiTheme="majorHAnsi" w:cstheme="majorHAnsi"/>
          <w:b/>
        </w:rPr>
        <w:t xml:space="preserve"> – </w:t>
      </w:r>
      <w:r w:rsidRPr="0015348B">
        <w:rPr>
          <w:rFonts w:asciiTheme="majorHAnsi" w:hAnsiTheme="majorHAnsi" w:cstheme="majorHAnsi"/>
          <w:b/>
        </w:rPr>
        <w:t>Wine Law</w:t>
      </w:r>
    </w:p>
    <w:p w14:paraId="335773BC" w14:textId="11CEAE1C" w:rsidR="00B85915" w:rsidRPr="0015348B" w:rsidRDefault="00F54DE2">
      <w:pPr>
        <w:jc w:val="center"/>
        <w:rPr>
          <w:rFonts w:asciiTheme="majorHAnsi" w:hAnsiTheme="majorHAnsi" w:cstheme="majorHAnsi"/>
          <w:b/>
        </w:rPr>
      </w:pPr>
      <w:r w:rsidRPr="0015348B">
        <w:rPr>
          <w:rFonts w:asciiTheme="majorHAnsi" w:hAnsiTheme="majorHAnsi" w:cstheme="majorHAnsi"/>
          <w:b/>
        </w:rPr>
        <w:t>Summer 202</w:t>
      </w:r>
      <w:r w:rsidR="001635A5">
        <w:rPr>
          <w:rFonts w:asciiTheme="majorHAnsi" w:hAnsiTheme="majorHAnsi" w:cstheme="majorHAnsi"/>
          <w:b/>
        </w:rPr>
        <w:t>4</w:t>
      </w:r>
      <w:r w:rsidRPr="0015348B">
        <w:rPr>
          <w:rFonts w:asciiTheme="majorHAnsi" w:hAnsiTheme="majorHAnsi" w:cstheme="majorHAnsi"/>
          <w:b/>
        </w:rPr>
        <w:t>, Quarte</w:t>
      </w:r>
      <w:r w:rsidR="00C86071" w:rsidRPr="0015348B">
        <w:rPr>
          <w:rFonts w:asciiTheme="majorHAnsi" w:hAnsiTheme="majorHAnsi" w:cstheme="majorHAnsi"/>
          <w:b/>
        </w:rPr>
        <w:t>r 2, 1 Unit</w:t>
      </w:r>
    </w:p>
    <w:p w14:paraId="3CFFB5E9" w14:textId="77777777" w:rsidR="00B85915" w:rsidRPr="0015348B" w:rsidRDefault="00B85915">
      <w:pPr>
        <w:jc w:val="both"/>
        <w:rPr>
          <w:rFonts w:asciiTheme="majorHAnsi" w:hAnsiTheme="majorHAnsi" w:cstheme="majorHAnsi"/>
          <w:b/>
        </w:rPr>
      </w:pPr>
    </w:p>
    <w:p w14:paraId="38F2717A" w14:textId="77777777" w:rsidR="00B85915" w:rsidRPr="0015348B" w:rsidRDefault="00F54DE2">
      <w:pPr>
        <w:jc w:val="both"/>
        <w:rPr>
          <w:rFonts w:asciiTheme="majorHAnsi" w:hAnsiTheme="majorHAnsi" w:cstheme="majorHAnsi"/>
          <w:b/>
        </w:rPr>
      </w:pPr>
      <w:r w:rsidRPr="0015348B">
        <w:rPr>
          <w:rFonts w:asciiTheme="majorHAnsi" w:hAnsiTheme="majorHAnsi" w:cstheme="majorHAnsi"/>
          <w:b/>
        </w:rPr>
        <w:t>Instructor Information</w:t>
      </w:r>
    </w:p>
    <w:p w14:paraId="47F83A40" w14:textId="55F637CC" w:rsidR="00B85915" w:rsidRPr="0015348B" w:rsidRDefault="00F54DE2">
      <w:pPr>
        <w:tabs>
          <w:tab w:val="left" w:pos="1260"/>
        </w:tabs>
        <w:jc w:val="both"/>
        <w:rPr>
          <w:rFonts w:asciiTheme="majorHAnsi" w:hAnsiTheme="majorHAnsi" w:cstheme="majorHAnsi"/>
        </w:rPr>
      </w:pPr>
      <w:r w:rsidRPr="0015348B">
        <w:rPr>
          <w:rFonts w:asciiTheme="majorHAnsi" w:hAnsiTheme="majorHAnsi" w:cstheme="majorHAnsi"/>
        </w:rPr>
        <w:t xml:space="preserve">Instructor: </w:t>
      </w:r>
      <w:r w:rsidR="00463A5D" w:rsidRPr="0015348B">
        <w:rPr>
          <w:rFonts w:asciiTheme="majorHAnsi" w:hAnsiTheme="majorHAnsi" w:cstheme="majorHAnsi"/>
        </w:rPr>
        <w:t xml:space="preserve">John Trinidad  </w:t>
      </w:r>
    </w:p>
    <w:p w14:paraId="18DF766E" w14:textId="662AA318" w:rsidR="00B85915" w:rsidRPr="0015348B" w:rsidRDefault="00F54DE2">
      <w:pPr>
        <w:tabs>
          <w:tab w:val="left" w:pos="1260"/>
        </w:tabs>
        <w:jc w:val="both"/>
        <w:rPr>
          <w:rFonts w:asciiTheme="majorHAnsi" w:hAnsiTheme="majorHAnsi" w:cstheme="majorHAnsi"/>
          <w:i/>
        </w:rPr>
      </w:pPr>
      <w:r w:rsidRPr="0015348B">
        <w:rPr>
          <w:rFonts w:asciiTheme="majorHAnsi" w:hAnsiTheme="majorHAnsi" w:cstheme="majorHAnsi"/>
        </w:rPr>
        <w:t xml:space="preserve">Email: </w:t>
      </w:r>
      <w:r w:rsidR="00463A5D" w:rsidRPr="0015348B">
        <w:rPr>
          <w:rFonts w:asciiTheme="majorHAnsi" w:hAnsiTheme="majorHAnsi" w:cstheme="majorHAnsi"/>
        </w:rPr>
        <w:t>j</w:t>
      </w:r>
      <w:r w:rsidR="001E0482">
        <w:rPr>
          <w:rFonts w:asciiTheme="majorHAnsi" w:hAnsiTheme="majorHAnsi" w:cstheme="majorHAnsi"/>
        </w:rPr>
        <w:t>ohn.</w:t>
      </w:r>
      <w:r w:rsidR="00463A5D" w:rsidRPr="0015348B">
        <w:rPr>
          <w:rFonts w:asciiTheme="majorHAnsi" w:hAnsiTheme="majorHAnsi" w:cstheme="majorHAnsi"/>
        </w:rPr>
        <w:t>trinidad@berkeley.edu</w:t>
      </w:r>
    </w:p>
    <w:p w14:paraId="4FCF10E2" w14:textId="77777777" w:rsidR="00B85915" w:rsidRPr="0015348B" w:rsidRDefault="00B85915">
      <w:pPr>
        <w:tabs>
          <w:tab w:val="left" w:pos="1260"/>
        </w:tabs>
        <w:jc w:val="both"/>
        <w:rPr>
          <w:rFonts w:asciiTheme="majorHAnsi" w:hAnsiTheme="majorHAnsi" w:cstheme="majorHAnsi"/>
          <w:i/>
        </w:rPr>
      </w:pPr>
    </w:p>
    <w:p w14:paraId="55C78D69" w14:textId="723A1D49" w:rsidR="00B85915" w:rsidRPr="0015348B" w:rsidRDefault="00F54DE2">
      <w:pPr>
        <w:tabs>
          <w:tab w:val="left" w:pos="1260"/>
        </w:tabs>
        <w:jc w:val="both"/>
        <w:rPr>
          <w:rFonts w:asciiTheme="majorHAnsi" w:hAnsiTheme="majorHAnsi" w:cstheme="majorHAnsi"/>
          <w:i/>
        </w:rPr>
      </w:pPr>
      <w:r w:rsidRPr="0015348B">
        <w:rPr>
          <w:rFonts w:asciiTheme="majorHAnsi" w:hAnsiTheme="majorHAnsi" w:cstheme="majorHAnsi"/>
        </w:rPr>
        <w:t xml:space="preserve">Phone: </w:t>
      </w:r>
      <w:r w:rsidR="00463A5D" w:rsidRPr="0015348B">
        <w:rPr>
          <w:rFonts w:asciiTheme="majorHAnsi" w:hAnsiTheme="majorHAnsi" w:cstheme="majorHAnsi"/>
          <w:i/>
        </w:rPr>
        <w:t>707-261-7042</w:t>
      </w:r>
    </w:p>
    <w:p w14:paraId="6388D0C8" w14:textId="77777777" w:rsidR="00B85915" w:rsidRPr="0015348B" w:rsidRDefault="00B85915">
      <w:pPr>
        <w:tabs>
          <w:tab w:val="left" w:pos="1260"/>
        </w:tabs>
        <w:jc w:val="both"/>
        <w:rPr>
          <w:rFonts w:asciiTheme="majorHAnsi" w:hAnsiTheme="majorHAnsi" w:cstheme="majorHAnsi"/>
          <w:i/>
        </w:rPr>
      </w:pPr>
    </w:p>
    <w:p w14:paraId="12BE681E" w14:textId="1C6F6F30" w:rsidR="00B85915" w:rsidRPr="0015348B" w:rsidRDefault="00F54DE2">
      <w:pPr>
        <w:jc w:val="both"/>
        <w:rPr>
          <w:rFonts w:asciiTheme="majorHAnsi" w:hAnsiTheme="majorHAnsi" w:cstheme="majorHAnsi"/>
        </w:rPr>
      </w:pPr>
      <w:r w:rsidRPr="0015348B">
        <w:rPr>
          <w:rFonts w:asciiTheme="majorHAnsi" w:hAnsiTheme="majorHAnsi" w:cstheme="majorHAnsi"/>
        </w:rPr>
        <w:t xml:space="preserve">Office Hours: </w:t>
      </w:r>
      <w:r w:rsidR="00463A5D" w:rsidRPr="0015348B">
        <w:rPr>
          <w:rFonts w:asciiTheme="majorHAnsi" w:hAnsiTheme="majorHAnsi" w:cstheme="majorHAnsi"/>
        </w:rPr>
        <w:t xml:space="preserve">By appointment.  Please email to schedule. </w:t>
      </w:r>
    </w:p>
    <w:p w14:paraId="2DAD0A1C" w14:textId="77777777" w:rsidR="00B85915" w:rsidRPr="0015348B" w:rsidRDefault="00B85915">
      <w:pPr>
        <w:jc w:val="both"/>
        <w:rPr>
          <w:rFonts w:asciiTheme="majorHAnsi" w:hAnsiTheme="majorHAnsi" w:cstheme="majorHAnsi"/>
          <w:i/>
          <w:color w:val="0000FF"/>
        </w:rPr>
      </w:pPr>
    </w:p>
    <w:p w14:paraId="6269AB63" w14:textId="77777777" w:rsidR="00B85915" w:rsidRPr="0015348B" w:rsidRDefault="00F54DE2">
      <w:pPr>
        <w:jc w:val="both"/>
        <w:rPr>
          <w:rFonts w:asciiTheme="majorHAnsi" w:hAnsiTheme="majorHAnsi" w:cstheme="majorHAnsi"/>
          <w:b/>
          <w:i/>
          <w:color w:val="0000FF"/>
        </w:rPr>
      </w:pPr>
      <w:r w:rsidRPr="0015348B">
        <w:rPr>
          <w:rFonts w:asciiTheme="majorHAnsi" w:hAnsiTheme="majorHAnsi" w:cstheme="majorHAnsi"/>
          <w:b/>
        </w:rPr>
        <w:t xml:space="preserve">Course Information </w:t>
      </w:r>
    </w:p>
    <w:p w14:paraId="0D70F00C" w14:textId="55E10287" w:rsidR="00C86071" w:rsidRPr="0015348B" w:rsidRDefault="00F54DE2">
      <w:pPr>
        <w:pStyle w:val="Heading3"/>
        <w:tabs>
          <w:tab w:val="left" w:pos="1260"/>
        </w:tabs>
        <w:spacing w:before="0"/>
        <w:jc w:val="both"/>
        <w:rPr>
          <w:rFonts w:asciiTheme="majorHAnsi" w:eastAsia="Calibri" w:hAnsiTheme="majorHAnsi" w:cstheme="majorHAnsi"/>
          <w:b w:val="0"/>
          <w:color w:val="000000"/>
          <w:sz w:val="22"/>
          <w:szCs w:val="22"/>
        </w:rPr>
      </w:pPr>
      <w:r w:rsidRPr="0015348B">
        <w:rPr>
          <w:rFonts w:asciiTheme="majorHAnsi" w:eastAsia="Calibri" w:hAnsiTheme="majorHAnsi" w:cstheme="majorHAnsi"/>
          <w:b w:val="0"/>
          <w:color w:val="000000"/>
          <w:sz w:val="22"/>
          <w:szCs w:val="22"/>
        </w:rPr>
        <w:t>Meetings:</w:t>
      </w:r>
      <w:r w:rsidR="00C86071" w:rsidRPr="0015348B">
        <w:rPr>
          <w:rFonts w:asciiTheme="majorHAnsi" w:eastAsia="Calibri" w:hAnsiTheme="majorHAnsi" w:cstheme="majorHAnsi"/>
          <w:b w:val="0"/>
          <w:color w:val="000000"/>
          <w:sz w:val="22"/>
          <w:szCs w:val="22"/>
        </w:rPr>
        <w:t xml:space="preserve"> June </w:t>
      </w:r>
      <w:r w:rsidR="001635A5">
        <w:rPr>
          <w:rFonts w:asciiTheme="majorHAnsi" w:eastAsia="Calibri" w:hAnsiTheme="majorHAnsi" w:cstheme="majorHAnsi"/>
          <w:b w:val="0"/>
          <w:color w:val="000000"/>
          <w:sz w:val="22"/>
          <w:szCs w:val="22"/>
        </w:rPr>
        <w:t>4</w:t>
      </w:r>
      <w:r w:rsidR="00C86071" w:rsidRPr="0015348B">
        <w:rPr>
          <w:rFonts w:asciiTheme="majorHAnsi" w:eastAsia="Calibri" w:hAnsiTheme="majorHAnsi" w:cstheme="majorHAnsi"/>
          <w:b w:val="0"/>
          <w:color w:val="000000"/>
          <w:sz w:val="22"/>
          <w:szCs w:val="22"/>
        </w:rPr>
        <w:t>-1</w:t>
      </w:r>
      <w:r w:rsidR="001635A5">
        <w:rPr>
          <w:rFonts w:asciiTheme="majorHAnsi" w:eastAsia="Calibri" w:hAnsiTheme="majorHAnsi" w:cstheme="majorHAnsi"/>
          <w:b w:val="0"/>
          <w:color w:val="000000"/>
          <w:sz w:val="22"/>
          <w:szCs w:val="22"/>
        </w:rPr>
        <w:t>3</w:t>
      </w:r>
    </w:p>
    <w:p w14:paraId="6FBEDEF9" w14:textId="77777777" w:rsidR="00C86071" w:rsidRPr="0015348B" w:rsidRDefault="00C86071">
      <w:pPr>
        <w:pStyle w:val="Heading3"/>
        <w:tabs>
          <w:tab w:val="left" w:pos="1260"/>
        </w:tabs>
        <w:spacing w:before="0"/>
        <w:jc w:val="both"/>
        <w:rPr>
          <w:rFonts w:asciiTheme="majorHAnsi" w:eastAsia="Calibri" w:hAnsiTheme="majorHAnsi" w:cstheme="majorHAnsi"/>
          <w:b w:val="0"/>
          <w:color w:val="000000"/>
          <w:sz w:val="22"/>
          <w:szCs w:val="22"/>
        </w:rPr>
      </w:pPr>
      <w:r w:rsidRPr="0015348B">
        <w:rPr>
          <w:rFonts w:asciiTheme="majorHAnsi" w:eastAsia="Calibri" w:hAnsiTheme="majorHAnsi" w:cstheme="majorHAnsi"/>
          <w:b w:val="0"/>
          <w:color w:val="000000"/>
          <w:sz w:val="22"/>
          <w:szCs w:val="22"/>
        </w:rPr>
        <w:t>Tuesdays / Thursdays 2:00pm – 5:15PM</w:t>
      </w:r>
    </w:p>
    <w:p w14:paraId="6FE2EA0E" w14:textId="77777777" w:rsidR="00B85915" w:rsidRPr="0015348B" w:rsidRDefault="00B85915">
      <w:pPr>
        <w:rPr>
          <w:rFonts w:asciiTheme="majorHAnsi" w:hAnsiTheme="majorHAnsi" w:cstheme="majorHAnsi"/>
        </w:rPr>
      </w:pPr>
    </w:p>
    <w:p w14:paraId="6F3A028F" w14:textId="77777777" w:rsidR="00B85915" w:rsidRPr="0015348B" w:rsidRDefault="00F54DE2">
      <w:pPr>
        <w:jc w:val="both"/>
        <w:rPr>
          <w:rFonts w:asciiTheme="majorHAnsi" w:hAnsiTheme="majorHAnsi" w:cstheme="majorHAnsi"/>
          <w:b/>
        </w:rPr>
      </w:pPr>
      <w:r w:rsidRPr="0015348B">
        <w:rPr>
          <w:rFonts w:asciiTheme="majorHAnsi" w:hAnsiTheme="majorHAnsi" w:cstheme="majorHAnsi"/>
          <w:b/>
        </w:rPr>
        <w:t>Welcome and Course Description</w:t>
      </w:r>
    </w:p>
    <w:p w14:paraId="28518A7C" w14:textId="77777777" w:rsidR="00463A5D" w:rsidRPr="0015348B" w:rsidRDefault="00463A5D" w:rsidP="00463A5D">
      <w:pPr>
        <w:jc w:val="both"/>
        <w:rPr>
          <w:rFonts w:asciiTheme="majorHAnsi" w:hAnsiTheme="majorHAnsi" w:cstheme="majorHAnsi"/>
        </w:rPr>
      </w:pPr>
      <w:r w:rsidRPr="0015348B">
        <w:rPr>
          <w:rFonts w:asciiTheme="majorHAnsi" w:hAnsiTheme="majorHAnsi" w:cstheme="majorHAnsi"/>
        </w:rPr>
        <w:t>Welcome to California – home of some of the world’s most acclaimed wine growing regions.  California accounts for 81 percent of all wines produced in the United States and is the fourth largest wine producer in the world behind France, Italy, and Spain. The California wine industry has an annual impact of $57.6 billion on the state’s economy and $114 billion on the national economy. Wine is the number one finished agricultural product in the state. This course examines the major legal issues facing the wine industry in the areas of constitutional law, administrative law, and intellectual property. Specific topics include Prohibition and Twenty-first Amendment jurisprudence, federal and state alcohol beverage regulatory systems, wine labeling, and appellations of origin. There are no prerequisites.</w:t>
      </w:r>
    </w:p>
    <w:p w14:paraId="380DFC01" w14:textId="77777777" w:rsidR="00B85915" w:rsidRPr="0015348B" w:rsidRDefault="00B85915">
      <w:pPr>
        <w:rPr>
          <w:rFonts w:asciiTheme="majorHAnsi" w:hAnsiTheme="majorHAnsi" w:cstheme="majorHAnsi"/>
        </w:rPr>
      </w:pPr>
    </w:p>
    <w:p w14:paraId="0B897AE6" w14:textId="77777777" w:rsidR="00B85915" w:rsidRPr="0015348B" w:rsidRDefault="00F54DE2">
      <w:pPr>
        <w:pStyle w:val="Heading3"/>
        <w:spacing w:before="0"/>
        <w:jc w:val="both"/>
        <w:rPr>
          <w:rFonts w:asciiTheme="majorHAnsi" w:eastAsia="Calibri" w:hAnsiTheme="majorHAnsi" w:cstheme="majorHAnsi"/>
          <w:color w:val="C00000"/>
          <w:sz w:val="22"/>
          <w:szCs w:val="22"/>
        </w:rPr>
      </w:pPr>
      <w:r w:rsidRPr="0015348B">
        <w:rPr>
          <w:rFonts w:asciiTheme="majorHAnsi" w:eastAsia="Calibri" w:hAnsiTheme="majorHAnsi" w:cstheme="majorHAnsi"/>
          <w:sz w:val="22"/>
          <w:szCs w:val="22"/>
        </w:rPr>
        <w:t xml:space="preserve">Textbook/Course Materials </w:t>
      </w:r>
    </w:p>
    <w:p w14:paraId="727312EC" w14:textId="24FE429D" w:rsidR="00C86071" w:rsidRPr="0034398F" w:rsidRDefault="00C86071" w:rsidP="00C86071">
      <w:pPr>
        <w:pStyle w:val="Heading3"/>
        <w:jc w:val="both"/>
        <w:rPr>
          <w:rFonts w:asciiTheme="majorHAnsi" w:eastAsia="Calibri" w:hAnsiTheme="majorHAnsi" w:cstheme="majorHAnsi"/>
          <w:b w:val="0"/>
          <w:sz w:val="22"/>
          <w:szCs w:val="22"/>
        </w:rPr>
      </w:pPr>
      <w:r w:rsidRPr="0015348B">
        <w:rPr>
          <w:rFonts w:asciiTheme="majorHAnsi" w:eastAsia="Calibri" w:hAnsiTheme="majorHAnsi" w:cstheme="majorHAnsi"/>
          <w:b w:val="0"/>
          <w:sz w:val="22"/>
          <w:szCs w:val="22"/>
        </w:rPr>
        <w:t xml:space="preserve">Required Reading:  </w:t>
      </w:r>
      <w:r w:rsidRPr="0034398F">
        <w:rPr>
          <w:rFonts w:asciiTheme="majorHAnsi" w:eastAsia="Calibri" w:hAnsiTheme="majorHAnsi" w:cstheme="majorHAnsi"/>
          <w:b w:val="0"/>
          <w:sz w:val="22"/>
          <w:szCs w:val="22"/>
        </w:rPr>
        <w:t>Richard Mendelson, ed., Wine in America: Law and Policy (</w:t>
      </w:r>
      <w:r w:rsidR="0034398F" w:rsidRPr="0034398F">
        <w:rPr>
          <w:rFonts w:asciiTheme="majorHAnsi" w:eastAsia="Calibri" w:hAnsiTheme="majorHAnsi" w:cstheme="majorHAnsi"/>
          <w:b w:val="0"/>
          <w:sz w:val="22"/>
          <w:szCs w:val="22"/>
        </w:rPr>
        <w:t>Second Edition, Aspen Publishing 2023</w:t>
      </w:r>
      <w:r w:rsidRPr="0034398F">
        <w:rPr>
          <w:rFonts w:asciiTheme="majorHAnsi" w:eastAsia="Calibri" w:hAnsiTheme="majorHAnsi" w:cstheme="majorHAnsi"/>
          <w:b w:val="0"/>
          <w:sz w:val="22"/>
          <w:szCs w:val="22"/>
        </w:rPr>
        <w:t>)</w:t>
      </w:r>
    </w:p>
    <w:p w14:paraId="43A9CCE3" w14:textId="4F2E72A9" w:rsidR="00C86071" w:rsidRPr="0015348B" w:rsidRDefault="00C86071" w:rsidP="00C86071">
      <w:pPr>
        <w:pStyle w:val="Heading3"/>
        <w:jc w:val="both"/>
        <w:rPr>
          <w:rFonts w:asciiTheme="majorHAnsi" w:eastAsia="Calibri" w:hAnsiTheme="majorHAnsi" w:cstheme="majorHAnsi"/>
          <w:b w:val="0"/>
          <w:sz w:val="22"/>
          <w:szCs w:val="22"/>
        </w:rPr>
      </w:pPr>
      <w:r w:rsidRPr="0034398F">
        <w:rPr>
          <w:rFonts w:asciiTheme="majorHAnsi" w:eastAsia="Calibri" w:hAnsiTheme="majorHAnsi" w:cstheme="majorHAnsi"/>
          <w:b w:val="0"/>
          <w:sz w:val="22"/>
          <w:szCs w:val="22"/>
        </w:rPr>
        <w:t>Recommended Reading:</w:t>
      </w:r>
      <w:r w:rsidRPr="0015348B">
        <w:rPr>
          <w:rFonts w:asciiTheme="majorHAnsi" w:eastAsia="Calibri" w:hAnsiTheme="majorHAnsi" w:cstheme="majorHAnsi"/>
          <w:b w:val="0"/>
          <w:sz w:val="22"/>
          <w:szCs w:val="22"/>
        </w:rPr>
        <w:t xml:space="preserve">  Richard Mendelson, From Demon to Darling: A Legal History of Wine in America (UC Press 2009)</w:t>
      </w:r>
      <w:r w:rsidR="0015348B">
        <w:rPr>
          <w:rFonts w:asciiTheme="majorHAnsi" w:eastAsia="Calibri" w:hAnsiTheme="majorHAnsi" w:cstheme="majorHAnsi"/>
          <w:b w:val="0"/>
          <w:sz w:val="22"/>
          <w:szCs w:val="22"/>
        </w:rPr>
        <w:t xml:space="preserve"> </w:t>
      </w:r>
      <w:r w:rsidR="0015348B" w:rsidRPr="00C16B2D">
        <w:rPr>
          <w:rFonts w:asciiTheme="majorHAnsi" w:eastAsia="Calibri" w:hAnsiTheme="majorHAnsi" w:cstheme="majorHAnsi"/>
          <w:bCs/>
          <w:i/>
          <w:iCs/>
          <w:sz w:val="22"/>
          <w:szCs w:val="22"/>
        </w:rPr>
        <w:t xml:space="preserve">(electronic version available via Berkeley Law Library </w:t>
      </w:r>
      <w:r w:rsidR="00C16B2D" w:rsidRPr="00C16B2D">
        <w:rPr>
          <w:rFonts w:asciiTheme="majorHAnsi" w:eastAsia="Calibri" w:hAnsiTheme="majorHAnsi" w:cstheme="majorHAnsi"/>
          <w:bCs/>
          <w:i/>
          <w:iCs/>
          <w:sz w:val="22"/>
          <w:szCs w:val="22"/>
        </w:rPr>
        <w:t>– ProQuest)</w:t>
      </w:r>
    </w:p>
    <w:p w14:paraId="642602B2" w14:textId="77777777" w:rsidR="00C86071" w:rsidRPr="0015348B" w:rsidRDefault="00C86071" w:rsidP="00C86071">
      <w:pPr>
        <w:pStyle w:val="Heading3"/>
        <w:jc w:val="both"/>
        <w:rPr>
          <w:rFonts w:asciiTheme="majorHAnsi" w:eastAsia="Calibri" w:hAnsiTheme="majorHAnsi" w:cstheme="majorHAnsi"/>
          <w:b w:val="0"/>
          <w:sz w:val="22"/>
          <w:szCs w:val="22"/>
        </w:rPr>
      </w:pPr>
      <w:r w:rsidRPr="0015348B">
        <w:rPr>
          <w:rFonts w:asciiTheme="majorHAnsi" w:eastAsia="Calibri" w:hAnsiTheme="majorHAnsi" w:cstheme="majorHAnsi"/>
          <w:b w:val="0"/>
          <w:sz w:val="22"/>
          <w:szCs w:val="22"/>
        </w:rPr>
        <w:t xml:space="preserve">Other reading material will be posted to bCourses.  </w:t>
      </w:r>
      <w:r w:rsidRPr="0015348B">
        <w:rPr>
          <w:rFonts w:asciiTheme="majorHAnsi" w:eastAsia="Arial" w:hAnsiTheme="majorHAnsi" w:cstheme="majorHAnsi"/>
          <w:sz w:val="22"/>
          <w:szCs w:val="22"/>
        </w:rPr>
        <w:t xml:space="preserve">  </w:t>
      </w:r>
    </w:p>
    <w:p w14:paraId="2804EAD2" w14:textId="77777777" w:rsidR="00C86071" w:rsidRPr="0015348B" w:rsidRDefault="00C86071">
      <w:pPr>
        <w:ind w:right="-180"/>
        <w:jc w:val="both"/>
        <w:rPr>
          <w:rFonts w:asciiTheme="majorHAnsi" w:hAnsiTheme="majorHAnsi" w:cstheme="majorHAnsi"/>
          <w:b/>
        </w:rPr>
      </w:pPr>
    </w:p>
    <w:p w14:paraId="0A6539C8" w14:textId="77777777" w:rsidR="00B85915" w:rsidRPr="0015348B" w:rsidRDefault="00F54DE2">
      <w:pPr>
        <w:ind w:right="-180"/>
        <w:jc w:val="both"/>
        <w:rPr>
          <w:rFonts w:asciiTheme="majorHAnsi" w:hAnsiTheme="majorHAnsi" w:cstheme="majorHAnsi"/>
          <w:b/>
        </w:rPr>
      </w:pPr>
      <w:r w:rsidRPr="0015348B">
        <w:rPr>
          <w:rFonts w:asciiTheme="majorHAnsi" w:hAnsiTheme="majorHAnsi" w:cstheme="majorHAnsi"/>
          <w:b/>
        </w:rPr>
        <w:t xml:space="preserve">bCourses </w:t>
      </w:r>
    </w:p>
    <w:p w14:paraId="2F9A06CC" w14:textId="77777777" w:rsidR="00C86071" w:rsidRPr="0015348B" w:rsidRDefault="00F54DE2" w:rsidP="00C86071">
      <w:pPr>
        <w:ind w:right="-180"/>
        <w:jc w:val="both"/>
        <w:rPr>
          <w:rFonts w:asciiTheme="majorHAnsi" w:hAnsiTheme="majorHAnsi" w:cstheme="majorHAnsi"/>
          <w:color w:val="000000"/>
        </w:rPr>
      </w:pPr>
      <w:r w:rsidRPr="0015348B">
        <w:rPr>
          <w:rFonts w:asciiTheme="majorHAnsi" w:hAnsiTheme="majorHAnsi" w:cstheme="majorHAnsi"/>
          <w:color w:val="000000"/>
        </w:rPr>
        <w:t>Our class bCourse site is</w:t>
      </w:r>
      <w:r w:rsidR="00C86071" w:rsidRPr="0015348B">
        <w:rPr>
          <w:rFonts w:asciiTheme="majorHAnsi" w:hAnsiTheme="majorHAnsi" w:cstheme="majorHAnsi"/>
          <w:color w:val="000000"/>
        </w:rPr>
        <w:t xml:space="preserve"> </w:t>
      </w:r>
      <w:r w:rsidR="00C86071" w:rsidRPr="00AB5E6A">
        <w:rPr>
          <w:rFonts w:asciiTheme="majorHAnsi" w:hAnsiTheme="majorHAnsi" w:cstheme="majorHAnsi"/>
          <w:color w:val="000000"/>
          <w:highlight w:val="yellow"/>
        </w:rPr>
        <w:t>[TBD]</w:t>
      </w:r>
      <w:r w:rsidR="00C86071" w:rsidRPr="0015348B">
        <w:rPr>
          <w:rFonts w:asciiTheme="majorHAnsi" w:hAnsiTheme="majorHAnsi" w:cstheme="majorHAnsi"/>
          <w:color w:val="000000"/>
        </w:rPr>
        <w:t>.</w:t>
      </w:r>
    </w:p>
    <w:p w14:paraId="17F418E8" w14:textId="77777777" w:rsidR="00C86071" w:rsidRPr="0015348B" w:rsidRDefault="00C86071" w:rsidP="00C86071">
      <w:pPr>
        <w:pBdr>
          <w:top w:val="nil"/>
          <w:left w:val="nil"/>
          <w:bottom w:val="nil"/>
          <w:right w:val="nil"/>
          <w:between w:val="nil"/>
        </w:pBdr>
        <w:spacing w:before="200" w:after="120"/>
        <w:rPr>
          <w:rFonts w:asciiTheme="majorHAnsi" w:hAnsiTheme="majorHAnsi" w:cstheme="majorHAnsi"/>
          <w:color w:val="000000"/>
        </w:rPr>
      </w:pPr>
      <w:r w:rsidRPr="0015348B">
        <w:rPr>
          <w:rFonts w:asciiTheme="majorHAnsi" w:hAnsiTheme="majorHAnsi" w:cstheme="majorHAnsi"/>
          <w:color w:val="000000"/>
        </w:rPr>
        <w:t xml:space="preserve">We will use the site to post assignments and course updates, as well as post wine industry news stories that may be of interest as part of discussion forums.  </w:t>
      </w:r>
    </w:p>
    <w:p w14:paraId="39BA91C2" w14:textId="2EBEEBC8" w:rsidR="00B85915" w:rsidRPr="0015348B" w:rsidRDefault="00C86071" w:rsidP="00470D1E">
      <w:pPr>
        <w:ind w:right="-180"/>
        <w:jc w:val="both"/>
        <w:rPr>
          <w:rFonts w:asciiTheme="majorHAnsi" w:hAnsiTheme="majorHAnsi" w:cstheme="majorHAnsi"/>
          <w:color w:val="000000"/>
        </w:rPr>
      </w:pPr>
      <w:r w:rsidRPr="0015348B">
        <w:rPr>
          <w:rFonts w:asciiTheme="majorHAnsi" w:hAnsiTheme="majorHAnsi" w:cstheme="majorHAnsi"/>
          <w:color w:val="000000"/>
        </w:rPr>
        <w:t xml:space="preserve">  </w:t>
      </w:r>
    </w:p>
    <w:p w14:paraId="7157B06F" w14:textId="342AD986" w:rsidR="00B85915" w:rsidRPr="00AB5E6A" w:rsidRDefault="00F54DE2" w:rsidP="00F254B2">
      <w:pPr>
        <w:jc w:val="both"/>
        <w:rPr>
          <w:rFonts w:asciiTheme="majorHAnsi" w:hAnsiTheme="majorHAnsi" w:cstheme="majorHAnsi"/>
          <w:b/>
          <w:bCs/>
        </w:rPr>
      </w:pPr>
      <w:r w:rsidRPr="00AB5E6A">
        <w:rPr>
          <w:rFonts w:asciiTheme="majorHAnsi" w:hAnsiTheme="majorHAnsi" w:cstheme="majorHAnsi"/>
          <w:b/>
          <w:bCs/>
        </w:rPr>
        <w:t>Class Meetings Format</w:t>
      </w:r>
    </w:p>
    <w:p w14:paraId="4C1875D4" w14:textId="45734524" w:rsidR="00B85915" w:rsidRPr="0015348B" w:rsidRDefault="00F54DE2">
      <w:pPr>
        <w:rPr>
          <w:rFonts w:asciiTheme="majorHAnsi" w:hAnsiTheme="majorHAnsi" w:cstheme="majorHAnsi"/>
          <w:b/>
        </w:rPr>
      </w:pPr>
      <w:r w:rsidRPr="0015348B">
        <w:rPr>
          <w:rFonts w:asciiTheme="majorHAnsi" w:hAnsiTheme="majorHAnsi" w:cstheme="majorHAnsi"/>
        </w:rPr>
        <w:t xml:space="preserve">This class will meet in person and attendance is required.  </w:t>
      </w:r>
    </w:p>
    <w:p w14:paraId="616D283F" w14:textId="77777777" w:rsidR="00B85915" w:rsidRPr="0015348B" w:rsidRDefault="00B85915">
      <w:pPr>
        <w:rPr>
          <w:rFonts w:asciiTheme="majorHAnsi" w:hAnsiTheme="majorHAnsi" w:cstheme="majorHAnsi"/>
          <w:b/>
        </w:rPr>
      </w:pPr>
    </w:p>
    <w:p w14:paraId="2512D068" w14:textId="77777777" w:rsidR="00F254B2" w:rsidRPr="0015348B" w:rsidRDefault="00F54DE2" w:rsidP="00F254B2">
      <w:pPr>
        <w:rPr>
          <w:rFonts w:asciiTheme="majorHAnsi" w:hAnsiTheme="majorHAnsi" w:cstheme="majorHAnsi"/>
          <w:b/>
        </w:rPr>
      </w:pPr>
      <w:r w:rsidRPr="0015348B">
        <w:rPr>
          <w:rFonts w:asciiTheme="majorHAnsi" w:hAnsiTheme="majorHAnsi" w:cstheme="majorHAnsi"/>
          <w:b/>
        </w:rPr>
        <w:t>Technology Help</w:t>
      </w:r>
    </w:p>
    <w:p w14:paraId="2F3A9294" w14:textId="0CB20913" w:rsidR="00B85915" w:rsidRPr="0015348B" w:rsidRDefault="00F54DE2" w:rsidP="00F254B2">
      <w:pPr>
        <w:rPr>
          <w:rFonts w:asciiTheme="majorHAnsi" w:hAnsiTheme="majorHAnsi" w:cstheme="majorHAnsi"/>
          <w:b/>
        </w:rPr>
      </w:pPr>
      <w:r w:rsidRPr="0015348B">
        <w:rPr>
          <w:rFonts w:asciiTheme="majorHAnsi" w:hAnsiTheme="majorHAnsi" w:cstheme="majorHAnsi"/>
        </w:rPr>
        <w:t xml:space="preserve">As a Berkeley Law student, you are entitled to general software support for your computer from the law school, and certain free software downloads from UC Berkeley, while enrolled. UC Berkeley does not </w:t>
      </w:r>
      <w:r w:rsidRPr="0015348B">
        <w:rPr>
          <w:rFonts w:asciiTheme="majorHAnsi" w:hAnsiTheme="majorHAnsi" w:cstheme="majorHAnsi"/>
        </w:rPr>
        <w:lastRenderedPageBreak/>
        <w:t xml:space="preserve">provide hardware support. Information, links, and instructions for many common computer/technical questions can be found in the law library's online computing guide: </w:t>
      </w:r>
      <w:hyperlink r:id="rId7">
        <w:r w:rsidRPr="0015348B">
          <w:rPr>
            <w:rFonts w:asciiTheme="majorHAnsi" w:hAnsiTheme="majorHAnsi" w:cstheme="majorHAnsi"/>
            <w:color w:val="1155CC"/>
            <w:u w:val="single"/>
          </w:rPr>
          <w:t>http://libguides.law.berkeley.edu/computing/home</w:t>
        </w:r>
      </w:hyperlink>
      <w:r w:rsidRPr="0015348B">
        <w:rPr>
          <w:rFonts w:asciiTheme="majorHAnsi" w:hAnsiTheme="majorHAnsi" w:cstheme="majorHAnsi"/>
        </w:rPr>
        <w:t>.</w:t>
      </w:r>
    </w:p>
    <w:p w14:paraId="75160996" w14:textId="77777777" w:rsidR="00B85915" w:rsidRPr="0015348B" w:rsidRDefault="00F54DE2">
      <w:pPr>
        <w:pBdr>
          <w:top w:val="nil"/>
          <w:left w:val="nil"/>
          <w:bottom w:val="nil"/>
          <w:right w:val="nil"/>
          <w:between w:val="nil"/>
        </w:pBdr>
        <w:spacing w:before="200" w:after="120"/>
        <w:rPr>
          <w:rFonts w:asciiTheme="majorHAnsi" w:hAnsiTheme="majorHAnsi" w:cstheme="majorHAnsi"/>
        </w:rPr>
      </w:pPr>
      <w:r w:rsidRPr="0015348B">
        <w:rPr>
          <w:rFonts w:asciiTheme="majorHAnsi" w:hAnsiTheme="majorHAnsi" w:cstheme="majorHAnsi"/>
        </w:rPr>
        <w:t xml:space="preserve">For bCourses, Zoom, and technical support questions, please contact </w:t>
      </w:r>
      <w:hyperlink r:id="rId8">
        <w:r w:rsidRPr="0015348B">
          <w:rPr>
            <w:rFonts w:asciiTheme="majorHAnsi" w:hAnsiTheme="majorHAnsi" w:cstheme="majorHAnsi"/>
            <w:color w:val="1155CC"/>
            <w:u w:val="single"/>
          </w:rPr>
          <w:t>studentcomputing@law.berkeley.edu</w:t>
        </w:r>
      </w:hyperlink>
      <w:r w:rsidRPr="0015348B">
        <w:rPr>
          <w:rFonts w:asciiTheme="majorHAnsi" w:hAnsiTheme="majorHAnsi" w:cstheme="majorHAnsi"/>
        </w:rPr>
        <w:t xml:space="preserve"> or you can use the </w:t>
      </w:r>
      <w:hyperlink r:id="rId9">
        <w:r w:rsidRPr="0015348B">
          <w:rPr>
            <w:rFonts w:asciiTheme="majorHAnsi" w:hAnsiTheme="majorHAnsi" w:cstheme="majorHAnsi"/>
            <w:color w:val="1155CC"/>
            <w:u w:val="single"/>
          </w:rPr>
          <w:t>Student Computing Chat</w:t>
        </w:r>
      </w:hyperlink>
      <w:r w:rsidRPr="0015348B">
        <w:rPr>
          <w:rFonts w:asciiTheme="majorHAnsi" w:hAnsiTheme="majorHAnsi" w:cstheme="majorHAnsi"/>
        </w:rPr>
        <w:t xml:space="preserve">. In both cases, someone will respond to you during our regular business hours. </w:t>
      </w:r>
      <w:r w:rsidRPr="0015348B">
        <w:rPr>
          <w:rFonts w:asciiTheme="majorHAnsi" w:eastAsia="Arial" w:hAnsiTheme="majorHAnsi" w:cstheme="majorHAnsi"/>
        </w:rPr>
        <w:t xml:space="preserve"> </w:t>
      </w:r>
      <w:r w:rsidRPr="0015348B">
        <w:rPr>
          <w:rFonts w:asciiTheme="majorHAnsi" w:hAnsiTheme="majorHAnsi" w:cstheme="majorHAnsi"/>
        </w:rPr>
        <w:t>You can also find information, links, and instructions for many common computer/technical questions in the</w:t>
      </w:r>
      <w:hyperlink r:id="rId10">
        <w:r w:rsidRPr="0015348B">
          <w:rPr>
            <w:rFonts w:asciiTheme="majorHAnsi" w:hAnsiTheme="majorHAnsi" w:cstheme="majorHAnsi"/>
          </w:rPr>
          <w:t xml:space="preserve"> </w:t>
        </w:r>
      </w:hyperlink>
      <w:hyperlink r:id="rId11">
        <w:r w:rsidRPr="0015348B">
          <w:rPr>
            <w:rFonts w:asciiTheme="majorHAnsi" w:hAnsiTheme="majorHAnsi" w:cstheme="majorHAnsi"/>
            <w:color w:val="0000FF"/>
            <w:u w:val="single"/>
          </w:rPr>
          <w:t>law library's online computing guide</w:t>
        </w:r>
      </w:hyperlink>
      <w:r w:rsidRPr="0015348B">
        <w:rPr>
          <w:rFonts w:asciiTheme="majorHAnsi" w:hAnsiTheme="majorHAnsi" w:cstheme="majorHAnsi"/>
        </w:rPr>
        <w:t>.</w:t>
      </w:r>
      <w:r w:rsidRPr="0015348B">
        <w:rPr>
          <w:rFonts w:asciiTheme="majorHAnsi" w:eastAsia="Arial" w:hAnsiTheme="majorHAnsi" w:cstheme="majorHAnsi"/>
        </w:rPr>
        <w:t xml:space="preserve"> </w:t>
      </w:r>
    </w:p>
    <w:p w14:paraId="697AA6D1" w14:textId="77777777" w:rsidR="00B85915" w:rsidRPr="0015348B" w:rsidRDefault="00F54DE2">
      <w:pPr>
        <w:pBdr>
          <w:top w:val="nil"/>
          <w:left w:val="nil"/>
          <w:bottom w:val="nil"/>
          <w:right w:val="nil"/>
          <w:between w:val="nil"/>
        </w:pBdr>
        <w:spacing w:before="200" w:after="120"/>
        <w:rPr>
          <w:rFonts w:asciiTheme="majorHAnsi" w:hAnsiTheme="majorHAnsi" w:cstheme="majorHAnsi"/>
        </w:rPr>
      </w:pPr>
      <w:r w:rsidRPr="0015348B">
        <w:rPr>
          <w:rFonts w:asciiTheme="majorHAnsi" w:hAnsiTheme="majorHAnsi" w:cstheme="majorHAnsi"/>
        </w:rPr>
        <w:t xml:space="preserve">If you have research-related questions, please contact the reference librarians by filling out the form here: </w:t>
      </w:r>
      <w:hyperlink r:id="rId12">
        <w:r w:rsidRPr="0015348B">
          <w:rPr>
            <w:rFonts w:asciiTheme="majorHAnsi" w:hAnsiTheme="majorHAnsi" w:cstheme="majorHAnsi"/>
            <w:color w:val="1155CC"/>
            <w:u w:val="single"/>
          </w:rPr>
          <w:t>https://www.law.berkeley.edu/library/dynamic/students/researchRequest.php</w:t>
        </w:r>
      </w:hyperlink>
      <w:r w:rsidRPr="0015348B">
        <w:rPr>
          <w:rFonts w:asciiTheme="majorHAnsi" w:hAnsiTheme="majorHAnsi" w:cstheme="majorHAnsi"/>
        </w:rPr>
        <w:t>. You can also reach reference librarians during business hours by using our chat service (</w:t>
      </w:r>
      <w:hyperlink r:id="rId13">
        <w:r w:rsidRPr="0015348B">
          <w:rPr>
            <w:rFonts w:asciiTheme="majorHAnsi" w:hAnsiTheme="majorHAnsi" w:cstheme="majorHAnsi"/>
            <w:color w:val="1155CC"/>
            <w:u w:val="single"/>
          </w:rPr>
          <w:t>https://www.law.berkeley.edu/library/dynamic/internal/chat.php</w:t>
        </w:r>
      </w:hyperlink>
      <w:r w:rsidRPr="0015348B">
        <w:rPr>
          <w:rFonts w:asciiTheme="majorHAnsi" w:hAnsiTheme="majorHAnsi" w:cstheme="majorHAnsi"/>
        </w:rPr>
        <w:t>).</w:t>
      </w:r>
    </w:p>
    <w:p w14:paraId="215E8C59" w14:textId="77777777" w:rsidR="00B85915" w:rsidRPr="0015348B" w:rsidRDefault="00B85915">
      <w:pPr>
        <w:pBdr>
          <w:top w:val="nil"/>
          <w:left w:val="nil"/>
          <w:bottom w:val="nil"/>
          <w:right w:val="nil"/>
          <w:between w:val="nil"/>
        </w:pBdr>
        <w:spacing w:before="200" w:after="120"/>
        <w:rPr>
          <w:rFonts w:asciiTheme="majorHAnsi" w:hAnsiTheme="majorHAnsi" w:cstheme="majorHAnsi"/>
        </w:rPr>
      </w:pPr>
    </w:p>
    <w:p w14:paraId="433B05CD" w14:textId="77777777" w:rsidR="00B85915" w:rsidRPr="0015348B" w:rsidRDefault="00F54DE2">
      <w:pPr>
        <w:pStyle w:val="Heading2"/>
        <w:spacing w:before="0"/>
        <w:jc w:val="both"/>
        <w:rPr>
          <w:rFonts w:asciiTheme="majorHAnsi" w:eastAsia="Calibri" w:hAnsiTheme="majorHAnsi" w:cstheme="majorHAnsi"/>
          <w:sz w:val="22"/>
          <w:szCs w:val="22"/>
        </w:rPr>
      </w:pPr>
      <w:r w:rsidRPr="0015348B">
        <w:rPr>
          <w:rFonts w:asciiTheme="majorHAnsi" w:eastAsia="Calibri" w:hAnsiTheme="majorHAnsi" w:cstheme="majorHAnsi"/>
          <w:sz w:val="22"/>
          <w:szCs w:val="22"/>
        </w:rPr>
        <w:t xml:space="preserve">Learning Outcomes </w:t>
      </w:r>
    </w:p>
    <w:p w14:paraId="47C43739" w14:textId="77777777" w:rsidR="00B85915" w:rsidRPr="0015348B" w:rsidRDefault="00F54DE2">
      <w:pPr>
        <w:pStyle w:val="Heading2"/>
        <w:spacing w:before="0"/>
        <w:jc w:val="both"/>
        <w:rPr>
          <w:rFonts w:asciiTheme="majorHAnsi" w:eastAsia="Calibri" w:hAnsiTheme="majorHAnsi" w:cstheme="majorHAnsi"/>
          <w:sz w:val="22"/>
          <w:szCs w:val="22"/>
        </w:rPr>
      </w:pPr>
      <w:r w:rsidRPr="0015348B">
        <w:rPr>
          <w:rFonts w:asciiTheme="majorHAnsi" w:eastAsia="Calibri" w:hAnsiTheme="majorHAnsi" w:cstheme="majorHAnsi"/>
          <w:i/>
          <w:sz w:val="22"/>
          <w:szCs w:val="22"/>
          <w:u w:val="single"/>
        </w:rPr>
        <w:t>Berkeley Law Learning Outcomes</w:t>
      </w:r>
      <w:r w:rsidRPr="0015348B">
        <w:rPr>
          <w:rFonts w:asciiTheme="majorHAnsi" w:eastAsia="Calibri" w:hAnsiTheme="majorHAnsi" w:cstheme="majorHAnsi"/>
          <w:b w:val="0"/>
          <w:sz w:val="22"/>
          <w:szCs w:val="22"/>
        </w:rPr>
        <w:t xml:space="preserve"> are the competencies that students will develop by the conclusion of their legal education. Students in the course will be expected to achieve the following: </w:t>
      </w:r>
    </w:p>
    <w:p w14:paraId="4D877041" w14:textId="77777777" w:rsidR="00B85915" w:rsidRPr="0015348B" w:rsidRDefault="00B85915">
      <w:pPr>
        <w:jc w:val="both"/>
        <w:rPr>
          <w:rFonts w:asciiTheme="majorHAnsi" w:hAnsiTheme="majorHAnsi" w:cstheme="majorHAnsi"/>
          <w:color w:val="0000FF"/>
        </w:rPr>
      </w:pPr>
    </w:p>
    <w:p w14:paraId="09D11C16" w14:textId="77777777" w:rsidR="00C86071" w:rsidRPr="0015348B" w:rsidRDefault="00C86071" w:rsidP="00C86071">
      <w:pPr>
        <w:jc w:val="both"/>
        <w:rPr>
          <w:rFonts w:asciiTheme="majorHAnsi" w:hAnsiTheme="majorHAnsi" w:cstheme="majorHAnsi"/>
        </w:rPr>
      </w:pPr>
      <w:r w:rsidRPr="0015348B">
        <w:rPr>
          <w:rFonts w:asciiTheme="majorHAnsi" w:hAnsiTheme="majorHAnsi" w:cstheme="majorHAnsi"/>
        </w:rPr>
        <w:t xml:space="preserve">(a) Knowledge and understanding of substantive and procedural law; </w:t>
      </w:r>
    </w:p>
    <w:p w14:paraId="362F3775" w14:textId="77777777" w:rsidR="00C86071" w:rsidRPr="0015348B" w:rsidRDefault="00C86071" w:rsidP="00C86071">
      <w:pPr>
        <w:jc w:val="both"/>
        <w:rPr>
          <w:rFonts w:asciiTheme="majorHAnsi" w:hAnsiTheme="majorHAnsi" w:cstheme="majorHAnsi"/>
        </w:rPr>
      </w:pPr>
      <w:r w:rsidRPr="0015348B">
        <w:rPr>
          <w:rFonts w:asciiTheme="majorHAnsi" w:hAnsiTheme="majorHAnsi" w:cstheme="majorHAnsi"/>
        </w:rPr>
        <w:t xml:space="preserve">(b) Legal analysis and reasoning, legal research, problem-solving, and written and oral communication in the legal context; </w:t>
      </w:r>
    </w:p>
    <w:p w14:paraId="4C6F5793" w14:textId="77777777" w:rsidR="00C86071" w:rsidRPr="0015348B" w:rsidRDefault="00C86071" w:rsidP="00C86071">
      <w:pPr>
        <w:jc w:val="both"/>
        <w:rPr>
          <w:rFonts w:asciiTheme="majorHAnsi" w:hAnsiTheme="majorHAnsi" w:cstheme="majorHAnsi"/>
        </w:rPr>
      </w:pPr>
      <w:r w:rsidRPr="0015348B">
        <w:rPr>
          <w:rFonts w:asciiTheme="majorHAnsi" w:hAnsiTheme="majorHAnsi" w:cstheme="majorHAnsi"/>
        </w:rPr>
        <w:t xml:space="preserve">(c) Exercise of proper professional and ethical responsibilities to clients and the legal system; </w:t>
      </w:r>
    </w:p>
    <w:p w14:paraId="667F7499" w14:textId="77777777" w:rsidR="00C86071" w:rsidRPr="0015348B" w:rsidRDefault="00C86071" w:rsidP="00C86071">
      <w:pPr>
        <w:jc w:val="both"/>
        <w:rPr>
          <w:rFonts w:asciiTheme="majorHAnsi" w:hAnsiTheme="majorHAnsi" w:cstheme="majorHAnsi"/>
        </w:rPr>
      </w:pPr>
      <w:r w:rsidRPr="0015348B">
        <w:rPr>
          <w:rFonts w:asciiTheme="majorHAnsi" w:hAnsiTheme="majorHAnsi" w:cstheme="majorHAnsi"/>
        </w:rPr>
        <w:t>(d) Other professional skills needed for competent and ethical participation as a member of the legal profession; and</w:t>
      </w:r>
    </w:p>
    <w:p w14:paraId="42A8F563" w14:textId="77777777" w:rsidR="00C86071" w:rsidRPr="0015348B" w:rsidRDefault="00C86071" w:rsidP="00C86071">
      <w:pPr>
        <w:jc w:val="both"/>
        <w:rPr>
          <w:rFonts w:asciiTheme="majorHAnsi" w:hAnsiTheme="majorHAnsi" w:cstheme="majorHAnsi"/>
        </w:rPr>
      </w:pPr>
      <w:r w:rsidRPr="0015348B">
        <w:rPr>
          <w:rFonts w:asciiTheme="majorHAnsi" w:hAnsiTheme="majorHAnsi" w:cstheme="majorHAnsi"/>
        </w:rPr>
        <w:t>(e) Using the law to solve real-world problems and to create a more just society.</w:t>
      </w:r>
    </w:p>
    <w:p w14:paraId="358CF958" w14:textId="77777777" w:rsidR="00C86071" w:rsidRPr="0015348B" w:rsidDel="00C86071" w:rsidRDefault="00C86071">
      <w:pPr>
        <w:jc w:val="both"/>
        <w:rPr>
          <w:rFonts w:asciiTheme="majorHAnsi" w:hAnsiTheme="majorHAnsi" w:cstheme="majorHAnsi"/>
          <w:color w:val="0000FF"/>
        </w:rPr>
      </w:pPr>
    </w:p>
    <w:p w14:paraId="57F7FECA" w14:textId="77777777" w:rsidR="00B85915" w:rsidRPr="0015348B" w:rsidRDefault="00F54DE2">
      <w:pPr>
        <w:pStyle w:val="Heading2"/>
        <w:spacing w:before="0"/>
        <w:jc w:val="both"/>
        <w:rPr>
          <w:rFonts w:asciiTheme="majorHAnsi" w:eastAsia="Calibri" w:hAnsiTheme="majorHAnsi" w:cstheme="majorHAnsi"/>
          <w:i/>
          <w:color w:val="0000FF"/>
          <w:sz w:val="22"/>
          <w:szCs w:val="22"/>
          <w:u w:val="single"/>
        </w:rPr>
      </w:pPr>
      <w:r w:rsidRPr="0015348B">
        <w:rPr>
          <w:rFonts w:asciiTheme="majorHAnsi" w:eastAsia="Calibri" w:hAnsiTheme="majorHAnsi" w:cstheme="majorHAnsi"/>
          <w:i/>
          <w:color w:val="0000FF"/>
          <w:sz w:val="22"/>
          <w:szCs w:val="22"/>
          <w:u w:val="single"/>
        </w:rPr>
        <w:t>Course-Specific Learning Outcomes</w:t>
      </w:r>
    </w:p>
    <w:p w14:paraId="454F691B" w14:textId="77777777" w:rsidR="00C86071" w:rsidRPr="0015348B" w:rsidRDefault="00C86071">
      <w:pPr>
        <w:jc w:val="both"/>
        <w:rPr>
          <w:rFonts w:asciiTheme="majorHAnsi" w:hAnsiTheme="majorHAnsi" w:cstheme="majorHAnsi"/>
          <w:i/>
          <w:color w:val="0000FF"/>
        </w:rPr>
      </w:pPr>
    </w:p>
    <w:p w14:paraId="194B3FB2" w14:textId="77777777" w:rsidR="00C86071" w:rsidRPr="0015348B" w:rsidRDefault="00C86071" w:rsidP="00C86071">
      <w:pPr>
        <w:jc w:val="both"/>
        <w:rPr>
          <w:rFonts w:asciiTheme="majorHAnsi" w:hAnsiTheme="majorHAnsi" w:cstheme="majorHAnsi"/>
          <w:iCs/>
        </w:rPr>
      </w:pPr>
      <w:r w:rsidRPr="0015348B">
        <w:rPr>
          <w:rFonts w:asciiTheme="majorHAnsi" w:hAnsiTheme="majorHAnsi" w:cstheme="majorHAnsi"/>
          <w:iCs/>
        </w:rPr>
        <w:t>The ABA requires that the law school as a whole, as well as individual instructors, adopt learning outcomes for students. Upon completion of this course, students will be able to:</w:t>
      </w:r>
    </w:p>
    <w:p w14:paraId="62046B61" w14:textId="77777777" w:rsidR="00C86071" w:rsidRPr="0015348B" w:rsidRDefault="00C86071" w:rsidP="00C86071">
      <w:pPr>
        <w:jc w:val="both"/>
        <w:rPr>
          <w:rFonts w:asciiTheme="majorHAnsi" w:hAnsiTheme="majorHAnsi" w:cstheme="majorHAnsi"/>
          <w:iCs/>
        </w:rPr>
      </w:pPr>
    </w:p>
    <w:p w14:paraId="76D75FE9" w14:textId="77777777" w:rsidR="00C86071" w:rsidRPr="0015348B" w:rsidRDefault="00C86071" w:rsidP="00C86071">
      <w:pPr>
        <w:jc w:val="both"/>
        <w:rPr>
          <w:rFonts w:asciiTheme="majorHAnsi" w:hAnsiTheme="majorHAnsi" w:cstheme="majorHAnsi"/>
          <w:iCs/>
        </w:rPr>
      </w:pPr>
      <w:r w:rsidRPr="0015348B">
        <w:rPr>
          <w:rFonts w:asciiTheme="majorHAnsi" w:hAnsiTheme="majorHAnsi" w:cstheme="majorHAnsi"/>
          <w:iCs/>
        </w:rPr>
        <w:t>(1) Describe the both the substantive and procedural aspects of wine law and the federal and state regulatory framework governing the production, labeling, marketing, and sale of wine;</w:t>
      </w:r>
    </w:p>
    <w:p w14:paraId="3F875C17" w14:textId="77777777" w:rsidR="00C86071" w:rsidRPr="0015348B" w:rsidRDefault="00C86071" w:rsidP="00C86071">
      <w:pPr>
        <w:jc w:val="both"/>
        <w:rPr>
          <w:rFonts w:asciiTheme="majorHAnsi" w:hAnsiTheme="majorHAnsi" w:cstheme="majorHAnsi"/>
          <w:iCs/>
        </w:rPr>
      </w:pPr>
      <w:r w:rsidRPr="0015348B">
        <w:rPr>
          <w:rFonts w:asciiTheme="majorHAnsi" w:hAnsiTheme="majorHAnsi" w:cstheme="majorHAnsi"/>
          <w:iCs/>
        </w:rPr>
        <w:t>(2) Understand the legacy of Prohibition in the current wine regulatory framework;</w:t>
      </w:r>
    </w:p>
    <w:p w14:paraId="46E4AE4E" w14:textId="77777777" w:rsidR="00C86071" w:rsidRPr="0015348B" w:rsidRDefault="00C86071" w:rsidP="00C86071">
      <w:pPr>
        <w:jc w:val="both"/>
        <w:rPr>
          <w:rFonts w:asciiTheme="majorHAnsi" w:hAnsiTheme="majorHAnsi" w:cstheme="majorHAnsi"/>
          <w:iCs/>
        </w:rPr>
      </w:pPr>
      <w:r w:rsidRPr="0015348B">
        <w:rPr>
          <w:rFonts w:asciiTheme="majorHAnsi" w:hAnsiTheme="majorHAnsi" w:cstheme="majorHAnsi"/>
          <w:iCs/>
        </w:rPr>
        <w:t>(3) Track the evolution and the likely future of 21st Amendment jurisprudence; and</w:t>
      </w:r>
    </w:p>
    <w:p w14:paraId="4DFFB8E8" w14:textId="77777777" w:rsidR="00C86071" w:rsidRPr="0015348B" w:rsidRDefault="00C86071" w:rsidP="00C86071">
      <w:pPr>
        <w:jc w:val="both"/>
        <w:rPr>
          <w:rFonts w:asciiTheme="majorHAnsi" w:hAnsiTheme="majorHAnsi" w:cstheme="majorHAnsi"/>
          <w:iCs/>
        </w:rPr>
      </w:pPr>
      <w:r w:rsidRPr="0015348B">
        <w:rPr>
          <w:rFonts w:asciiTheme="majorHAnsi" w:hAnsiTheme="majorHAnsi" w:cstheme="majorHAnsi"/>
          <w:iCs/>
        </w:rPr>
        <w:t>(4) Read and understand wine labels.</w:t>
      </w:r>
    </w:p>
    <w:p w14:paraId="5E985F39" w14:textId="77777777" w:rsidR="00C86071" w:rsidRPr="0015348B" w:rsidDel="00C86071" w:rsidRDefault="00C86071">
      <w:pPr>
        <w:jc w:val="both"/>
        <w:rPr>
          <w:rFonts w:asciiTheme="majorHAnsi" w:hAnsiTheme="majorHAnsi" w:cstheme="majorHAnsi"/>
          <w:i/>
          <w:color w:val="0000FF"/>
        </w:rPr>
      </w:pPr>
    </w:p>
    <w:p w14:paraId="4830B048" w14:textId="77777777" w:rsidR="00470D1E" w:rsidRPr="0015348B" w:rsidRDefault="00470D1E">
      <w:pPr>
        <w:pStyle w:val="Heading2"/>
        <w:spacing w:before="0"/>
        <w:jc w:val="both"/>
        <w:rPr>
          <w:rFonts w:asciiTheme="majorHAnsi" w:eastAsia="Calibri" w:hAnsiTheme="majorHAnsi" w:cstheme="majorHAnsi"/>
          <w:sz w:val="22"/>
          <w:szCs w:val="22"/>
        </w:rPr>
      </w:pPr>
    </w:p>
    <w:p w14:paraId="60727C5E" w14:textId="77777777" w:rsidR="00470D1E" w:rsidRPr="0015348B" w:rsidRDefault="00470D1E" w:rsidP="00470D1E">
      <w:pPr>
        <w:pStyle w:val="Heading2"/>
        <w:spacing w:before="0"/>
        <w:jc w:val="both"/>
        <w:rPr>
          <w:rFonts w:asciiTheme="majorHAnsi" w:eastAsia="Calibri" w:hAnsiTheme="majorHAnsi" w:cstheme="majorHAnsi"/>
          <w:sz w:val="22"/>
          <w:szCs w:val="22"/>
        </w:rPr>
      </w:pPr>
      <w:r w:rsidRPr="0015348B">
        <w:rPr>
          <w:rFonts w:asciiTheme="majorHAnsi" w:eastAsia="Calibri" w:hAnsiTheme="majorHAnsi" w:cstheme="majorHAnsi"/>
          <w:sz w:val="22"/>
          <w:szCs w:val="22"/>
        </w:rPr>
        <w:t>Exam</w:t>
      </w:r>
    </w:p>
    <w:p w14:paraId="231A153E" w14:textId="78E8AB9E" w:rsidR="00470D1E" w:rsidRPr="0015348B" w:rsidRDefault="00470D1E" w:rsidP="00470D1E">
      <w:pPr>
        <w:jc w:val="both"/>
        <w:rPr>
          <w:rFonts w:asciiTheme="majorHAnsi" w:hAnsiTheme="majorHAnsi" w:cstheme="majorHAnsi"/>
        </w:rPr>
      </w:pPr>
      <w:r w:rsidRPr="0015348B">
        <w:rPr>
          <w:rFonts w:asciiTheme="majorHAnsi" w:hAnsiTheme="majorHAnsi" w:cstheme="majorHAnsi"/>
        </w:rPr>
        <w:t>There will be a two-hour, open-book</w:t>
      </w:r>
      <w:r w:rsidR="00C16B2D">
        <w:rPr>
          <w:rFonts w:asciiTheme="majorHAnsi" w:hAnsiTheme="majorHAnsi" w:cstheme="majorHAnsi"/>
        </w:rPr>
        <w:t xml:space="preserve">, </w:t>
      </w:r>
      <w:r w:rsidRPr="0015348B">
        <w:rPr>
          <w:rFonts w:asciiTheme="majorHAnsi" w:hAnsiTheme="majorHAnsi" w:cstheme="majorHAnsi"/>
        </w:rPr>
        <w:t>take-</w:t>
      </w:r>
      <w:r w:rsidR="00C16B2D">
        <w:rPr>
          <w:rFonts w:asciiTheme="majorHAnsi" w:hAnsiTheme="majorHAnsi" w:cstheme="majorHAnsi"/>
        </w:rPr>
        <w:t>home</w:t>
      </w:r>
      <w:r w:rsidRPr="0015348B">
        <w:rPr>
          <w:rFonts w:asciiTheme="majorHAnsi" w:hAnsiTheme="majorHAnsi" w:cstheme="majorHAnsi"/>
        </w:rPr>
        <w:t xml:space="preserve"> exam consisting of one essay question and several multiple choice questions.   </w:t>
      </w:r>
    </w:p>
    <w:p w14:paraId="3AAD9F00" w14:textId="77777777" w:rsidR="00470D1E" w:rsidRPr="0015348B" w:rsidRDefault="00470D1E" w:rsidP="00470D1E">
      <w:pPr>
        <w:jc w:val="both"/>
        <w:rPr>
          <w:rFonts w:asciiTheme="majorHAnsi" w:hAnsiTheme="majorHAnsi" w:cstheme="majorHAnsi"/>
          <w:b/>
        </w:rPr>
      </w:pPr>
    </w:p>
    <w:p w14:paraId="31B994AC" w14:textId="77777777" w:rsidR="00470D1E" w:rsidRPr="0015348B" w:rsidRDefault="00470D1E" w:rsidP="00470D1E">
      <w:pPr>
        <w:jc w:val="both"/>
        <w:rPr>
          <w:rFonts w:asciiTheme="majorHAnsi" w:hAnsiTheme="majorHAnsi" w:cstheme="majorHAnsi"/>
          <w:b/>
        </w:rPr>
      </w:pPr>
      <w:r w:rsidRPr="0015348B">
        <w:rPr>
          <w:rFonts w:asciiTheme="majorHAnsi" w:hAnsiTheme="majorHAnsi" w:cstheme="majorHAnsi"/>
          <w:b/>
        </w:rPr>
        <w:t>Grading</w:t>
      </w:r>
    </w:p>
    <w:p w14:paraId="378963E0" w14:textId="77777777" w:rsidR="00470D1E" w:rsidRPr="0015348B" w:rsidRDefault="00470D1E" w:rsidP="00470D1E">
      <w:pPr>
        <w:jc w:val="both"/>
        <w:rPr>
          <w:rFonts w:asciiTheme="majorHAnsi" w:hAnsiTheme="majorHAnsi" w:cstheme="majorHAnsi"/>
        </w:rPr>
      </w:pPr>
      <w:r w:rsidRPr="0015348B">
        <w:rPr>
          <w:rFonts w:asciiTheme="majorHAnsi" w:hAnsiTheme="majorHAnsi" w:cstheme="majorHAnsi"/>
        </w:rPr>
        <w:t xml:space="preserve">100% of your course grade will be based on the final exam.  However, class participation will be factored in for students at grade borderlines.  </w:t>
      </w:r>
    </w:p>
    <w:p w14:paraId="12E6EB4C" w14:textId="77777777" w:rsidR="00470D1E" w:rsidRPr="0015348B" w:rsidRDefault="00470D1E">
      <w:pPr>
        <w:pStyle w:val="Heading2"/>
        <w:spacing w:before="0"/>
        <w:jc w:val="both"/>
        <w:rPr>
          <w:rFonts w:asciiTheme="majorHAnsi" w:eastAsia="Calibri" w:hAnsiTheme="majorHAnsi" w:cstheme="majorHAnsi"/>
          <w:sz w:val="22"/>
          <w:szCs w:val="22"/>
        </w:rPr>
      </w:pPr>
    </w:p>
    <w:p w14:paraId="04D68758" w14:textId="77777777" w:rsidR="00B85915" w:rsidRPr="0015348B" w:rsidRDefault="00F54DE2">
      <w:pPr>
        <w:jc w:val="both"/>
        <w:rPr>
          <w:rFonts w:asciiTheme="majorHAnsi" w:hAnsiTheme="majorHAnsi" w:cstheme="majorHAnsi"/>
          <w:b/>
        </w:rPr>
      </w:pPr>
      <w:r w:rsidRPr="0015348B">
        <w:rPr>
          <w:rFonts w:asciiTheme="majorHAnsi" w:hAnsiTheme="majorHAnsi" w:cstheme="majorHAnsi"/>
          <w:b/>
        </w:rPr>
        <w:t>School-wide Policies</w:t>
      </w:r>
    </w:p>
    <w:p w14:paraId="49A071D0" w14:textId="77777777" w:rsidR="00B85915" w:rsidRPr="0015348B" w:rsidRDefault="00B85915">
      <w:pPr>
        <w:jc w:val="both"/>
        <w:rPr>
          <w:rFonts w:asciiTheme="majorHAnsi" w:hAnsiTheme="majorHAnsi" w:cstheme="majorHAnsi"/>
        </w:rPr>
      </w:pPr>
    </w:p>
    <w:p w14:paraId="2B3B151A" w14:textId="77777777" w:rsidR="00B85915" w:rsidRPr="0015348B" w:rsidRDefault="00F54DE2">
      <w:pPr>
        <w:numPr>
          <w:ilvl w:val="0"/>
          <w:numId w:val="17"/>
        </w:numPr>
        <w:pBdr>
          <w:top w:val="nil"/>
          <w:left w:val="nil"/>
          <w:bottom w:val="nil"/>
          <w:right w:val="nil"/>
          <w:between w:val="nil"/>
        </w:pBdr>
        <w:rPr>
          <w:rFonts w:asciiTheme="majorHAnsi" w:hAnsiTheme="majorHAnsi" w:cstheme="majorHAnsi"/>
          <w:color w:val="222222"/>
          <w:highlight w:val="white"/>
        </w:rPr>
      </w:pPr>
      <w:r w:rsidRPr="0015348B">
        <w:rPr>
          <w:rFonts w:asciiTheme="majorHAnsi" w:hAnsiTheme="majorHAnsi" w:cstheme="majorHAnsi"/>
          <w:color w:val="222222"/>
        </w:rPr>
        <w:lastRenderedPageBreak/>
        <w:t xml:space="preserve">Student Services schedules all exams, including accommodated exams, as the law school is committed to anonymous grading. </w:t>
      </w:r>
      <w:r w:rsidRPr="0015348B">
        <w:rPr>
          <w:rFonts w:asciiTheme="majorHAnsi" w:hAnsiTheme="majorHAnsi" w:cstheme="majorHAnsi"/>
          <w:b/>
          <w:color w:val="222222"/>
        </w:rPr>
        <w:t>Professors do not have the authority to reschedule exams.</w:t>
      </w:r>
      <w:r w:rsidRPr="0015348B">
        <w:rPr>
          <w:rFonts w:asciiTheme="majorHAnsi" w:hAnsiTheme="majorHAnsi" w:cstheme="majorHAnsi"/>
          <w:color w:val="222222"/>
        </w:rPr>
        <w:t xml:space="preserve"> Any student who seeks an accommodated or rescheduled exam for documented medical reasons, disability, or for religious observance, should contact </w:t>
      </w:r>
      <w:hyperlink r:id="rId14">
        <w:r w:rsidRPr="0015348B">
          <w:rPr>
            <w:rFonts w:asciiTheme="majorHAnsi" w:hAnsiTheme="majorHAnsi" w:cstheme="majorHAnsi"/>
            <w:color w:val="0000FF"/>
            <w:u w:val="single"/>
          </w:rPr>
          <w:t>Student Services</w:t>
        </w:r>
      </w:hyperlink>
      <w:r w:rsidRPr="0015348B">
        <w:rPr>
          <w:rFonts w:asciiTheme="majorHAnsi" w:hAnsiTheme="majorHAnsi" w:cstheme="majorHAnsi"/>
          <w:color w:val="222222"/>
        </w:rPr>
        <w:t>, 510-</w:t>
      </w:r>
      <w:r w:rsidRPr="0015348B">
        <w:rPr>
          <w:rFonts w:asciiTheme="majorHAnsi" w:hAnsiTheme="majorHAnsi" w:cstheme="majorHAnsi"/>
          <w:color w:val="222222"/>
          <w:highlight w:val="white"/>
        </w:rPr>
        <w:t xml:space="preserve">643-2744, </w:t>
      </w:r>
      <w:hyperlink r:id="rId15">
        <w:r w:rsidRPr="0015348B">
          <w:rPr>
            <w:rFonts w:asciiTheme="majorHAnsi" w:hAnsiTheme="majorHAnsi" w:cstheme="majorHAnsi"/>
            <w:color w:val="0000FF"/>
            <w:highlight w:val="white"/>
            <w:u w:val="single"/>
          </w:rPr>
          <w:t>kvalenti@berkeley.edu</w:t>
        </w:r>
      </w:hyperlink>
      <w:r w:rsidRPr="0015348B">
        <w:rPr>
          <w:rFonts w:asciiTheme="majorHAnsi" w:hAnsiTheme="majorHAnsi" w:cstheme="majorHAnsi"/>
          <w:color w:val="222222"/>
          <w:highlight w:val="white"/>
        </w:rPr>
        <w:t>.</w:t>
      </w:r>
    </w:p>
    <w:p w14:paraId="14A54670" w14:textId="77777777" w:rsidR="00B85915" w:rsidRPr="0015348B" w:rsidRDefault="00F54DE2">
      <w:pPr>
        <w:numPr>
          <w:ilvl w:val="0"/>
          <w:numId w:val="17"/>
        </w:numPr>
        <w:pBdr>
          <w:top w:val="nil"/>
          <w:left w:val="nil"/>
          <w:bottom w:val="nil"/>
          <w:right w:val="nil"/>
          <w:between w:val="nil"/>
        </w:pBdr>
        <w:rPr>
          <w:rFonts w:asciiTheme="majorHAnsi" w:hAnsiTheme="majorHAnsi" w:cstheme="majorHAnsi"/>
          <w:color w:val="000000"/>
        </w:rPr>
      </w:pPr>
      <w:r w:rsidRPr="0015348B">
        <w:rPr>
          <w:rFonts w:asciiTheme="majorHAnsi" w:hAnsiTheme="majorHAnsi" w:cstheme="majorHAnsi"/>
          <w:color w:val="222222"/>
          <w:highlight w:val="white"/>
        </w:rPr>
        <w:t>The Academic Honor Code [</w:t>
      </w:r>
      <w:hyperlink r:id="rId16">
        <w:r w:rsidRPr="0015348B">
          <w:rPr>
            <w:rFonts w:asciiTheme="majorHAnsi" w:hAnsiTheme="majorHAnsi" w:cstheme="majorHAnsi"/>
            <w:color w:val="0000FF"/>
            <w:highlight w:val="white"/>
            <w:u w:val="single"/>
          </w:rPr>
          <w:t>Academic Honor Code</w:t>
        </w:r>
      </w:hyperlink>
      <w:r w:rsidRPr="0015348B">
        <w:rPr>
          <w:rFonts w:asciiTheme="majorHAnsi" w:hAnsiTheme="majorHAnsi" w:cstheme="majorHAnsi"/>
          <w:color w:val="000000"/>
        </w:rPr>
        <w:t xml:space="preserve">] </w:t>
      </w:r>
      <w:r w:rsidRPr="0015348B">
        <w:rPr>
          <w:rFonts w:asciiTheme="majorHAnsi" w:hAnsiTheme="majorHAnsi" w:cstheme="majorHAnsi"/>
          <w:color w:val="222222"/>
          <w:highlight w:val="white"/>
        </w:rPr>
        <w:t xml:space="preserve">governs the conduct of all students during examinations and in all other academic and pre-professional activities at Berkeley Law. </w:t>
      </w:r>
      <w:r w:rsidRPr="0015348B">
        <w:rPr>
          <w:rFonts w:asciiTheme="majorHAnsi" w:hAnsiTheme="majorHAnsi" w:cstheme="majorHAnsi"/>
          <w:color w:val="000000"/>
        </w:rPr>
        <w:t>We expect students to adhere to this code scrupulously. If you have any question about whether your conduct may violate the code, please contact your professor before you act. You may face severe consequences, including a failing grade in this class or removal from the program, if you violate the code, even if similar conduct is not considered wrong in your home country.</w:t>
      </w:r>
    </w:p>
    <w:p w14:paraId="238BEED0" w14:textId="77777777" w:rsidR="00B85915" w:rsidRPr="0015348B" w:rsidRDefault="00F54DE2">
      <w:pPr>
        <w:numPr>
          <w:ilvl w:val="0"/>
          <w:numId w:val="17"/>
        </w:numPr>
        <w:pBdr>
          <w:top w:val="nil"/>
          <w:left w:val="nil"/>
          <w:bottom w:val="nil"/>
          <w:right w:val="nil"/>
          <w:between w:val="nil"/>
        </w:pBdr>
        <w:rPr>
          <w:rFonts w:asciiTheme="majorHAnsi" w:hAnsiTheme="majorHAnsi" w:cstheme="majorHAnsi"/>
          <w:color w:val="000000"/>
        </w:rPr>
      </w:pPr>
      <w:r w:rsidRPr="0015348B">
        <w:rPr>
          <w:rFonts w:asciiTheme="majorHAnsi" w:hAnsiTheme="majorHAnsi" w:cstheme="majorHAnsi"/>
          <w:color w:val="000000"/>
        </w:rPr>
        <w:t>A common and serious form of misconduct and Honor Code violation is plagiarism. You must cite the sources of any words or ideas that are not your own. Cite all sources — hard copy, web-based, and others — in proper academic format.</w:t>
      </w:r>
    </w:p>
    <w:p w14:paraId="4A5556E9" w14:textId="77777777" w:rsidR="00B85915" w:rsidRPr="0015348B" w:rsidRDefault="00F54DE2">
      <w:pPr>
        <w:numPr>
          <w:ilvl w:val="0"/>
          <w:numId w:val="17"/>
        </w:numPr>
        <w:rPr>
          <w:rFonts w:asciiTheme="majorHAnsi" w:hAnsiTheme="majorHAnsi" w:cstheme="majorHAnsi"/>
        </w:rPr>
      </w:pPr>
      <w:r w:rsidRPr="0015348B">
        <w:rPr>
          <w:rFonts w:asciiTheme="majorHAnsi" w:hAnsiTheme="majorHAnsi" w:cstheme="majorHAnsi"/>
        </w:rPr>
        <w:t>If you are in need of economic, food, or housing support, you can find basic needs information</w:t>
      </w:r>
      <w:hyperlink r:id="rId17">
        <w:r w:rsidRPr="0015348B">
          <w:rPr>
            <w:rFonts w:asciiTheme="majorHAnsi" w:hAnsiTheme="majorHAnsi" w:cstheme="majorHAnsi"/>
          </w:rPr>
          <w:t xml:space="preserve"> </w:t>
        </w:r>
      </w:hyperlink>
      <w:hyperlink r:id="rId18">
        <w:r w:rsidRPr="0015348B">
          <w:rPr>
            <w:rFonts w:asciiTheme="majorHAnsi" w:hAnsiTheme="majorHAnsi" w:cstheme="majorHAnsi"/>
            <w:color w:val="0000FF"/>
            <w:u w:val="single"/>
          </w:rPr>
          <w:t>here</w:t>
        </w:r>
      </w:hyperlink>
      <w:r w:rsidRPr="0015348B">
        <w:rPr>
          <w:rFonts w:asciiTheme="majorHAnsi" w:hAnsiTheme="majorHAnsi" w:cstheme="majorHAnsi"/>
        </w:rPr>
        <w:t xml:space="preserve"> You may be eligible for money to buy groceries via</w:t>
      </w:r>
      <w:hyperlink r:id="rId19">
        <w:r w:rsidRPr="0015348B">
          <w:rPr>
            <w:rFonts w:asciiTheme="majorHAnsi" w:hAnsiTheme="majorHAnsi" w:cstheme="majorHAnsi"/>
          </w:rPr>
          <w:t xml:space="preserve"> </w:t>
        </w:r>
      </w:hyperlink>
      <w:hyperlink r:id="rId20">
        <w:r w:rsidRPr="0015348B">
          <w:rPr>
            <w:rFonts w:asciiTheme="majorHAnsi" w:hAnsiTheme="majorHAnsi" w:cstheme="majorHAnsi"/>
            <w:color w:val="0000FF"/>
            <w:u w:val="single"/>
          </w:rPr>
          <w:t>CalFresh</w:t>
        </w:r>
      </w:hyperlink>
      <w:r w:rsidRPr="0015348B">
        <w:rPr>
          <w:rFonts w:asciiTheme="majorHAnsi" w:hAnsiTheme="majorHAnsi" w:cstheme="majorHAnsi"/>
        </w:rPr>
        <w:t xml:space="preserve"> or our Food Assistance Program. If you need food immediately, please visit our</w:t>
      </w:r>
      <w:hyperlink r:id="rId21">
        <w:r w:rsidRPr="0015348B">
          <w:rPr>
            <w:rFonts w:asciiTheme="majorHAnsi" w:hAnsiTheme="majorHAnsi" w:cstheme="majorHAnsi"/>
          </w:rPr>
          <w:t xml:space="preserve"> </w:t>
        </w:r>
      </w:hyperlink>
      <w:hyperlink r:id="rId22">
        <w:r w:rsidRPr="0015348B">
          <w:rPr>
            <w:rFonts w:asciiTheme="majorHAnsi" w:hAnsiTheme="majorHAnsi" w:cstheme="majorHAnsi"/>
            <w:color w:val="0000FF"/>
            <w:u w:val="single"/>
          </w:rPr>
          <w:t>UC Berkeley Food Pantry</w:t>
        </w:r>
      </w:hyperlink>
      <w:r w:rsidRPr="0015348B">
        <w:rPr>
          <w:rFonts w:asciiTheme="majorHAnsi" w:hAnsiTheme="majorHAnsi" w:cstheme="majorHAnsi"/>
        </w:rPr>
        <w:t>.</w:t>
      </w:r>
    </w:p>
    <w:p w14:paraId="46F40F12" w14:textId="77777777" w:rsidR="00B85915" w:rsidRPr="0015348B" w:rsidRDefault="00F54DE2">
      <w:pPr>
        <w:numPr>
          <w:ilvl w:val="0"/>
          <w:numId w:val="17"/>
        </w:numPr>
        <w:rPr>
          <w:rFonts w:asciiTheme="majorHAnsi" w:hAnsiTheme="majorHAnsi" w:cstheme="majorHAnsi"/>
        </w:rPr>
      </w:pPr>
      <w:r w:rsidRPr="0015348B">
        <w:rPr>
          <w:rFonts w:asciiTheme="majorHAnsi" w:hAnsiTheme="majorHAnsi" w:cstheme="majorHAnsi"/>
        </w:rPr>
        <w:t>The University of California is committed to creating and maintaining a community dedicated to the advancement, application and transmission of knowledge and creative endeavors through academic excellence, where all individuals who participate in University programs and activities can work and learn together in an atmosphere free of harassment, exploitation, or intimidation. Every member of the community should be aware that the University prohibits sexual violence and sexual harassment, retaliation, and other prohibited behavior (“Prohibited Conduct”) that violates law and/or University policy. The University will respond promptly and effectively to reports of Prohibited Conduct and will take appropriate action to prevent, to correct, and when necessary, to discipline behavior that violates this policy. For the complete UC Policy, definitions, compliance and procedures, please access the</w:t>
      </w:r>
      <w:hyperlink r:id="rId23">
        <w:r w:rsidRPr="0015348B">
          <w:rPr>
            <w:rFonts w:asciiTheme="majorHAnsi" w:hAnsiTheme="majorHAnsi" w:cstheme="majorHAnsi"/>
          </w:rPr>
          <w:t xml:space="preserve"> </w:t>
        </w:r>
      </w:hyperlink>
      <w:hyperlink r:id="rId24">
        <w:r w:rsidRPr="0015348B">
          <w:rPr>
            <w:rFonts w:asciiTheme="majorHAnsi" w:hAnsiTheme="majorHAnsi" w:cstheme="majorHAnsi"/>
            <w:color w:val="0000FF"/>
            <w:u w:val="single"/>
          </w:rPr>
          <w:t>Sexual Violence and Sexual Harassment Policy</w:t>
        </w:r>
      </w:hyperlink>
      <w:r w:rsidRPr="0015348B">
        <w:rPr>
          <w:rFonts w:asciiTheme="majorHAnsi" w:hAnsiTheme="majorHAnsi" w:cstheme="majorHAnsi"/>
        </w:rPr>
        <w:t>.</w:t>
      </w:r>
    </w:p>
    <w:p w14:paraId="1BF30AFF" w14:textId="77777777" w:rsidR="00B85915" w:rsidRPr="0015348B" w:rsidRDefault="00F54DE2">
      <w:pPr>
        <w:numPr>
          <w:ilvl w:val="0"/>
          <w:numId w:val="17"/>
        </w:numPr>
        <w:rPr>
          <w:rFonts w:asciiTheme="majorHAnsi" w:hAnsiTheme="majorHAnsi" w:cstheme="majorHAnsi"/>
        </w:rPr>
      </w:pPr>
      <w:r w:rsidRPr="0015348B">
        <w:rPr>
          <w:rFonts w:asciiTheme="majorHAnsi" w:hAnsiTheme="majorHAnsi" w:cstheme="majorHAnsi"/>
        </w:rPr>
        <w:t xml:space="preserve">Resources: If you have further questions or concerns about reporting behavior related to sexual harassment, sexual violence, and/or protected category discrimination, please contact the Office for the Prevention of Harassment and Discrimination (OPHD) by phone 510-643-7985 or email </w:t>
      </w:r>
      <w:r w:rsidRPr="0015348B">
        <w:rPr>
          <w:rFonts w:asciiTheme="majorHAnsi" w:hAnsiTheme="majorHAnsi" w:cstheme="majorHAnsi"/>
          <w:color w:val="1155CC"/>
        </w:rPr>
        <w:t>ask_ophd@berkeley.edu</w:t>
      </w:r>
      <w:r w:rsidRPr="0015348B">
        <w:rPr>
          <w:rFonts w:asciiTheme="majorHAnsi" w:hAnsiTheme="majorHAnsi" w:cstheme="majorHAnsi"/>
        </w:rPr>
        <w:t>.</w:t>
      </w:r>
    </w:p>
    <w:p w14:paraId="55F989DD" w14:textId="77777777" w:rsidR="00B85915" w:rsidRPr="0015348B" w:rsidRDefault="003C20E0">
      <w:pPr>
        <w:numPr>
          <w:ilvl w:val="0"/>
          <w:numId w:val="17"/>
        </w:numPr>
        <w:rPr>
          <w:rFonts w:asciiTheme="majorHAnsi" w:hAnsiTheme="majorHAnsi" w:cstheme="majorHAnsi"/>
        </w:rPr>
      </w:pPr>
      <w:hyperlink r:id="rId25">
        <w:r w:rsidR="00F54DE2" w:rsidRPr="0015348B">
          <w:rPr>
            <w:rFonts w:asciiTheme="majorHAnsi" w:hAnsiTheme="majorHAnsi" w:cstheme="majorHAnsi"/>
            <w:color w:val="0000FF"/>
            <w:u w:val="single"/>
          </w:rPr>
          <w:t>Path to Care Center</w:t>
        </w:r>
      </w:hyperlink>
      <w:r w:rsidR="00F54DE2" w:rsidRPr="0015348B">
        <w:rPr>
          <w:rFonts w:asciiTheme="majorHAnsi" w:hAnsiTheme="majorHAnsi" w:cstheme="majorHAnsi"/>
        </w:rPr>
        <w:t xml:space="preserve"> Confidential Advocates provide affirming, empowering, and confidential support for those that have experienced gendered violence, including: sexual harassment, emotional abuse, dating and intimate partner violence, sexual assault, stalking, and sexual exploitation. Advocates bring a non-judgmental, caring approach to exploring all options, rights, and resources. They can be reached by phone at (510) 642-1988.</w:t>
      </w:r>
    </w:p>
    <w:p w14:paraId="612ACA16" w14:textId="77777777" w:rsidR="00B85915" w:rsidRPr="0015348B" w:rsidRDefault="00B85915">
      <w:pPr>
        <w:jc w:val="both"/>
        <w:rPr>
          <w:rFonts w:asciiTheme="majorHAnsi" w:hAnsiTheme="majorHAnsi" w:cstheme="majorHAnsi"/>
        </w:rPr>
      </w:pPr>
    </w:p>
    <w:p w14:paraId="4DAEA250" w14:textId="77777777" w:rsidR="00B85915" w:rsidRPr="0015348B" w:rsidRDefault="00B85915">
      <w:pPr>
        <w:pBdr>
          <w:top w:val="nil"/>
          <w:left w:val="nil"/>
          <w:bottom w:val="nil"/>
          <w:right w:val="nil"/>
          <w:between w:val="nil"/>
        </w:pBdr>
        <w:ind w:left="720"/>
        <w:jc w:val="both"/>
        <w:rPr>
          <w:rFonts w:asciiTheme="majorHAnsi" w:hAnsiTheme="majorHAnsi" w:cstheme="majorHAnsi"/>
          <w:i/>
          <w:color w:val="0000FF"/>
        </w:rPr>
      </w:pPr>
    </w:p>
    <w:p w14:paraId="3F95C4FC" w14:textId="77777777" w:rsidR="00B85915" w:rsidRPr="0015348B" w:rsidRDefault="00B85915">
      <w:pPr>
        <w:jc w:val="both"/>
        <w:rPr>
          <w:rFonts w:asciiTheme="majorHAnsi" w:hAnsiTheme="majorHAnsi" w:cstheme="majorHAnsi"/>
        </w:rPr>
      </w:pPr>
    </w:p>
    <w:p w14:paraId="4A324660" w14:textId="77777777" w:rsidR="00470D1E" w:rsidRPr="0015348B" w:rsidRDefault="00470D1E">
      <w:pPr>
        <w:rPr>
          <w:rFonts w:asciiTheme="majorHAnsi" w:hAnsiTheme="majorHAnsi" w:cstheme="majorHAnsi"/>
          <w:b/>
          <w:u w:val="single"/>
        </w:rPr>
      </w:pPr>
      <w:r w:rsidRPr="0015348B">
        <w:rPr>
          <w:rFonts w:asciiTheme="majorHAnsi" w:hAnsiTheme="majorHAnsi" w:cstheme="majorHAnsi"/>
          <w:b/>
          <w:u w:val="single"/>
        </w:rPr>
        <w:br w:type="page"/>
      </w:r>
    </w:p>
    <w:p w14:paraId="505BB7FC" w14:textId="684F6DC0" w:rsidR="00B85915" w:rsidRPr="0015348B" w:rsidRDefault="00F54DE2">
      <w:pPr>
        <w:jc w:val="both"/>
        <w:rPr>
          <w:rFonts w:asciiTheme="majorHAnsi" w:hAnsiTheme="majorHAnsi" w:cstheme="majorHAnsi"/>
          <w:b/>
          <w:u w:val="single"/>
        </w:rPr>
      </w:pPr>
      <w:r w:rsidRPr="0015348B">
        <w:rPr>
          <w:rFonts w:asciiTheme="majorHAnsi" w:hAnsiTheme="majorHAnsi" w:cstheme="majorHAnsi"/>
          <w:b/>
          <w:u w:val="single"/>
        </w:rPr>
        <w:lastRenderedPageBreak/>
        <w:t xml:space="preserve">Course Schedule </w:t>
      </w:r>
    </w:p>
    <w:p w14:paraId="6EA66A81"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Style w:val="Strong"/>
          <w:rFonts w:asciiTheme="majorHAnsi" w:hAnsiTheme="majorHAnsi" w:cstheme="majorHAnsi"/>
          <w:color w:val="2D3B45"/>
          <w:highlight w:val="lightGray"/>
        </w:rPr>
        <w:t>Class#1          Introduction to the Business of Wine; Prohibition and Repeal (1920-1933)</w:t>
      </w:r>
    </w:p>
    <w:p w14:paraId="0150C024" w14:textId="417B03A6"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 xml:space="preserve">June </w:t>
      </w:r>
      <w:r w:rsidR="00D62CA2">
        <w:rPr>
          <w:rFonts w:asciiTheme="majorHAnsi" w:hAnsiTheme="majorHAnsi" w:cstheme="majorHAnsi"/>
          <w:color w:val="2D3B45"/>
        </w:rPr>
        <w:t>4</w:t>
      </w:r>
      <w:r w:rsidRPr="0015348B">
        <w:rPr>
          <w:rFonts w:asciiTheme="majorHAnsi" w:hAnsiTheme="majorHAnsi" w:cstheme="majorHAnsi"/>
          <w:color w:val="2D3B45"/>
        </w:rPr>
        <w:t>, 2 – 5:15pm PT       </w:t>
      </w:r>
    </w:p>
    <w:p w14:paraId="11E7E080"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Required Reading</w:t>
      </w:r>
    </w:p>
    <w:p w14:paraId="079C438E" w14:textId="44DD97D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34398F">
        <w:rPr>
          <w:rFonts w:asciiTheme="majorHAnsi" w:hAnsiTheme="majorHAnsi" w:cstheme="majorHAnsi"/>
          <w:color w:val="2D3B45"/>
        </w:rPr>
        <w:t>Richard Mendelson, </w:t>
      </w:r>
      <w:r w:rsidRPr="0034398F">
        <w:rPr>
          <w:rStyle w:val="Emphasis"/>
          <w:rFonts w:asciiTheme="majorHAnsi" w:hAnsiTheme="majorHAnsi" w:cstheme="majorHAnsi"/>
          <w:color w:val="2D3B45"/>
        </w:rPr>
        <w:t>Wine in America: Law and Policy</w:t>
      </w:r>
      <w:r w:rsidRPr="0034398F">
        <w:rPr>
          <w:rFonts w:asciiTheme="majorHAnsi" w:hAnsiTheme="majorHAnsi" w:cstheme="majorHAnsi"/>
          <w:color w:val="2D3B45"/>
        </w:rPr>
        <w:t xml:space="preserve">, </w:t>
      </w:r>
      <w:r w:rsidR="0034398F" w:rsidRPr="0034398F">
        <w:rPr>
          <w:rFonts w:asciiTheme="majorHAnsi" w:hAnsiTheme="majorHAnsi" w:cstheme="majorHAnsi"/>
          <w:color w:val="2D3B45"/>
        </w:rPr>
        <w:t>Chapter 1 (U.S. Wine Law:  An Overview) and Chapter 4 (Business Models for Making Wine and Growing Grapes)</w:t>
      </w:r>
      <w:r w:rsidRPr="0034398F">
        <w:rPr>
          <w:rFonts w:asciiTheme="majorHAnsi" w:hAnsiTheme="majorHAnsi" w:cstheme="majorHAnsi"/>
          <w:color w:val="2D3B45"/>
        </w:rPr>
        <w:t>.</w:t>
      </w:r>
    </w:p>
    <w:p w14:paraId="10D84E48"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Recommended Reading</w:t>
      </w:r>
    </w:p>
    <w:p w14:paraId="553FD804" w14:textId="43F1AC37" w:rsidR="00470D1E"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Richard Mendelson, </w:t>
      </w:r>
      <w:r w:rsidRPr="0015348B">
        <w:rPr>
          <w:rStyle w:val="Emphasis"/>
          <w:rFonts w:asciiTheme="majorHAnsi" w:hAnsiTheme="majorHAnsi" w:cstheme="majorHAnsi"/>
          <w:color w:val="2D3B45"/>
        </w:rPr>
        <w:t>From Demon to Darling: A Legal History of Wine in America</w:t>
      </w:r>
      <w:r w:rsidRPr="0015348B">
        <w:rPr>
          <w:rFonts w:asciiTheme="majorHAnsi" w:hAnsiTheme="majorHAnsi" w:cstheme="majorHAnsi"/>
          <w:color w:val="2D3B45"/>
        </w:rPr>
        <w:t xml:space="preserve">, pp. </w:t>
      </w:r>
      <w:r w:rsidR="00A977C1" w:rsidRPr="0015348B">
        <w:rPr>
          <w:rFonts w:asciiTheme="majorHAnsi" w:hAnsiTheme="majorHAnsi" w:cstheme="majorHAnsi"/>
          <w:color w:val="2D3B45"/>
        </w:rPr>
        <w:t>1</w:t>
      </w:r>
      <w:r w:rsidRPr="0015348B">
        <w:rPr>
          <w:rFonts w:asciiTheme="majorHAnsi" w:hAnsiTheme="majorHAnsi" w:cstheme="majorHAnsi"/>
          <w:color w:val="2D3B45"/>
        </w:rPr>
        <w:t>-</w:t>
      </w:r>
      <w:r w:rsidR="00A977C1" w:rsidRPr="0015348B">
        <w:rPr>
          <w:rFonts w:asciiTheme="majorHAnsi" w:hAnsiTheme="majorHAnsi" w:cstheme="majorHAnsi"/>
          <w:color w:val="2D3B45"/>
        </w:rPr>
        <w:t>93; 187-190.</w:t>
      </w:r>
    </w:p>
    <w:p w14:paraId="0D4EE7F6"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Relevant Learning Outcomes</w:t>
      </w:r>
    </w:p>
    <w:p w14:paraId="272583B6" w14:textId="77777777" w:rsidR="00470D1E" w:rsidRDefault="00470D1E" w:rsidP="00470D1E">
      <w:pPr>
        <w:pStyle w:val="NormalWeb"/>
        <w:numPr>
          <w:ilvl w:val="0"/>
          <w:numId w:val="19"/>
        </w:numPr>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 xml:space="preserve">Understand basic structure of wine industry as well as how the primary actors (growers, producers, distributors, retailers) interact and historical underpinnings for regulation of alcohol in America.  </w:t>
      </w:r>
    </w:p>
    <w:p w14:paraId="6D1E1AE4" w14:textId="3D06F839" w:rsidR="00BB3B39" w:rsidRPr="0015348B" w:rsidRDefault="00BB3B39" w:rsidP="00BB3B39">
      <w:pPr>
        <w:pStyle w:val="NormalWeb"/>
        <w:numPr>
          <w:ilvl w:val="0"/>
          <w:numId w:val="19"/>
        </w:numPr>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Understand current regulatory structure governing the production and sale of wine at both state and federal level</w:t>
      </w:r>
      <w:r>
        <w:rPr>
          <w:rFonts w:asciiTheme="majorHAnsi" w:hAnsiTheme="majorHAnsi" w:cstheme="majorHAnsi"/>
          <w:color w:val="2D3B45"/>
        </w:rPr>
        <w:t xml:space="preserve"> post prohibition.  </w:t>
      </w:r>
    </w:p>
    <w:p w14:paraId="7032EF95" w14:textId="77777777" w:rsidR="00BB3B39" w:rsidRPr="0015348B" w:rsidRDefault="00BB3B39" w:rsidP="00BB3B39">
      <w:pPr>
        <w:pStyle w:val="NormalWeb"/>
        <w:spacing w:before="180" w:beforeAutospacing="0" w:after="180" w:afterAutospacing="0"/>
        <w:ind w:left="720"/>
        <w:rPr>
          <w:rFonts w:asciiTheme="majorHAnsi" w:hAnsiTheme="majorHAnsi" w:cstheme="majorHAnsi"/>
          <w:color w:val="2D3B45"/>
        </w:rPr>
      </w:pPr>
    </w:p>
    <w:p w14:paraId="0E62EB11" w14:textId="592D1A2C"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Style w:val="Strong"/>
          <w:rFonts w:asciiTheme="majorHAnsi" w:hAnsiTheme="majorHAnsi" w:cstheme="majorHAnsi"/>
          <w:color w:val="2D3B45"/>
          <w:highlight w:val="lightGray"/>
        </w:rPr>
        <w:t>Class #2</w:t>
      </w:r>
      <w:r w:rsidR="00D62CA2">
        <w:rPr>
          <w:rStyle w:val="Strong"/>
          <w:rFonts w:asciiTheme="majorHAnsi" w:hAnsiTheme="majorHAnsi" w:cstheme="majorHAnsi"/>
          <w:color w:val="2D3B45"/>
          <w:highlight w:val="lightGray"/>
        </w:rPr>
        <w:t>a</w:t>
      </w:r>
      <w:r w:rsidRPr="0015348B">
        <w:rPr>
          <w:rStyle w:val="Strong"/>
          <w:rFonts w:asciiTheme="majorHAnsi" w:hAnsiTheme="majorHAnsi" w:cstheme="majorHAnsi"/>
          <w:color w:val="2D3B45"/>
          <w:highlight w:val="lightGray"/>
        </w:rPr>
        <w:t>          21st Amendment Jurisprudence &amp; Direct to Consumer Shipping</w:t>
      </w:r>
    </w:p>
    <w:p w14:paraId="03E0A014" w14:textId="67442CDC"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 xml:space="preserve">June </w:t>
      </w:r>
      <w:r w:rsidR="00D62CA2">
        <w:rPr>
          <w:rFonts w:asciiTheme="majorHAnsi" w:hAnsiTheme="majorHAnsi" w:cstheme="majorHAnsi"/>
          <w:color w:val="2D3B45"/>
        </w:rPr>
        <w:t>6</w:t>
      </w:r>
      <w:r w:rsidRPr="0015348B">
        <w:rPr>
          <w:rFonts w:asciiTheme="majorHAnsi" w:hAnsiTheme="majorHAnsi" w:cstheme="majorHAnsi"/>
          <w:color w:val="2D3B45"/>
        </w:rPr>
        <w:t>, 2:00pm  - 5:1</w:t>
      </w:r>
      <w:r w:rsidR="00D62CA2">
        <w:rPr>
          <w:rFonts w:asciiTheme="majorHAnsi" w:hAnsiTheme="majorHAnsi" w:cstheme="majorHAnsi"/>
          <w:color w:val="2D3B45"/>
        </w:rPr>
        <w:t>5</w:t>
      </w:r>
      <w:r w:rsidRPr="0015348B">
        <w:rPr>
          <w:rFonts w:asciiTheme="majorHAnsi" w:hAnsiTheme="majorHAnsi" w:cstheme="majorHAnsi"/>
          <w:color w:val="2D3B45"/>
        </w:rPr>
        <w:t>pm PT</w:t>
      </w:r>
    </w:p>
    <w:p w14:paraId="5B69DBE2"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Required Reading</w:t>
      </w:r>
    </w:p>
    <w:p w14:paraId="072544EC" w14:textId="6A06C485" w:rsidR="00470D1E" w:rsidRPr="0015348B" w:rsidRDefault="00470D1E" w:rsidP="00470D1E">
      <w:pPr>
        <w:pStyle w:val="NormalWeb"/>
        <w:spacing w:before="180" w:beforeAutospacing="0" w:after="180" w:afterAutospacing="0"/>
        <w:rPr>
          <w:rStyle w:val="Emphasis"/>
          <w:rFonts w:asciiTheme="majorHAnsi" w:hAnsiTheme="majorHAnsi" w:cstheme="majorHAnsi"/>
          <w:color w:val="2D3B45"/>
        </w:rPr>
      </w:pPr>
      <w:r w:rsidRPr="0034398F">
        <w:rPr>
          <w:rFonts w:asciiTheme="majorHAnsi" w:hAnsiTheme="majorHAnsi" w:cstheme="majorHAnsi"/>
          <w:color w:val="2D3B45"/>
        </w:rPr>
        <w:t>Richard Mendelson,</w:t>
      </w:r>
      <w:r w:rsidRPr="0034398F">
        <w:rPr>
          <w:rStyle w:val="Emphasis"/>
          <w:rFonts w:asciiTheme="majorHAnsi" w:hAnsiTheme="majorHAnsi" w:cstheme="majorHAnsi"/>
          <w:color w:val="2D3B45"/>
        </w:rPr>
        <w:t> Wine Law in America: Law and Policy</w:t>
      </w:r>
      <w:r w:rsidRPr="0034398F">
        <w:rPr>
          <w:rFonts w:asciiTheme="majorHAnsi" w:hAnsiTheme="majorHAnsi" w:cstheme="majorHAnsi"/>
          <w:color w:val="2D3B45"/>
        </w:rPr>
        <w:t>, Chapter 5, The Commerce Clause and the 21st Amendment</w:t>
      </w:r>
      <w:r w:rsidR="0034398F" w:rsidRPr="0034398F">
        <w:rPr>
          <w:rFonts w:asciiTheme="majorHAnsi" w:hAnsiTheme="majorHAnsi" w:cstheme="majorHAnsi"/>
          <w:color w:val="2D3B45"/>
        </w:rPr>
        <w:t>:  An Evolving Constitutional Puzzle</w:t>
      </w:r>
    </w:p>
    <w:p w14:paraId="7D44EA5D" w14:textId="77777777" w:rsidR="00A977C1" w:rsidRPr="0015348B" w:rsidRDefault="00A977C1" w:rsidP="00A977C1">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i/>
          <w:iCs/>
          <w:color w:val="2D3B45"/>
        </w:rPr>
        <w:t>Granholm v. Heald</w:t>
      </w:r>
      <w:r w:rsidRPr="0015348B">
        <w:rPr>
          <w:rFonts w:asciiTheme="majorHAnsi" w:hAnsiTheme="majorHAnsi" w:cstheme="majorHAnsi"/>
          <w:color w:val="2D3B45"/>
        </w:rPr>
        <w:t>, 544 U.S. 460 (2005)</w:t>
      </w:r>
    </w:p>
    <w:p w14:paraId="57DFEC97" w14:textId="1983159F" w:rsidR="00A977C1" w:rsidRPr="0015348B" w:rsidRDefault="00A977C1" w:rsidP="00A977C1">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i/>
          <w:iCs/>
          <w:color w:val="2D3B45"/>
        </w:rPr>
        <w:t>Tennessee Wine &amp; Spirits Retailers Association v. Thomas</w:t>
      </w:r>
      <w:r w:rsidRPr="0015348B">
        <w:rPr>
          <w:rFonts w:asciiTheme="majorHAnsi" w:hAnsiTheme="majorHAnsi" w:cstheme="majorHAnsi"/>
          <w:color w:val="2D3B45"/>
        </w:rPr>
        <w:t xml:space="preserve">, </w:t>
      </w:r>
      <w:r w:rsidR="00C16B2D" w:rsidRPr="00C16B2D">
        <w:rPr>
          <w:rFonts w:asciiTheme="majorHAnsi" w:hAnsiTheme="majorHAnsi" w:cstheme="majorHAnsi"/>
          <w:color w:val="2D3B45"/>
        </w:rPr>
        <w:t>139 S. Ct. 2449 (2019)</w:t>
      </w:r>
      <w:r w:rsidRPr="0015348B">
        <w:rPr>
          <w:rFonts w:asciiTheme="majorHAnsi" w:hAnsiTheme="majorHAnsi" w:cstheme="majorHAnsi"/>
          <w:color w:val="2D3B45"/>
        </w:rPr>
        <w:t xml:space="preserve"> </w:t>
      </w:r>
    </w:p>
    <w:p w14:paraId="3BD1C0B7" w14:textId="135F35E4"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Recommended Reading</w:t>
      </w:r>
    </w:p>
    <w:p w14:paraId="49149E2E" w14:textId="1D4F18EC" w:rsidR="00A977C1" w:rsidRPr="0015348B" w:rsidRDefault="00A977C1" w:rsidP="00A977C1">
      <w:pPr>
        <w:shd w:val="clear" w:color="auto" w:fill="FFFFFF"/>
        <w:spacing w:before="180" w:after="180"/>
        <w:rPr>
          <w:rFonts w:asciiTheme="majorHAnsi" w:eastAsia="Times New Roman" w:hAnsiTheme="majorHAnsi" w:cstheme="majorHAnsi"/>
          <w:color w:val="2D3B45"/>
        </w:rPr>
      </w:pPr>
      <w:r w:rsidRPr="00A977C1">
        <w:rPr>
          <w:rFonts w:asciiTheme="majorHAnsi" w:eastAsia="Times New Roman" w:hAnsiTheme="majorHAnsi" w:cstheme="majorHAnsi"/>
          <w:color w:val="2D3B45"/>
        </w:rPr>
        <w:t>Richard Mendelson, </w:t>
      </w:r>
      <w:r w:rsidRPr="00A977C1">
        <w:rPr>
          <w:rFonts w:asciiTheme="majorHAnsi" w:eastAsia="Times New Roman" w:hAnsiTheme="majorHAnsi" w:cstheme="majorHAnsi"/>
          <w:i/>
          <w:iCs/>
          <w:color w:val="2D3B45"/>
        </w:rPr>
        <w:t>From Demon to Darling: A Legal History of Wine in America</w:t>
      </w:r>
      <w:r w:rsidRPr="00A977C1">
        <w:rPr>
          <w:rFonts w:asciiTheme="majorHAnsi" w:eastAsia="Times New Roman" w:hAnsiTheme="majorHAnsi" w:cstheme="majorHAnsi"/>
          <w:color w:val="2D3B45"/>
        </w:rPr>
        <w:t>, pp. 172-186.</w:t>
      </w:r>
    </w:p>
    <w:p w14:paraId="7E7BDA97" w14:textId="4E348192" w:rsidR="0015348B" w:rsidRPr="00A977C1" w:rsidRDefault="0015348B" w:rsidP="00A977C1">
      <w:pPr>
        <w:shd w:val="clear" w:color="auto" w:fill="FFFFFF"/>
        <w:spacing w:before="180" w:after="180"/>
        <w:rPr>
          <w:rFonts w:asciiTheme="majorHAnsi" w:eastAsia="Times New Roman" w:hAnsiTheme="majorHAnsi" w:cstheme="majorHAnsi"/>
          <w:color w:val="2D3B45"/>
        </w:rPr>
      </w:pPr>
      <w:r w:rsidRPr="0015348B">
        <w:rPr>
          <w:rFonts w:asciiTheme="majorHAnsi" w:eastAsia="Times New Roman" w:hAnsiTheme="majorHAnsi" w:cstheme="majorHAnsi"/>
          <w:i/>
          <w:iCs/>
          <w:color w:val="2D3B45"/>
        </w:rPr>
        <w:t>B-21 Wines, Inc. v. Bauer</w:t>
      </w:r>
      <w:r w:rsidRPr="0015348B">
        <w:rPr>
          <w:rFonts w:asciiTheme="majorHAnsi" w:eastAsia="Times New Roman" w:hAnsiTheme="majorHAnsi" w:cstheme="majorHAnsi"/>
          <w:color w:val="2D3B45"/>
        </w:rPr>
        <w:t>, 36 F.4th 214 (4th Cir. 2022)</w:t>
      </w:r>
    </w:p>
    <w:p w14:paraId="20FF6F84" w14:textId="4E092226"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Relevant Learning Outcomes</w:t>
      </w:r>
    </w:p>
    <w:p w14:paraId="110AAA48" w14:textId="63C443D8" w:rsidR="00D62CA2" w:rsidRDefault="00470D1E" w:rsidP="00D62CA2">
      <w:pPr>
        <w:pStyle w:val="NormalWeb"/>
        <w:numPr>
          <w:ilvl w:val="0"/>
          <w:numId w:val="19"/>
        </w:numPr>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Understand how the interpretation of the 21</w:t>
      </w:r>
      <w:r w:rsidRPr="0015348B">
        <w:rPr>
          <w:rFonts w:asciiTheme="majorHAnsi" w:hAnsiTheme="majorHAnsi" w:cstheme="majorHAnsi"/>
          <w:color w:val="2D3B45"/>
          <w:vertAlign w:val="superscript"/>
        </w:rPr>
        <w:t>st</w:t>
      </w:r>
      <w:r w:rsidRPr="0015348B">
        <w:rPr>
          <w:rFonts w:asciiTheme="majorHAnsi" w:hAnsiTheme="majorHAnsi" w:cstheme="majorHAnsi"/>
          <w:color w:val="2D3B45"/>
        </w:rPr>
        <w:t xml:space="preserve"> Amendment has changed over time, and the impact it has had on ability of wineries to ship wine in interstate commerce.</w:t>
      </w:r>
    </w:p>
    <w:p w14:paraId="6B59995B" w14:textId="77777777" w:rsidR="00D62CA2" w:rsidRDefault="00D62CA2" w:rsidP="00D62CA2">
      <w:pPr>
        <w:pStyle w:val="NormalWeb"/>
        <w:spacing w:before="180" w:beforeAutospacing="0" w:after="180" w:afterAutospacing="0"/>
        <w:rPr>
          <w:rFonts w:asciiTheme="majorHAnsi" w:hAnsiTheme="majorHAnsi" w:cstheme="majorHAnsi"/>
          <w:color w:val="2D3B45"/>
        </w:rPr>
      </w:pPr>
    </w:p>
    <w:p w14:paraId="2E6954F3" w14:textId="6FB267EB" w:rsidR="00D62CA2" w:rsidRPr="0015348B" w:rsidRDefault="00D62CA2" w:rsidP="00D62CA2">
      <w:pPr>
        <w:pStyle w:val="NormalWeb"/>
        <w:spacing w:before="180" w:beforeAutospacing="0" w:after="180" w:afterAutospacing="0"/>
        <w:rPr>
          <w:rFonts w:asciiTheme="majorHAnsi" w:hAnsiTheme="majorHAnsi" w:cstheme="majorHAnsi"/>
          <w:color w:val="2D3B45"/>
        </w:rPr>
      </w:pPr>
      <w:r w:rsidRPr="00AB5E6A">
        <w:rPr>
          <w:rStyle w:val="Strong"/>
          <w:rFonts w:asciiTheme="majorHAnsi" w:hAnsiTheme="majorHAnsi" w:cstheme="majorHAnsi"/>
          <w:color w:val="2D3B45"/>
          <w:highlight w:val="lightGray"/>
        </w:rPr>
        <w:t>Class #</w:t>
      </w:r>
      <w:r>
        <w:rPr>
          <w:rStyle w:val="Strong"/>
          <w:rFonts w:asciiTheme="majorHAnsi" w:hAnsiTheme="majorHAnsi" w:cstheme="majorHAnsi"/>
          <w:color w:val="2D3B45"/>
          <w:highlight w:val="lightGray"/>
        </w:rPr>
        <w:t>2b</w:t>
      </w:r>
      <w:r w:rsidRPr="00AB5E6A">
        <w:rPr>
          <w:rStyle w:val="Strong"/>
          <w:rFonts w:asciiTheme="majorHAnsi" w:hAnsiTheme="majorHAnsi" w:cstheme="majorHAnsi"/>
          <w:color w:val="2D3B45"/>
          <w:highlight w:val="lightGray"/>
        </w:rPr>
        <w:t>     Appellations of Origin</w:t>
      </w:r>
    </w:p>
    <w:p w14:paraId="19ECB89C" w14:textId="54AC1599" w:rsidR="00D62CA2" w:rsidRPr="0015348B" w:rsidRDefault="00D62CA2" w:rsidP="00D62CA2">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 xml:space="preserve">June </w:t>
      </w:r>
      <w:r>
        <w:rPr>
          <w:rFonts w:asciiTheme="majorHAnsi" w:hAnsiTheme="majorHAnsi" w:cstheme="majorHAnsi"/>
          <w:color w:val="2D3B45"/>
        </w:rPr>
        <w:t>6</w:t>
      </w:r>
      <w:r w:rsidRPr="0015348B">
        <w:rPr>
          <w:rFonts w:asciiTheme="majorHAnsi" w:hAnsiTheme="majorHAnsi" w:cstheme="majorHAnsi"/>
          <w:color w:val="2D3B45"/>
        </w:rPr>
        <w:t>, 2:00pm  - 5:1</w:t>
      </w:r>
      <w:r>
        <w:rPr>
          <w:rFonts w:asciiTheme="majorHAnsi" w:hAnsiTheme="majorHAnsi" w:cstheme="majorHAnsi"/>
          <w:color w:val="2D3B45"/>
        </w:rPr>
        <w:t>5</w:t>
      </w:r>
      <w:r w:rsidRPr="0015348B">
        <w:rPr>
          <w:rFonts w:asciiTheme="majorHAnsi" w:hAnsiTheme="majorHAnsi" w:cstheme="majorHAnsi"/>
          <w:color w:val="2D3B45"/>
        </w:rPr>
        <w:t>pm PT</w:t>
      </w:r>
    </w:p>
    <w:p w14:paraId="2972F358" w14:textId="77777777" w:rsidR="00D62CA2" w:rsidRPr="0015348B" w:rsidRDefault="00D62CA2" w:rsidP="00D62CA2">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Required Reading</w:t>
      </w:r>
      <w:r w:rsidRPr="0015348B">
        <w:rPr>
          <w:rFonts w:asciiTheme="majorHAnsi" w:hAnsiTheme="majorHAnsi" w:cstheme="majorHAnsi"/>
          <w:color w:val="2D3B45"/>
        </w:rPr>
        <w:t>   </w:t>
      </w:r>
    </w:p>
    <w:p w14:paraId="39EE3310" w14:textId="77777777" w:rsidR="00D62CA2" w:rsidRDefault="00D62CA2" w:rsidP="00D62CA2">
      <w:pPr>
        <w:pStyle w:val="NormalWeb"/>
        <w:spacing w:before="180" w:beforeAutospacing="0" w:after="180" w:afterAutospacing="0"/>
        <w:rPr>
          <w:rFonts w:asciiTheme="majorHAnsi" w:hAnsiTheme="majorHAnsi" w:cstheme="majorHAnsi"/>
          <w:color w:val="2D3B45"/>
        </w:rPr>
      </w:pPr>
      <w:r w:rsidRPr="0034398F">
        <w:rPr>
          <w:rFonts w:asciiTheme="majorHAnsi" w:hAnsiTheme="majorHAnsi" w:cstheme="majorHAnsi"/>
          <w:color w:val="2D3B45"/>
        </w:rPr>
        <w:lastRenderedPageBreak/>
        <w:t>Richard Mendelson,</w:t>
      </w:r>
      <w:r w:rsidRPr="0034398F">
        <w:rPr>
          <w:rStyle w:val="Emphasis"/>
          <w:rFonts w:asciiTheme="majorHAnsi" w:hAnsiTheme="majorHAnsi" w:cstheme="majorHAnsi"/>
          <w:color w:val="2D3B45"/>
        </w:rPr>
        <w:t> Wine Law in America: Law and Policy</w:t>
      </w:r>
      <w:r w:rsidRPr="0034398F">
        <w:rPr>
          <w:rFonts w:asciiTheme="majorHAnsi" w:hAnsiTheme="majorHAnsi" w:cstheme="majorHAnsi"/>
          <w:color w:val="2D3B45"/>
        </w:rPr>
        <w:t>, Chapter 6 (Wine Brands and Appellations of Origin</w:t>
      </w:r>
      <w:r>
        <w:rPr>
          <w:rFonts w:asciiTheme="majorHAnsi" w:hAnsiTheme="majorHAnsi" w:cstheme="majorHAnsi"/>
          <w:color w:val="2D3B45"/>
        </w:rPr>
        <w:t xml:space="preserve"> p. 212-246</w:t>
      </w:r>
      <w:r w:rsidRPr="0034398F">
        <w:rPr>
          <w:rFonts w:asciiTheme="majorHAnsi" w:hAnsiTheme="majorHAnsi" w:cstheme="majorHAnsi"/>
          <w:color w:val="2D3B45"/>
        </w:rPr>
        <w:t xml:space="preserve">) </w:t>
      </w:r>
    </w:p>
    <w:p w14:paraId="224D23A3" w14:textId="140F2264" w:rsidR="00D62CA2" w:rsidRPr="0015348B" w:rsidRDefault="00D62CA2" w:rsidP="00D62CA2">
      <w:pPr>
        <w:pStyle w:val="NormalWeb"/>
        <w:spacing w:before="180" w:beforeAutospacing="0" w:after="180" w:afterAutospacing="0"/>
        <w:rPr>
          <w:rFonts w:asciiTheme="majorHAnsi" w:hAnsiTheme="majorHAnsi" w:cstheme="majorHAnsi"/>
          <w:color w:val="2D3B45"/>
        </w:rPr>
      </w:pPr>
      <w:r>
        <w:rPr>
          <w:rFonts w:asciiTheme="majorHAnsi" w:hAnsiTheme="majorHAnsi" w:cstheme="majorHAnsi"/>
          <w:color w:val="2D3B45"/>
          <w:u w:val="single"/>
        </w:rPr>
        <w:t xml:space="preserve">Recommended </w:t>
      </w:r>
      <w:r w:rsidRPr="0015348B">
        <w:rPr>
          <w:rFonts w:asciiTheme="majorHAnsi" w:hAnsiTheme="majorHAnsi" w:cstheme="majorHAnsi"/>
          <w:color w:val="2D3B45"/>
          <w:u w:val="single"/>
        </w:rPr>
        <w:t>Reading</w:t>
      </w:r>
      <w:r w:rsidRPr="0015348B">
        <w:rPr>
          <w:rFonts w:asciiTheme="majorHAnsi" w:hAnsiTheme="majorHAnsi" w:cstheme="majorHAnsi"/>
          <w:color w:val="2D3B45"/>
        </w:rPr>
        <w:t>   </w:t>
      </w:r>
    </w:p>
    <w:p w14:paraId="7187E9F6" w14:textId="682786BE" w:rsidR="00D62CA2" w:rsidRPr="0015348B" w:rsidRDefault="00D62CA2" w:rsidP="00D62CA2">
      <w:pPr>
        <w:pStyle w:val="NormalWeb"/>
        <w:spacing w:before="180" w:beforeAutospacing="0" w:after="180" w:afterAutospacing="0"/>
        <w:rPr>
          <w:rFonts w:asciiTheme="majorHAnsi" w:hAnsiTheme="majorHAnsi" w:cstheme="majorHAnsi"/>
        </w:rPr>
      </w:pPr>
      <w:r w:rsidRPr="0015348B">
        <w:rPr>
          <w:rFonts w:asciiTheme="majorHAnsi" w:hAnsiTheme="majorHAnsi" w:cstheme="majorHAnsi"/>
        </w:rPr>
        <w:t xml:space="preserve">Esther Mobley, </w:t>
      </w:r>
      <w:r w:rsidRPr="0015348B">
        <w:rPr>
          <w:rFonts w:asciiTheme="majorHAnsi" w:hAnsiTheme="majorHAnsi" w:cstheme="majorHAnsi"/>
          <w:i/>
        </w:rPr>
        <w:t>Did Winemaker Joe Wagner Misrepresent where his Oregon Pinot Noirs came from?</w:t>
      </w:r>
      <w:r w:rsidRPr="0015348B">
        <w:rPr>
          <w:rFonts w:asciiTheme="majorHAnsi" w:hAnsiTheme="majorHAnsi" w:cstheme="majorHAnsi"/>
        </w:rPr>
        <w:t xml:space="preserve"> SF Chronicle (Sep. 23, 2018), available at </w:t>
      </w:r>
      <w:hyperlink r:id="rId26" w:history="1">
        <w:r w:rsidRPr="0015348B">
          <w:rPr>
            <w:rStyle w:val="Hyperlink"/>
            <w:rFonts w:asciiTheme="majorHAnsi" w:hAnsiTheme="majorHAnsi" w:cstheme="majorHAnsi"/>
          </w:rPr>
          <w:t>https://www.sfchronicle.com/news/article/Did-winemaker-Joe-Wagner-misrepresent-where-his-13245903.php</w:t>
        </w:r>
      </w:hyperlink>
    </w:p>
    <w:p w14:paraId="1AD024B2" w14:textId="77777777" w:rsidR="00D62CA2" w:rsidRPr="0015348B" w:rsidRDefault="00D62CA2" w:rsidP="00D62CA2">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Relevant Learning Outcomes</w:t>
      </w:r>
    </w:p>
    <w:p w14:paraId="176F67A0" w14:textId="77777777" w:rsidR="00D62CA2" w:rsidRDefault="00D62CA2" w:rsidP="00D62CA2">
      <w:pPr>
        <w:pStyle w:val="NormalWeb"/>
        <w:numPr>
          <w:ilvl w:val="0"/>
          <w:numId w:val="19"/>
        </w:numPr>
        <w:spacing w:before="180" w:beforeAutospacing="0" w:after="180" w:afterAutospacing="0"/>
        <w:rPr>
          <w:rFonts w:asciiTheme="majorHAnsi" w:hAnsiTheme="majorHAnsi" w:cstheme="majorHAnsi"/>
          <w:color w:val="2D3B45"/>
        </w:rPr>
      </w:pPr>
      <w:r>
        <w:rPr>
          <w:rFonts w:asciiTheme="majorHAnsi" w:hAnsiTheme="majorHAnsi" w:cstheme="majorHAnsi"/>
          <w:color w:val="2D3B45"/>
        </w:rPr>
        <w:t>Understand appellation and American Viticultural Area labeling requirements.</w:t>
      </w:r>
    </w:p>
    <w:p w14:paraId="0B2A3A2D" w14:textId="77777777" w:rsidR="00D62CA2" w:rsidRDefault="00D62CA2" w:rsidP="00D62CA2">
      <w:pPr>
        <w:pStyle w:val="NormalWeb"/>
        <w:numPr>
          <w:ilvl w:val="0"/>
          <w:numId w:val="19"/>
        </w:numPr>
        <w:spacing w:before="180" w:beforeAutospacing="0" w:after="180" w:afterAutospacing="0"/>
        <w:rPr>
          <w:rFonts w:asciiTheme="majorHAnsi" w:hAnsiTheme="majorHAnsi" w:cstheme="majorHAnsi"/>
          <w:color w:val="2D3B45"/>
        </w:rPr>
      </w:pPr>
      <w:r>
        <w:rPr>
          <w:rFonts w:asciiTheme="majorHAnsi" w:hAnsiTheme="majorHAnsi" w:cstheme="majorHAnsi"/>
          <w:color w:val="2D3B45"/>
        </w:rPr>
        <w:t>Compare differences between U.S. appellation system and those used in other wine producing countries.</w:t>
      </w:r>
    </w:p>
    <w:p w14:paraId="3E1C787C" w14:textId="1C9C3B8A" w:rsidR="00D62CA2" w:rsidRPr="0015348B" w:rsidRDefault="00D62CA2" w:rsidP="00D62CA2">
      <w:pPr>
        <w:pStyle w:val="NormalWeb"/>
        <w:numPr>
          <w:ilvl w:val="0"/>
          <w:numId w:val="19"/>
        </w:numPr>
        <w:spacing w:before="180" w:beforeAutospacing="0" w:after="180" w:afterAutospacing="0"/>
        <w:rPr>
          <w:rFonts w:asciiTheme="majorHAnsi" w:hAnsiTheme="majorHAnsi" w:cstheme="majorHAnsi"/>
          <w:color w:val="2D3B45"/>
        </w:rPr>
      </w:pPr>
      <w:r>
        <w:rPr>
          <w:rFonts w:asciiTheme="majorHAnsi" w:hAnsiTheme="majorHAnsi" w:cstheme="majorHAnsi"/>
          <w:color w:val="2D3B45"/>
        </w:rPr>
        <w:t xml:space="preserve">Appreciate potential benefits and criticisms of U.S. appellation system.  </w:t>
      </w:r>
    </w:p>
    <w:p w14:paraId="0DC654D0" w14:textId="77777777" w:rsidR="00D62CA2" w:rsidRPr="00D62CA2" w:rsidRDefault="00D62CA2" w:rsidP="00BB3B39">
      <w:pPr>
        <w:pStyle w:val="NormalWeb"/>
        <w:spacing w:before="180" w:beforeAutospacing="0" w:after="180" w:afterAutospacing="0"/>
        <w:rPr>
          <w:rFonts w:asciiTheme="majorHAnsi" w:hAnsiTheme="majorHAnsi" w:cstheme="majorHAnsi"/>
          <w:color w:val="2D3B45"/>
        </w:rPr>
      </w:pPr>
    </w:p>
    <w:p w14:paraId="1B087175" w14:textId="3D8A58D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AB5E6A">
        <w:rPr>
          <w:rStyle w:val="Strong"/>
          <w:rFonts w:asciiTheme="majorHAnsi" w:hAnsiTheme="majorHAnsi" w:cstheme="majorHAnsi"/>
          <w:color w:val="2D3B45"/>
          <w:highlight w:val="lightGray"/>
        </w:rPr>
        <w:t>Class #3          Wine Labeling</w:t>
      </w:r>
      <w:r w:rsidR="00AE60CE" w:rsidRPr="00AB5E6A">
        <w:rPr>
          <w:rStyle w:val="Strong"/>
          <w:rFonts w:asciiTheme="majorHAnsi" w:hAnsiTheme="majorHAnsi" w:cstheme="majorHAnsi"/>
          <w:color w:val="2D3B45"/>
          <w:highlight w:val="lightGray"/>
        </w:rPr>
        <w:t xml:space="preserve"> &amp; Advertisin</w:t>
      </w:r>
      <w:r w:rsidR="003C20E0">
        <w:rPr>
          <w:rStyle w:val="Strong"/>
          <w:rFonts w:asciiTheme="majorHAnsi" w:hAnsiTheme="majorHAnsi" w:cstheme="majorHAnsi"/>
          <w:color w:val="2D3B45"/>
          <w:highlight w:val="lightGray"/>
        </w:rPr>
        <w:t>g Rebulations</w:t>
      </w:r>
    </w:p>
    <w:p w14:paraId="2DF554D2" w14:textId="269743E9"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 xml:space="preserve">June </w:t>
      </w:r>
      <w:r w:rsidR="00F254B2" w:rsidRPr="0015348B">
        <w:rPr>
          <w:rFonts w:asciiTheme="majorHAnsi" w:hAnsiTheme="majorHAnsi" w:cstheme="majorHAnsi"/>
          <w:color w:val="2D3B45"/>
        </w:rPr>
        <w:t>1</w:t>
      </w:r>
      <w:r w:rsidR="0010792F">
        <w:rPr>
          <w:rFonts w:asciiTheme="majorHAnsi" w:hAnsiTheme="majorHAnsi" w:cstheme="majorHAnsi"/>
          <w:color w:val="2D3B45"/>
        </w:rPr>
        <w:t>1</w:t>
      </w:r>
      <w:r w:rsidRPr="0015348B">
        <w:rPr>
          <w:rFonts w:asciiTheme="majorHAnsi" w:hAnsiTheme="majorHAnsi" w:cstheme="majorHAnsi"/>
          <w:color w:val="2D3B45"/>
        </w:rPr>
        <w:t>, 2:00pm  - 5:1</w:t>
      </w:r>
      <w:r w:rsidR="0010792F">
        <w:rPr>
          <w:rFonts w:asciiTheme="majorHAnsi" w:hAnsiTheme="majorHAnsi" w:cstheme="majorHAnsi"/>
          <w:color w:val="2D3B45"/>
        </w:rPr>
        <w:t>5</w:t>
      </w:r>
      <w:r w:rsidRPr="0015348B">
        <w:rPr>
          <w:rFonts w:asciiTheme="majorHAnsi" w:hAnsiTheme="majorHAnsi" w:cstheme="majorHAnsi"/>
          <w:color w:val="2D3B45"/>
        </w:rPr>
        <w:t>pm PT</w:t>
      </w:r>
    </w:p>
    <w:p w14:paraId="37C3D96D"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Required Reading</w:t>
      </w:r>
    </w:p>
    <w:p w14:paraId="6F78FBF8" w14:textId="5011B4B1" w:rsidR="00470D1E" w:rsidRDefault="00470D1E" w:rsidP="00470D1E">
      <w:pPr>
        <w:pStyle w:val="NormalWeb"/>
        <w:spacing w:before="180" w:beforeAutospacing="0" w:after="180" w:afterAutospacing="0"/>
        <w:rPr>
          <w:rFonts w:asciiTheme="majorHAnsi" w:hAnsiTheme="majorHAnsi" w:cstheme="majorHAnsi"/>
          <w:color w:val="2D3B45"/>
        </w:rPr>
      </w:pPr>
      <w:r w:rsidRPr="0034398F">
        <w:rPr>
          <w:rFonts w:asciiTheme="majorHAnsi" w:hAnsiTheme="majorHAnsi" w:cstheme="majorHAnsi"/>
          <w:color w:val="2D3B45"/>
        </w:rPr>
        <w:t>Richard Mendelson,</w:t>
      </w:r>
      <w:r w:rsidRPr="0034398F">
        <w:rPr>
          <w:rStyle w:val="Emphasis"/>
          <w:rFonts w:asciiTheme="majorHAnsi" w:hAnsiTheme="majorHAnsi" w:cstheme="majorHAnsi"/>
          <w:color w:val="2D3B45"/>
        </w:rPr>
        <w:t> Wine Law in America: Law and Policy</w:t>
      </w:r>
      <w:r w:rsidRPr="0034398F">
        <w:rPr>
          <w:rFonts w:asciiTheme="majorHAnsi" w:hAnsiTheme="majorHAnsi" w:cstheme="majorHAnsi"/>
          <w:color w:val="2D3B45"/>
        </w:rPr>
        <w:t xml:space="preserve">, </w:t>
      </w:r>
      <w:r w:rsidR="0034398F" w:rsidRPr="0034398F">
        <w:rPr>
          <w:rFonts w:asciiTheme="majorHAnsi" w:hAnsiTheme="majorHAnsi" w:cstheme="majorHAnsi"/>
          <w:color w:val="2D3B45"/>
        </w:rPr>
        <w:t xml:space="preserve">Chapter 3 (Labeling and Advertising) </w:t>
      </w:r>
    </w:p>
    <w:p w14:paraId="7D87078F" w14:textId="77777777" w:rsidR="009227D6" w:rsidRPr="0015348B" w:rsidRDefault="009227D6" w:rsidP="009227D6">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TTB Industry Circular 2022-2, </w:t>
      </w:r>
      <w:r w:rsidRPr="0015348B">
        <w:rPr>
          <w:rStyle w:val="Emphasis"/>
          <w:rFonts w:asciiTheme="majorHAnsi" w:hAnsiTheme="majorHAnsi" w:cstheme="majorHAnsi"/>
          <w:color w:val="2D3B45"/>
        </w:rPr>
        <w:t>Use of Social Media in the Advertising of Alcohol Beverages</w:t>
      </w:r>
      <w:r w:rsidRPr="0015348B">
        <w:rPr>
          <w:rFonts w:asciiTheme="majorHAnsi" w:hAnsiTheme="majorHAnsi" w:cstheme="majorHAnsi"/>
          <w:color w:val="2D3B45"/>
        </w:rPr>
        <w:t>, </w:t>
      </w:r>
      <w:hyperlink r:id="rId27" w:history="1">
        <w:r w:rsidRPr="0015348B">
          <w:rPr>
            <w:rStyle w:val="Hyperlink"/>
            <w:rFonts w:asciiTheme="majorHAnsi" w:hAnsiTheme="majorHAnsi" w:cstheme="majorHAnsi"/>
          </w:rPr>
          <w:t>https://www.ttb.gov/industry-circulars/ttb-industry-circular-2022-2</w:t>
        </w:r>
      </w:hyperlink>
      <w:r w:rsidRPr="0015348B">
        <w:rPr>
          <w:rFonts w:asciiTheme="majorHAnsi" w:hAnsiTheme="majorHAnsi" w:cstheme="majorHAnsi"/>
          <w:color w:val="2D3B45"/>
        </w:rPr>
        <w:t xml:space="preserve"> </w:t>
      </w:r>
    </w:p>
    <w:p w14:paraId="403A03A4" w14:textId="77777777" w:rsidR="009227D6" w:rsidRPr="0015348B" w:rsidRDefault="009227D6" w:rsidP="009227D6">
      <w:pPr>
        <w:pStyle w:val="NormalWeb"/>
        <w:spacing w:before="180" w:beforeAutospacing="0" w:after="180" w:afterAutospacing="0"/>
        <w:rPr>
          <w:rStyle w:val="Hyperlink"/>
          <w:rFonts w:asciiTheme="majorHAnsi" w:hAnsiTheme="majorHAnsi" w:cstheme="majorHAnsi"/>
        </w:rPr>
      </w:pPr>
      <w:r w:rsidRPr="0015348B">
        <w:rPr>
          <w:rFonts w:asciiTheme="majorHAnsi" w:hAnsiTheme="majorHAnsi" w:cstheme="majorHAnsi"/>
          <w:color w:val="2D3B45"/>
        </w:rPr>
        <w:t>CA ABC Industry Advisory, </w:t>
      </w:r>
      <w:r w:rsidRPr="0015348B">
        <w:rPr>
          <w:rStyle w:val="Emphasis"/>
          <w:rFonts w:asciiTheme="majorHAnsi" w:hAnsiTheme="majorHAnsi" w:cstheme="majorHAnsi"/>
          <w:color w:val="2D3B45"/>
        </w:rPr>
        <w:t>Third Party Providers</w:t>
      </w:r>
      <w:r w:rsidRPr="0015348B">
        <w:rPr>
          <w:rFonts w:asciiTheme="majorHAnsi" w:hAnsiTheme="majorHAnsi" w:cstheme="majorHAnsi"/>
          <w:color w:val="2D3B45"/>
        </w:rPr>
        <w:t>,</w:t>
      </w:r>
      <w:r w:rsidRPr="0015348B">
        <w:rPr>
          <w:rStyle w:val="Emphasis"/>
          <w:rFonts w:asciiTheme="majorHAnsi" w:hAnsiTheme="majorHAnsi" w:cstheme="majorHAnsi"/>
          <w:color w:val="2D3B45"/>
        </w:rPr>
        <w:t> </w:t>
      </w:r>
      <w:r w:rsidRPr="0015348B">
        <w:rPr>
          <w:rFonts w:asciiTheme="majorHAnsi" w:hAnsiTheme="majorHAnsi" w:cstheme="majorHAnsi"/>
          <w:color w:val="2D3B45"/>
        </w:rPr>
        <w:t>2011, </w:t>
      </w:r>
      <w:hyperlink r:id="rId28" w:history="1">
        <w:r w:rsidRPr="0015348B">
          <w:rPr>
            <w:rStyle w:val="Hyperlink"/>
            <w:rFonts w:asciiTheme="majorHAnsi" w:hAnsiTheme="majorHAnsi" w:cstheme="majorHAnsi"/>
          </w:rPr>
          <w:t>https://www.abc.ca.gov/third-party-providers/</w:t>
        </w:r>
      </w:hyperlink>
    </w:p>
    <w:p w14:paraId="0CAA8CD0" w14:textId="77777777" w:rsidR="009227D6" w:rsidRPr="0015348B" w:rsidRDefault="009227D6" w:rsidP="009227D6">
      <w:pPr>
        <w:shd w:val="clear" w:color="auto" w:fill="FFFFFF"/>
        <w:rPr>
          <w:rFonts w:asciiTheme="majorHAnsi" w:hAnsiTheme="majorHAnsi" w:cstheme="majorHAnsi"/>
          <w:color w:val="4472C4"/>
          <w:shd w:val="clear" w:color="auto" w:fill="FFFFFF"/>
        </w:rPr>
      </w:pPr>
      <w:r w:rsidRPr="0015348B">
        <w:rPr>
          <w:rFonts w:asciiTheme="majorHAnsi" w:hAnsiTheme="majorHAnsi" w:cstheme="majorHAnsi"/>
          <w:color w:val="000000"/>
          <w:shd w:val="clear" w:color="auto" w:fill="FFFFFF"/>
        </w:rPr>
        <w:t>New York SLA, Declaratory Ruling, Determination on Legality of Internet Advertising Platform (2013</w:t>
      </w:r>
      <w:r w:rsidRPr="0015348B">
        <w:rPr>
          <w:rFonts w:asciiTheme="majorHAnsi" w:hAnsiTheme="majorHAnsi" w:cstheme="majorHAnsi"/>
          <w:color w:val="4472C4"/>
          <w:shd w:val="clear" w:color="auto" w:fill="FFFFFF"/>
        </w:rPr>
        <w:t xml:space="preserve">), </w:t>
      </w:r>
      <w:r w:rsidRPr="0015348B">
        <w:rPr>
          <w:rFonts w:asciiTheme="majorHAnsi" w:hAnsiTheme="majorHAnsi" w:cstheme="majorHAnsi"/>
          <w:color w:val="000000"/>
          <w:u w:val="single"/>
          <w:shd w:val="clear" w:color="auto" w:fill="FFFFFF"/>
        </w:rPr>
        <w:t>https://www.sla.ny.gov/system/files/2013-01006A_-_Internet_Advertising_Platform.pdf</w:t>
      </w:r>
    </w:p>
    <w:p w14:paraId="069AFB3F"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Recommended Reading</w:t>
      </w:r>
    </w:p>
    <w:p w14:paraId="02A54AC0" w14:textId="6785EA86"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Richard Mendelson, </w:t>
      </w:r>
      <w:r w:rsidRPr="0015348B">
        <w:rPr>
          <w:rStyle w:val="Emphasis"/>
          <w:rFonts w:asciiTheme="majorHAnsi" w:hAnsiTheme="majorHAnsi" w:cstheme="majorHAnsi"/>
          <w:color w:val="2D3B45"/>
        </w:rPr>
        <w:t>From Demon to Darling: A Legal History of Wine in America</w:t>
      </w:r>
      <w:r w:rsidRPr="0015348B">
        <w:rPr>
          <w:rFonts w:asciiTheme="majorHAnsi" w:hAnsiTheme="majorHAnsi" w:cstheme="majorHAnsi"/>
          <w:color w:val="2D3B45"/>
        </w:rPr>
        <w:t>, pp. 137-158 (Chapter 4, Transforming Wine in American Culture, until the beginning of the section on Public Health).</w:t>
      </w:r>
    </w:p>
    <w:p w14:paraId="1A315755"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Relevant Learning Outcomes</w:t>
      </w:r>
    </w:p>
    <w:p w14:paraId="71F01877" w14:textId="77777777" w:rsidR="00470D1E" w:rsidRDefault="00470D1E" w:rsidP="00470D1E">
      <w:pPr>
        <w:pStyle w:val="NormalWeb"/>
        <w:numPr>
          <w:ilvl w:val="0"/>
          <w:numId w:val="19"/>
        </w:numPr>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Be able to distinguish between mandatory and optional information on wine labels and understand what information (such as appellation, varietal type, and vintage) indicates.</w:t>
      </w:r>
    </w:p>
    <w:p w14:paraId="603C7B92" w14:textId="50C6FF55" w:rsidR="00BB3B39" w:rsidRPr="0015348B" w:rsidRDefault="00BB3B39" w:rsidP="00470D1E">
      <w:pPr>
        <w:pStyle w:val="NormalWeb"/>
        <w:numPr>
          <w:ilvl w:val="0"/>
          <w:numId w:val="19"/>
        </w:numPr>
        <w:spacing w:before="180" w:beforeAutospacing="0" w:after="180" w:afterAutospacing="0"/>
        <w:rPr>
          <w:rFonts w:asciiTheme="majorHAnsi" w:hAnsiTheme="majorHAnsi" w:cstheme="majorHAnsi"/>
          <w:color w:val="2D3B45"/>
        </w:rPr>
      </w:pPr>
      <w:r>
        <w:rPr>
          <w:rFonts w:asciiTheme="majorHAnsi" w:hAnsiTheme="majorHAnsi" w:cstheme="majorHAnsi"/>
          <w:color w:val="2D3B45"/>
        </w:rPr>
        <w:t xml:space="preserve">Understand restrictions and policy goals behind labeling and advertising regulations. </w:t>
      </w:r>
    </w:p>
    <w:p w14:paraId="22E7941A" w14:textId="30B45EB0"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BB3B39">
        <w:rPr>
          <w:rStyle w:val="Strong"/>
          <w:rFonts w:asciiTheme="majorHAnsi" w:hAnsiTheme="majorHAnsi" w:cstheme="majorHAnsi"/>
          <w:color w:val="2D3B45"/>
          <w:highlight w:val="lightGray"/>
        </w:rPr>
        <w:t>Class #4</w:t>
      </w:r>
      <w:r w:rsidR="00BB3B39">
        <w:rPr>
          <w:rStyle w:val="Strong"/>
          <w:rFonts w:asciiTheme="majorHAnsi" w:hAnsiTheme="majorHAnsi" w:cstheme="majorHAnsi"/>
          <w:color w:val="2D3B45"/>
          <w:highlight w:val="lightGray"/>
        </w:rPr>
        <w:t>a</w:t>
      </w:r>
      <w:r w:rsidRPr="00BB3B39">
        <w:rPr>
          <w:rStyle w:val="Strong"/>
          <w:rFonts w:asciiTheme="majorHAnsi" w:hAnsiTheme="majorHAnsi" w:cstheme="majorHAnsi"/>
          <w:color w:val="2D3B45"/>
          <w:highlight w:val="lightGray"/>
        </w:rPr>
        <w:t xml:space="preserve">            </w:t>
      </w:r>
      <w:r w:rsidR="00D62CA2" w:rsidRPr="00BB3B39">
        <w:rPr>
          <w:rStyle w:val="Strong"/>
          <w:rFonts w:asciiTheme="majorHAnsi" w:hAnsiTheme="majorHAnsi" w:cstheme="majorHAnsi"/>
          <w:color w:val="2D3B45"/>
          <w:highlight w:val="lightGray"/>
        </w:rPr>
        <w:t>Tied-House &amp; Trade Practices</w:t>
      </w:r>
    </w:p>
    <w:p w14:paraId="2929817D" w14:textId="26173558"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 xml:space="preserve">June </w:t>
      </w:r>
      <w:r w:rsidR="00F254B2" w:rsidRPr="0015348B">
        <w:rPr>
          <w:rFonts w:asciiTheme="majorHAnsi" w:hAnsiTheme="majorHAnsi" w:cstheme="majorHAnsi"/>
          <w:color w:val="2D3B45"/>
        </w:rPr>
        <w:t>1</w:t>
      </w:r>
      <w:r w:rsidR="0010792F">
        <w:rPr>
          <w:rFonts w:asciiTheme="majorHAnsi" w:hAnsiTheme="majorHAnsi" w:cstheme="majorHAnsi"/>
          <w:color w:val="2D3B45"/>
        </w:rPr>
        <w:t>3</w:t>
      </w:r>
      <w:r w:rsidRPr="0015348B">
        <w:rPr>
          <w:rFonts w:asciiTheme="majorHAnsi" w:hAnsiTheme="majorHAnsi" w:cstheme="majorHAnsi"/>
          <w:color w:val="2D3B45"/>
        </w:rPr>
        <w:t>, 2:00pm  - 5:1</w:t>
      </w:r>
      <w:r w:rsidR="0010792F">
        <w:rPr>
          <w:rFonts w:asciiTheme="majorHAnsi" w:hAnsiTheme="majorHAnsi" w:cstheme="majorHAnsi"/>
          <w:color w:val="2D3B45"/>
        </w:rPr>
        <w:t>5</w:t>
      </w:r>
      <w:r w:rsidRPr="0015348B">
        <w:rPr>
          <w:rFonts w:asciiTheme="majorHAnsi" w:hAnsiTheme="majorHAnsi" w:cstheme="majorHAnsi"/>
          <w:color w:val="2D3B45"/>
        </w:rPr>
        <w:t>pm PT</w:t>
      </w:r>
    </w:p>
    <w:p w14:paraId="38595C4C" w14:textId="77777777" w:rsidR="00470D1E" w:rsidRPr="0015348B" w:rsidRDefault="00470D1E" w:rsidP="00470D1E">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Required Reading</w:t>
      </w:r>
      <w:r w:rsidRPr="0015348B">
        <w:rPr>
          <w:rFonts w:asciiTheme="majorHAnsi" w:hAnsiTheme="majorHAnsi" w:cstheme="majorHAnsi"/>
          <w:color w:val="2D3B45"/>
        </w:rPr>
        <w:t>   </w:t>
      </w:r>
    </w:p>
    <w:p w14:paraId="6B329156" w14:textId="77777777" w:rsidR="00D62CA2" w:rsidRPr="0015348B" w:rsidRDefault="00D62CA2" w:rsidP="00D62CA2">
      <w:pPr>
        <w:pStyle w:val="NormalWeb"/>
        <w:spacing w:before="180" w:beforeAutospacing="0" w:after="180" w:afterAutospacing="0"/>
        <w:rPr>
          <w:rFonts w:asciiTheme="majorHAnsi" w:hAnsiTheme="majorHAnsi" w:cstheme="majorHAnsi"/>
          <w:color w:val="2D3B45"/>
        </w:rPr>
      </w:pPr>
      <w:r w:rsidRPr="0034398F">
        <w:rPr>
          <w:rFonts w:asciiTheme="majorHAnsi" w:hAnsiTheme="majorHAnsi" w:cstheme="majorHAnsi"/>
          <w:color w:val="2D3B45"/>
        </w:rPr>
        <w:t>Richard Mendelson, </w:t>
      </w:r>
      <w:r w:rsidRPr="0034398F">
        <w:rPr>
          <w:rStyle w:val="Emphasis"/>
          <w:rFonts w:asciiTheme="majorHAnsi" w:hAnsiTheme="majorHAnsi" w:cstheme="majorHAnsi"/>
          <w:color w:val="2D3B45"/>
        </w:rPr>
        <w:t>Wine in America: Law and Policy</w:t>
      </w:r>
      <w:r w:rsidRPr="0034398F">
        <w:rPr>
          <w:rFonts w:asciiTheme="majorHAnsi" w:hAnsiTheme="majorHAnsi" w:cstheme="majorHAnsi"/>
          <w:color w:val="2D3B45"/>
        </w:rPr>
        <w:t>, Chapter</w:t>
      </w:r>
      <w:r>
        <w:rPr>
          <w:rFonts w:asciiTheme="majorHAnsi" w:hAnsiTheme="majorHAnsi" w:cstheme="majorHAnsi"/>
          <w:color w:val="2D3B45"/>
        </w:rPr>
        <w:t xml:space="preserve"> 2 (Tied House and Trade Practices)</w:t>
      </w:r>
    </w:p>
    <w:p w14:paraId="0DFE90E6" w14:textId="26DD76B1" w:rsidR="00D62CA2" w:rsidRPr="0015348B" w:rsidRDefault="00D62CA2" w:rsidP="00D62CA2">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Recommended Reading</w:t>
      </w:r>
    </w:p>
    <w:p w14:paraId="7A097662" w14:textId="77777777" w:rsidR="00D62CA2" w:rsidRPr="0015348B" w:rsidRDefault="00D62CA2" w:rsidP="00D62CA2">
      <w:pPr>
        <w:pStyle w:val="NormalWeb"/>
        <w:spacing w:before="180" w:beforeAutospacing="0" w:after="180" w:afterAutospacing="0"/>
        <w:rPr>
          <w:rFonts w:asciiTheme="majorHAnsi" w:hAnsiTheme="majorHAnsi" w:cstheme="majorHAnsi"/>
          <w:color w:val="2D3B45"/>
        </w:rPr>
      </w:pPr>
      <w:r w:rsidRPr="003C20E0">
        <w:rPr>
          <w:rFonts w:asciiTheme="majorHAnsi" w:hAnsiTheme="majorHAnsi" w:cstheme="majorHAnsi"/>
          <w:color w:val="2D3B45"/>
        </w:rPr>
        <w:lastRenderedPageBreak/>
        <w:t>Richard Mendelson, </w:t>
      </w:r>
      <w:r w:rsidRPr="003C20E0">
        <w:rPr>
          <w:rStyle w:val="Emphasis"/>
          <w:rFonts w:asciiTheme="majorHAnsi" w:hAnsiTheme="majorHAnsi" w:cstheme="majorHAnsi"/>
          <w:color w:val="2D3B45"/>
        </w:rPr>
        <w:t>From Demon to Darling: A Legal History of Wine in America</w:t>
      </w:r>
      <w:r w:rsidRPr="003C20E0">
        <w:rPr>
          <w:rFonts w:asciiTheme="majorHAnsi" w:hAnsiTheme="majorHAnsi" w:cstheme="majorHAnsi"/>
          <w:color w:val="2D3B45"/>
        </w:rPr>
        <w:t>, pp. 94-136.</w:t>
      </w:r>
    </w:p>
    <w:p w14:paraId="0D7C358F" w14:textId="77777777" w:rsidR="00BB3B39" w:rsidRPr="0015348B" w:rsidRDefault="00BB3B39" w:rsidP="00BB3B39">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Relevant Learning Outcomes</w:t>
      </w:r>
    </w:p>
    <w:p w14:paraId="711F64F8" w14:textId="7EF8943D" w:rsidR="00BB3B39" w:rsidRDefault="00BB3B39" w:rsidP="00BB3B39">
      <w:pPr>
        <w:pStyle w:val="NormalWeb"/>
        <w:numPr>
          <w:ilvl w:val="0"/>
          <w:numId w:val="19"/>
        </w:numPr>
        <w:spacing w:before="180" w:beforeAutospacing="0" w:after="180" w:afterAutospacing="0"/>
        <w:rPr>
          <w:rFonts w:asciiTheme="majorHAnsi" w:hAnsiTheme="majorHAnsi" w:cstheme="majorHAnsi"/>
          <w:color w:val="2D3B45"/>
        </w:rPr>
      </w:pPr>
      <w:r>
        <w:rPr>
          <w:rFonts w:asciiTheme="majorHAnsi" w:hAnsiTheme="majorHAnsi" w:cstheme="majorHAnsi"/>
          <w:color w:val="2D3B45"/>
        </w:rPr>
        <w:t>Understanding policy goals and historical underpinning of tied-house and trade practice restrictions.</w:t>
      </w:r>
    </w:p>
    <w:p w14:paraId="45C79071" w14:textId="77777777" w:rsidR="003C20E0" w:rsidRDefault="003C20E0" w:rsidP="00BB3B39">
      <w:pPr>
        <w:pStyle w:val="NormalWeb"/>
        <w:spacing w:before="180" w:beforeAutospacing="0" w:after="180" w:afterAutospacing="0"/>
        <w:rPr>
          <w:rStyle w:val="Strong"/>
          <w:rFonts w:asciiTheme="majorHAnsi" w:hAnsiTheme="majorHAnsi" w:cstheme="majorHAnsi"/>
          <w:color w:val="2D3B45"/>
          <w:highlight w:val="lightGray"/>
        </w:rPr>
      </w:pPr>
      <w:bookmarkStart w:id="0" w:name="_gjdgxs" w:colFirst="0" w:colLast="0"/>
      <w:bookmarkEnd w:id="0"/>
    </w:p>
    <w:p w14:paraId="1F2506EC" w14:textId="7F7EFD47" w:rsidR="00BB3B39" w:rsidRPr="0015348B" w:rsidRDefault="00BB3B39" w:rsidP="00BB3B39">
      <w:pPr>
        <w:pStyle w:val="NormalWeb"/>
        <w:spacing w:before="180" w:beforeAutospacing="0" w:after="180" w:afterAutospacing="0"/>
        <w:rPr>
          <w:rFonts w:asciiTheme="majorHAnsi" w:hAnsiTheme="majorHAnsi" w:cstheme="majorHAnsi"/>
          <w:color w:val="2D3B45"/>
        </w:rPr>
      </w:pPr>
      <w:r w:rsidRPr="00BB3B39">
        <w:rPr>
          <w:rStyle w:val="Strong"/>
          <w:rFonts w:asciiTheme="majorHAnsi" w:hAnsiTheme="majorHAnsi" w:cstheme="majorHAnsi"/>
          <w:color w:val="2D3B45"/>
          <w:highlight w:val="lightGray"/>
        </w:rPr>
        <w:t>Class #4</w:t>
      </w:r>
      <w:r>
        <w:rPr>
          <w:rStyle w:val="Strong"/>
          <w:rFonts w:asciiTheme="majorHAnsi" w:hAnsiTheme="majorHAnsi" w:cstheme="majorHAnsi"/>
          <w:color w:val="2D3B45"/>
          <w:highlight w:val="lightGray"/>
        </w:rPr>
        <w:t>b</w:t>
      </w:r>
      <w:r w:rsidRPr="00BB3B39">
        <w:rPr>
          <w:rStyle w:val="Strong"/>
          <w:rFonts w:asciiTheme="majorHAnsi" w:hAnsiTheme="majorHAnsi" w:cstheme="majorHAnsi"/>
          <w:color w:val="2D3B45"/>
          <w:highlight w:val="lightGray"/>
        </w:rPr>
        <w:t>            Operating a Winery</w:t>
      </w:r>
    </w:p>
    <w:p w14:paraId="6A8758D5" w14:textId="77777777" w:rsidR="00BB3B39" w:rsidRPr="0015348B" w:rsidRDefault="00BB3B39" w:rsidP="00BB3B39">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rPr>
        <w:t>June 1</w:t>
      </w:r>
      <w:r>
        <w:rPr>
          <w:rFonts w:asciiTheme="majorHAnsi" w:hAnsiTheme="majorHAnsi" w:cstheme="majorHAnsi"/>
          <w:color w:val="2D3B45"/>
        </w:rPr>
        <w:t>3</w:t>
      </w:r>
      <w:r w:rsidRPr="0015348B">
        <w:rPr>
          <w:rFonts w:asciiTheme="majorHAnsi" w:hAnsiTheme="majorHAnsi" w:cstheme="majorHAnsi"/>
          <w:color w:val="2D3B45"/>
        </w:rPr>
        <w:t>, 2:00pm  - 5:1</w:t>
      </w:r>
      <w:r>
        <w:rPr>
          <w:rFonts w:asciiTheme="majorHAnsi" w:hAnsiTheme="majorHAnsi" w:cstheme="majorHAnsi"/>
          <w:color w:val="2D3B45"/>
        </w:rPr>
        <w:t>5</w:t>
      </w:r>
      <w:r w:rsidRPr="0015348B">
        <w:rPr>
          <w:rFonts w:asciiTheme="majorHAnsi" w:hAnsiTheme="majorHAnsi" w:cstheme="majorHAnsi"/>
          <w:color w:val="2D3B45"/>
        </w:rPr>
        <w:t>pm PT</w:t>
      </w:r>
    </w:p>
    <w:p w14:paraId="6567E00F" w14:textId="4BEC7EE5" w:rsidR="00BB3B39" w:rsidRPr="0015348B" w:rsidRDefault="00B64982" w:rsidP="00BB3B39">
      <w:pPr>
        <w:pStyle w:val="NormalWeb"/>
        <w:spacing w:before="180" w:beforeAutospacing="0" w:after="180" w:afterAutospacing="0"/>
        <w:rPr>
          <w:rFonts w:asciiTheme="majorHAnsi" w:hAnsiTheme="majorHAnsi" w:cstheme="majorHAnsi"/>
          <w:color w:val="2D3B45"/>
        </w:rPr>
      </w:pPr>
      <w:r>
        <w:rPr>
          <w:rFonts w:asciiTheme="majorHAnsi" w:hAnsiTheme="majorHAnsi" w:cstheme="majorHAnsi"/>
          <w:color w:val="2D3B45"/>
          <w:u w:val="single"/>
        </w:rPr>
        <w:t xml:space="preserve">Required </w:t>
      </w:r>
      <w:r w:rsidR="00BB3B39" w:rsidRPr="0015348B">
        <w:rPr>
          <w:rFonts w:asciiTheme="majorHAnsi" w:hAnsiTheme="majorHAnsi" w:cstheme="majorHAnsi"/>
          <w:color w:val="2D3B45"/>
          <w:u w:val="single"/>
        </w:rPr>
        <w:t>Reading</w:t>
      </w:r>
      <w:r w:rsidR="00BB3B39" w:rsidRPr="0015348B">
        <w:rPr>
          <w:rFonts w:asciiTheme="majorHAnsi" w:hAnsiTheme="majorHAnsi" w:cstheme="majorHAnsi"/>
          <w:color w:val="2D3B45"/>
        </w:rPr>
        <w:t>   </w:t>
      </w:r>
    </w:p>
    <w:p w14:paraId="5D0B82E1" w14:textId="77777777" w:rsidR="00BB3B39" w:rsidRDefault="00BB3B39" w:rsidP="00BB3B39">
      <w:pPr>
        <w:pStyle w:val="NormalWeb"/>
        <w:spacing w:before="180" w:beforeAutospacing="0" w:after="180" w:afterAutospacing="0"/>
        <w:rPr>
          <w:rFonts w:asciiTheme="majorHAnsi" w:hAnsiTheme="majorHAnsi" w:cstheme="majorHAnsi"/>
          <w:color w:val="2D3B45"/>
        </w:rPr>
      </w:pPr>
      <w:r>
        <w:rPr>
          <w:rFonts w:asciiTheme="majorHAnsi" w:hAnsiTheme="majorHAnsi" w:cstheme="majorHAnsi"/>
          <w:color w:val="2D3B45"/>
        </w:rPr>
        <w:t xml:space="preserve">Mike Veseth, Wine Wars II:  The Global Battle for the Soul of Wine, Chapter13 (How to Make a Small Fortune: Wine’s Economic Crisis) and Chapter 14 (The Elephant in the Room:  Wine’s Identity Crisis), available via Berkeley Law Library – Proquest - </w:t>
      </w:r>
      <w:hyperlink r:id="rId29" w:history="1">
        <w:r w:rsidRPr="00BD41DD">
          <w:rPr>
            <w:rStyle w:val="Hyperlink"/>
            <w:rFonts w:asciiTheme="majorHAnsi" w:hAnsiTheme="majorHAnsi" w:cstheme="majorHAnsi"/>
          </w:rPr>
          <w:t>https://ebookcentral-proquest-com.libproxy.berkeley.edu/lib/berkeley-ebooks/detail.action?docID=7007517</w:t>
        </w:r>
      </w:hyperlink>
      <w:r>
        <w:rPr>
          <w:rFonts w:asciiTheme="majorHAnsi" w:hAnsiTheme="majorHAnsi" w:cstheme="majorHAnsi"/>
          <w:color w:val="2D3B45"/>
        </w:rPr>
        <w:t xml:space="preserve"> </w:t>
      </w:r>
    </w:p>
    <w:p w14:paraId="42240CCF" w14:textId="77777777" w:rsidR="00BB3B39" w:rsidRPr="0015348B" w:rsidRDefault="00BB3B39" w:rsidP="00BB3B39">
      <w:pPr>
        <w:pStyle w:val="NormalWeb"/>
        <w:spacing w:before="180" w:beforeAutospacing="0" w:after="180" w:afterAutospacing="0"/>
        <w:rPr>
          <w:rFonts w:asciiTheme="majorHAnsi" w:hAnsiTheme="majorHAnsi" w:cstheme="majorHAnsi"/>
          <w:color w:val="2D3B45"/>
        </w:rPr>
      </w:pPr>
      <w:r w:rsidRPr="0015348B">
        <w:rPr>
          <w:rFonts w:asciiTheme="majorHAnsi" w:hAnsiTheme="majorHAnsi" w:cstheme="majorHAnsi"/>
          <w:color w:val="2D3B45"/>
          <w:u w:val="single"/>
        </w:rPr>
        <w:t>Relevant Learning Outcomes</w:t>
      </w:r>
    </w:p>
    <w:p w14:paraId="7C0C3664" w14:textId="3A2D194E" w:rsidR="00BB3B39" w:rsidRDefault="00BB3B39" w:rsidP="00BB3B39">
      <w:pPr>
        <w:pStyle w:val="NormalWeb"/>
        <w:numPr>
          <w:ilvl w:val="0"/>
          <w:numId w:val="19"/>
        </w:numPr>
        <w:spacing w:before="180" w:beforeAutospacing="0" w:after="180" w:afterAutospacing="0"/>
        <w:rPr>
          <w:rFonts w:asciiTheme="majorHAnsi" w:hAnsiTheme="majorHAnsi" w:cstheme="majorHAnsi"/>
          <w:color w:val="2D3B45"/>
        </w:rPr>
      </w:pPr>
      <w:r>
        <w:rPr>
          <w:rFonts w:asciiTheme="majorHAnsi" w:hAnsiTheme="majorHAnsi" w:cstheme="majorHAnsi"/>
          <w:color w:val="2D3B45"/>
        </w:rPr>
        <w:t xml:space="preserve">Appreciate full scope of legal issues facing winery operations. </w:t>
      </w:r>
    </w:p>
    <w:p w14:paraId="75B52A48" w14:textId="77777777" w:rsidR="00BB3B39" w:rsidRPr="0015348B" w:rsidRDefault="00BB3B39" w:rsidP="00BB3B39">
      <w:pPr>
        <w:pStyle w:val="NormalWeb"/>
        <w:spacing w:before="180" w:beforeAutospacing="0" w:after="180" w:afterAutospacing="0"/>
        <w:rPr>
          <w:rFonts w:asciiTheme="majorHAnsi" w:hAnsiTheme="majorHAnsi" w:cstheme="majorHAnsi"/>
          <w:color w:val="2D3B45"/>
        </w:rPr>
      </w:pPr>
    </w:p>
    <w:p w14:paraId="5B7B0A89" w14:textId="77777777" w:rsidR="00BB3B39" w:rsidRDefault="00BB3B39" w:rsidP="00BB3B39">
      <w:pPr>
        <w:pStyle w:val="NormalWeb"/>
        <w:spacing w:before="180" w:beforeAutospacing="0" w:after="180" w:afterAutospacing="0"/>
        <w:rPr>
          <w:rFonts w:asciiTheme="majorHAnsi" w:hAnsiTheme="majorHAnsi" w:cstheme="majorHAnsi"/>
          <w:color w:val="2D3B45"/>
        </w:rPr>
      </w:pPr>
    </w:p>
    <w:p w14:paraId="1A50143F" w14:textId="77777777" w:rsidR="00BB3B39" w:rsidRPr="0034398F" w:rsidRDefault="00BB3B39" w:rsidP="00BB3B39">
      <w:pPr>
        <w:pStyle w:val="NormalWeb"/>
        <w:spacing w:before="180" w:beforeAutospacing="0" w:after="180" w:afterAutospacing="0"/>
        <w:rPr>
          <w:rFonts w:asciiTheme="majorHAnsi" w:hAnsiTheme="majorHAnsi" w:cstheme="majorHAnsi"/>
          <w:color w:val="2D3B45"/>
        </w:rPr>
      </w:pPr>
    </w:p>
    <w:p w14:paraId="0D256CA3" w14:textId="77777777" w:rsidR="00BB3B39" w:rsidRPr="0015348B" w:rsidRDefault="00BB3B39" w:rsidP="00BB3B39">
      <w:pPr>
        <w:pStyle w:val="NormalWeb"/>
        <w:spacing w:before="180" w:after="180"/>
        <w:rPr>
          <w:rFonts w:asciiTheme="majorHAnsi" w:hAnsiTheme="majorHAnsi" w:cstheme="majorHAnsi"/>
        </w:rPr>
      </w:pPr>
    </w:p>
    <w:p w14:paraId="7B92234D" w14:textId="11773ACB" w:rsidR="00B85915" w:rsidRPr="0015348B" w:rsidRDefault="00B85915" w:rsidP="00F873D9">
      <w:pPr>
        <w:pStyle w:val="NormalWeb"/>
        <w:spacing w:before="180" w:after="180"/>
        <w:rPr>
          <w:rFonts w:asciiTheme="majorHAnsi" w:hAnsiTheme="majorHAnsi" w:cstheme="majorHAnsi"/>
        </w:rPr>
      </w:pPr>
    </w:p>
    <w:sectPr w:rsidR="00B85915" w:rsidRPr="0015348B">
      <w:footerReference w:type="even" r:id="rId30"/>
      <w:footerReference w:type="default" r:id="rId31"/>
      <w:pgSz w:w="12240" w:h="15840"/>
      <w:pgMar w:top="1080" w:right="1440" w:bottom="36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93A4" w14:textId="77777777" w:rsidR="001B13DE" w:rsidRDefault="001B13DE">
      <w:r>
        <w:separator/>
      </w:r>
    </w:p>
  </w:endnote>
  <w:endnote w:type="continuationSeparator" w:id="0">
    <w:p w14:paraId="2E4A6027" w14:textId="77777777" w:rsidR="001B13DE" w:rsidRDefault="001B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5A5E" w14:textId="05095CBE" w:rsidR="00B85915" w:rsidRDefault="00F54DE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873D9">
      <w:rPr>
        <w:noProof/>
        <w:color w:val="000000"/>
      </w:rPr>
      <w:t>1</w:t>
    </w:r>
    <w:r>
      <w:rPr>
        <w:color w:val="000000"/>
      </w:rPr>
      <w:fldChar w:fldCharType="end"/>
    </w:r>
  </w:p>
  <w:p w14:paraId="3F478C69" w14:textId="77777777" w:rsidR="00B85915" w:rsidRDefault="00B8591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6502" w14:textId="77777777" w:rsidR="00B85915" w:rsidRDefault="00F54DE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C399D">
      <w:rPr>
        <w:noProof/>
        <w:color w:val="000000"/>
      </w:rPr>
      <w:t>1</w:t>
    </w:r>
    <w:r>
      <w:rPr>
        <w:color w:val="000000"/>
      </w:rPr>
      <w:fldChar w:fldCharType="end"/>
    </w:r>
  </w:p>
  <w:p w14:paraId="32CDD325" w14:textId="77777777" w:rsidR="00B85915" w:rsidRDefault="00B8591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0AD8" w14:textId="77777777" w:rsidR="001B13DE" w:rsidRDefault="001B13DE">
      <w:r>
        <w:separator/>
      </w:r>
    </w:p>
  </w:footnote>
  <w:footnote w:type="continuationSeparator" w:id="0">
    <w:p w14:paraId="6FEC73D4" w14:textId="77777777" w:rsidR="001B13DE" w:rsidRDefault="001B1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1F5"/>
    <w:multiLevelType w:val="multilevel"/>
    <w:tmpl w:val="918066EC"/>
    <w:lvl w:ilvl="0">
      <w:start w:val="1"/>
      <w:numFmt w:val="decimal"/>
      <w:lvlText w:val="%1."/>
      <w:lvlJc w:val="left"/>
      <w:pPr>
        <w:ind w:left="720" w:hanging="360"/>
      </w:pPr>
      <w:rPr>
        <w:i w:val="0"/>
        <w:sz w:val="20"/>
        <w:szCs w:val="20"/>
        <w:u w:val="none"/>
      </w:rPr>
    </w:lvl>
    <w:lvl w:ilvl="1">
      <w:start w:val="1"/>
      <w:numFmt w:val="decimal"/>
      <w:lvlText w:val="%2."/>
      <w:lvlJc w:val="left"/>
      <w:pPr>
        <w:ind w:left="1440" w:hanging="360"/>
      </w:pPr>
      <w:rPr>
        <w:i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443527"/>
    <w:multiLevelType w:val="multilevel"/>
    <w:tmpl w:val="C2385C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BC21B0"/>
    <w:multiLevelType w:val="hybridMultilevel"/>
    <w:tmpl w:val="0B40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C5667"/>
    <w:multiLevelType w:val="multilevel"/>
    <w:tmpl w:val="CE92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415E2A"/>
    <w:multiLevelType w:val="multilevel"/>
    <w:tmpl w:val="7F4AA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CE2A42"/>
    <w:multiLevelType w:val="multilevel"/>
    <w:tmpl w:val="CFF438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6506EF"/>
    <w:multiLevelType w:val="multilevel"/>
    <w:tmpl w:val="45DEA9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7C0F3A"/>
    <w:multiLevelType w:val="multilevel"/>
    <w:tmpl w:val="92BCC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8C6060"/>
    <w:multiLevelType w:val="multilevel"/>
    <w:tmpl w:val="3FA4E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5A34656"/>
    <w:multiLevelType w:val="multilevel"/>
    <w:tmpl w:val="20F4B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2D27BC"/>
    <w:multiLevelType w:val="multilevel"/>
    <w:tmpl w:val="4496B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B81E2B"/>
    <w:multiLevelType w:val="multilevel"/>
    <w:tmpl w:val="2E5A9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F2434D4"/>
    <w:multiLevelType w:val="multilevel"/>
    <w:tmpl w:val="D5FEFF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73B14E9"/>
    <w:multiLevelType w:val="multilevel"/>
    <w:tmpl w:val="D9BE0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830478E"/>
    <w:multiLevelType w:val="multilevel"/>
    <w:tmpl w:val="ABBCE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210DDF"/>
    <w:multiLevelType w:val="multilevel"/>
    <w:tmpl w:val="9F5AA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E55B0A"/>
    <w:multiLevelType w:val="multilevel"/>
    <w:tmpl w:val="A52E6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056403"/>
    <w:multiLevelType w:val="multilevel"/>
    <w:tmpl w:val="00E24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i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F327C62"/>
    <w:multiLevelType w:val="multilevel"/>
    <w:tmpl w:val="3842A6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27921232">
    <w:abstractNumId w:val="16"/>
  </w:num>
  <w:num w:numId="2" w16cid:durableId="87165636">
    <w:abstractNumId w:val="18"/>
  </w:num>
  <w:num w:numId="3" w16cid:durableId="1124235551">
    <w:abstractNumId w:val="10"/>
  </w:num>
  <w:num w:numId="4" w16cid:durableId="1442384058">
    <w:abstractNumId w:val="0"/>
  </w:num>
  <w:num w:numId="5" w16cid:durableId="214660416">
    <w:abstractNumId w:val="9"/>
  </w:num>
  <w:num w:numId="6" w16cid:durableId="58527061">
    <w:abstractNumId w:val="13"/>
  </w:num>
  <w:num w:numId="7" w16cid:durableId="1468275133">
    <w:abstractNumId w:val="3"/>
  </w:num>
  <w:num w:numId="8" w16cid:durableId="1710837505">
    <w:abstractNumId w:val="12"/>
  </w:num>
  <w:num w:numId="9" w16cid:durableId="55205239">
    <w:abstractNumId w:val="6"/>
  </w:num>
  <w:num w:numId="10" w16cid:durableId="420418360">
    <w:abstractNumId w:val="15"/>
  </w:num>
  <w:num w:numId="11" w16cid:durableId="1557937417">
    <w:abstractNumId w:val="4"/>
  </w:num>
  <w:num w:numId="12" w16cid:durableId="100537003">
    <w:abstractNumId w:val="14"/>
  </w:num>
  <w:num w:numId="13" w16cid:durableId="173343287">
    <w:abstractNumId w:val="1"/>
  </w:num>
  <w:num w:numId="14" w16cid:durableId="740785286">
    <w:abstractNumId w:val="5"/>
  </w:num>
  <w:num w:numId="15" w16cid:durableId="1671060945">
    <w:abstractNumId w:val="11"/>
  </w:num>
  <w:num w:numId="16" w16cid:durableId="1058018068">
    <w:abstractNumId w:val="8"/>
  </w:num>
  <w:num w:numId="17" w16cid:durableId="1174877345">
    <w:abstractNumId w:val="7"/>
  </w:num>
  <w:num w:numId="18" w16cid:durableId="568687382">
    <w:abstractNumId w:val="17"/>
  </w:num>
  <w:num w:numId="19" w16cid:durableId="502936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15"/>
    <w:rsid w:val="0010792F"/>
    <w:rsid w:val="001500AE"/>
    <w:rsid w:val="0015348B"/>
    <w:rsid w:val="001635A5"/>
    <w:rsid w:val="001B13DE"/>
    <w:rsid w:val="001E0482"/>
    <w:rsid w:val="002007FF"/>
    <w:rsid w:val="00226343"/>
    <w:rsid w:val="00297A59"/>
    <w:rsid w:val="0034398F"/>
    <w:rsid w:val="003C20E0"/>
    <w:rsid w:val="00463A5D"/>
    <w:rsid w:val="00470D1E"/>
    <w:rsid w:val="004D0784"/>
    <w:rsid w:val="004F1A33"/>
    <w:rsid w:val="009227D6"/>
    <w:rsid w:val="00A04E17"/>
    <w:rsid w:val="00A977C1"/>
    <w:rsid w:val="00AB5E6A"/>
    <w:rsid w:val="00AD4621"/>
    <w:rsid w:val="00AE60CE"/>
    <w:rsid w:val="00B64982"/>
    <w:rsid w:val="00B85915"/>
    <w:rsid w:val="00BB3B39"/>
    <w:rsid w:val="00C16B2D"/>
    <w:rsid w:val="00C86071"/>
    <w:rsid w:val="00CC399D"/>
    <w:rsid w:val="00D62CA2"/>
    <w:rsid w:val="00EA01AE"/>
    <w:rsid w:val="00F15EDB"/>
    <w:rsid w:val="00F254B2"/>
    <w:rsid w:val="00F54DE2"/>
    <w:rsid w:val="00F677BB"/>
    <w:rsid w:val="00F8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0062"/>
  <w15:docId w15:val="{05A03F08-7AC4-4684-9FF6-EBD1DFEC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35B8A"/>
      <w:sz w:val="32"/>
      <w:szCs w:val="32"/>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sz w:val="26"/>
      <w:szCs w:val="26"/>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sz w:val="20"/>
      <w:szCs w:val="20"/>
    </w:rPr>
  </w:style>
  <w:style w:type="paragraph" w:styleId="Heading4">
    <w:name w:val="heading 4"/>
    <w:basedOn w:val="Normal"/>
    <w:next w:val="Normal"/>
    <w:uiPriority w:val="9"/>
    <w:semiHidden/>
    <w:unhideWhenUsed/>
    <w:qFormat/>
    <w:pPr>
      <w:keepNext/>
      <w:keepLines/>
      <w:spacing w:before="200"/>
      <w:outlineLvl w:val="3"/>
    </w:pPr>
    <w:rPr>
      <w:b/>
      <w:i/>
      <w:color w:val="4F81BD"/>
    </w:rPr>
  </w:style>
  <w:style w:type="paragraph" w:styleId="Heading5">
    <w:name w:val="heading 5"/>
    <w:basedOn w:val="Normal"/>
    <w:next w:val="Normal"/>
    <w:uiPriority w:val="9"/>
    <w:semiHidden/>
    <w:unhideWhenUsed/>
    <w:qFormat/>
    <w:pPr>
      <w:keepNext/>
      <w:keepLines/>
      <w:spacing w:before="200"/>
      <w:outlineLvl w:val="4"/>
    </w:pPr>
    <w:rPr>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Revision">
    <w:name w:val="Revision"/>
    <w:hidden/>
    <w:uiPriority w:val="99"/>
    <w:semiHidden/>
    <w:rsid w:val="00463A5D"/>
  </w:style>
  <w:style w:type="character" w:styleId="Hyperlink">
    <w:name w:val="Hyperlink"/>
    <w:basedOn w:val="DefaultParagraphFont"/>
    <w:uiPriority w:val="99"/>
    <w:unhideWhenUsed/>
    <w:rsid w:val="00470D1E"/>
    <w:rPr>
      <w:color w:val="0000FF"/>
      <w:u w:val="single"/>
    </w:rPr>
  </w:style>
  <w:style w:type="paragraph" w:styleId="NormalWeb">
    <w:name w:val="Normal (Web)"/>
    <w:basedOn w:val="Normal"/>
    <w:uiPriority w:val="99"/>
    <w:unhideWhenUsed/>
    <w:rsid w:val="00470D1E"/>
    <w:pPr>
      <w:spacing w:before="100" w:beforeAutospacing="1" w:after="100" w:afterAutospacing="1"/>
    </w:pPr>
    <w:rPr>
      <w:rFonts w:eastAsiaTheme="minorHAnsi"/>
    </w:rPr>
  </w:style>
  <w:style w:type="character" w:styleId="Strong">
    <w:name w:val="Strong"/>
    <w:basedOn w:val="DefaultParagraphFont"/>
    <w:uiPriority w:val="22"/>
    <w:qFormat/>
    <w:rsid w:val="00470D1E"/>
    <w:rPr>
      <w:b/>
      <w:bCs/>
    </w:rPr>
  </w:style>
  <w:style w:type="character" w:styleId="Emphasis">
    <w:name w:val="Emphasis"/>
    <w:basedOn w:val="DefaultParagraphFont"/>
    <w:uiPriority w:val="20"/>
    <w:qFormat/>
    <w:rsid w:val="00470D1E"/>
    <w:rPr>
      <w:i/>
      <w:iCs/>
    </w:rPr>
  </w:style>
  <w:style w:type="character" w:styleId="CommentReference">
    <w:name w:val="annotation reference"/>
    <w:basedOn w:val="DefaultParagraphFont"/>
    <w:uiPriority w:val="99"/>
    <w:semiHidden/>
    <w:unhideWhenUsed/>
    <w:rsid w:val="00F254B2"/>
    <w:rPr>
      <w:sz w:val="16"/>
      <w:szCs w:val="16"/>
    </w:rPr>
  </w:style>
  <w:style w:type="paragraph" w:styleId="CommentText">
    <w:name w:val="annotation text"/>
    <w:basedOn w:val="Normal"/>
    <w:link w:val="CommentTextChar"/>
    <w:uiPriority w:val="99"/>
    <w:unhideWhenUsed/>
    <w:rsid w:val="00F254B2"/>
    <w:rPr>
      <w:sz w:val="20"/>
      <w:szCs w:val="20"/>
    </w:rPr>
  </w:style>
  <w:style w:type="character" w:customStyle="1" w:styleId="CommentTextChar">
    <w:name w:val="Comment Text Char"/>
    <w:basedOn w:val="DefaultParagraphFont"/>
    <w:link w:val="CommentText"/>
    <w:uiPriority w:val="99"/>
    <w:rsid w:val="00F254B2"/>
    <w:rPr>
      <w:sz w:val="20"/>
      <w:szCs w:val="20"/>
    </w:rPr>
  </w:style>
  <w:style w:type="paragraph" w:styleId="CommentSubject">
    <w:name w:val="annotation subject"/>
    <w:basedOn w:val="CommentText"/>
    <w:next w:val="CommentText"/>
    <w:link w:val="CommentSubjectChar"/>
    <w:uiPriority w:val="99"/>
    <w:semiHidden/>
    <w:unhideWhenUsed/>
    <w:rsid w:val="00F254B2"/>
    <w:rPr>
      <w:b/>
      <w:bCs/>
    </w:rPr>
  </w:style>
  <w:style w:type="character" w:customStyle="1" w:styleId="CommentSubjectChar">
    <w:name w:val="Comment Subject Char"/>
    <w:basedOn w:val="CommentTextChar"/>
    <w:link w:val="CommentSubject"/>
    <w:uiPriority w:val="99"/>
    <w:semiHidden/>
    <w:rsid w:val="00F254B2"/>
    <w:rPr>
      <w:b/>
      <w:bCs/>
      <w:sz w:val="20"/>
      <w:szCs w:val="20"/>
    </w:rPr>
  </w:style>
  <w:style w:type="character" w:styleId="UnresolvedMention">
    <w:name w:val="Unresolved Mention"/>
    <w:basedOn w:val="DefaultParagraphFont"/>
    <w:uiPriority w:val="99"/>
    <w:semiHidden/>
    <w:unhideWhenUsed/>
    <w:rsid w:val="0015348B"/>
    <w:rPr>
      <w:color w:val="605E5C"/>
      <w:shd w:val="clear" w:color="auto" w:fill="E1DFDD"/>
    </w:rPr>
  </w:style>
  <w:style w:type="paragraph" w:styleId="Header">
    <w:name w:val="header"/>
    <w:basedOn w:val="Normal"/>
    <w:link w:val="HeaderChar"/>
    <w:uiPriority w:val="99"/>
    <w:unhideWhenUsed/>
    <w:rsid w:val="00F873D9"/>
    <w:pPr>
      <w:tabs>
        <w:tab w:val="center" w:pos="4680"/>
        <w:tab w:val="right" w:pos="9360"/>
      </w:tabs>
    </w:pPr>
  </w:style>
  <w:style w:type="character" w:customStyle="1" w:styleId="HeaderChar">
    <w:name w:val="Header Char"/>
    <w:basedOn w:val="DefaultParagraphFont"/>
    <w:link w:val="Header"/>
    <w:uiPriority w:val="99"/>
    <w:rsid w:val="00F873D9"/>
  </w:style>
  <w:style w:type="paragraph" w:styleId="Footer">
    <w:name w:val="footer"/>
    <w:basedOn w:val="Normal"/>
    <w:link w:val="FooterChar"/>
    <w:uiPriority w:val="99"/>
    <w:unhideWhenUsed/>
    <w:rsid w:val="00F873D9"/>
    <w:pPr>
      <w:tabs>
        <w:tab w:val="center" w:pos="4680"/>
        <w:tab w:val="right" w:pos="9360"/>
      </w:tabs>
    </w:pPr>
  </w:style>
  <w:style w:type="character" w:customStyle="1" w:styleId="FooterChar">
    <w:name w:val="Footer Char"/>
    <w:basedOn w:val="DefaultParagraphFont"/>
    <w:link w:val="Footer"/>
    <w:uiPriority w:val="99"/>
    <w:rsid w:val="00F8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57165">
      <w:bodyDiv w:val="1"/>
      <w:marLeft w:val="0"/>
      <w:marRight w:val="0"/>
      <w:marTop w:val="0"/>
      <w:marBottom w:val="0"/>
      <w:divBdr>
        <w:top w:val="none" w:sz="0" w:space="0" w:color="auto"/>
        <w:left w:val="none" w:sz="0" w:space="0" w:color="auto"/>
        <w:bottom w:val="none" w:sz="0" w:space="0" w:color="auto"/>
        <w:right w:val="none" w:sz="0" w:space="0" w:color="auto"/>
      </w:divBdr>
    </w:div>
    <w:div w:id="139146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berkeley.edu/library/dynamic/internal/chat.php" TargetMode="External"/><Relationship Id="rId18" Type="http://schemas.openxmlformats.org/officeDocument/2006/relationships/hyperlink" Target="https://basicneeds.berkeley.edu/" TargetMode="External"/><Relationship Id="rId26" Type="http://schemas.openxmlformats.org/officeDocument/2006/relationships/hyperlink" Target="https://www.sfchronicle.com/news/article/Did-winemaker-Joe-Wagner-misrepresent-where-his-13245903.php" TargetMode="External"/><Relationship Id="rId3" Type="http://schemas.openxmlformats.org/officeDocument/2006/relationships/settings" Target="settings.xml"/><Relationship Id="rId21" Type="http://schemas.openxmlformats.org/officeDocument/2006/relationships/hyperlink" Target="https://pantry.berkeley.edu/" TargetMode="External"/><Relationship Id="rId7" Type="http://schemas.openxmlformats.org/officeDocument/2006/relationships/hyperlink" Target="http://libguides.law.berkeley.edu/computing/home" TargetMode="External"/><Relationship Id="rId12" Type="http://schemas.openxmlformats.org/officeDocument/2006/relationships/hyperlink" Target="https://www.law.berkeley.edu/library/dynamic/students/researchRequest.php" TargetMode="External"/><Relationship Id="rId17" Type="http://schemas.openxmlformats.org/officeDocument/2006/relationships/hyperlink" Target="https://basicneeds.berkeley.edu/" TargetMode="External"/><Relationship Id="rId25" Type="http://schemas.openxmlformats.org/officeDocument/2006/relationships/hyperlink" Target="http://sa.berkeley.edu/dean/confidential-care-advocat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w.berkeley.edu/academics/registrar/academic-rules/academic-honor-code/" TargetMode="External"/><Relationship Id="rId20" Type="http://schemas.openxmlformats.org/officeDocument/2006/relationships/hyperlink" Target="http://calfresh.berkeley.edu/" TargetMode="External"/><Relationship Id="rId29" Type="http://schemas.openxmlformats.org/officeDocument/2006/relationships/hyperlink" Target="https://ebookcentral-proquest-com.libproxy.berkeley.edu/lib/berkeley-ebooks/detail.action?docID=70075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guides.law.berkeley.edu/computing/home" TargetMode="External"/><Relationship Id="rId24" Type="http://schemas.openxmlformats.org/officeDocument/2006/relationships/hyperlink" Target="https://policy.ucop.edu/doc/4000385/SVS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valenti@berkeley.edu" TargetMode="External"/><Relationship Id="rId23" Type="http://schemas.openxmlformats.org/officeDocument/2006/relationships/hyperlink" Target="https://policy.ucop.edu/doc/4000385/SVSH" TargetMode="External"/><Relationship Id="rId28" Type="http://schemas.openxmlformats.org/officeDocument/2006/relationships/hyperlink" Target="https://www.abc.ca.gov/third-party-providers/" TargetMode="External"/><Relationship Id="rId10" Type="http://schemas.openxmlformats.org/officeDocument/2006/relationships/hyperlink" Target="http://libguides.law.berkeley.edu/computing/home" TargetMode="External"/><Relationship Id="rId19" Type="http://schemas.openxmlformats.org/officeDocument/2006/relationships/hyperlink" Target="http://calfresh.berkeley.ed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aw.berkeley.edu/library/internal/techChat.php" TargetMode="External"/><Relationship Id="rId14" Type="http://schemas.openxmlformats.org/officeDocument/2006/relationships/hyperlink" Target="https://www.law.berkeley.edu/students/student-services/" TargetMode="External"/><Relationship Id="rId22" Type="http://schemas.openxmlformats.org/officeDocument/2006/relationships/hyperlink" Target="https://pantry.berkeley.edu/" TargetMode="External"/><Relationship Id="rId27" Type="http://schemas.openxmlformats.org/officeDocument/2006/relationships/hyperlink" Target="https://www.ttb.gov/industry-circulars/ttb-industry-circular-2022-2" TargetMode="External"/><Relationship Id="rId30" Type="http://schemas.openxmlformats.org/officeDocument/2006/relationships/footer" Target="footer1.xml"/><Relationship Id="rId8" Type="http://schemas.openxmlformats.org/officeDocument/2006/relationships/hyperlink" Target="mailto:studentcomputing@law.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Trinidad</dc:creator>
  <cp:lastModifiedBy>John Trinidad</cp:lastModifiedBy>
  <cp:revision>4</cp:revision>
  <dcterms:created xsi:type="dcterms:W3CDTF">2024-04-30T13:45:00Z</dcterms:created>
  <dcterms:modified xsi:type="dcterms:W3CDTF">2024-04-30T13:55:00Z</dcterms:modified>
</cp:coreProperties>
</file>