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A4F2" w14:textId="067C3A39" w:rsidR="00A62198" w:rsidRPr="00AC460F" w:rsidRDefault="000C759A" w:rsidP="00FF0837">
      <w:pPr>
        <w:jc w:val="center"/>
        <w:outlineLvl w:val="0"/>
        <w:rPr>
          <w:rFonts w:asciiTheme="majorHAnsi" w:hAnsiTheme="majorHAnsi"/>
          <w:b/>
        </w:rPr>
      </w:pPr>
      <w:r w:rsidRPr="00AC460F">
        <w:rPr>
          <w:rFonts w:asciiTheme="majorHAnsi" w:hAnsiTheme="majorHAnsi"/>
          <w:b/>
        </w:rPr>
        <w:t>Law 252.3</w:t>
      </w:r>
      <w:r w:rsidR="00EB1963" w:rsidRPr="00AC460F">
        <w:rPr>
          <w:rFonts w:asciiTheme="majorHAnsi" w:hAnsiTheme="majorHAnsi"/>
          <w:b/>
        </w:rPr>
        <w:t xml:space="preserve"> Sec. 1</w:t>
      </w:r>
      <w:r w:rsidR="00DB1242" w:rsidRPr="00AC460F">
        <w:rPr>
          <w:rFonts w:asciiTheme="majorHAnsi" w:hAnsiTheme="majorHAnsi"/>
          <w:b/>
        </w:rPr>
        <w:t xml:space="preserve"> – </w:t>
      </w:r>
      <w:r w:rsidRPr="00AC460F">
        <w:rPr>
          <w:rFonts w:asciiTheme="majorHAnsi" w:hAnsiTheme="majorHAnsi"/>
          <w:b/>
        </w:rPr>
        <w:t>International Antitrust Law</w:t>
      </w:r>
    </w:p>
    <w:p w14:paraId="3355B3ED" w14:textId="77777777" w:rsidR="00A62198" w:rsidRPr="00AC460F" w:rsidRDefault="00EB1963" w:rsidP="00A62198">
      <w:pPr>
        <w:jc w:val="center"/>
        <w:outlineLvl w:val="0"/>
        <w:rPr>
          <w:rFonts w:asciiTheme="majorHAnsi" w:hAnsiTheme="majorHAnsi"/>
          <w:b/>
        </w:rPr>
      </w:pPr>
      <w:r w:rsidRPr="00AC460F">
        <w:rPr>
          <w:rFonts w:asciiTheme="majorHAnsi" w:hAnsiTheme="majorHAnsi"/>
          <w:b/>
        </w:rPr>
        <w:t>Spring</w:t>
      </w:r>
      <w:r w:rsidR="00F4641A">
        <w:rPr>
          <w:rFonts w:asciiTheme="majorHAnsi" w:hAnsiTheme="majorHAnsi"/>
          <w:b/>
        </w:rPr>
        <w:t xml:space="preserve"> 20</w:t>
      </w:r>
      <w:r w:rsidR="00EB0970">
        <w:rPr>
          <w:rFonts w:asciiTheme="majorHAnsi" w:hAnsiTheme="majorHAnsi"/>
          <w:b/>
        </w:rPr>
        <w:t>2</w:t>
      </w:r>
      <w:r w:rsidR="000176F2">
        <w:rPr>
          <w:rFonts w:asciiTheme="majorHAnsi" w:hAnsiTheme="majorHAnsi"/>
          <w:b/>
        </w:rPr>
        <w:t>3</w:t>
      </w:r>
    </w:p>
    <w:p w14:paraId="79E46708" w14:textId="77777777" w:rsidR="00A62198" w:rsidRPr="00AC460F" w:rsidRDefault="00A62198" w:rsidP="00A62198">
      <w:pPr>
        <w:jc w:val="center"/>
        <w:outlineLvl w:val="0"/>
        <w:rPr>
          <w:rFonts w:asciiTheme="majorHAnsi" w:hAnsiTheme="majorHAnsi"/>
          <w:b/>
        </w:rPr>
      </w:pPr>
    </w:p>
    <w:p w14:paraId="4A51993D" w14:textId="77777777" w:rsidR="00A62198" w:rsidRPr="00AC460F" w:rsidRDefault="00A62198" w:rsidP="00A62198">
      <w:pPr>
        <w:outlineLvl w:val="0"/>
        <w:rPr>
          <w:rFonts w:asciiTheme="majorHAnsi" w:hAnsiTheme="majorHAnsi"/>
          <w:b/>
        </w:rPr>
      </w:pPr>
      <w:bookmarkStart w:id="0" w:name="OLE_LINK1"/>
      <w:r w:rsidRPr="00AC460F">
        <w:rPr>
          <w:rFonts w:asciiTheme="majorHAnsi" w:hAnsiTheme="majorHAnsi"/>
          <w:b/>
        </w:rPr>
        <w:t>Instructor Information</w:t>
      </w:r>
    </w:p>
    <w:p w14:paraId="37709267" w14:textId="77777777" w:rsidR="00A62198" w:rsidRPr="00AC460F" w:rsidRDefault="00A62198" w:rsidP="00A62198">
      <w:pPr>
        <w:tabs>
          <w:tab w:val="left" w:pos="1260"/>
        </w:tabs>
        <w:rPr>
          <w:rFonts w:asciiTheme="majorHAnsi" w:hAnsiTheme="majorHAnsi"/>
        </w:rPr>
      </w:pPr>
      <w:r w:rsidRPr="00AC460F">
        <w:rPr>
          <w:rFonts w:asciiTheme="majorHAnsi" w:hAnsiTheme="majorHAnsi"/>
        </w:rPr>
        <w:t>Instructor</w:t>
      </w:r>
      <w:r w:rsidR="00EB1963" w:rsidRPr="00AC460F">
        <w:rPr>
          <w:rFonts w:asciiTheme="majorHAnsi" w:hAnsiTheme="majorHAnsi"/>
        </w:rPr>
        <w:t>s</w:t>
      </w:r>
      <w:r w:rsidRPr="00AC460F">
        <w:rPr>
          <w:rFonts w:asciiTheme="majorHAnsi" w:hAnsiTheme="majorHAnsi"/>
        </w:rPr>
        <w:t xml:space="preserve">:  </w:t>
      </w:r>
      <w:r w:rsidRPr="00AC460F">
        <w:rPr>
          <w:rFonts w:asciiTheme="majorHAnsi" w:hAnsiTheme="majorHAnsi"/>
        </w:rPr>
        <w:tab/>
      </w:r>
      <w:r w:rsidR="00EB1963" w:rsidRPr="00AC460F">
        <w:rPr>
          <w:rFonts w:asciiTheme="majorHAnsi" w:hAnsiTheme="majorHAnsi"/>
        </w:rPr>
        <w:t>Joel Sanders and Rachel Brass</w:t>
      </w:r>
    </w:p>
    <w:p w14:paraId="74AD39B4" w14:textId="77777777" w:rsidR="00A62198" w:rsidRPr="00AC460F" w:rsidRDefault="00A62198" w:rsidP="00A62198">
      <w:pPr>
        <w:tabs>
          <w:tab w:val="left" w:pos="1260"/>
        </w:tabs>
        <w:rPr>
          <w:rFonts w:asciiTheme="majorHAnsi" w:hAnsiTheme="majorHAnsi"/>
        </w:rPr>
      </w:pPr>
      <w:r w:rsidRPr="00AC460F">
        <w:rPr>
          <w:rFonts w:asciiTheme="majorHAnsi" w:hAnsiTheme="majorHAnsi"/>
        </w:rPr>
        <w:t xml:space="preserve">Email:  </w:t>
      </w:r>
      <w:r w:rsidRPr="00AC460F">
        <w:rPr>
          <w:rFonts w:asciiTheme="majorHAnsi" w:hAnsiTheme="majorHAnsi"/>
        </w:rPr>
        <w:tab/>
      </w:r>
      <w:r w:rsidR="00C128E3">
        <w:rPr>
          <w:rFonts w:asciiTheme="majorHAnsi" w:hAnsiTheme="majorHAnsi"/>
        </w:rPr>
        <w:t>JoelSanders@</w:t>
      </w:r>
      <w:r w:rsidR="00551B30">
        <w:rPr>
          <w:rFonts w:asciiTheme="majorHAnsi" w:hAnsiTheme="majorHAnsi"/>
        </w:rPr>
        <w:t>law.</w:t>
      </w:r>
      <w:r w:rsidR="00C128E3">
        <w:rPr>
          <w:rFonts w:asciiTheme="majorHAnsi" w:hAnsiTheme="majorHAnsi"/>
        </w:rPr>
        <w:t>berkeley.edu</w:t>
      </w:r>
      <w:r w:rsidR="00306EAD">
        <w:rPr>
          <w:rFonts w:asciiTheme="majorHAnsi" w:hAnsiTheme="majorHAnsi"/>
        </w:rPr>
        <w:t>;</w:t>
      </w:r>
      <w:r w:rsidR="00C128E3">
        <w:rPr>
          <w:rFonts w:asciiTheme="majorHAnsi" w:hAnsiTheme="majorHAnsi"/>
        </w:rPr>
        <w:t xml:space="preserve"> RBrass@</w:t>
      </w:r>
      <w:r w:rsidR="006446B7">
        <w:rPr>
          <w:rFonts w:asciiTheme="majorHAnsi" w:hAnsiTheme="majorHAnsi"/>
        </w:rPr>
        <w:t>g</w:t>
      </w:r>
      <w:r w:rsidR="00C128E3">
        <w:rPr>
          <w:rFonts w:asciiTheme="majorHAnsi" w:hAnsiTheme="majorHAnsi"/>
        </w:rPr>
        <w:t>ibson</w:t>
      </w:r>
      <w:r w:rsidR="006446B7">
        <w:rPr>
          <w:rFonts w:asciiTheme="majorHAnsi" w:hAnsiTheme="majorHAnsi"/>
        </w:rPr>
        <w:t>d</w:t>
      </w:r>
      <w:r w:rsidR="00EB1963" w:rsidRPr="00AC460F">
        <w:rPr>
          <w:rFonts w:asciiTheme="majorHAnsi" w:hAnsiTheme="majorHAnsi"/>
        </w:rPr>
        <w:t>unn.com</w:t>
      </w:r>
      <w:r w:rsidRPr="00AC460F">
        <w:rPr>
          <w:rFonts w:asciiTheme="majorHAnsi" w:hAnsiTheme="majorHAnsi"/>
        </w:rPr>
        <w:t xml:space="preserve"> </w:t>
      </w:r>
    </w:p>
    <w:p w14:paraId="348BA8C0" w14:textId="77777777" w:rsidR="00A62198" w:rsidRPr="00AC460F" w:rsidRDefault="00A62198" w:rsidP="00A62198">
      <w:pPr>
        <w:tabs>
          <w:tab w:val="left" w:pos="1260"/>
        </w:tabs>
        <w:rPr>
          <w:rFonts w:asciiTheme="majorHAnsi" w:hAnsiTheme="majorHAnsi"/>
        </w:rPr>
      </w:pPr>
      <w:r w:rsidRPr="00AC460F">
        <w:rPr>
          <w:rFonts w:asciiTheme="majorHAnsi" w:hAnsiTheme="majorHAnsi"/>
        </w:rPr>
        <w:t xml:space="preserve">Phone:  </w:t>
      </w:r>
      <w:r w:rsidRPr="00AC460F">
        <w:rPr>
          <w:rFonts w:asciiTheme="majorHAnsi" w:hAnsiTheme="majorHAnsi"/>
        </w:rPr>
        <w:tab/>
      </w:r>
      <w:r w:rsidR="00570449" w:rsidRPr="00AC460F">
        <w:rPr>
          <w:rFonts w:asciiTheme="majorHAnsi" w:hAnsiTheme="majorHAnsi"/>
        </w:rPr>
        <w:t>415-393-8</w:t>
      </w:r>
      <w:r w:rsidR="00EB1963" w:rsidRPr="00AC460F">
        <w:rPr>
          <w:rFonts w:asciiTheme="majorHAnsi" w:hAnsiTheme="majorHAnsi"/>
        </w:rPr>
        <w:t>293</w:t>
      </w:r>
      <w:r w:rsidR="00DF54B2" w:rsidRPr="00AC460F">
        <w:rPr>
          <w:rFonts w:asciiTheme="majorHAnsi" w:hAnsiTheme="majorHAnsi"/>
        </w:rPr>
        <w:t xml:space="preserve"> (Brass)</w:t>
      </w:r>
      <w:r w:rsidR="00953ECB">
        <w:rPr>
          <w:rFonts w:asciiTheme="majorHAnsi" w:hAnsiTheme="majorHAnsi"/>
        </w:rPr>
        <w:t>; 415-200-9900</w:t>
      </w:r>
      <w:r w:rsidR="00DF54B2" w:rsidRPr="00AC460F">
        <w:rPr>
          <w:rFonts w:asciiTheme="majorHAnsi" w:hAnsiTheme="majorHAnsi"/>
        </w:rPr>
        <w:t xml:space="preserve"> (Sanders)</w:t>
      </w:r>
    </w:p>
    <w:p w14:paraId="6CD5990D" w14:textId="77777777" w:rsidR="00A62198" w:rsidRPr="00AC460F" w:rsidRDefault="00A62198" w:rsidP="00A5163C">
      <w:pPr>
        <w:tabs>
          <w:tab w:val="left" w:pos="1260"/>
        </w:tabs>
        <w:rPr>
          <w:rFonts w:asciiTheme="majorHAnsi" w:hAnsiTheme="majorHAnsi"/>
        </w:rPr>
      </w:pPr>
      <w:r w:rsidRPr="00AC460F">
        <w:rPr>
          <w:rFonts w:asciiTheme="majorHAnsi" w:hAnsiTheme="majorHAnsi"/>
        </w:rPr>
        <w:t xml:space="preserve">Office: </w:t>
      </w:r>
      <w:r w:rsidRPr="00AC460F">
        <w:rPr>
          <w:rFonts w:asciiTheme="majorHAnsi" w:hAnsiTheme="majorHAnsi"/>
        </w:rPr>
        <w:tab/>
      </w:r>
      <w:r w:rsidR="000B016B">
        <w:rPr>
          <w:rFonts w:asciiTheme="majorHAnsi" w:hAnsiTheme="majorHAnsi"/>
        </w:rPr>
        <w:t>Café Zeb</w:t>
      </w:r>
    </w:p>
    <w:p w14:paraId="595D769E" w14:textId="77777777" w:rsidR="00A5163C" w:rsidRPr="00AC460F" w:rsidRDefault="00A62198" w:rsidP="00A5163C">
      <w:pPr>
        <w:rPr>
          <w:rFonts w:asciiTheme="majorHAnsi" w:hAnsiTheme="majorHAnsi"/>
        </w:rPr>
      </w:pPr>
      <w:r w:rsidRPr="00AC460F">
        <w:rPr>
          <w:rFonts w:asciiTheme="majorHAnsi" w:hAnsiTheme="majorHAnsi"/>
        </w:rPr>
        <w:t xml:space="preserve">Office Hours: </w:t>
      </w:r>
      <w:r w:rsidR="00DF54B2" w:rsidRPr="00AC460F">
        <w:rPr>
          <w:rFonts w:asciiTheme="majorHAnsi" w:hAnsiTheme="majorHAnsi"/>
        </w:rPr>
        <w:t xml:space="preserve"> T</w:t>
      </w:r>
      <w:r w:rsidR="00C128E3">
        <w:rPr>
          <w:rFonts w:asciiTheme="majorHAnsi" w:hAnsiTheme="majorHAnsi"/>
        </w:rPr>
        <w:t>he hour after</w:t>
      </w:r>
      <w:r w:rsidR="0090637E" w:rsidRPr="00AC460F">
        <w:rPr>
          <w:rFonts w:asciiTheme="majorHAnsi" w:hAnsiTheme="majorHAnsi"/>
        </w:rPr>
        <w:t xml:space="preserve"> class</w:t>
      </w:r>
      <w:r w:rsidR="00DF54B2" w:rsidRPr="00AC460F">
        <w:rPr>
          <w:rFonts w:asciiTheme="majorHAnsi" w:hAnsiTheme="majorHAnsi"/>
        </w:rPr>
        <w:t>.</w:t>
      </w:r>
    </w:p>
    <w:p w14:paraId="719C5EA4" w14:textId="77777777" w:rsidR="00A5163C" w:rsidRPr="00AC460F" w:rsidRDefault="00A5163C" w:rsidP="00A5163C">
      <w:pPr>
        <w:rPr>
          <w:rFonts w:asciiTheme="majorHAnsi" w:hAnsiTheme="majorHAnsi"/>
          <w:i/>
        </w:rPr>
      </w:pPr>
    </w:p>
    <w:p w14:paraId="16E7B237" w14:textId="77777777" w:rsidR="00A62198" w:rsidRPr="00AC460F" w:rsidRDefault="00A62198" w:rsidP="00A5163C">
      <w:pPr>
        <w:rPr>
          <w:rFonts w:asciiTheme="majorHAnsi" w:hAnsiTheme="majorHAnsi"/>
          <w:b/>
          <w:i/>
        </w:rPr>
      </w:pPr>
      <w:r w:rsidRPr="00AC460F">
        <w:rPr>
          <w:rFonts w:asciiTheme="majorHAnsi" w:hAnsiTheme="majorHAnsi"/>
          <w:b/>
        </w:rPr>
        <w:t>Course Information</w:t>
      </w:r>
      <w:r w:rsidR="003075B2" w:rsidRPr="00AC460F">
        <w:rPr>
          <w:rFonts w:asciiTheme="majorHAnsi" w:hAnsiTheme="majorHAnsi"/>
          <w:b/>
        </w:rPr>
        <w:t xml:space="preserve"> </w:t>
      </w:r>
    </w:p>
    <w:p w14:paraId="51ACAC8A" w14:textId="77777777" w:rsidR="00A62198" w:rsidRPr="00AC460F" w:rsidRDefault="00A62198" w:rsidP="00A62198">
      <w:pPr>
        <w:pStyle w:val="Heading3"/>
        <w:tabs>
          <w:tab w:val="left" w:pos="1260"/>
        </w:tabs>
        <w:spacing w:before="0"/>
        <w:rPr>
          <w:rStyle w:val="Heading3Char"/>
          <w:rFonts w:asciiTheme="majorHAnsi" w:hAnsiTheme="majorHAnsi"/>
          <w:sz w:val="22"/>
          <w:szCs w:val="22"/>
        </w:rPr>
      </w:pPr>
      <w:r w:rsidRPr="00AC460F">
        <w:rPr>
          <w:rStyle w:val="Heading3Char"/>
          <w:rFonts w:asciiTheme="majorHAnsi" w:hAnsiTheme="majorHAnsi"/>
          <w:sz w:val="22"/>
          <w:szCs w:val="22"/>
        </w:rPr>
        <w:t>Meetings:</w:t>
      </w:r>
      <w:r w:rsidRPr="00AC460F">
        <w:rPr>
          <w:rStyle w:val="Heading3Char"/>
          <w:rFonts w:asciiTheme="majorHAnsi" w:hAnsiTheme="majorHAnsi"/>
          <w:sz w:val="22"/>
          <w:szCs w:val="22"/>
        </w:rPr>
        <w:tab/>
      </w:r>
      <w:r w:rsidR="003F4D03">
        <w:rPr>
          <w:rStyle w:val="Heading3Char"/>
          <w:rFonts w:asciiTheme="majorHAnsi" w:hAnsiTheme="majorHAnsi"/>
          <w:sz w:val="22"/>
          <w:szCs w:val="22"/>
        </w:rPr>
        <w:t xml:space="preserve">Fridays from </w:t>
      </w:r>
      <w:r w:rsidR="00C128E3">
        <w:rPr>
          <w:rStyle w:val="Heading3Char"/>
          <w:rFonts w:asciiTheme="majorHAnsi" w:hAnsiTheme="majorHAnsi"/>
          <w:sz w:val="22"/>
          <w:szCs w:val="22"/>
        </w:rPr>
        <w:t xml:space="preserve">8:00 </w:t>
      </w:r>
      <w:r w:rsidR="00C3660B">
        <w:rPr>
          <w:rStyle w:val="Heading3Char"/>
          <w:rFonts w:asciiTheme="majorHAnsi" w:hAnsiTheme="majorHAnsi"/>
          <w:sz w:val="22"/>
          <w:szCs w:val="22"/>
        </w:rPr>
        <w:t xml:space="preserve">to 9:50 </w:t>
      </w:r>
      <w:r w:rsidR="00C128E3">
        <w:rPr>
          <w:rStyle w:val="Heading3Char"/>
          <w:rFonts w:asciiTheme="majorHAnsi" w:hAnsiTheme="majorHAnsi"/>
          <w:sz w:val="22"/>
          <w:szCs w:val="22"/>
        </w:rPr>
        <w:t>A.M.</w:t>
      </w:r>
    </w:p>
    <w:p w14:paraId="68640BB0" w14:textId="0439CB33" w:rsidR="00A62198" w:rsidRDefault="00A62198" w:rsidP="00A62198">
      <w:pPr>
        <w:pStyle w:val="Heading3"/>
        <w:tabs>
          <w:tab w:val="left" w:pos="1260"/>
        </w:tabs>
        <w:spacing w:before="0"/>
        <w:rPr>
          <w:rStyle w:val="Heading3Char"/>
          <w:rFonts w:asciiTheme="majorHAnsi" w:hAnsiTheme="majorHAnsi"/>
          <w:sz w:val="22"/>
          <w:szCs w:val="22"/>
        </w:rPr>
      </w:pPr>
      <w:r w:rsidRPr="00AC460F">
        <w:rPr>
          <w:rStyle w:val="Heading3Char"/>
          <w:rFonts w:asciiTheme="majorHAnsi" w:hAnsiTheme="majorHAnsi"/>
          <w:sz w:val="22"/>
          <w:szCs w:val="22"/>
        </w:rPr>
        <w:t>Location</w:t>
      </w:r>
      <w:r w:rsidRPr="00AC460F">
        <w:rPr>
          <w:rFonts w:asciiTheme="majorHAnsi" w:hAnsiTheme="majorHAnsi"/>
          <w:sz w:val="22"/>
          <w:szCs w:val="22"/>
        </w:rPr>
        <w:t xml:space="preserve">: </w:t>
      </w:r>
      <w:r w:rsidRPr="00AC460F">
        <w:rPr>
          <w:rFonts w:asciiTheme="majorHAnsi" w:hAnsiTheme="majorHAnsi"/>
          <w:sz w:val="22"/>
          <w:szCs w:val="22"/>
        </w:rPr>
        <w:tab/>
      </w:r>
      <w:r w:rsidR="000B016B" w:rsidRPr="0042604B">
        <w:rPr>
          <w:rStyle w:val="Heading3Char"/>
          <w:rFonts w:asciiTheme="majorHAnsi" w:hAnsiTheme="majorHAnsi"/>
          <w:sz w:val="22"/>
          <w:szCs w:val="22"/>
        </w:rPr>
        <w:t xml:space="preserve">Law </w:t>
      </w:r>
      <w:r w:rsidR="0042604B">
        <w:rPr>
          <w:rStyle w:val="Heading3Char"/>
          <w:rFonts w:asciiTheme="majorHAnsi" w:hAnsiTheme="majorHAnsi"/>
          <w:sz w:val="22"/>
          <w:szCs w:val="22"/>
        </w:rPr>
        <w:t>244</w:t>
      </w:r>
    </w:p>
    <w:p w14:paraId="383521A5" w14:textId="3ED50616" w:rsidR="00F3688C" w:rsidRPr="00F3688C" w:rsidRDefault="00F3688C" w:rsidP="00F3688C">
      <w:r>
        <w:t>Zoom Meeting Room ID (only if class cannot meet in person):  999 9331 3447; passcode: Compete</w:t>
      </w:r>
    </w:p>
    <w:p w14:paraId="61214BCE" w14:textId="77777777" w:rsidR="00A62198" w:rsidRPr="00AC460F" w:rsidRDefault="00A62198" w:rsidP="00A62198">
      <w:pPr>
        <w:pStyle w:val="Heading3"/>
        <w:spacing w:before="0"/>
        <w:rPr>
          <w:rStyle w:val="Heading3Char"/>
          <w:rFonts w:asciiTheme="majorHAnsi" w:eastAsia="Calibri" w:hAnsiTheme="majorHAnsi"/>
          <w:sz w:val="22"/>
          <w:szCs w:val="22"/>
        </w:rPr>
      </w:pPr>
      <w:r w:rsidRPr="00AC460F">
        <w:rPr>
          <w:rStyle w:val="Heading3Char"/>
          <w:rFonts w:asciiTheme="majorHAnsi" w:hAnsiTheme="majorHAnsi"/>
          <w:sz w:val="22"/>
          <w:szCs w:val="22"/>
        </w:rPr>
        <w:t>Prerequisites</w:t>
      </w:r>
      <w:r w:rsidR="00E8588E" w:rsidRPr="00AC460F">
        <w:rPr>
          <w:rStyle w:val="Heading3Char"/>
          <w:rFonts w:asciiTheme="majorHAnsi" w:hAnsiTheme="majorHAnsi"/>
          <w:sz w:val="22"/>
          <w:szCs w:val="22"/>
        </w:rPr>
        <w:t xml:space="preserve"> or Co-requisites</w:t>
      </w:r>
      <w:r w:rsidRPr="00AC460F">
        <w:rPr>
          <w:rStyle w:val="Heading3Char"/>
          <w:rFonts w:asciiTheme="majorHAnsi" w:hAnsiTheme="majorHAnsi"/>
          <w:i/>
          <w:sz w:val="22"/>
          <w:szCs w:val="22"/>
        </w:rPr>
        <w:t xml:space="preserve">: </w:t>
      </w:r>
      <w:r w:rsidR="00B312FA" w:rsidRPr="00AC460F">
        <w:rPr>
          <w:rFonts w:asciiTheme="majorHAnsi" w:hAnsiTheme="majorHAnsi"/>
          <w:b w:val="0"/>
          <w:sz w:val="22"/>
          <w:szCs w:val="22"/>
        </w:rPr>
        <w:t xml:space="preserve">Antitrust </w:t>
      </w:r>
      <w:r w:rsidR="00B312FA" w:rsidRPr="001B0FC4">
        <w:rPr>
          <w:rFonts w:asciiTheme="majorHAnsi" w:hAnsiTheme="majorHAnsi"/>
          <w:b w:val="0"/>
          <w:sz w:val="22"/>
          <w:szCs w:val="22"/>
        </w:rPr>
        <w:t xml:space="preserve">Law </w:t>
      </w:r>
      <w:r w:rsidR="00404C4A">
        <w:rPr>
          <w:rFonts w:asciiTheme="majorHAnsi" w:hAnsiTheme="majorHAnsi"/>
          <w:b w:val="0"/>
          <w:sz w:val="22"/>
          <w:szCs w:val="22"/>
        </w:rPr>
        <w:t>(</w:t>
      </w:r>
      <w:r w:rsidR="00B312FA" w:rsidRPr="001B0FC4">
        <w:rPr>
          <w:rFonts w:asciiTheme="majorHAnsi" w:hAnsiTheme="majorHAnsi"/>
          <w:b w:val="0"/>
          <w:sz w:val="22"/>
          <w:szCs w:val="22"/>
        </w:rPr>
        <w:t>252.2</w:t>
      </w:r>
      <w:r w:rsidR="00B312FA" w:rsidRPr="00404C4A">
        <w:rPr>
          <w:rFonts w:asciiTheme="majorHAnsi" w:hAnsiTheme="majorHAnsi"/>
          <w:b w:val="0"/>
          <w:sz w:val="22"/>
          <w:szCs w:val="22"/>
        </w:rPr>
        <w:t>)</w:t>
      </w:r>
      <w:r w:rsidR="001B6771">
        <w:rPr>
          <w:rFonts w:asciiTheme="majorHAnsi" w:hAnsiTheme="majorHAnsi"/>
          <w:b w:val="0"/>
          <w:sz w:val="22"/>
          <w:szCs w:val="22"/>
        </w:rPr>
        <w:t xml:space="preserve"> or some antitrust/competition law experience he</w:t>
      </w:r>
      <w:r w:rsidR="00FB067E">
        <w:rPr>
          <w:rFonts w:asciiTheme="majorHAnsi" w:hAnsiTheme="majorHAnsi"/>
          <w:b w:val="0"/>
          <w:sz w:val="22"/>
          <w:szCs w:val="22"/>
        </w:rPr>
        <w:t>lpful but not required</w:t>
      </w:r>
    </w:p>
    <w:p w14:paraId="55661B1D" w14:textId="77777777" w:rsidR="00A5163C" w:rsidRPr="00AC460F" w:rsidRDefault="00A62198" w:rsidP="00A5163C">
      <w:pPr>
        <w:pStyle w:val="Heading3"/>
        <w:spacing w:before="0"/>
        <w:rPr>
          <w:rFonts w:asciiTheme="majorHAnsi" w:hAnsiTheme="majorHAnsi"/>
          <w:sz w:val="22"/>
          <w:szCs w:val="22"/>
        </w:rPr>
      </w:pPr>
      <w:r w:rsidRPr="00AC460F">
        <w:rPr>
          <w:rStyle w:val="Heading3Char"/>
          <w:rFonts w:asciiTheme="majorHAnsi" w:hAnsiTheme="majorHAnsi"/>
          <w:sz w:val="22"/>
          <w:szCs w:val="22"/>
        </w:rPr>
        <w:t>Credit Hours:</w:t>
      </w:r>
      <w:r w:rsidRPr="00AC460F">
        <w:rPr>
          <w:rFonts w:asciiTheme="majorHAnsi" w:hAnsiTheme="majorHAnsi"/>
          <w:sz w:val="22"/>
          <w:szCs w:val="22"/>
        </w:rPr>
        <w:t xml:space="preserve"> </w:t>
      </w:r>
      <w:r w:rsidR="00DF54B2" w:rsidRPr="00AC460F">
        <w:rPr>
          <w:rFonts w:asciiTheme="majorHAnsi" w:hAnsiTheme="majorHAnsi"/>
          <w:b w:val="0"/>
          <w:sz w:val="22"/>
          <w:szCs w:val="22"/>
        </w:rPr>
        <w:t>2</w:t>
      </w:r>
    </w:p>
    <w:p w14:paraId="492B1C59" w14:textId="77777777" w:rsidR="00A5163C" w:rsidRPr="00AC460F" w:rsidRDefault="00A5163C" w:rsidP="00A5163C">
      <w:pPr>
        <w:pStyle w:val="Heading3"/>
        <w:spacing w:before="0"/>
        <w:rPr>
          <w:rFonts w:asciiTheme="majorHAnsi" w:hAnsiTheme="majorHAnsi"/>
          <w:sz w:val="22"/>
          <w:szCs w:val="22"/>
        </w:rPr>
      </w:pPr>
    </w:p>
    <w:p w14:paraId="15EB62FE" w14:textId="77777777" w:rsidR="00E8588E" w:rsidRPr="00AC460F" w:rsidRDefault="00DC06DF" w:rsidP="00A5163C">
      <w:pPr>
        <w:pStyle w:val="Heading3"/>
        <w:spacing w:before="0"/>
        <w:rPr>
          <w:rStyle w:val="Heading3Char"/>
          <w:rFonts w:asciiTheme="majorHAnsi" w:hAnsiTheme="majorHAnsi"/>
          <w:b/>
          <w:bCs/>
          <w:sz w:val="22"/>
          <w:szCs w:val="22"/>
        </w:rPr>
      </w:pPr>
      <w:r w:rsidRPr="00AC460F">
        <w:rPr>
          <w:rStyle w:val="Heading3Char"/>
          <w:rFonts w:asciiTheme="majorHAnsi" w:hAnsiTheme="majorHAnsi"/>
          <w:b/>
          <w:i/>
          <w:sz w:val="22"/>
          <w:szCs w:val="22"/>
        </w:rPr>
        <w:t>Textbook</w:t>
      </w:r>
      <w:r w:rsidRPr="00AC460F">
        <w:rPr>
          <w:rStyle w:val="Heading3Char"/>
          <w:rFonts w:asciiTheme="majorHAnsi" w:hAnsiTheme="majorHAnsi"/>
          <w:b/>
          <w:sz w:val="22"/>
          <w:szCs w:val="22"/>
        </w:rPr>
        <w:t>/Course Materials</w:t>
      </w:r>
      <w:r w:rsidR="00E8588E" w:rsidRPr="00AC460F">
        <w:rPr>
          <w:rStyle w:val="Heading3Char"/>
          <w:rFonts w:asciiTheme="majorHAnsi" w:hAnsiTheme="majorHAnsi"/>
          <w:b/>
          <w:sz w:val="22"/>
          <w:szCs w:val="22"/>
        </w:rPr>
        <w:t xml:space="preserve"> </w:t>
      </w:r>
    </w:p>
    <w:p w14:paraId="024169E4" w14:textId="77777777" w:rsidR="00DC06DF" w:rsidRPr="00AC460F" w:rsidRDefault="00D3702D" w:rsidP="00E8588E">
      <w:pPr>
        <w:pStyle w:val="Heading3"/>
        <w:spacing w:before="0"/>
        <w:jc w:val="both"/>
        <w:rPr>
          <w:rFonts w:asciiTheme="majorHAnsi" w:hAnsiTheme="majorHAnsi"/>
          <w:bCs w:val="0"/>
          <w:i/>
          <w:sz w:val="22"/>
          <w:szCs w:val="22"/>
        </w:rPr>
      </w:pPr>
      <w:r>
        <w:rPr>
          <w:rFonts w:asciiTheme="majorHAnsi" w:hAnsiTheme="majorHAnsi"/>
          <w:b w:val="0"/>
          <w:sz w:val="22"/>
          <w:szCs w:val="22"/>
        </w:rPr>
        <w:t>All r</w:t>
      </w:r>
      <w:r w:rsidR="00DF54B2" w:rsidRPr="00AC460F">
        <w:rPr>
          <w:rFonts w:asciiTheme="majorHAnsi" w:hAnsiTheme="majorHAnsi"/>
          <w:b w:val="0"/>
          <w:sz w:val="22"/>
          <w:szCs w:val="22"/>
        </w:rPr>
        <w:t xml:space="preserve">eadings will be posted on </w:t>
      </w:r>
      <w:proofErr w:type="spellStart"/>
      <w:r w:rsidR="00DF54B2" w:rsidRPr="00AC460F">
        <w:rPr>
          <w:rFonts w:asciiTheme="majorHAnsi" w:hAnsiTheme="majorHAnsi"/>
          <w:b w:val="0"/>
          <w:sz w:val="22"/>
          <w:szCs w:val="22"/>
        </w:rPr>
        <w:t>bCourses</w:t>
      </w:r>
      <w:proofErr w:type="spellEnd"/>
      <w:r w:rsidR="00DF54B2" w:rsidRPr="00AC460F">
        <w:rPr>
          <w:rFonts w:asciiTheme="majorHAnsi" w:hAnsiTheme="majorHAnsi"/>
          <w:b w:val="0"/>
          <w:sz w:val="22"/>
          <w:szCs w:val="22"/>
        </w:rPr>
        <w:t>.</w:t>
      </w:r>
      <w:r w:rsidR="002B4E14" w:rsidRPr="00AC460F">
        <w:rPr>
          <w:rFonts w:asciiTheme="majorHAnsi" w:hAnsiTheme="majorHAnsi"/>
          <w:b w:val="0"/>
          <w:i/>
          <w:sz w:val="22"/>
          <w:szCs w:val="22"/>
        </w:rPr>
        <w:t xml:space="preserve"> </w:t>
      </w:r>
    </w:p>
    <w:p w14:paraId="22880B79" w14:textId="77777777" w:rsidR="00E8588E" w:rsidRPr="00AC460F" w:rsidRDefault="00E8588E" w:rsidP="00E8588E"/>
    <w:p w14:paraId="582CEAEA" w14:textId="77777777" w:rsidR="00B70595" w:rsidRPr="00AC460F" w:rsidRDefault="00DC06DF" w:rsidP="00942FD6">
      <w:pPr>
        <w:ind w:right="-360"/>
        <w:jc w:val="both"/>
        <w:rPr>
          <w:rFonts w:asciiTheme="majorHAnsi" w:hAnsiTheme="majorHAnsi"/>
          <w:i/>
        </w:rPr>
      </w:pPr>
      <w:proofErr w:type="spellStart"/>
      <w:r w:rsidRPr="00AC460F">
        <w:rPr>
          <w:rFonts w:asciiTheme="majorHAnsi" w:hAnsiTheme="majorHAnsi"/>
          <w:b/>
        </w:rPr>
        <w:t>bCourses</w:t>
      </w:r>
      <w:proofErr w:type="spellEnd"/>
    </w:p>
    <w:p w14:paraId="4E3CE833" w14:textId="77777777" w:rsidR="00B70595" w:rsidRPr="00AC460F" w:rsidRDefault="00B70595" w:rsidP="00942FD6">
      <w:pPr>
        <w:ind w:right="-360"/>
        <w:jc w:val="both"/>
        <w:rPr>
          <w:rFonts w:asciiTheme="majorHAnsi" w:hAnsiTheme="majorHAnsi"/>
          <w:i/>
        </w:rPr>
      </w:pPr>
    </w:p>
    <w:p w14:paraId="11A4DA86" w14:textId="77777777" w:rsidR="00DC06DF" w:rsidRPr="00AC460F" w:rsidRDefault="00B70595" w:rsidP="00942FD6">
      <w:pPr>
        <w:ind w:right="-360"/>
        <w:jc w:val="both"/>
        <w:rPr>
          <w:rFonts w:asciiTheme="majorHAnsi" w:hAnsiTheme="majorHAnsi"/>
          <w:i/>
        </w:rPr>
      </w:pPr>
      <w:r w:rsidRPr="00AC460F">
        <w:rPr>
          <w:rFonts w:asciiTheme="majorHAnsi" w:hAnsiTheme="majorHAnsi"/>
          <w:i/>
        </w:rPr>
        <w:t xml:space="preserve">Materials for each class will be posted </w:t>
      </w:r>
      <w:r w:rsidR="000176F2">
        <w:rPr>
          <w:rFonts w:asciiTheme="majorHAnsi" w:hAnsiTheme="majorHAnsi"/>
          <w:i/>
        </w:rPr>
        <w:t>7</w:t>
      </w:r>
      <w:r w:rsidR="0006015C">
        <w:rPr>
          <w:rFonts w:asciiTheme="majorHAnsi" w:hAnsiTheme="majorHAnsi"/>
          <w:i/>
        </w:rPr>
        <w:t>-14 days</w:t>
      </w:r>
      <w:r w:rsidRPr="00AC460F">
        <w:rPr>
          <w:rFonts w:asciiTheme="majorHAnsi" w:hAnsiTheme="majorHAnsi"/>
          <w:i/>
        </w:rPr>
        <w:t xml:space="preserve"> in advance.  Please check </w:t>
      </w:r>
      <w:proofErr w:type="spellStart"/>
      <w:r w:rsidR="001B0FC4">
        <w:rPr>
          <w:rFonts w:asciiTheme="majorHAnsi" w:hAnsiTheme="majorHAnsi"/>
          <w:i/>
        </w:rPr>
        <w:t>bC</w:t>
      </w:r>
      <w:r w:rsidRPr="00AC460F">
        <w:rPr>
          <w:rFonts w:asciiTheme="majorHAnsi" w:hAnsiTheme="majorHAnsi"/>
          <w:i/>
        </w:rPr>
        <w:t>ourses</w:t>
      </w:r>
      <w:proofErr w:type="spellEnd"/>
      <w:r w:rsidRPr="00AC460F">
        <w:rPr>
          <w:rFonts w:asciiTheme="majorHAnsi" w:hAnsiTheme="majorHAnsi"/>
          <w:i/>
        </w:rPr>
        <w:t xml:space="preserve"> weekly for updated reading material. </w:t>
      </w:r>
    </w:p>
    <w:p w14:paraId="7C601307" w14:textId="77777777" w:rsidR="00942FD6" w:rsidRPr="00AC460F" w:rsidRDefault="00942FD6" w:rsidP="00942FD6">
      <w:pPr>
        <w:ind w:right="-360"/>
        <w:jc w:val="both"/>
        <w:rPr>
          <w:rFonts w:asciiTheme="majorHAnsi" w:hAnsiTheme="majorHAnsi"/>
          <w:b/>
        </w:rPr>
      </w:pPr>
    </w:p>
    <w:p w14:paraId="0CC6F745" w14:textId="77777777" w:rsidR="00DC06DF" w:rsidRPr="00AC460F" w:rsidRDefault="00DC06DF" w:rsidP="00DC06DF">
      <w:pPr>
        <w:jc w:val="both"/>
        <w:rPr>
          <w:rFonts w:asciiTheme="majorHAnsi" w:hAnsiTheme="majorHAnsi"/>
          <w:b/>
        </w:rPr>
      </w:pPr>
      <w:r w:rsidRPr="00AC460F">
        <w:rPr>
          <w:rFonts w:asciiTheme="majorHAnsi" w:hAnsiTheme="majorHAnsi"/>
          <w:b/>
        </w:rPr>
        <w:t>Course Description</w:t>
      </w:r>
    </w:p>
    <w:p w14:paraId="4808D221" w14:textId="77777777" w:rsidR="00B70595" w:rsidRPr="00AC460F" w:rsidRDefault="00B70595" w:rsidP="00DC06DF">
      <w:pPr>
        <w:jc w:val="both"/>
        <w:rPr>
          <w:rFonts w:asciiTheme="majorHAnsi" w:hAnsiTheme="majorHAnsi"/>
          <w:b/>
        </w:rPr>
      </w:pPr>
    </w:p>
    <w:p w14:paraId="15722172" w14:textId="77777777" w:rsidR="00DD566D" w:rsidRPr="00DD566D" w:rsidRDefault="00DD566D" w:rsidP="00DD566D">
      <w:pPr>
        <w:jc w:val="both"/>
        <w:rPr>
          <w:rFonts w:asciiTheme="majorHAnsi" w:eastAsia="Times New Roman" w:hAnsiTheme="majorHAnsi"/>
          <w:color w:val="000000" w:themeColor="text1"/>
        </w:rPr>
      </w:pPr>
      <w:r w:rsidRPr="00DD566D">
        <w:rPr>
          <w:rFonts w:asciiTheme="majorHAnsi" w:eastAsia="Times New Roman" w:hAnsiTheme="majorHAnsi"/>
          <w:color w:val="000000" w:themeColor="text1"/>
          <w:shd w:val="clear" w:color="auto" w:fill="FFFFFF"/>
        </w:rPr>
        <w:t xml:space="preserve">The course will compare the approaches of various regimes (including, for example, the U.S., European Union, China, Korea, Japan, and Brazil) to specific antitrust/competition law issues, with a specific focus on the practical realities of global antitrust/competition law. The course will cover issues involving client advice, criminal investigations, </w:t>
      </w:r>
      <w:r w:rsidR="00A93F35">
        <w:rPr>
          <w:rFonts w:asciiTheme="majorHAnsi" w:eastAsia="Times New Roman" w:hAnsiTheme="majorHAnsi"/>
          <w:color w:val="000000" w:themeColor="text1"/>
          <w:shd w:val="clear" w:color="auto" w:fill="FFFFFF"/>
        </w:rPr>
        <w:t xml:space="preserve">civil and administrative </w:t>
      </w:r>
      <w:r w:rsidR="009221CB">
        <w:rPr>
          <w:rFonts w:asciiTheme="majorHAnsi" w:eastAsia="Times New Roman" w:hAnsiTheme="majorHAnsi"/>
          <w:color w:val="000000" w:themeColor="text1"/>
          <w:shd w:val="clear" w:color="auto" w:fill="FFFFFF"/>
        </w:rPr>
        <w:t>inv</w:t>
      </w:r>
      <w:r w:rsidR="00D3702D">
        <w:rPr>
          <w:rFonts w:asciiTheme="majorHAnsi" w:eastAsia="Times New Roman" w:hAnsiTheme="majorHAnsi"/>
          <w:color w:val="000000" w:themeColor="text1"/>
          <w:shd w:val="clear" w:color="auto" w:fill="FFFFFF"/>
        </w:rPr>
        <w:t>e</w:t>
      </w:r>
      <w:r w:rsidR="009221CB">
        <w:rPr>
          <w:rFonts w:asciiTheme="majorHAnsi" w:eastAsia="Times New Roman" w:hAnsiTheme="majorHAnsi"/>
          <w:color w:val="000000" w:themeColor="text1"/>
          <w:shd w:val="clear" w:color="auto" w:fill="FFFFFF"/>
        </w:rPr>
        <w:t xml:space="preserve">stigations, </w:t>
      </w:r>
      <w:r w:rsidRPr="00DD566D">
        <w:rPr>
          <w:rFonts w:asciiTheme="majorHAnsi" w:eastAsia="Times New Roman" w:hAnsiTheme="majorHAnsi"/>
          <w:color w:val="000000" w:themeColor="text1"/>
          <w:shd w:val="clear" w:color="auto" w:fill="FFFFFF"/>
        </w:rPr>
        <w:t xml:space="preserve">civil litigation, and dealings with competition authorities. Specific topics will include cartels, dominance (abuse of monopoly power), mergers, the intersection between intellectual property and antitrust, extraterritoriality and comity, </w:t>
      </w:r>
      <w:r w:rsidR="000F0975">
        <w:rPr>
          <w:rFonts w:asciiTheme="majorHAnsi" w:eastAsia="Times New Roman" w:hAnsiTheme="majorHAnsi"/>
          <w:color w:val="000000" w:themeColor="text1"/>
          <w:shd w:val="clear" w:color="auto" w:fill="FFFFFF"/>
        </w:rPr>
        <w:t>big data</w:t>
      </w:r>
      <w:r w:rsidRPr="00DD566D">
        <w:rPr>
          <w:rFonts w:asciiTheme="majorHAnsi" w:eastAsia="Times New Roman" w:hAnsiTheme="majorHAnsi"/>
          <w:color w:val="000000" w:themeColor="text1"/>
          <w:shd w:val="clear" w:color="auto" w:fill="FFFFFF"/>
        </w:rPr>
        <w:t xml:space="preserve">, vertical restraints, and private damages actions. Reading assignments will include academic </w:t>
      </w:r>
      <w:proofErr w:type="gramStart"/>
      <w:r w:rsidRPr="00DD566D">
        <w:rPr>
          <w:rFonts w:asciiTheme="majorHAnsi" w:eastAsia="Times New Roman" w:hAnsiTheme="majorHAnsi"/>
          <w:color w:val="000000" w:themeColor="text1"/>
          <w:shd w:val="clear" w:color="auto" w:fill="FFFFFF"/>
        </w:rPr>
        <w:t>writing</w:t>
      </w:r>
      <w:r w:rsidR="00A61FB6">
        <w:rPr>
          <w:rFonts w:asciiTheme="majorHAnsi" w:eastAsia="Times New Roman" w:hAnsiTheme="majorHAnsi"/>
          <w:color w:val="000000" w:themeColor="text1"/>
          <w:shd w:val="clear" w:color="auto" w:fill="FFFFFF"/>
        </w:rPr>
        <w:t>s</w:t>
      </w:r>
      <w:r w:rsidR="00777A9D">
        <w:rPr>
          <w:rFonts w:asciiTheme="majorHAnsi" w:eastAsia="Times New Roman" w:hAnsiTheme="majorHAnsi"/>
          <w:color w:val="000000" w:themeColor="text1"/>
          <w:shd w:val="clear" w:color="auto" w:fill="FFFFFF"/>
        </w:rPr>
        <w:t xml:space="preserve">, </w:t>
      </w:r>
      <w:r w:rsidRPr="00DD566D">
        <w:rPr>
          <w:rFonts w:asciiTheme="majorHAnsi" w:eastAsia="Times New Roman" w:hAnsiTheme="majorHAnsi"/>
          <w:color w:val="000000" w:themeColor="text1"/>
          <w:shd w:val="clear" w:color="auto" w:fill="FFFFFF"/>
        </w:rPr>
        <w:t xml:space="preserve"> </w:t>
      </w:r>
      <w:r w:rsidR="00777A9D">
        <w:rPr>
          <w:rFonts w:asciiTheme="majorHAnsi" w:eastAsia="Times New Roman" w:hAnsiTheme="majorHAnsi"/>
          <w:color w:val="000000" w:themeColor="text1"/>
          <w:shd w:val="clear" w:color="auto" w:fill="FFFFFF"/>
        </w:rPr>
        <w:t>other</w:t>
      </w:r>
      <w:proofErr w:type="gramEnd"/>
      <w:r w:rsidR="00777A9D">
        <w:rPr>
          <w:rFonts w:asciiTheme="majorHAnsi" w:eastAsia="Times New Roman" w:hAnsiTheme="majorHAnsi"/>
          <w:color w:val="000000" w:themeColor="text1"/>
          <w:shd w:val="clear" w:color="auto" w:fill="FFFFFF"/>
        </w:rPr>
        <w:t xml:space="preserve"> articles, cases, speeches, and government agency statements</w:t>
      </w:r>
      <w:r w:rsidRPr="00DD566D">
        <w:rPr>
          <w:rFonts w:asciiTheme="majorHAnsi" w:eastAsia="Times New Roman" w:hAnsiTheme="majorHAnsi"/>
          <w:color w:val="000000" w:themeColor="text1"/>
          <w:shd w:val="clear" w:color="auto" w:fill="FFFFFF"/>
        </w:rPr>
        <w:t>. The course will include role playing opportunities and written assessments based on “real world” skills (e.g., client memoranda and white papers).</w:t>
      </w:r>
    </w:p>
    <w:p w14:paraId="5679C3A4" w14:textId="77777777" w:rsidR="00E8588E" w:rsidRPr="00E020C1" w:rsidRDefault="00E8588E" w:rsidP="00E8588E">
      <w:pPr>
        <w:jc w:val="both"/>
        <w:rPr>
          <w:rFonts w:asciiTheme="majorHAnsi" w:hAnsiTheme="majorHAnsi"/>
        </w:rPr>
      </w:pPr>
    </w:p>
    <w:p w14:paraId="18535162" w14:textId="77777777" w:rsidR="00A5163C" w:rsidRPr="00AC460F" w:rsidRDefault="00C17516" w:rsidP="00AB5194">
      <w:pPr>
        <w:pStyle w:val="Heading2"/>
        <w:spacing w:before="0"/>
        <w:jc w:val="both"/>
        <w:rPr>
          <w:rFonts w:asciiTheme="majorHAnsi" w:hAnsiTheme="majorHAnsi"/>
          <w:sz w:val="22"/>
          <w:szCs w:val="22"/>
        </w:rPr>
      </w:pPr>
      <w:r w:rsidRPr="00AC460F">
        <w:rPr>
          <w:rFonts w:asciiTheme="majorHAnsi" w:hAnsiTheme="majorHAnsi"/>
          <w:sz w:val="22"/>
          <w:szCs w:val="22"/>
        </w:rPr>
        <w:t xml:space="preserve">Learning </w:t>
      </w:r>
      <w:r w:rsidR="008A65E7" w:rsidRPr="00AC460F">
        <w:rPr>
          <w:rFonts w:asciiTheme="majorHAnsi" w:hAnsiTheme="majorHAnsi"/>
          <w:sz w:val="22"/>
          <w:szCs w:val="22"/>
        </w:rPr>
        <w:t>Outcomes</w:t>
      </w:r>
      <w:r w:rsidRPr="00AC460F">
        <w:rPr>
          <w:rFonts w:asciiTheme="majorHAnsi" w:hAnsiTheme="majorHAnsi"/>
          <w:sz w:val="22"/>
          <w:szCs w:val="22"/>
        </w:rPr>
        <w:t xml:space="preserve"> </w:t>
      </w:r>
    </w:p>
    <w:p w14:paraId="4F65D82B" w14:textId="77777777" w:rsidR="00E911EE" w:rsidRPr="00AC460F" w:rsidRDefault="00E911EE" w:rsidP="00E911EE">
      <w:pPr>
        <w:rPr>
          <w:rFonts w:asciiTheme="majorHAnsi" w:eastAsia="Times New Roman" w:hAnsiTheme="majorHAnsi"/>
        </w:rPr>
      </w:pPr>
    </w:p>
    <w:p w14:paraId="1122D2F9" w14:textId="77777777" w:rsidR="000B1BF1" w:rsidRPr="00AC460F" w:rsidRDefault="006970EA" w:rsidP="000B1BF1">
      <w:pPr>
        <w:rPr>
          <w:rFonts w:asciiTheme="majorHAnsi" w:hAnsiTheme="majorHAnsi"/>
        </w:rPr>
      </w:pPr>
      <w:r>
        <w:rPr>
          <w:rFonts w:asciiTheme="majorHAnsi" w:hAnsiTheme="majorHAnsi"/>
        </w:rPr>
        <w:t>We expect s</w:t>
      </w:r>
      <w:r w:rsidR="000B1BF1" w:rsidRPr="00AC460F">
        <w:rPr>
          <w:rFonts w:asciiTheme="majorHAnsi" w:hAnsiTheme="majorHAnsi"/>
        </w:rPr>
        <w:t>tudents in the course to achi</w:t>
      </w:r>
      <w:r w:rsidR="009200D5" w:rsidRPr="00AC460F">
        <w:rPr>
          <w:rFonts w:asciiTheme="majorHAnsi" w:hAnsiTheme="majorHAnsi"/>
        </w:rPr>
        <w:t>eve the following Berkeley Law Learning O</w:t>
      </w:r>
      <w:r w:rsidR="000B1BF1" w:rsidRPr="00AC460F">
        <w:rPr>
          <w:rFonts w:asciiTheme="majorHAnsi" w:hAnsiTheme="majorHAnsi"/>
        </w:rPr>
        <w:t>utcomes:</w:t>
      </w:r>
      <w:r w:rsidR="00453E62" w:rsidRPr="00AC460F">
        <w:rPr>
          <w:rFonts w:asciiTheme="majorHAnsi" w:hAnsiTheme="majorHAnsi"/>
        </w:rPr>
        <w:br/>
      </w:r>
    </w:p>
    <w:p w14:paraId="00045CC6" w14:textId="77777777" w:rsidR="00453E62" w:rsidRPr="00AC460F" w:rsidRDefault="00453E62" w:rsidP="00453E62">
      <w:pPr>
        <w:rPr>
          <w:rFonts w:asciiTheme="majorHAnsi" w:eastAsia="Times New Roman" w:hAnsiTheme="majorHAnsi"/>
        </w:rPr>
      </w:pPr>
      <w:r w:rsidRPr="00AC460F">
        <w:rPr>
          <w:rFonts w:asciiTheme="majorHAnsi" w:eastAsia="Times New Roman" w:hAnsiTheme="majorHAnsi"/>
        </w:rPr>
        <w:t xml:space="preserve">(a) Knowledge and understanding of </w:t>
      </w:r>
      <w:r w:rsidR="00C3660B">
        <w:rPr>
          <w:rFonts w:asciiTheme="majorHAnsi" w:eastAsia="Times New Roman" w:hAnsiTheme="majorHAnsi"/>
        </w:rPr>
        <w:t xml:space="preserve">policy objectives </w:t>
      </w:r>
      <w:r w:rsidR="006446B7">
        <w:rPr>
          <w:rFonts w:asciiTheme="majorHAnsi" w:eastAsia="Times New Roman" w:hAnsiTheme="majorHAnsi"/>
        </w:rPr>
        <w:t xml:space="preserve">informing </w:t>
      </w:r>
      <w:r w:rsidR="00B70595" w:rsidRPr="00AC460F">
        <w:rPr>
          <w:rFonts w:asciiTheme="majorHAnsi" w:eastAsia="Times New Roman" w:hAnsiTheme="majorHAnsi"/>
        </w:rPr>
        <w:t>different international competition and antitrust regimes:</w:t>
      </w:r>
    </w:p>
    <w:p w14:paraId="4267C1E4" w14:textId="77777777" w:rsidR="00B70595" w:rsidRPr="00AC460F" w:rsidRDefault="00B70595" w:rsidP="00B70595">
      <w:pPr>
        <w:pStyle w:val="ListBullet"/>
        <w:tabs>
          <w:tab w:val="clear" w:pos="360"/>
          <w:tab w:val="num" w:pos="1080"/>
        </w:tabs>
        <w:ind w:left="1080"/>
      </w:pPr>
      <w:r w:rsidRPr="00AC460F">
        <w:t>Understand inter</w:t>
      </w:r>
      <w:r w:rsidR="00C3660B">
        <w:t>play between economics</w:t>
      </w:r>
      <w:r w:rsidRPr="00AC460F">
        <w:t xml:space="preserve"> and competition policy goals</w:t>
      </w:r>
    </w:p>
    <w:p w14:paraId="218616E2" w14:textId="77777777" w:rsidR="00B70595" w:rsidRPr="00AC460F" w:rsidRDefault="00B70595" w:rsidP="00B70595">
      <w:pPr>
        <w:pStyle w:val="ListBullet"/>
        <w:tabs>
          <w:tab w:val="clear" w:pos="360"/>
          <w:tab w:val="num" w:pos="1080"/>
        </w:tabs>
        <w:ind w:left="1080"/>
      </w:pPr>
      <w:r w:rsidRPr="00AC460F">
        <w:t xml:space="preserve">Understand role of consumer </w:t>
      </w:r>
      <w:r w:rsidR="00073384">
        <w:t xml:space="preserve">and competitor </w:t>
      </w:r>
      <w:r w:rsidRPr="00AC460F">
        <w:t xml:space="preserve">protection in </w:t>
      </w:r>
      <w:r w:rsidR="00C3660B">
        <w:t>competition/antitrust law</w:t>
      </w:r>
    </w:p>
    <w:p w14:paraId="30288F47" w14:textId="77777777" w:rsidR="00B70595" w:rsidRPr="00AC460F" w:rsidRDefault="00B70595" w:rsidP="00B70595">
      <w:pPr>
        <w:pStyle w:val="ListBullet"/>
        <w:tabs>
          <w:tab w:val="clear" w:pos="360"/>
          <w:tab w:val="num" w:pos="1080"/>
        </w:tabs>
        <w:ind w:left="1080"/>
      </w:pPr>
      <w:r w:rsidRPr="00AC460F">
        <w:t xml:space="preserve">Understand </w:t>
      </w:r>
      <w:r w:rsidR="00073384">
        <w:t>the different mechanisms</w:t>
      </w:r>
      <w:r w:rsidR="00404C4A">
        <w:t xml:space="preserve"> of administrative, criminal, and civil enforcement regimes</w:t>
      </w:r>
    </w:p>
    <w:p w14:paraId="1F0D72F5" w14:textId="77777777" w:rsidR="00453E62" w:rsidRPr="00AC460F" w:rsidRDefault="00453E62" w:rsidP="00453E62">
      <w:pPr>
        <w:rPr>
          <w:rFonts w:asciiTheme="majorHAnsi" w:eastAsia="Times New Roman" w:hAnsiTheme="majorHAnsi"/>
        </w:rPr>
      </w:pPr>
      <w:r w:rsidRPr="00AC460F">
        <w:rPr>
          <w:rFonts w:asciiTheme="majorHAnsi" w:eastAsia="Times New Roman" w:hAnsiTheme="majorHAnsi"/>
        </w:rPr>
        <w:lastRenderedPageBreak/>
        <w:t xml:space="preserve">(b) Legal analysis and reasoning, problem-solving, and written and oral communication in the </w:t>
      </w:r>
      <w:r w:rsidR="00B70595" w:rsidRPr="00AC460F">
        <w:rPr>
          <w:rFonts w:asciiTheme="majorHAnsi" w:eastAsia="Times New Roman" w:hAnsiTheme="majorHAnsi"/>
        </w:rPr>
        <w:t>practical context in whic</w:t>
      </w:r>
      <w:r w:rsidR="00C3660B">
        <w:rPr>
          <w:rFonts w:asciiTheme="majorHAnsi" w:eastAsia="Times New Roman" w:hAnsiTheme="majorHAnsi"/>
        </w:rPr>
        <w:t>h international competition/</w:t>
      </w:r>
      <w:r w:rsidR="00B70595" w:rsidRPr="00AC460F">
        <w:rPr>
          <w:rFonts w:asciiTheme="majorHAnsi" w:eastAsia="Times New Roman" w:hAnsiTheme="majorHAnsi"/>
        </w:rPr>
        <w:t>antitrust questions arise</w:t>
      </w:r>
      <w:r w:rsidRPr="00AC460F">
        <w:rPr>
          <w:rFonts w:asciiTheme="majorHAnsi" w:eastAsia="Times New Roman" w:hAnsiTheme="majorHAnsi"/>
        </w:rPr>
        <w:t xml:space="preserve">; and </w:t>
      </w:r>
    </w:p>
    <w:p w14:paraId="61FFE483" w14:textId="77777777" w:rsidR="00B70595" w:rsidRPr="00AC460F" w:rsidRDefault="00453E62" w:rsidP="00453E62">
      <w:pPr>
        <w:rPr>
          <w:rFonts w:asciiTheme="majorHAnsi" w:eastAsia="Times New Roman" w:hAnsiTheme="majorHAnsi"/>
        </w:rPr>
      </w:pPr>
      <w:r w:rsidRPr="00AC460F">
        <w:rPr>
          <w:rFonts w:asciiTheme="majorHAnsi" w:eastAsia="Times New Roman" w:hAnsiTheme="majorHAnsi"/>
        </w:rPr>
        <w:t xml:space="preserve">(c) </w:t>
      </w:r>
      <w:r w:rsidR="00B70595" w:rsidRPr="00AC460F">
        <w:rPr>
          <w:rFonts w:asciiTheme="majorHAnsi" w:eastAsia="Times New Roman" w:hAnsiTheme="majorHAnsi"/>
        </w:rPr>
        <w:t xml:space="preserve">Develop </w:t>
      </w:r>
      <w:r w:rsidRPr="00AC460F">
        <w:rPr>
          <w:rFonts w:asciiTheme="majorHAnsi" w:eastAsia="Times New Roman" w:hAnsiTheme="majorHAnsi"/>
        </w:rPr>
        <w:t xml:space="preserve">professional skills needed </w:t>
      </w:r>
      <w:r w:rsidR="00B70595" w:rsidRPr="00AC460F">
        <w:rPr>
          <w:rFonts w:asciiTheme="majorHAnsi" w:eastAsia="Times New Roman" w:hAnsiTheme="majorHAnsi"/>
        </w:rPr>
        <w:t>to practice before or wit</w:t>
      </w:r>
      <w:r w:rsidR="00C3660B">
        <w:rPr>
          <w:rFonts w:asciiTheme="majorHAnsi" w:eastAsia="Times New Roman" w:hAnsiTheme="majorHAnsi"/>
        </w:rPr>
        <w:t>h international competition/</w:t>
      </w:r>
      <w:r w:rsidR="00B70595" w:rsidRPr="00AC460F">
        <w:rPr>
          <w:rFonts w:asciiTheme="majorHAnsi" w:eastAsia="Times New Roman" w:hAnsiTheme="majorHAnsi"/>
        </w:rPr>
        <w:t xml:space="preserve">antitrust authorities: </w:t>
      </w:r>
    </w:p>
    <w:p w14:paraId="30EE68AE" w14:textId="77777777" w:rsidR="00B70595" w:rsidRPr="00AC460F" w:rsidRDefault="001107E0" w:rsidP="00B70595">
      <w:pPr>
        <w:pStyle w:val="ListBullet"/>
        <w:tabs>
          <w:tab w:val="clear" w:pos="360"/>
          <w:tab w:val="num" w:pos="1080"/>
        </w:tabs>
        <w:ind w:left="1080"/>
      </w:pPr>
      <w:r w:rsidRPr="00AC460F">
        <w:t xml:space="preserve">Be comfortable </w:t>
      </w:r>
      <w:r w:rsidR="00B70595" w:rsidRPr="00AC460F">
        <w:t>presenting information to competition</w:t>
      </w:r>
      <w:r w:rsidR="00C3660B">
        <w:t>/antitrust</w:t>
      </w:r>
      <w:r w:rsidR="00B70595" w:rsidRPr="00AC460F">
        <w:t xml:space="preserve"> authorities, including through role playing and case studies</w:t>
      </w:r>
    </w:p>
    <w:p w14:paraId="4532B50D" w14:textId="77777777" w:rsidR="00453E62" w:rsidRPr="00AC460F" w:rsidRDefault="001107E0" w:rsidP="00B70595">
      <w:pPr>
        <w:pStyle w:val="ListBullet"/>
        <w:tabs>
          <w:tab w:val="clear" w:pos="360"/>
          <w:tab w:val="num" w:pos="1080"/>
        </w:tabs>
        <w:ind w:left="1080"/>
      </w:pPr>
      <w:r w:rsidRPr="00AC460F">
        <w:t xml:space="preserve">Be able to write </w:t>
      </w:r>
      <w:r w:rsidR="00B70595" w:rsidRPr="00AC460F">
        <w:t xml:space="preserve">client memorandum addressing rules, </w:t>
      </w:r>
      <w:proofErr w:type="gramStart"/>
      <w:r w:rsidR="00B70595" w:rsidRPr="00AC460F">
        <w:t>policies</w:t>
      </w:r>
      <w:proofErr w:type="gramEnd"/>
      <w:r w:rsidR="00B70595" w:rsidRPr="00AC460F">
        <w:t xml:space="preserve"> and regulations of multiple competition</w:t>
      </w:r>
      <w:r w:rsidR="00C3660B">
        <w:t>/antitrust</w:t>
      </w:r>
      <w:r w:rsidR="00B70595" w:rsidRPr="00AC460F">
        <w:t xml:space="preserve"> regimes</w:t>
      </w:r>
    </w:p>
    <w:p w14:paraId="45588565" w14:textId="77777777" w:rsidR="00B70595" w:rsidRPr="00AC460F" w:rsidRDefault="00C3660B" w:rsidP="00B70595">
      <w:pPr>
        <w:pStyle w:val="ListBullet"/>
        <w:tabs>
          <w:tab w:val="clear" w:pos="360"/>
          <w:tab w:val="num" w:pos="1080"/>
        </w:tabs>
        <w:ind w:left="1080"/>
      </w:pPr>
      <w:r>
        <w:t>Be able</w:t>
      </w:r>
      <w:r w:rsidR="001107E0" w:rsidRPr="00AC460F">
        <w:t xml:space="preserve"> to d</w:t>
      </w:r>
      <w:r w:rsidR="00B70595" w:rsidRPr="00AC460F">
        <w:t>raft white paper</w:t>
      </w:r>
      <w:r w:rsidR="003578D4">
        <w:t xml:space="preserve"> to competition</w:t>
      </w:r>
      <w:r>
        <w:t>/antitrust</w:t>
      </w:r>
      <w:r w:rsidR="003578D4">
        <w:t xml:space="preserve"> enforcement agency</w:t>
      </w:r>
      <w:r w:rsidR="00B70595" w:rsidRPr="00AC460F">
        <w:t xml:space="preserve"> that </w:t>
      </w:r>
      <w:r w:rsidR="001107E0" w:rsidRPr="00AC460F">
        <w:t>addresses current competition law issue</w:t>
      </w:r>
    </w:p>
    <w:p w14:paraId="70024D14" w14:textId="77777777" w:rsidR="001107E0" w:rsidRPr="00AC460F" w:rsidRDefault="001107E0" w:rsidP="005862AA">
      <w:pPr>
        <w:pStyle w:val="Heading2"/>
        <w:spacing w:before="0"/>
        <w:jc w:val="both"/>
        <w:rPr>
          <w:rFonts w:asciiTheme="majorHAnsi" w:hAnsiTheme="majorHAnsi"/>
          <w:sz w:val="22"/>
          <w:szCs w:val="22"/>
        </w:rPr>
      </w:pPr>
    </w:p>
    <w:p w14:paraId="4036999A" w14:textId="77777777" w:rsidR="00C508D5" w:rsidRDefault="00C508D5" w:rsidP="005862AA">
      <w:pPr>
        <w:pStyle w:val="Heading2"/>
        <w:spacing w:before="0"/>
        <w:jc w:val="both"/>
        <w:rPr>
          <w:rFonts w:asciiTheme="majorHAnsi" w:hAnsiTheme="majorHAnsi"/>
          <w:sz w:val="22"/>
          <w:szCs w:val="22"/>
        </w:rPr>
      </w:pPr>
    </w:p>
    <w:p w14:paraId="09AF7407" w14:textId="77777777" w:rsidR="00C508D5" w:rsidRDefault="00C508D5" w:rsidP="005862AA">
      <w:pPr>
        <w:pStyle w:val="Heading2"/>
        <w:spacing w:before="0"/>
        <w:jc w:val="both"/>
        <w:rPr>
          <w:rFonts w:asciiTheme="majorHAnsi" w:hAnsiTheme="majorHAnsi"/>
          <w:sz w:val="22"/>
          <w:szCs w:val="22"/>
        </w:rPr>
      </w:pPr>
    </w:p>
    <w:p w14:paraId="2B02E42C" w14:textId="77777777" w:rsidR="005862AA" w:rsidRPr="00AC460F" w:rsidRDefault="005862AA" w:rsidP="005862AA">
      <w:pPr>
        <w:pStyle w:val="Heading2"/>
        <w:spacing w:before="0"/>
        <w:jc w:val="both"/>
        <w:rPr>
          <w:rFonts w:asciiTheme="majorHAnsi" w:hAnsiTheme="majorHAnsi"/>
          <w:sz w:val="22"/>
          <w:szCs w:val="22"/>
        </w:rPr>
      </w:pPr>
      <w:r w:rsidRPr="00AC460F">
        <w:rPr>
          <w:rFonts w:asciiTheme="majorHAnsi" w:hAnsiTheme="majorHAnsi"/>
          <w:sz w:val="22"/>
          <w:szCs w:val="22"/>
        </w:rPr>
        <w:t>Assignments/Exams/</w:t>
      </w:r>
      <w:r w:rsidR="006A3493" w:rsidRPr="00AC460F">
        <w:rPr>
          <w:rFonts w:asciiTheme="majorHAnsi" w:hAnsiTheme="majorHAnsi"/>
          <w:sz w:val="22"/>
          <w:szCs w:val="22"/>
        </w:rPr>
        <w:t>Experiential Exercises/</w:t>
      </w:r>
      <w:r w:rsidRPr="00AC460F">
        <w:rPr>
          <w:rFonts w:asciiTheme="majorHAnsi" w:hAnsiTheme="majorHAnsi"/>
          <w:sz w:val="22"/>
          <w:szCs w:val="22"/>
        </w:rPr>
        <w:t>Papers/Projects</w:t>
      </w:r>
      <w:r w:rsidR="00C508D5">
        <w:rPr>
          <w:rFonts w:asciiTheme="majorHAnsi" w:hAnsiTheme="majorHAnsi"/>
          <w:sz w:val="22"/>
          <w:szCs w:val="22"/>
        </w:rPr>
        <w:t>/Grading</w:t>
      </w:r>
    </w:p>
    <w:p w14:paraId="28F8253B" w14:textId="77777777" w:rsidR="002E0D81" w:rsidRPr="00AC460F" w:rsidRDefault="00C508D5" w:rsidP="001107E0">
      <w:pPr>
        <w:jc w:val="both"/>
        <w:rPr>
          <w:rFonts w:asciiTheme="majorHAnsi" w:hAnsiTheme="majorHAnsi"/>
        </w:rPr>
      </w:pPr>
      <w:r>
        <w:rPr>
          <w:rFonts w:asciiTheme="majorHAnsi" w:hAnsiTheme="majorHAnsi"/>
        </w:rPr>
        <w:t>We</w:t>
      </w:r>
      <w:r w:rsidR="005862AA" w:rsidRPr="00AC460F">
        <w:rPr>
          <w:rFonts w:asciiTheme="majorHAnsi" w:hAnsiTheme="majorHAnsi"/>
        </w:rPr>
        <w:t xml:space="preserve"> will evaluate</w:t>
      </w:r>
      <w:r>
        <w:rPr>
          <w:rFonts w:asciiTheme="majorHAnsi" w:hAnsiTheme="majorHAnsi"/>
        </w:rPr>
        <w:t xml:space="preserve"> students</w:t>
      </w:r>
      <w:r w:rsidR="005862AA" w:rsidRPr="00AC460F">
        <w:rPr>
          <w:rFonts w:asciiTheme="majorHAnsi" w:hAnsiTheme="majorHAnsi"/>
        </w:rPr>
        <w:t xml:space="preserve"> in the following areas: </w:t>
      </w:r>
    </w:p>
    <w:p w14:paraId="52B91995" w14:textId="77777777" w:rsidR="001107E0" w:rsidRPr="00AC460F" w:rsidRDefault="001107E0" w:rsidP="0070311D"/>
    <w:p w14:paraId="2217381B" w14:textId="77777777" w:rsidR="0070311D" w:rsidRPr="00AC460F" w:rsidRDefault="0070311D" w:rsidP="0070311D">
      <w:pPr>
        <w:rPr>
          <w:spacing w:val="-1"/>
        </w:rPr>
      </w:pPr>
      <w:r w:rsidRPr="00AC460F">
        <w:t>Your</w:t>
      </w:r>
      <w:r w:rsidRPr="00AC460F">
        <w:rPr>
          <w:spacing w:val="-1"/>
        </w:rPr>
        <w:t xml:space="preserve"> </w:t>
      </w:r>
      <w:r w:rsidRPr="00AC460F">
        <w:t>g</w:t>
      </w:r>
      <w:r w:rsidRPr="00AC460F">
        <w:rPr>
          <w:spacing w:val="-1"/>
        </w:rPr>
        <w:t>r</w:t>
      </w:r>
      <w:r w:rsidRPr="00AC460F">
        <w:t xml:space="preserve">ade will </w:t>
      </w:r>
      <w:r w:rsidRPr="00AC460F">
        <w:rPr>
          <w:spacing w:val="-2"/>
        </w:rPr>
        <w:t>b</w:t>
      </w:r>
      <w:r w:rsidRPr="00AC460F">
        <w:t>e ba</w:t>
      </w:r>
      <w:r w:rsidRPr="00AC460F">
        <w:rPr>
          <w:spacing w:val="-1"/>
        </w:rPr>
        <w:t>s</w:t>
      </w:r>
      <w:r w:rsidRPr="00AC460F">
        <w:t>ed</w:t>
      </w:r>
      <w:r w:rsidRPr="00AC460F">
        <w:rPr>
          <w:spacing w:val="-2"/>
        </w:rPr>
        <w:t xml:space="preserve"> </w:t>
      </w:r>
      <w:r w:rsidRPr="00AC460F">
        <w:t>on a</w:t>
      </w:r>
      <w:r w:rsidR="00715AA4">
        <w:t>n approximately</w:t>
      </w:r>
      <w:r w:rsidRPr="00AC460F">
        <w:t xml:space="preserve"> </w:t>
      </w:r>
      <w:r w:rsidR="00715AA4">
        <w:t>1,250</w:t>
      </w:r>
      <w:r w:rsidR="001107E0" w:rsidRPr="00AC460F">
        <w:t xml:space="preserve">-word mid-term </w:t>
      </w:r>
      <w:r w:rsidRPr="00AC460F">
        <w:t>w</w:t>
      </w:r>
      <w:r w:rsidRPr="00AC460F">
        <w:rPr>
          <w:spacing w:val="-1"/>
        </w:rPr>
        <w:t>r</w:t>
      </w:r>
      <w:r w:rsidRPr="00AC460F">
        <w:t>itten a</w:t>
      </w:r>
      <w:r w:rsidRPr="00AC460F">
        <w:rPr>
          <w:spacing w:val="-1"/>
        </w:rPr>
        <w:t>ss</w:t>
      </w:r>
      <w:r w:rsidRPr="00AC460F">
        <w:t>ignment</w:t>
      </w:r>
      <w:r w:rsidRPr="00AC460F">
        <w:rPr>
          <w:spacing w:val="-1"/>
        </w:rPr>
        <w:t xml:space="preserve"> </w:t>
      </w:r>
      <w:r w:rsidR="001107E0" w:rsidRPr="00AC460F">
        <w:rPr>
          <w:spacing w:val="-1"/>
        </w:rPr>
        <w:t>(a memorandum to a client</w:t>
      </w:r>
      <w:r w:rsidR="00354F8D">
        <w:rPr>
          <w:spacing w:val="-1"/>
        </w:rPr>
        <w:t xml:space="preserve"> about a hypothetical legal problem</w:t>
      </w:r>
      <w:r w:rsidR="001107E0" w:rsidRPr="00AC460F">
        <w:rPr>
          <w:spacing w:val="-1"/>
        </w:rPr>
        <w:t xml:space="preserve">) </w:t>
      </w:r>
      <w:r w:rsidRPr="00AC460F">
        <w:rPr>
          <w:spacing w:val="-1"/>
        </w:rPr>
        <w:t>(</w:t>
      </w:r>
      <w:r w:rsidR="00715AA4">
        <w:rPr>
          <w:spacing w:val="-1"/>
        </w:rPr>
        <w:t>3</w:t>
      </w:r>
      <w:r w:rsidRPr="00AC460F">
        <w:rPr>
          <w:spacing w:val="-1"/>
        </w:rPr>
        <w:t>0%),</w:t>
      </w:r>
      <w:r w:rsidR="001107E0" w:rsidRPr="00AC460F">
        <w:rPr>
          <w:spacing w:val="-1"/>
        </w:rPr>
        <w:t xml:space="preserve"> a</w:t>
      </w:r>
      <w:r w:rsidRPr="00AC460F">
        <w:rPr>
          <w:spacing w:val="-1"/>
        </w:rPr>
        <w:t xml:space="preserve"> </w:t>
      </w:r>
      <w:r w:rsidR="00354F8D">
        <w:rPr>
          <w:spacing w:val="-1"/>
        </w:rPr>
        <w:t xml:space="preserve">short </w:t>
      </w:r>
      <w:r w:rsidR="00FB067E">
        <w:rPr>
          <w:spacing w:val="-1"/>
        </w:rPr>
        <w:t xml:space="preserve">(five-minute) </w:t>
      </w:r>
      <w:r w:rsidRPr="00AC460F">
        <w:rPr>
          <w:spacing w:val="-1"/>
        </w:rPr>
        <w:t>class p</w:t>
      </w:r>
      <w:r w:rsidR="001107E0" w:rsidRPr="00AC460F">
        <w:rPr>
          <w:spacing w:val="-1"/>
        </w:rPr>
        <w:t>resentation or demonstration</w:t>
      </w:r>
      <w:r w:rsidR="00354F8D">
        <w:rPr>
          <w:spacing w:val="-1"/>
        </w:rPr>
        <w:t xml:space="preserve"> about a particular case or topic covered in the course</w:t>
      </w:r>
      <w:r w:rsidR="001107E0" w:rsidRPr="00AC460F">
        <w:rPr>
          <w:spacing w:val="-1"/>
        </w:rPr>
        <w:t xml:space="preserve"> (</w:t>
      </w:r>
      <w:r w:rsidR="00715AA4">
        <w:rPr>
          <w:spacing w:val="-1"/>
        </w:rPr>
        <w:t>1</w:t>
      </w:r>
      <w:r w:rsidR="001107E0" w:rsidRPr="00AC460F">
        <w:rPr>
          <w:spacing w:val="-1"/>
        </w:rPr>
        <w:t>0</w:t>
      </w:r>
      <w:r w:rsidRPr="00AC460F">
        <w:rPr>
          <w:spacing w:val="-1"/>
        </w:rPr>
        <w:t xml:space="preserve">%), </w:t>
      </w:r>
      <w:r w:rsidR="001107E0" w:rsidRPr="00AC460F">
        <w:rPr>
          <w:spacing w:val="-1"/>
        </w:rPr>
        <w:t xml:space="preserve">a </w:t>
      </w:r>
      <w:r w:rsidR="00BD37A2">
        <w:rPr>
          <w:spacing w:val="-1"/>
        </w:rPr>
        <w:t xml:space="preserve">maximum </w:t>
      </w:r>
      <w:r w:rsidR="00715AA4">
        <w:rPr>
          <w:spacing w:val="-1"/>
        </w:rPr>
        <w:t>2,</w:t>
      </w:r>
      <w:r w:rsidR="00574295">
        <w:rPr>
          <w:spacing w:val="-1"/>
        </w:rPr>
        <w:t>0</w:t>
      </w:r>
      <w:r w:rsidR="00715AA4">
        <w:rPr>
          <w:spacing w:val="-1"/>
        </w:rPr>
        <w:t>00</w:t>
      </w:r>
      <w:r w:rsidR="001107E0" w:rsidRPr="00AC460F">
        <w:rPr>
          <w:spacing w:val="-1"/>
        </w:rPr>
        <w:t>-word take-home final examination</w:t>
      </w:r>
      <w:r w:rsidR="00715AA4">
        <w:rPr>
          <w:spacing w:val="-1"/>
        </w:rPr>
        <w:t xml:space="preserve"> </w:t>
      </w:r>
      <w:r w:rsidR="001107E0" w:rsidRPr="00AC460F">
        <w:rPr>
          <w:spacing w:val="-1"/>
        </w:rPr>
        <w:t xml:space="preserve"> (a “white paper” on a current competition law issue</w:t>
      </w:r>
      <w:r w:rsidR="00715AA4">
        <w:rPr>
          <w:spacing w:val="-1"/>
        </w:rPr>
        <w:t xml:space="preserve"> to be completed in a floating </w:t>
      </w:r>
      <w:r w:rsidR="004708D2">
        <w:rPr>
          <w:spacing w:val="-1"/>
        </w:rPr>
        <w:t>six</w:t>
      </w:r>
      <w:r w:rsidR="00715AA4">
        <w:rPr>
          <w:spacing w:val="-1"/>
        </w:rPr>
        <w:t xml:space="preserve"> hours during the exam period</w:t>
      </w:r>
      <w:r w:rsidR="001107E0" w:rsidRPr="00AC460F">
        <w:rPr>
          <w:spacing w:val="-1"/>
        </w:rPr>
        <w:t>) (5</w:t>
      </w:r>
      <w:r w:rsidRPr="00AC460F">
        <w:rPr>
          <w:spacing w:val="-1"/>
        </w:rPr>
        <w:t>0%)</w:t>
      </w:r>
      <w:r w:rsidR="001107E0" w:rsidRPr="00AC460F">
        <w:rPr>
          <w:spacing w:val="-1"/>
        </w:rPr>
        <w:t>, and class participation, including as an active listener and contributor (10%)</w:t>
      </w:r>
      <w:r w:rsidRPr="00AC460F">
        <w:rPr>
          <w:spacing w:val="-1"/>
        </w:rPr>
        <w:t>.</w:t>
      </w:r>
    </w:p>
    <w:p w14:paraId="6FD02884" w14:textId="77777777" w:rsidR="0070311D" w:rsidRPr="00AC460F" w:rsidRDefault="0070311D" w:rsidP="0070311D">
      <w:pPr>
        <w:rPr>
          <w:spacing w:val="-1"/>
        </w:rPr>
      </w:pPr>
    </w:p>
    <w:p w14:paraId="1FAF3F73" w14:textId="77777777" w:rsidR="005D750C" w:rsidRPr="00AC460F" w:rsidRDefault="005D750C" w:rsidP="005D750C">
      <w:pPr>
        <w:pStyle w:val="Heading2"/>
        <w:spacing w:before="0"/>
        <w:jc w:val="both"/>
        <w:rPr>
          <w:rFonts w:asciiTheme="majorHAnsi" w:hAnsiTheme="majorHAnsi"/>
          <w:sz w:val="22"/>
          <w:szCs w:val="22"/>
        </w:rPr>
      </w:pPr>
      <w:r w:rsidRPr="00AC460F">
        <w:rPr>
          <w:rFonts w:asciiTheme="majorHAnsi" w:hAnsiTheme="majorHAnsi"/>
          <w:sz w:val="22"/>
          <w:szCs w:val="22"/>
        </w:rPr>
        <w:t>Course Policies</w:t>
      </w:r>
    </w:p>
    <w:p w14:paraId="2121DD0C" w14:textId="77777777" w:rsidR="005D750C" w:rsidRPr="00AC460F" w:rsidRDefault="005D750C" w:rsidP="00C64AD2"/>
    <w:p w14:paraId="2B29C6AA" w14:textId="77777777" w:rsidR="0070311D" w:rsidRPr="00AC460F" w:rsidRDefault="0070311D" w:rsidP="00E27679">
      <w:r w:rsidRPr="00AC460F">
        <w:t xml:space="preserve">Each </w:t>
      </w:r>
      <w:r w:rsidRPr="00AC460F">
        <w:rPr>
          <w:spacing w:val="-1"/>
        </w:rPr>
        <w:t>s</w:t>
      </w:r>
      <w:r w:rsidRPr="00AC460F">
        <w:t xml:space="preserve">tudent </w:t>
      </w:r>
      <w:r w:rsidRPr="00AC460F">
        <w:rPr>
          <w:spacing w:val="-1"/>
        </w:rPr>
        <w:t>s</w:t>
      </w:r>
      <w:r w:rsidRPr="00AC460F">
        <w:t>hould pa</w:t>
      </w:r>
      <w:r w:rsidRPr="00AC460F">
        <w:rPr>
          <w:spacing w:val="-1"/>
        </w:rPr>
        <w:t>r</w:t>
      </w:r>
      <w:r w:rsidRPr="00AC460F">
        <w:t>ticipate in c</w:t>
      </w:r>
      <w:r w:rsidRPr="00AC460F">
        <w:rPr>
          <w:spacing w:val="-2"/>
        </w:rPr>
        <w:t>l</w:t>
      </w:r>
      <w:r w:rsidRPr="00AC460F">
        <w:t>a</w:t>
      </w:r>
      <w:r w:rsidRPr="00AC460F">
        <w:rPr>
          <w:spacing w:val="-1"/>
        </w:rPr>
        <w:t>ss</w:t>
      </w:r>
      <w:r w:rsidRPr="00AC460F">
        <w:t xml:space="preserve"> as</w:t>
      </w:r>
      <w:r w:rsidRPr="00AC460F">
        <w:rPr>
          <w:spacing w:val="-1"/>
        </w:rPr>
        <w:t xml:space="preserve"> </w:t>
      </w:r>
      <w:r w:rsidRPr="00AC460F">
        <w:t xml:space="preserve">an </w:t>
      </w:r>
      <w:r w:rsidRPr="00AC460F">
        <w:rPr>
          <w:spacing w:val="-2"/>
        </w:rPr>
        <w:t>a</w:t>
      </w:r>
      <w:r w:rsidRPr="00AC460F">
        <w:t>ctive li</w:t>
      </w:r>
      <w:r w:rsidRPr="00AC460F">
        <w:rPr>
          <w:spacing w:val="-1"/>
        </w:rPr>
        <w:t>s</w:t>
      </w:r>
      <w:r w:rsidRPr="00AC460F">
        <w:t>tener</w:t>
      </w:r>
      <w:r w:rsidRPr="00AC460F">
        <w:rPr>
          <w:spacing w:val="-1"/>
        </w:rPr>
        <w:t xml:space="preserve"> </w:t>
      </w:r>
      <w:r w:rsidRPr="00AC460F">
        <w:t>and cont</w:t>
      </w:r>
      <w:r w:rsidRPr="00AC460F">
        <w:rPr>
          <w:spacing w:val="-1"/>
        </w:rPr>
        <w:t>r</w:t>
      </w:r>
      <w:r w:rsidRPr="00AC460F">
        <w:t>ibuto</w:t>
      </w:r>
      <w:r w:rsidRPr="00AC460F">
        <w:rPr>
          <w:spacing w:val="-1"/>
        </w:rPr>
        <w:t>r</w:t>
      </w:r>
      <w:r w:rsidRPr="00AC460F">
        <w:t>. We</w:t>
      </w:r>
      <w:r w:rsidRPr="00AC460F">
        <w:rPr>
          <w:spacing w:val="-1"/>
        </w:rPr>
        <w:t xml:space="preserve"> </w:t>
      </w:r>
      <w:r w:rsidRPr="00AC460F">
        <w:t>will ca</w:t>
      </w:r>
      <w:r w:rsidRPr="00AC460F">
        <w:rPr>
          <w:spacing w:val="-2"/>
        </w:rPr>
        <w:t>l</w:t>
      </w:r>
      <w:r w:rsidRPr="00AC460F">
        <w:t xml:space="preserve">l on </w:t>
      </w:r>
      <w:r w:rsidRPr="00AC460F">
        <w:rPr>
          <w:spacing w:val="-1"/>
        </w:rPr>
        <w:t>s</w:t>
      </w:r>
      <w:r w:rsidRPr="00AC460F">
        <w:t>tudents</w:t>
      </w:r>
      <w:r w:rsidRPr="00AC460F">
        <w:rPr>
          <w:spacing w:val="-1"/>
        </w:rPr>
        <w:t xml:space="preserve"> </w:t>
      </w:r>
      <w:r w:rsidRPr="00AC460F">
        <w:t>in</w:t>
      </w:r>
      <w:r w:rsidR="00574295">
        <w:t xml:space="preserve"> some</w:t>
      </w:r>
      <w:r w:rsidRPr="00AC460F">
        <w:t xml:space="preserve"> cla</w:t>
      </w:r>
      <w:r w:rsidRPr="00AC460F">
        <w:rPr>
          <w:spacing w:val="-1"/>
        </w:rPr>
        <w:t>ss</w:t>
      </w:r>
      <w:r w:rsidR="00574295">
        <w:rPr>
          <w:spacing w:val="-1"/>
        </w:rPr>
        <w:t>es</w:t>
      </w:r>
      <w:r w:rsidRPr="00AC460F">
        <w:t xml:space="preserve"> </w:t>
      </w:r>
      <w:r w:rsidR="001107E0" w:rsidRPr="00AC460F">
        <w:t xml:space="preserve">but prefer if students volunteer. </w:t>
      </w:r>
      <w:r w:rsidR="00E27679" w:rsidRPr="00AC460F">
        <w:t>Cla</w:t>
      </w:r>
      <w:r w:rsidR="00E27679" w:rsidRPr="00AC460F">
        <w:rPr>
          <w:spacing w:val="-1"/>
        </w:rPr>
        <w:t>s</w:t>
      </w:r>
      <w:r w:rsidR="00E27679" w:rsidRPr="00AC460F">
        <w:t>s</w:t>
      </w:r>
      <w:r w:rsidR="00E27679" w:rsidRPr="00AC460F">
        <w:rPr>
          <w:spacing w:val="-1"/>
        </w:rPr>
        <w:t xml:space="preserve"> </w:t>
      </w:r>
      <w:r w:rsidR="00E27679" w:rsidRPr="00AC460F">
        <w:t>attendance is</w:t>
      </w:r>
      <w:r w:rsidR="00E27679" w:rsidRPr="00AC460F">
        <w:rPr>
          <w:spacing w:val="-1"/>
        </w:rPr>
        <w:t xml:space="preserve"> </w:t>
      </w:r>
      <w:r w:rsidR="00E27679" w:rsidRPr="00AC460F">
        <w:t>man</w:t>
      </w:r>
      <w:r w:rsidR="00E27679" w:rsidRPr="00AC460F">
        <w:rPr>
          <w:spacing w:val="-2"/>
        </w:rPr>
        <w:t>da</w:t>
      </w:r>
      <w:r w:rsidR="00E27679" w:rsidRPr="00AC460F">
        <w:t>to</w:t>
      </w:r>
      <w:r w:rsidR="00E27679" w:rsidRPr="00AC460F">
        <w:rPr>
          <w:spacing w:val="-1"/>
        </w:rPr>
        <w:t>r</w:t>
      </w:r>
      <w:r w:rsidR="00E27679" w:rsidRPr="00AC460F">
        <w:t>y.</w:t>
      </w:r>
      <w:r w:rsidRPr="00AC460F">
        <w:t xml:space="preserve"> We understand that students may need to miss clas</w:t>
      </w:r>
      <w:r w:rsidR="009221CB">
        <w:t xml:space="preserve">s on occasion because of </w:t>
      </w:r>
      <w:r w:rsidR="00C508D5">
        <w:t>illness,</w:t>
      </w:r>
      <w:r w:rsidR="009221CB">
        <w:t xml:space="preserve"> </w:t>
      </w:r>
      <w:r w:rsidRPr="00AC460F">
        <w:t>emergency</w:t>
      </w:r>
      <w:r w:rsidR="00C508D5">
        <w:t>,</w:t>
      </w:r>
      <w:r w:rsidRPr="00AC460F">
        <w:t xml:space="preserve"> or interviews.  Repeated unexcused absence may lead to a lower grade.</w:t>
      </w:r>
    </w:p>
    <w:p w14:paraId="7CB72F29" w14:textId="77777777" w:rsidR="0070311D" w:rsidRPr="00AC460F" w:rsidRDefault="0070311D" w:rsidP="00E27679"/>
    <w:p w14:paraId="4AD92704" w14:textId="1C4067FF" w:rsidR="00103D8E" w:rsidRPr="00871419" w:rsidRDefault="00103D8E" w:rsidP="00103D8E">
      <w:pPr>
        <w:rPr>
          <w:rFonts w:asciiTheme="majorHAnsi" w:hAnsiTheme="majorHAnsi"/>
          <w:b/>
        </w:rPr>
      </w:pPr>
      <w:r w:rsidRPr="00AC460F">
        <w:rPr>
          <w:rFonts w:asciiTheme="majorHAnsi" w:hAnsiTheme="majorHAnsi"/>
          <w:b/>
        </w:rPr>
        <w:t xml:space="preserve">Course Schedule </w:t>
      </w:r>
      <w:r w:rsidR="00871419">
        <w:rPr>
          <w:rFonts w:asciiTheme="majorHAnsi" w:hAnsiTheme="majorHAnsi"/>
          <w:b/>
        </w:rPr>
        <w:br/>
      </w:r>
    </w:p>
    <w:tbl>
      <w:tblPr>
        <w:tblStyle w:val="TableGrid"/>
        <w:tblW w:w="9805" w:type="dxa"/>
        <w:tblLook w:val="04A0" w:firstRow="1" w:lastRow="0" w:firstColumn="1" w:lastColumn="0" w:noHBand="0" w:noVBand="1"/>
      </w:tblPr>
      <w:tblGrid>
        <w:gridCol w:w="1395"/>
        <w:gridCol w:w="2641"/>
        <w:gridCol w:w="2779"/>
        <w:gridCol w:w="2990"/>
      </w:tblGrid>
      <w:tr w:rsidR="003F7F67" w:rsidRPr="00AC460F" w14:paraId="7B821524" w14:textId="77777777" w:rsidTr="009B1802">
        <w:tc>
          <w:tcPr>
            <w:tcW w:w="1395" w:type="dxa"/>
          </w:tcPr>
          <w:p w14:paraId="07BAACC2" w14:textId="77777777" w:rsidR="00314483" w:rsidRPr="00AC460F" w:rsidRDefault="007F3360" w:rsidP="007F3360">
            <w:pPr>
              <w:outlineLvl w:val="0"/>
              <w:rPr>
                <w:rFonts w:asciiTheme="majorHAnsi" w:hAnsiTheme="majorHAnsi"/>
                <w:b/>
              </w:rPr>
            </w:pPr>
            <w:r w:rsidRPr="00AC460F">
              <w:rPr>
                <w:rFonts w:asciiTheme="majorHAnsi" w:hAnsiTheme="majorHAnsi"/>
                <w:b/>
              </w:rPr>
              <w:t>Class Date</w:t>
            </w:r>
          </w:p>
        </w:tc>
        <w:tc>
          <w:tcPr>
            <w:tcW w:w="2641" w:type="dxa"/>
          </w:tcPr>
          <w:p w14:paraId="1F823BF6" w14:textId="77777777" w:rsidR="00314483" w:rsidRPr="00AC460F" w:rsidRDefault="00CD6E1E" w:rsidP="00B0553B">
            <w:pPr>
              <w:outlineLvl w:val="0"/>
              <w:rPr>
                <w:rFonts w:asciiTheme="majorHAnsi" w:hAnsiTheme="majorHAnsi"/>
                <w:b/>
              </w:rPr>
            </w:pPr>
            <w:r w:rsidRPr="00AC460F">
              <w:rPr>
                <w:rFonts w:asciiTheme="majorHAnsi" w:hAnsiTheme="majorHAnsi"/>
                <w:b/>
              </w:rPr>
              <w:t>Topic</w:t>
            </w:r>
          </w:p>
        </w:tc>
        <w:tc>
          <w:tcPr>
            <w:tcW w:w="2779" w:type="dxa"/>
          </w:tcPr>
          <w:p w14:paraId="624309A8" w14:textId="77777777" w:rsidR="00314483" w:rsidRPr="00AC460F" w:rsidRDefault="00314483" w:rsidP="00B0553B">
            <w:pPr>
              <w:outlineLvl w:val="0"/>
              <w:rPr>
                <w:rFonts w:asciiTheme="majorHAnsi" w:hAnsiTheme="majorHAnsi"/>
                <w:b/>
              </w:rPr>
            </w:pPr>
            <w:r w:rsidRPr="00AC460F">
              <w:rPr>
                <w:rFonts w:asciiTheme="majorHAnsi" w:hAnsiTheme="majorHAnsi"/>
                <w:b/>
              </w:rPr>
              <w:t xml:space="preserve">Reading Assignment/Other Assignment </w:t>
            </w:r>
          </w:p>
        </w:tc>
        <w:tc>
          <w:tcPr>
            <w:tcW w:w="2990" w:type="dxa"/>
          </w:tcPr>
          <w:p w14:paraId="40D66233" w14:textId="77777777" w:rsidR="00314483" w:rsidRPr="00AC460F" w:rsidRDefault="0080112C" w:rsidP="00DC589A">
            <w:pPr>
              <w:outlineLvl w:val="0"/>
              <w:rPr>
                <w:rFonts w:asciiTheme="majorHAnsi" w:hAnsiTheme="majorHAnsi"/>
                <w:b/>
              </w:rPr>
            </w:pPr>
            <w:r w:rsidRPr="00AC460F">
              <w:rPr>
                <w:rFonts w:asciiTheme="majorHAnsi" w:hAnsiTheme="majorHAnsi"/>
                <w:b/>
              </w:rPr>
              <w:t xml:space="preserve">Relevant </w:t>
            </w:r>
            <w:r w:rsidR="00314483" w:rsidRPr="00AC460F">
              <w:rPr>
                <w:rFonts w:asciiTheme="majorHAnsi" w:hAnsiTheme="majorHAnsi"/>
                <w:b/>
              </w:rPr>
              <w:t>Learning O</w:t>
            </w:r>
            <w:r w:rsidRPr="00AC460F">
              <w:rPr>
                <w:rFonts w:asciiTheme="majorHAnsi" w:hAnsiTheme="majorHAnsi"/>
                <w:b/>
              </w:rPr>
              <w:t>utcome</w:t>
            </w:r>
            <w:r w:rsidR="00FF14C0">
              <w:rPr>
                <w:rFonts w:asciiTheme="majorHAnsi" w:hAnsiTheme="majorHAnsi"/>
                <w:b/>
              </w:rPr>
              <w:t xml:space="preserve">:  After completing the class date, students will be able to: </w:t>
            </w:r>
            <w:r w:rsidR="007F3360" w:rsidRPr="00AC460F">
              <w:rPr>
                <w:rFonts w:asciiTheme="majorHAnsi" w:hAnsiTheme="majorHAnsi"/>
                <w:b/>
              </w:rPr>
              <w:t xml:space="preserve"> </w:t>
            </w:r>
          </w:p>
        </w:tc>
      </w:tr>
      <w:tr w:rsidR="003F7F67" w:rsidRPr="00AC460F" w14:paraId="06B49F42" w14:textId="77777777" w:rsidTr="009B1802">
        <w:tc>
          <w:tcPr>
            <w:tcW w:w="1395" w:type="dxa"/>
          </w:tcPr>
          <w:p w14:paraId="48720562" w14:textId="77777777" w:rsidR="00205B92" w:rsidRPr="00AC460F" w:rsidRDefault="009221CB" w:rsidP="00DC589A">
            <w:pPr>
              <w:outlineLvl w:val="0"/>
              <w:rPr>
                <w:rFonts w:asciiTheme="majorHAnsi" w:hAnsiTheme="majorHAnsi"/>
                <w:i/>
              </w:rPr>
            </w:pPr>
            <w:r>
              <w:rPr>
                <w:rFonts w:asciiTheme="majorHAnsi" w:hAnsiTheme="majorHAnsi"/>
              </w:rPr>
              <w:t>1/</w:t>
            </w:r>
            <w:r w:rsidR="00D84002">
              <w:rPr>
                <w:rFonts w:asciiTheme="majorHAnsi" w:hAnsiTheme="majorHAnsi"/>
              </w:rPr>
              <w:t>1</w:t>
            </w:r>
            <w:r w:rsidR="00321243">
              <w:rPr>
                <w:rFonts w:asciiTheme="majorHAnsi" w:hAnsiTheme="majorHAnsi"/>
              </w:rPr>
              <w:t>3</w:t>
            </w:r>
            <w:r w:rsidR="00152240">
              <w:rPr>
                <w:rFonts w:asciiTheme="majorHAnsi" w:hAnsiTheme="majorHAnsi"/>
              </w:rPr>
              <w:t>/2</w:t>
            </w:r>
            <w:r w:rsidR="00321243">
              <w:rPr>
                <w:rFonts w:asciiTheme="majorHAnsi" w:hAnsiTheme="majorHAnsi"/>
              </w:rPr>
              <w:t>3</w:t>
            </w:r>
            <w:r w:rsidR="006A6CEB">
              <w:rPr>
                <w:rFonts w:asciiTheme="majorHAnsi" w:hAnsiTheme="majorHAnsi"/>
              </w:rPr>
              <w:br/>
              <w:t>Week 1</w:t>
            </w:r>
          </w:p>
        </w:tc>
        <w:tc>
          <w:tcPr>
            <w:tcW w:w="2641" w:type="dxa"/>
          </w:tcPr>
          <w:p w14:paraId="59454B74" w14:textId="77777777" w:rsidR="00314483" w:rsidRPr="00AC460F" w:rsidRDefault="00467E48" w:rsidP="00453E62">
            <w:pPr>
              <w:rPr>
                <w:rFonts w:asciiTheme="majorHAnsi" w:hAnsiTheme="majorHAnsi"/>
              </w:rPr>
            </w:pPr>
            <w:r w:rsidRPr="00AC460F">
              <w:rPr>
                <w:rFonts w:asciiTheme="majorHAnsi" w:hAnsiTheme="majorHAnsi"/>
              </w:rPr>
              <w:t>Introduction to International Antitrust/Competition Law</w:t>
            </w:r>
          </w:p>
        </w:tc>
        <w:tc>
          <w:tcPr>
            <w:tcW w:w="2779" w:type="dxa"/>
          </w:tcPr>
          <w:p w14:paraId="526C8C96" w14:textId="77777777" w:rsidR="00314483" w:rsidRPr="00AC460F" w:rsidRDefault="00DC589A" w:rsidP="00DD029F">
            <w:pPr>
              <w:outlineLvl w:val="0"/>
              <w:rPr>
                <w:rFonts w:asciiTheme="majorHAnsi" w:hAnsiTheme="majorHAnsi"/>
              </w:rPr>
            </w:pPr>
            <w:r w:rsidRPr="00AC460F">
              <w:rPr>
                <w:rFonts w:asciiTheme="majorHAnsi" w:hAnsiTheme="majorHAnsi"/>
              </w:rPr>
              <w:t>Reading packet containing introductory articles on antitrust/competition law.</w:t>
            </w:r>
          </w:p>
        </w:tc>
        <w:tc>
          <w:tcPr>
            <w:tcW w:w="2990" w:type="dxa"/>
          </w:tcPr>
          <w:p w14:paraId="295A4277" w14:textId="65630352" w:rsidR="00314483" w:rsidRPr="00AC460F" w:rsidRDefault="00DC589A" w:rsidP="006446B7">
            <w:pPr>
              <w:outlineLvl w:val="0"/>
              <w:rPr>
                <w:rFonts w:asciiTheme="majorHAnsi" w:hAnsiTheme="majorHAnsi"/>
              </w:rPr>
            </w:pPr>
            <w:r w:rsidRPr="00AC460F">
              <w:rPr>
                <w:rFonts w:asciiTheme="majorHAnsi" w:hAnsiTheme="majorHAnsi"/>
              </w:rPr>
              <w:t xml:space="preserve">Understand legal, economic and policy rationales that </w:t>
            </w:r>
            <w:r w:rsidR="001A408E">
              <w:rPr>
                <w:rFonts w:asciiTheme="majorHAnsi" w:hAnsiTheme="majorHAnsi"/>
              </w:rPr>
              <w:t>underlie</w:t>
            </w:r>
            <w:r w:rsidRPr="00AC460F">
              <w:rPr>
                <w:rFonts w:asciiTheme="majorHAnsi" w:hAnsiTheme="majorHAnsi"/>
              </w:rPr>
              <w:t xml:space="preserve"> </w:t>
            </w:r>
            <w:r w:rsidR="006446B7">
              <w:rPr>
                <w:rFonts w:asciiTheme="majorHAnsi" w:hAnsiTheme="majorHAnsi"/>
              </w:rPr>
              <w:t xml:space="preserve">the </w:t>
            </w:r>
            <w:r w:rsidRPr="00AC460F">
              <w:rPr>
                <w:rFonts w:asciiTheme="majorHAnsi" w:hAnsiTheme="majorHAnsi"/>
              </w:rPr>
              <w:t>antitrust and competition law regimes</w:t>
            </w:r>
            <w:r w:rsidR="006446B7">
              <w:rPr>
                <w:rFonts w:asciiTheme="majorHAnsi" w:hAnsiTheme="majorHAnsi"/>
              </w:rPr>
              <w:t xml:space="preserve"> in various jurisdictions</w:t>
            </w:r>
            <w:r w:rsidRPr="00AC460F">
              <w:rPr>
                <w:rFonts w:asciiTheme="majorHAnsi" w:hAnsiTheme="majorHAnsi"/>
              </w:rPr>
              <w:t>.</w:t>
            </w:r>
            <w:r w:rsidR="00A743F6">
              <w:rPr>
                <w:rFonts w:asciiTheme="majorHAnsi" w:hAnsiTheme="majorHAnsi"/>
              </w:rPr>
              <w:br/>
            </w:r>
          </w:p>
        </w:tc>
      </w:tr>
      <w:tr w:rsidR="003F7F67" w:rsidRPr="00AC460F" w14:paraId="1208B13B" w14:textId="77777777" w:rsidTr="001147E2">
        <w:tc>
          <w:tcPr>
            <w:tcW w:w="1395" w:type="dxa"/>
          </w:tcPr>
          <w:p w14:paraId="5A4E5A27" w14:textId="77777777" w:rsidR="00902AA7" w:rsidRDefault="00902AA7" w:rsidP="00902AA7">
            <w:pPr>
              <w:outlineLvl w:val="0"/>
              <w:rPr>
                <w:rFonts w:asciiTheme="majorHAnsi" w:hAnsiTheme="majorHAnsi"/>
              </w:rPr>
            </w:pPr>
            <w:r>
              <w:rPr>
                <w:rFonts w:asciiTheme="majorHAnsi" w:hAnsiTheme="majorHAnsi"/>
              </w:rPr>
              <w:t>1/2</w:t>
            </w:r>
            <w:r w:rsidR="00321243">
              <w:rPr>
                <w:rFonts w:asciiTheme="majorHAnsi" w:hAnsiTheme="majorHAnsi"/>
              </w:rPr>
              <w:t>0</w:t>
            </w:r>
            <w:r>
              <w:rPr>
                <w:rFonts w:asciiTheme="majorHAnsi" w:hAnsiTheme="majorHAnsi"/>
              </w:rPr>
              <w:t>/2</w:t>
            </w:r>
            <w:r w:rsidR="00321243">
              <w:rPr>
                <w:rFonts w:asciiTheme="majorHAnsi" w:hAnsiTheme="majorHAnsi"/>
              </w:rPr>
              <w:t>3</w:t>
            </w:r>
            <w:r>
              <w:rPr>
                <w:rFonts w:asciiTheme="majorHAnsi" w:hAnsiTheme="majorHAnsi"/>
              </w:rPr>
              <w:br/>
              <w:t>Week 2</w:t>
            </w:r>
          </w:p>
        </w:tc>
        <w:tc>
          <w:tcPr>
            <w:tcW w:w="2641" w:type="dxa"/>
          </w:tcPr>
          <w:p w14:paraId="0AE56655" w14:textId="77777777" w:rsidR="00902AA7" w:rsidRPr="00AC460F" w:rsidRDefault="00902AA7" w:rsidP="00902AA7">
            <w:pPr>
              <w:outlineLvl w:val="0"/>
              <w:rPr>
                <w:rFonts w:asciiTheme="majorHAnsi" w:hAnsiTheme="majorHAnsi"/>
              </w:rPr>
            </w:pPr>
            <w:r w:rsidRPr="00AC460F">
              <w:rPr>
                <w:rFonts w:asciiTheme="majorHAnsi" w:hAnsiTheme="majorHAnsi"/>
              </w:rPr>
              <w:t>Cartels</w:t>
            </w:r>
            <w:r>
              <w:rPr>
                <w:rFonts w:asciiTheme="majorHAnsi" w:hAnsiTheme="majorHAnsi"/>
              </w:rPr>
              <w:t>/Collusion Between Competitors</w:t>
            </w:r>
          </w:p>
        </w:tc>
        <w:tc>
          <w:tcPr>
            <w:tcW w:w="2779" w:type="dxa"/>
          </w:tcPr>
          <w:p w14:paraId="1D938E64" w14:textId="77777777" w:rsidR="00902AA7" w:rsidRPr="00AC460F" w:rsidRDefault="00866378" w:rsidP="00966CFF">
            <w:pPr>
              <w:outlineLvl w:val="0"/>
              <w:rPr>
                <w:rFonts w:asciiTheme="majorHAnsi" w:hAnsiTheme="majorHAnsi"/>
              </w:rPr>
            </w:pPr>
            <w:r>
              <w:rPr>
                <w:rFonts w:asciiTheme="majorHAnsi" w:hAnsiTheme="majorHAnsi"/>
              </w:rPr>
              <w:t xml:space="preserve">Reading packet containing </w:t>
            </w:r>
            <w:r w:rsidRPr="00AC460F">
              <w:rPr>
                <w:rFonts w:asciiTheme="majorHAnsi" w:hAnsiTheme="majorHAnsi"/>
              </w:rPr>
              <w:t>case study materials.</w:t>
            </w:r>
          </w:p>
        </w:tc>
        <w:tc>
          <w:tcPr>
            <w:tcW w:w="2990" w:type="dxa"/>
          </w:tcPr>
          <w:p w14:paraId="40CA5F0E" w14:textId="77777777" w:rsidR="00615ED5" w:rsidRDefault="00615ED5" w:rsidP="00615ED5">
            <w:pPr>
              <w:outlineLvl w:val="0"/>
              <w:rPr>
                <w:rFonts w:asciiTheme="majorHAnsi" w:hAnsiTheme="majorHAnsi"/>
              </w:rPr>
            </w:pPr>
            <w:r>
              <w:rPr>
                <w:rFonts w:asciiTheme="majorHAnsi" w:hAnsiTheme="majorHAnsi"/>
              </w:rPr>
              <w:t>Analyze various competition regimes’ approaches to cartel enforcement through a case study.</w:t>
            </w:r>
          </w:p>
          <w:p w14:paraId="2EAD75ED" w14:textId="77777777" w:rsidR="00615ED5" w:rsidRDefault="00615ED5" w:rsidP="00615ED5">
            <w:pPr>
              <w:outlineLvl w:val="0"/>
              <w:rPr>
                <w:rFonts w:asciiTheme="majorHAnsi" w:hAnsiTheme="majorHAnsi"/>
              </w:rPr>
            </w:pPr>
          </w:p>
          <w:p w14:paraId="4F91D6C5" w14:textId="77777777" w:rsidR="00966CFF" w:rsidRPr="00AC460F" w:rsidRDefault="00615ED5" w:rsidP="00615ED5">
            <w:pPr>
              <w:outlineLvl w:val="0"/>
              <w:rPr>
                <w:rFonts w:asciiTheme="majorHAnsi" w:hAnsiTheme="majorHAnsi"/>
              </w:rPr>
            </w:pPr>
            <w:r>
              <w:rPr>
                <w:rFonts w:asciiTheme="majorHAnsi" w:hAnsiTheme="majorHAnsi"/>
              </w:rPr>
              <w:t xml:space="preserve">Evaluate application of different anti-cartel laws to </w:t>
            </w:r>
            <w:r>
              <w:rPr>
                <w:rFonts w:asciiTheme="majorHAnsi" w:hAnsiTheme="majorHAnsi"/>
              </w:rPr>
              <w:lastRenderedPageBreak/>
              <w:t>information sharing among competitors.</w:t>
            </w:r>
          </w:p>
          <w:p w14:paraId="28E91CF5" w14:textId="77777777" w:rsidR="00902AA7" w:rsidRPr="00AC460F" w:rsidRDefault="00902AA7" w:rsidP="00CF3819">
            <w:pPr>
              <w:outlineLvl w:val="0"/>
              <w:rPr>
                <w:rFonts w:asciiTheme="majorHAnsi" w:hAnsiTheme="majorHAnsi"/>
              </w:rPr>
            </w:pPr>
          </w:p>
        </w:tc>
      </w:tr>
      <w:tr w:rsidR="003F7F67" w:rsidRPr="00AC460F" w14:paraId="7A25DC8F" w14:textId="77777777" w:rsidTr="001147E2">
        <w:tc>
          <w:tcPr>
            <w:tcW w:w="1395" w:type="dxa"/>
          </w:tcPr>
          <w:p w14:paraId="7283F02F" w14:textId="77777777" w:rsidR="00A21A0C" w:rsidRPr="00AC460F" w:rsidRDefault="00D84002" w:rsidP="001147E2">
            <w:pPr>
              <w:outlineLvl w:val="0"/>
              <w:rPr>
                <w:rFonts w:asciiTheme="majorHAnsi" w:hAnsiTheme="majorHAnsi"/>
              </w:rPr>
            </w:pPr>
            <w:r>
              <w:rPr>
                <w:rFonts w:asciiTheme="majorHAnsi" w:hAnsiTheme="majorHAnsi"/>
              </w:rPr>
              <w:lastRenderedPageBreak/>
              <w:t>1/2</w:t>
            </w:r>
            <w:r w:rsidR="00CF3819">
              <w:rPr>
                <w:rFonts w:asciiTheme="majorHAnsi" w:hAnsiTheme="majorHAnsi"/>
              </w:rPr>
              <w:t>7</w:t>
            </w:r>
            <w:r w:rsidR="00A21A0C" w:rsidRPr="00AC460F">
              <w:rPr>
                <w:rFonts w:asciiTheme="majorHAnsi" w:hAnsiTheme="majorHAnsi"/>
              </w:rPr>
              <w:t>/</w:t>
            </w:r>
            <w:r w:rsidR="00152240">
              <w:rPr>
                <w:rFonts w:asciiTheme="majorHAnsi" w:hAnsiTheme="majorHAnsi"/>
              </w:rPr>
              <w:t>2</w:t>
            </w:r>
            <w:r w:rsidR="00CF3819">
              <w:rPr>
                <w:rFonts w:asciiTheme="majorHAnsi" w:hAnsiTheme="majorHAnsi"/>
              </w:rPr>
              <w:t>3</w:t>
            </w:r>
            <w:r w:rsidR="00A21A0C">
              <w:rPr>
                <w:rFonts w:asciiTheme="majorHAnsi" w:hAnsiTheme="majorHAnsi"/>
              </w:rPr>
              <w:br/>
              <w:t xml:space="preserve">Week </w:t>
            </w:r>
            <w:r w:rsidR="00902AA7">
              <w:rPr>
                <w:rFonts w:asciiTheme="majorHAnsi" w:hAnsiTheme="majorHAnsi"/>
              </w:rPr>
              <w:t>3</w:t>
            </w:r>
          </w:p>
        </w:tc>
        <w:tc>
          <w:tcPr>
            <w:tcW w:w="2641" w:type="dxa"/>
          </w:tcPr>
          <w:p w14:paraId="4AA22D6A" w14:textId="673AA5D4" w:rsidR="00A21A0C" w:rsidRPr="00AC460F" w:rsidRDefault="00CD5EF4" w:rsidP="001147E2">
            <w:pPr>
              <w:outlineLvl w:val="0"/>
              <w:rPr>
                <w:rFonts w:asciiTheme="majorHAnsi" w:hAnsiTheme="majorHAnsi"/>
              </w:rPr>
            </w:pPr>
            <w:r w:rsidRPr="00AC460F">
              <w:rPr>
                <w:rFonts w:asciiTheme="majorHAnsi" w:hAnsiTheme="majorHAnsi"/>
              </w:rPr>
              <w:t>Cartels</w:t>
            </w:r>
            <w:r>
              <w:rPr>
                <w:rFonts w:asciiTheme="majorHAnsi" w:hAnsiTheme="majorHAnsi"/>
              </w:rPr>
              <w:t>/Collusion Between Competitors</w:t>
            </w:r>
            <w:r w:rsidRPr="00AC460F">
              <w:rPr>
                <w:rFonts w:asciiTheme="majorHAnsi" w:hAnsiTheme="majorHAnsi"/>
              </w:rPr>
              <w:t xml:space="preserve"> </w:t>
            </w:r>
          </w:p>
        </w:tc>
        <w:tc>
          <w:tcPr>
            <w:tcW w:w="2779" w:type="dxa"/>
          </w:tcPr>
          <w:p w14:paraId="0CBC0C3F" w14:textId="2CD597DF" w:rsidR="00CD5EF4" w:rsidRPr="00AC460F" w:rsidRDefault="00CD5EF4" w:rsidP="00CD5EF4">
            <w:pPr>
              <w:outlineLvl w:val="0"/>
              <w:rPr>
                <w:rFonts w:asciiTheme="majorHAnsi" w:hAnsiTheme="majorHAnsi"/>
              </w:rPr>
            </w:pPr>
            <w:r w:rsidRPr="00AC460F">
              <w:rPr>
                <w:rFonts w:asciiTheme="majorHAnsi" w:hAnsiTheme="majorHAnsi"/>
              </w:rPr>
              <w:t xml:space="preserve">Reading packet containing </w:t>
            </w:r>
            <w:r>
              <w:rPr>
                <w:rFonts w:asciiTheme="majorHAnsi" w:hAnsiTheme="majorHAnsi"/>
              </w:rPr>
              <w:t xml:space="preserve">materials on </w:t>
            </w:r>
            <w:r w:rsidRPr="00AC460F">
              <w:rPr>
                <w:rFonts w:asciiTheme="majorHAnsi" w:hAnsiTheme="majorHAnsi"/>
              </w:rPr>
              <w:t>various internationa</w:t>
            </w:r>
            <w:r>
              <w:rPr>
                <w:rFonts w:asciiTheme="majorHAnsi" w:hAnsiTheme="majorHAnsi"/>
              </w:rPr>
              <w:t>l cartel leniency policies and leniency strategy</w:t>
            </w:r>
            <w:r w:rsidRPr="00AC460F">
              <w:rPr>
                <w:rFonts w:asciiTheme="majorHAnsi" w:hAnsiTheme="majorHAnsi"/>
              </w:rPr>
              <w:t>.</w:t>
            </w:r>
            <w:r>
              <w:rPr>
                <w:rFonts w:asciiTheme="majorHAnsi" w:hAnsiTheme="majorHAnsi"/>
              </w:rPr>
              <w:br/>
            </w:r>
          </w:p>
          <w:p w14:paraId="455D41CE" w14:textId="7C4CE40C" w:rsidR="00A21A0C" w:rsidRPr="00AC460F" w:rsidRDefault="00CD5EF4" w:rsidP="00866378">
            <w:pPr>
              <w:outlineLvl w:val="0"/>
              <w:rPr>
                <w:rFonts w:asciiTheme="majorHAnsi" w:hAnsiTheme="majorHAnsi"/>
                <w:i/>
              </w:rPr>
            </w:pPr>
            <w:r>
              <w:rPr>
                <w:rFonts w:asciiTheme="majorHAnsi" w:hAnsiTheme="majorHAnsi"/>
                <w:i/>
              </w:rPr>
              <w:t>A</w:t>
            </w:r>
            <w:r w:rsidRPr="00AC460F">
              <w:rPr>
                <w:rFonts w:asciiTheme="majorHAnsi" w:hAnsiTheme="majorHAnsi"/>
                <w:i/>
              </w:rPr>
              <w:t xml:space="preserve"> former senior member of the </w:t>
            </w:r>
            <w:r>
              <w:rPr>
                <w:rFonts w:asciiTheme="majorHAnsi" w:hAnsiTheme="majorHAnsi"/>
                <w:i/>
              </w:rPr>
              <w:t>US DOJ’s Antitrust Division will be</w:t>
            </w:r>
            <w:r w:rsidRPr="00AC460F">
              <w:rPr>
                <w:rFonts w:asciiTheme="majorHAnsi" w:hAnsiTheme="majorHAnsi"/>
                <w:i/>
              </w:rPr>
              <w:t xml:space="preserve"> a guest speaker fo</w:t>
            </w:r>
            <w:r>
              <w:rPr>
                <w:rFonts w:asciiTheme="majorHAnsi" w:hAnsiTheme="majorHAnsi"/>
                <w:i/>
              </w:rPr>
              <w:t>r this class.</w:t>
            </w:r>
          </w:p>
        </w:tc>
        <w:tc>
          <w:tcPr>
            <w:tcW w:w="2990" w:type="dxa"/>
          </w:tcPr>
          <w:p w14:paraId="73FCFFB9" w14:textId="77777777" w:rsidR="00CD5EF4" w:rsidRPr="00AC460F" w:rsidRDefault="00CD5EF4" w:rsidP="00CD5EF4">
            <w:pPr>
              <w:outlineLvl w:val="0"/>
              <w:rPr>
                <w:rFonts w:asciiTheme="majorHAnsi" w:hAnsiTheme="majorHAnsi"/>
              </w:rPr>
            </w:pPr>
            <w:r w:rsidRPr="00AC460F">
              <w:rPr>
                <w:rFonts w:asciiTheme="majorHAnsi" w:hAnsiTheme="majorHAnsi"/>
              </w:rPr>
              <w:t>Unders</w:t>
            </w:r>
            <w:r>
              <w:rPr>
                <w:rFonts w:asciiTheme="majorHAnsi" w:hAnsiTheme="majorHAnsi"/>
              </w:rPr>
              <w:t>tand</w:t>
            </w:r>
            <w:r w:rsidRPr="00AC460F">
              <w:rPr>
                <w:rFonts w:asciiTheme="majorHAnsi" w:hAnsiTheme="majorHAnsi"/>
              </w:rPr>
              <w:t xml:space="preserve"> various competition authorities’ approaches to international cartel enforcement.</w:t>
            </w:r>
          </w:p>
          <w:p w14:paraId="4BEB63FA" w14:textId="77777777" w:rsidR="00CD5EF4" w:rsidRPr="00AC460F" w:rsidRDefault="00CD5EF4" w:rsidP="00CD5EF4">
            <w:pPr>
              <w:outlineLvl w:val="0"/>
              <w:rPr>
                <w:rFonts w:asciiTheme="majorHAnsi" w:hAnsiTheme="majorHAnsi"/>
              </w:rPr>
            </w:pPr>
          </w:p>
          <w:p w14:paraId="20674CC2" w14:textId="77777777" w:rsidR="00CD5EF4" w:rsidRPr="00AC460F" w:rsidRDefault="00CD5EF4" w:rsidP="00CD5EF4">
            <w:pPr>
              <w:outlineLvl w:val="0"/>
              <w:rPr>
                <w:rFonts w:asciiTheme="majorHAnsi" w:hAnsiTheme="majorHAnsi"/>
              </w:rPr>
            </w:pPr>
            <w:r w:rsidRPr="00AC460F">
              <w:rPr>
                <w:rFonts w:asciiTheme="majorHAnsi" w:hAnsiTheme="majorHAnsi"/>
              </w:rPr>
              <w:t>Analyze strategic questions related to cartel enforce</w:t>
            </w:r>
            <w:r>
              <w:rPr>
                <w:rFonts w:asciiTheme="majorHAnsi" w:hAnsiTheme="majorHAnsi"/>
              </w:rPr>
              <w:t>ment, including how to deter cartel activity and how to incentivize self-</w:t>
            </w:r>
            <w:r w:rsidRPr="00AC460F">
              <w:rPr>
                <w:rFonts w:asciiTheme="majorHAnsi" w:hAnsiTheme="majorHAnsi"/>
              </w:rPr>
              <w:t>report</w:t>
            </w:r>
            <w:r>
              <w:rPr>
                <w:rFonts w:asciiTheme="majorHAnsi" w:hAnsiTheme="majorHAnsi"/>
              </w:rPr>
              <w:t>ing</w:t>
            </w:r>
            <w:r w:rsidRPr="00AC460F">
              <w:rPr>
                <w:rFonts w:asciiTheme="majorHAnsi" w:hAnsiTheme="majorHAnsi"/>
              </w:rPr>
              <w:t xml:space="preserve"> </w:t>
            </w:r>
            <w:r>
              <w:rPr>
                <w:rFonts w:asciiTheme="majorHAnsi" w:hAnsiTheme="majorHAnsi"/>
              </w:rPr>
              <w:t xml:space="preserve">of illegal </w:t>
            </w:r>
            <w:r w:rsidRPr="00AC460F">
              <w:rPr>
                <w:rFonts w:asciiTheme="majorHAnsi" w:hAnsiTheme="majorHAnsi"/>
              </w:rPr>
              <w:t>conduct.</w:t>
            </w:r>
          </w:p>
          <w:p w14:paraId="6348C7CD" w14:textId="77777777" w:rsidR="00A21A0C" w:rsidRPr="00AC460F" w:rsidRDefault="00A21A0C" w:rsidP="00966CFF">
            <w:pPr>
              <w:outlineLvl w:val="0"/>
              <w:rPr>
                <w:rFonts w:asciiTheme="majorHAnsi" w:hAnsiTheme="majorHAnsi"/>
              </w:rPr>
            </w:pPr>
          </w:p>
        </w:tc>
      </w:tr>
      <w:tr w:rsidR="00CD5EF4" w:rsidRPr="00AC460F" w14:paraId="76BC8696" w14:textId="77777777" w:rsidTr="009B1802">
        <w:tc>
          <w:tcPr>
            <w:tcW w:w="1395" w:type="dxa"/>
          </w:tcPr>
          <w:p w14:paraId="198B5908" w14:textId="77777777" w:rsidR="00CD5EF4" w:rsidRPr="00AC460F" w:rsidRDefault="00CD5EF4" w:rsidP="00CD5EF4">
            <w:pPr>
              <w:outlineLvl w:val="0"/>
              <w:rPr>
                <w:rFonts w:asciiTheme="majorHAnsi" w:hAnsiTheme="majorHAnsi"/>
              </w:rPr>
            </w:pPr>
            <w:r>
              <w:rPr>
                <w:rFonts w:asciiTheme="majorHAnsi" w:hAnsiTheme="majorHAnsi"/>
              </w:rPr>
              <w:t>2/3/23</w:t>
            </w:r>
            <w:r>
              <w:rPr>
                <w:rFonts w:asciiTheme="majorHAnsi" w:hAnsiTheme="majorHAnsi"/>
              </w:rPr>
              <w:br/>
              <w:t>Week 4</w:t>
            </w:r>
          </w:p>
        </w:tc>
        <w:tc>
          <w:tcPr>
            <w:tcW w:w="2641" w:type="dxa"/>
          </w:tcPr>
          <w:p w14:paraId="11E33DC8" w14:textId="4FF89F24" w:rsidR="00CD5EF4" w:rsidRPr="00AC460F" w:rsidRDefault="00CD5EF4" w:rsidP="00CD5EF4">
            <w:pPr>
              <w:outlineLvl w:val="0"/>
              <w:rPr>
                <w:rFonts w:asciiTheme="majorHAnsi" w:hAnsiTheme="majorHAnsi"/>
              </w:rPr>
            </w:pPr>
            <w:r w:rsidRPr="00AC460F">
              <w:rPr>
                <w:rFonts w:asciiTheme="majorHAnsi" w:hAnsiTheme="majorHAnsi"/>
              </w:rPr>
              <w:t>Private Damage Actions</w:t>
            </w:r>
          </w:p>
        </w:tc>
        <w:tc>
          <w:tcPr>
            <w:tcW w:w="2779" w:type="dxa"/>
          </w:tcPr>
          <w:p w14:paraId="2500C353" w14:textId="77777777" w:rsidR="00CD5EF4" w:rsidRPr="00AC460F" w:rsidRDefault="00CD5EF4" w:rsidP="00CD5EF4">
            <w:pPr>
              <w:outlineLvl w:val="0"/>
              <w:rPr>
                <w:rFonts w:asciiTheme="majorHAnsi" w:hAnsiTheme="majorHAnsi"/>
              </w:rPr>
            </w:pPr>
          </w:p>
          <w:p w14:paraId="6B3D706A" w14:textId="77777777" w:rsidR="00CD5EF4" w:rsidRDefault="00CD5EF4" w:rsidP="00CD5EF4">
            <w:pPr>
              <w:outlineLvl w:val="0"/>
              <w:rPr>
                <w:rFonts w:asciiTheme="majorHAnsi" w:hAnsiTheme="majorHAnsi"/>
              </w:rPr>
            </w:pPr>
            <w:r>
              <w:rPr>
                <w:rFonts w:asciiTheme="majorHAnsi" w:hAnsiTheme="majorHAnsi"/>
              </w:rPr>
              <w:t>Reading packet containing materials on private damages actions in various countries and case study materials.</w:t>
            </w:r>
          </w:p>
          <w:p w14:paraId="2F0E85AD" w14:textId="77777777" w:rsidR="00CD5EF4" w:rsidRDefault="00CD5EF4" w:rsidP="00CD5EF4">
            <w:pPr>
              <w:outlineLvl w:val="0"/>
              <w:rPr>
                <w:rFonts w:asciiTheme="majorHAnsi" w:hAnsiTheme="majorHAnsi"/>
              </w:rPr>
            </w:pPr>
          </w:p>
          <w:p w14:paraId="5B2AF85E" w14:textId="77777777" w:rsidR="00CD5EF4" w:rsidRPr="00AC460F" w:rsidRDefault="00CD5EF4" w:rsidP="00CD5EF4">
            <w:pPr>
              <w:outlineLvl w:val="0"/>
              <w:rPr>
                <w:rFonts w:asciiTheme="majorHAnsi" w:hAnsiTheme="majorHAnsi"/>
              </w:rPr>
            </w:pPr>
          </w:p>
          <w:p w14:paraId="2951FB01" w14:textId="606ACD25" w:rsidR="00CD5EF4" w:rsidRDefault="00CD5EF4" w:rsidP="00CD5EF4">
            <w:pPr>
              <w:outlineLvl w:val="0"/>
              <w:rPr>
                <w:rFonts w:asciiTheme="majorHAnsi" w:hAnsiTheme="majorHAnsi"/>
                <w:i/>
              </w:rPr>
            </w:pPr>
            <w:r>
              <w:rPr>
                <w:rFonts w:asciiTheme="majorHAnsi" w:hAnsiTheme="majorHAnsi"/>
                <w:i/>
              </w:rPr>
              <w:t xml:space="preserve">Two leading lawyers who regularly litigate private damages </w:t>
            </w:r>
            <w:proofErr w:type="gramStart"/>
            <w:r>
              <w:rPr>
                <w:rFonts w:asciiTheme="majorHAnsi" w:hAnsiTheme="majorHAnsi"/>
                <w:i/>
              </w:rPr>
              <w:t>claims, and</w:t>
            </w:r>
            <w:proofErr w:type="gramEnd"/>
            <w:r>
              <w:rPr>
                <w:rFonts w:asciiTheme="majorHAnsi" w:hAnsiTheme="majorHAnsi"/>
                <w:i/>
              </w:rPr>
              <w:t xml:space="preserve"> are active in cutting edge questions of global litigation and settlements, will be </w:t>
            </w:r>
            <w:r w:rsidRPr="00AC460F">
              <w:rPr>
                <w:rFonts w:asciiTheme="majorHAnsi" w:hAnsiTheme="majorHAnsi"/>
                <w:i/>
              </w:rPr>
              <w:t>guest speaker</w:t>
            </w:r>
            <w:r>
              <w:rPr>
                <w:rFonts w:asciiTheme="majorHAnsi" w:hAnsiTheme="majorHAnsi"/>
                <w:i/>
              </w:rPr>
              <w:t>s</w:t>
            </w:r>
            <w:r w:rsidRPr="00AC460F">
              <w:rPr>
                <w:rFonts w:asciiTheme="majorHAnsi" w:hAnsiTheme="majorHAnsi"/>
                <w:i/>
              </w:rPr>
              <w:t xml:space="preserve"> fo</w:t>
            </w:r>
            <w:r>
              <w:rPr>
                <w:rFonts w:asciiTheme="majorHAnsi" w:hAnsiTheme="majorHAnsi"/>
                <w:i/>
              </w:rPr>
              <w:t>r this class.</w:t>
            </w:r>
          </w:p>
          <w:p w14:paraId="49172383" w14:textId="77777777" w:rsidR="00CD5EF4" w:rsidRPr="00AC460F" w:rsidRDefault="00CD5EF4" w:rsidP="00CD5EF4">
            <w:pPr>
              <w:outlineLvl w:val="0"/>
              <w:rPr>
                <w:rFonts w:asciiTheme="majorHAnsi" w:hAnsiTheme="majorHAnsi"/>
              </w:rPr>
            </w:pPr>
          </w:p>
        </w:tc>
        <w:tc>
          <w:tcPr>
            <w:tcW w:w="2990" w:type="dxa"/>
          </w:tcPr>
          <w:p w14:paraId="33AE20DA" w14:textId="77777777" w:rsidR="00CD5EF4" w:rsidRDefault="00CD5EF4" w:rsidP="00CD5EF4">
            <w:pPr>
              <w:outlineLvl w:val="0"/>
              <w:rPr>
                <w:rFonts w:asciiTheme="majorHAnsi" w:hAnsiTheme="majorHAnsi"/>
              </w:rPr>
            </w:pPr>
            <w:r>
              <w:rPr>
                <w:rFonts w:asciiTheme="majorHAnsi" w:hAnsiTheme="majorHAnsi"/>
              </w:rPr>
              <w:t>Understand issues raised by private enforcement of competition laws.</w:t>
            </w:r>
          </w:p>
          <w:p w14:paraId="3A2F13CD" w14:textId="77777777" w:rsidR="00CD5EF4" w:rsidRDefault="00CD5EF4" w:rsidP="00CD5EF4">
            <w:pPr>
              <w:outlineLvl w:val="0"/>
              <w:rPr>
                <w:rFonts w:asciiTheme="majorHAnsi" w:hAnsiTheme="majorHAnsi"/>
              </w:rPr>
            </w:pPr>
          </w:p>
          <w:p w14:paraId="3B1779B0" w14:textId="77777777" w:rsidR="00CD5EF4" w:rsidRDefault="00CD5EF4" w:rsidP="00CD5EF4">
            <w:pPr>
              <w:outlineLvl w:val="0"/>
              <w:rPr>
                <w:rFonts w:asciiTheme="majorHAnsi" w:hAnsiTheme="majorHAnsi"/>
              </w:rPr>
            </w:pPr>
            <w:r>
              <w:rPr>
                <w:rFonts w:asciiTheme="majorHAnsi" w:hAnsiTheme="majorHAnsi"/>
              </w:rPr>
              <w:t>Argue in favor of or in opposition to expansion of private damages enforcement.</w:t>
            </w:r>
          </w:p>
          <w:p w14:paraId="0EA42317" w14:textId="77777777" w:rsidR="00CD5EF4" w:rsidRDefault="00CD5EF4" w:rsidP="00CD5EF4">
            <w:pPr>
              <w:outlineLvl w:val="0"/>
              <w:rPr>
                <w:rFonts w:asciiTheme="majorHAnsi" w:hAnsiTheme="majorHAnsi"/>
              </w:rPr>
            </w:pPr>
          </w:p>
          <w:p w14:paraId="49E2EE24" w14:textId="77777777" w:rsidR="00CD5EF4" w:rsidRDefault="00CD5EF4" w:rsidP="00CD5EF4">
            <w:pPr>
              <w:outlineLvl w:val="0"/>
              <w:rPr>
                <w:rFonts w:asciiTheme="majorHAnsi" w:hAnsiTheme="majorHAnsi"/>
              </w:rPr>
            </w:pPr>
            <w:r>
              <w:rPr>
                <w:rFonts w:asciiTheme="majorHAnsi" w:hAnsiTheme="majorHAnsi"/>
              </w:rPr>
              <w:t xml:space="preserve">Understand and evaluate policy rationales and issues underlying private recovery models, including questions of collective action, credit for self-reporting, and role of passing-on defense. </w:t>
            </w:r>
            <w:r>
              <w:rPr>
                <w:rFonts w:asciiTheme="majorHAnsi" w:hAnsiTheme="majorHAnsi"/>
              </w:rPr>
              <w:br/>
            </w:r>
          </w:p>
          <w:p w14:paraId="21D6AB2E" w14:textId="77777777" w:rsidR="00CD5EF4" w:rsidRDefault="00CD5EF4" w:rsidP="00CD5EF4">
            <w:pPr>
              <w:outlineLvl w:val="0"/>
              <w:rPr>
                <w:rFonts w:asciiTheme="majorHAnsi" w:hAnsiTheme="majorHAnsi"/>
              </w:rPr>
            </w:pPr>
            <w:r>
              <w:rPr>
                <w:rFonts w:asciiTheme="majorHAnsi" w:hAnsiTheme="majorHAnsi"/>
              </w:rPr>
              <w:t>Assess questions of settlement as civil damages enforcement becomes a “global” question.</w:t>
            </w:r>
          </w:p>
          <w:p w14:paraId="35DCE7FC" w14:textId="77777777" w:rsidR="00CD5EF4" w:rsidRPr="00AC460F" w:rsidRDefault="00CD5EF4" w:rsidP="00CD5EF4">
            <w:pPr>
              <w:outlineLvl w:val="0"/>
              <w:rPr>
                <w:rFonts w:asciiTheme="majorHAnsi" w:hAnsiTheme="majorHAnsi"/>
              </w:rPr>
            </w:pPr>
          </w:p>
        </w:tc>
      </w:tr>
      <w:tr w:rsidR="00CD5EF4" w:rsidRPr="00AC460F" w14:paraId="35CB74F2" w14:textId="77777777" w:rsidTr="009B1802">
        <w:tc>
          <w:tcPr>
            <w:tcW w:w="1395" w:type="dxa"/>
          </w:tcPr>
          <w:p w14:paraId="398412BE" w14:textId="77777777" w:rsidR="00CD5EF4" w:rsidRPr="00AC460F" w:rsidRDefault="00CD5EF4" w:rsidP="00CD5EF4">
            <w:pPr>
              <w:outlineLvl w:val="0"/>
              <w:rPr>
                <w:rFonts w:asciiTheme="majorHAnsi" w:hAnsiTheme="majorHAnsi"/>
              </w:rPr>
            </w:pPr>
            <w:r>
              <w:rPr>
                <w:rFonts w:asciiTheme="majorHAnsi" w:hAnsiTheme="majorHAnsi"/>
              </w:rPr>
              <w:t>2/10/23</w:t>
            </w:r>
            <w:r>
              <w:rPr>
                <w:rFonts w:asciiTheme="majorHAnsi" w:hAnsiTheme="majorHAnsi"/>
              </w:rPr>
              <w:br/>
              <w:t>Week 5</w:t>
            </w:r>
          </w:p>
        </w:tc>
        <w:tc>
          <w:tcPr>
            <w:tcW w:w="2641" w:type="dxa"/>
          </w:tcPr>
          <w:p w14:paraId="1ACFCC61" w14:textId="78FB596D" w:rsidR="00CD5EF4" w:rsidRPr="00AC460F" w:rsidRDefault="00CD5EF4" w:rsidP="00CD5EF4">
            <w:pPr>
              <w:outlineLvl w:val="0"/>
              <w:rPr>
                <w:rFonts w:asciiTheme="majorHAnsi" w:hAnsiTheme="majorHAnsi"/>
              </w:rPr>
            </w:pPr>
            <w:r>
              <w:rPr>
                <w:rFonts w:asciiTheme="majorHAnsi" w:hAnsiTheme="majorHAnsi"/>
              </w:rPr>
              <w:t xml:space="preserve">Competition in Labor Markets </w:t>
            </w:r>
          </w:p>
        </w:tc>
        <w:tc>
          <w:tcPr>
            <w:tcW w:w="2779" w:type="dxa"/>
          </w:tcPr>
          <w:p w14:paraId="30E07869" w14:textId="5DA2A7F4" w:rsidR="00CD5EF4" w:rsidRPr="00A80A2D" w:rsidRDefault="00CD5EF4" w:rsidP="00CD5EF4">
            <w:pPr>
              <w:outlineLvl w:val="0"/>
              <w:rPr>
                <w:rFonts w:asciiTheme="majorHAnsi" w:hAnsiTheme="majorHAnsi"/>
              </w:rPr>
            </w:pPr>
            <w:r>
              <w:rPr>
                <w:rFonts w:asciiTheme="majorHAnsi" w:hAnsiTheme="majorHAnsi"/>
              </w:rPr>
              <w:t xml:space="preserve">Reading packet containing articles and case law regarding recent enforcement actions and cases involving the enforcement of competition laws in labor markets, including no-poach agreements, wage agreements, and information exchanges, and treatment of labor markets in other aspects of </w:t>
            </w:r>
            <w:r>
              <w:rPr>
                <w:rFonts w:asciiTheme="majorHAnsi" w:hAnsiTheme="majorHAnsi"/>
              </w:rPr>
              <w:lastRenderedPageBreak/>
              <w:t xml:space="preserve">competition law.  </w:t>
            </w:r>
            <w:r>
              <w:rPr>
                <w:rFonts w:asciiTheme="majorHAnsi" w:hAnsiTheme="majorHAnsi"/>
              </w:rPr>
              <w:br/>
            </w:r>
          </w:p>
        </w:tc>
        <w:tc>
          <w:tcPr>
            <w:tcW w:w="2990" w:type="dxa"/>
          </w:tcPr>
          <w:p w14:paraId="2E781F73" w14:textId="042828DC" w:rsidR="00CD5EF4" w:rsidRDefault="00CD5EF4" w:rsidP="00CD5EF4">
            <w:pPr>
              <w:outlineLvl w:val="0"/>
              <w:rPr>
                <w:rFonts w:asciiTheme="majorHAnsi" w:hAnsiTheme="majorHAnsi"/>
              </w:rPr>
            </w:pPr>
            <w:r>
              <w:rPr>
                <w:rFonts w:asciiTheme="majorHAnsi" w:hAnsiTheme="majorHAnsi"/>
              </w:rPr>
              <w:lastRenderedPageBreak/>
              <w:t xml:space="preserve">Understand different approaches to enforcement of competition laws in labor markets.  </w:t>
            </w:r>
          </w:p>
          <w:p w14:paraId="515B474F" w14:textId="77777777" w:rsidR="00CD5EF4" w:rsidRPr="00AC460F" w:rsidRDefault="00CD5EF4" w:rsidP="00CD5EF4">
            <w:pPr>
              <w:outlineLvl w:val="0"/>
              <w:rPr>
                <w:rFonts w:asciiTheme="majorHAnsi" w:hAnsiTheme="majorHAnsi"/>
              </w:rPr>
            </w:pPr>
          </w:p>
        </w:tc>
      </w:tr>
      <w:tr w:rsidR="00CD5EF4" w:rsidRPr="00AC460F" w14:paraId="1E205861" w14:textId="77777777" w:rsidTr="009B1802">
        <w:tc>
          <w:tcPr>
            <w:tcW w:w="1395" w:type="dxa"/>
          </w:tcPr>
          <w:p w14:paraId="59523A2F" w14:textId="77777777" w:rsidR="00CD5EF4" w:rsidRDefault="00CD5EF4" w:rsidP="00CD5EF4">
            <w:pPr>
              <w:outlineLvl w:val="0"/>
              <w:rPr>
                <w:rFonts w:asciiTheme="majorHAnsi" w:hAnsiTheme="majorHAnsi"/>
              </w:rPr>
            </w:pPr>
            <w:r>
              <w:rPr>
                <w:rFonts w:asciiTheme="majorHAnsi" w:hAnsiTheme="majorHAnsi"/>
              </w:rPr>
              <w:t>2/17/23</w:t>
            </w:r>
          </w:p>
          <w:p w14:paraId="428F07D9" w14:textId="77777777" w:rsidR="00CD5EF4" w:rsidRDefault="00CD5EF4" w:rsidP="00CD5EF4">
            <w:pPr>
              <w:outlineLvl w:val="0"/>
              <w:rPr>
                <w:rFonts w:asciiTheme="majorHAnsi" w:hAnsiTheme="majorHAnsi"/>
              </w:rPr>
            </w:pPr>
            <w:r>
              <w:rPr>
                <w:rFonts w:asciiTheme="majorHAnsi" w:hAnsiTheme="majorHAnsi"/>
              </w:rPr>
              <w:t>Week 6</w:t>
            </w:r>
          </w:p>
        </w:tc>
        <w:tc>
          <w:tcPr>
            <w:tcW w:w="2641" w:type="dxa"/>
          </w:tcPr>
          <w:p w14:paraId="042CE375" w14:textId="77777777" w:rsidR="00CD5EF4" w:rsidRPr="00AC460F" w:rsidRDefault="00CD5EF4" w:rsidP="00CD5EF4">
            <w:pPr>
              <w:outlineLvl w:val="0"/>
              <w:rPr>
                <w:rFonts w:asciiTheme="majorHAnsi" w:hAnsiTheme="majorHAnsi"/>
              </w:rPr>
            </w:pPr>
            <w:r w:rsidRPr="00AC460F">
              <w:rPr>
                <w:rFonts w:asciiTheme="majorHAnsi" w:hAnsiTheme="majorHAnsi"/>
              </w:rPr>
              <w:t xml:space="preserve">Extraterritoriality/Comity </w:t>
            </w:r>
          </w:p>
        </w:tc>
        <w:tc>
          <w:tcPr>
            <w:tcW w:w="2779" w:type="dxa"/>
          </w:tcPr>
          <w:p w14:paraId="491EA7E4" w14:textId="3EDA90CD" w:rsidR="00CD5EF4" w:rsidRDefault="00CD5EF4" w:rsidP="00CD5EF4">
            <w:pPr>
              <w:outlineLvl w:val="0"/>
              <w:rPr>
                <w:rFonts w:asciiTheme="majorHAnsi" w:hAnsiTheme="majorHAnsi"/>
                <w:i/>
                <w:iCs/>
              </w:rPr>
            </w:pPr>
            <w:r>
              <w:rPr>
                <w:rFonts w:asciiTheme="majorHAnsi" w:hAnsiTheme="majorHAnsi"/>
              </w:rPr>
              <w:t>Reading packet containing case materials, speeches, and academic articles regarding extraterritoriality and comity</w:t>
            </w:r>
            <w:r>
              <w:rPr>
                <w:rFonts w:asciiTheme="majorHAnsi" w:hAnsiTheme="majorHAnsi"/>
              </w:rPr>
              <w:br/>
            </w:r>
          </w:p>
          <w:p w14:paraId="381BABFF" w14:textId="77777777" w:rsidR="00CD5EF4" w:rsidRDefault="00CD5EF4" w:rsidP="00CD5EF4">
            <w:pPr>
              <w:outlineLvl w:val="0"/>
              <w:rPr>
                <w:rFonts w:asciiTheme="majorHAnsi" w:hAnsiTheme="majorHAnsi"/>
              </w:rPr>
            </w:pPr>
            <w:r>
              <w:rPr>
                <w:rFonts w:asciiTheme="majorHAnsi" w:hAnsiTheme="majorHAnsi"/>
                <w:i/>
                <w:iCs/>
              </w:rPr>
              <w:t xml:space="preserve">Note:  </w:t>
            </w:r>
            <w:r w:rsidRPr="006C7CC7">
              <w:rPr>
                <w:rFonts w:asciiTheme="majorHAnsi" w:hAnsiTheme="majorHAnsi"/>
                <w:i/>
                <w:iCs/>
                <w:highlight w:val="yellow"/>
              </w:rPr>
              <w:t xml:space="preserve">Mid-term paper will be assigned on </w:t>
            </w:r>
            <w:proofErr w:type="spellStart"/>
            <w:r w:rsidRPr="006C7CC7">
              <w:rPr>
                <w:rFonts w:asciiTheme="majorHAnsi" w:hAnsiTheme="majorHAnsi"/>
                <w:i/>
                <w:iCs/>
                <w:highlight w:val="yellow"/>
              </w:rPr>
              <w:t>Feburary</w:t>
            </w:r>
            <w:proofErr w:type="spellEnd"/>
            <w:r w:rsidRPr="006C7CC7">
              <w:rPr>
                <w:rFonts w:asciiTheme="majorHAnsi" w:hAnsiTheme="majorHAnsi"/>
                <w:i/>
                <w:iCs/>
                <w:highlight w:val="yellow"/>
              </w:rPr>
              <w:t xml:space="preserve"> </w:t>
            </w:r>
            <w:r>
              <w:rPr>
                <w:rFonts w:asciiTheme="majorHAnsi" w:hAnsiTheme="majorHAnsi"/>
                <w:i/>
                <w:iCs/>
                <w:highlight w:val="yellow"/>
              </w:rPr>
              <w:t>17</w:t>
            </w:r>
            <w:r w:rsidRPr="006C7CC7">
              <w:rPr>
                <w:rFonts w:asciiTheme="majorHAnsi" w:hAnsiTheme="majorHAnsi"/>
                <w:i/>
                <w:iCs/>
                <w:highlight w:val="yellow"/>
              </w:rPr>
              <w:t xml:space="preserve"> and will be due on March </w:t>
            </w:r>
            <w:r>
              <w:rPr>
                <w:rFonts w:asciiTheme="majorHAnsi" w:hAnsiTheme="majorHAnsi"/>
                <w:i/>
                <w:iCs/>
                <w:highlight w:val="yellow"/>
              </w:rPr>
              <w:t>3</w:t>
            </w:r>
            <w:r w:rsidRPr="006C7CC7">
              <w:rPr>
                <w:rFonts w:asciiTheme="majorHAnsi" w:hAnsiTheme="majorHAnsi"/>
                <w:i/>
                <w:iCs/>
                <w:highlight w:val="yellow"/>
              </w:rPr>
              <w:t>.</w:t>
            </w:r>
          </w:p>
          <w:p w14:paraId="18A22B22" w14:textId="77777777" w:rsidR="00CD5EF4" w:rsidRPr="008B0B45" w:rsidRDefault="00CD5EF4" w:rsidP="00CD5EF4">
            <w:pPr>
              <w:outlineLvl w:val="0"/>
              <w:rPr>
                <w:rFonts w:asciiTheme="majorHAnsi" w:hAnsiTheme="majorHAnsi"/>
              </w:rPr>
            </w:pPr>
          </w:p>
        </w:tc>
        <w:tc>
          <w:tcPr>
            <w:tcW w:w="2990" w:type="dxa"/>
          </w:tcPr>
          <w:p w14:paraId="205D747F" w14:textId="77777777" w:rsidR="00CD5EF4" w:rsidRDefault="00CD5EF4" w:rsidP="00CD5EF4">
            <w:pPr>
              <w:outlineLvl w:val="0"/>
              <w:rPr>
                <w:rFonts w:asciiTheme="majorHAnsi" w:hAnsiTheme="majorHAnsi"/>
              </w:rPr>
            </w:pPr>
            <w:r>
              <w:rPr>
                <w:rFonts w:asciiTheme="majorHAnsi" w:hAnsiTheme="majorHAnsi"/>
              </w:rPr>
              <w:t>Understand application of extraterritoriality and comity principles to international competition law matters.</w:t>
            </w:r>
          </w:p>
          <w:p w14:paraId="20B34D3A" w14:textId="7370863C" w:rsidR="00CD5EF4" w:rsidRDefault="00CD5EF4" w:rsidP="00CD5EF4">
            <w:pPr>
              <w:outlineLvl w:val="0"/>
              <w:rPr>
                <w:rFonts w:asciiTheme="majorHAnsi" w:hAnsiTheme="majorHAnsi"/>
              </w:rPr>
            </w:pPr>
            <w:r>
              <w:rPr>
                <w:rFonts w:asciiTheme="majorHAnsi" w:hAnsiTheme="majorHAnsi"/>
              </w:rPr>
              <w:br/>
              <w:t>Understand policy issues and problems created by expanded global enforcement of competition laws.</w:t>
            </w:r>
          </w:p>
          <w:p w14:paraId="19A65BE6" w14:textId="77777777" w:rsidR="00CD5EF4" w:rsidRDefault="00CD5EF4" w:rsidP="00CD5EF4">
            <w:pPr>
              <w:outlineLvl w:val="0"/>
              <w:rPr>
                <w:rFonts w:asciiTheme="majorHAnsi" w:hAnsiTheme="majorHAnsi"/>
              </w:rPr>
            </w:pPr>
          </w:p>
        </w:tc>
      </w:tr>
      <w:tr w:rsidR="00CD5EF4" w:rsidRPr="00AC460F" w14:paraId="0A1B3196" w14:textId="77777777" w:rsidTr="009B1802">
        <w:tc>
          <w:tcPr>
            <w:tcW w:w="1395" w:type="dxa"/>
          </w:tcPr>
          <w:p w14:paraId="59EB4233" w14:textId="77777777" w:rsidR="00CD5EF4" w:rsidRPr="00AC460F" w:rsidRDefault="00CD5EF4" w:rsidP="00CD5EF4">
            <w:pPr>
              <w:outlineLvl w:val="0"/>
              <w:rPr>
                <w:rFonts w:asciiTheme="majorHAnsi" w:hAnsiTheme="majorHAnsi"/>
              </w:rPr>
            </w:pPr>
            <w:r>
              <w:rPr>
                <w:rFonts w:asciiTheme="majorHAnsi" w:hAnsiTheme="majorHAnsi"/>
              </w:rPr>
              <w:t>2/24/23</w:t>
            </w:r>
            <w:r>
              <w:rPr>
                <w:rFonts w:asciiTheme="majorHAnsi" w:hAnsiTheme="majorHAnsi"/>
              </w:rPr>
              <w:br/>
              <w:t>Week 7</w:t>
            </w:r>
          </w:p>
        </w:tc>
        <w:tc>
          <w:tcPr>
            <w:tcW w:w="2641" w:type="dxa"/>
          </w:tcPr>
          <w:p w14:paraId="31578AE0" w14:textId="77777777" w:rsidR="00CD5EF4" w:rsidRPr="00AC460F" w:rsidRDefault="00CD5EF4" w:rsidP="00CD5EF4">
            <w:pPr>
              <w:outlineLvl w:val="0"/>
              <w:rPr>
                <w:rFonts w:asciiTheme="majorHAnsi" w:hAnsiTheme="majorHAnsi"/>
              </w:rPr>
            </w:pPr>
            <w:r>
              <w:rPr>
                <w:rFonts w:asciiTheme="majorHAnsi" w:hAnsiTheme="majorHAnsi"/>
              </w:rPr>
              <w:t>Vertical Restraints</w:t>
            </w:r>
            <w:r w:rsidRPr="00AC460F">
              <w:rPr>
                <w:rFonts w:asciiTheme="majorHAnsi" w:hAnsiTheme="majorHAnsi"/>
              </w:rPr>
              <w:t xml:space="preserve"> </w:t>
            </w:r>
          </w:p>
        </w:tc>
        <w:tc>
          <w:tcPr>
            <w:tcW w:w="2779" w:type="dxa"/>
          </w:tcPr>
          <w:p w14:paraId="06777FE1" w14:textId="77777777" w:rsidR="00CD5EF4" w:rsidRPr="00AC460F" w:rsidRDefault="00CD5EF4" w:rsidP="00CD5EF4">
            <w:pPr>
              <w:outlineLvl w:val="0"/>
              <w:rPr>
                <w:rFonts w:asciiTheme="majorHAnsi" w:hAnsiTheme="majorHAnsi"/>
              </w:rPr>
            </w:pPr>
            <w:r>
              <w:rPr>
                <w:rFonts w:asciiTheme="majorHAnsi" w:hAnsiTheme="majorHAnsi"/>
              </w:rPr>
              <w:t>Reading packet containing case law, article, and enforcer policy statements on resale price maintenance.</w:t>
            </w:r>
            <w:r>
              <w:rPr>
                <w:rFonts w:asciiTheme="majorHAnsi" w:hAnsiTheme="majorHAnsi"/>
              </w:rPr>
              <w:br/>
            </w:r>
          </w:p>
        </w:tc>
        <w:tc>
          <w:tcPr>
            <w:tcW w:w="2990" w:type="dxa"/>
          </w:tcPr>
          <w:p w14:paraId="31719FAC" w14:textId="77777777" w:rsidR="00CD5EF4" w:rsidRDefault="00CD5EF4" w:rsidP="00CD5EF4">
            <w:pPr>
              <w:outlineLvl w:val="0"/>
              <w:rPr>
                <w:rFonts w:asciiTheme="majorHAnsi" w:hAnsiTheme="majorHAnsi"/>
              </w:rPr>
            </w:pPr>
            <w:r>
              <w:rPr>
                <w:rFonts w:asciiTheme="majorHAnsi" w:hAnsiTheme="majorHAnsi"/>
              </w:rPr>
              <w:t>Understand different approaches to and rationales underlying prohibitions on vertical restraints.</w:t>
            </w:r>
          </w:p>
          <w:p w14:paraId="6F076784" w14:textId="77777777" w:rsidR="00CD5EF4" w:rsidRPr="00AC460F" w:rsidRDefault="00CD5EF4" w:rsidP="00CD5EF4">
            <w:pPr>
              <w:outlineLvl w:val="0"/>
              <w:rPr>
                <w:rFonts w:asciiTheme="majorHAnsi" w:hAnsiTheme="majorHAnsi"/>
              </w:rPr>
            </w:pPr>
            <w:r>
              <w:rPr>
                <w:rFonts w:asciiTheme="majorHAnsi" w:hAnsiTheme="majorHAnsi"/>
              </w:rPr>
              <w:t xml:space="preserve"> </w:t>
            </w:r>
          </w:p>
        </w:tc>
      </w:tr>
      <w:tr w:rsidR="00CD5EF4" w:rsidRPr="00AC460F" w14:paraId="5B9B8A23" w14:textId="77777777" w:rsidTr="009B1802">
        <w:tc>
          <w:tcPr>
            <w:tcW w:w="1395" w:type="dxa"/>
          </w:tcPr>
          <w:p w14:paraId="5049FA11" w14:textId="77777777" w:rsidR="00CD5EF4" w:rsidRPr="00AC460F" w:rsidRDefault="00CD5EF4" w:rsidP="00CD5EF4">
            <w:pPr>
              <w:outlineLvl w:val="0"/>
              <w:rPr>
                <w:rFonts w:asciiTheme="majorHAnsi" w:hAnsiTheme="majorHAnsi"/>
              </w:rPr>
            </w:pPr>
            <w:r>
              <w:rPr>
                <w:rFonts w:asciiTheme="majorHAnsi" w:hAnsiTheme="majorHAnsi"/>
              </w:rPr>
              <w:t>3/3/23</w:t>
            </w:r>
            <w:r>
              <w:rPr>
                <w:rFonts w:asciiTheme="majorHAnsi" w:hAnsiTheme="majorHAnsi"/>
              </w:rPr>
              <w:br/>
              <w:t>Week 8</w:t>
            </w:r>
          </w:p>
        </w:tc>
        <w:tc>
          <w:tcPr>
            <w:tcW w:w="2641" w:type="dxa"/>
          </w:tcPr>
          <w:p w14:paraId="410B4F51" w14:textId="77777777" w:rsidR="00CD5EF4" w:rsidRPr="00AC460F" w:rsidRDefault="00CD5EF4" w:rsidP="00CD5EF4">
            <w:pPr>
              <w:outlineLvl w:val="0"/>
              <w:rPr>
                <w:rFonts w:asciiTheme="majorHAnsi" w:hAnsiTheme="majorHAnsi"/>
              </w:rPr>
            </w:pPr>
            <w:r w:rsidRPr="00AC460F">
              <w:rPr>
                <w:rFonts w:asciiTheme="majorHAnsi" w:hAnsiTheme="majorHAnsi"/>
              </w:rPr>
              <w:t>Pharmaceuticals</w:t>
            </w:r>
            <w:r>
              <w:rPr>
                <w:rFonts w:asciiTheme="majorHAnsi" w:hAnsiTheme="majorHAnsi"/>
              </w:rPr>
              <w:t xml:space="preserve"> and regulated markets</w:t>
            </w:r>
            <w:r w:rsidRPr="00AC460F">
              <w:rPr>
                <w:rFonts w:asciiTheme="majorHAnsi" w:hAnsiTheme="majorHAnsi"/>
              </w:rPr>
              <w:t xml:space="preserve"> </w:t>
            </w:r>
          </w:p>
        </w:tc>
        <w:tc>
          <w:tcPr>
            <w:tcW w:w="2779" w:type="dxa"/>
          </w:tcPr>
          <w:p w14:paraId="69EEBAE7" w14:textId="77777777" w:rsidR="00CD5EF4" w:rsidRDefault="00CD5EF4" w:rsidP="00CD5EF4">
            <w:pPr>
              <w:outlineLvl w:val="0"/>
              <w:rPr>
                <w:rFonts w:asciiTheme="majorHAnsi" w:hAnsiTheme="majorHAnsi"/>
              </w:rPr>
            </w:pPr>
            <w:r>
              <w:rPr>
                <w:rFonts w:asciiTheme="majorHAnsi" w:hAnsiTheme="majorHAnsi"/>
              </w:rPr>
              <w:t>Reading packet containing materials on issues unique to pharmaceutical industry and regulated markets.</w:t>
            </w:r>
          </w:p>
          <w:p w14:paraId="3C29E2BD" w14:textId="77777777" w:rsidR="00CD5EF4" w:rsidRPr="00AC460F" w:rsidRDefault="00CD5EF4" w:rsidP="00CD5EF4">
            <w:pPr>
              <w:outlineLvl w:val="0"/>
              <w:rPr>
                <w:rFonts w:asciiTheme="majorHAnsi" w:hAnsiTheme="majorHAnsi"/>
              </w:rPr>
            </w:pPr>
          </w:p>
          <w:p w14:paraId="2DEC49B9" w14:textId="77777777" w:rsidR="00CD5EF4" w:rsidRPr="00BA6E35" w:rsidRDefault="00CD5EF4" w:rsidP="00CD5EF4">
            <w:pPr>
              <w:outlineLvl w:val="0"/>
              <w:rPr>
                <w:rFonts w:asciiTheme="majorHAnsi" w:hAnsiTheme="majorHAnsi"/>
              </w:rPr>
            </w:pPr>
            <w:r>
              <w:rPr>
                <w:rFonts w:asciiTheme="majorHAnsi" w:hAnsiTheme="majorHAnsi"/>
                <w:i/>
              </w:rPr>
              <w:t>An attorney who specializes in pharmaceutical matters will be</w:t>
            </w:r>
            <w:r w:rsidRPr="00AC460F">
              <w:rPr>
                <w:rFonts w:asciiTheme="majorHAnsi" w:hAnsiTheme="majorHAnsi"/>
                <w:i/>
              </w:rPr>
              <w:t xml:space="preserve"> a guest speaker fo</w:t>
            </w:r>
            <w:r>
              <w:rPr>
                <w:rFonts w:asciiTheme="majorHAnsi" w:hAnsiTheme="majorHAnsi"/>
                <w:i/>
              </w:rPr>
              <w:t>r this class.</w:t>
            </w:r>
          </w:p>
          <w:p w14:paraId="5CD5089C" w14:textId="77777777" w:rsidR="00CD5EF4" w:rsidRPr="00AC460F" w:rsidRDefault="00CD5EF4" w:rsidP="00CD5EF4">
            <w:pPr>
              <w:outlineLvl w:val="0"/>
              <w:rPr>
                <w:rFonts w:asciiTheme="majorHAnsi" w:hAnsiTheme="majorHAnsi"/>
              </w:rPr>
            </w:pPr>
          </w:p>
        </w:tc>
        <w:tc>
          <w:tcPr>
            <w:tcW w:w="2990" w:type="dxa"/>
          </w:tcPr>
          <w:p w14:paraId="73B830AB" w14:textId="77777777" w:rsidR="00CD5EF4" w:rsidRDefault="00CD5EF4" w:rsidP="00CD5EF4">
            <w:pPr>
              <w:outlineLvl w:val="0"/>
              <w:rPr>
                <w:rFonts w:asciiTheme="majorHAnsi" w:hAnsiTheme="majorHAnsi"/>
              </w:rPr>
            </w:pPr>
            <w:r>
              <w:rPr>
                <w:rFonts w:asciiTheme="majorHAnsi" w:hAnsiTheme="majorHAnsi"/>
              </w:rPr>
              <w:t>Understand different approaches of various jurisdictions to unique problems posed by pharmaceutical and other regulated industries.</w:t>
            </w:r>
            <w:r>
              <w:rPr>
                <w:rFonts w:asciiTheme="majorHAnsi" w:hAnsiTheme="majorHAnsi"/>
              </w:rPr>
              <w:br/>
            </w:r>
          </w:p>
          <w:p w14:paraId="7C3014D1" w14:textId="77777777" w:rsidR="00CD5EF4" w:rsidRPr="00AC460F" w:rsidRDefault="00CD5EF4" w:rsidP="00CD5EF4">
            <w:pPr>
              <w:outlineLvl w:val="0"/>
              <w:rPr>
                <w:rFonts w:asciiTheme="majorHAnsi" w:hAnsiTheme="majorHAnsi"/>
              </w:rPr>
            </w:pPr>
          </w:p>
        </w:tc>
      </w:tr>
      <w:tr w:rsidR="00CD5EF4" w:rsidRPr="00AC460F" w14:paraId="5912084F" w14:textId="77777777" w:rsidTr="009B1802">
        <w:tc>
          <w:tcPr>
            <w:tcW w:w="1395" w:type="dxa"/>
          </w:tcPr>
          <w:p w14:paraId="790F566D" w14:textId="77777777" w:rsidR="00CD5EF4" w:rsidRDefault="00CD5EF4" w:rsidP="00CD5EF4">
            <w:pPr>
              <w:outlineLvl w:val="0"/>
              <w:rPr>
                <w:rFonts w:asciiTheme="majorHAnsi" w:hAnsiTheme="majorHAnsi"/>
              </w:rPr>
            </w:pPr>
            <w:r>
              <w:rPr>
                <w:rFonts w:asciiTheme="majorHAnsi" w:hAnsiTheme="majorHAnsi"/>
              </w:rPr>
              <w:t>3/10/23</w:t>
            </w:r>
            <w:r>
              <w:rPr>
                <w:rFonts w:asciiTheme="majorHAnsi" w:hAnsiTheme="majorHAnsi"/>
              </w:rPr>
              <w:br/>
              <w:t>Week 9</w:t>
            </w:r>
          </w:p>
        </w:tc>
        <w:tc>
          <w:tcPr>
            <w:tcW w:w="2641" w:type="dxa"/>
          </w:tcPr>
          <w:p w14:paraId="5C737B26" w14:textId="77777777" w:rsidR="00CD5EF4" w:rsidRPr="00AC460F" w:rsidRDefault="00CD5EF4" w:rsidP="00CD5EF4">
            <w:pPr>
              <w:outlineLvl w:val="0"/>
              <w:rPr>
                <w:rFonts w:asciiTheme="majorHAnsi" w:hAnsiTheme="majorHAnsi"/>
              </w:rPr>
            </w:pPr>
            <w:r w:rsidRPr="00AC460F">
              <w:rPr>
                <w:rFonts w:asciiTheme="majorHAnsi" w:hAnsiTheme="majorHAnsi"/>
              </w:rPr>
              <w:t>Dominance/Monopoly</w:t>
            </w:r>
          </w:p>
        </w:tc>
        <w:tc>
          <w:tcPr>
            <w:tcW w:w="2779" w:type="dxa"/>
          </w:tcPr>
          <w:p w14:paraId="55483BD7" w14:textId="77777777" w:rsidR="00CD5EF4" w:rsidRDefault="00CD5EF4" w:rsidP="00CD5EF4">
            <w:pPr>
              <w:outlineLvl w:val="0"/>
              <w:rPr>
                <w:rFonts w:asciiTheme="majorHAnsi" w:hAnsiTheme="majorHAnsi"/>
              </w:rPr>
            </w:pPr>
            <w:r>
              <w:rPr>
                <w:rFonts w:asciiTheme="majorHAnsi" w:hAnsiTheme="majorHAnsi"/>
              </w:rPr>
              <w:t>Reading packet containing materials that provide an overview of different approaches to regulation of dominant firms and monopolies.</w:t>
            </w:r>
          </w:p>
        </w:tc>
        <w:tc>
          <w:tcPr>
            <w:tcW w:w="2990" w:type="dxa"/>
          </w:tcPr>
          <w:p w14:paraId="4F2C9B8B" w14:textId="77777777" w:rsidR="00CD5EF4" w:rsidRDefault="00CD5EF4" w:rsidP="00CD5EF4">
            <w:pPr>
              <w:outlineLvl w:val="0"/>
              <w:rPr>
                <w:rFonts w:asciiTheme="majorHAnsi" w:hAnsiTheme="majorHAnsi"/>
              </w:rPr>
            </w:pPr>
            <w:r>
              <w:rPr>
                <w:rFonts w:asciiTheme="majorHAnsi" w:hAnsiTheme="majorHAnsi"/>
              </w:rPr>
              <w:t>Recognize the types of conduct that may be prohibited for dominant firms.</w:t>
            </w:r>
          </w:p>
          <w:p w14:paraId="7D5807AC" w14:textId="77777777" w:rsidR="00CD5EF4" w:rsidRDefault="00CD5EF4" w:rsidP="00CD5EF4">
            <w:pPr>
              <w:outlineLvl w:val="0"/>
              <w:rPr>
                <w:rFonts w:asciiTheme="majorHAnsi" w:hAnsiTheme="majorHAnsi"/>
              </w:rPr>
            </w:pPr>
          </w:p>
          <w:p w14:paraId="352B4C11" w14:textId="61F1DC9E" w:rsidR="00CD5EF4" w:rsidRDefault="00CD5EF4" w:rsidP="00CD5EF4">
            <w:pPr>
              <w:outlineLvl w:val="0"/>
              <w:rPr>
                <w:rFonts w:asciiTheme="majorHAnsi" w:hAnsiTheme="majorHAnsi"/>
              </w:rPr>
            </w:pPr>
            <w:r>
              <w:rPr>
                <w:rFonts w:asciiTheme="majorHAnsi" w:hAnsiTheme="majorHAnsi"/>
              </w:rPr>
              <w:t xml:space="preserve">Understand different approaches to single-firm conduct by various competition law regimes. </w:t>
            </w:r>
            <w:r>
              <w:rPr>
                <w:rFonts w:asciiTheme="majorHAnsi" w:hAnsiTheme="majorHAnsi"/>
              </w:rPr>
              <w:br/>
            </w:r>
          </w:p>
        </w:tc>
      </w:tr>
      <w:tr w:rsidR="00CD5EF4" w:rsidRPr="00AC460F" w14:paraId="682BFEDD" w14:textId="77777777" w:rsidTr="009B1802">
        <w:tc>
          <w:tcPr>
            <w:tcW w:w="1395" w:type="dxa"/>
          </w:tcPr>
          <w:p w14:paraId="23D59A43" w14:textId="77777777" w:rsidR="00CD5EF4" w:rsidRPr="00AC460F" w:rsidRDefault="00CD5EF4" w:rsidP="00CD5EF4">
            <w:pPr>
              <w:outlineLvl w:val="0"/>
              <w:rPr>
                <w:rFonts w:asciiTheme="majorHAnsi" w:hAnsiTheme="majorHAnsi"/>
              </w:rPr>
            </w:pPr>
            <w:r>
              <w:rPr>
                <w:rFonts w:asciiTheme="majorHAnsi" w:hAnsiTheme="majorHAnsi"/>
              </w:rPr>
              <w:t>3/17/23</w:t>
            </w:r>
            <w:r>
              <w:rPr>
                <w:rFonts w:asciiTheme="majorHAnsi" w:hAnsiTheme="majorHAnsi"/>
              </w:rPr>
              <w:br/>
              <w:t>Week 10</w:t>
            </w:r>
          </w:p>
        </w:tc>
        <w:tc>
          <w:tcPr>
            <w:tcW w:w="2641" w:type="dxa"/>
          </w:tcPr>
          <w:p w14:paraId="548BD4D4" w14:textId="77777777" w:rsidR="00CD5EF4" w:rsidRPr="00AC460F" w:rsidRDefault="00CD5EF4" w:rsidP="00CD5EF4">
            <w:pPr>
              <w:outlineLvl w:val="0"/>
              <w:rPr>
                <w:rFonts w:asciiTheme="majorHAnsi" w:hAnsiTheme="majorHAnsi"/>
              </w:rPr>
            </w:pPr>
            <w:r w:rsidRPr="00AC460F">
              <w:rPr>
                <w:rFonts w:asciiTheme="majorHAnsi" w:hAnsiTheme="majorHAnsi"/>
              </w:rPr>
              <w:t>Dominance/Monopoly</w:t>
            </w:r>
          </w:p>
        </w:tc>
        <w:tc>
          <w:tcPr>
            <w:tcW w:w="2779" w:type="dxa"/>
          </w:tcPr>
          <w:p w14:paraId="1370B6B7" w14:textId="77777777" w:rsidR="00CD5EF4" w:rsidRDefault="00CD5EF4" w:rsidP="00CD5EF4">
            <w:pPr>
              <w:outlineLvl w:val="0"/>
              <w:rPr>
                <w:rFonts w:asciiTheme="majorHAnsi" w:hAnsiTheme="majorHAnsi"/>
              </w:rPr>
            </w:pPr>
            <w:r>
              <w:rPr>
                <w:rFonts w:asciiTheme="majorHAnsi" w:hAnsiTheme="majorHAnsi"/>
              </w:rPr>
              <w:t>Reading packet containing Google case study and other materials.</w:t>
            </w:r>
          </w:p>
        </w:tc>
        <w:tc>
          <w:tcPr>
            <w:tcW w:w="2990" w:type="dxa"/>
          </w:tcPr>
          <w:p w14:paraId="661E3AF5" w14:textId="77777777" w:rsidR="00CD5EF4" w:rsidRDefault="00CD5EF4" w:rsidP="00CD5EF4">
            <w:pPr>
              <w:outlineLvl w:val="0"/>
              <w:rPr>
                <w:rFonts w:asciiTheme="majorHAnsi" w:hAnsiTheme="majorHAnsi"/>
              </w:rPr>
            </w:pPr>
            <w:r>
              <w:rPr>
                <w:rFonts w:asciiTheme="majorHAnsi" w:hAnsiTheme="majorHAnsi"/>
              </w:rPr>
              <w:t xml:space="preserve"> Understand different approaches to dominance and monopoly power.</w:t>
            </w:r>
          </w:p>
          <w:p w14:paraId="30C8B6DA" w14:textId="77777777" w:rsidR="00CD5EF4" w:rsidRDefault="00CD5EF4" w:rsidP="00CD5EF4">
            <w:pPr>
              <w:outlineLvl w:val="0"/>
              <w:rPr>
                <w:rFonts w:asciiTheme="majorHAnsi" w:hAnsiTheme="majorHAnsi"/>
              </w:rPr>
            </w:pPr>
          </w:p>
          <w:p w14:paraId="1F1B879D" w14:textId="77777777" w:rsidR="00CD5EF4" w:rsidRDefault="00CD5EF4" w:rsidP="00CD5EF4">
            <w:pPr>
              <w:outlineLvl w:val="0"/>
              <w:rPr>
                <w:rFonts w:asciiTheme="majorHAnsi" w:hAnsiTheme="majorHAnsi"/>
              </w:rPr>
            </w:pPr>
            <w:r>
              <w:rPr>
                <w:rFonts w:asciiTheme="majorHAnsi" w:hAnsiTheme="majorHAnsi"/>
              </w:rPr>
              <w:t>Present information about specific jurisdiction’s approach to dominance.</w:t>
            </w:r>
          </w:p>
          <w:p w14:paraId="7E2E5145" w14:textId="77777777" w:rsidR="00CD5EF4" w:rsidRDefault="00CD5EF4" w:rsidP="00CD5EF4">
            <w:pPr>
              <w:outlineLvl w:val="0"/>
              <w:rPr>
                <w:rFonts w:asciiTheme="majorHAnsi" w:hAnsiTheme="majorHAnsi"/>
              </w:rPr>
            </w:pPr>
          </w:p>
          <w:p w14:paraId="51F0CFF5" w14:textId="77777777" w:rsidR="00CD5EF4" w:rsidRDefault="00CD5EF4" w:rsidP="00CD5EF4">
            <w:pPr>
              <w:outlineLvl w:val="0"/>
              <w:rPr>
                <w:rFonts w:asciiTheme="majorHAnsi" w:hAnsiTheme="majorHAnsi"/>
              </w:rPr>
            </w:pPr>
            <w:r>
              <w:rPr>
                <w:rFonts w:asciiTheme="majorHAnsi" w:hAnsiTheme="majorHAnsi"/>
              </w:rPr>
              <w:t xml:space="preserve">Understand policy considerations underlying </w:t>
            </w:r>
            <w:r>
              <w:rPr>
                <w:rFonts w:asciiTheme="majorHAnsi" w:hAnsiTheme="majorHAnsi"/>
              </w:rPr>
              <w:lastRenderedPageBreak/>
              <w:t>various approaches to dominance and monopoly.</w:t>
            </w:r>
          </w:p>
          <w:p w14:paraId="1E66C8A4" w14:textId="77777777" w:rsidR="00CD5EF4" w:rsidRDefault="00CD5EF4" w:rsidP="00CD5EF4">
            <w:pPr>
              <w:outlineLvl w:val="0"/>
              <w:rPr>
                <w:rFonts w:asciiTheme="majorHAnsi" w:hAnsiTheme="majorHAnsi"/>
              </w:rPr>
            </w:pPr>
          </w:p>
        </w:tc>
      </w:tr>
      <w:tr w:rsidR="00CD5EF4" w:rsidRPr="00AC460F" w14:paraId="56B92134" w14:textId="77777777" w:rsidTr="009B1802">
        <w:tc>
          <w:tcPr>
            <w:tcW w:w="1395" w:type="dxa"/>
          </w:tcPr>
          <w:p w14:paraId="7ADD4277" w14:textId="77777777" w:rsidR="00CD5EF4" w:rsidRPr="00AC460F" w:rsidRDefault="00CD5EF4" w:rsidP="00CD5EF4">
            <w:pPr>
              <w:outlineLvl w:val="0"/>
              <w:rPr>
                <w:rFonts w:asciiTheme="majorHAnsi" w:hAnsiTheme="majorHAnsi"/>
              </w:rPr>
            </w:pPr>
            <w:r>
              <w:rPr>
                <w:rFonts w:asciiTheme="majorHAnsi" w:hAnsiTheme="majorHAnsi"/>
              </w:rPr>
              <w:lastRenderedPageBreak/>
              <w:t>3/24/23</w:t>
            </w:r>
            <w:r>
              <w:rPr>
                <w:rFonts w:asciiTheme="majorHAnsi" w:hAnsiTheme="majorHAnsi"/>
              </w:rPr>
              <w:br/>
              <w:t>Week 11</w:t>
            </w:r>
          </w:p>
        </w:tc>
        <w:tc>
          <w:tcPr>
            <w:tcW w:w="2641" w:type="dxa"/>
          </w:tcPr>
          <w:p w14:paraId="154BDBCD" w14:textId="4D3E884C" w:rsidR="00CD5EF4" w:rsidRPr="00AC460F" w:rsidRDefault="00CD5EF4" w:rsidP="00CD5EF4">
            <w:pPr>
              <w:outlineLvl w:val="0"/>
              <w:rPr>
                <w:rFonts w:asciiTheme="majorHAnsi" w:hAnsiTheme="majorHAnsi"/>
              </w:rPr>
            </w:pPr>
            <w:r>
              <w:rPr>
                <w:rFonts w:asciiTheme="majorHAnsi" w:hAnsiTheme="majorHAnsi"/>
              </w:rPr>
              <w:t>Digital markets</w:t>
            </w:r>
          </w:p>
        </w:tc>
        <w:tc>
          <w:tcPr>
            <w:tcW w:w="2779" w:type="dxa"/>
          </w:tcPr>
          <w:p w14:paraId="1A3BF1A9" w14:textId="228357C7" w:rsidR="00CD5EF4" w:rsidRPr="00A743F6" w:rsidRDefault="00CD5EF4" w:rsidP="00CD5EF4">
            <w:pPr>
              <w:outlineLvl w:val="0"/>
              <w:rPr>
                <w:rFonts w:asciiTheme="majorHAnsi" w:hAnsiTheme="majorHAnsi"/>
                <w:iCs/>
              </w:rPr>
            </w:pPr>
            <w:r>
              <w:rPr>
                <w:rFonts w:asciiTheme="majorHAnsi" w:hAnsiTheme="majorHAnsi"/>
              </w:rPr>
              <w:t xml:space="preserve">Reading packet containing Facebook case study and other materials relating to competition and privacy issues in digital markets. </w:t>
            </w:r>
            <w:r>
              <w:rPr>
                <w:rFonts w:asciiTheme="majorHAnsi" w:hAnsiTheme="majorHAnsi"/>
              </w:rPr>
              <w:br/>
            </w:r>
          </w:p>
        </w:tc>
        <w:tc>
          <w:tcPr>
            <w:tcW w:w="2990" w:type="dxa"/>
          </w:tcPr>
          <w:p w14:paraId="08B29DFD" w14:textId="77777777" w:rsidR="00CD5EF4" w:rsidRDefault="00CD5EF4" w:rsidP="00CD5EF4">
            <w:pPr>
              <w:outlineLvl w:val="0"/>
              <w:rPr>
                <w:rFonts w:asciiTheme="majorHAnsi" w:hAnsiTheme="majorHAnsi"/>
              </w:rPr>
            </w:pPr>
            <w:r>
              <w:rPr>
                <w:rFonts w:asciiTheme="majorHAnsi" w:hAnsiTheme="majorHAnsi"/>
              </w:rPr>
              <w:t xml:space="preserve">Understand policy issues and problems arising from the collection of large </w:t>
            </w:r>
            <w:proofErr w:type="spellStart"/>
            <w:r>
              <w:rPr>
                <w:rFonts w:asciiTheme="majorHAnsi" w:hAnsiTheme="majorHAnsi"/>
              </w:rPr>
              <w:t>quantiies</w:t>
            </w:r>
            <w:proofErr w:type="spellEnd"/>
            <w:r>
              <w:rPr>
                <w:rFonts w:asciiTheme="majorHAnsi" w:hAnsiTheme="majorHAnsi"/>
              </w:rPr>
              <w:t xml:space="preserve"> of data about consumers.</w:t>
            </w:r>
          </w:p>
          <w:p w14:paraId="4763B239" w14:textId="77777777" w:rsidR="00CD5EF4" w:rsidRPr="00AC460F" w:rsidRDefault="00CD5EF4" w:rsidP="00CD5EF4">
            <w:pPr>
              <w:outlineLvl w:val="0"/>
              <w:rPr>
                <w:rFonts w:asciiTheme="majorHAnsi" w:hAnsiTheme="majorHAnsi"/>
              </w:rPr>
            </w:pPr>
          </w:p>
        </w:tc>
      </w:tr>
      <w:tr w:rsidR="00CD5EF4" w:rsidRPr="00AC460F" w14:paraId="67FC5051" w14:textId="77777777" w:rsidTr="009B1802">
        <w:tc>
          <w:tcPr>
            <w:tcW w:w="1395" w:type="dxa"/>
          </w:tcPr>
          <w:p w14:paraId="173BA255" w14:textId="77777777" w:rsidR="00CD5EF4" w:rsidRDefault="00CD5EF4" w:rsidP="00CD5EF4">
            <w:pPr>
              <w:outlineLvl w:val="0"/>
              <w:rPr>
                <w:rFonts w:asciiTheme="majorHAnsi" w:hAnsiTheme="majorHAnsi"/>
              </w:rPr>
            </w:pPr>
            <w:r>
              <w:rPr>
                <w:rFonts w:asciiTheme="majorHAnsi" w:hAnsiTheme="majorHAnsi"/>
              </w:rPr>
              <w:t>4/7/23</w:t>
            </w:r>
            <w:r>
              <w:rPr>
                <w:rFonts w:asciiTheme="majorHAnsi" w:hAnsiTheme="majorHAnsi"/>
              </w:rPr>
              <w:br/>
              <w:t>Week 12</w:t>
            </w:r>
          </w:p>
        </w:tc>
        <w:tc>
          <w:tcPr>
            <w:tcW w:w="2641" w:type="dxa"/>
          </w:tcPr>
          <w:p w14:paraId="65CF5392" w14:textId="77777777" w:rsidR="00CD5EF4" w:rsidRPr="00AC460F" w:rsidRDefault="00CD5EF4" w:rsidP="00CD5EF4">
            <w:pPr>
              <w:outlineLvl w:val="0"/>
              <w:rPr>
                <w:rFonts w:asciiTheme="majorHAnsi" w:hAnsiTheme="majorHAnsi"/>
              </w:rPr>
            </w:pPr>
            <w:r w:rsidRPr="00AC460F">
              <w:rPr>
                <w:rFonts w:asciiTheme="majorHAnsi" w:hAnsiTheme="majorHAnsi"/>
              </w:rPr>
              <w:t>Intellectual Property and Competition</w:t>
            </w:r>
          </w:p>
        </w:tc>
        <w:tc>
          <w:tcPr>
            <w:tcW w:w="2779" w:type="dxa"/>
          </w:tcPr>
          <w:p w14:paraId="5DC5E6D2" w14:textId="77777777" w:rsidR="00CD5EF4" w:rsidRDefault="00CD5EF4" w:rsidP="00CD5EF4">
            <w:pPr>
              <w:outlineLvl w:val="0"/>
              <w:rPr>
                <w:rFonts w:asciiTheme="majorHAnsi" w:hAnsiTheme="majorHAnsi"/>
              </w:rPr>
            </w:pPr>
            <w:r>
              <w:rPr>
                <w:rFonts w:asciiTheme="majorHAnsi" w:hAnsiTheme="majorHAnsi"/>
              </w:rPr>
              <w:t>Reading packet containing materials on the intersection of intellectual property and competition law.</w:t>
            </w:r>
          </w:p>
        </w:tc>
        <w:tc>
          <w:tcPr>
            <w:tcW w:w="2990" w:type="dxa"/>
          </w:tcPr>
          <w:p w14:paraId="0C34FDE1" w14:textId="23CB31DB" w:rsidR="00CD5EF4" w:rsidRDefault="00CD5EF4" w:rsidP="00CD5EF4">
            <w:pPr>
              <w:outlineLvl w:val="0"/>
              <w:rPr>
                <w:rFonts w:asciiTheme="majorHAnsi" w:hAnsiTheme="majorHAnsi"/>
              </w:rPr>
            </w:pPr>
            <w:r>
              <w:rPr>
                <w:rFonts w:asciiTheme="majorHAnsi" w:hAnsiTheme="majorHAnsi"/>
              </w:rPr>
              <w:t>Identify policy issues related to intellectual property and competition.</w:t>
            </w:r>
            <w:r>
              <w:rPr>
                <w:rFonts w:asciiTheme="majorHAnsi" w:hAnsiTheme="majorHAnsi"/>
              </w:rPr>
              <w:br/>
            </w:r>
            <w:r>
              <w:rPr>
                <w:rFonts w:asciiTheme="majorHAnsi" w:hAnsiTheme="majorHAnsi"/>
              </w:rPr>
              <w:br/>
              <w:t>Analyze fact patterns related to intellectual property and competition, including standard essential patents, licensing, and exclusionary conduct, under different competition law regimes.</w:t>
            </w:r>
            <w:r>
              <w:rPr>
                <w:rFonts w:asciiTheme="majorHAnsi" w:hAnsiTheme="majorHAnsi"/>
              </w:rPr>
              <w:br/>
            </w:r>
          </w:p>
        </w:tc>
      </w:tr>
      <w:tr w:rsidR="00CD5EF4" w:rsidRPr="00AC460F" w14:paraId="792D7D0C" w14:textId="77777777" w:rsidTr="009B1802">
        <w:tc>
          <w:tcPr>
            <w:tcW w:w="1395" w:type="dxa"/>
          </w:tcPr>
          <w:p w14:paraId="55A21A60" w14:textId="77777777" w:rsidR="00CD5EF4" w:rsidRPr="00AC460F" w:rsidRDefault="00CD5EF4" w:rsidP="00CD5EF4">
            <w:pPr>
              <w:outlineLvl w:val="0"/>
              <w:rPr>
                <w:rFonts w:asciiTheme="majorHAnsi" w:hAnsiTheme="majorHAnsi"/>
              </w:rPr>
            </w:pPr>
            <w:r>
              <w:rPr>
                <w:rFonts w:asciiTheme="majorHAnsi" w:hAnsiTheme="majorHAnsi"/>
              </w:rPr>
              <w:t>4/14/23</w:t>
            </w:r>
            <w:r>
              <w:rPr>
                <w:rFonts w:asciiTheme="majorHAnsi" w:hAnsiTheme="majorHAnsi"/>
              </w:rPr>
              <w:br/>
              <w:t>Week 13</w:t>
            </w:r>
          </w:p>
        </w:tc>
        <w:tc>
          <w:tcPr>
            <w:tcW w:w="2641" w:type="dxa"/>
          </w:tcPr>
          <w:p w14:paraId="46DAC4BE" w14:textId="77777777" w:rsidR="00CD5EF4" w:rsidRPr="00AC460F" w:rsidRDefault="00CD5EF4" w:rsidP="00CD5EF4">
            <w:pPr>
              <w:outlineLvl w:val="0"/>
              <w:rPr>
                <w:rFonts w:asciiTheme="majorHAnsi" w:hAnsiTheme="majorHAnsi"/>
              </w:rPr>
            </w:pPr>
            <w:r>
              <w:rPr>
                <w:rFonts w:asciiTheme="majorHAnsi" w:hAnsiTheme="majorHAnsi"/>
              </w:rPr>
              <w:t>Mergers</w:t>
            </w:r>
          </w:p>
        </w:tc>
        <w:tc>
          <w:tcPr>
            <w:tcW w:w="2779" w:type="dxa"/>
          </w:tcPr>
          <w:p w14:paraId="51BA8E21" w14:textId="77777777" w:rsidR="00CD5EF4" w:rsidRDefault="00CD5EF4" w:rsidP="00CD5EF4">
            <w:pPr>
              <w:outlineLvl w:val="0"/>
              <w:rPr>
                <w:rFonts w:asciiTheme="majorHAnsi" w:hAnsiTheme="majorHAnsi"/>
              </w:rPr>
            </w:pPr>
            <w:r>
              <w:rPr>
                <w:rFonts w:asciiTheme="majorHAnsi" w:hAnsiTheme="majorHAnsi"/>
              </w:rPr>
              <w:t>Reading packet containing materials on certain international mergers reviewed in multiple jurisdictions.</w:t>
            </w:r>
          </w:p>
          <w:p w14:paraId="7CEB7169" w14:textId="77777777" w:rsidR="00CD5EF4" w:rsidRPr="00AC460F" w:rsidRDefault="00CD5EF4" w:rsidP="00CD5EF4">
            <w:pPr>
              <w:outlineLvl w:val="0"/>
              <w:rPr>
                <w:rFonts w:asciiTheme="majorHAnsi" w:hAnsiTheme="majorHAnsi"/>
              </w:rPr>
            </w:pPr>
          </w:p>
        </w:tc>
        <w:tc>
          <w:tcPr>
            <w:tcW w:w="2990" w:type="dxa"/>
          </w:tcPr>
          <w:p w14:paraId="6F6AB8C9" w14:textId="77777777" w:rsidR="00CD5EF4" w:rsidRDefault="00CD5EF4" w:rsidP="00CD5EF4">
            <w:pPr>
              <w:outlineLvl w:val="0"/>
              <w:rPr>
                <w:rFonts w:asciiTheme="majorHAnsi" w:hAnsiTheme="majorHAnsi"/>
              </w:rPr>
            </w:pPr>
            <w:r>
              <w:rPr>
                <w:rFonts w:asciiTheme="majorHAnsi" w:hAnsiTheme="majorHAnsi"/>
              </w:rPr>
              <w:t>Understand factors considered by various competition enforcers when evaluating mergers or acquisitions.</w:t>
            </w:r>
          </w:p>
          <w:p w14:paraId="6C3FE9BB" w14:textId="77777777" w:rsidR="00CD5EF4" w:rsidRDefault="00CD5EF4" w:rsidP="00CD5EF4">
            <w:pPr>
              <w:outlineLvl w:val="0"/>
              <w:rPr>
                <w:rFonts w:asciiTheme="majorHAnsi" w:hAnsiTheme="majorHAnsi"/>
              </w:rPr>
            </w:pPr>
          </w:p>
          <w:p w14:paraId="6AF6AEBB" w14:textId="77777777" w:rsidR="00CD5EF4" w:rsidRDefault="00CD5EF4" w:rsidP="00CD5EF4">
            <w:pPr>
              <w:outlineLvl w:val="0"/>
              <w:rPr>
                <w:rFonts w:asciiTheme="majorHAnsi" w:hAnsiTheme="majorHAnsi"/>
              </w:rPr>
            </w:pPr>
            <w:r>
              <w:rPr>
                <w:rFonts w:asciiTheme="majorHAnsi" w:hAnsiTheme="majorHAnsi"/>
              </w:rPr>
              <w:t>Understand different approaches to pre-merger notification requirements and second-stage investigations.</w:t>
            </w:r>
          </w:p>
          <w:p w14:paraId="149A2942" w14:textId="77777777" w:rsidR="00CD5EF4" w:rsidRPr="00AC460F" w:rsidRDefault="00CD5EF4" w:rsidP="00CD5EF4">
            <w:pPr>
              <w:outlineLvl w:val="0"/>
              <w:rPr>
                <w:rFonts w:asciiTheme="majorHAnsi" w:hAnsiTheme="majorHAnsi"/>
              </w:rPr>
            </w:pPr>
          </w:p>
        </w:tc>
      </w:tr>
      <w:tr w:rsidR="00CD5EF4" w:rsidRPr="00AC460F" w14:paraId="0B5D1C1F" w14:textId="77777777" w:rsidTr="009B1802">
        <w:tc>
          <w:tcPr>
            <w:tcW w:w="1395" w:type="dxa"/>
          </w:tcPr>
          <w:p w14:paraId="61233EC7" w14:textId="77777777" w:rsidR="00CD5EF4" w:rsidRPr="00AC460F" w:rsidRDefault="00CD5EF4" w:rsidP="00CD5EF4">
            <w:pPr>
              <w:outlineLvl w:val="0"/>
              <w:rPr>
                <w:rFonts w:asciiTheme="majorHAnsi" w:hAnsiTheme="majorHAnsi"/>
              </w:rPr>
            </w:pPr>
            <w:r>
              <w:rPr>
                <w:rFonts w:asciiTheme="majorHAnsi" w:hAnsiTheme="majorHAnsi"/>
              </w:rPr>
              <w:t>4/21/23</w:t>
            </w:r>
            <w:r>
              <w:rPr>
                <w:rFonts w:asciiTheme="majorHAnsi" w:hAnsiTheme="majorHAnsi"/>
              </w:rPr>
              <w:br/>
              <w:t>Week 14</w:t>
            </w:r>
          </w:p>
        </w:tc>
        <w:tc>
          <w:tcPr>
            <w:tcW w:w="2641" w:type="dxa"/>
          </w:tcPr>
          <w:p w14:paraId="202C373B" w14:textId="77777777" w:rsidR="00CD5EF4" w:rsidRPr="00AC460F" w:rsidDel="00303CC4" w:rsidRDefault="00CD5EF4" w:rsidP="00CD5EF4">
            <w:pPr>
              <w:outlineLvl w:val="0"/>
              <w:rPr>
                <w:rFonts w:asciiTheme="majorHAnsi" w:hAnsiTheme="majorHAnsi"/>
              </w:rPr>
            </w:pPr>
            <w:r w:rsidRPr="00AC460F">
              <w:rPr>
                <w:rFonts w:asciiTheme="majorHAnsi" w:hAnsiTheme="majorHAnsi"/>
              </w:rPr>
              <w:t>Practical Realities of Global Investigations and Litigation</w:t>
            </w:r>
          </w:p>
        </w:tc>
        <w:tc>
          <w:tcPr>
            <w:tcW w:w="2779" w:type="dxa"/>
          </w:tcPr>
          <w:p w14:paraId="5B4F8B3A" w14:textId="77777777" w:rsidR="00CD5EF4" w:rsidRPr="00AC460F" w:rsidRDefault="00CD5EF4" w:rsidP="00CD5EF4">
            <w:pPr>
              <w:outlineLvl w:val="0"/>
              <w:rPr>
                <w:rFonts w:asciiTheme="majorHAnsi" w:hAnsiTheme="majorHAnsi"/>
              </w:rPr>
            </w:pPr>
            <w:r>
              <w:rPr>
                <w:rFonts w:asciiTheme="majorHAnsi" w:hAnsiTheme="majorHAnsi"/>
              </w:rPr>
              <w:t>Limited or no reading assignment.  Role-playing exercise in class based on hypothetical case.</w:t>
            </w:r>
          </w:p>
        </w:tc>
        <w:tc>
          <w:tcPr>
            <w:tcW w:w="2990" w:type="dxa"/>
          </w:tcPr>
          <w:p w14:paraId="159D2423" w14:textId="77777777" w:rsidR="00CD5EF4" w:rsidRDefault="00CD5EF4" w:rsidP="00CD5EF4">
            <w:pPr>
              <w:outlineLvl w:val="0"/>
              <w:rPr>
                <w:rFonts w:asciiTheme="majorHAnsi" w:hAnsiTheme="majorHAnsi"/>
              </w:rPr>
            </w:pPr>
            <w:r>
              <w:rPr>
                <w:rFonts w:asciiTheme="majorHAnsi" w:hAnsiTheme="majorHAnsi"/>
              </w:rPr>
              <w:t>Ability to advise clients on real-world strategic questions related to a global investigation.</w:t>
            </w:r>
          </w:p>
          <w:p w14:paraId="4880140D" w14:textId="77777777" w:rsidR="00CD5EF4" w:rsidRDefault="00CD5EF4" w:rsidP="00CD5EF4">
            <w:pPr>
              <w:outlineLvl w:val="0"/>
              <w:rPr>
                <w:rFonts w:asciiTheme="majorHAnsi" w:hAnsiTheme="majorHAnsi"/>
              </w:rPr>
            </w:pPr>
          </w:p>
          <w:p w14:paraId="748E1F8B" w14:textId="454459C0" w:rsidR="00CD5EF4" w:rsidRPr="00AC460F" w:rsidRDefault="00CD5EF4" w:rsidP="00CD5EF4">
            <w:pPr>
              <w:outlineLvl w:val="0"/>
              <w:rPr>
                <w:rFonts w:asciiTheme="majorHAnsi" w:hAnsiTheme="majorHAnsi"/>
              </w:rPr>
            </w:pPr>
            <w:r>
              <w:rPr>
                <w:rFonts w:asciiTheme="majorHAnsi" w:hAnsiTheme="majorHAnsi"/>
              </w:rPr>
              <w:t xml:space="preserve">Ability to interact with competition authorities </w:t>
            </w:r>
            <w:proofErr w:type="gramStart"/>
            <w:r>
              <w:rPr>
                <w:rFonts w:asciiTheme="majorHAnsi" w:hAnsiTheme="majorHAnsi"/>
              </w:rPr>
              <w:t>conducting an investigation</w:t>
            </w:r>
            <w:proofErr w:type="gramEnd"/>
            <w:r>
              <w:rPr>
                <w:rFonts w:asciiTheme="majorHAnsi" w:hAnsiTheme="majorHAnsi"/>
              </w:rPr>
              <w:t>.</w:t>
            </w:r>
            <w:r>
              <w:rPr>
                <w:rFonts w:asciiTheme="majorHAnsi" w:hAnsiTheme="majorHAnsi"/>
              </w:rPr>
              <w:br/>
            </w:r>
          </w:p>
        </w:tc>
      </w:tr>
      <w:tr w:rsidR="00CD5EF4" w:rsidRPr="00AC460F" w14:paraId="0B6F73F1" w14:textId="77777777" w:rsidTr="009B1802">
        <w:tc>
          <w:tcPr>
            <w:tcW w:w="1395" w:type="dxa"/>
          </w:tcPr>
          <w:p w14:paraId="0E0C9839" w14:textId="77777777" w:rsidR="00CD5EF4" w:rsidRPr="00AC460F" w:rsidRDefault="00CD5EF4" w:rsidP="00CD5EF4">
            <w:pPr>
              <w:outlineLvl w:val="0"/>
              <w:rPr>
                <w:rFonts w:asciiTheme="majorHAnsi" w:hAnsiTheme="majorHAnsi"/>
              </w:rPr>
            </w:pPr>
            <w:r>
              <w:rPr>
                <w:rFonts w:asciiTheme="majorHAnsi" w:hAnsiTheme="majorHAnsi"/>
              </w:rPr>
              <w:t>4/28/23</w:t>
            </w:r>
            <w:r>
              <w:rPr>
                <w:rFonts w:asciiTheme="majorHAnsi" w:hAnsiTheme="majorHAnsi"/>
              </w:rPr>
              <w:br/>
              <w:t>Week 15</w:t>
            </w:r>
          </w:p>
        </w:tc>
        <w:tc>
          <w:tcPr>
            <w:tcW w:w="2641" w:type="dxa"/>
          </w:tcPr>
          <w:p w14:paraId="143876B6" w14:textId="77777777" w:rsidR="00CD5EF4" w:rsidRPr="00AC460F" w:rsidRDefault="00CD5EF4" w:rsidP="00CD5EF4">
            <w:pPr>
              <w:outlineLvl w:val="0"/>
              <w:rPr>
                <w:rFonts w:asciiTheme="majorHAnsi" w:hAnsiTheme="majorHAnsi"/>
              </w:rPr>
            </w:pPr>
            <w:r w:rsidRPr="00AC460F">
              <w:rPr>
                <w:rFonts w:asciiTheme="majorHAnsi" w:hAnsiTheme="majorHAnsi"/>
              </w:rPr>
              <w:t>Review Session</w:t>
            </w:r>
          </w:p>
        </w:tc>
        <w:tc>
          <w:tcPr>
            <w:tcW w:w="2779" w:type="dxa"/>
          </w:tcPr>
          <w:p w14:paraId="552ED9D7" w14:textId="77777777" w:rsidR="00CD5EF4" w:rsidRPr="00AC460F" w:rsidRDefault="00CD5EF4" w:rsidP="00CD5EF4">
            <w:pPr>
              <w:outlineLvl w:val="0"/>
              <w:rPr>
                <w:rFonts w:asciiTheme="majorHAnsi" w:hAnsiTheme="majorHAnsi"/>
              </w:rPr>
            </w:pPr>
            <w:r>
              <w:rPr>
                <w:rFonts w:asciiTheme="majorHAnsi" w:hAnsiTheme="majorHAnsi"/>
              </w:rPr>
              <w:t>No reading assignment.</w:t>
            </w:r>
          </w:p>
        </w:tc>
        <w:tc>
          <w:tcPr>
            <w:tcW w:w="2990" w:type="dxa"/>
          </w:tcPr>
          <w:p w14:paraId="0167F004" w14:textId="77777777" w:rsidR="00CD5EF4" w:rsidRPr="00AC460F" w:rsidRDefault="00CD5EF4" w:rsidP="00CD5EF4">
            <w:pPr>
              <w:outlineLvl w:val="0"/>
              <w:rPr>
                <w:rFonts w:asciiTheme="majorHAnsi" w:hAnsiTheme="majorHAnsi"/>
              </w:rPr>
            </w:pPr>
          </w:p>
        </w:tc>
      </w:tr>
      <w:tr w:rsidR="00CD5EF4" w:rsidRPr="00AC460F" w14:paraId="2C8B54A4" w14:textId="77777777" w:rsidTr="009B1802">
        <w:tc>
          <w:tcPr>
            <w:tcW w:w="1395" w:type="dxa"/>
          </w:tcPr>
          <w:p w14:paraId="4DBF97A7" w14:textId="77777777" w:rsidR="00CD5EF4" w:rsidRPr="00AC460F" w:rsidRDefault="00CD5EF4" w:rsidP="00CD5EF4">
            <w:pPr>
              <w:outlineLvl w:val="0"/>
              <w:rPr>
                <w:rFonts w:asciiTheme="majorHAnsi" w:hAnsiTheme="majorHAnsi"/>
              </w:rPr>
            </w:pPr>
            <w:r>
              <w:rPr>
                <w:rFonts w:asciiTheme="majorHAnsi" w:hAnsiTheme="majorHAnsi"/>
              </w:rPr>
              <w:t>Exam week</w:t>
            </w:r>
          </w:p>
        </w:tc>
        <w:tc>
          <w:tcPr>
            <w:tcW w:w="2641" w:type="dxa"/>
          </w:tcPr>
          <w:p w14:paraId="4A29C25D" w14:textId="77777777" w:rsidR="00CD5EF4" w:rsidRPr="00AC460F" w:rsidRDefault="00CD5EF4" w:rsidP="00CD5EF4">
            <w:pPr>
              <w:outlineLvl w:val="0"/>
              <w:rPr>
                <w:rFonts w:asciiTheme="majorHAnsi" w:hAnsiTheme="majorHAnsi"/>
              </w:rPr>
            </w:pPr>
            <w:r w:rsidRPr="00AC460F">
              <w:rPr>
                <w:rFonts w:asciiTheme="majorHAnsi" w:hAnsiTheme="majorHAnsi"/>
              </w:rPr>
              <w:t>Take-home Exam</w:t>
            </w:r>
          </w:p>
        </w:tc>
        <w:tc>
          <w:tcPr>
            <w:tcW w:w="2779" w:type="dxa"/>
          </w:tcPr>
          <w:p w14:paraId="3F12401A" w14:textId="77777777" w:rsidR="00CD5EF4" w:rsidRPr="00AC460F" w:rsidRDefault="00CD5EF4" w:rsidP="00CD5EF4">
            <w:pPr>
              <w:outlineLvl w:val="0"/>
              <w:rPr>
                <w:rFonts w:asciiTheme="majorHAnsi" w:hAnsiTheme="majorHAnsi"/>
              </w:rPr>
            </w:pPr>
          </w:p>
        </w:tc>
        <w:tc>
          <w:tcPr>
            <w:tcW w:w="2990" w:type="dxa"/>
          </w:tcPr>
          <w:p w14:paraId="3A3208E0" w14:textId="77777777" w:rsidR="00CD5EF4" w:rsidRPr="00AC460F" w:rsidRDefault="00CD5EF4" w:rsidP="00CD5EF4">
            <w:pPr>
              <w:outlineLvl w:val="0"/>
              <w:rPr>
                <w:rFonts w:asciiTheme="majorHAnsi" w:hAnsiTheme="majorHAnsi"/>
              </w:rPr>
            </w:pPr>
          </w:p>
        </w:tc>
      </w:tr>
      <w:bookmarkEnd w:id="0"/>
    </w:tbl>
    <w:p w14:paraId="783AD431" w14:textId="3C8927EC" w:rsidR="009A7EA0" w:rsidRDefault="009A7EA0" w:rsidP="005C4D4B">
      <w:pPr>
        <w:pStyle w:val="NoSpacing"/>
        <w:jc w:val="center"/>
        <w:rPr>
          <w:b/>
        </w:rPr>
      </w:pPr>
    </w:p>
    <w:p w14:paraId="43BA77A0" w14:textId="77777777" w:rsidR="00871419" w:rsidRDefault="00871419" w:rsidP="00871419">
      <w:pPr>
        <w:pStyle w:val="Heading2"/>
        <w:spacing w:before="0"/>
        <w:jc w:val="both"/>
        <w:rPr>
          <w:rFonts w:ascii="Calibri" w:hAnsi="Calibri"/>
          <w:sz w:val="22"/>
          <w:szCs w:val="22"/>
        </w:rPr>
      </w:pPr>
    </w:p>
    <w:p w14:paraId="3CDF1A88" w14:textId="77777777" w:rsidR="0007643F" w:rsidRDefault="0007643F" w:rsidP="00871419">
      <w:pPr>
        <w:pStyle w:val="Heading2"/>
        <w:spacing w:before="0"/>
        <w:jc w:val="both"/>
        <w:rPr>
          <w:rFonts w:ascii="Calibri" w:hAnsi="Calibri"/>
          <w:sz w:val="22"/>
          <w:szCs w:val="22"/>
        </w:rPr>
      </w:pPr>
    </w:p>
    <w:p w14:paraId="030418D7" w14:textId="06AD2E8A" w:rsidR="00871419" w:rsidRPr="00C30A80" w:rsidRDefault="00871419" w:rsidP="00871419">
      <w:pPr>
        <w:pStyle w:val="Heading2"/>
        <w:spacing w:before="0"/>
        <w:jc w:val="both"/>
        <w:rPr>
          <w:rFonts w:ascii="Calibri" w:hAnsi="Calibri"/>
          <w:sz w:val="22"/>
          <w:szCs w:val="22"/>
        </w:rPr>
      </w:pPr>
      <w:r w:rsidRPr="00C30A80">
        <w:rPr>
          <w:rFonts w:ascii="Calibri" w:hAnsi="Calibri"/>
          <w:sz w:val="22"/>
          <w:szCs w:val="22"/>
        </w:rPr>
        <w:t>School Policies</w:t>
      </w:r>
      <w:r>
        <w:rPr>
          <w:rFonts w:ascii="Calibri" w:hAnsi="Calibri"/>
          <w:sz w:val="22"/>
          <w:szCs w:val="22"/>
        </w:rPr>
        <w:t xml:space="preserve"> and Resources</w:t>
      </w:r>
    </w:p>
    <w:p w14:paraId="4F39B15E" w14:textId="77777777" w:rsidR="00871419" w:rsidRDefault="00871419" w:rsidP="00871419">
      <w:pPr>
        <w:rPr>
          <w:rFonts w:asciiTheme="majorHAnsi" w:hAnsiTheme="majorHAnsi"/>
          <w:b/>
        </w:rPr>
      </w:pPr>
    </w:p>
    <w:p w14:paraId="73564501" w14:textId="77777777" w:rsidR="00871419" w:rsidRPr="001B0FC4" w:rsidRDefault="00871419" w:rsidP="00871419">
      <w:r w:rsidRPr="001B0FC4">
        <w:t xml:space="preserve">1) A “credit hour” at Berkeley Law is an amount of work that reasonably approximates three to four hours of work per week for 15 weeks, including </w:t>
      </w:r>
      <w:r>
        <w:t>(</w:t>
      </w:r>
      <w:r w:rsidRPr="001B0FC4">
        <w:t xml:space="preserve">a) classroom time, </w:t>
      </w:r>
      <w:r>
        <w:t>(</w:t>
      </w:r>
      <w:r w:rsidRPr="001B0FC4">
        <w:t xml:space="preserve">b) time spent preparing for class, </w:t>
      </w:r>
      <w:r>
        <w:t>(</w:t>
      </w:r>
      <w:r w:rsidRPr="001B0FC4">
        <w:t xml:space="preserve">c) time spent studying for, and taking, final exams, </w:t>
      </w:r>
      <w:r>
        <w:t>(</w:t>
      </w:r>
      <w:r w:rsidRPr="001B0FC4">
        <w:t xml:space="preserve">d) time spent researching, writing, and revising papers and other written work, and </w:t>
      </w:r>
      <w:r>
        <w:t>(</w:t>
      </w:r>
      <w:r w:rsidRPr="001B0FC4">
        <w:t>e) time spent preparing for and completing any other final project, presentation, or performance. For the purposes of these calculations, 50 minutes of classroom instruction counts as one hour, and the 15 weeks includes the exam period. You can expect to spend this amount of time per unit per week on in-class and out-of-class, course-related work as described above.</w:t>
      </w:r>
    </w:p>
    <w:p w14:paraId="4FA230BF" w14:textId="77777777" w:rsidR="00871419" w:rsidRPr="001B0FC4" w:rsidRDefault="00871419" w:rsidP="00871419">
      <w:r w:rsidRPr="001B0FC4">
        <w:t xml:space="preserve"> </w:t>
      </w:r>
    </w:p>
    <w:p w14:paraId="1C34F31E" w14:textId="77777777" w:rsidR="00871419" w:rsidRDefault="00871419" w:rsidP="00871419">
      <w:pPr>
        <w:rPr>
          <w:rFonts w:ascii="Arial" w:hAnsi="Arial" w:cs="Arial"/>
          <w:color w:val="000000"/>
        </w:rPr>
      </w:pPr>
      <w:r w:rsidRPr="009A49F7">
        <w:rPr>
          <w:rFonts w:asciiTheme="majorHAnsi" w:hAnsiTheme="majorHAnsi" w:cstheme="majorHAnsi"/>
          <w:color w:val="000000"/>
        </w:rPr>
        <w:t xml:space="preserve">2) Students who need accommodations for disability or </w:t>
      </w:r>
      <w:proofErr w:type="gramStart"/>
      <w:r w:rsidRPr="009A49F7">
        <w:rPr>
          <w:rFonts w:asciiTheme="majorHAnsi" w:hAnsiTheme="majorHAnsi" w:cstheme="majorHAnsi"/>
          <w:color w:val="000000"/>
        </w:rPr>
        <w:t>pregnancy  or</w:t>
      </w:r>
      <w:proofErr w:type="gramEnd"/>
      <w:r w:rsidRPr="009A49F7">
        <w:rPr>
          <w:rFonts w:asciiTheme="majorHAnsi" w:hAnsiTheme="majorHAnsi" w:cstheme="majorHAnsi"/>
          <w:color w:val="000000"/>
        </w:rPr>
        <w:t xml:space="preserve"> want to discuss implementation of their accommodations, including accommodated exams, should contact </w:t>
      </w:r>
      <w:r>
        <w:rPr>
          <w:rFonts w:asciiTheme="majorHAnsi" w:hAnsiTheme="majorHAnsi" w:cstheme="majorHAnsi"/>
          <w:color w:val="000000"/>
        </w:rPr>
        <w:t>Chelsea Yuan,</w:t>
      </w:r>
      <w:r w:rsidRPr="009A49F7">
        <w:rPr>
          <w:rFonts w:asciiTheme="majorHAnsi" w:hAnsiTheme="majorHAnsi" w:cstheme="majorHAnsi"/>
          <w:color w:val="000000"/>
        </w:rPr>
        <w:t xml:space="preserve"> Director of Student Servi</w:t>
      </w:r>
      <w:r>
        <w:rPr>
          <w:rFonts w:asciiTheme="majorHAnsi" w:hAnsiTheme="majorHAnsi" w:cstheme="majorHAnsi"/>
          <w:color w:val="000000"/>
        </w:rPr>
        <w:t>ces, Accessible Education</w:t>
      </w:r>
      <w:r w:rsidRPr="009A49F7">
        <w:rPr>
          <w:rFonts w:asciiTheme="majorHAnsi" w:hAnsiTheme="majorHAnsi" w:cstheme="majorHAnsi"/>
          <w:color w:val="000000"/>
        </w:rPr>
        <w:t>.</w:t>
      </w:r>
      <w:r w:rsidRPr="007D6149">
        <w:rPr>
          <w:rFonts w:ascii="Arial" w:hAnsi="Arial" w:cs="Arial"/>
          <w:color w:val="000000"/>
        </w:rPr>
        <w:t xml:space="preserve"> </w:t>
      </w:r>
    </w:p>
    <w:p w14:paraId="365F96AC" w14:textId="77777777" w:rsidR="00871419" w:rsidRDefault="00871419" w:rsidP="00871419">
      <w:pPr>
        <w:rPr>
          <w:rFonts w:ascii="Arial" w:hAnsi="Arial" w:cs="Arial"/>
          <w:color w:val="000000"/>
        </w:rPr>
      </w:pPr>
    </w:p>
    <w:p w14:paraId="0C2416FC" w14:textId="77777777" w:rsidR="00871419" w:rsidRPr="007D6149" w:rsidRDefault="00871419" w:rsidP="00871419">
      <w:pPr>
        <w:rPr>
          <w:rFonts w:asciiTheme="majorHAnsi" w:eastAsia="Times New Roman" w:hAnsiTheme="majorHAnsi" w:cstheme="majorHAnsi"/>
        </w:rPr>
      </w:pPr>
      <w:r w:rsidRPr="007D6149">
        <w:rPr>
          <w:rFonts w:asciiTheme="majorHAnsi" w:eastAsia="Times New Roman" w:hAnsiTheme="majorHAnsi" w:cstheme="majorHAnsi"/>
          <w:color w:val="000000"/>
        </w:rPr>
        <w:t xml:space="preserve">Student Services schedules all exams, including accommodated exams, as the law school is committed to anonymous grading. </w:t>
      </w:r>
      <w:r>
        <w:rPr>
          <w:rFonts w:asciiTheme="majorHAnsi" w:eastAsia="Times New Roman" w:hAnsiTheme="majorHAnsi" w:cstheme="majorHAnsi"/>
          <w:color w:val="000000"/>
        </w:rPr>
        <w:t xml:space="preserve"> Professors do not have authority to reschedule exams.</w:t>
      </w:r>
    </w:p>
    <w:p w14:paraId="5F92747F" w14:textId="77777777" w:rsidR="00871419" w:rsidRPr="003E64AE" w:rsidRDefault="00871419" w:rsidP="00871419">
      <w:pPr>
        <w:pStyle w:val="NormalWeb"/>
        <w:spacing w:before="0" w:beforeAutospacing="0" w:after="0" w:afterAutospacing="0"/>
        <w:rPr>
          <w:rFonts w:asciiTheme="majorHAnsi" w:eastAsia="Times New Roman" w:hAnsiTheme="majorHAnsi" w:cstheme="majorHAnsi"/>
          <w:color w:val="000000"/>
          <w:sz w:val="22"/>
          <w:szCs w:val="22"/>
        </w:rPr>
      </w:pPr>
    </w:p>
    <w:p w14:paraId="108C19C3" w14:textId="77777777" w:rsidR="00871419" w:rsidRPr="003E64AE" w:rsidRDefault="00871419" w:rsidP="00871419">
      <w:pPr>
        <w:pStyle w:val="NormalWeb"/>
        <w:spacing w:before="0" w:beforeAutospacing="0" w:after="0" w:afterAutospacing="0"/>
        <w:rPr>
          <w:rFonts w:asciiTheme="majorHAnsi" w:eastAsia="Times New Roman" w:hAnsiTheme="majorHAnsi" w:cstheme="majorHAnsi"/>
          <w:color w:val="000000"/>
          <w:sz w:val="22"/>
          <w:szCs w:val="22"/>
        </w:rPr>
      </w:pPr>
      <w:r w:rsidRPr="003E64AE">
        <w:rPr>
          <w:rFonts w:asciiTheme="majorHAnsi" w:hAnsiTheme="majorHAnsi" w:cstheme="majorHAnsi"/>
          <w:color w:val="000000"/>
          <w:sz w:val="22"/>
          <w:szCs w:val="22"/>
        </w:rPr>
        <w:t>3) The</w:t>
      </w:r>
      <w:hyperlink r:id="rId8" w:history="1">
        <w:r w:rsidRPr="003E64AE">
          <w:rPr>
            <w:rStyle w:val="Hyperlink"/>
            <w:rFonts w:asciiTheme="majorHAnsi" w:hAnsiTheme="majorHAnsi" w:cstheme="majorHAnsi"/>
            <w:color w:val="000000"/>
            <w:sz w:val="22"/>
            <w:szCs w:val="22"/>
          </w:rPr>
          <w:t xml:space="preserve"> </w:t>
        </w:r>
        <w:r w:rsidRPr="003E64AE">
          <w:rPr>
            <w:rStyle w:val="Hyperlink"/>
            <w:rFonts w:asciiTheme="majorHAnsi" w:hAnsiTheme="majorHAnsi" w:cstheme="majorHAnsi"/>
            <w:color w:val="1155CC"/>
            <w:sz w:val="22"/>
            <w:szCs w:val="22"/>
          </w:rPr>
          <w:t>Academic Honor Code</w:t>
        </w:r>
      </w:hyperlink>
      <w:r w:rsidRPr="003E64AE">
        <w:rPr>
          <w:rFonts w:asciiTheme="majorHAnsi" w:hAnsiTheme="majorHAnsi" w:cstheme="majorHAnsi"/>
          <w:color w:val="000000"/>
          <w:sz w:val="22"/>
          <w:szCs w:val="22"/>
        </w:rPr>
        <w:t xml:space="preserve"> governs the conduct of all students during examinations and in all other academic and pre-professional activities at Berkeley Law. We expect students to adhere to this code scrupulously. If you have any questions about whether your conduct may violate the code, please contact your professor or the Dean of Students before you act. You may face severe consequences, including a failing grade in this class or removal from the program, and the Bar will receive notification of your conduct.</w:t>
      </w:r>
    </w:p>
    <w:p w14:paraId="69C4F759" w14:textId="77777777" w:rsidR="00871419" w:rsidRPr="003E64AE" w:rsidRDefault="00871419" w:rsidP="00871419">
      <w:pPr>
        <w:rPr>
          <w:rFonts w:asciiTheme="majorHAnsi" w:hAnsiTheme="majorHAnsi" w:cstheme="majorHAnsi"/>
          <w:color w:val="000000"/>
        </w:rPr>
      </w:pPr>
    </w:p>
    <w:p w14:paraId="4452034C" w14:textId="77777777" w:rsidR="00871419" w:rsidRPr="003E64AE" w:rsidRDefault="00871419" w:rsidP="00871419">
      <w:pPr>
        <w:pStyle w:val="NormalWeb"/>
        <w:spacing w:before="0" w:beforeAutospacing="0" w:after="0" w:afterAutospacing="0"/>
        <w:rPr>
          <w:rFonts w:asciiTheme="majorHAnsi" w:hAnsiTheme="majorHAnsi" w:cstheme="majorHAnsi"/>
          <w:color w:val="000000"/>
          <w:sz w:val="22"/>
          <w:szCs w:val="22"/>
        </w:rPr>
      </w:pPr>
      <w:r w:rsidRPr="003E64AE">
        <w:rPr>
          <w:rFonts w:asciiTheme="majorHAnsi" w:hAnsiTheme="majorHAnsi" w:cstheme="majorHAnsi"/>
          <w:color w:val="4472C4"/>
          <w:sz w:val="22"/>
          <w:szCs w:val="22"/>
        </w:rPr>
        <w:t xml:space="preserve">Note: </w:t>
      </w:r>
      <w:r w:rsidRPr="003E64AE">
        <w:rPr>
          <w:rFonts w:asciiTheme="majorHAnsi" w:hAnsiTheme="majorHAnsi" w:cstheme="majorHAnsi"/>
          <w:color w:val="4471C4"/>
          <w:sz w:val="22"/>
          <w:szCs w:val="22"/>
        </w:rPr>
        <w:t xml:space="preserve">If you suspect an Honor Code violation, please </w:t>
      </w:r>
      <w:r w:rsidRPr="003E64AE">
        <w:rPr>
          <w:rFonts w:asciiTheme="majorHAnsi" w:hAnsiTheme="majorHAnsi" w:cstheme="majorHAnsi"/>
          <w:b/>
          <w:bCs/>
          <w:color w:val="4471C4"/>
          <w:sz w:val="22"/>
          <w:szCs w:val="22"/>
        </w:rPr>
        <w:t>do not</w:t>
      </w:r>
      <w:r w:rsidRPr="003E64AE">
        <w:rPr>
          <w:rFonts w:asciiTheme="majorHAnsi" w:hAnsiTheme="majorHAnsi" w:cstheme="majorHAnsi"/>
          <w:color w:val="4471C4"/>
          <w:sz w:val="22"/>
          <w:szCs w:val="22"/>
          <w:u w:val="single"/>
        </w:rPr>
        <w:t xml:space="preserve"> </w:t>
      </w:r>
      <w:r w:rsidRPr="003E64AE">
        <w:rPr>
          <w:rFonts w:asciiTheme="majorHAnsi" w:hAnsiTheme="majorHAnsi" w:cstheme="majorHAnsi"/>
          <w:color w:val="4471C4"/>
          <w:sz w:val="22"/>
          <w:szCs w:val="22"/>
        </w:rPr>
        <w:t xml:space="preserve">investigate the matter yourself. You should immediately contact the </w:t>
      </w:r>
      <w:hyperlink r:id="rId9" w:history="1">
        <w:r w:rsidRPr="003E64AE">
          <w:rPr>
            <w:rStyle w:val="Hyperlink"/>
            <w:rFonts w:asciiTheme="majorHAnsi" w:hAnsiTheme="majorHAnsi" w:cstheme="majorHAnsi"/>
            <w:color w:val="1155CC"/>
            <w:sz w:val="22"/>
            <w:szCs w:val="22"/>
          </w:rPr>
          <w:t xml:space="preserve">Dean of Students, </w:t>
        </w:r>
        <w:proofErr w:type="spellStart"/>
        <w:r w:rsidRPr="003E64AE">
          <w:rPr>
            <w:rStyle w:val="Hyperlink"/>
            <w:rFonts w:asciiTheme="majorHAnsi" w:hAnsiTheme="majorHAnsi" w:cstheme="majorHAnsi"/>
            <w:color w:val="1155CC"/>
            <w:sz w:val="22"/>
            <w:szCs w:val="22"/>
          </w:rPr>
          <w:t>Annik</w:t>
        </w:r>
        <w:proofErr w:type="spellEnd"/>
        <w:r w:rsidRPr="003E64AE">
          <w:rPr>
            <w:rStyle w:val="Hyperlink"/>
            <w:rFonts w:asciiTheme="majorHAnsi" w:hAnsiTheme="majorHAnsi" w:cstheme="majorHAnsi"/>
            <w:color w:val="1155CC"/>
            <w:sz w:val="22"/>
            <w:szCs w:val="22"/>
          </w:rPr>
          <w:t xml:space="preserve"> </w:t>
        </w:r>
        <w:proofErr w:type="spellStart"/>
        <w:r w:rsidRPr="003E64AE">
          <w:rPr>
            <w:rStyle w:val="Hyperlink"/>
            <w:rFonts w:asciiTheme="majorHAnsi" w:hAnsiTheme="majorHAnsi" w:cstheme="majorHAnsi"/>
            <w:color w:val="1155CC"/>
            <w:sz w:val="22"/>
            <w:szCs w:val="22"/>
          </w:rPr>
          <w:t>Hirshen</w:t>
        </w:r>
        <w:proofErr w:type="spellEnd"/>
      </w:hyperlink>
      <w:r w:rsidRPr="003E64AE">
        <w:rPr>
          <w:rFonts w:asciiTheme="majorHAnsi" w:hAnsiTheme="majorHAnsi" w:cstheme="majorHAnsi"/>
          <w:color w:val="4471C4"/>
          <w:sz w:val="22"/>
          <w:szCs w:val="22"/>
        </w:rPr>
        <w:t xml:space="preserve"> to talk through your options.</w:t>
      </w:r>
      <w:r w:rsidRPr="003E64AE">
        <w:rPr>
          <w:rFonts w:asciiTheme="majorHAnsi" w:hAnsiTheme="majorHAnsi" w:cstheme="majorHAnsi"/>
          <w:color w:val="000000"/>
          <w:sz w:val="22"/>
          <w:szCs w:val="22"/>
        </w:rPr>
        <w:t> </w:t>
      </w:r>
    </w:p>
    <w:p w14:paraId="19555F04" w14:textId="77777777" w:rsidR="00871419" w:rsidRPr="003E64AE" w:rsidRDefault="00871419" w:rsidP="00871419">
      <w:pPr>
        <w:pStyle w:val="NormalWeb"/>
        <w:spacing w:before="0" w:beforeAutospacing="0" w:after="0" w:afterAutospacing="0"/>
        <w:rPr>
          <w:rFonts w:asciiTheme="majorHAnsi" w:hAnsiTheme="majorHAnsi" w:cstheme="majorHAnsi"/>
          <w:color w:val="000000"/>
          <w:sz w:val="22"/>
          <w:szCs w:val="22"/>
        </w:rPr>
      </w:pPr>
      <w:r w:rsidRPr="003E64AE">
        <w:rPr>
          <w:rFonts w:asciiTheme="majorHAnsi" w:hAnsiTheme="majorHAnsi" w:cstheme="majorHAnsi"/>
          <w:color w:val="000000"/>
          <w:sz w:val="22"/>
          <w:szCs w:val="22"/>
        </w:rPr>
        <w:t> </w:t>
      </w:r>
    </w:p>
    <w:p w14:paraId="7B2ADF36" w14:textId="77777777" w:rsidR="00871419" w:rsidRPr="00FC7537" w:rsidRDefault="00871419" w:rsidP="00871419">
      <w:pPr>
        <w:pStyle w:val="NormalWeb"/>
        <w:spacing w:before="0" w:beforeAutospacing="0" w:after="0" w:afterAutospacing="0"/>
        <w:rPr>
          <w:rFonts w:asciiTheme="majorHAnsi" w:eastAsia="Times New Roman" w:hAnsiTheme="majorHAnsi" w:cstheme="majorHAnsi"/>
          <w:color w:val="000000"/>
          <w:sz w:val="22"/>
          <w:szCs w:val="22"/>
        </w:rPr>
      </w:pPr>
      <w:r w:rsidRPr="00FC7537">
        <w:rPr>
          <w:rFonts w:asciiTheme="majorHAnsi" w:hAnsiTheme="majorHAnsi" w:cstheme="majorHAnsi"/>
          <w:color w:val="000000"/>
          <w:sz w:val="22"/>
          <w:szCs w:val="22"/>
          <w:u w:val="single"/>
          <w:shd w:val="clear" w:color="auto" w:fill="FFFFFF"/>
        </w:rPr>
        <w:t>4) Berkeley Law Academic Skills Program.</w:t>
      </w:r>
      <w:r w:rsidRPr="00FC7537">
        <w:rPr>
          <w:rFonts w:asciiTheme="majorHAnsi" w:hAnsiTheme="majorHAnsi" w:cstheme="majorHAnsi"/>
          <w:color w:val="000000"/>
          <w:sz w:val="22"/>
          <w:szCs w:val="22"/>
          <w:shd w:val="clear" w:color="auto" w:fill="FFFFFF"/>
        </w:rPr>
        <w:t xml:space="preserve"> Every student admitted to Berkeley Law </w:t>
      </w:r>
      <w:proofErr w:type="gramStart"/>
      <w:r w:rsidRPr="00FC7537">
        <w:rPr>
          <w:rFonts w:asciiTheme="majorHAnsi" w:hAnsiTheme="majorHAnsi" w:cstheme="majorHAnsi"/>
          <w:color w:val="000000"/>
          <w:sz w:val="22"/>
          <w:szCs w:val="22"/>
          <w:shd w:val="clear" w:color="auto" w:fill="FFFFFF"/>
        </w:rPr>
        <w:t>has the ability to</w:t>
      </w:r>
      <w:proofErr w:type="gramEnd"/>
      <w:r w:rsidRPr="00FC7537">
        <w:rPr>
          <w:rFonts w:asciiTheme="majorHAnsi" w:hAnsiTheme="majorHAnsi" w:cstheme="majorHAnsi"/>
          <w:color w:val="000000"/>
          <w:sz w:val="22"/>
          <w:szCs w:val="22"/>
          <w:shd w:val="clear" w:color="auto" w:fill="FFFFFF"/>
        </w:rPr>
        <w:t xml:space="preserve"> succeed in law school and we are committed to fostering an academic environment in which all students can achieve their full potential. To schedule an individual appointment and for handouts on core law school skills and study strategies, free online study aids, information about practice exams and hypos, and much more, please visit and bookmark</w:t>
      </w:r>
      <w:hyperlink r:id="rId10" w:history="1">
        <w:r w:rsidRPr="00FC7537">
          <w:rPr>
            <w:rStyle w:val="Hyperlink"/>
            <w:rFonts w:asciiTheme="majorHAnsi" w:hAnsiTheme="majorHAnsi" w:cstheme="majorHAnsi"/>
            <w:color w:val="000000"/>
            <w:sz w:val="22"/>
            <w:szCs w:val="22"/>
            <w:shd w:val="clear" w:color="auto" w:fill="FFFFFF"/>
          </w:rPr>
          <w:t xml:space="preserve"> </w:t>
        </w:r>
        <w:r w:rsidRPr="00FC7537">
          <w:rPr>
            <w:rStyle w:val="Hyperlink"/>
            <w:rFonts w:asciiTheme="majorHAnsi" w:hAnsiTheme="majorHAnsi" w:cstheme="majorHAnsi"/>
            <w:color w:val="1155CC"/>
            <w:sz w:val="22"/>
            <w:szCs w:val="22"/>
            <w:shd w:val="clear" w:color="auto" w:fill="FFFFFF"/>
          </w:rPr>
          <w:t>the Academic Skills Program website</w:t>
        </w:r>
      </w:hyperlink>
      <w:r w:rsidRPr="00FC7537">
        <w:rPr>
          <w:rFonts w:asciiTheme="majorHAnsi" w:hAnsiTheme="majorHAnsi" w:cstheme="majorHAnsi"/>
          <w:color w:val="000000"/>
          <w:sz w:val="22"/>
          <w:szCs w:val="22"/>
          <w:shd w:val="clear" w:color="auto" w:fill="FFFFFF"/>
        </w:rPr>
        <w:t>.</w:t>
      </w:r>
    </w:p>
    <w:p w14:paraId="36C214C0" w14:textId="77777777" w:rsidR="00871419" w:rsidRPr="00FC7537" w:rsidRDefault="00871419" w:rsidP="00871419">
      <w:pPr>
        <w:rPr>
          <w:rFonts w:asciiTheme="majorHAnsi" w:hAnsiTheme="majorHAnsi" w:cstheme="majorHAnsi"/>
          <w:color w:val="000000"/>
        </w:rPr>
      </w:pPr>
    </w:p>
    <w:p w14:paraId="4EA2E696" w14:textId="00DB90CC" w:rsidR="00871419" w:rsidRPr="00FC7537" w:rsidRDefault="00871419" w:rsidP="00871419">
      <w:pPr>
        <w:pStyle w:val="NormalWeb"/>
        <w:spacing w:before="0" w:beforeAutospacing="0" w:after="0" w:afterAutospacing="0"/>
        <w:rPr>
          <w:rFonts w:asciiTheme="majorHAnsi" w:hAnsiTheme="majorHAnsi" w:cstheme="majorHAnsi"/>
          <w:color w:val="000000"/>
          <w:sz w:val="22"/>
          <w:szCs w:val="22"/>
        </w:rPr>
      </w:pPr>
      <w:r w:rsidRPr="00FC7537">
        <w:rPr>
          <w:rFonts w:asciiTheme="majorHAnsi" w:hAnsiTheme="majorHAnsi" w:cstheme="majorHAnsi"/>
          <w:color w:val="000000"/>
          <w:sz w:val="22"/>
          <w:szCs w:val="22"/>
        </w:rPr>
        <w:t>5)</w:t>
      </w:r>
      <w:r w:rsidRPr="00FC7537">
        <w:rPr>
          <w:rFonts w:asciiTheme="majorHAnsi" w:hAnsiTheme="majorHAnsi" w:cstheme="majorHAnsi"/>
          <w:color w:val="000000"/>
          <w:sz w:val="22"/>
          <w:szCs w:val="22"/>
          <w:u w:val="single"/>
        </w:rPr>
        <w:t xml:space="preserve"> Student Technology Help</w:t>
      </w:r>
      <w:r>
        <w:rPr>
          <w:rFonts w:asciiTheme="majorHAnsi" w:hAnsiTheme="majorHAnsi" w:cstheme="majorHAnsi"/>
          <w:color w:val="000000"/>
          <w:sz w:val="22"/>
          <w:szCs w:val="22"/>
          <w:u w:val="single"/>
        </w:rPr>
        <w:t>.</w:t>
      </w:r>
      <w:r w:rsidRPr="00FC7537">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 </w:t>
      </w:r>
      <w:proofErr w:type="gramStart"/>
      <w:r w:rsidRPr="00FC7537">
        <w:rPr>
          <w:rFonts w:asciiTheme="majorHAnsi" w:hAnsiTheme="majorHAnsi" w:cstheme="majorHAnsi"/>
          <w:color w:val="000000"/>
          <w:sz w:val="22"/>
          <w:szCs w:val="22"/>
        </w:rPr>
        <w:t>As</w:t>
      </w:r>
      <w:proofErr w:type="gramEnd"/>
      <w:r w:rsidRPr="00FC7537">
        <w:rPr>
          <w:rFonts w:asciiTheme="majorHAnsi" w:hAnsiTheme="majorHAnsi" w:cstheme="majorHAnsi"/>
          <w:color w:val="000000"/>
          <w:sz w:val="22"/>
          <w:szCs w:val="22"/>
        </w:rPr>
        <w:t xml:space="preserve"> a Berkeley Law student, you are entitled to general software support for your computer from the law school, and certain free software downloads from UC Berkeley, while enrolled.  If you have issues with internet access or computer equipment required to participate in classes remotely, contact </w:t>
      </w:r>
      <w:hyperlink r:id="rId11" w:history="1">
        <w:r w:rsidRPr="00FC7537">
          <w:rPr>
            <w:rStyle w:val="Hyperlink"/>
            <w:rFonts w:asciiTheme="majorHAnsi" w:hAnsiTheme="majorHAnsi" w:cstheme="majorHAnsi"/>
            <w:color w:val="1155CC"/>
            <w:sz w:val="22"/>
            <w:szCs w:val="22"/>
          </w:rPr>
          <w:t>studentcomputing@law.berkeley.edu</w:t>
        </w:r>
      </w:hyperlink>
      <w:r w:rsidRPr="00FC7537">
        <w:rPr>
          <w:rFonts w:asciiTheme="majorHAnsi" w:hAnsiTheme="majorHAnsi" w:cstheme="majorHAnsi"/>
          <w:color w:val="000000"/>
          <w:sz w:val="22"/>
          <w:szCs w:val="22"/>
        </w:rPr>
        <w:t>. Information, links, and instructions for many common computer/technical questions can be found in the</w:t>
      </w:r>
      <w:hyperlink r:id="rId12" w:history="1">
        <w:r w:rsidRPr="00FC7537">
          <w:rPr>
            <w:rStyle w:val="Hyperlink"/>
            <w:rFonts w:asciiTheme="majorHAnsi" w:hAnsiTheme="majorHAnsi" w:cstheme="majorHAnsi"/>
            <w:color w:val="000000"/>
            <w:sz w:val="22"/>
            <w:szCs w:val="22"/>
          </w:rPr>
          <w:t xml:space="preserve"> </w:t>
        </w:r>
        <w:r w:rsidRPr="00FC7537">
          <w:rPr>
            <w:rStyle w:val="Hyperlink"/>
            <w:rFonts w:asciiTheme="majorHAnsi" w:hAnsiTheme="majorHAnsi" w:cstheme="majorHAnsi"/>
            <w:sz w:val="22"/>
            <w:szCs w:val="22"/>
          </w:rPr>
          <w:t>law library's online computing guide</w:t>
        </w:r>
      </w:hyperlink>
      <w:r w:rsidRPr="00FC7537">
        <w:rPr>
          <w:rFonts w:asciiTheme="majorHAnsi" w:hAnsiTheme="majorHAnsi" w:cstheme="majorHAnsi"/>
          <w:color w:val="000000"/>
          <w:sz w:val="22"/>
          <w:szCs w:val="22"/>
        </w:rPr>
        <w:t xml:space="preserve">. For </w:t>
      </w:r>
      <w:proofErr w:type="spellStart"/>
      <w:r w:rsidRPr="00FC7537">
        <w:rPr>
          <w:rFonts w:asciiTheme="majorHAnsi" w:hAnsiTheme="majorHAnsi" w:cstheme="majorHAnsi"/>
          <w:color w:val="000000"/>
          <w:sz w:val="22"/>
          <w:szCs w:val="22"/>
        </w:rPr>
        <w:t>bCourses</w:t>
      </w:r>
      <w:proofErr w:type="spellEnd"/>
      <w:r w:rsidRPr="00FC7537">
        <w:rPr>
          <w:rFonts w:asciiTheme="majorHAnsi" w:hAnsiTheme="majorHAnsi" w:cstheme="majorHAnsi"/>
          <w:color w:val="000000"/>
          <w:sz w:val="22"/>
          <w:szCs w:val="22"/>
        </w:rPr>
        <w:t xml:space="preserve">, Zoom, and technical support questions, please email </w:t>
      </w:r>
      <w:hyperlink r:id="rId13" w:history="1">
        <w:r w:rsidRPr="00FC7537">
          <w:rPr>
            <w:rStyle w:val="Hyperlink"/>
            <w:rFonts w:asciiTheme="majorHAnsi" w:hAnsiTheme="majorHAnsi" w:cstheme="majorHAnsi"/>
            <w:color w:val="1155CC"/>
            <w:sz w:val="22"/>
            <w:szCs w:val="22"/>
          </w:rPr>
          <w:t>studentcomputing@law.berkeley.edu</w:t>
        </w:r>
      </w:hyperlink>
      <w:r w:rsidRPr="00FC7537">
        <w:rPr>
          <w:rFonts w:asciiTheme="majorHAnsi" w:hAnsiTheme="majorHAnsi" w:cstheme="majorHAnsi"/>
          <w:color w:val="000000"/>
          <w:sz w:val="22"/>
          <w:szCs w:val="22"/>
        </w:rPr>
        <w:t xml:space="preserve"> or you can use the</w:t>
      </w:r>
      <w:hyperlink r:id="rId14" w:history="1">
        <w:r w:rsidRPr="00FC7537">
          <w:rPr>
            <w:rStyle w:val="Hyperlink"/>
            <w:rFonts w:asciiTheme="majorHAnsi" w:hAnsiTheme="majorHAnsi" w:cstheme="majorHAnsi"/>
            <w:color w:val="000000"/>
            <w:sz w:val="22"/>
            <w:szCs w:val="22"/>
          </w:rPr>
          <w:t xml:space="preserve"> </w:t>
        </w:r>
        <w:r w:rsidRPr="00FC7537">
          <w:rPr>
            <w:rStyle w:val="Hyperlink"/>
            <w:rFonts w:asciiTheme="majorHAnsi" w:hAnsiTheme="majorHAnsi" w:cstheme="majorHAnsi"/>
            <w:sz w:val="22"/>
            <w:szCs w:val="22"/>
          </w:rPr>
          <w:t>Student Computing chat.</w:t>
        </w:r>
      </w:hyperlink>
      <w:r w:rsidRPr="00FC7537">
        <w:rPr>
          <w:rFonts w:asciiTheme="majorHAnsi" w:hAnsiTheme="majorHAnsi" w:cstheme="majorHAnsi"/>
          <w:color w:val="000000"/>
          <w:sz w:val="22"/>
          <w:szCs w:val="22"/>
        </w:rPr>
        <w:t xml:space="preserve"> In both cases, someone will respond to you during our regular business hours.</w:t>
      </w:r>
    </w:p>
    <w:p w14:paraId="5A74E45A" w14:textId="77777777" w:rsidR="00871419" w:rsidRPr="00FC7537" w:rsidRDefault="00871419" w:rsidP="00871419">
      <w:pPr>
        <w:rPr>
          <w:rFonts w:asciiTheme="majorHAnsi" w:hAnsiTheme="majorHAnsi" w:cstheme="majorHAnsi"/>
          <w:color w:val="000000"/>
        </w:rPr>
      </w:pPr>
    </w:p>
    <w:p w14:paraId="5169450F" w14:textId="77777777" w:rsidR="00871419" w:rsidRPr="00FC7537" w:rsidRDefault="00871419" w:rsidP="00871419">
      <w:pPr>
        <w:pStyle w:val="NormalWeb"/>
        <w:spacing w:before="0" w:beforeAutospacing="0" w:after="0" w:afterAutospacing="0"/>
        <w:rPr>
          <w:rFonts w:asciiTheme="majorHAnsi" w:hAnsiTheme="majorHAnsi" w:cstheme="majorHAnsi"/>
          <w:color w:val="000000"/>
          <w:sz w:val="22"/>
          <w:szCs w:val="22"/>
        </w:rPr>
      </w:pPr>
      <w:r w:rsidRPr="00FC7537">
        <w:rPr>
          <w:rFonts w:asciiTheme="majorHAnsi" w:hAnsiTheme="majorHAnsi" w:cstheme="majorHAnsi"/>
          <w:color w:val="000000"/>
          <w:sz w:val="22"/>
          <w:szCs w:val="22"/>
        </w:rPr>
        <w:t>If you have research-related questions, please contact the reference librarians by filling out the</w:t>
      </w:r>
      <w:hyperlink r:id="rId15" w:history="1">
        <w:r w:rsidRPr="00FC7537">
          <w:rPr>
            <w:rStyle w:val="Hyperlink"/>
            <w:rFonts w:asciiTheme="majorHAnsi" w:hAnsiTheme="majorHAnsi" w:cstheme="majorHAnsi"/>
            <w:color w:val="000000"/>
            <w:sz w:val="22"/>
            <w:szCs w:val="22"/>
          </w:rPr>
          <w:t xml:space="preserve"> </w:t>
        </w:r>
        <w:r w:rsidRPr="00FC7537">
          <w:rPr>
            <w:rStyle w:val="Hyperlink"/>
            <w:rFonts w:asciiTheme="majorHAnsi" w:hAnsiTheme="majorHAnsi" w:cstheme="majorHAnsi"/>
            <w:sz w:val="22"/>
            <w:szCs w:val="22"/>
          </w:rPr>
          <w:t>reference request form</w:t>
        </w:r>
      </w:hyperlink>
      <w:r w:rsidRPr="00FC7537">
        <w:rPr>
          <w:rFonts w:asciiTheme="majorHAnsi" w:hAnsiTheme="majorHAnsi" w:cstheme="majorHAnsi"/>
          <w:color w:val="000000"/>
          <w:sz w:val="22"/>
          <w:szCs w:val="22"/>
        </w:rPr>
        <w:t>. You can also reach reference librarians during business hours by using the</w:t>
      </w:r>
      <w:hyperlink r:id="rId16" w:history="1">
        <w:r w:rsidRPr="00FC7537">
          <w:rPr>
            <w:rStyle w:val="Hyperlink"/>
            <w:rFonts w:asciiTheme="majorHAnsi" w:hAnsiTheme="majorHAnsi" w:cstheme="majorHAnsi"/>
            <w:color w:val="000000"/>
            <w:sz w:val="22"/>
            <w:szCs w:val="22"/>
          </w:rPr>
          <w:t xml:space="preserve"> </w:t>
        </w:r>
        <w:r w:rsidRPr="00FC7537">
          <w:rPr>
            <w:rStyle w:val="Hyperlink"/>
            <w:rFonts w:asciiTheme="majorHAnsi" w:hAnsiTheme="majorHAnsi" w:cstheme="majorHAnsi"/>
            <w:sz w:val="22"/>
            <w:szCs w:val="22"/>
          </w:rPr>
          <w:t>law library’s chat service</w:t>
        </w:r>
      </w:hyperlink>
      <w:r w:rsidRPr="00FC7537">
        <w:rPr>
          <w:rFonts w:asciiTheme="majorHAnsi" w:hAnsiTheme="majorHAnsi" w:cstheme="majorHAnsi"/>
          <w:color w:val="000000"/>
          <w:sz w:val="22"/>
          <w:szCs w:val="22"/>
        </w:rPr>
        <w:t>. </w:t>
      </w:r>
    </w:p>
    <w:p w14:paraId="4E8B2DA9" w14:textId="77777777" w:rsidR="00871419" w:rsidRDefault="00871419" w:rsidP="00871419">
      <w:pPr>
        <w:pStyle w:val="NormalWeb"/>
        <w:spacing w:before="0" w:beforeAutospacing="0" w:after="0" w:afterAutospacing="0"/>
        <w:rPr>
          <w:rFonts w:asciiTheme="majorHAnsi" w:hAnsiTheme="majorHAnsi" w:cstheme="majorHAnsi"/>
          <w:color w:val="000000"/>
          <w:sz w:val="22"/>
          <w:szCs w:val="22"/>
        </w:rPr>
      </w:pPr>
    </w:p>
    <w:p w14:paraId="4C6384BC" w14:textId="77777777" w:rsidR="00871419" w:rsidRPr="003E64AE" w:rsidRDefault="00871419" w:rsidP="00871419">
      <w:pPr>
        <w:pStyle w:val="NormalWeb"/>
        <w:spacing w:before="0" w:beforeAutospacing="0" w:after="0" w:afterAutospacing="0"/>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6</w:t>
      </w:r>
      <w:r w:rsidRPr="003E64AE">
        <w:rPr>
          <w:rFonts w:asciiTheme="majorHAnsi" w:hAnsiTheme="majorHAnsi" w:cstheme="majorHAnsi"/>
          <w:color w:val="000000"/>
          <w:sz w:val="22"/>
          <w:szCs w:val="22"/>
        </w:rPr>
        <w:t>) If you are in need of economic, food, or housing support, you can find basic needs information</w:t>
      </w:r>
      <w:hyperlink r:id="rId17" w:history="1">
        <w:r w:rsidRPr="003E64AE">
          <w:rPr>
            <w:rStyle w:val="Hyperlink"/>
            <w:rFonts w:asciiTheme="majorHAnsi" w:hAnsiTheme="majorHAnsi" w:cstheme="majorHAnsi"/>
            <w:color w:val="000000"/>
            <w:sz w:val="22"/>
            <w:szCs w:val="22"/>
          </w:rPr>
          <w:t xml:space="preserve"> </w:t>
        </w:r>
        <w:r w:rsidRPr="003E64AE">
          <w:rPr>
            <w:rStyle w:val="Hyperlink"/>
            <w:rFonts w:asciiTheme="majorHAnsi" w:hAnsiTheme="majorHAnsi" w:cstheme="majorHAnsi"/>
            <w:sz w:val="22"/>
            <w:szCs w:val="22"/>
          </w:rPr>
          <w:t>here</w:t>
        </w:r>
      </w:hyperlink>
      <w:r w:rsidRPr="003E64AE">
        <w:rPr>
          <w:rFonts w:asciiTheme="majorHAnsi" w:hAnsiTheme="majorHAnsi" w:cstheme="majorHAnsi"/>
          <w:color w:val="000000"/>
          <w:sz w:val="22"/>
          <w:szCs w:val="22"/>
        </w:rPr>
        <w:t xml:space="preserve"> You may be eligible for money to buy groceries via</w:t>
      </w:r>
      <w:hyperlink r:id="rId18" w:history="1">
        <w:r w:rsidRPr="003E64AE">
          <w:rPr>
            <w:rStyle w:val="Hyperlink"/>
            <w:rFonts w:asciiTheme="majorHAnsi" w:hAnsiTheme="majorHAnsi" w:cstheme="majorHAnsi"/>
            <w:color w:val="000000"/>
            <w:sz w:val="22"/>
            <w:szCs w:val="22"/>
          </w:rPr>
          <w:t xml:space="preserve"> </w:t>
        </w:r>
        <w:proofErr w:type="spellStart"/>
        <w:r w:rsidRPr="003E64AE">
          <w:rPr>
            <w:rStyle w:val="Hyperlink"/>
            <w:rFonts w:asciiTheme="majorHAnsi" w:hAnsiTheme="majorHAnsi" w:cstheme="majorHAnsi"/>
            <w:sz w:val="22"/>
            <w:szCs w:val="22"/>
          </w:rPr>
          <w:t>CalFresh</w:t>
        </w:r>
        <w:proofErr w:type="spellEnd"/>
      </w:hyperlink>
      <w:r w:rsidRPr="003E64AE">
        <w:rPr>
          <w:rFonts w:asciiTheme="majorHAnsi" w:hAnsiTheme="majorHAnsi" w:cstheme="majorHAnsi"/>
          <w:color w:val="000000"/>
          <w:sz w:val="22"/>
          <w:szCs w:val="22"/>
        </w:rPr>
        <w:t xml:space="preserve"> or our Food Assistance Program. If you need food immediately, please visit our</w:t>
      </w:r>
      <w:hyperlink r:id="rId19" w:history="1">
        <w:r w:rsidRPr="003E64AE">
          <w:rPr>
            <w:rStyle w:val="Hyperlink"/>
            <w:rFonts w:asciiTheme="majorHAnsi" w:hAnsiTheme="majorHAnsi" w:cstheme="majorHAnsi"/>
            <w:color w:val="000000"/>
            <w:sz w:val="22"/>
            <w:szCs w:val="22"/>
          </w:rPr>
          <w:t xml:space="preserve"> </w:t>
        </w:r>
        <w:r w:rsidRPr="003E64AE">
          <w:rPr>
            <w:rStyle w:val="Hyperlink"/>
            <w:rFonts w:asciiTheme="majorHAnsi" w:hAnsiTheme="majorHAnsi" w:cstheme="majorHAnsi"/>
            <w:sz w:val="22"/>
            <w:szCs w:val="22"/>
          </w:rPr>
          <w:t>UC Berkeley Food Pantry</w:t>
        </w:r>
      </w:hyperlink>
      <w:r w:rsidRPr="003E64AE">
        <w:rPr>
          <w:rFonts w:asciiTheme="majorHAnsi" w:hAnsiTheme="majorHAnsi" w:cstheme="majorHAnsi"/>
          <w:color w:val="000000"/>
          <w:sz w:val="22"/>
          <w:szCs w:val="22"/>
        </w:rPr>
        <w:t>.</w:t>
      </w:r>
    </w:p>
    <w:p w14:paraId="20E8000F" w14:textId="77777777" w:rsidR="00871419" w:rsidRPr="003E64AE" w:rsidRDefault="00871419" w:rsidP="00871419">
      <w:pPr>
        <w:pStyle w:val="NormalWeb"/>
        <w:spacing w:before="0" w:beforeAutospacing="0" w:after="0" w:afterAutospacing="0"/>
        <w:rPr>
          <w:rFonts w:asciiTheme="majorHAnsi" w:hAnsiTheme="majorHAnsi" w:cstheme="majorHAnsi"/>
          <w:color w:val="000000"/>
          <w:sz w:val="22"/>
          <w:szCs w:val="22"/>
        </w:rPr>
      </w:pPr>
      <w:r w:rsidRPr="003E64AE">
        <w:rPr>
          <w:rFonts w:asciiTheme="majorHAnsi" w:hAnsiTheme="majorHAnsi" w:cstheme="majorHAnsi"/>
          <w:color w:val="000000"/>
          <w:sz w:val="22"/>
          <w:szCs w:val="22"/>
        </w:rPr>
        <w:t> </w:t>
      </w:r>
    </w:p>
    <w:p w14:paraId="7F56F82B" w14:textId="77777777" w:rsidR="00871419" w:rsidRPr="003E64AE" w:rsidRDefault="00871419" w:rsidP="00871419">
      <w:pPr>
        <w:pStyle w:val="NormalWeb"/>
        <w:spacing w:before="0" w:beforeAutospacing="0" w:after="0" w:afterAutospacing="0"/>
        <w:rPr>
          <w:rFonts w:asciiTheme="majorHAnsi" w:hAnsiTheme="majorHAnsi" w:cstheme="majorHAnsi"/>
          <w:color w:val="000000"/>
          <w:sz w:val="22"/>
          <w:szCs w:val="22"/>
        </w:rPr>
      </w:pPr>
      <w:r>
        <w:rPr>
          <w:rFonts w:asciiTheme="majorHAnsi" w:hAnsiTheme="majorHAnsi" w:cstheme="majorHAnsi"/>
          <w:color w:val="000000"/>
          <w:sz w:val="22"/>
          <w:szCs w:val="22"/>
        </w:rPr>
        <w:t>7</w:t>
      </w:r>
      <w:r w:rsidRPr="003E64AE">
        <w:rPr>
          <w:rFonts w:asciiTheme="majorHAnsi" w:hAnsiTheme="majorHAnsi" w:cstheme="majorHAnsi"/>
          <w:color w:val="000000"/>
          <w:sz w:val="22"/>
          <w:szCs w:val="22"/>
        </w:rPr>
        <w:t xml:space="preserve">) The University of California is committed to creating and maintaining a community dedicated to the advancement, application, and transmission of knowledge and creative endeavors through academic excellence, where all individuals who participate in </w:t>
      </w:r>
      <w:proofErr w:type="gramStart"/>
      <w:r w:rsidRPr="003E64AE">
        <w:rPr>
          <w:rFonts w:asciiTheme="majorHAnsi" w:hAnsiTheme="majorHAnsi" w:cstheme="majorHAnsi"/>
          <w:color w:val="000000"/>
          <w:sz w:val="22"/>
          <w:szCs w:val="22"/>
        </w:rPr>
        <w:t>University</w:t>
      </w:r>
      <w:proofErr w:type="gramEnd"/>
      <w:r w:rsidRPr="003E64AE">
        <w:rPr>
          <w:rFonts w:asciiTheme="majorHAnsi" w:hAnsiTheme="majorHAnsi" w:cstheme="majorHAnsi"/>
          <w:color w:val="000000"/>
          <w:sz w:val="22"/>
          <w:szCs w:val="22"/>
        </w:rPr>
        <w:t xml:space="preserve"> programs and activities can work and learn together in an atmosphere free of harassment, exploitation, or intimidation. Every member of the community should be aware that the University prohibits sexual violence and sexual harassment, retaliation, and other prohibited behavior (“Prohibited Conduct”) that violates the law and/or University policy. The University will respond promptly and effectively to reports of Prohibited Conduct and will take appropriate action to prevent, correct, and when necessary, to discipline behavior that violates this policy. For the complete UC Policy, definitions, compliance, and procedures, please access the</w:t>
      </w:r>
      <w:hyperlink r:id="rId20" w:history="1">
        <w:r w:rsidRPr="003E64AE">
          <w:rPr>
            <w:rStyle w:val="Hyperlink"/>
            <w:rFonts w:asciiTheme="majorHAnsi" w:hAnsiTheme="majorHAnsi" w:cstheme="majorHAnsi"/>
            <w:color w:val="000000"/>
            <w:sz w:val="22"/>
            <w:szCs w:val="22"/>
          </w:rPr>
          <w:t xml:space="preserve"> </w:t>
        </w:r>
        <w:r w:rsidRPr="003E64AE">
          <w:rPr>
            <w:rStyle w:val="Hyperlink"/>
            <w:rFonts w:asciiTheme="majorHAnsi" w:hAnsiTheme="majorHAnsi" w:cstheme="majorHAnsi"/>
            <w:sz w:val="22"/>
            <w:szCs w:val="22"/>
          </w:rPr>
          <w:t>Sexual Violence and Sexual Harassment Policy</w:t>
        </w:r>
      </w:hyperlink>
      <w:r w:rsidRPr="003E64AE">
        <w:rPr>
          <w:rFonts w:asciiTheme="majorHAnsi" w:hAnsiTheme="majorHAnsi" w:cstheme="majorHAnsi"/>
          <w:color w:val="000000"/>
          <w:sz w:val="22"/>
          <w:szCs w:val="22"/>
        </w:rPr>
        <w:t>.</w:t>
      </w:r>
    </w:p>
    <w:p w14:paraId="467B76B7" w14:textId="77777777" w:rsidR="00871419" w:rsidRPr="003E64AE" w:rsidRDefault="00871419" w:rsidP="00871419">
      <w:pPr>
        <w:pStyle w:val="NormalWeb"/>
        <w:spacing w:before="0" w:beforeAutospacing="0" w:after="0" w:afterAutospacing="0"/>
        <w:rPr>
          <w:rFonts w:asciiTheme="majorHAnsi" w:hAnsiTheme="majorHAnsi" w:cstheme="majorHAnsi"/>
          <w:color w:val="000000"/>
          <w:sz w:val="22"/>
          <w:szCs w:val="22"/>
        </w:rPr>
      </w:pPr>
      <w:r w:rsidRPr="003E64AE">
        <w:rPr>
          <w:rFonts w:asciiTheme="majorHAnsi" w:hAnsiTheme="majorHAnsi" w:cstheme="majorHAnsi"/>
          <w:color w:val="000000"/>
          <w:sz w:val="22"/>
          <w:szCs w:val="22"/>
        </w:rPr>
        <w:t> </w:t>
      </w:r>
    </w:p>
    <w:p w14:paraId="0986364E" w14:textId="77777777" w:rsidR="00871419" w:rsidRPr="003E64AE" w:rsidRDefault="00871419" w:rsidP="00871419">
      <w:pPr>
        <w:pStyle w:val="NormalWeb"/>
        <w:spacing w:before="0" w:beforeAutospacing="0" w:after="0" w:afterAutospacing="0"/>
        <w:rPr>
          <w:rFonts w:asciiTheme="majorHAnsi" w:hAnsiTheme="majorHAnsi" w:cstheme="majorHAnsi"/>
          <w:color w:val="000000"/>
          <w:sz w:val="22"/>
          <w:szCs w:val="22"/>
        </w:rPr>
      </w:pPr>
      <w:r w:rsidRPr="003E64AE">
        <w:rPr>
          <w:rFonts w:asciiTheme="majorHAnsi" w:hAnsiTheme="majorHAnsi" w:cstheme="majorHAnsi"/>
          <w:color w:val="000000"/>
          <w:sz w:val="22"/>
          <w:szCs w:val="22"/>
        </w:rPr>
        <w:t xml:space="preserve">Resources: If you have further questions or concerns about reporting behavior related to sexual harassment, sexual violence, and/or protected category discrimination, please contact the Office for the Prevention of Harassment and Discrimination (OPHD) by phone 510-643-7985 or email </w:t>
      </w:r>
      <w:hyperlink r:id="rId21" w:history="1">
        <w:r w:rsidRPr="003E64AE">
          <w:rPr>
            <w:rStyle w:val="Hyperlink"/>
            <w:rFonts w:asciiTheme="majorHAnsi" w:hAnsiTheme="majorHAnsi" w:cstheme="majorHAnsi"/>
            <w:color w:val="1155CC"/>
            <w:sz w:val="22"/>
            <w:szCs w:val="22"/>
          </w:rPr>
          <w:t>ask_ophd@berkeley.edu</w:t>
        </w:r>
      </w:hyperlink>
      <w:r w:rsidRPr="003E64AE">
        <w:rPr>
          <w:rFonts w:asciiTheme="majorHAnsi" w:hAnsiTheme="majorHAnsi" w:cstheme="majorHAnsi"/>
          <w:color w:val="000000"/>
          <w:sz w:val="22"/>
          <w:szCs w:val="22"/>
        </w:rPr>
        <w:t>.</w:t>
      </w:r>
    </w:p>
    <w:p w14:paraId="7CDE106B" w14:textId="77777777" w:rsidR="00871419" w:rsidRPr="003E64AE" w:rsidRDefault="00871419" w:rsidP="00871419">
      <w:pPr>
        <w:pStyle w:val="NormalWeb"/>
        <w:spacing w:before="0" w:beforeAutospacing="0" w:after="0" w:afterAutospacing="0"/>
        <w:rPr>
          <w:rFonts w:asciiTheme="majorHAnsi" w:hAnsiTheme="majorHAnsi" w:cstheme="majorHAnsi"/>
          <w:color w:val="000000"/>
          <w:sz w:val="22"/>
          <w:szCs w:val="22"/>
        </w:rPr>
      </w:pPr>
      <w:r w:rsidRPr="003E64AE">
        <w:rPr>
          <w:rFonts w:asciiTheme="majorHAnsi" w:hAnsiTheme="majorHAnsi" w:cstheme="majorHAnsi"/>
          <w:color w:val="000000"/>
          <w:sz w:val="22"/>
          <w:szCs w:val="22"/>
        </w:rPr>
        <w:t> </w:t>
      </w:r>
    </w:p>
    <w:p w14:paraId="6E28E103" w14:textId="77777777" w:rsidR="00871419" w:rsidRPr="003E64AE" w:rsidRDefault="00871419" w:rsidP="00871419">
      <w:pPr>
        <w:pStyle w:val="NormalWeb"/>
        <w:spacing w:before="0" w:beforeAutospacing="0" w:after="0" w:afterAutospacing="0"/>
        <w:rPr>
          <w:rFonts w:asciiTheme="majorHAnsi" w:hAnsiTheme="majorHAnsi" w:cstheme="majorHAnsi"/>
          <w:color w:val="000000"/>
          <w:sz w:val="22"/>
          <w:szCs w:val="22"/>
        </w:rPr>
      </w:pPr>
      <w:hyperlink r:id="rId22" w:history="1">
        <w:r w:rsidRPr="003E64AE">
          <w:rPr>
            <w:rStyle w:val="Hyperlink"/>
            <w:rFonts w:asciiTheme="majorHAnsi" w:hAnsiTheme="majorHAnsi" w:cstheme="majorHAnsi"/>
            <w:color w:val="1155CC"/>
            <w:sz w:val="22"/>
            <w:szCs w:val="22"/>
          </w:rPr>
          <w:t>Path to Care Center</w:t>
        </w:r>
      </w:hyperlink>
      <w:r w:rsidRPr="003E64AE">
        <w:rPr>
          <w:rFonts w:asciiTheme="majorHAnsi" w:hAnsiTheme="majorHAnsi" w:cstheme="majorHAnsi"/>
          <w:color w:val="000000"/>
          <w:sz w:val="22"/>
          <w:szCs w:val="22"/>
        </w:rPr>
        <w:t xml:space="preserve"> Confidential Advocates provide affirming, empowering, and confidential support for those that have experienced gendered violence, including sexual harassment, emotional abuse, dating, and intimate partner violence, sexual assault, stalking, and sexual exploitation. Advocates bring a non-judgmental, caring approach to exploring all options, rights, and resources. They can be reached by phone at (510) 642-1988. </w:t>
      </w:r>
    </w:p>
    <w:p w14:paraId="74CD4CB1" w14:textId="1EDB04CA" w:rsidR="00871419" w:rsidRPr="00871419" w:rsidRDefault="00871419" w:rsidP="00871419">
      <w:pPr>
        <w:rPr>
          <w:rFonts w:asciiTheme="majorHAnsi" w:hAnsiTheme="majorHAnsi"/>
          <w:b/>
        </w:rPr>
      </w:pPr>
    </w:p>
    <w:sectPr w:rsidR="00871419" w:rsidRPr="00871419" w:rsidSect="001B0FC4">
      <w:footerReference w:type="even" r:id="rId23"/>
      <w:footerReference w:type="default" r:id="rId24"/>
      <w:pgSz w:w="12240" w:h="15840" w:code="1"/>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44035" w14:textId="77777777" w:rsidR="00AC57D5" w:rsidRDefault="00AC57D5" w:rsidP="00135D6B">
      <w:r>
        <w:separator/>
      </w:r>
    </w:p>
  </w:endnote>
  <w:endnote w:type="continuationSeparator" w:id="0">
    <w:p w14:paraId="021DD42F" w14:textId="77777777" w:rsidR="00AC57D5" w:rsidRDefault="00AC57D5" w:rsidP="0013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6ED3" w14:textId="77777777" w:rsidR="00233118" w:rsidRDefault="00233118" w:rsidP="00135D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C7516B" w14:textId="77777777" w:rsidR="00233118" w:rsidRDefault="00233118" w:rsidP="00135D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D63A" w14:textId="77777777" w:rsidR="00233118" w:rsidRDefault="00233118" w:rsidP="00135D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1C3A">
      <w:rPr>
        <w:rStyle w:val="PageNumber"/>
        <w:noProof/>
      </w:rPr>
      <w:t>1</w:t>
    </w:r>
    <w:r>
      <w:rPr>
        <w:rStyle w:val="PageNumber"/>
      </w:rPr>
      <w:fldChar w:fldCharType="end"/>
    </w:r>
  </w:p>
  <w:p w14:paraId="02954564" w14:textId="77777777" w:rsidR="00233118" w:rsidRDefault="00233118" w:rsidP="00135D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6007C" w14:textId="77777777" w:rsidR="00AC57D5" w:rsidRDefault="00AC57D5" w:rsidP="00135D6B">
      <w:r>
        <w:separator/>
      </w:r>
    </w:p>
  </w:footnote>
  <w:footnote w:type="continuationSeparator" w:id="0">
    <w:p w14:paraId="45B64A96" w14:textId="77777777" w:rsidR="00AC57D5" w:rsidRDefault="00AC57D5" w:rsidP="00135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CC08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528CA"/>
    <w:multiLevelType w:val="hybridMultilevel"/>
    <w:tmpl w:val="177C6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C675BE"/>
    <w:multiLevelType w:val="hybridMultilevel"/>
    <w:tmpl w:val="AC62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353A8"/>
    <w:multiLevelType w:val="hybridMultilevel"/>
    <w:tmpl w:val="572C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A38BE"/>
    <w:multiLevelType w:val="hybridMultilevel"/>
    <w:tmpl w:val="236A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35959"/>
    <w:multiLevelType w:val="hybridMultilevel"/>
    <w:tmpl w:val="C6CE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73885"/>
    <w:multiLevelType w:val="hybridMultilevel"/>
    <w:tmpl w:val="26DC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8647B"/>
    <w:multiLevelType w:val="multilevel"/>
    <w:tmpl w:val="0914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6466B"/>
    <w:multiLevelType w:val="hybridMultilevel"/>
    <w:tmpl w:val="073A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F04CA"/>
    <w:multiLevelType w:val="hybridMultilevel"/>
    <w:tmpl w:val="F65E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F00AB"/>
    <w:multiLevelType w:val="hybridMultilevel"/>
    <w:tmpl w:val="FA08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866DD"/>
    <w:multiLevelType w:val="multilevel"/>
    <w:tmpl w:val="F9F0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6930CE"/>
    <w:multiLevelType w:val="multilevel"/>
    <w:tmpl w:val="0EB6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5B6D41"/>
    <w:multiLevelType w:val="multilevel"/>
    <w:tmpl w:val="68CA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6D214C"/>
    <w:multiLevelType w:val="hybridMultilevel"/>
    <w:tmpl w:val="2DEA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A87A6E"/>
    <w:multiLevelType w:val="hybridMultilevel"/>
    <w:tmpl w:val="25D02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7229EB"/>
    <w:multiLevelType w:val="multilevel"/>
    <w:tmpl w:val="B1D4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B40F00"/>
    <w:multiLevelType w:val="hybridMultilevel"/>
    <w:tmpl w:val="EEA4A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2817708">
    <w:abstractNumId w:val="8"/>
  </w:num>
  <w:num w:numId="2" w16cid:durableId="1140464378">
    <w:abstractNumId w:val="4"/>
  </w:num>
  <w:num w:numId="3" w16cid:durableId="1294754837">
    <w:abstractNumId w:val="7"/>
  </w:num>
  <w:num w:numId="4" w16cid:durableId="436828853">
    <w:abstractNumId w:val="1"/>
  </w:num>
  <w:num w:numId="5" w16cid:durableId="905187915">
    <w:abstractNumId w:val="15"/>
  </w:num>
  <w:num w:numId="6" w16cid:durableId="1552956446">
    <w:abstractNumId w:val="6"/>
  </w:num>
  <w:num w:numId="7" w16cid:durableId="622536057">
    <w:abstractNumId w:val="10"/>
  </w:num>
  <w:num w:numId="8" w16cid:durableId="1336811152">
    <w:abstractNumId w:val="12"/>
  </w:num>
  <w:num w:numId="9" w16cid:durableId="785739377">
    <w:abstractNumId w:val="14"/>
  </w:num>
  <w:num w:numId="10" w16cid:durableId="1823427400">
    <w:abstractNumId w:val="17"/>
  </w:num>
  <w:num w:numId="11" w16cid:durableId="1636594275">
    <w:abstractNumId w:val="5"/>
  </w:num>
  <w:num w:numId="12" w16cid:durableId="1272277821">
    <w:abstractNumId w:val="16"/>
  </w:num>
  <w:num w:numId="13" w16cid:durableId="1940869490">
    <w:abstractNumId w:val="9"/>
  </w:num>
  <w:num w:numId="14" w16cid:durableId="682978562">
    <w:abstractNumId w:val="2"/>
  </w:num>
  <w:num w:numId="15" w16cid:durableId="1186871054">
    <w:abstractNumId w:val="3"/>
  </w:num>
  <w:num w:numId="16" w16cid:durableId="2074623187">
    <w:abstractNumId w:val="13"/>
  </w:num>
  <w:num w:numId="17" w16cid:durableId="540095243">
    <w:abstractNumId w:val="11"/>
  </w:num>
  <w:num w:numId="18" w16cid:durableId="1988436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40E"/>
    <w:rsid w:val="000010E3"/>
    <w:rsid w:val="000015D7"/>
    <w:rsid w:val="00005C08"/>
    <w:rsid w:val="000061F1"/>
    <w:rsid w:val="00006B64"/>
    <w:rsid w:val="000176F2"/>
    <w:rsid w:val="00020335"/>
    <w:rsid w:val="00020CBF"/>
    <w:rsid w:val="00021BDF"/>
    <w:rsid w:val="0002468C"/>
    <w:rsid w:val="00032198"/>
    <w:rsid w:val="00036516"/>
    <w:rsid w:val="00050BDF"/>
    <w:rsid w:val="00056819"/>
    <w:rsid w:val="00057652"/>
    <w:rsid w:val="0006015C"/>
    <w:rsid w:val="0006031F"/>
    <w:rsid w:val="00060A15"/>
    <w:rsid w:val="00063C9A"/>
    <w:rsid w:val="000716D4"/>
    <w:rsid w:val="00072B45"/>
    <w:rsid w:val="00073384"/>
    <w:rsid w:val="000751A9"/>
    <w:rsid w:val="0007643F"/>
    <w:rsid w:val="000825F3"/>
    <w:rsid w:val="00083895"/>
    <w:rsid w:val="000A266F"/>
    <w:rsid w:val="000A3220"/>
    <w:rsid w:val="000A7FAC"/>
    <w:rsid w:val="000B016B"/>
    <w:rsid w:val="000B0583"/>
    <w:rsid w:val="000B0F14"/>
    <w:rsid w:val="000B1BF1"/>
    <w:rsid w:val="000C0717"/>
    <w:rsid w:val="000C0B94"/>
    <w:rsid w:val="000C578A"/>
    <w:rsid w:val="000C759A"/>
    <w:rsid w:val="000D6202"/>
    <w:rsid w:val="000E050B"/>
    <w:rsid w:val="000E4E58"/>
    <w:rsid w:val="000F0975"/>
    <w:rsid w:val="000F597A"/>
    <w:rsid w:val="00103D8E"/>
    <w:rsid w:val="00103DAC"/>
    <w:rsid w:val="00105614"/>
    <w:rsid w:val="0010740D"/>
    <w:rsid w:val="001107E0"/>
    <w:rsid w:val="00115BC6"/>
    <w:rsid w:val="00125B8B"/>
    <w:rsid w:val="001313DE"/>
    <w:rsid w:val="00132985"/>
    <w:rsid w:val="001350DE"/>
    <w:rsid w:val="00135D6B"/>
    <w:rsid w:val="00137173"/>
    <w:rsid w:val="00150A24"/>
    <w:rsid w:val="00152240"/>
    <w:rsid w:val="00164852"/>
    <w:rsid w:val="00167171"/>
    <w:rsid w:val="00171C4F"/>
    <w:rsid w:val="00177AEA"/>
    <w:rsid w:val="0018627D"/>
    <w:rsid w:val="00186D3B"/>
    <w:rsid w:val="00187A5B"/>
    <w:rsid w:val="00191D6C"/>
    <w:rsid w:val="0019240A"/>
    <w:rsid w:val="001940E5"/>
    <w:rsid w:val="001944D6"/>
    <w:rsid w:val="0019575C"/>
    <w:rsid w:val="00196C28"/>
    <w:rsid w:val="001A2DE5"/>
    <w:rsid w:val="001A408E"/>
    <w:rsid w:val="001A6322"/>
    <w:rsid w:val="001A6B0D"/>
    <w:rsid w:val="001A75EF"/>
    <w:rsid w:val="001B0FC4"/>
    <w:rsid w:val="001B2D5D"/>
    <w:rsid w:val="001B6771"/>
    <w:rsid w:val="001B6EAA"/>
    <w:rsid w:val="001D63BD"/>
    <w:rsid w:val="001E52EB"/>
    <w:rsid w:val="001F2CFA"/>
    <w:rsid w:val="001F4A95"/>
    <w:rsid w:val="001F6453"/>
    <w:rsid w:val="001F6518"/>
    <w:rsid w:val="00200AE1"/>
    <w:rsid w:val="00200D3C"/>
    <w:rsid w:val="00204B29"/>
    <w:rsid w:val="00205B92"/>
    <w:rsid w:val="00205E93"/>
    <w:rsid w:val="00207C8A"/>
    <w:rsid w:val="0021010B"/>
    <w:rsid w:val="00216B53"/>
    <w:rsid w:val="00217C61"/>
    <w:rsid w:val="0022683B"/>
    <w:rsid w:val="00233118"/>
    <w:rsid w:val="00233F2C"/>
    <w:rsid w:val="00247E50"/>
    <w:rsid w:val="00250207"/>
    <w:rsid w:val="002518DB"/>
    <w:rsid w:val="002675A7"/>
    <w:rsid w:val="00270D08"/>
    <w:rsid w:val="002713AA"/>
    <w:rsid w:val="002731F4"/>
    <w:rsid w:val="00276DF5"/>
    <w:rsid w:val="00292373"/>
    <w:rsid w:val="00293548"/>
    <w:rsid w:val="002974B9"/>
    <w:rsid w:val="002A1C3A"/>
    <w:rsid w:val="002A2265"/>
    <w:rsid w:val="002A3C65"/>
    <w:rsid w:val="002B1113"/>
    <w:rsid w:val="002B1B3B"/>
    <w:rsid w:val="002B39F9"/>
    <w:rsid w:val="002B4E14"/>
    <w:rsid w:val="002C273D"/>
    <w:rsid w:val="002C73BB"/>
    <w:rsid w:val="002D6E0D"/>
    <w:rsid w:val="002E0D81"/>
    <w:rsid w:val="002E3274"/>
    <w:rsid w:val="002E3BC6"/>
    <w:rsid w:val="002E4CF4"/>
    <w:rsid w:val="002F5933"/>
    <w:rsid w:val="002F62ED"/>
    <w:rsid w:val="00303CC4"/>
    <w:rsid w:val="00306EAD"/>
    <w:rsid w:val="003075B2"/>
    <w:rsid w:val="003133BB"/>
    <w:rsid w:val="003138A6"/>
    <w:rsid w:val="00314483"/>
    <w:rsid w:val="00314A94"/>
    <w:rsid w:val="00321243"/>
    <w:rsid w:val="00323A4C"/>
    <w:rsid w:val="00324256"/>
    <w:rsid w:val="00333280"/>
    <w:rsid w:val="003407BC"/>
    <w:rsid w:val="003454CE"/>
    <w:rsid w:val="00350C32"/>
    <w:rsid w:val="00354F8D"/>
    <w:rsid w:val="00355A1B"/>
    <w:rsid w:val="003578D4"/>
    <w:rsid w:val="00366EAC"/>
    <w:rsid w:val="00372FE3"/>
    <w:rsid w:val="0038484A"/>
    <w:rsid w:val="003848CF"/>
    <w:rsid w:val="0039046D"/>
    <w:rsid w:val="00393157"/>
    <w:rsid w:val="00394E4B"/>
    <w:rsid w:val="00396E11"/>
    <w:rsid w:val="003A0DFD"/>
    <w:rsid w:val="003B1EFA"/>
    <w:rsid w:val="003B3485"/>
    <w:rsid w:val="003C0719"/>
    <w:rsid w:val="003C6DD6"/>
    <w:rsid w:val="003E2252"/>
    <w:rsid w:val="003E55D5"/>
    <w:rsid w:val="003E64AE"/>
    <w:rsid w:val="003E6764"/>
    <w:rsid w:val="003E6BCD"/>
    <w:rsid w:val="003F0ED8"/>
    <w:rsid w:val="003F4D03"/>
    <w:rsid w:val="003F5956"/>
    <w:rsid w:val="003F7F67"/>
    <w:rsid w:val="004004E4"/>
    <w:rsid w:val="00404C4A"/>
    <w:rsid w:val="004069AF"/>
    <w:rsid w:val="0041145C"/>
    <w:rsid w:val="0041485F"/>
    <w:rsid w:val="00417E2C"/>
    <w:rsid w:val="004213AD"/>
    <w:rsid w:val="0042604B"/>
    <w:rsid w:val="00426304"/>
    <w:rsid w:val="004466B3"/>
    <w:rsid w:val="00450D99"/>
    <w:rsid w:val="00453E62"/>
    <w:rsid w:val="00457768"/>
    <w:rsid w:val="004645E2"/>
    <w:rsid w:val="00467E48"/>
    <w:rsid w:val="004708D2"/>
    <w:rsid w:val="0047332C"/>
    <w:rsid w:val="00474257"/>
    <w:rsid w:val="0047622E"/>
    <w:rsid w:val="00477176"/>
    <w:rsid w:val="00486289"/>
    <w:rsid w:val="004911A8"/>
    <w:rsid w:val="0049330A"/>
    <w:rsid w:val="004940DD"/>
    <w:rsid w:val="004A02F9"/>
    <w:rsid w:val="004B2258"/>
    <w:rsid w:val="004B587F"/>
    <w:rsid w:val="004C029A"/>
    <w:rsid w:val="004C3316"/>
    <w:rsid w:val="004D2ED6"/>
    <w:rsid w:val="004D3287"/>
    <w:rsid w:val="004D41FC"/>
    <w:rsid w:val="004D7519"/>
    <w:rsid w:val="004E322B"/>
    <w:rsid w:val="004E4898"/>
    <w:rsid w:val="004E62EF"/>
    <w:rsid w:val="004E78FB"/>
    <w:rsid w:val="004F08A6"/>
    <w:rsid w:val="004F3041"/>
    <w:rsid w:val="004F4FC3"/>
    <w:rsid w:val="004F5358"/>
    <w:rsid w:val="004F78F1"/>
    <w:rsid w:val="00513481"/>
    <w:rsid w:val="005168CA"/>
    <w:rsid w:val="00520301"/>
    <w:rsid w:val="00521878"/>
    <w:rsid w:val="00525AD5"/>
    <w:rsid w:val="00530917"/>
    <w:rsid w:val="00542290"/>
    <w:rsid w:val="00546B61"/>
    <w:rsid w:val="00551B30"/>
    <w:rsid w:val="00560A73"/>
    <w:rsid w:val="00562383"/>
    <w:rsid w:val="00564C0D"/>
    <w:rsid w:val="00570449"/>
    <w:rsid w:val="0057364E"/>
    <w:rsid w:val="00574295"/>
    <w:rsid w:val="00575B97"/>
    <w:rsid w:val="00584A47"/>
    <w:rsid w:val="0058511E"/>
    <w:rsid w:val="00585EA1"/>
    <w:rsid w:val="005862AA"/>
    <w:rsid w:val="00592B91"/>
    <w:rsid w:val="0059743F"/>
    <w:rsid w:val="005A3A2C"/>
    <w:rsid w:val="005A3D55"/>
    <w:rsid w:val="005B14FD"/>
    <w:rsid w:val="005B15F8"/>
    <w:rsid w:val="005B1AFB"/>
    <w:rsid w:val="005B41AF"/>
    <w:rsid w:val="005C2044"/>
    <w:rsid w:val="005C2A03"/>
    <w:rsid w:val="005C33E5"/>
    <w:rsid w:val="005C4D4B"/>
    <w:rsid w:val="005C5D0C"/>
    <w:rsid w:val="005C7464"/>
    <w:rsid w:val="005D22E3"/>
    <w:rsid w:val="005D5B7C"/>
    <w:rsid w:val="005D750C"/>
    <w:rsid w:val="005D7B9F"/>
    <w:rsid w:val="005E1023"/>
    <w:rsid w:val="005E1AF8"/>
    <w:rsid w:val="005F5459"/>
    <w:rsid w:val="00601415"/>
    <w:rsid w:val="006035B8"/>
    <w:rsid w:val="006067F7"/>
    <w:rsid w:val="00615ED5"/>
    <w:rsid w:val="0062334B"/>
    <w:rsid w:val="0062419A"/>
    <w:rsid w:val="00624F05"/>
    <w:rsid w:val="00625537"/>
    <w:rsid w:val="006306E4"/>
    <w:rsid w:val="00630724"/>
    <w:rsid w:val="00630C1D"/>
    <w:rsid w:val="006428AC"/>
    <w:rsid w:val="006446B7"/>
    <w:rsid w:val="00644B95"/>
    <w:rsid w:val="0064784F"/>
    <w:rsid w:val="0065241F"/>
    <w:rsid w:val="00653C34"/>
    <w:rsid w:val="00654236"/>
    <w:rsid w:val="00656926"/>
    <w:rsid w:val="00664DE7"/>
    <w:rsid w:val="00665F8D"/>
    <w:rsid w:val="00666B03"/>
    <w:rsid w:val="0068032E"/>
    <w:rsid w:val="0068290B"/>
    <w:rsid w:val="00685D62"/>
    <w:rsid w:val="0069206B"/>
    <w:rsid w:val="006970EA"/>
    <w:rsid w:val="006A0240"/>
    <w:rsid w:val="006A3493"/>
    <w:rsid w:val="006A363C"/>
    <w:rsid w:val="006A6CEB"/>
    <w:rsid w:val="006B2819"/>
    <w:rsid w:val="006C7CC7"/>
    <w:rsid w:val="006D19C7"/>
    <w:rsid w:val="006D375B"/>
    <w:rsid w:val="006D4344"/>
    <w:rsid w:val="006D7753"/>
    <w:rsid w:val="006D79CE"/>
    <w:rsid w:val="006E2F87"/>
    <w:rsid w:val="006E70DD"/>
    <w:rsid w:val="006F14BC"/>
    <w:rsid w:val="006F3F24"/>
    <w:rsid w:val="0070311D"/>
    <w:rsid w:val="00707263"/>
    <w:rsid w:val="0071137D"/>
    <w:rsid w:val="007155D2"/>
    <w:rsid w:val="00715AA4"/>
    <w:rsid w:val="00723BF2"/>
    <w:rsid w:val="00725759"/>
    <w:rsid w:val="00726D68"/>
    <w:rsid w:val="0074039A"/>
    <w:rsid w:val="00747896"/>
    <w:rsid w:val="00750111"/>
    <w:rsid w:val="00751193"/>
    <w:rsid w:val="007513E7"/>
    <w:rsid w:val="00754CDE"/>
    <w:rsid w:val="007624CB"/>
    <w:rsid w:val="00762870"/>
    <w:rsid w:val="007638FE"/>
    <w:rsid w:val="00763FB5"/>
    <w:rsid w:val="00777A9D"/>
    <w:rsid w:val="00780B65"/>
    <w:rsid w:val="007841E0"/>
    <w:rsid w:val="007849F5"/>
    <w:rsid w:val="00792A6F"/>
    <w:rsid w:val="007A0CCE"/>
    <w:rsid w:val="007A10E2"/>
    <w:rsid w:val="007A1AE7"/>
    <w:rsid w:val="007A481E"/>
    <w:rsid w:val="007A6D18"/>
    <w:rsid w:val="007B0219"/>
    <w:rsid w:val="007B090E"/>
    <w:rsid w:val="007B2D2D"/>
    <w:rsid w:val="007B73C8"/>
    <w:rsid w:val="007B74DA"/>
    <w:rsid w:val="007C1B82"/>
    <w:rsid w:val="007C1CB3"/>
    <w:rsid w:val="007C3000"/>
    <w:rsid w:val="007D2215"/>
    <w:rsid w:val="007D5BB0"/>
    <w:rsid w:val="007D5F0F"/>
    <w:rsid w:val="007D5FC6"/>
    <w:rsid w:val="007D6149"/>
    <w:rsid w:val="007D644F"/>
    <w:rsid w:val="007E1836"/>
    <w:rsid w:val="007E41C5"/>
    <w:rsid w:val="007E5620"/>
    <w:rsid w:val="007E64D7"/>
    <w:rsid w:val="007F3360"/>
    <w:rsid w:val="007F427B"/>
    <w:rsid w:val="007F7630"/>
    <w:rsid w:val="0080112C"/>
    <w:rsid w:val="00801356"/>
    <w:rsid w:val="00802A60"/>
    <w:rsid w:val="008045E9"/>
    <w:rsid w:val="00804672"/>
    <w:rsid w:val="00805557"/>
    <w:rsid w:val="00813883"/>
    <w:rsid w:val="00814601"/>
    <w:rsid w:val="008274FC"/>
    <w:rsid w:val="00835104"/>
    <w:rsid w:val="00836559"/>
    <w:rsid w:val="008454C1"/>
    <w:rsid w:val="00846354"/>
    <w:rsid w:val="008547C3"/>
    <w:rsid w:val="00855125"/>
    <w:rsid w:val="00865FFB"/>
    <w:rsid w:val="00866378"/>
    <w:rsid w:val="00870FC4"/>
    <w:rsid w:val="00871419"/>
    <w:rsid w:val="00871671"/>
    <w:rsid w:val="00877D17"/>
    <w:rsid w:val="00877E5D"/>
    <w:rsid w:val="008819A2"/>
    <w:rsid w:val="0088453E"/>
    <w:rsid w:val="00890EA6"/>
    <w:rsid w:val="008944A6"/>
    <w:rsid w:val="008A28D1"/>
    <w:rsid w:val="008A5F92"/>
    <w:rsid w:val="008A65E7"/>
    <w:rsid w:val="008B046E"/>
    <w:rsid w:val="008B0B45"/>
    <w:rsid w:val="008B5B57"/>
    <w:rsid w:val="008D25E7"/>
    <w:rsid w:val="008D7AF1"/>
    <w:rsid w:val="008D7EA2"/>
    <w:rsid w:val="008E4AA3"/>
    <w:rsid w:val="008E6DC9"/>
    <w:rsid w:val="008F0E6F"/>
    <w:rsid w:val="008F3CFB"/>
    <w:rsid w:val="008F78B0"/>
    <w:rsid w:val="00900C37"/>
    <w:rsid w:val="00901195"/>
    <w:rsid w:val="00902AA7"/>
    <w:rsid w:val="00902BA3"/>
    <w:rsid w:val="00905670"/>
    <w:rsid w:val="0090637E"/>
    <w:rsid w:val="0091351E"/>
    <w:rsid w:val="00913A4D"/>
    <w:rsid w:val="0091419C"/>
    <w:rsid w:val="00916223"/>
    <w:rsid w:val="00916910"/>
    <w:rsid w:val="009200D5"/>
    <w:rsid w:val="00921142"/>
    <w:rsid w:val="009221CB"/>
    <w:rsid w:val="00922422"/>
    <w:rsid w:val="00930735"/>
    <w:rsid w:val="0093244B"/>
    <w:rsid w:val="00933CE0"/>
    <w:rsid w:val="0093404F"/>
    <w:rsid w:val="00934BC0"/>
    <w:rsid w:val="009368EC"/>
    <w:rsid w:val="00936E18"/>
    <w:rsid w:val="00940E74"/>
    <w:rsid w:val="00942FD6"/>
    <w:rsid w:val="00945855"/>
    <w:rsid w:val="009462D1"/>
    <w:rsid w:val="00953ECB"/>
    <w:rsid w:val="00960879"/>
    <w:rsid w:val="009611E0"/>
    <w:rsid w:val="00961895"/>
    <w:rsid w:val="00962229"/>
    <w:rsid w:val="00962F8B"/>
    <w:rsid w:val="00963AE4"/>
    <w:rsid w:val="00966882"/>
    <w:rsid w:val="00966CFF"/>
    <w:rsid w:val="00971A7D"/>
    <w:rsid w:val="00974409"/>
    <w:rsid w:val="00974A5E"/>
    <w:rsid w:val="00980320"/>
    <w:rsid w:val="00986683"/>
    <w:rsid w:val="009969C9"/>
    <w:rsid w:val="009A1C77"/>
    <w:rsid w:val="009A322D"/>
    <w:rsid w:val="009A49F7"/>
    <w:rsid w:val="009A67D3"/>
    <w:rsid w:val="009A7EA0"/>
    <w:rsid w:val="009B1802"/>
    <w:rsid w:val="009C1386"/>
    <w:rsid w:val="009C568D"/>
    <w:rsid w:val="009C769C"/>
    <w:rsid w:val="009D0D20"/>
    <w:rsid w:val="009D5F78"/>
    <w:rsid w:val="009E12E9"/>
    <w:rsid w:val="009E528D"/>
    <w:rsid w:val="009E71B1"/>
    <w:rsid w:val="009E7617"/>
    <w:rsid w:val="009E7BE3"/>
    <w:rsid w:val="009F6562"/>
    <w:rsid w:val="009F677C"/>
    <w:rsid w:val="00A00FA6"/>
    <w:rsid w:val="00A04A87"/>
    <w:rsid w:val="00A07B9A"/>
    <w:rsid w:val="00A10EE2"/>
    <w:rsid w:val="00A11958"/>
    <w:rsid w:val="00A13EA5"/>
    <w:rsid w:val="00A16484"/>
    <w:rsid w:val="00A16C69"/>
    <w:rsid w:val="00A17E54"/>
    <w:rsid w:val="00A21A0C"/>
    <w:rsid w:val="00A25215"/>
    <w:rsid w:val="00A27990"/>
    <w:rsid w:val="00A350F1"/>
    <w:rsid w:val="00A37B63"/>
    <w:rsid w:val="00A41489"/>
    <w:rsid w:val="00A419BC"/>
    <w:rsid w:val="00A422F2"/>
    <w:rsid w:val="00A42C30"/>
    <w:rsid w:val="00A44BC2"/>
    <w:rsid w:val="00A512CA"/>
    <w:rsid w:val="00A5163C"/>
    <w:rsid w:val="00A521AD"/>
    <w:rsid w:val="00A61FB6"/>
    <w:rsid w:val="00A62198"/>
    <w:rsid w:val="00A62CC0"/>
    <w:rsid w:val="00A63065"/>
    <w:rsid w:val="00A67930"/>
    <w:rsid w:val="00A736AA"/>
    <w:rsid w:val="00A743F6"/>
    <w:rsid w:val="00A80A2D"/>
    <w:rsid w:val="00A862AD"/>
    <w:rsid w:val="00A87CA9"/>
    <w:rsid w:val="00A87CD0"/>
    <w:rsid w:val="00A9194E"/>
    <w:rsid w:val="00A91D2B"/>
    <w:rsid w:val="00A93F35"/>
    <w:rsid w:val="00A93F96"/>
    <w:rsid w:val="00AA0D04"/>
    <w:rsid w:val="00AA371B"/>
    <w:rsid w:val="00AA400E"/>
    <w:rsid w:val="00AB06DB"/>
    <w:rsid w:val="00AB2B07"/>
    <w:rsid w:val="00AB5194"/>
    <w:rsid w:val="00AB6BA0"/>
    <w:rsid w:val="00AC3F37"/>
    <w:rsid w:val="00AC460F"/>
    <w:rsid w:val="00AC57D5"/>
    <w:rsid w:val="00AC78C7"/>
    <w:rsid w:val="00AD0AA8"/>
    <w:rsid w:val="00AD2F62"/>
    <w:rsid w:val="00AD3063"/>
    <w:rsid w:val="00AD5257"/>
    <w:rsid w:val="00AD787E"/>
    <w:rsid w:val="00AE699B"/>
    <w:rsid w:val="00AF08AC"/>
    <w:rsid w:val="00AF647D"/>
    <w:rsid w:val="00AF7AE7"/>
    <w:rsid w:val="00AF7D11"/>
    <w:rsid w:val="00B0553B"/>
    <w:rsid w:val="00B1059A"/>
    <w:rsid w:val="00B11727"/>
    <w:rsid w:val="00B13410"/>
    <w:rsid w:val="00B1350A"/>
    <w:rsid w:val="00B1356C"/>
    <w:rsid w:val="00B164AE"/>
    <w:rsid w:val="00B21926"/>
    <w:rsid w:val="00B2360A"/>
    <w:rsid w:val="00B24FF1"/>
    <w:rsid w:val="00B27EB0"/>
    <w:rsid w:val="00B30B40"/>
    <w:rsid w:val="00B312FA"/>
    <w:rsid w:val="00B3160D"/>
    <w:rsid w:val="00B352BA"/>
    <w:rsid w:val="00B4034F"/>
    <w:rsid w:val="00B4128B"/>
    <w:rsid w:val="00B52A75"/>
    <w:rsid w:val="00B54C83"/>
    <w:rsid w:val="00B55933"/>
    <w:rsid w:val="00B61462"/>
    <w:rsid w:val="00B674AA"/>
    <w:rsid w:val="00B70595"/>
    <w:rsid w:val="00B75CE2"/>
    <w:rsid w:val="00B8040E"/>
    <w:rsid w:val="00B94F79"/>
    <w:rsid w:val="00B96907"/>
    <w:rsid w:val="00BA6E35"/>
    <w:rsid w:val="00BA7D7A"/>
    <w:rsid w:val="00BC0BA0"/>
    <w:rsid w:val="00BC3763"/>
    <w:rsid w:val="00BC77DE"/>
    <w:rsid w:val="00BD04CA"/>
    <w:rsid w:val="00BD0B58"/>
    <w:rsid w:val="00BD1ADB"/>
    <w:rsid w:val="00BD2635"/>
    <w:rsid w:val="00BD26A9"/>
    <w:rsid w:val="00BD37A2"/>
    <w:rsid w:val="00BD6F75"/>
    <w:rsid w:val="00BD76C3"/>
    <w:rsid w:val="00BD7D04"/>
    <w:rsid w:val="00BE2804"/>
    <w:rsid w:val="00BE60C8"/>
    <w:rsid w:val="00BF2091"/>
    <w:rsid w:val="00BF4519"/>
    <w:rsid w:val="00BF5014"/>
    <w:rsid w:val="00BF7DE1"/>
    <w:rsid w:val="00C04CE9"/>
    <w:rsid w:val="00C10AF7"/>
    <w:rsid w:val="00C128E3"/>
    <w:rsid w:val="00C12D8F"/>
    <w:rsid w:val="00C15596"/>
    <w:rsid w:val="00C167EA"/>
    <w:rsid w:val="00C17516"/>
    <w:rsid w:val="00C21C42"/>
    <w:rsid w:val="00C22717"/>
    <w:rsid w:val="00C30A80"/>
    <w:rsid w:val="00C3404B"/>
    <w:rsid w:val="00C3660B"/>
    <w:rsid w:val="00C40DAA"/>
    <w:rsid w:val="00C43295"/>
    <w:rsid w:val="00C44110"/>
    <w:rsid w:val="00C469B5"/>
    <w:rsid w:val="00C508D5"/>
    <w:rsid w:val="00C638BC"/>
    <w:rsid w:val="00C64AD2"/>
    <w:rsid w:val="00C7002E"/>
    <w:rsid w:val="00C732F1"/>
    <w:rsid w:val="00C74DBE"/>
    <w:rsid w:val="00C817EA"/>
    <w:rsid w:val="00C83797"/>
    <w:rsid w:val="00C87105"/>
    <w:rsid w:val="00C8719F"/>
    <w:rsid w:val="00C87B2D"/>
    <w:rsid w:val="00C96DD9"/>
    <w:rsid w:val="00CA45AA"/>
    <w:rsid w:val="00CB44DD"/>
    <w:rsid w:val="00CB7070"/>
    <w:rsid w:val="00CC2A5E"/>
    <w:rsid w:val="00CC74AC"/>
    <w:rsid w:val="00CD345A"/>
    <w:rsid w:val="00CD4FF5"/>
    <w:rsid w:val="00CD505F"/>
    <w:rsid w:val="00CD5EF4"/>
    <w:rsid w:val="00CD6307"/>
    <w:rsid w:val="00CD6E1E"/>
    <w:rsid w:val="00CE737A"/>
    <w:rsid w:val="00CF3819"/>
    <w:rsid w:val="00CF3C85"/>
    <w:rsid w:val="00CF696D"/>
    <w:rsid w:val="00CF7D69"/>
    <w:rsid w:val="00D00571"/>
    <w:rsid w:val="00D037BC"/>
    <w:rsid w:val="00D1061F"/>
    <w:rsid w:val="00D13A39"/>
    <w:rsid w:val="00D14D74"/>
    <w:rsid w:val="00D16DAA"/>
    <w:rsid w:val="00D301C9"/>
    <w:rsid w:val="00D304F8"/>
    <w:rsid w:val="00D3350F"/>
    <w:rsid w:val="00D33751"/>
    <w:rsid w:val="00D33E22"/>
    <w:rsid w:val="00D35526"/>
    <w:rsid w:val="00D36860"/>
    <w:rsid w:val="00D3702D"/>
    <w:rsid w:val="00D45BA1"/>
    <w:rsid w:val="00D475DB"/>
    <w:rsid w:val="00D526B5"/>
    <w:rsid w:val="00D54E58"/>
    <w:rsid w:val="00D56796"/>
    <w:rsid w:val="00D57580"/>
    <w:rsid w:val="00D603E0"/>
    <w:rsid w:val="00D6194A"/>
    <w:rsid w:val="00D63747"/>
    <w:rsid w:val="00D80593"/>
    <w:rsid w:val="00D82236"/>
    <w:rsid w:val="00D84002"/>
    <w:rsid w:val="00D879B9"/>
    <w:rsid w:val="00D93519"/>
    <w:rsid w:val="00DA01E9"/>
    <w:rsid w:val="00DA034F"/>
    <w:rsid w:val="00DA1AA6"/>
    <w:rsid w:val="00DA3038"/>
    <w:rsid w:val="00DA5492"/>
    <w:rsid w:val="00DB1242"/>
    <w:rsid w:val="00DB3409"/>
    <w:rsid w:val="00DB6CC8"/>
    <w:rsid w:val="00DC06DF"/>
    <w:rsid w:val="00DC589A"/>
    <w:rsid w:val="00DD029F"/>
    <w:rsid w:val="00DD444A"/>
    <w:rsid w:val="00DD566D"/>
    <w:rsid w:val="00DD5E43"/>
    <w:rsid w:val="00DE0287"/>
    <w:rsid w:val="00DE10B7"/>
    <w:rsid w:val="00DE760A"/>
    <w:rsid w:val="00DF39FB"/>
    <w:rsid w:val="00DF412C"/>
    <w:rsid w:val="00DF440B"/>
    <w:rsid w:val="00DF54B2"/>
    <w:rsid w:val="00DF6600"/>
    <w:rsid w:val="00DF7A7E"/>
    <w:rsid w:val="00E020C1"/>
    <w:rsid w:val="00E10AF3"/>
    <w:rsid w:val="00E112EE"/>
    <w:rsid w:val="00E132E8"/>
    <w:rsid w:val="00E27679"/>
    <w:rsid w:val="00E421B1"/>
    <w:rsid w:val="00E4337E"/>
    <w:rsid w:val="00E54C0B"/>
    <w:rsid w:val="00E5708D"/>
    <w:rsid w:val="00E71197"/>
    <w:rsid w:val="00E729FA"/>
    <w:rsid w:val="00E73574"/>
    <w:rsid w:val="00E74485"/>
    <w:rsid w:val="00E77E50"/>
    <w:rsid w:val="00E8588E"/>
    <w:rsid w:val="00E911EE"/>
    <w:rsid w:val="00E9266C"/>
    <w:rsid w:val="00E93ACD"/>
    <w:rsid w:val="00EA71F8"/>
    <w:rsid w:val="00EB0970"/>
    <w:rsid w:val="00EB1963"/>
    <w:rsid w:val="00EC3C78"/>
    <w:rsid w:val="00EC6D7B"/>
    <w:rsid w:val="00ED13D8"/>
    <w:rsid w:val="00ED3A49"/>
    <w:rsid w:val="00EE33E5"/>
    <w:rsid w:val="00EE7AB3"/>
    <w:rsid w:val="00EF1B6F"/>
    <w:rsid w:val="00EF45DC"/>
    <w:rsid w:val="00EF6E30"/>
    <w:rsid w:val="00F04220"/>
    <w:rsid w:val="00F04BD9"/>
    <w:rsid w:val="00F065C3"/>
    <w:rsid w:val="00F10095"/>
    <w:rsid w:val="00F1097F"/>
    <w:rsid w:val="00F16F9B"/>
    <w:rsid w:val="00F17698"/>
    <w:rsid w:val="00F24B0A"/>
    <w:rsid w:val="00F270F8"/>
    <w:rsid w:val="00F3688C"/>
    <w:rsid w:val="00F41572"/>
    <w:rsid w:val="00F41669"/>
    <w:rsid w:val="00F42E67"/>
    <w:rsid w:val="00F435C5"/>
    <w:rsid w:val="00F4641A"/>
    <w:rsid w:val="00F50675"/>
    <w:rsid w:val="00F5376B"/>
    <w:rsid w:val="00F55B78"/>
    <w:rsid w:val="00F57869"/>
    <w:rsid w:val="00F66FFE"/>
    <w:rsid w:val="00F716B9"/>
    <w:rsid w:val="00F73FE1"/>
    <w:rsid w:val="00F81C7B"/>
    <w:rsid w:val="00F81CA4"/>
    <w:rsid w:val="00F82689"/>
    <w:rsid w:val="00F83402"/>
    <w:rsid w:val="00F934BA"/>
    <w:rsid w:val="00F93E6D"/>
    <w:rsid w:val="00F967C3"/>
    <w:rsid w:val="00FA31BB"/>
    <w:rsid w:val="00FA3FC6"/>
    <w:rsid w:val="00FA54C3"/>
    <w:rsid w:val="00FB067E"/>
    <w:rsid w:val="00FB397C"/>
    <w:rsid w:val="00FB436B"/>
    <w:rsid w:val="00FB47E5"/>
    <w:rsid w:val="00FB51DA"/>
    <w:rsid w:val="00FB64D9"/>
    <w:rsid w:val="00FC7537"/>
    <w:rsid w:val="00FE2018"/>
    <w:rsid w:val="00FF0837"/>
    <w:rsid w:val="00FF14C0"/>
    <w:rsid w:val="00FF2E85"/>
    <w:rsid w:val="00FF5D2B"/>
    <w:rsid w:val="00FF5E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1581E1"/>
  <w14:defaultImageDpi w14:val="330"/>
  <w15:docId w15:val="{BF4A23FC-93DD-4C34-BCBA-EA45869A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30B40"/>
    <w:rPr>
      <w:rFonts w:ascii="Calibri" w:eastAsia="Calibri" w:hAnsi="Calibri" w:cs="Times New Roman"/>
      <w:sz w:val="22"/>
      <w:szCs w:val="22"/>
    </w:rPr>
  </w:style>
  <w:style w:type="paragraph" w:styleId="Heading1">
    <w:name w:val="heading 1"/>
    <w:basedOn w:val="Normal"/>
    <w:next w:val="Normal"/>
    <w:link w:val="Heading1Char"/>
    <w:uiPriority w:val="9"/>
    <w:qFormat/>
    <w:rsid w:val="00103D8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A62198"/>
    <w:pPr>
      <w:keepNext/>
      <w:keepLines/>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
    <w:qFormat/>
    <w:rsid w:val="00A62198"/>
    <w:pPr>
      <w:keepNext/>
      <w:keepLines/>
      <w:spacing w:before="200"/>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2974B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726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B4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B30B40"/>
    <w:rPr>
      <w:rFonts w:ascii="Lucida Grande" w:hAnsi="Lucida Grande" w:cs="Lucida Grande"/>
      <w:sz w:val="18"/>
      <w:szCs w:val="18"/>
    </w:rPr>
  </w:style>
  <w:style w:type="character" w:customStyle="1" w:styleId="Heading2Char">
    <w:name w:val="Heading 2 Char"/>
    <w:basedOn w:val="DefaultParagraphFont"/>
    <w:link w:val="Heading2"/>
    <w:uiPriority w:val="9"/>
    <w:rsid w:val="00A62198"/>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A62198"/>
    <w:rPr>
      <w:rFonts w:ascii="Cambria" w:eastAsia="Times New Roman" w:hAnsi="Cambria" w:cs="Times New Roman"/>
      <w:b/>
      <w:bCs/>
      <w:sz w:val="20"/>
      <w:szCs w:val="20"/>
    </w:rPr>
  </w:style>
  <w:style w:type="character" w:styleId="Hyperlink">
    <w:name w:val="Hyperlink"/>
    <w:uiPriority w:val="99"/>
    <w:unhideWhenUsed/>
    <w:rsid w:val="00C17516"/>
    <w:rPr>
      <w:color w:val="0000FF"/>
      <w:u w:val="single"/>
    </w:rPr>
  </w:style>
  <w:style w:type="character" w:customStyle="1" w:styleId="Heading1Char">
    <w:name w:val="Heading 1 Char"/>
    <w:basedOn w:val="DefaultParagraphFont"/>
    <w:link w:val="Heading1"/>
    <w:uiPriority w:val="9"/>
    <w:rsid w:val="00103D8E"/>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355A1B"/>
    <w:rPr>
      <w:sz w:val="18"/>
      <w:szCs w:val="18"/>
    </w:rPr>
  </w:style>
  <w:style w:type="paragraph" w:styleId="CommentText">
    <w:name w:val="annotation text"/>
    <w:basedOn w:val="Normal"/>
    <w:link w:val="CommentTextChar"/>
    <w:uiPriority w:val="99"/>
    <w:semiHidden/>
    <w:unhideWhenUsed/>
    <w:rsid w:val="00355A1B"/>
    <w:rPr>
      <w:sz w:val="24"/>
      <w:szCs w:val="24"/>
    </w:rPr>
  </w:style>
  <w:style w:type="character" w:customStyle="1" w:styleId="CommentTextChar">
    <w:name w:val="Comment Text Char"/>
    <w:basedOn w:val="DefaultParagraphFont"/>
    <w:link w:val="CommentText"/>
    <w:uiPriority w:val="99"/>
    <w:semiHidden/>
    <w:rsid w:val="00355A1B"/>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55A1B"/>
    <w:rPr>
      <w:b/>
      <w:bCs/>
      <w:sz w:val="20"/>
      <w:szCs w:val="20"/>
    </w:rPr>
  </w:style>
  <w:style w:type="character" w:customStyle="1" w:styleId="CommentSubjectChar">
    <w:name w:val="Comment Subject Char"/>
    <w:basedOn w:val="CommentTextChar"/>
    <w:link w:val="CommentSubject"/>
    <w:uiPriority w:val="99"/>
    <w:semiHidden/>
    <w:rsid w:val="00355A1B"/>
    <w:rPr>
      <w:rFonts w:ascii="Calibri" w:eastAsia="Calibri" w:hAnsi="Calibri" w:cs="Times New Roman"/>
      <w:b/>
      <w:bCs/>
      <w:sz w:val="20"/>
      <w:szCs w:val="20"/>
    </w:rPr>
  </w:style>
  <w:style w:type="paragraph" w:styleId="NormalWeb">
    <w:name w:val="Normal (Web)"/>
    <w:basedOn w:val="Normal"/>
    <w:uiPriority w:val="99"/>
    <w:unhideWhenUsed/>
    <w:rsid w:val="00922422"/>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D6194A"/>
    <w:rPr>
      <w:color w:val="800080" w:themeColor="followedHyperlink"/>
      <w:u w:val="single"/>
    </w:rPr>
  </w:style>
  <w:style w:type="paragraph" w:styleId="Footer">
    <w:name w:val="footer"/>
    <w:basedOn w:val="Normal"/>
    <w:link w:val="FooterChar"/>
    <w:uiPriority w:val="99"/>
    <w:unhideWhenUsed/>
    <w:rsid w:val="00135D6B"/>
    <w:pPr>
      <w:tabs>
        <w:tab w:val="center" w:pos="4320"/>
        <w:tab w:val="right" w:pos="8640"/>
      </w:tabs>
    </w:pPr>
  </w:style>
  <w:style w:type="character" w:customStyle="1" w:styleId="FooterChar">
    <w:name w:val="Footer Char"/>
    <w:basedOn w:val="DefaultParagraphFont"/>
    <w:link w:val="Footer"/>
    <w:uiPriority w:val="99"/>
    <w:rsid w:val="00135D6B"/>
    <w:rPr>
      <w:rFonts w:ascii="Calibri" w:eastAsia="Calibri" w:hAnsi="Calibri" w:cs="Times New Roman"/>
      <w:sz w:val="22"/>
      <w:szCs w:val="22"/>
    </w:rPr>
  </w:style>
  <w:style w:type="character" w:styleId="PageNumber">
    <w:name w:val="page number"/>
    <w:basedOn w:val="DefaultParagraphFont"/>
    <w:uiPriority w:val="99"/>
    <w:semiHidden/>
    <w:unhideWhenUsed/>
    <w:rsid w:val="00135D6B"/>
  </w:style>
  <w:style w:type="paragraph" w:styleId="ListParagraph">
    <w:name w:val="List Paragraph"/>
    <w:basedOn w:val="Normal"/>
    <w:uiPriority w:val="34"/>
    <w:qFormat/>
    <w:rsid w:val="00520301"/>
    <w:pPr>
      <w:ind w:left="720"/>
      <w:contextualSpacing/>
    </w:pPr>
  </w:style>
  <w:style w:type="character" w:customStyle="1" w:styleId="apple-converted-space">
    <w:name w:val="apple-converted-space"/>
    <w:basedOn w:val="DefaultParagraphFont"/>
    <w:rsid w:val="009969C9"/>
  </w:style>
  <w:style w:type="character" w:customStyle="1" w:styleId="Heading5Char">
    <w:name w:val="Heading 5 Char"/>
    <w:basedOn w:val="DefaultParagraphFont"/>
    <w:link w:val="Heading5"/>
    <w:uiPriority w:val="9"/>
    <w:semiHidden/>
    <w:rsid w:val="00707263"/>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qFormat/>
    <w:rsid w:val="00707263"/>
    <w:rPr>
      <w:b/>
      <w:bCs/>
    </w:rPr>
  </w:style>
  <w:style w:type="paragraph" w:styleId="Revision">
    <w:name w:val="Revision"/>
    <w:hidden/>
    <w:uiPriority w:val="99"/>
    <w:semiHidden/>
    <w:rsid w:val="004E322B"/>
    <w:rPr>
      <w:rFonts w:ascii="Calibri" w:eastAsia="Calibri" w:hAnsi="Calibri" w:cs="Times New Roman"/>
      <w:sz w:val="22"/>
      <w:szCs w:val="22"/>
    </w:rPr>
  </w:style>
  <w:style w:type="paragraph" w:styleId="NoSpacing">
    <w:name w:val="No Spacing"/>
    <w:uiPriority w:val="1"/>
    <w:qFormat/>
    <w:rsid w:val="002C73BB"/>
    <w:rPr>
      <w:rFonts w:ascii="Calibri" w:eastAsia="Calibri" w:hAnsi="Calibri" w:cs="Times New Roman"/>
      <w:sz w:val="22"/>
      <w:szCs w:val="22"/>
    </w:rPr>
  </w:style>
  <w:style w:type="character" w:customStyle="1" w:styleId="Heading4Char">
    <w:name w:val="Heading 4 Char"/>
    <w:basedOn w:val="DefaultParagraphFont"/>
    <w:link w:val="Heading4"/>
    <w:uiPriority w:val="9"/>
    <w:semiHidden/>
    <w:rsid w:val="002974B9"/>
    <w:rPr>
      <w:rFonts w:asciiTheme="majorHAnsi" w:eastAsiaTheme="majorEastAsia" w:hAnsiTheme="majorHAnsi" w:cstheme="majorBidi"/>
      <w:b/>
      <w:bCs/>
      <w:i/>
      <w:iCs/>
      <w:color w:val="4F81BD" w:themeColor="accent1"/>
      <w:sz w:val="22"/>
      <w:szCs w:val="22"/>
    </w:rPr>
  </w:style>
  <w:style w:type="character" w:styleId="Emphasis">
    <w:name w:val="Emphasis"/>
    <w:basedOn w:val="DefaultParagraphFont"/>
    <w:uiPriority w:val="20"/>
    <w:qFormat/>
    <w:rsid w:val="002974B9"/>
    <w:rPr>
      <w:i/>
      <w:iCs/>
    </w:rPr>
  </w:style>
  <w:style w:type="character" w:customStyle="1" w:styleId="style1">
    <w:name w:val="style1"/>
    <w:basedOn w:val="DefaultParagraphFont"/>
    <w:rsid w:val="002974B9"/>
  </w:style>
  <w:style w:type="character" w:customStyle="1" w:styleId="instructurefilelinkholder">
    <w:name w:val="instructure_file_link_holder"/>
    <w:basedOn w:val="DefaultParagraphFont"/>
    <w:rsid w:val="00366EAC"/>
  </w:style>
  <w:style w:type="character" w:customStyle="1" w:styleId="instructurescribdfileholder">
    <w:name w:val="instructure_scribd_file_holder"/>
    <w:basedOn w:val="DefaultParagraphFont"/>
    <w:rsid w:val="00366EAC"/>
  </w:style>
  <w:style w:type="paragraph" w:styleId="Header">
    <w:name w:val="header"/>
    <w:basedOn w:val="Normal"/>
    <w:link w:val="HeaderChar"/>
    <w:uiPriority w:val="99"/>
    <w:unhideWhenUsed/>
    <w:rsid w:val="00060A15"/>
    <w:pPr>
      <w:tabs>
        <w:tab w:val="center" w:pos="4680"/>
        <w:tab w:val="right" w:pos="9360"/>
      </w:tabs>
    </w:pPr>
  </w:style>
  <w:style w:type="character" w:customStyle="1" w:styleId="HeaderChar">
    <w:name w:val="Header Char"/>
    <w:basedOn w:val="DefaultParagraphFont"/>
    <w:link w:val="Header"/>
    <w:uiPriority w:val="99"/>
    <w:rsid w:val="00060A15"/>
    <w:rPr>
      <w:rFonts w:ascii="Calibri" w:eastAsia="Calibri" w:hAnsi="Calibri" w:cs="Times New Roman"/>
      <w:sz w:val="22"/>
      <w:szCs w:val="22"/>
    </w:rPr>
  </w:style>
  <w:style w:type="character" w:customStyle="1" w:styleId="DocID">
    <w:name w:val="DocID"/>
    <w:basedOn w:val="DefaultParagraphFont"/>
    <w:rsid w:val="00060A15"/>
    <w:rPr>
      <w:rFonts w:ascii="Times New Roman" w:hAnsi="Times New Roman" w:cs="Times New Roman"/>
      <w:b w:val="0"/>
      <w:i w:val="0"/>
      <w:caps w:val="0"/>
      <w:vanish w:val="0"/>
      <w:color w:val="000000"/>
      <w:sz w:val="16"/>
      <w:u w:val="none"/>
    </w:rPr>
  </w:style>
  <w:style w:type="paragraph" w:styleId="ListBullet">
    <w:name w:val="List Bullet"/>
    <w:basedOn w:val="Normal"/>
    <w:uiPriority w:val="99"/>
    <w:unhideWhenUsed/>
    <w:rsid w:val="00B70595"/>
    <w:pPr>
      <w:numPr>
        <w:numId w:val="18"/>
      </w:numPr>
      <w:contextualSpacing/>
    </w:pPr>
  </w:style>
  <w:style w:type="character" w:styleId="PlaceholderText">
    <w:name w:val="Placeholder Text"/>
    <w:basedOn w:val="DefaultParagraphFont"/>
    <w:uiPriority w:val="99"/>
    <w:semiHidden/>
    <w:rsid w:val="00276DF5"/>
    <w:rPr>
      <w:color w:val="808080"/>
    </w:rPr>
  </w:style>
  <w:style w:type="table" w:styleId="TableGrid">
    <w:name w:val="Table Grid"/>
    <w:basedOn w:val="TableNormal"/>
    <w:uiPriority w:val="59"/>
    <w:rsid w:val="009B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139">
      <w:bodyDiv w:val="1"/>
      <w:marLeft w:val="0"/>
      <w:marRight w:val="0"/>
      <w:marTop w:val="0"/>
      <w:marBottom w:val="0"/>
      <w:divBdr>
        <w:top w:val="none" w:sz="0" w:space="0" w:color="auto"/>
        <w:left w:val="none" w:sz="0" w:space="0" w:color="auto"/>
        <w:bottom w:val="none" w:sz="0" w:space="0" w:color="auto"/>
        <w:right w:val="none" w:sz="0" w:space="0" w:color="auto"/>
      </w:divBdr>
    </w:div>
    <w:div w:id="94135765">
      <w:bodyDiv w:val="1"/>
      <w:marLeft w:val="0"/>
      <w:marRight w:val="0"/>
      <w:marTop w:val="0"/>
      <w:marBottom w:val="0"/>
      <w:divBdr>
        <w:top w:val="none" w:sz="0" w:space="0" w:color="auto"/>
        <w:left w:val="none" w:sz="0" w:space="0" w:color="auto"/>
        <w:bottom w:val="none" w:sz="0" w:space="0" w:color="auto"/>
        <w:right w:val="none" w:sz="0" w:space="0" w:color="auto"/>
      </w:divBdr>
    </w:div>
    <w:div w:id="145434516">
      <w:bodyDiv w:val="1"/>
      <w:marLeft w:val="0"/>
      <w:marRight w:val="0"/>
      <w:marTop w:val="0"/>
      <w:marBottom w:val="0"/>
      <w:divBdr>
        <w:top w:val="none" w:sz="0" w:space="0" w:color="auto"/>
        <w:left w:val="none" w:sz="0" w:space="0" w:color="auto"/>
        <w:bottom w:val="none" w:sz="0" w:space="0" w:color="auto"/>
        <w:right w:val="none" w:sz="0" w:space="0" w:color="auto"/>
      </w:divBdr>
    </w:div>
    <w:div w:id="194193071">
      <w:bodyDiv w:val="1"/>
      <w:marLeft w:val="0"/>
      <w:marRight w:val="0"/>
      <w:marTop w:val="0"/>
      <w:marBottom w:val="0"/>
      <w:divBdr>
        <w:top w:val="none" w:sz="0" w:space="0" w:color="auto"/>
        <w:left w:val="none" w:sz="0" w:space="0" w:color="auto"/>
        <w:bottom w:val="none" w:sz="0" w:space="0" w:color="auto"/>
        <w:right w:val="none" w:sz="0" w:space="0" w:color="auto"/>
      </w:divBdr>
    </w:div>
    <w:div w:id="344357743">
      <w:bodyDiv w:val="1"/>
      <w:marLeft w:val="0"/>
      <w:marRight w:val="0"/>
      <w:marTop w:val="0"/>
      <w:marBottom w:val="0"/>
      <w:divBdr>
        <w:top w:val="none" w:sz="0" w:space="0" w:color="auto"/>
        <w:left w:val="none" w:sz="0" w:space="0" w:color="auto"/>
        <w:bottom w:val="none" w:sz="0" w:space="0" w:color="auto"/>
        <w:right w:val="none" w:sz="0" w:space="0" w:color="auto"/>
      </w:divBdr>
    </w:div>
    <w:div w:id="350425093">
      <w:bodyDiv w:val="1"/>
      <w:marLeft w:val="0"/>
      <w:marRight w:val="0"/>
      <w:marTop w:val="0"/>
      <w:marBottom w:val="0"/>
      <w:divBdr>
        <w:top w:val="none" w:sz="0" w:space="0" w:color="auto"/>
        <w:left w:val="none" w:sz="0" w:space="0" w:color="auto"/>
        <w:bottom w:val="none" w:sz="0" w:space="0" w:color="auto"/>
        <w:right w:val="none" w:sz="0" w:space="0" w:color="auto"/>
      </w:divBdr>
    </w:div>
    <w:div w:id="425809522">
      <w:bodyDiv w:val="1"/>
      <w:marLeft w:val="0"/>
      <w:marRight w:val="0"/>
      <w:marTop w:val="0"/>
      <w:marBottom w:val="0"/>
      <w:divBdr>
        <w:top w:val="none" w:sz="0" w:space="0" w:color="auto"/>
        <w:left w:val="none" w:sz="0" w:space="0" w:color="auto"/>
        <w:bottom w:val="none" w:sz="0" w:space="0" w:color="auto"/>
        <w:right w:val="none" w:sz="0" w:space="0" w:color="auto"/>
      </w:divBdr>
      <w:divsChild>
        <w:div w:id="196898009">
          <w:marLeft w:val="0"/>
          <w:marRight w:val="0"/>
          <w:marTop w:val="0"/>
          <w:marBottom w:val="0"/>
          <w:divBdr>
            <w:top w:val="none" w:sz="0" w:space="0" w:color="auto"/>
            <w:left w:val="none" w:sz="0" w:space="0" w:color="auto"/>
            <w:bottom w:val="none" w:sz="0" w:space="0" w:color="auto"/>
            <w:right w:val="none" w:sz="0" w:space="0" w:color="auto"/>
          </w:divBdr>
          <w:divsChild>
            <w:div w:id="760570750">
              <w:marLeft w:val="0"/>
              <w:marRight w:val="0"/>
              <w:marTop w:val="0"/>
              <w:marBottom w:val="0"/>
              <w:divBdr>
                <w:top w:val="none" w:sz="0" w:space="0" w:color="auto"/>
                <w:left w:val="none" w:sz="0" w:space="0" w:color="auto"/>
                <w:bottom w:val="none" w:sz="0" w:space="0" w:color="auto"/>
                <w:right w:val="none" w:sz="0" w:space="0" w:color="auto"/>
              </w:divBdr>
            </w:div>
          </w:divsChild>
        </w:div>
        <w:div w:id="1823614983">
          <w:marLeft w:val="0"/>
          <w:marRight w:val="0"/>
          <w:marTop w:val="30"/>
          <w:marBottom w:val="0"/>
          <w:divBdr>
            <w:top w:val="none" w:sz="0" w:space="0" w:color="auto"/>
            <w:left w:val="none" w:sz="0" w:space="0" w:color="auto"/>
            <w:bottom w:val="none" w:sz="0" w:space="0" w:color="auto"/>
            <w:right w:val="none" w:sz="0" w:space="0" w:color="auto"/>
          </w:divBdr>
        </w:div>
      </w:divsChild>
    </w:div>
    <w:div w:id="452331907">
      <w:bodyDiv w:val="1"/>
      <w:marLeft w:val="0"/>
      <w:marRight w:val="0"/>
      <w:marTop w:val="0"/>
      <w:marBottom w:val="0"/>
      <w:divBdr>
        <w:top w:val="none" w:sz="0" w:space="0" w:color="auto"/>
        <w:left w:val="none" w:sz="0" w:space="0" w:color="auto"/>
        <w:bottom w:val="none" w:sz="0" w:space="0" w:color="auto"/>
        <w:right w:val="none" w:sz="0" w:space="0" w:color="auto"/>
      </w:divBdr>
    </w:div>
    <w:div w:id="576090790">
      <w:bodyDiv w:val="1"/>
      <w:marLeft w:val="0"/>
      <w:marRight w:val="0"/>
      <w:marTop w:val="0"/>
      <w:marBottom w:val="0"/>
      <w:divBdr>
        <w:top w:val="none" w:sz="0" w:space="0" w:color="auto"/>
        <w:left w:val="none" w:sz="0" w:space="0" w:color="auto"/>
        <w:bottom w:val="none" w:sz="0" w:space="0" w:color="auto"/>
        <w:right w:val="none" w:sz="0" w:space="0" w:color="auto"/>
      </w:divBdr>
    </w:div>
    <w:div w:id="715131131">
      <w:bodyDiv w:val="1"/>
      <w:marLeft w:val="0"/>
      <w:marRight w:val="0"/>
      <w:marTop w:val="0"/>
      <w:marBottom w:val="0"/>
      <w:divBdr>
        <w:top w:val="none" w:sz="0" w:space="0" w:color="auto"/>
        <w:left w:val="none" w:sz="0" w:space="0" w:color="auto"/>
        <w:bottom w:val="none" w:sz="0" w:space="0" w:color="auto"/>
        <w:right w:val="none" w:sz="0" w:space="0" w:color="auto"/>
      </w:divBdr>
    </w:div>
    <w:div w:id="762608172">
      <w:bodyDiv w:val="1"/>
      <w:marLeft w:val="0"/>
      <w:marRight w:val="0"/>
      <w:marTop w:val="0"/>
      <w:marBottom w:val="0"/>
      <w:divBdr>
        <w:top w:val="none" w:sz="0" w:space="0" w:color="auto"/>
        <w:left w:val="none" w:sz="0" w:space="0" w:color="auto"/>
        <w:bottom w:val="none" w:sz="0" w:space="0" w:color="auto"/>
        <w:right w:val="none" w:sz="0" w:space="0" w:color="auto"/>
      </w:divBdr>
    </w:div>
    <w:div w:id="842164087">
      <w:bodyDiv w:val="1"/>
      <w:marLeft w:val="0"/>
      <w:marRight w:val="0"/>
      <w:marTop w:val="0"/>
      <w:marBottom w:val="0"/>
      <w:divBdr>
        <w:top w:val="none" w:sz="0" w:space="0" w:color="auto"/>
        <w:left w:val="none" w:sz="0" w:space="0" w:color="auto"/>
        <w:bottom w:val="none" w:sz="0" w:space="0" w:color="auto"/>
        <w:right w:val="none" w:sz="0" w:space="0" w:color="auto"/>
      </w:divBdr>
    </w:div>
    <w:div w:id="950160645">
      <w:bodyDiv w:val="1"/>
      <w:marLeft w:val="0"/>
      <w:marRight w:val="0"/>
      <w:marTop w:val="0"/>
      <w:marBottom w:val="0"/>
      <w:divBdr>
        <w:top w:val="none" w:sz="0" w:space="0" w:color="auto"/>
        <w:left w:val="none" w:sz="0" w:space="0" w:color="auto"/>
        <w:bottom w:val="none" w:sz="0" w:space="0" w:color="auto"/>
        <w:right w:val="none" w:sz="0" w:space="0" w:color="auto"/>
      </w:divBdr>
    </w:div>
    <w:div w:id="960499292">
      <w:bodyDiv w:val="1"/>
      <w:marLeft w:val="0"/>
      <w:marRight w:val="0"/>
      <w:marTop w:val="0"/>
      <w:marBottom w:val="0"/>
      <w:divBdr>
        <w:top w:val="none" w:sz="0" w:space="0" w:color="auto"/>
        <w:left w:val="none" w:sz="0" w:space="0" w:color="auto"/>
        <w:bottom w:val="none" w:sz="0" w:space="0" w:color="auto"/>
        <w:right w:val="none" w:sz="0" w:space="0" w:color="auto"/>
      </w:divBdr>
      <w:divsChild>
        <w:div w:id="430860932">
          <w:marLeft w:val="0"/>
          <w:marRight w:val="0"/>
          <w:marTop w:val="0"/>
          <w:marBottom w:val="0"/>
          <w:divBdr>
            <w:top w:val="none" w:sz="0" w:space="0" w:color="auto"/>
            <w:left w:val="none" w:sz="0" w:space="0" w:color="auto"/>
            <w:bottom w:val="none" w:sz="0" w:space="0" w:color="auto"/>
            <w:right w:val="none" w:sz="0" w:space="0" w:color="auto"/>
          </w:divBdr>
        </w:div>
        <w:div w:id="17973396">
          <w:marLeft w:val="0"/>
          <w:marRight w:val="0"/>
          <w:marTop w:val="0"/>
          <w:marBottom w:val="0"/>
          <w:divBdr>
            <w:top w:val="none" w:sz="0" w:space="0" w:color="auto"/>
            <w:left w:val="none" w:sz="0" w:space="0" w:color="auto"/>
            <w:bottom w:val="none" w:sz="0" w:space="0" w:color="auto"/>
            <w:right w:val="none" w:sz="0" w:space="0" w:color="auto"/>
          </w:divBdr>
        </w:div>
        <w:div w:id="2116561651">
          <w:marLeft w:val="0"/>
          <w:marRight w:val="0"/>
          <w:marTop w:val="0"/>
          <w:marBottom w:val="0"/>
          <w:divBdr>
            <w:top w:val="none" w:sz="0" w:space="0" w:color="auto"/>
            <w:left w:val="none" w:sz="0" w:space="0" w:color="auto"/>
            <w:bottom w:val="none" w:sz="0" w:space="0" w:color="auto"/>
            <w:right w:val="none" w:sz="0" w:space="0" w:color="auto"/>
          </w:divBdr>
        </w:div>
      </w:divsChild>
    </w:div>
    <w:div w:id="1005015132">
      <w:bodyDiv w:val="1"/>
      <w:marLeft w:val="0"/>
      <w:marRight w:val="0"/>
      <w:marTop w:val="0"/>
      <w:marBottom w:val="0"/>
      <w:divBdr>
        <w:top w:val="none" w:sz="0" w:space="0" w:color="auto"/>
        <w:left w:val="none" w:sz="0" w:space="0" w:color="auto"/>
        <w:bottom w:val="none" w:sz="0" w:space="0" w:color="auto"/>
        <w:right w:val="none" w:sz="0" w:space="0" w:color="auto"/>
      </w:divBdr>
    </w:div>
    <w:div w:id="1025790834">
      <w:bodyDiv w:val="1"/>
      <w:marLeft w:val="0"/>
      <w:marRight w:val="0"/>
      <w:marTop w:val="0"/>
      <w:marBottom w:val="0"/>
      <w:divBdr>
        <w:top w:val="none" w:sz="0" w:space="0" w:color="auto"/>
        <w:left w:val="none" w:sz="0" w:space="0" w:color="auto"/>
        <w:bottom w:val="none" w:sz="0" w:space="0" w:color="auto"/>
        <w:right w:val="none" w:sz="0" w:space="0" w:color="auto"/>
      </w:divBdr>
    </w:div>
    <w:div w:id="1163622939">
      <w:bodyDiv w:val="1"/>
      <w:marLeft w:val="0"/>
      <w:marRight w:val="0"/>
      <w:marTop w:val="0"/>
      <w:marBottom w:val="0"/>
      <w:divBdr>
        <w:top w:val="none" w:sz="0" w:space="0" w:color="auto"/>
        <w:left w:val="none" w:sz="0" w:space="0" w:color="auto"/>
        <w:bottom w:val="none" w:sz="0" w:space="0" w:color="auto"/>
        <w:right w:val="none" w:sz="0" w:space="0" w:color="auto"/>
      </w:divBdr>
    </w:div>
    <w:div w:id="1169097172">
      <w:bodyDiv w:val="1"/>
      <w:marLeft w:val="0"/>
      <w:marRight w:val="0"/>
      <w:marTop w:val="0"/>
      <w:marBottom w:val="0"/>
      <w:divBdr>
        <w:top w:val="none" w:sz="0" w:space="0" w:color="auto"/>
        <w:left w:val="none" w:sz="0" w:space="0" w:color="auto"/>
        <w:bottom w:val="none" w:sz="0" w:space="0" w:color="auto"/>
        <w:right w:val="none" w:sz="0" w:space="0" w:color="auto"/>
      </w:divBdr>
    </w:div>
    <w:div w:id="1186603123">
      <w:bodyDiv w:val="1"/>
      <w:marLeft w:val="0"/>
      <w:marRight w:val="0"/>
      <w:marTop w:val="0"/>
      <w:marBottom w:val="0"/>
      <w:divBdr>
        <w:top w:val="none" w:sz="0" w:space="0" w:color="auto"/>
        <w:left w:val="none" w:sz="0" w:space="0" w:color="auto"/>
        <w:bottom w:val="none" w:sz="0" w:space="0" w:color="auto"/>
        <w:right w:val="none" w:sz="0" w:space="0" w:color="auto"/>
      </w:divBdr>
    </w:div>
    <w:div w:id="1280406022">
      <w:bodyDiv w:val="1"/>
      <w:marLeft w:val="0"/>
      <w:marRight w:val="0"/>
      <w:marTop w:val="0"/>
      <w:marBottom w:val="0"/>
      <w:divBdr>
        <w:top w:val="none" w:sz="0" w:space="0" w:color="auto"/>
        <w:left w:val="none" w:sz="0" w:space="0" w:color="auto"/>
        <w:bottom w:val="none" w:sz="0" w:space="0" w:color="auto"/>
        <w:right w:val="none" w:sz="0" w:space="0" w:color="auto"/>
      </w:divBdr>
    </w:div>
    <w:div w:id="1291672250">
      <w:bodyDiv w:val="1"/>
      <w:marLeft w:val="0"/>
      <w:marRight w:val="0"/>
      <w:marTop w:val="0"/>
      <w:marBottom w:val="0"/>
      <w:divBdr>
        <w:top w:val="none" w:sz="0" w:space="0" w:color="auto"/>
        <w:left w:val="none" w:sz="0" w:space="0" w:color="auto"/>
        <w:bottom w:val="none" w:sz="0" w:space="0" w:color="auto"/>
        <w:right w:val="none" w:sz="0" w:space="0" w:color="auto"/>
      </w:divBdr>
    </w:div>
    <w:div w:id="1402945534">
      <w:bodyDiv w:val="1"/>
      <w:marLeft w:val="0"/>
      <w:marRight w:val="0"/>
      <w:marTop w:val="0"/>
      <w:marBottom w:val="0"/>
      <w:divBdr>
        <w:top w:val="none" w:sz="0" w:space="0" w:color="auto"/>
        <w:left w:val="none" w:sz="0" w:space="0" w:color="auto"/>
        <w:bottom w:val="none" w:sz="0" w:space="0" w:color="auto"/>
        <w:right w:val="none" w:sz="0" w:space="0" w:color="auto"/>
      </w:divBdr>
    </w:div>
    <w:div w:id="1564558377">
      <w:bodyDiv w:val="1"/>
      <w:marLeft w:val="0"/>
      <w:marRight w:val="0"/>
      <w:marTop w:val="0"/>
      <w:marBottom w:val="0"/>
      <w:divBdr>
        <w:top w:val="none" w:sz="0" w:space="0" w:color="auto"/>
        <w:left w:val="none" w:sz="0" w:space="0" w:color="auto"/>
        <w:bottom w:val="none" w:sz="0" w:space="0" w:color="auto"/>
        <w:right w:val="none" w:sz="0" w:space="0" w:color="auto"/>
      </w:divBdr>
    </w:div>
    <w:div w:id="1573739792">
      <w:bodyDiv w:val="1"/>
      <w:marLeft w:val="0"/>
      <w:marRight w:val="0"/>
      <w:marTop w:val="0"/>
      <w:marBottom w:val="0"/>
      <w:divBdr>
        <w:top w:val="none" w:sz="0" w:space="0" w:color="auto"/>
        <w:left w:val="none" w:sz="0" w:space="0" w:color="auto"/>
        <w:bottom w:val="none" w:sz="0" w:space="0" w:color="auto"/>
        <w:right w:val="none" w:sz="0" w:space="0" w:color="auto"/>
      </w:divBdr>
    </w:div>
    <w:div w:id="1589851446">
      <w:bodyDiv w:val="1"/>
      <w:marLeft w:val="0"/>
      <w:marRight w:val="0"/>
      <w:marTop w:val="0"/>
      <w:marBottom w:val="0"/>
      <w:divBdr>
        <w:top w:val="none" w:sz="0" w:space="0" w:color="auto"/>
        <w:left w:val="none" w:sz="0" w:space="0" w:color="auto"/>
        <w:bottom w:val="none" w:sz="0" w:space="0" w:color="auto"/>
        <w:right w:val="none" w:sz="0" w:space="0" w:color="auto"/>
      </w:divBdr>
    </w:div>
    <w:div w:id="1639534890">
      <w:bodyDiv w:val="1"/>
      <w:marLeft w:val="0"/>
      <w:marRight w:val="0"/>
      <w:marTop w:val="0"/>
      <w:marBottom w:val="0"/>
      <w:divBdr>
        <w:top w:val="none" w:sz="0" w:space="0" w:color="auto"/>
        <w:left w:val="none" w:sz="0" w:space="0" w:color="auto"/>
        <w:bottom w:val="none" w:sz="0" w:space="0" w:color="auto"/>
        <w:right w:val="none" w:sz="0" w:space="0" w:color="auto"/>
      </w:divBdr>
    </w:div>
    <w:div w:id="1693607020">
      <w:bodyDiv w:val="1"/>
      <w:marLeft w:val="0"/>
      <w:marRight w:val="0"/>
      <w:marTop w:val="0"/>
      <w:marBottom w:val="0"/>
      <w:divBdr>
        <w:top w:val="none" w:sz="0" w:space="0" w:color="auto"/>
        <w:left w:val="none" w:sz="0" w:space="0" w:color="auto"/>
        <w:bottom w:val="none" w:sz="0" w:space="0" w:color="auto"/>
        <w:right w:val="none" w:sz="0" w:space="0" w:color="auto"/>
      </w:divBdr>
    </w:div>
    <w:div w:id="1797479407">
      <w:bodyDiv w:val="1"/>
      <w:marLeft w:val="0"/>
      <w:marRight w:val="0"/>
      <w:marTop w:val="0"/>
      <w:marBottom w:val="0"/>
      <w:divBdr>
        <w:top w:val="none" w:sz="0" w:space="0" w:color="auto"/>
        <w:left w:val="none" w:sz="0" w:space="0" w:color="auto"/>
        <w:bottom w:val="none" w:sz="0" w:space="0" w:color="auto"/>
        <w:right w:val="none" w:sz="0" w:space="0" w:color="auto"/>
      </w:divBdr>
    </w:div>
    <w:div w:id="1865051409">
      <w:bodyDiv w:val="1"/>
      <w:marLeft w:val="0"/>
      <w:marRight w:val="0"/>
      <w:marTop w:val="0"/>
      <w:marBottom w:val="0"/>
      <w:divBdr>
        <w:top w:val="none" w:sz="0" w:space="0" w:color="auto"/>
        <w:left w:val="none" w:sz="0" w:space="0" w:color="auto"/>
        <w:bottom w:val="none" w:sz="0" w:space="0" w:color="auto"/>
        <w:right w:val="none" w:sz="0" w:space="0" w:color="auto"/>
      </w:divBdr>
    </w:div>
    <w:div w:id="1930768432">
      <w:bodyDiv w:val="1"/>
      <w:marLeft w:val="0"/>
      <w:marRight w:val="0"/>
      <w:marTop w:val="0"/>
      <w:marBottom w:val="0"/>
      <w:divBdr>
        <w:top w:val="none" w:sz="0" w:space="0" w:color="auto"/>
        <w:left w:val="none" w:sz="0" w:space="0" w:color="auto"/>
        <w:bottom w:val="none" w:sz="0" w:space="0" w:color="auto"/>
        <w:right w:val="none" w:sz="0" w:space="0" w:color="auto"/>
      </w:divBdr>
    </w:div>
    <w:div w:id="2004702599">
      <w:bodyDiv w:val="1"/>
      <w:marLeft w:val="0"/>
      <w:marRight w:val="0"/>
      <w:marTop w:val="0"/>
      <w:marBottom w:val="0"/>
      <w:divBdr>
        <w:top w:val="none" w:sz="0" w:space="0" w:color="auto"/>
        <w:left w:val="none" w:sz="0" w:space="0" w:color="auto"/>
        <w:bottom w:val="none" w:sz="0" w:space="0" w:color="auto"/>
        <w:right w:val="none" w:sz="0" w:space="0" w:color="auto"/>
      </w:divBdr>
    </w:div>
    <w:div w:id="2057003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berkeley.edu/academics/registrar/academic-rules/academic-honor-code/" TargetMode="External"/><Relationship Id="rId13" Type="http://schemas.openxmlformats.org/officeDocument/2006/relationships/hyperlink" Target="mailto:studentcomputing@law.berkeley.edu" TargetMode="External"/><Relationship Id="rId18" Type="http://schemas.openxmlformats.org/officeDocument/2006/relationships/hyperlink" Target="http://calfresh.berkeley.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sk_ophd@berkeley.edu" TargetMode="External"/><Relationship Id="rId7" Type="http://schemas.openxmlformats.org/officeDocument/2006/relationships/endnotes" Target="endnotes.xml"/><Relationship Id="rId12" Type="http://schemas.openxmlformats.org/officeDocument/2006/relationships/hyperlink" Target="http://libguides.law.berkeley.edu/computing/home" TargetMode="External"/><Relationship Id="rId17" Type="http://schemas.openxmlformats.org/officeDocument/2006/relationships/hyperlink" Target="https://basicneeds.berkeley.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w.berkeley.edu/library/dynamic/internal/chat.php" TargetMode="External"/><Relationship Id="rId20" Type="http://schemas.openxmlformats.org/officeDocument/2006/relationships/hyperlink" Target="https://policy.ucop.edu/doc/4000385/SV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computing@law.berkeley.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aw.berkeley.edu/library/dynamic/students/researchRequest.php" TargetMode="External"/><Relationship Id="rId23" Type="http://schemas.openxmlformats.org/officeDocument/2006/relationships/footer" Target="footer1.xml"/><Relationship Id="rId10" Type="http://schemas.openxmlformats.org/officeDocument/2006/relationships/hyperlink" Target="https://www.law.berkeley.edu/students/student-services/academic-skills-program/" TargetMode="External"/><Relationship Id="rId19" Type="http://schemas.openxmlformats.org/officeDocument/2006/relationships/hyperlink" Target="https://pantry.berkeley.edu/" TargetMode="External"/><Relationship Id="rId4" Type="http://schemas.openxmlformats.org/officeDocument/2006/relationships/settings" Target="settings.xml"/><Relationship Id="rId9" Type="http://schemas.openxmlformats.org/officeDocument/2006/relationships/hyperlink" Target="mailto:ahirshen@law.berkeley.edu" TargetMode="External"/><Relationship Id="rId14" Type="http://schemas.openxmlformats.org/officeDocument/2006/relationships/hyperlink" Target="https://www.law.berkeley.edu/library/internal/techChat.php" TargetMode="External"/><Relationship Id="rId22" Type="http://schemas.openxmlformats.org/officeDocument/2006/relationships/hyperlink" Target="https://care.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976EB-6BAC-4DBA-B27E-7A456211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Sanders</cp:lastModifiedBy>
  <cp:revision>17</cp:revision>
  <cp:lastPrinted>2020-11-30T23:55:00Z</cp:lastPrinted>
  <dcterms:created xsi:type="dcterms:W3CDTF">2022-11-05T23:16:00Z</dcterms:created>
  <dcterms:modified xsi:type="dcterms:W3CDTF">2022-12-05T01:43:00Z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SyllabusInt'lAntitrustSeminar (003).docx</vt:lpwstr>
  </property>
</Properties>
</file>