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70CE" w14:textId="21FBA169" w:rsidR="00E9740E" w:rsidRPr="00A730C5" w:rsidRDefault="00E9740E" w:rsidP="00E9740E">
      <w:pPr>
        <w:jc w:val="center"/>
        <w:rPr>
          <w:caps/>
          <w:sz w:val="28"/>
          <w:szCs w:val="28"/>
        </w:rPr>
      </w:pPr>
      <w:r w:rsidRPr="00A730C5">
        <w:rPr>
          <w:caps/>
          <w:sz w:val="28"/>
          <w:szCs w:val="28"/>
        </w:rPr>
        <w:t>LAW 255</w:t>
      </w:r>
      <w:r>
        <w:rPr>
          <w:caps/>
          <w:sz w:val="28"/>
          <w:szCs w:val="28"/>
        </w:rPr>
        <w:t>.5</w:t>
      </w:r>
      <w:r w:rsidRPr="00A730C5">
        <w:rPr>
          <w:caps/>
          <w:sz w:val="28"/>
          <w:szCs w:val="28"/>
        </w:rPr>
        <w:t xml:space="preserve"> – </w:t>
      </w:r>
      <w:r>
        <w:rPr>
          <w:caps/>
          <w:sz w:val="28"/>
          <w:szCs w:val="28"/>
        </w:rPr>
        <w:t>securities regulation</w:t>
      </w:r>
      <w:r w:rsidRPr="00A730C5">
        <w:rPr>
          <w:caps/>
          <w:sz w:val="28"/>
          <w:szCs w:val="28"/>
        </w:rPr>
        <w:t xml:space="preserve"> </w:t>
      </w:r>
    </w:p>
    <w:p w14:paraId="49EA338D" w14:textId="77777777" w:rsidR="00E9740E" w:rsidRPr="00A730C5" w:rsidRDefault="00E9740E" w:rsidP="00E9740E">
      <w:pPr>
        <w:pBdr>
          <w:bottom w:val="single" w:sz="12" w:space="10" w:color="auto"/>
        </w:pBdr>
        <w:jc w:val="center"/>
        <w:rPr>
          <w:sz w:val="28"/>
          <w:szCs w:val="28"/>
        </w:rPr>
      </w:pPr>
      <w:r w:rsidRPr="00A730C5">
        <w:rPr>
          <w:sz w:val="28"/>
          <w:szCs w:val="28"/>
        </w:rPr>
        <w:t>Professor Robert Bartlett</w:t>
      </w:r>
    </w:p>
    <w:p w14:paraId="118BAA32" w14:textId="77777777" w:rsidR="004B3659" w:rsidRDefault="004B3659" w:rsidP="00F5196E"/>
    <w:p w14:paraId="3842AA1E" w14:textId="77777777" w:rsidR="00E9740E" w:rsidRPr="004B3659" w:rsidRDefault="00E9740E" w:rsidP="00E9740E">
      <w:pPr>
        <w:rPr>
          <w:b/>
        </w:rPr>
      </w:pPr>
      <w:r>
        <w:rPr>
          <w:b/>
        </w:rPr>
        <w:t>Administrative Matters:</w:t>
      </w:r>
    </w:p>
    <w:p w14:paraId="70850D3F" w14:textId="77777777" w:rsidR="00E9740E" w:rsidRPr="00C001AB" w:rsidRDefault="00E9740E" w:rsidP="00E9740E">
      <w:pPr>
        <w:rPr>
          <w:color w:val="000000" w:themeColor="text1"/>
        </w:rPr>
      </w:pPr>
      <w:r w:rsidRPr="00C001AB">
        <w:rPr>
          <w:color w:val="000000" w:themeColor="text1"/>
        </w:rPr>
        <w:t>Instructor Name: Robert Bartlett </w:t>
      </w:r>
      <w:r>
        <w:rPr>
          <w:color w:val="000000" w:themeColor="text1"/>
        </w:rPr>
        <w:t>(he/him)</w:t>
      </w:r>
    </w:p>
    <w:p w14:paraId="3B5A2D9C" w14:textId="77777777" w:rsidR="00E9740E" w:rsidRDefault="00E9740E" w:rsidP="00E9740E">
      <w:pPr>
        <w:rPr>
          <w:color w:val="4F81BD" w:themeColor="accent1"/>
        </w:rPr>
      </w:pPr>
      <w:r w:rsidRPr="00C001AB">
        <w:rPr>
          <w:color w:val="000000"/>
        </w:rPr>
        <w:t>Email address</w:t>
      </w:r>
      <w:r w:rsidRPr="00C001AB">
        <w:rPr>
          <w:color w:val="4F81BD" w:themeColor="accent1"/>
        </w:rPr>
        <w:t xml:space="preserve">:  </w:t>
      </w:r>
      <w:hyperlink r:id="rId7" w:history="1">
        <w:r w:rsidRPr="00C001AB">
          <w:rPr>
            <w:rStyle w:val="Hyperlink"/>
          </w:rPr>
          <w:t>rbartlett@berkeley.edu</w:t>
        </w:r>
      </w:hyperlink>
    </w:p>
    <w:p w14:paraId="0D94A01A" w14:textId="7ABF04BA" w:rsidR="00E9740E" w:rsidRDefault="00E9740E" w:rsidP="00E9740E">
      <w:r>
        <w:t>Class Meeting Times: M/T/W from 2:15 pm to 3:25 pm</w:t>
      </w:r>
    </w:p>
    <w:p w14:paraId="19CEC48A" w14:textId="77777777" w:rsidR="00E9740E" w:rsidRDefault="00E9740E" w:rsidP="00E9740E">
      <w:r>
        <w:t xml:space="preserve">Classroom: </w:t>
      </w:r>
      <w:r w:rsidRPr="00816A67">
        <w:t>132</w:t>
      </w:r>
    </w:p>
    <w:p w14:paraId="2C56935D" w14:textId="10A97D82" w:rsidR="00E9740E" w:rsidRPr="00C001AB" w:rsidRDefault="00E9740E" w:rsidP="00E9740E">
      <w:pPr>
        <w:ind w:left="720"/>
        <w:rPr>
          <w:color w:val="4F81BD" w:themeColor="accent1"/>
        </w:rPr>
      </w:pPr>
      <w:r w:rsidRPr="00C001AB">
        <w:rPr>
          <w:color w:val="000000"/>
        </w:rPr>
        <w:t xml:space="preserve">Zoom </w:t>
      </w:r>
      <w:r>
        <w:rPr>
          <w:color w:val="000000"/>
        </w:rPr>
        <w:t>classroom (if necessary)</w:t>
      </w:r>
      <w:r w:rsidRPr="00C001AB">
        <w:rPr>
          <w:color w:val="000000"/>
        </w:rPr>
        <w:t xml:space="preserve">:  </w:t>
      </w:r>
      <w:hyperlink r:id="rId8" w:history="1">
        <w:r w:rsidR="001C210C" w:rsidRPr="00CB2A3B">
          <w:rPr>
            <w:rStyle w:val="Hyperlink"/>
          </w:rPr>
          <w:t>https://berkeley.zoom.us/j/97274904310</w:t>
        </w:r>
      </w:hyperlink>
      <w:r w:rsidR="001C210C">
        <w:t xml:space="preserve"> </w:t>
      </w:r>
    </w:p>
    <w:p w14:paraId="1060173A" w14:textId="77777777" w:rsidR="00E9740E" w:rsidRPr="00C001AB" w:rsidRDefault="00E9740E" w:rsidP="00E9740E">
      <w:pPr>
        <w:rPr>
          <w:color w:val="000000" w:themeColor="text1"/>
        </w:rPr>
      </w:pPr>
      <w:r w:rsidRPr="00C001AB">
        <w:rPr>
          <w:color w:val="000000"/>
        </w:rPr>
        <w:t xml:space="preserve">Office Hours:  </w:t>
      </w:r>
      <w:r>
        <w:rPr>
          <w:color w:val="000000"/>
        </w:rPr>
        <w:t xml:space="preserve">9 am </w:t>
      </w:r>
      <w:r w:rsidRPr="00C001AB">
        <w:rPr>
          <w:color w:val="000000" w:themeColor="text1"/>
        </w:rPr>
        <w:t xml:space="preserve">to </w:t>
      </w:r>
      <w:r>
        <w:rPr>
          <w:color w:val="000000" w:themeColor="text1"/>
        </w:rPr>
        <w:t>11 am</w:t>
      </w:r>
      <w:r w:rsidRPr="00C001AB">
        <w:rPr>
          <w:color w:val="000000" w:themeColor="text1"/>
        </w:rPr>
        <w:t xml:space="preserve"> Wednesdays</w:t>
      </w:r>
      <w:r>
        <w:rPr>
          <w:color w:val="000000" w:themeColor="text1"/>
        </w:rPr>
        <w:t xml:space="preserve"> and by appointment</w:t>
      </w:r>
    </w:p>
    <w:p w14:paraId="5167C7A3" w14:textId="079C3803" w:rsidR="00E9740E" w:rsidRPr="00C001AB" w:rsidRDefault="00E9740E" w:rsidP="00E9740E">
      <w:pPr>
        <w:ind w:left="720"/>
        <w:rPr>
          <w:color w:val="4F81BD" w:themeColor="accent1"/>
        </w:rPr>
      </w:pPr>
      <w:r>
        <w:rPr>
          <w:color w:val="000000"/>
        </w:rPr>
        <w:t xml:space="preserve">Please sign up for office hours in advance </w:t>
      </w:r>
      <w:r w:rsidR="007145B1">
        <w:rPr>
          <w:color w:val="000000"/>
        </w:rPr>
        <w:t xml:space="preserve">by </w:t>
      </w:r>
      <w:r>
        <w:rPr>
          <w:color w:val="000000"/>
        </w:rPr>
        <w:t xml:space="preserve">using the calendar in </w:t>
      </w:r>
      <w:proofErr w:type="spellStart"/>
      <w:r>
        <w:rPr>
          <w:color w:val="000000"/>
        </w:rPr>
        <w:t>bCourses</w:t>
      </w:r>
      <w:proofErr w:type="spellEnd"/>
      <w:r>
        <w:rPr>
          <w:color w:val="000000"/>
        </w:rPr>
        <w:t xml:space="preserve">. When signing up for an appointment, you may request a virtual meeting, in which case we will meet in this Zoom Room: </w:t>
      </w:r>
      <w:hyperlink r:id="rId9" w:history="1">
        <w:r w:rsidRPr="00CB2A3B">
          <w:rPr>
            <w:rStyle w:val="Hyperlink"/>
          </w:rPr>
          <w:t>https://berkeley.zoom.us/j/93437465922</w:t>
        </w:r>
      </w:hyperlink>
      <w:r>
        <w:rPr>
          <w:color w:val="000000"/>
        </w:rPr>
        <w:t xml:space="preserve"> </w:t>
      </w:r>
    </w:p>
    <w:p w14:paraId="1562A191" w14:textId="77777777" w:rsidR="00E9740E" w:rsidRDefault="00E9740E" w:rsidP="00E9740E">
      <w:pPr>
        <w:rPr>
          <w:i/>
          <w:iCs/>
        </w:rPr>
      </w:pPr>
      <w:r>
        <w:tab/>
      </w:r>
      <w:r w:rsidRPr="00A111E1">
        <w:rPr>
          <w:i/>
          <w:iCs/>
        </w:rPr>
        <w:t>Note: All</w:t>
      </w:r>
      <w:r>
        <w:rPr>
          <w:i/>
          <w:iCs/>
        </w:rPr>
        <w:t xml:space="preserve"> office hours through the end of August are required to be virtual.</w:t>
      </w:r>
    </w:p>
    <w:p w14:paraId="4F6F2F3C" w14:textId="77777777" w:rsidR="00E9740E" w:rsidRDefault="00E9740E" w:rsidP="0008249E">
      <w:pPr>
        <w:rPr>
          <w:b/>
          <w:bCs/>
        </w:rPr>
      </w:pPr>
    </w:p>
    <w:p w14:paraId="360D004E" w14:textId="03DCF9FE" w:rsidR="0008249E" w:rsidRPr="005D2B38" w:rsidRDefault="0008249E" w:rsidP="0008249E">
      <w:r w:rsidRPr="005D2B38">
        <w:rPr>
          <w:b/>
          <w:bCs/>
        </w:rPr>
        <w:t>Course Description:</w:t>
      </w:r>
      <w:r w:rsidRPr="005D2B38">
        <w:t xml:space="preserve">  </w:t>
      </w:r>
    </w:p>
    <w:p w14:paraId="60C65262" w14:textId="6150175B" w:rsidR="001C210C" w:rsidRDefault="00844FE5" w:rsidP="00B92AC1">
      <w:pPr>
        <w:jc w:val="both"/>
        <w:rPr>
          <w:szCs w:val="24"/>
        </w:rPr>
      </w:pPr>
      <w:r w:rsidRPr="00844FE5">
        <w:rPr>
          <w:szCs w:val="24"/>
        </w:rPr>
        <w:t xml:space="preserve">This course provides an overview of the regulation of securities offerings and trading under the Securities Act of 1933 and the Securities Exchange Act of 1934. The course explores the elaborate disclosure obligations that this country imposes on the distribution and trading of investment securities as well as the role of the Securities Exchange Commission and private plaintiffs in shaping and enforcing these disclosure obligations. Topics to be covered include: public offerings of securities and the registration process under the Securities Act of 1933, exemptions from these registration requirements and the role of exemptions in the financing of private and public firms, </w:t>
      </w:r>
      <w:r w:rsidR="00741296">
        <w:rPr>
          <w:szCs w:val="24"/>
        </w:rPr>
        <w:t xml:space="preserve">and </w:t>
      </w:r>
      <w:r w:rsidRPr="00844FE5">
        <w:rPr>
          <w:szCs w:val="24"/>
        </w:rPr>
        <w:t>the disclosure obligations of publicly-traded issuers. The course will also examine the role of anti-fraud rules in the issuance and trading of securities as well as liability for insider trading</w:t>
      </w:r>
      <w:r w:rsidR="0016038B" w:rsidRPr="0016038B">
        <w:rPr>
          <w:szCs w:val="24"/>
        </w:rPr>
        <w:t xml:space="preserve">. </w:t>
      </w:r>
    </w:p>
    <w:p w14:paraId="589CE77B" w14:textId="77777777" w:rsidR="00B92AC1" w:rsidRDefault="00B92AC1" w:rsidP="00B92AC1">
      <w:pPr>
        <w:jc w:val="both"/>
        <w:rPr>
          <w:szCs w:val="24"/>
        </w:rPr>
      </w:pPr>
    </w:p>
    <w:p w14:paraId="60A07795" w14:textId="1E674B37" w:rsidR="001C210C" w:rsidRPr="001C210C" w:rsidRDefault="001C210C" w:rsidP="001C210C">
      <w:pPr>
        <w:pStyle w:val="Heading2"/>
        <w:numPr>
          <w:ilvl w:val="0"/>
          <w:numId w:val="0"/>
        </w:numPr>
        <w:spacing w:after="0"/>
        <w:rPr>
          <w:b/>
          <w:bCs/>
          <w:szCs w:val="24"/>
        </w:rPr>
      </w:pPr>
      <w:r w:rsidRPr="001C210C">
        <w:rPr>
          <w:b/>
          <w:bCs/>
          <w:szCs w:val="24"/>
        </w:rPr>
        <w:t>Learning Outcomes</w:t>
      </w:r>
      <w:r>
        <w:rPr>
          <w:b/>
          <w:bCs/>
          <w:szCs w:val="24"/>
        </w:rPr>
        <w:t>:</w:t>
      </w:r>
    </w:p>
    <w:p w14:paraId="07186826" w14:textId="34AC5066" w:rsidR="001C210C" w:rsidRPr="002B2373" w:rsidRDefault="001C210C" w:rsidP="001C210C">
      <w:r>
        <w:t>By</w:t>
      </w:r>
      <w:r w:rsidRPr="002B2373">
        <w:t xml:space="preserve"> the end of the semester, students should be able to:</w:t>
      </w:r>
    </w:p>
    <w:p w14:paraId="4E602530" w14:textId="77777777" w:rsidR="001C210C" w:rsidRPr="002B2373" w:rsidRDefault="001C210C" w:rsidP="001C210C">
      <w:pPr>
        <w:pStyle w:val="ListParagraph"/>
        <w:numPr>
          <w:ilvl w:val="0"/>
          <w:numId w:val="34"/>
        </w:numPr>
      </w:pPr>
      <w:r w:rsidRPr="002B2373">
        <w:t>Describe and apply to real and hypothetical facts:</w:t>
      </w:r>
    </w:p>
    <w:p w14:paraId="597F82CB" w14:textId="4E0E256B" w:rsidR="001C210C" w:rsidRDefault="001C210C" w:rsidP="001C210C">
      <w:pPr>
        <w:pStyle w:val="ListParagraph"/>
        <w:numPr>
          <w:ilvl w:val="1"/>
          <w:numId w:val="34"/>
        </w:numPr>
      </w:pPr>
      <w:r w:rsidRPr="002B2373">
        <w:t xml:space="preserve">the legal rules for </w:t>
      </w:r>
      <w:r>
        <w:t>determining when a financial transaction involves a “security”</w:t>
      </w:r>
      <w:r w:rsidRPr="002B2373">
        <w:t xml:space="preserve">; </w:t>
      </w:r>
    </w:p>
    <w:p w14:paraId="0FBE48B3" w14:textId="188567FF" w:rsidR="00B92AC1" w:rsidRPr="002B2373" w:rsidRDefault="00B92AC1" w:rsidP="00B92AC1">
      <w:pPr>
        <w:pStyle w:val="ListParagraph"/>
        <w:numPr>
          <w:ilvl w:val="1"/>
          <w:numId w:val="34"/>
        </w:numPr>
      </w:pPr>
      <w:r w:rsidRPr="002B2373">
        <w:t xml:space="preserve">the legal rules that </w:t>
      </w:r>
      <w:r>
        <w:t xml:space="preserve">determine whether the purchase or sale of a security </w:t>
      </w:r>
      <w:r w:rsidR="00E060B0">
        <w:t>is</w:t>
      </w:r>
      <w:r>
        <w:t xml:space="preserve"> in compliance with the anti-fraud rules of the Securities Act of 1933 and the Securities Exchange Act of 1934</w:t>
      </w:r>
      <w:r w:rsidRPr="002B2373">
        <w:t>;</w:t>
      </w:r>
    </w:p>
    <w:p w14:paraId="0BC99638" w14:textId="679336F7" w:rsidR="001C210C" w:rsidRPr="002B2373" w:rsidRDefault="001C210C" w:rsidP="001C210C">
      <w:pPr>
        <w:pStyle w:val="ListParagraph"/>
        <w:numPr>
          <w:ilvl w:val="1"/>
          <w:numId w:val="34"/>
        </w:numPr>
      </w:pPr>
      <w:r w:rsidRPr="002B2373">
        <w:t>the legal rules</w:t>
      </w:r>
      <w:r>
        <w:t xml:space="preserve"> for offering and selling a security in compliance with the registration requirements of the Securities Act of 1933</w:t>
      </w:r>
      <w:r w:rsidRPr="002B2373">
        <w:t>;</w:t>
      </w:r>
    </w:p>
    <w:p w14:paraId="4F94881B" w14:textId="3BA7E510" w:rsidR="001C210C" w:rsidRDefault="001C210C" w:rsidP="001C210C">
      <w:pPr>
        <w:pStyle w:val="ListParagraph"/>
        <w:numPr>
          <w:ilvl w:val="1"/>
          <w:numId w:val="34"/>
        </w:numPr>
      </w:pPr>
      <w:r w:rsidRPr="002B2373">
        <w:t xml:space="preserve">the legal rules </w:t>
      </w:r>
      <w:r>
        <w:t>that determine whether a company is subject to the mandatory disclosure rules required by the Securities Exchange Act of 1934</w:t>
      </w:r>
      <w:r w:rsidRPr="002B2373">
        <w:t>;</w:t>
      </w:r>
    </w:p>
    <w:p w14:paraId="048074CF" w14:textId="028A2EDB" w:rsidR="001C210C" w:rsidRDefault="001C210C" w:rsidP="001C210C">
      <w:pPr>
        <w:pStyle w:val="ListParagraph"/>
        <w:numPr>
          <w:ilvl w:val="1"/>
          <w:numId w:val="34"/>
        </w:numPr>
      </w:pPr>
      <w:r>
        <w:t xml:space="preserve">the consequences for firms, investors and other participants in the capital markets </w:t>
      </w:r>
      <w:r w:rsidR="00E060B0">
        <w:t>of</w:t>
      </w:r>
      <w:r>
        <w:t xml:space="preserve"> running afoul of the </w:t>
      </w:r>
      <w:r w:rsidR="00B92AC1">
        <w:t xml:space="preserve">anti-fraud regime or the </w:t>
      </w:r>
      <w:r>
        <w:t>disclosure obligations of the Securities Act of 1933 and the Securities Exchange Act of 1934</w:t>
      </w:r>
      <w:r w:rsidR="00B92AC1">
        <w:t>;</w:t>
      </w:r>
    </w:p>
    <w:p w14:paraId="33ADCB2B" w14:textId="62F70981" w:rsidR="00B92AC1" w:rsidRDefault="00B92AC1" w:rsidP="00B92AC1">
      <w:pPr>
        <w:pStyle w:val="ListParagraph"/>
        <w:numPr>
          <w:ilvl w:val="1"/>
          <w:numId w:val="34"/>
        </w:numPr>
      </w:pPr>
      <w:r>
        <w:t>the legal rules that allow companies and other private firms to avoid the registration and disclosure requirements of the Securities Act of 1933 and the Securities Exchange Act of 1934;</w:t>
      </w:r>
    </w:p>
    <w:p w14:paraId="3CC30B62" w14:textId="0D1DEA87" w:rsidR="00B92AC1" w:rsidRPr="002B2373" w:rsidRDefault="00B92AC1" w:rsidP="00B92AC1">
      <w:pPr>
        <w:pStyle w:val="ListParagraph"/>
        <w:numPr>
          <w:ilvl w:val="1"/>
          <w:numId w:val="34"/>
        </w:numPr>
      </w:pPr>
      <w:r>
        <w:t>the legal rules that govern “insider trading” of securities and the resale of securities by corporate directors, executives, and certain other investors.</w:t>
      </w:r>
    </w:p>
    <w:p w14:paraId="71A8E398" w14:textId="77777777" w:rsidR="001C210C" w:rsidRPr="002B2373" w:rsidRDefault="001C210C" w:rsidP="001C210C">
      <w:pPr>
        <w:pStyle w:val="ListParagraph"/>
        <w:numPr>
          <w:ilvl w:val="0"/>
          <w:numId w:val="34"/>
        </w:numPr>
      </w:pPr>
      <w:r w:rsidRPr="002B2373">
        <w:lastRenderedPageBreak/>
        <w:t>Describe the underlying polices informing these rules and use them when applying the law;</w:t>
      </w:r>
    </w:p>
    <w:p w14:paraId="0D930C8B" w14:textId="43ACA605" w:rsidR="001C210C" w:rsidRPr="002B2373" w:rsidRDefault="00B92AC1" w:rsidP="001C210C">
      <w:pPr>
        <w:pStyle w:val="ListParagraph"/>
        <w:numPr>
          <w:ilvl w:val="0"/>
          <w:numId w:val="34"/>
        </w:numPr>
      </w:pPr>
      <w:r>
        <w:t>Describe the structure and content of the primary disclosure documents required of private firms by the Securities Act of 1933 and the Securities Exchange Act of 1934</w:t>
      </w:r>
      <w:r w:rsidR="001F7714">
        <w:t>;</w:t>
      </w:r>
    </w:p>
    <w:p w14:paraId="1DB7D42A" w14:textId="0F0C18DD" w:rsidR="0016038B" w:rsidRPr="0038787C" w:rsidRDefault="00B92AC1" w:rsidP="0038787C">
      <w:pPr>
        <w:pStyle w:val="ListParagraph"/>
        <w:numPr>
          <w:ilvl w:val="0"/>
          <w:numId w:val="34"/>
        </w:numPr>
      </w:pPr>
      <w:r w:rsidRPr="002B2373">
        <w:t>Understand</w:t>
      </w:r>
      <w:r>
        <w:t xml:space="preserve"> where to locate and find these disclosure documents.</w:t>
      </w:r>
    </w:p>
    <w:p w14:paraId="397F3852" w14:textId="77777777" w:rsidR="001C210C" w:rsidRDefault="001C210C" w:rsidP="00844FE5">
      <w:pPr>
        <w:tabs>
          <w:tab w:val="left" w:pos="1005"/>
        </w:tabs>
        <w:rPr>
          <w:szCs w:val="24"/>
        </w:rPr>
      </w:pPr>
    </w:p>
    <w:p w14:paraId="451E98E9" w14:textId="77777777" w:rsidR="00B955D1" w:rsidRPr="00B955D1" w:rsidRDefault="00B955D1" w:rsidP="00CE1255">
      <w:pPr>
        <w:rPr>
          <w:b/>
        </w:rPr>
      </w:pPr>
      <w:r w:rsidRPr="00B955D1">
        <w:rPr>
          <w:b/>
        </w:rPr>
        <w:t>Required Materials:</w:t>
      </w:r>
    </w:p>
    <w:p w14:paraId="41DD0B9F" w14:textId="77777777" w:rsidR="00B955D1" w:rsidRPr="00B955D1" w:rsidRDefault="00B955D1" w:rsidP="00CE1255">
      <w:pPr>
        <w:rPr>
          <w:szCs w:val="24"/>
        </w:rPr>
      </w:pPr>
      <w:r w:rsidRPr="00B955D1">
        <w:rPr>
          <w:szCs w:val="24"/>
        </w:rPr>
        <w:t>The required texts for this course are:</w:t>
      </w:r>
    </w:p>
    <w:p w14:paraId="58139898" w14:textId="56890964" w:rsidR="009D7E50" w:rsidRPr="00844FE5" w:rsidRDefault="00B01085" w:rsidP="00B01085">
      <w:pPr>
        <w:rPr>
          <w:szCs w:val="24"/>
        </w:rPr>
      </w:pPr>
      <w:r>
        <w:t xml:space="preserve">   - </w:t>
      </w:r>
      <w:r w:rsidR="009D7E50" w:rsidRPr="00844FE5">
        <w:t xml:space="preserve">Stephen Choi &amp; A.C. Pritchard, </w:t>
      </w:r>
      <w:r w:rsidR="009D7E50" w:rsidRPr="00844FE5">
        <w:rPr>
          <w:i/>
        </w:rPr>
        <w:t>Securities Regulation: Cases and Analysis</w:t>
      </w:r>
      <w:r w:rsidR="009D7E50" w:rsidRPr="00844FE5">
        <w:t xml:space="preserve"> (</w:t>
      </w:r>
      <w:r w:rsidR="001B094A">
        <w:t>5</w:t>
      </w:r>
      <w:r w:rsidR="009D7E50">
        <w:t>th</w:t>
      </w:r>
      <w:r w:rsidR="009D7E50" w:rsidRPr="00844FE5">
        <w:t>. ed. 20</w:t>
      </w:r>
      <w:r w:rsidR="009D7E50">
        <w:t>1</w:t>
      </w:r>
      <w:r w:rsidR="001B094A">
        <w:t>9</w:t>
      </w:r>
      <w:r w:rsidR="009D7E50" w:rsidRPr="00844FE5">
        <w:t>)</w:t>
      </w:r>
    </w:p>
    <w:p w14:paraId="02D1E427" w14:textId="7907EE04" w:rsidR="009D7E50" w:rsidRPr="0008249E" w:rsidRDefault="00B01085" w:rsidP="00B01085">
      <w:pPr>
        <w:rPr>
          <w:szCs w:val="24"/>
        </w:rPr>
      </w:pPr>
      <w:r>
        <w:t xml:space="preserve">   - </w:t>
      </w:r>
      <w:r w:rsidR="009D7E50" w:rsidRPr="00844FE5">
        <w:t>Stephen Choi &amp; A.C. Pritchard</w:t>
      </w:r>
      <w:r w:rsidR="009D7E50">
        <w:t xml:space="preserve">, </w:t>
      </w:r>
      <w:r w:rsidR="009D7E50">
        <w:rPr>
          <w:i/>
        </w:rPr>
        <w:t xml:space="preserve">Securities Regulation: Statutory Supplement </w:t>
      </w:r>
      <w:r w:rsidR="009D7E50">
        <w:t>(</w:t>
      </w:r>
      <w:r w:rsidR="00B05ADE">
        <w:t>2020</w:t>
      </w:r>
      <w:r w:rsidR="009D7E50">
        <w:t xml:space="preserve">) </w:t>
      </w:r>
    </w:p>
    <w:p w14:paraId="492A52FB" w14:textId="77777777" w:rsidR="00B955D1" w:rsidRDefault="00B955D1" w:rsidP="00B955D1">
      <w:pPr>
        <w:rPr>
          <w:szCs w:val="24"/>
        </w:rPr>
      </w:pPr>
    </w:p>
    <w:p w14:paraId="77BE4478" w14:textId="0F1D6E29" w:rsidR="00310D18" w:rsidRPr="00671293" w:rsidRDefault="00310D18" w:rsidP="00310D18">
      <w:pPr>
        <w:rPr>
          <w:color w:val="000000"/>
          <w:szCs w:val="24"/>
        </w:rPr>
      </w:pPr>
      <w:r>
        <w:rPr>
          <w:szCs w:val="24"/>
        </w:rPr>
        <w:t>W</w:t>
      </w:r>
      <w:r w:rsidRPr="00671293">
        <w:rPr>
          <w:szCs w:val="24"/>
        </w:rPr>
        <w:t xml:space="preserve">hile not required, I would </w:t>
      </w:r>
      <w:r>
        <w:rPr>
          <w:szCs w:val="24"/>
        </w:rPr>
        <w:t xml:space="preserve">also </w:t>
      </w:r>
      <w:r w:rsidRPr="00671293">
        <w:rPr>
          <w:szCs w:val="24"/>
        </w:rPr>
        <w:t xml:space="preserve">recommend that you obtain a subscription to the </w:t>
      </w:r>
      <w:r w:rsidRPr="00671293">
        <w:rPr>
          <w:i/>
          <w:szCs w:val="24"/>
        </w:rPr>
        <w:t>Wall Street Journal</w:t>
      </w:r>
      <w:r w:rsidRPr="00671293">
        <w:rPr>
          <w:szCs w:val="24"/>
        </w:rPr>
        <w:t xml:space="preserve"> for the semester. </w:t>
      </w:r>
      <w:r w:rsidRPr="00671293">
        <w:rPr>
          <w:color w:val="000000"/>
          <w:szCs w:val="24"/>
        </w:rPr>
        <w:t>For student subscriptions, the Journal has a student price of $</w:t>
      </w:r>
      <w:r w:rsidR="00B05ADE">
        <w:rPr>
          <w:color w:val="000000"/>
          <w:szCs w:val="24"/>
        </w:rPr>
        <w:t>4 per month</w:t>
      </w:r>
      <w:r w:rsidRPr="00671293">
        <w:rPr>
          <w:color w:val="000000"/>
          <w:szCs w:val="24"/>
        </w:rPr>
        <w:t xml:space="preserve"> (a </w:t>
      </w:r>
      <w:r w:rsidRPr="00671293">
        <w:rPr>
          <w:i/>
          <w:color w:val="000000"/>
          <w:szCs w:val="24"/>
        </w:rPr>
        <w:t>very</w:t>
      </w:r>
      <w:r w:rsidRPr="00671293">
        <w:rPr>
          <w:color w:val="000000"/>
          <w:szCs w:val="24"/>
        </w:rPr>
        <w:t xml:space="preserve"> good price). You can register </w:t>
      </w:r>
      <w:hyperlink r:id="rId10" w:history="1">
        <w:r w:rsidR="002F2320" w:rsidRPr="002F2320">
          <w:rPr>
            <w:rStyle w:val="Hyperlink"/>
            <w:szCs w:val="24"/>
          </w:rPr>
          <w:t>here</w:t>
        </w:r>
      </w:hyperlink>
      <w:r w:rsidR="002F2320">
        <w:rPr>
          <w:color w:val="000000"/>
          <w:szCs w:val="24"/>
        </w:rPr>
        <w:t xml:space="preserve">. </w:t>
      </w:r>
      <w:r w:rsidR="00B05ADE">
        <w:rPr>
          <w:color w:val="000000"/>
          <w:szCs w:val="24"/>
        </w:rPr>
        <w:t xml:space="preserve"> </w:t>
      </w:r>
    </w:p>
    <w:p w14:paraId="5955A5E8" w14:textId="77777777" w:rsidR="00310D18" w:rsidRPr="00671293" w:rsidRDefault="00310D18" w:rsidP="00310D18">
      <w:pPr>
        <w:rPr>
          <w:color w:val="000000"/>
          <w:szCs w:val="24"/>
        </w:rPr>
      </w:pPr>
    </w:p>
    <w:p w14:paraId="529E5A0D" w14:textId="77777777" w:rsidR="0083124B" w:rsidRPr="00C001AB" w:rsidRDefault="0083124B" w:rsidP="0083124B">
      <w:pPr>
        <w:rPr>
          <w:b/>
        </w:rPr>
      </w:pPr>
      <w:proofErr w:type="spellStart"/>
      <w:r w:rsidRPr="00C001AB">
        <w:rPr>
          <w:b/>
        </w:rPr>
        <w:t>bCourse</w:t>
      </w:r>
      <w:r>
        <w:rPr>
          <w:b/>
        </w:rPr>
        <w:t>s</w:t>
      </w:r>
      <w:proofErr w:type="spellEnd"/>
      <w:r w:rsidRPr="00C001AB">
        <w:rPr>
          <w:b/>
        </w:rPr>
        <w:t>; Reading Assignments:</w:t>
      </w:r>
    </w:p>
    <w:p w14:paraId="1FF191D2" w14:textId="77777777" w:rsidR="0083124B" w:rsidRDefault="0083124B" w:rsidP="0083124B">
      <w:r w:rsidRPr="00C001AB">
        <w:t xml:space="preserve">I manage course announcements and assignments through </w:t>
      </w:r>
      <w:proofErr w:type="spellStart"/>
      <w:r w:rsidRPr="00C001AB">
        <w:t>bCourses</w:t>
      </w:r>
      <w:proofErr w:type="spellEnd"/>
      <w:r w:rsidRPr="00C001AB">
        <w:t xml:space="preserve">. You should already be enrolled in the course </w:t>
      </w:r>
      <w:proofErr w:type="spellStart"/>
      <w:r w:rsidRPr="00C001AB">
        <w:t>bCourse</w:t>
      </w:r>
      <w:proofErr w:type="spellEnd"/>
      <w:r w:rsidRPr="00C001AB">
        <w:t xml:space="preserve"> website located at:</w:t>
      </w:r>
    </w:p>
    <w:p w14:paraId="1173EAC0" w14:textId="77777777" w:rsidR="0083124B" w:rsidRDefault="0083124B" w:rsidP="0083124B"/>
    <w:p w14:paraId="0111B887" w14:textId="1D04A012" w:rsidR="0083124B" w:rsidRDefault="00684427" w:rsidP="0083124B">
      <w:pPr>
        <w:jc w:val="center"/>
      </w:pPr>
      <w:hyperlink r:id="rId11" w:history="1">
        <w:r w:rsidR="0083124B" w:rsidRPr="00CB2A3B">
          <w:rPr>
            <w:rStyle w:val="Hyperlink"/>
          </w:rPr>
          <w:t>https://bcourses.berkeley.edu/courses/1506355</w:t>
        </w:r>
      </w:hyperlink>
      <w:r w:rsidR="0083124B">
        <w:t xml:space="preserve"> </w:t>
      </w:r>
    </w:p>
    <w:p w14:paraId="557D9440" w14:textId="77777777" w:rsidR="0083124B" w:rsidRDefault="0083124B" w:rsidP="0083124B">
      <w:pPr>
        <w:jc w:val="center"/>
      </w:pPr>
    </w:p>
    <w:p w14:paraId="1FE0C818" w14:textId="77777777" w:rsidR="0083124B" w:rsidRPr="00C001AB" w:rsidRDefault="0083124B" w:rsidP="0083124B">
      <w:r w:rsidRPr="00C001AB">
        <w:t xml:space="preserve">If you are unable to access the </w:t>
      </w:r>
      <w:proofErr w:type="spellStart"/>
      <w:r w:rsidRPr="00C001AB">
        <w:t>bCourse</w:t>
      </w:r>
      <w:proofErr w:type="spellEnd"/>
      <w:r w:rsidRPr="00C001AB">
        <w:t xml:space="preserve"> site, please contact me as soon as possible. A copy of the syllabus, reading assignments, and copies of class materials can be found on the </w:t>
      </w:r>
      <w:proofErr w:type="spellStart"/>
      <w:r w:rsidRPr="00C001AB">
        <w:t>bCourse</w:t>
      </w:r>
      <w:proofErr w:type="spellEnd"/>
      <w:r w:rsidRPr="00C001AB">
        <w:t xml:space="preserve"> website.  Reading assignments for each week will be posted on or before the preceding Thursday.  Class slides</w:t>
      </w:r>
      <w:r>
        <w:t xml:space="preserve"> and class recordings</w:t>
      </w:r>
      <w:r w:rsidRPr="00C001AB">
        <w:t xml:space="preserve"> will be posted to </w:t>
      </w:r>
      <w:proofErr w:type="spellStart"/>
      <w:r w:rsidRPr="00C001AB">
        <w:t>bCourses</w:t>
      </w:r>
      <w:proofErr w:type="spellEnd"/>
      <w:r w:rsidRPr="00C001AB">
        <w:t xml:space="preserve"> after class.</w:t>
      </w:r>
      <w:r>
        <w:t xml:space="preserve"> </w:t>
      </w:r>
    </w:p>
    <w:p w14:paraId="7957DC94" w14:textId="77777777" w:rsidR="00BE5B24" w:rsidRDefault="00AC5832" w:rsidP="00AC5832">
      <w:pPr>
        <w:tabs>
          <w:tab w:val="left" w:pos="3945"/>
        </w:tabs>
        <w:rPr>
          <w:szCs w:val="24"/>
        </w:rPr>
      </w:pPr>
      <w:r>
        <w:rPr>
          <w:szCs w:val="24"/>
        </w:rPr>
        <w:tab/>
      </w:r>
    </w:p>
    <w:p w14:paraId="2B72FBFC" w14:textId="77777777" w:rsidR="0083124B" w:rsidRPr="00566D34" w:rsidRDefault="0083124B" w:rsidP="0083124B">
      <w:pPr>
        <w:rPr>
          <w:b/>
          <w:bCs/>
          <w:iCs/>
        </w:rPr>
      </w:pPr>
      <w:r w:rsidRPr="00694CD6">
        <w:rPr>
          <w:b/>
          <w:bCs/>
          <w:iCs/>
        </w:rPr>
        <w:t>Policy on Class Recordings</w:t>
      </w:r>
      <w:r>
        <w:rPr>
          <w:b/>
          <w:bCs/>
          <w:iCs/>
        </w:rPr>
        <w:t>:</w:t>
      </w:r>
    </w:p>
    <w:p w14:paraId="7539BF1F" w14:textId="77777777" w:rsidR="0083124B" w:rsidRDefault="0083124B" w:rsidP="0083124B">
      <w:r>
        <w:rPr>
          <w:color w:val="000000" w:themeColor="text1"/>
        </w:rPr>
        <w:t xml:space="preserve">Barring any changes to campus attendance policies, all classes will be held in person and attendance will be required for each class. However, </w:t>
      </w:r>
      <w:r w:rsidRPr="00A730C5">
        <w:t xml:space="preserve">all classes will be recorded to accommodate students who </w:t>
      </w:r>
      <w:r>
        <w:t>are</w:t>
      </w:r>
      <w:r w:rsidRPr="00A730C5">
        <w:t xml:space="preserve"> unable to attend </w:t>
      </w:r>
      <w:r>
        <w:t>class</w:t>
      </w:r>
      <w:r w:rsidRPr="00A730C5">
        <w:t xml:space="preserve"> for any number of reasons related to the current public health situation.</w:t>
      </w:r>
      <w:r>
        <w:t xml:space="preserve"> Given the attendance requirement, please see the following section on Grading to ensure that your grade is not adversely affected in the event you are not able to attend a class. </w:t>
      </w:r>
    </w:p>
    <w:p w14:paraId="4365FA87" w14:textId="77777777" w:rsidR="0083124B" w:rsidRDefault="0083124B" w:rsidP="0083124B"/>
    <w:p w14:paraId="3A48E708" w14:textId="5169E75B" w:rsidR="0083124B" w:rsidRPr="00C001AB" w:rsidRDefault="0083124B" w:rsidP="0083124B">
      <w:pPr>
        <w:rPr>
          <w:color w:val="4F81BD" w:themeColor="accent1"/>
        </w:rPr>
      </w:pPr>
      <w:r>
        <w:t xml:space="preserve">Class recording will be automatically posted to the “Media Gallery” in </w:t>
      </w:r>
      <w:proofErr w:type="spellStart"/>
      <w:r>
        <w:t>bCourses</w:t>
      </w:r>
      <w:proofErr w:type="spellEnd"/>
      <w:r>
        <w:t xml:space="preserve"> following each class. Please feel free to view any class recordings that are posted there even if you attended that day’s class. Please note that sharing or redistributing any class recordings is prohibited by the Law School’s Academic Rules (Rule 7). </w:t>
      </w:r>
    </w:p>
    <w:p w14:paraId="7A9EFA5F" w14:textId="77777777" w:rsidR="00C62089" w:rsidRDefault="00C62089" w:rsidP="001B7891">
      <w:pPr>
        <w:rPr>
          <w:b/>
        </w:rPr>
      </w:pPr>
    </w:p>
    <w:p w14:paraId="78372397" w14:textId="1522FF0B" w:rsidR="006D7A8C" w:rsidRDefault="006D7A8C" w:rsidP="001B7891">
      <w:pPr>
        <w:rPr>
          <w:b/>
        </w:rPr>
      </w:pPr>
      <w:r>
        <w:rPr>
          <w:b/>
        </w:rPr>
        <w:t>Grading</w:t>
      </w:r>
      <w:r w:rsidR="00452FD9">
        <w:rPr>
          <w:b/>
        </w:rPr>
        <w:t>:</w:t>
      </w:r>
    </w:p>
    <w:p w14:paraId="765D6312" w14:textId="77777777" w:rsidR="006D7A8C" w:rsidRDefault="006D7A8C" w:rsidP="006D7A8C">
      <w:r>
        <w:t>Your grade in the course will be comprised of the following components:  performance on the final in-class exam</w:t>
      </w:r>
      <w:r w:rsidR="002A1FCE">
        <w:t xml:space="preserve"> and</w:t>
      </w:r>
      <w:r>
        <w:t xml:space="preserve"> in-class participation.</w:t>
      </w:r>
    </w:p>
    <w:p w14:paraId="77AE9642" w14:textId="77777777" w:rsidR="006D7A8C" w:rsidRDefault="006D7A8C" w:rsidP="006D7A8C"/>
    <w:p w14:paraId="7FC75164" w14:textId="0ED4A43F" w:rsidR="006D7A8C" w:rsidRDefault="006D7A8C" w:rsidP="006D7A8C">
      <w:r>
        <w:rPr>
          <w:i/>
        </w:rPr>
        <w:t>Exam.</w:t>
      </w:r>
      <w:r>
        <w:t xml:space="preserve">  </w:t>
      </w:r>
      <w:r w:rsidR="008953D8">
        <w:t xml:space="preserve">Subject to any upward or downward adjustment described below, your final grade for this course will be based on a </w:t>
      </w:r>
      <w:r w:rsidR="002A1FCE">
        <w:t xml:space="preserve">three-hour, in-class exam to be administered on </w:t>
      </w:r>
      <w:r w:rsidR="0083124B" w:rsidRPr="0083124B">
        <w:t>Monday</w:t>
      </w:r>
      <w:r w:rsidR="0083124B">
        <w:t>,</w:t>
      </w:r>
      <w:r w:rsidR="0083124B" w:rsidRPr="0083124B">
        <w:t xml:space="preserve"> December 13, 2021</w:t>
      </w:r>
      <w:r w:rsidR="002A1FCE">
        <w:t xml:space="preserve">.  You may use any </w:t>
      </w:r>
      <w:r w:rsidR="002A1FCE" w:rsidRPr="00B80682">
        <w:rPr>
          <w:u w:val="single"/>
        </w:rPr>
        <w:t>written</w:t>
      </w:r>
      <w:r w:rsidR="002A1FCE">
        <w:t xml:space="preserve"> materials (e.g., notes, books, outlines, </w:t>
      </w:r>
      <w:proofErr w:type="spellStart"/>
      <w:r w:rsidR="002A1FCE">
        <w:t>Tarrot</w:t>
      </w:r>
      <w:proofErr w:type="spellEnd"/>
      <w:r w:rsidR="002A1FCE">
        <w:t xml:space="preserve"> cards, etc.) that you bring with you to the exam room.  You may not, however, use </w:t>
      </w:r>
      <w:r w:rsidR="002A1FCE" w:rsidRPr="00A3390B">
        <w:t>any</w:t>
      </w:r>
      <w:r w:rsidR="002A1FCE">
        <w:t xml:space="preserve"> information or materials </w:t>
      </w:r>
      <w:r w:rsidR="002A1FCE">
        <w:lastRenderedPageBreak/>
        <w:t>in digital</w:t>
      </w:r>
      <w:r w:rsidR="0024796D">
        <w:t xml:space="preserve"> or electronic</w:t>
      </w:r>
      <w:r w:rsidR="002A1FCE">
        <w:t xml:space="preserve"> form.  I will provide more information regarding the format of the exam later in the semester</w:t>
      </w:r>
      <w:r>
        <w:t>.</w:t>
      </w:r>
    </w:p>
    <w:p w14:paraId="1C8A6D6E" w14:textId="77777777" w:rsidR="00AC5832" w:rsidRDefault="00AC5832" w:rsidP="006D7A8C"/>
    <w:p w14:paraId="25474005" w14:textId="41BDD862" w:rsidR="0083124B" w:rsidRDefault="0083124B" w:rsidP="0083124B">
      <w:r w:rsidRPr="00A730C5">
        <w:rPr>
          <w:i/>
        </w:rPr>
        <w:t>Class attendance and participation.</w:t>
      </w:r>
      <w:r w:rsidRPr="00A730C5">
        <w:t xml:space="preserve">   </w:t>
      </w:r>
      <w:r w:rsidR="00DB5C61">
        <w:t>M</w:t>
      </w:r>
      <w:r>
        <w:t xml:space="preserve">uch of our class discussion will be driven by the numerous “hypothetical” scenarios in the Casebook, and I will generally call on students to work through these hypotheticals in class. </w:t>
      </w:r>
      <w:r w:rsidRPr="00A730C5">
        <w:t xml:space="preserve">To ensure robust class discussion, we will use a “panel system” in which approximately </w:t>
      </w:r>
      <w:r>
        <w:t>3</w:t>
      </w:r>
      <w:r w:rsidRPr="00A730C5">
        <w:t>-</w:t>
      </w:r>
      <w:r>
        <w:t>4</w:t>
      </w:r>
      <w:r w:rsidRPr="00A730C5">
        <w:t xml:space="preserve"> randomly-selected students must be prepared </w:t>
      </w:r>
      <w:r>
        <w:t xml:space="preserve">to discuss the hypotheticals assigned in the readings. </w:t>
      </w:r>
      <w:r w:rsidRPr="00A730C5">
        <w:t>These panels will commence in Week 2.  I will announce the names of these students when I post the Reading Assignments each week</w:t>
      </w:r>
      <w:r>
        <w:t xml:space="preserve"> on </w:t>
      </w:r>
      <w:proofErr w:type="spellStart"/>
      <w:r>
        <w:t>bCourses</w:t>
      </w:r>
      <w:proofErr w:type="spellEnd"/>
      <w:r w:rsidRPr="00A730C5">
        <w:t xml:space="preserve">. </w:t>
      </w:r>
      <w:r>
        <w:t>Please be advised that your assignment to a panel does not necessarily mean that I will call on you; it is instead a system for me to know that students are available to engage in discussion promptly. Likewise, your assignment is to a “day”</w:t>
      </w:r>
      <w:r w:rsidR="00DB5C61">
        <w:t>; therefore</w:t>
      </w:r>
      <w:r w:rsidR="00EF6C15">
        <w:t xml:space="preserve">, you should be prepared to discuss on your “panel day” any hypotheticals that were </w:t>
      </w:r>
      <w:r w:rsidR="00BD70A7">
        <w:t>in the prior day’s reading assignment</w:t>
      </w:r>
      <w:r w:rsidR="00EF6C15">
        <w:t xml:space="preserve"> but were not discussed in the prior class due to time constraints.</w:t>
      </w:r>
      <w:r w:rsidR="00DB5C61">
        <w:t xml:space="preserve"> </w:t>
      </w:r>
    </w:p>
    <w:p w14:paraId="396FB8D6" w14:textId="77777777" w:rsidR="0083124B" w:rsidRDefault="0083124B" w:rsidP="0083124B"/>
    <w:p w14:paraId="0E12CC5A" w14:textId="77777777" w:rsidR="0083124B" w:rsidRPr="00A730C5" w:rsidRDefault="0083124B" w:rsidP="0083124B">
      <w:r w:rsidRPr="00A730C5">
        <w:rPr>
          <w:b/>
        </w:rPr>
        <w:t xml:space="preserve">Failure to </w:t>
      </w:r>
      <w:r>
        <w:rPr>
          <w:b/>
        </w:rPr>
        <w:t>be prepared</w:t>
      </w:r>
      <w:r w:rsidRPr="00A730C5">
        <w:rPr>
          <w:b/>
        </w:rPr>
        <w:t xml:space="preserve"> </w:t>
      </w:r>
      <w:r>
        <w:rPr>
          <w:b/>
        </w:rPr>
        <w:t xml:space="preserve">for discussion </w:t>
      </w:r>
      <w:r w:rsidRPr="00A730C5">
        <w:rPr>
          <w:b/>
        </w:rPr>
        <w:t>on your assigned “panel day” (or being absent when called upon without providing prior notice</w:t>
      </w:r>
      <w:r>
        <w:rPr>
          <w:b/>
        </w:rPr>
        <w:t xml:space="preserve"> to me, as noted below</w:t>
      </w:r>
      <w:r w:rsidRPr="00A730C5">
        <w:rPr>
          <w:b/>
        </w:rPr>
        <w:t xml:space="preserve">) </w:t>
      </w:r>
      <w:r w:rsidRPr="001B649C">
        <w:rPr>
          <w:b/>
          <w:u w:val="single"/>
        </w:rPr>
        <w:t>is highly likely</w:t>
      </w:r>
      <w:r>
        <w:rPr>
          <w:b/>
        </w:rPr>
        <w:t xml:space="preserve"> to</w:t>
      </w:r>
      <w:r w:rsidRPr="00A730C5">
        <w:rPr>
          <w:b/>
        </w:rPr>
        <w:t xml:space="preserve"> result in a downward adjustment of your </w:t>
      </w:r>
      <w:r w:rsidRPr="009A156E">
        <w:rPr>
          <w:b/>
        </w:rPr>
        <w:t>grade</w:t>
      </w:r>
      <w:r>
        <w:t>.</w:t>
      </w:r>
      <w:r w:rsidRPr="00A730C5">
        <w:t xml:space="preserve">  </w:t>
      </w:r>
      <w:r w:rsidRPr="009A156E">
        <w:rPr>
          <w:i/>
        </w:rPr>
        <w:t xml:space="preserve">If you are unable to attend </w:t>
      </w:r>
      <w:r>
        <w:rPr>
          <w:i/>
        </w:rPr>
        <w:t>class</w:t>
      </w:r>
      <w:r w:rsidRPr="009A156E">
        <w:rPr>
          <w:i/>
        </w:rPr>
        <w:t xml:space="preserve"> and have been assigned to a panel for that day, please notify me of your expected absence in advance of class, if possible</w:t>
      </w:r>
      <w:r w:rsidRPr="00A730C5">
        <w:t>.  If you are unable to provide advance notice</w:t>
      </w:r>
      <w:r>
        <w:t xml:space="preserve"> due to an emergency</w:t>
      </w:r>
      <w:r w:rsidRPr="00A730C5">
        <w:t xml:space="preserve">, please contact me as soon as possible with an explanation for the lack of advance notice so that it does not adversely affect your grade. Students who miss their assigned panel will be re-assigned to a later panel.  </w:t>
      </w:r>
    </w:p>
    <w:p w14:paraId="02364DAC" w14:textId="77777777" w:rsidR="0083124B" w:rsidRPr="00A730C5" w:rsidRDefault="0083124B" w:rsidP="0083124B"/>
    <w:p w14:paraId="784E8311" w14:textId="77777777" w:rsidR="0083124B" w:rsidRPr="00A730C5" w:rsidRDefault="0083124B" w:rsidP="0083124B">
      <w:r w:rsidRPr="00A730C5">
        <w:t xml:space="preserve">Please be advised that </w:t>
      </w:r>
      <w:r>
        <w:t xml:space="preserve">I reserve the right to reduce the final raw score that I use for determining grades </w:t>
      </w:r>
      <w:r w:rsidRPr="00A730C5">
        <w:t xml:space="preserve">by </w:t>
      </w:r>
      <w:r>
        <w:t xml:space="preserve">up to 5% (per incident) for any student who misses an assigned “panel day” without advance notice or without otherwise securing my agreement that the missed class will not adversely affect the student’s grade.  </w:t>
      </w:r>
      <w:r w:rsidRPr="00A730C5">
        <w:t>Please keep in mind that the basis for this policy is</w:t>
      </w:r>
      <w:r>
        <w:t xml:space="preserve"> to minimize the disruption to the learning environment that occurs when a student on panel is not present when called upon to discuss the assignment materials</w:t>
      </w:r>
      <w:r w:rsidRPr="00A730C5">
        <w:t>.</w:t>
      </w:r>
    </w:p>
    <w:p w14:paraId="2E1FADDF" w14:textId="77777777" w:rsidR="006D7A8C" w:rsidRDefault="006D7A8C" w:rsidP="001B7891">
      <w:pPr>
        <w:rPr>
          <w:b/>
        </w:rPr>
      </w:pPr>
    </w:p>
    <w:p w14:paraId="59018D79" w14:textId="77777777" w:rsidR="00020E9F" w:rsidRPr="00566D34" w:rsidRDefault="00020E9F" w:rsidP="00020E9F">
      <w:pPr>
        <w:rPr>
          <w:b/>
          <w:bCs/>
          <w:iCs/>
        </w:rPr>
      </w:pPr>
      <w:r w:rsidRPr="00694CD6">
        <w:rPr>
          <w:b/>
          <w:bCs/>
          <w:iCs/>
        </w:rPr>
        <w:t>Technological Assistance:</w:t>
      </w:r>
    </w:p>
    <w:p w14:paraId="2B9D346C" w14:textId="77777777" w:rsidR="00020E9F" w:rsidRPr="00C001AB" w:rsidRDefault="00020E9F" w:rsidP="00020E9F">
      <w:r w:rsidRPr="00C001AB">
        <w:rPr>
          <w:color w:val="000000"/>
        </w:rPr>
        <w:t>If technical difficulties prevent you from completing course work, please alert me immediately. However, understand that I cannot assist you with technical problems. Please use the technical support resources described below. Be sure to document all interactions with tech support</w:t>
      </w:r>
      <w:r>
        <w:rPr>
          <w:color w:val="000000"/>
        </w:rPr>
        <w:t xml:space="preserve"> (e.g., </w:t>
      </w:r>
      <w:r w:rsidRPr="00C001AB">
        <w:rPr>
          <w:color w:val="000000"/>
        </w:rPr>
        <w:t>save emails and transaction numbers).</w:t>
      </w:r>
      <w:r>
        <w:rPr>
          <w:color w:val="000000"/>
        </w:rPr>
        <w:t xml:space="preserve"> The following instructions have been provided to me by the law school:</w:t>
      </w:r>
    </w:p>
    <w:p w14:paraId="48F0E86D" w14:textId="77777777" w:rsidR="00020E9F" w:rsidRPr="00C001AB" w:rsidRDefault="00020E9F" w:rsidP="00020E9F"/>
    <w:p w14:paraId="5D118B97" w14:textId="77777777" w:rsidR="00020E9F" w:rsidRPr="00A15A0C" w:rsidRDefault="00020E9F" w:rsidP="00020E9F">
      <w:pPr>
        <w:ind w:left="360" w:right="360"/>
        <w:rPr>
          <w:i/>
          <w:color w:val="000000"/>
        </w:rPr>
      </w:pPr>
      <w:r w:rsidRPr="00A15A0C">
        <w:rPr>
          <w:i/>
          <w:color w:val="000000"/>
        </w:rPr>
        <w:t xml:space="preserve">“Berkeley Law students are entitled to general software support for their computers from the law school, and certain free software downloads from UC Berkeley, while enrolled.  If you have issues with internet access or computer equipment required to participate in classes remotely, they should contact </w:t>
      </w:r>
      <w:hyperlink r:id="rId12" w:history="1">
        <w:r w:rsidRPr="00A15A0C">
          <w:rPr>
            <w:i/>
            <w:color w:val="1155CC"/>
            <w:u w:val="single"/>
          </w:rPr>
          <w:t>studentcomputing@law.berkeley.edu</w:t>
        </w:r>
      </w:hyperlink>
      <w:r w:rsidRPr="00A15A0C">
        <w:rPr>
          <w:i/>
          <w:color w:val="000000"/>
        </w:rPr>
        <w:t xml:space="preserve">. Information, links, and instructions for many common computer/technical questions can be found in the </w:t>
      </w:r>
      <w:hyperlink r:id="rId13" w:history="1">
        <w:r w:rsidRPr="00A15A0C">
          <w:rPr>
            <w:rStyle w:val="Hyperlink"/>
            <w:i/>
          </w:rPr>
          <w:t>law library's online computing guide</w:t>
        </w:r>
      </w:hyperlink>
      <w:r w:rsidRPr="00A15A0C">
        <w:rPr>
          <w:i/>
          <w:color w:val="000000"/>
        </w:rPr>
        <w:t>. </w:t>
      </w:r>
    </w:p>
    <w:p w14:paraId="05251293" w14:textId="77777777" w:rsidR="00020E9F" w:rsidRPr="00A15A0C" w:rsidRDefault="00020E9F" w:rsidP="00020E9F">
      <w:pPr>
        <w:ind w:left="360" w:right="360"/>
        <w:rPr>
          <w:i/>
        </w:rPr>
      </w:pPr>
    </w:p>
    <w:p w14:paraId="7A464865" w14:textId="77777777" w:rsidR="00020E9F" w:rsidRPr="00A15A0C" w:rsidRDefault="00020E9F" w:rsidP="00020E9F">
      <w:pPr>
        <w:ind w:left="360" w:right="360"/>
        <w:rPr>
          <w:i/>
        </w:rPr>
      </w:pPr>
      <w:r w:rsidRPr="00A15A0C">
        <w:rPr>
          <w:i/>
          <w:color w:val="000000"/>
        </w:rPr>
        <w:t xml:space="preserve">For </w:t>
      </w:r>
      <w:proofErr w:type="spellStart"/>
      <w:r w:rsidRPr="00A15A0C">
        <w:rPr>
          <w:i/>
          <w:color w:val="000000"/>
        </w:rPr>
        <w:t>bCourses</w:t>
      </w:r>
      <w:proofErr w:type="spellEnd"/>
      <w:r w:rsidRPr="00A15A0C">
        <w:rPr>
          <w:i/>
          <w:color w:val="000000"/>
        </w:rPr>
        <w:t xml:space="preserve">, Zoom, and technical support questions, please email </w:t>
      </w:r>
      <w:hyperlink r:id="rId14" w:history="1">
        <w:r w:rsidRPr="00A15A0C">
          <w:rPr>
            <w:i/>
            <w:color w:val="1155CC"/>
            <w:u w:val="single"/>
          </w:rPr>
          <w:t>studentcomputing@law.berkeley.edu</w:t>
        </w:r>
      </w:hyperlink>
      <w:r w:rsidRPr="00A15A0C">
        <w:rPr>
          <w:i/>
          <w:color w:val="000000"/>
        </w:rPr>
        <w:t xml:space="preserve"> or you can use the </w:t>
      </w:r>
      <w:hyperlink r:id="rId15" w:history="1">
        <w:r w:rsidRPr="00A15A0C">
          <w:rPr>
            <w:rStyle w:val="Hyperlink"/>
            <w:i/>
          </w:rPr>
          <w:t>Student Computing chat</w:t>
        </w:r>
      </w:hyperlink>
      <w:r w:rsidRPr="00A15A0C">
        <w:rPr>
          <w:i/>
          <w:color w:val="000000"/>
        </w:rPr>
        <w:t xml:space="preserve">. In both </w:t>
      </w:r>
      <w:r w:rsidRPr="00A15A0C">
        <w:rPr>
          <w:i/>
          <w:color w:val="000000"/>
        </w:rPr>
        <w:lastRenderedPageBreak/>
        <w:t>cases, someone will respond to you during our regular business hours.</w:t>
      </w:r>
      <w:r w:rsidRPr="00A15A0C">
        <w:rPr>
          <w:i/>
          <w:color w:val="000000"/>
        </w:rPr>
        <w:br/>
      </w:r>
    </w:p>
    <w:p w14:paraId="75545754" w14:textId="77777777" w:rsidR="00020E9F" w:rsidRPr="00A15A0C" w:rsidRDefault="00020E9F" w:rsidP="00020E9F">
      <w:pPr>
        <w:ind w:left="360" w:right="360"/>
        <w:rPr>
          <w:i/>
        </w:rPr>
      </w:pPr>
      <w:r w:rsidRPr="00A15A0C">
        <w:rPr>
          <w:i/>
          <w:color w:val="000000"/>
        </w:rPr>
        <w:t xml:space="preserve">If you have research-related questions, please contact the reference librarians by filling out the </w:t>
      </w:r>
      <w:hyperlink r:id="rId16" w:history="1">
        <w:r w:rsidRPr="00A15A0C">
          <w:rPr>
            <w:rStyle w:val="Hyperlink"/>
            <w:i/>
          </w:rPr>
          <w:t>reference request form</w:t>
        </w:r>
      </w:hyperlink>
      <w:r w:rsidRPr="00A15A0C">
        <w:rPr>
          <w:i/>
          <w:color w:val="000000"/>
        </w:rPr>
        <w:t>.</w:t>
      </w:r>
      <w:r w:rsidRPr="00A15A0C">
        <w:rPr>
          <w:i/>
        </w:rPr>
        <w:t xml:space="preserve"> </w:t>
      </w:r>
      <w:r w:rsidRPr="00A15A0C">
        <w:rPr>
          <w:i/>
          <w:color w:val="000000"/>
        </w:rPr>
        <w:t xml:space="preserve">You can also reach reference librarians during business hours by using the </w:t>
      </w:r>
      <w:hyperlink r:id="rId17" w:history="1">
        <w:r w:rsidRPr="00A15A0C">
          <w:rPr>
            <w:rStyle w:val="Hyperlink"/>
            <w:i/>
          </w:rPr>
          <w:t>law library’s chat service</w:t>
        </w:r>
      </w:hyperlink>
      <w:r w:rsidRPr="00A15A0C">
        <w:rPr>
          <w:i/>
          <w:color w:val="000000"/>
        </w:rPr>
        <w:t>.”</w:t>
      </w:r>
    </w:p>
    <w:p w14:paraId="3FA72F78" w14:textId="77777777" w:rsidR="00020E9F" w:rsidRPr="00C001AB" w:rsidRDefault="00020E9F" w:rsidP="00020E9F"/>
    <w:p w14:paraId="03D9E57F" w14:textId="0192AD5B" w:rsidR="00020E9F" w:rsidRPr="00DB5C61" w:rsidRDefault="00020E9F" w:rsidP="00DB5C61">
      <w:pPr>
        <w:pStyle w:val="Heading2"/>
        <w:numPr>
          <w:ilvl w:val="0"/>
          <w:numId w:val="0"/>
        </w:numPr>
        <w:rPr>
          <w:b/>
          <w:bCs/>
          <w:szCs w:val="24"/>
        </w:rPr>
      </w:pPr>
      <w:r w:rsidRPr="00DB5C61">
        <w:rPr>
          <w:b/>
          <w:bCs/>
          <w:szCs w:val="24"/>
        </w:rPr>
        <w:t>School-wide Policies</w:t>
      </w:r>
    </w:p>
    <w:p w14:paraId="5945F800" w14:textId="77777777" w:rsidR="00020E9F" w:rsidRPr="00A730C5" w:rsidRDefault="00020E9F" w:rsidP="00020E9F">
      <w:r w:rsidRPr="00A730C5">
        <w:rPr>
          <w:color w:val="000000"/>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 </w:t>
      </w:r>
    </w:p>
    <w:p w14:paraId="6C48010C" w14:textId="77777777" w:rsidR="00020E9F" w:rsidRPr="00A730C5" w:rsidRDefault="00020E9F" w:rsidP="00020E9F"/>
    <w:p w14:paraId="215D1C87" w14:textId="77777777" w:rsidR="00020E9F" w:rsidRPr="00A730C5" w:rsidRDefault="00020E9F" w:rsidP="00020E9F">
      <w:r w:rsidRPr="00A730C5">
        <w:rPr>
          <w:color w:val="000000"/>
        </w:rPr>
        <w:t xml:space="preserve">2) Students who need classroom accommodations or want to discuss implementation of their accommodations, including accommodated exams, in this class are advised to contact Kyle </w:t>
      </w:r>
      <w:proofErr w:type="spellStart"/>
      <w:r w:rsidRPr="00A730C5">
        <w:rPr>
          <w:color w:val="000000"/>
        </w:rPr>
        <w:t>Valenti</w:t>
      </w:r>
      <w:proofErr w:type="spellEnd"/>
      <w:r w:rsidRPr="00A730C5">
        <w:rPr>
          <w:color w:val="000000"/>
        </w:rPr>
        <w:t>, Associate Director of Student Services (</w:t>
      </w:r>
      <w:hyperlink r:id="rId18" w:history="1">
        <w:r w:rsidRPr="00A730C5">
          <w:rPr>
            <w:color w:val="1155CC"/>
            <w:u w:val="single"/>
          </w:rPr>
          <w:t>kvalenti@law.berkeley.edu</w:t>
        </w:r>
      </w:hyperlink>
      <w:r w:rsidRPr="00A730C5">
        <w:rPr>
          <w:color w:val="000000"/>
        </w:rPr>
        <w:t>) or Kyle Kate Dudley, Assistant Director of Student Services, Accessible Education (</w:t>
      </w:r>
      <w:hyperlink r:id="rId19" w:history="1">
        <w:r w:rsidRPr="00A730C5">
          <w:rPr>
            <w:color w:val="1155CC"/>
            <w:u w:val="single"/>
          </w:rPr>
          <w:t>kylekatedudley@law.berkeley.edu</w:t>
        </w:r>
      </w:hyperlink>
      <w:r w:rsidRPr="00A730C5">
        <w:rPr>
          <w:color w:val="000000"/>
        </w:rPr>
        <w:t>) as soon as possible.</w:t>
      </w:r>
    </w:p>
    <w:p w14:paraId="0C1C2191" w14:textId="77777777" w:rsidR="00020E9F" w:rsidRPr="00A730C5" w:rsidRDefault="00020E9F" w:rsidP="00020E9F"/>
    <w:p w14:paraId="2E4065D5" w14:textId="77777777" w:rsidR="00020E9F" w:rsidRPr="00A730C5" w:rsidRDefault="00020E9F" w:rsidP="00020E9F">
      <w:r w:rsidRPr="00A730C5">
        <w:rPr>
          <w:color w:val="000000"/>
        </w:rPr>
        <w:t xml:space="preserve">3) The </w:t>
      </w:r>
      <w:hyperlink r:id="rId20" w:history="1">
        <w:r w:rsidRPr="00A730C5">
          <w:rPr>
            <w:color w:val="1155CC"/>
            <w:u w:val="single"/>
          </w:rPr>
          <w:t>Academic Honor Code</w:t>
        </w:r>
      </w:hyperlink>
      <w:r w:rsidRPr="00A730C5">
        <w:rPr>
          <w:color w:val="000000"/>
        </w:rPr>
        <w:t xml:space="preserve"> governs the conduct of all students during examinations and in all other academic and pre-professional activities at Berkeley Law. We expect students to adhere to this code scrupulously. If you have any question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778F7205" w14:textId="77777777" w:rsidR="00020E9F" w:rsidRPr="00A730C5" w:rsidRDefault="00020E9F" w:rsidP="00020E9F"/>
    <w:p w14:paraId="55161B42" w14:textId="77777777" w:rsidR="00020E9F" w:rsidRPr="00A730C5" w:rsidRDefault="00020E9F" w:rsidP="00020E9F">
      <w:r w:rsidRPr="00A730C5">
        <w:rPr>
          <w:color w:val="000000"/>
        </w:rPr>
        <w:t xml:space="preserve">4) If you are in need of economic, food, or housing support, you can find help at </w:t>
      </w:r>
      <w:hyperlink r:id="rId21" w:history="1">
        <w:r w:rsidRPr="00A730C5">
          <w:rPr>
            <w:color w:val="1155CC"/>
            <w:u w:val="single"/>
          </w:rPr>
          <w:t>basicneeds.berkeley.edu</w:t>
        </w:r>
      </w:hyperlink>
      <w:r w:rsidRPr="00A730C5">
        <w:rPr>
          <w:color w:val="000000"/>
        </w:rPr>
        <w:t xml:space="preserve"> You may be eligible for money to buy groceries via </w:t>
      </w:r>
      <w:hyperlink r:id="rId22" w:history="1">
        <w:r w:rsidRPr="00A730C5">
          <w:rPr>
            <w:color w:val="1155CC"/>
            <w:u w:val="single"/>
          </w:rPr>
          <w:t>calfresh.berkeley.edu</w:t>
        </w:r>
      </w:hyperlink>
      <w:r w:rsidRPr="00A730C5">
        <w:rPr>
          <w:color w:val="000000"/>
        </w:rPr>
        <w:t xml:space="preserve"> or our Food Assistance Program. If you need food immediately, please visit our UC Berkeley Food Pantry at</w:t>
      </w:r>
      <w:hyperlink r:id="rId23" w:history="1">
        <w:r w:rsidRPr="00A730C5">
          <w:rPr>
            <w:color w:val="1155CC"/>
            <w:u w:val="single"/>
          </w:rPr>
          <w:t xml:space="preserve"> pantry.berkeley.edu </w:t>
        </w:r>
      </w:hyperlink>
    </w:p>
    <w:p w14:paraId="4C208D1D" w14:textId="77777777" w:rsidR="00020E9F" w:rsidRPr="00A730C5" w:rsidRDefault="00020E9F" w:rsidP="00020E9F"/>
    <w:p w14:paraId="17D27F15" w14:textId="77777777" w:rsidR="00020E9F" w:rsidRPr="00A730C5" w:rsidRDefault="00020E9F" w:rsidP="00020E9F">
      <w:r w:rsidRPr="00A730C5">
        <w:rPr>
          <w:color w:val="000000"/>
        </w:rPr>
        <w:t xml:space="preserve">5) 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Pr="00A730C5">
        <w:rPr>
          <w:color w:val="000000"/>
        </w:rPr>
        <w:t>University</w:t>
      </w:r>
      <w:proofErr w:type="gramEnd"/>
      <w:r w:rsidRPr="00A730C5">
        <w:rPr>
          <w:color w:val="000000"/>
        </w:rPr>
        <w:t xml:space="preserve">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compliance and procedures, please access the full text: </w:t>
      </w:r>
      <w:hyperlink r:id="rId24" w:history="1">
        <w:r w:rsidRPr="00A730C5">
          <w:rPr>
            <w:color w:val="1155CC"/>
            <w:u w:val="single"/>
          </w:rPr>
          <w:t>http://policy.ucop.edu/doc/4000385/SVSH</w:t>
        </w:r>
      </w:hyperlink>
    </w:p>
    <w:p w14:paraId="0162118A" w14:textId="77777777" w:rsidR="00020E9F" w:rsidRPr="00A730C5" w:rsidRDefault="00020E9F" w:rsidP="00020E9F"/>
    <w:p w14:paraId="2A47847F" w14:textId="77777777" w:rsidR="00020E9F" w:rsidRPr="00A730C5" w:rsidRDefault="00020E9F" w:rsidP="00020E9F">
      <w:r w:rsidRPr="00A730C5">
        <w:rPr>
          <w:color w:val="000000"/>
        </w:rPr>
        <w:lastRenderedPageBreak/>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5" w:history="1">
        <w:r w:rsidRPr="00A730C5">
          <w:rPr>
            <w:color w:val="1155CC"/>
            <w:u w:val="single"/>
          </w:rPr>
          <w:t>ask_ophd@berkeley.edu</w:t>
        </w:r>
      </w:hyperlink>
      <w:r w:rsidRPr="00A730C5">
        <w:rPr>
          <w:color w:val="000000"/>
        </w:rPr>
        <w:t>.</w:t>
      </w:r>
    </w:p>
    <w:p w14:paraId="14B2B9CF" w14:textId="77777777" w:rsidR="00020E9F" w:rsidRPr="00A730C5" w:rsidRDefault="00020E9F" w:rsidP="00020E9F"/>
    <w:p w14:paraId="278EE59F" w14:textId="77777777" w:rsidR="00020E9F" w:rsidRDefault="00020E9F" w:rsidP="00020E9F">
      <w:pPr>
        <w:rPr>
          <w:color w:val="000000"/>
        </w:rPr>
      </w:pPr>
      <w:r w:rsidRPr="00A730C5">
        <w:rPr>
          <w:color w:val="000000"/>
        </w:rPr>
        <w:t xml:space="preserve">Path to Care Center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(510) 642-1988 or email </w:t>
      </w:r>
      <w:hyperlink r:id="rId26" w:history="1">
        <w:r w:rsidRPr="00A730C5">
          <w:rPr>
            <w:color w:val="1155CC"/>
            <w:u w:val="single"/>
          </w:rPr>
          <w:t>http://sa.berkeley.edu/dean/confidential-care-advocate</w:t>
        </w:r>
      </w:hyperlink>
      <w:r w:rsidRPr="00A730C5">
        <w:rPr>
          <w:color w:val="000000"/>
        </w:rPr>
        <w:t>. </w:t>
      </w:r>
    </w:p>
    <w:p w14:paraId="300BD56C" w14:textId="77777777" w:rsidR="00020E9F" w:rsidRDefault="00020E9F" w:rsidP="00020E9F">
      <w:pPr>
        <w:rPr>
          <w:color w:val="000000"/>
        </w:rPr>
      </w:pPr>
    </w:p>
    <w:p w14:paraId="51076B75" w14:textId="77777777" w:rsidR="00020E9F" w:rsidRPr="00C001AB" w:rsidRDefault="00020E9F" w:rsidP="00020E9F">
      <w:pPr>
        <w:rPr>
          <w:b/>
        </w:rPr>
      </w:pPr>
      <w:r w:rsidRPr="00C001AB">
        <w:rPr>
          <w:b/>
        </w:rPr>
        <w:t>Class Outline (subject to change):</w:t>
      </w:r>
    </w:p>
    <w:p w14:paraId="00C3DE63" w14:textId="77777777" w:rsidR="00741296" w:rsidRDefault="00741296" w:rsidP="00452FD9">
      <w:pPr>
        <w:rPr>
          <w:b/>
          <w:szCs w:val="24"/>
        </w:rPr>
      </w:pPr>
    </w:p>
    <w:p w14:paraId="75372CD1" w14:textId="77777777" w:rsidR="00741296" w:rsidRDefault="00741296" w:rsidP="00452FD9">
      <w:pPr>
        <w:rPr>
          <w:szCs w:val="24"/>
        </w:rPr>
      </w:pPr>
      <w:r>
        <w:rPr>
          <w:szCs w:val="24"/>
        </w:rPr>
        <w:t>The following outline provides a general overview of the topics we will cover throughout the semester.  Reading assignments fo</w:t>
      </w:r>
      <w:r w:rsidR="00AC5832">
        <w:rPr>
          <w:szCs w:val="24"/>
        </w:rPr>
        <w:t xml:space="preserve">r each class will be posted on </w:t>
      </w:r>
      <w:proofErr w:type="spellStart"/>
      <w:r w:rsidR="00AC5832">
        <w:rPr>
          <w:szCs w:val="24"/>
        </w:rPr>
        <w:t>bCourse</w:t>
      </w:r>
      <w:proofErr w:type="spellEnd"/>
      <w:r w:rsidR="00AC5832">
        <w:rPr>
          <w:szCs w:val="24"/>
        </w:rPr>
        <w:t xml:space="preserve"> </w:t>
      </w:r>
      <w:r>
        <w:rPr>
          <w:szCs w:val="24"/>
        </w:rPr>
        <w:t>approximately one week in advance.</w:t>
      </w:r>
    </w:p>
    <w:p w14:paraId="60BF3840" w14:textId="77777777" w:rsidR="00916AB7" w:rsidRDefault="00916AB7" w:rsidP="00452FD9">
      <w:pPr>
        <w:rPr>
          <w:szCs w:val="24"/>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999"/>
        <w:gridCol w:w="4587"/>
      </w:tblGrid>
      <w:tr w:rsidR="007D4E4C" w:rsidRPr="00454E54" w14:paraId="71514652" w14:textId="77777777" w:rsidTr="007D4E4C">
        <w:tc>
          <w:tcPr>
            <w:tcW w:w="1334" w:type="dxa"/>
            <w:tcBorders>
              <w:bottom w:val="single" w:sz="4" w:space="0" w:color="auto"/>
            </w:tcBorders>
            <w:shd w:val="clear" w:color="auto" w:fill="auto"/>
          </w:tcPr>
          <w:p w14:paraId="22DDCB0A" w14:textId="77777777" w:rsidR="007D4E4C" w:rsidRPr="00454E54" w:rsidRDefault="007D4E4C" w:rsidP="007D4E4C">
            <w:pPr>
              <w:jc w:val="center"/>
              <w:rPr>
                <w:b/>
              </w:rPr>
            </w:pPr>
            <w:r w:rsidRPr="00454E54">
              <w:rPr>
                <w:b/>
              </w:rPr>
              <w:t>Date</w:t>
            </w:r>
          </w:p>
        </w:tc>
        <w:tc>
          <w:tcPr>
            <w:tcW w:w="1999" w:type="dxa"/>
            <w:tcBorders>
              <w:bottom w:val="single" w:sz="4" w:space="0" w:color="auto"/>
            </w:tcBorders>
          </w:tcPr>
          <w:p w14:paraId="31C305AB" w14:textId="77777777" w:rsidR="007D4E4C" w:rsidRPr="00454E54" w:rsidRDefault="007D4E4C" w:rsidP="007D4E4C">
            <w:pPr>
              <w:jc w:val="center"/>
              <w:rPr>
                <w:b/>
              </w:rPr>
            </w:pPr>
            <w:r w:rsidRPr="00454E54">
              <w:rPr>
                <w:b/>
              </w:rPr>
              <w:t>Class #</w:t>
            </w:r>
          </w:p>
        </w:tc>
        <w:tc>
          <w:tcPr>
            <w:tcW w:w="4587" w:type="dxa"/>
            <w:tcBorders>
              <w:bottom w:val="single" w:sz="4" w:space="0" w:color="auto"/>
            </w:tcBorders>
          </w:tcPr>
          <w:p w14:paraId="4F9F0A74" w14:textId="1E1FA697" w:rsidR="007D4E4C" w:rsidRPr="00454E54" w:rsidRDefault="007D4E4C" w:rsidP="007D4E4C">
            <w:pPr>
              <w:rPr>
                <w:b/>
              </w:rPr>
            </w:pPr>
            <w:r w:rsidRPr="00454E54">
              <w:rPr>
                <w:b/>
              </w:rPr>
              <w:t>Topic</w:t>
            </w:r>
          </w:p>
        </w:tc>
      </w:tr>
      <w:tr w:rsidR="007D4E4C" w:rsidRPr="00996FA6" w14:paraId="6F8DBF2E" w14:textId="77777777" w:rsidTr="007D4E4C">
        <w:tc>
          <w:tcPr>
            <w:tcW w:w="1334" w:type="dxa"/>
            <w:shd w:val="clear" w:color="auto" w:fill="auto"/>
          </w:tcPr>
          <w:p w14:paraId="56039B11" w14:textId="2E9CDE7F" w:rsidR="007D4E4C" w:rsidRPr="00454E54" w:rsidRDefault="007D4E4C" w:rsidP="007D4E4C">
            <w:pPr>
              <w:jc w:val="center"/>
            </w:pPr>
            <w:r>
              <w:t>8/</w:t>
            </w:r>
            <w:r w:rsidR="00DF08B2">
              <w:t>16</w:t>
            </w:r>
          </w:p>
        </w:tc>
        <w:tc>
          <w:tcPr>
            <w:tcW w:w="1999" w:type="dxa"/>
          </w:tcPr>
          <w:p w14:paraId="6360CEF0" w14:textId="77777777" w:rsidR="007D4E4C" w:rsidRDefault="007D4E4C" w:rsidP="007D4E4C">
            <w:pPr>
              <w:jc w:val="center"/>
            </w:pPr>
            <w:r>
              <w:t>1</w:t>
            </w:r>
          </w:p>
        </w:tc>
        <w:tc>
          <w:tcPr>
            <w:tcW w:w="4587" w:type="dxa"/>
            <w:vAlign w:val="center"/>
          </w:tcPr>
          <w:p w14:paraId="59DCAD91" w14:textId="4FE5A222" w:rsidR="007D4E4C" w:rsidRPr="00996FA6" w:rsidRDefault="007D4E4C" w:rsidP="007D4E4C">
            <w:pPr>
              <w:pStyle w:val="Default"/>
              <w:keepLines/>
              <w:suppressAutoHyphens/>
              <w:autoSpaceDE/>
              <w:autoSpaceDN/>
              <w:adjustRightInd/>
            </w:pPr>
            <w:r w:rsidRPr="00996FA6">
              <w:t>Introduction</w:t>
            </w:r>
          </w:p>
        </w:tc>
      </w:tr>
      <w:tr w:rsidR="007D4E4C" w:rsidRPr="00996FA6" w14:paraId="65047EDC" w14:textId="77777777" w:rsidTr="007D4E4C">
        <w:tc>
          <w:tcPr>
            <w:tcW w:w="1334" w:type="dxa"/>
            <w:shd w:val="clear" w:color="auto" w:fill="auto"/>
          </w:tcPr>
          <w:p w14:paraId="2BEC4AD6" w14:textId="66F247B4" w:rsidR="007D4E4C" w:rsidRPr="00454E54" w:rsidRDefault="007D4E4C" w:rsidP="007D4E4C">
            <w:pPr>
              <w:jc w:val="center"/>
            </w:pPr>
            <w:r>
              <w:t>8/</w:t>
            </w:r>
            <w:r w:rsidR="00DF08B2">
              <w:t>17</w:t>
            </w:r>
          </w:p>
        </w:tc>
        <w:tc>
          <w:tcPr>
            <w:tcW w:w="1999" w:type="dxa"/>
          </w:tcPr>
          <w:p w14:paraId="22FFC8CA" w14:textId="77777777" w:rsidR="007D4E4C" w:rsidRDefault="007D4E4C" w:rsidP="007D4E4C">
            <w:pPr>
              <w:jc w:val="center"/>
            </w:pPr>
            <w:r>
              <w:t>2</w:t>
            </w:r>
          </w:p>
        </w:tc>
        <w:tc>
          <w:tcPr>
            <w:tcW w:w="4587" w:type="dxa"/>
            <w:vMerge w:val="restart"/>
            <w:vAlign w:val="center"/>
          </w:tcPr>
          <w:p w14:paraId="24D91BCF" w14:textId="233EAA8C" w:rsidR="007D4E4C" w:rsidRPr="005E0E3D" w:rsidRDefault="007D4E4C" w:rsidP="007D4E4C">
            <w:pPr>
              <w:pStyle w:val="Default"/>
              <w:keepLines/>
              <w:suppressAutoHyphens/>
              <w:autoSpaceDE/>
              <w:autoSpaceDN/>
              <w:adjustRightInd/>
            </w:pPr>
            <w:r w:rsidRPr="005E0E3D">
              <w:t>Materiality</w:t>
            </w:r>
          </w:p>
        </w:tc>
      </w:tr>
      <w:tr w:rsidR="007D4E4C" w:rsidRPr="00996FA6" w14:paraId="331301DC" w14:textId="77777777" w:rsidTr="007D4E4C">
        <w:tc>
          <w:tcPr>
            <w:tcW w:w="1334" w:type="dxa"/>
            <w:shd w:val="clear" w:color="auto" w:fill="auto"/>
          </w:tcPr>
          <w:p w14:paraId="78839A88" w14:textId="1FE0D052" w:rsidR="007D4E4C" w:rsidRPr="00454E54" w:rsidRDefault="007D4E4C" w:rsidP="007D4E4C">
            <w:pPr>
              <w:jc w:val="center"/>
            </w:pPr>
            <w:r>
              <w:t>8/</w:t>
            </w:r>
            <w:r w:rsidR="00DF08B2">
              <w:t>18</w:t>
            </w:r>
          </w:p>
        </w:tc>
        <w:tc>
          <w:tcPr>
            <w:tcW w:w="1999" w:type="dxa"/>
          </w:tcPr>
          <w:p w14:paraId="6BCC40B9" w14:textId="77777777" w:rsidR="007D4E4C" w:rsidRDefault="007D4E4C" w:rsidP="007D4E4C">
            <w:pPr>
              <w:jc w:val="center"/>
            </w:pPr>
            <w:r>
              <w:t>3</w:t>
            </w:r>
          </w:p>
        </w:tc>
        <w:tc>
          <w:tcPr>
            <w:tcW w:w="4587" w:type="dxa"/>
            <w:vMerge/>
            <w:vAlign w:val="center"/>
          </w:tcPr>
          <w:p w14:paraId="574757C9" w14:textId="77777777" w:rsidR="007D4E4C" w:rsidRPr="005E0E3D" w:rsidRDefault="007D4E4C" w:rsidP="007D4E4C">
            <w:pPr>
              <w:pStyle w:val="Default"/>
              <w:keepLines/>
              <w:suppressAutoHyphens/>
            </w:pPr>
          </w:p>
        </w:tc>
      </w:tr>
      <w:tr w:rsidR="007D4E4C" w:rsidRPr="00996FA6" w14:paraId="1D5EC5B5" w14:textId="77777777" w:rsidTr="007D4E4C">
        <w:tc>
          <w:tcPr>
            <w:tcW w:w="1334" w:type="dxa"/>
            <w:shd w:val="clear" w:color="auto" w:fill="auto"/>
          </w:tcPr>
          <w:p w14:paraId="7B3B144F" w14:textId="1E1393E8" w:rsidR="007D4E4C" w:rsidRPr="00454E54" w:rsidRDefault="007D4E4C" w:rsidP="007D4E4C">
            <w:pPr>
              <w:jc w:val="center"/>
            </w:pPr>
            <w:r>
              <w:t>8/</w:t>
            </w:r>
            <w:r w:rsidR="00DF08B2">
              <w:t>23</w:t>
            </w:r>
          </w:p>
        </w:tc>
        <w:tc>
          <w:tcPr>
            <w:tcW w:w="1999" w:type="dxa"/>
          </w:tcPr>
          <w:p w14:paraId="24870E2A" w14:textId="77777777" w:rsidR="007D4E4C" w:rsidRDefault="007D4E4C" w:rsidP="007D4E4C">
            <w:pPr>
              <w:jc w:val="center"/>
            </w:pPr>
            <w:r>
              <w:t>4</w:t>
            </w:r>
          </w:p>
        </w:tc>
        <w:tc>
          <w:tcPr>
            <w:tcW w:w="4587" w:type="dxa"/>
            <w:vMerge/>
            <w:vAlign w:val="center"/>
          </w:tcPr>
          <w:p w14:paraId="7559B648" w14:textId="77777777" w:rsidR="007D4E4C" w:rsidRPr="00996FA6" w:rsidRDefault="007D4E4C" w:rsidP="007D4E4C">
            <w:pPr>
              <w:pStyle w:val="Default"/>
              <w:keepLines/>
              <w:suppressAutoHyphens/>
              <w:autoSpaceDE/>
              <w:autoSpaceDN/>
              <w:adjustRightInd/>
            </w:pPr>
          </w:p>
        </w:tc>
      </w:tr>
      <w:tr w:rsidR="007D4E4C" w:rsidRPr="00996FA6" w14:paraId="1D820175" w14:textId="77777777" w:rsidTr="007D4E4C">
        <w:tc>
          <w:tcPr>
            <w:tcW w:w="1334" w:type="dxa"/>
            <w:shd w:val="clear" w:color="auto" w:fill="auto"/>
          </w:tcPr>
          <w:p w14:paraId="57D36188" w14:textId="4630DC0D" w:rsidR="007D4E4C" w:rsidRPr="00454E54" w:rsidRDefault="007D4E4C" w:rsidP="007D4E4C">
            <w:pPr>
              <w:jc w:val="center"/>
            </w:pPr>
            <w:r>
              <w:t>8/2</w:t>
            </w:r>
            <w:r w:rsidR="00DF08B2">
              <w:t>4</w:t>
            </w:r>
          </w:p>
        </w:tc>
        <w:tc>
          <w:tcPr>
            <w:tcW w:w="1999" w:type="dxa"/>
          </w:tcPr>
          <w:p w14:paraId="635181C2" w14:textId="77777777" w:rsidR="007D4E4C" w:rsidRDefault="007D4E4C" w:rsidP="007D4E4C">
            <w:pPr>
              <w:jc w:val="center"/>
            </w:pPr>
            <w:r>
              <w:t>5</w:t>
            </w:r>
          </w:p>
        </w:tc>
        <w:tc>
          <w:tcPr>
            <w:tcW w:w="4587" w:type="dxa"/>
            <w:vMerge/>
            <w:vAlign w:val="center"/>
          </w:tcPr>
          <w:p w14:paraId="21E5360D" w14:textId="77777777" w:rsidR="007D4E4C" w:rsidRPr="00996FA6" w:rsidRDefault="007D4E4C" w:rsidP="007D4E4C">
            <w:pPr>
              <w:pStyle w:val="Default"/>
              <w:keepLines/>
              <w:suppressAutoHyphens/>
              <w:autoSpaceDE/>
              <w:autoSpaceDN/>
              <w:adjustRightInd/>
            </w:pPr>
          </w:p>
        </w:tc>
      </w:tr>
      <w:tr w:rsidR="007D4E4C" w:rsidRPr="00996FA6" w14:paraId="4C814A03" w14:textId="77777777" w:rsidTr="007D4E4C">
        <w:tc>
          <w:tcPr>
            <w:tcW w:w="1334" w:type="dxa"/>
            <w:shd w:val="clear" w:color="auto" w:fill="auto"/>
          </w:tcPr>
          <w:p w14:paraId="1F7E9696" w14:textId="76312B5C" w:rsidR="007D4E4C" w:rsidRPr="00454E54" w:rsidRDefault="007D4E4C" w:rsidP="007D4E4C">
            <w:pPr>
              <w:jc w:val="center"/>
            </w:pPr>
            <w:r>
              <w:t>8/2</w:t>
            </w:r>
            <w:r w:rsidR="00DF08B2">
              <w:t>5</w:t>
            </w:r>
          </w:p>
        </w:tc>
        <w:tc>
          <w:tcPr>
            <w:tcW w:w="1999" w:type="dxa"/>
          </w:tcPr>
          <w:p w14:paraId="5663AAFE" w14:textId="77777777" w:rsidR="007D4E4C" w:rsidRDefault="007D4E4C" w:rsidP="007D4E4C">
            <w:pPr>
              <w:jc w:val="center"/>
            </w:pPr>
            <w:r>
              <w:t>6</w:t>
            </w:r>
          </w:p>
        </w:tc>
        <w:tc>
          <w:tcPr>
            <w:tcW w:w="4587" w:type="dxa"/>
            <w:vMerge/>
            <w:vAlign w:val="center"/>
          </w:tcPr>
          <w:p w14:paraId="40C851AF" w14:textId="77777777" w:rsidR="007D4E4C" w:rsidRDefault="007D4E4C" w:rsidP="007D4E4C">
            <w:pPr>
              <w:pStyle w:val="Default"/>
              <w:keepLines/>
              <w:suppressAutoHyphens/>
              <w:autoSpaceDE/>
              <w:autoSpaceDN/>
              <w:adjustRightInd/>
            </w:pPr>
          </w:p>
        </w:tc>
      </w:tr>
      <w:tr w:rsidR="007D4E4C" w:rsidRPr="00996FA6" w14:paraId="521914F1" w14:textId="77777777" w:rsidTr="007D4E4C">
        <w:tc>
          <w:tcPr>
            <w:tcW w:w="1334" w:type="dxa"/>
            <w:tcBorders>
              <w:bottom w:val="single" w:sz="4" w:space="0" w:color="auto"/>
            </w:tcBorders>
            <w:shd w:val="clear" w:color="auto" w:fill="auto"/>
          </w:tcPr>
          <w:p w14:paraId="70538005" w14:textId="722874C0" w:rsidR="007D4E4C" w:rsidRPr="00454E54" w:rsidRDefault="00DF08B2" w:rsidP="007D4E4C">
            <w:pPr>
              <w:jc w:val="center"/>
            </w:pPr>
            <w:r>
              <w:t>8/30</w:t>
            </w:r>
          </w:p>
        </w:tc>
        <w:tc>
          <w:tcPr>
            <w:tcW w:w="1999" w:type="dxa"/>
          </w:tcPr>
          <w:p w14:paraId="4E632A97" w14:textId="77777777" w:rsidR="007D4E4C" w:rsidRDefault="007D4E4C" w:rsidP="007D4E4C">
            <w:pPr>
              <w:jc w:val="center"/>
            </w:pPr>
            <w:r>
              <w:t>7</w:t>
            </w:r>
          </w:p>
        </w:tc>
        <w:tc>
          <w:tcPr>
            <w:tcW w:w="4587" w:type="dxa"/>
            <w:vMerge w:val="restart"/>
            <w:vAlign w:val="center"/>
          </w:tcPr>
          <w:p w14:paraId="48C2129D" w14:textId="5BB4EB96" w:rsidR="007D4E4C" w:rsidRPr="00996FA6" w:rsidRDefault="007D4E4C" w:rsidP="007D4E4C">
            <w:pPr>
              <w:pStyle w:val="Default"/>
              <w:keepLines/>
              <w:suppressAutoHyphens/>
              <w:autoSpaceDE/>
              <w:autoSpaceDN/>
              <w:adjustRightInd/>
            </w:pPr>
            <w:r>
              <w:t>Definition of “Security”</w:t>
            </w:r>
          </w:p>
        </w:tc>
      </w:tr>
      <w:tr w:rsidR="007D4E4C" w:rsidRPr="00996FA6" w14:paraId="7D58EF76" w14:textId="77777777" w:rsidTr="007D4E4C">
        <w:tc>
          <w:tcPr>
            <w:tcW w:w="1334" w:type="dxa"/>
            <w:shd w:val="clear" w:color="auto" w:fill="auto"/>
          </w:tcPr>
          <w:p w14:paraId="27453399" w14:textId="5D90CA57" w:rsidR="007D4E4C" w:rsidRPr="00454E54" w:rsidRDefault="00DF08B2" w:rsidP="007D4E4C">
            <w:pPr>
              <w:jc w:val="center"/>
            </w:pPr>
            <w:r>
              <w:t>8/31</w:t>
            </w:r>
          </w:p>
        </w:tc>
        <w:tc>
          <w:tcPr>
            <w:tcW w:w="1999" w:type="dxa"/>
          </w:tcPr>
          <w:p w14:paraId="24D94A74" w14:textId="77777777" w:rsidR="007D4E4C" w:rsidRDefault="007D4E4C" w:rsidP="007D4E4C">
            <w:pPr>
              <w:jc w:val="center"/>
            </w:pPr>
            <w:r>
              <w:t>8</w:t>
            </w:r>
          </w:p>
        </w:tc>
        <w:tc>
          <w:tcPr>
            <w:tcW w:w="4587" w:type="dxa"/>
            <w:vMerge/>
            <w:vAlign w:val="center"/>
          </w:tcPr>
          <w:p w14:paraId="31163EA8" w14:textId="77777777" w:rsidR="007D4E4C" w:rsidRPr="00996FA6" w:rsidRDefault="007D4E4C" w:rsidP="007D4E4C">
            <w:pPr>
              <w:pStyle w:val="Default"/>
              <w:keepLines/>
              <w:suppressAutoHyphens/>
              <w:autoSpaceDE/>
              <w:autoSpaceDN/>
              <w:adjustRightInd/>
            </w:pPr>
          </w:p>
        </w:tc>
      </w:tr>
      <w:tr w:rsidR="007D4E4C" w:rsidRPr="009E2E90" w14:paraId="15DA1280" w14:textId="77777777" w:rsidTr="007D4E4C">
        <w:tc>
          <w:tcPr>
            <w:tcW w:w="1334" w:type="dxa"/>
            <w:shd w:val="clear" w:color="auto" w:fill="auto"/>
          </w:tcPr>
          <w:p w14:paraId="57E788F6" w14:textId="7650F15E" w:rsidR="007D4E4C" w:rsidRPr="00454E54" w:rsidRDefault="00DF08B2" w:rsidP="007D4E4C">
            <w:pPr>
              <w:jc w:val="center"/>
            </w:pPr>
            <w:r>
              <w:t>9/1</w:t>
            </w:r>
          </w:p>
        </w:tc>
        <w:tc>
          <w:tcPr>
            <w:tcW w:w="1999" w:type="dxa"/>
          </w:tcPr>
          <w:p w14:paraId="687E3263" w14:textId="77777777" w:rsidR="007D4E4C" w:rsidRDefault="007D4E4C" w:rsidP="007D4E4C">
            <w:pPr>
              <w:jc w:val="center"/>
            </w:pPr>
            <w:r>
              <w:t>9</w:t>
            </w:r>
          </w:p>
        </w:tc>
        <w:tc>
          <w:tcPr>
            <w:tcW w:w="4587" w:type="dxa"/>
            <w:vMerge/>
            <w:vAlign w:val="center"/>
          </w:tcPr>
          <w:p w14:paraId="50DAC9D4" w14:textId="77777777" w:rsidR="007D4E4C" w:rsidRDefault="007D4E4C" w:rsidP="007D4E4C">
            <w:pPr>
              <w:pStyle w:val="Default"/>
              <w:keepLines/>
              <w:suppressAutoHyphens/>
            </w:pPr>
          </w:p>
        </w:tc>
      </w:tr>
      <w:tr w:rsidR="00DF08B2" w:rsidRPr="00996FA6" w14:paraId="0894B40C" w14:textId="77777777" w:rsidTr="007D4E4C">
        <w:tc>
          <w:tcPr>
            <w:tcW w:w="1334" w:type="dxa"/>
            <w:shd w:val="clear" w:color="auto" w:fill="auto"/>
          </w:tcPr>
          <w:p w14:paraId="753497CC" w14:textId="2E7AD455" w:rsidR="00DF08B2" w:rsidRDefault="00DF08B2" w:rsidP="007D4E4C">
            <w:pPr>
              <w:jc w:val="center"/>
            </w:pPr>
            <w:r>
              <w:t>9/6</w:t>
            </w:r>
          </w:p>
        </w:tc>
        <w:tc>
          <w:tcPr>
            <w:tcW w:w="1999" w:type="dxa"/>
          </w:tcPr>
          <w:p w14:paraId="6258102A" w14:textId="77777777" w:rsidR="00DF08B2" w:rsidRDefault="00DF08B2" w:rsidP="00DF08B2">
            <w:pPr>
              <w:jc w:val="center"/>
            </w:pPr>
            <w:r>
              <w:t xml:space="preserve">Labor Day </w:t>
            </w:r>
          </w:p>
          <w:p w14:paraId="7DB05E8C" w14:textId="01BA3C6E" w:rsidR="00DF08B2" w:rsidRDefault="00DF08B2" w:rsidP="00DF08B2">
            <w:pPr>
              <w:jc w:val="center"/>
            </w:pPr>
            <w:r>
              <w:t>(No Class)</w:t>
            </w:r>
          </w:p>
        </w:tc>
        <w:tc>
          <w:tcPr>
            <w:tcW w:w="4587" w:type="dxa"/>
            <w:vAlign w:val="center"/>
          </w:tcPr>
          <w:p w14:paraId="7228215C" w14:textId="77777777" w:rsidR="00DF08B2" w:rsidRDefault="00DF08B2" w:rsidP="007D4E4C">
            <w:pPr>
              <w:pStyle w:val="Default"/>
              <w:keepLines/>
              <w:suppressAutoHyphens/>
              <w:autoSpaceDE/>
              <w:autoSpaceDN/>
              <w:adjustRightInd/>
            </w:pPr>
          </w:p>
        </w:tc>
      </w:tr>
      <w:tr w:rsidR="007D4E4C" w:rsidRPr="00996FA6" w14:paraId="60C84BF6" w14:textId="77777777" w:rsidTr="007D4E4C">
        <w:tc>
          <w:tcPr>
            <w:tcW w:w="1334" w:type="dxa"/>
            <w:shd w:val="clear" w:color="auto" w:fill="auto"/>
          </w:tcPr>
          <w:p w14:paraId="6A04738B" w14:textId="007AEF5E" w:rsidR="007D4E4C" w:rsidRPr="00454E54" w:rsidRDefault="00DF08B2" w:rsidP="007D4E4C">
            <w:pPr>
              <w:jc w:val="center"/>
            </w:pPr>
            <w:r>
              <w:t>9/7</w:t>
            </w:r>
          </w:p>
        </w:tc>
        <w:tc>
          <w:tcPr>
            <w:tcW w:w="1999" w:type="dxa"/>
          </w:tcPr>
          <w:p w14:paraId="47D17A6E" w14:textId="77777777" w:rsidR="007D4E4C" w:rsidRDefault="007D4E4C" w:rsidP="007D4E4C">
            <w:pPr>
              <w:jc w:val="center"/>
            </w:pPr>
            <w:r>
              <w:t>10</w:t>
            </w:r>
          </w:p>
        </w:tc>
        <w:tc>
          <w:tcPr>
            <w:tcW w:w="4587" w:type="dxa"/>
            <w:vMerge w:val="restart"/>
            <w:vAlign w:val="center"/>
          </w:tcPr>
          <w:p w14:paraId="11EA26E8" w14:textId="18D5583D" w:rsidR="007D4E4C" w:rsidRPr="00996FA6" w:rsidRDefault="007D4E4C" w:rsidP="007D4E4C">
            <w:pPr>
              <w:pStyle w:val="Default"/>
              <w:keepLines/>
              <w:suppressAutoHyphens/>
              <w:autoSpaceDE/>
              <w:autoSpaceDN/>
              <w:adjustRightInd/>
            </w:pPr>
            <w:r>
              <w:t>Disclosure &amp; Accuracy</w:t>
            </w:r>
          </w:p>
        </w:tc>
      </w:tr>
      <w:tr w:rsidR="007D4E4C" w:rsidRPr="00996FA6" w14:paraId="0DD14805" w14:textId="77777777" w:rsidTr="007D4E4C">
        <w:tc>
          <w:tcPr>
            <w:tcW w:w="1334" w:type="dxa"/>
            <w:shd w:val="clear" w:color="auto" w:fill="auto"/>
          </w:tcPr>
          <w:p w14:paraId="7F170410" w14:textId="3DDDBFFC" w:rsidR="007D4E4C" w:rsidRDefault="007D4E4C" w:rsidP="007D4E4C">
            <w:pPr>
              <w:jc w:val="center"/>
            </w:pPr>
            <w:r>
              <w:t>9/</w:t>
            </w:r>
            <w:r w:rsidR="00DF08B2">
              <w:t>8</w:t>
            </w:r>
          </w:p>
        </w:tc>
        <w:tc>
          <w:tcPr>
            <w:tcW w:w="1999" w:type="dxa"/>
          </w:tcPr>
          <w:p w14:paraId="3103E900" w14:textId="77777777" w:rsidR="007D4E4C" w:rsidRDefault="007D4E4C" w:rsidP="007D4E4C">
            <w:pPr>
              <w:jc w:val="center"/>
            </w:pPr>
            <w:r>
              <w:t>11</w:t>
            </w:r>
          </w:p>
        </w:tc>
        <w:tc>
          <w:tcPr>
            <w:tcW w:w="4587" w:type="dxa"/>
            <w:vMerge/>
            <w:vAlign w:val="center"/>
          </w:tcPr>
          <w:p w14:paraId="52EED301" w14:textId="77777777" w:rsidR="007D4E4C" w:rsidRPr="00996FA6" w:rsidRDefault="007D4E4C" w:rsidP="007D4E4C">
            <w:pPr>
              <w:pStyle w:val="Default"/>
              <w:keepLines/>
              <w:suppressAutoHyphens/>
              <w:autoSpaceDE/>
              <w:autoSpaceDN/>
              <w:adjustRightInd/>
            </w:pPr>
          </w:p>
        </w:tc>
      </w:tr>
      <w:tr w:rsidR="007D4E4C" w:rsidRPr="00996FA6" w14:paraId="019F94D8" w14:textId="77777777" w:rsidTr="007D4E4C">
        <w:tc>
          <w:tcPr>
            <w:tcW w:w="1334" w:type="dxa"/>
            <w:shd w:val="clear" w:color="auto" w:fill="auto"/>
          </w:tcPr>
          <w:p w14:paraId="30C4B046" w14:textId="0BBDF7DC" w:rsidR="007D4E4C" w:rsidRPr="00454E54" w:rsidRDefault="007D4E4C" w:rsidP="007D4E4C">
            <w:pPr>
              <w:jc w:val="center"/>
            </w:pPr>
            <w:r>
              <w:t>9/</w:t>
            </w:r>
            <w:r w:rsidR="00DF08B2">
              <w:t>13</w:t>
            </w:r>
          </w:p>
        </w:tc>
        <w:tc>
          <w:tcPr>
            <w:tcW w:w="1999" w:type="dxa"/>
          </w:tcPr>
          <w:p w14:paraId="04AB39B6" w14:textId="77777777" w:rsidR="007D4E4C" w:rsidRDefault="007D4E4C" w:rsidP="007D4E4C">
            <w:pPr>
              <w:jc w:val="center"/>
            </w:pPr>
            <w:r>
              <w:t>12</w:t>
            </w:r>
          </w:p>
        </w:tc>
        <w:tc>
          <w:tcPr>
            <w:tcW w:w="4587" w:type="dxa"/>
            <w:vMerge/>
            <w:vAlign w:val="center"/>
          </w:tcPr>
          <w:p w14:paraId="3CB5DDEC" w14:textId="77777777" w:rsidR="007D4E4C" w:rsidRDefault="007D4E4C" w:rsidP="007D4E4C">
            <w:pPr>
              <w:pStyle w:val="Default"/>
              <w:keepLines/>
              <w:suppressAutoHyphens/>
              <w:autoSpaceDE/>
              <w:autoSpaceDN/>
              <w:adjustRightInd/>
            </w:pPr>
          </w:p>
        </w:tc>
      </w:tr>
      <w:tr w:rsidR="007D4E4C" w:rsidRPr="009C484E" w14:paraId="4959FE3D" w14:textId="77777777" w:rsidTr="007D4E4C">
        <w:tc>
          <w:tcPr>
            <w:tcW w:w="1334" w:type="dxa"/>
            <w:shd w:val="clear" w:color="auto" w:fill="auto"/>
          </w:tcPr>
          <w:p w14:paraId="621DD33F" w14:textId="03941D5A" w:rsidR="007D4E4C" w:rsidRDefault="007D4E4C" w:rsidP="007D4E4C">
            <w:pPr>
              <w:jc w:val="center"/>
            </w:pPr>
            <w:r>
              <w:t>9/1</w:t>
            </w:r>
            <w:r w:rsidR="00DF08B2">
              <w:t>4</w:t>
            </w:r>
          </w:p>
        </w:tc>
        <w:tc>
          <w:tcPr>
            <w:tcW w:w="1999" w:type="dxa"/>
          </w:tcPr>
          <w:p w14:paraId="2D3DFB3F" w14:textId="77777777" w:rsidR="007D4E4C" w:rsidRDefault="007D4E4C" w:rsidP="007D4E4C">
            <w:pPr>
              <w:jc w:val="center"/>
            </w:pPr>
            <w:r>
              <w:t>13</w:t>
            </w:r>
          </w:p>
        </w:tc>
        <w:tc>
          <w:tcPr>
            <w:tcW w:w="4587" w:type="dxa"/>
            <w:vMerge w:val="restart"/>
            <w:vAlign w:val="center"/>
          </w:tcPr>
          <w:p w14:paraId="724F00E7" w14:textId="7E1948DD" w:rsidR="007D4E4C" w:rsidRPr="00454E54" w:rsidRDefault="007D4E4C" w:rsidP="007D4E4C">
            <w:pPr>
              <w:pStyle w:val="Address"/>
              <w:spacing w:after="0"/>
              <w:ind w:left="0"/>
              <w:rPr>
                <w:szCs w:val="24"/>
              </w:rPr>
            </w:pPr>
            <w:r>
              <w:t>10b-5</w:t>
            </w:r>
          </w:p>
        </w:tc>
      </w:tr>
      <w:tr w:rsidR="007D4E4C" w:rsidRPr="00996FA6" w14:paraId="0D5213B7" w14:textId="77777777" w:rsidTr="007D4E4C">
        <w:tc>
          <w:tcPr>
            <w:tcW w:w="1334" w:type="dxa"/>
            <w:tcBorders>
              <w:bottom w:val="single" w:sz="4" w:space="0" w:color="auto"/>
            </w:tcBorders>
            <w:shd w:val="clear" w:color="auto" w:fill="auto"/>
          </w:tcPr>
          <w:p w14:paraId="1C7B5742" w14:textId="1FBE7D70" w:rsidR="007D4E4C" w:rsidRPr="00454E54" w:rsidRDefault="007D4E4C" w:rsidP="007D4E4C">
            <w:pPr>
              <w:jc w:val="center"/>
            </w:pPr>
            <w:r>
              <w:t>9/1</w:t>
            </w:r>
            <w:r w:rsidR="00DF08B2">
              <w:t>5</w:t>
            </w:r>
          </w:p>
        </w:tc>
        <w:tc>
          <w:tcPr>
            <w:tcW w:w="1999" w:type="dxa"/>
          </w:tcPr>
          <w:p w14:paraId="42CF446F" w14:textId="77777777" w:rsidR="007D4E4C" w:rsidRDefault="007D4E4C" w:rsidP="007D4E4C">
            <w:pPr>
              <w:jc w:val="center"/>
            </w:pPr>
            <w:r>
              <w:t>14</w:t>
            </w:r>
          </w:p>
        </w:tc>
        <w:tc>
          <w:tcPr>
            <w:tcW w:w="4587" w:type="dxa"/>
            <w:vMerge/>
            <w:vAlign w:val="center"/>
          </w:tcPr>
          <w:p w14:paraId="20461819" w14:textId="77777777" w:rsidR="007D4E4C" w:rsidRPr="00454E54" w:rsidRDefault="007D4E4C" w:rsidP="007D4E4C">
            <w:pPr>
              <w:pStyle w:val="Address"/>
              <w:spacing w:after="0"/>
              <w:ind w:left="0"/>
              <w:rPr>
                <w:szCs w:val="24"/>
              </w:rPr>
            </w:pPr>
          </w:p>
        </w:tc>
      </w:tr>
      <w:tr w:rsidR="007D4E4C" w:rsidRPr="00454E54" w14:paraId="14C55AA5" w14:textId="77777777" w:rsidTr="007D4E4C">
        <w:tc>
          <w:tcPr>
            <w:tcW w:w="1334" w:type="dxa"/>
            <w:shd w:val="clear" w:color="auto" w:fill="auto"/>
          </w:tcPr>
          <w:p w14:paraId="20CB0888" w14:textId="2A3AA934" w:rsidR="007D4E4C" w:rsidRPr="00454E54" w:rsidRDefault="007D4E4C" w:rsidP="007D4E4C">
            <w:pPr>
              <w:jc w:val="center"/>
            </w:pPr>
            <w:r>
              <w:t>9/2</w:t>
            </w:r>
            <w:r w:rsidR="00DF08B2">
              <w:t>0</w:t>
            </w:r>
          </w:p>
        </w:tc>
        <w:tc>
          <w:tcPr>
            <w:tcW w:w="1999" w:type="dxa"/>
          </w:tcPr>
          <w:p w14:paraId="281313F6" w14:textId="77777777" w:rsidR="007D4E4C" w:rsidRDefault="007D4E4C" w:rsidP="007D4E4C">
            <w:pPr>
              <w:jc w:val="center"/>
            </w:pPr>
            <w:r>
              <w:t>15</w:t>
            </w:r>
          </w:p>
        </w:tc>
        <w:tc>
          <w:tcPr>
            <w:tcW w:w="4587" w:type="dxa"/>
            <w:vMerge/>
            <w:vAlign w:val="center"/>
          </w:tcPr>
          <w:p w14:paraId="6049DBCD" w14:textId="77777777" w:rsidR="007D4E4C" w:rsidRPr="00454E54" w:rsidRDefault="007D4E4C" w:rsidP="007D4E4C">
            <w:pPr>
              <w:pStyle w:val="Address"/>
              <w:spacing w:after="0"/>
              <w:ind w:left="0"/>
              <w:rPr>
                <w:szCs w:val="24"/>
              </w:rPr>
            </w:pPr>
          </w:p>
        </w:tc>
      </w:tr>
      <w:tr w:rsidR="007D4E4C" w:rsidRPr="00454E54" w14:paraId="14D2DA18" w14:textId="77777777" w:rsidTr="007D4E4C">
        <w:tc>
          <w:tcPr>
            <w:tcW w:w="1334" w:type="dxa"/>
            <w:shd w:val="clear" w:color="auto" w:fill="auto"/>
          </w:tcPr>
          <w:p w14:paraId="72333A8A" w14:textId="0CD77F02" w:rsidR="007D4E4C" w:rsidRPr="00454E54" w:rsidRDefault="007D4E4C" w:rsidP="007D4E4C">
            <w:pPr>
              <w:jc w:val="center"/>
            </w:pPr>
            <w:r>
              <w:t>9/2</w:t>
            </w:r>
            <w:r w:rsidR="00DF08B2">
              <w:t>1</w:t>
            </w:r>
          </w:p>
        </w:tc>
        <w:tc>
          <w:tcPr>
            <w:tcW w:w="1999" w:type="dxa"/>
          </w:tcPr>
          <w:p w14:paraId="3259AEBA" w14:textId="77777777" w:rsidR="007D4E4C" w:rsidRDefault="007D4E4C" w:rsidP="007D4E4C">
            <w:pPr>
              <w:jc w:val="center"/>
            </w:pPr>
            <w:r>
              <w:t>16</w:t>
            </w:r>
          </w:p>
        </w:tc>
        <w:tc>
          <w:tcPr>
            <w:tcW w:w="4587" w:type="dxa"/>
            <w:vMerge/>
            <w:vAlign w:val="center"/>
          </w:tcPr>
          <w:p w14:paraId="7827E184" w14:textId="77777777" w:rsidR="007D4E4C" w:rsidRPr="00454E54" w:rsidRDefault="007D4E4C" w:rsidP="007D4E4C">
            <w:pPr>
              <w:pStyle w:val="Address"/>
              <w:spacing w:after="0"/>
              <w:ind w:left="0"/>
              <w:rPr>
                <w:szCs w:val="24"/>
              </w:rPr>
            </w:pPr>
          </w:p>
        </w:tc>
      </w:tr>
      <w:tr w:rsidR="007D4E4C" w:rsidRPr="00454E54" w14:paraId="7B7E4C58" w14:textId="77777777" w:rsidTr="007D4E4C">
        <w:tc>
          <w:tcPr>
            <w:tcW w:w="1334" w:type="dxa"/>
            <w:tcBorders>
              <w:bottom w:val="single" w:sz="4" w:space="0" w:color="auto"/>
            </w:tcBorders>
            <w:shd w:val="clear" w:color="auto" w:fill="auto"/>
          </w:tcPr>
          <w:p w14:paraId="78058DA0" w14:textId="4EFF2E51" w:rsidR="007D4E4C" w:rsidRPr="00454E54" w:rsidRDefault="007D4E4C" w:rsidP="007D4E4C">
            <w:pPr>
              <w:jc w:val="center"/>
            </w:pPr>
            <w:r>
              <w:t>9/2</w:t>
            </w:r>
            <w:r w:rsidR="00DF08B2">
              <w:t>2</w:t>
            </w:r>
          </w:p>
        </w:tc>
        <w:tc>
          <w:tcPr>
            <w:tcW w:w="1999" w:type="dxa"/>
          </w:tcPr>
          <w:p w14:paraId="08173B33" w14:textId="77777777" w:rsidR="007D4E4C" w:rsidRPr="005E0E3D" w:rsidRDefault="007D4E4C" w:rsidP="007D4E4C">
            <w:pPr>
              <w:jc w:val="center"/>
            </w:pPr>
            <w:r>
              <w:t>17</w:t>
            </w:r>
          </w:p>
        </w:tc>
        <w:tc>
          <w:tcPr>
            <w:tcW w:w="4587" w:type="dxa"/>
            <w:vMerge/>
            <w:vAlign w:val="center"/>
          </w:tcPr>
          <w:p w14:paraId="783B222E" w14:textId="77777777" w:rsidR="007D4E4C" w:rsidRPr="00454E54" w:rsidRDefault="007D4E4C" w:rsidP="007D4E4C">
            <w:pPr>
              <w:pStyle w:val="Address"/>
              <w:spacing w:after="0"/>
              <w:ind w:left="0"/>
              <w:rPr>
                <w:szCs w:val="24"/>
              </w:rPr>
            </w:pPr>
          </w:p>
        </w:tc>
      </w:tr>
      <w:tr w:rsidR="007D4E4C" w:rsidRPr="00996FA6" w14:paraId="5AD125F6" w14:textId="77777777" w:rsidTr="007D4E4C">
        <w:tc>
          <w:tcPr>
            <w:tcW w:w="1334" w:type="dxa"/>
            <w:shd w:val="clear" w:color="auto" w:fill="auto"/>
          </w:tcPr>
          <w:p w14:paraId="3743C1AF" w14:textId="122A0134" w:rsidR="007D4E4C" w:rsidRPr="005E0E3D" w:rsidRDefault="00297AAF" w:rsidP="007D4E4C">
            <w:pPr>
              <w:jc w:val="center"/>
            </w:pPr>
            <w:r>
              <w:t>9/</w:t>
            </w:r>
            <w:r w:rsidR="00DF08B2">
              <w:t>27</w:t>
            </w:r>
          </w:p>
        </w:tc>
        <w:tc>
          <w:tcPr>
            <w:tcW w:w="1999" w:type="dxa"/>
          </w:tcPr>
          <w:p w14:paraId="3D6A17D6" w14:textId="77777777" w:rsidR="007D4E4C" w:rsidRDefault="007D4E4C" w:rsidP="007D4E4C">
            <w:pPr>
              <w:jc w:val="center"/>
            </w:pPr>
            <w:r>
              <w:t>18</w:t>
            </w:r>
          </w:p>
        </w:tc>
        <w:tc>
          <w:tcPr>
            <w:tcW w:w="4587" w:type="dxa"/>
            <w:vMerge/>
            <w:vAlign w:val="center"/>
          </w:tcPr>
          <w:p w14:paraId="4E3A31D3" w14:textId="77777777" w:rsidR="007D4E4C" w:rsidRPr="00996FA6" w:rsidRDefault="007D4E4C" w:rsidP="007D4E4C">
            <w:pPr>
              <w:pStyle w:val="Default"/>
              <w:keepLines/>
              <w:suppressAutoHyphens/>
              <w:autoSpaceDE/>
              <w:autoSpaceDN/>
              <w:adjustRightInd/>
            </w:pPr>
          </w:p>
        </w:tc>
      </w:tr>
      <w:tr w:rsidR="007D4E4C" w:rsidRPr="00996FA6" w14:paraId="5F03AFEF" w14:textId="77777777" w:rsidTr="007D4E4C">
        <w:tc>
          <w:tcPr>
            <w:tcW w:w="1334" w:type="dxa"/>
            <w:shd w:val="clear" w:color="auto" w:fill="auto"/>
          </w:tcPr>
          <w:p w14:paraId="24AA3B2A" w14:textId="3F1B78AD" w:rsidR="007D4E4C" w:rsidRPr="00454E54" w:rsidRDefault="00DF08B2" w:rsidP="007D4E4C">
            <w:pPr>
              <w:jc w:val="center"/>
            </w:pPr>
            <w:r>
              <w:t>9/28</w:t>
            </w:r>
          </w:p>
        </w:tc>
        <w:tc>
          <w:tcPr>
            <w:tcW w:w="1999" w:type="dxa"/>
          </w:tcPr>
          <w:p w14:paraId="31AC8A35" w14:textId="77777777" w:rsidR="007D4E4C" w:rsidRDefault="007D4E4C" w:rsidP="007D4E4C">
            <w:pPr>
              <w:jc w:val="center"/>
            </w:pPr>
            <w:r>
              <w:t>19</w:t>
            </w:r>
          </w:p>
        </w:tc>
        <w:tc>
          <w:tcPr>
            <w:tcW w:w="4587" w:type="dxa"/>
            <w:vMerge/>
            <w:vAlign w:val="center"/>
          </w:tcPr>
          <w:p w14:paraId="0747C9AE" w14:textId="77777777" w:rsidR="007D4E4C" w:rsidRPr="00996FA6" w:rsidRDefault="007D4E4C" w:rsidP="007D4E4C">
            <w:pPr>
              <w:pStyle w:val="Default"/>
              <w:keepLines/>
              <w:suppressAutoHyphens/>
              <w:autoSpaceDE/>
              <w:autoSpaceDN/>
              <w:adjustRightInd/>
            </w:pPr>
          </w:p>
        </w:tc>
      </w:tr>
      <w:tr w:rsidR="007D4E4C" w:rsidRPr="00996FA6" w14:paraId="244BBA4D" w14:textId="77777777" w:rsidTr="007D4E4C">
        <w:tc>
          <w:tcPr>
            <w:tcW w:w="1334" w:type="dxa"/>
            <w:shd w:val="clear" w:color="auto" w:fill="auto"/>
          </w:tcPr>
          <w:p w14:paraId="2B814D53" w14:textId="364E69D9" w:rsidR="007D4E4C" w:rsidRPr="00454E54" w:rsidRDefault="00DF08B2" w:rsidP="007D4E4C">
            <w:pPr>
              <w:jc w:val="center"/>
            </w:pPr>
            <w:r>
              <w:t>9/29</w:t>
            </w:r>
          </w:p>
        </w:tc>
        <w:tc>
          <w:tcPr>
            <w:tcW w:w="1999" w:type="dxa"/>
          </w:tcPr>
          <w:p w14:paraId="1A803967" w14:textId="77777777" w:rsidR="007D4E4C" w:rsidRDefault="007D4E4C" w:rsidP="007D4E4C">
            <w:pPr>
              <w:jc w:val="center"/>
            </w:pPr>
            <w:r>
              <w:t>20</w:t>
            </w:r>
          </w:p>
        </w:tc>
        <w:tc>
          <w:tcPr>
            <w:tcW w:w="4587" w:type="dxa"/>
            <w:vMerge w:val="restart"/>
            <w:vAlign w:val="center"/>
          </w:tcPr>
          <w:p w14:paraId="65F5E108" w14:textId="7FF71683" w:rsidR="007D4E4C" w:rsidRPr="00996FA6" w:rsidRDefault="007D4E4C" w:rsidP="007D4E4C">
            <w:pPr>
              <w:pStyle w:val="Default"/>
              <w:keepLines/>
              <w:suppressAutoHyphens/>
              <w:autoSpaceDE/>
              <w:autoSpaceDN/>
              <w:adjustRightInd/>
            </w:pPr>
            <w:r>
              <w:t>Insider Trading</w:t>
            </w:r>
          </w:p>
        </w:tc>
      </w:tr>
      <w:tr w:rsidR="007D4E4C" w:rsidRPr="00996FA6" w14:paraId="245DDF48" w14:textId="77777777" w:rsidTr="007D4E4C">
        <w:tc>
          <w:tcPr>
            <w:tcW w:w="1334" w:type="dxa"/>
            <w:tcBorders>
              <w:bottom w:val="single" w:sz="4" w:space="0" w:color="auto"/>
            </w:tcBorders>
            <w:shd w:val="clear" w:color="auto" w:fill="auto"/>
          </w:tcPr>
          <w:p w14:paraId="0836E09C" w14:textId="14DC0CF6" w:rsidR="007D4E4C" w:rsidRPr="00454E54" w:rsidRDefault="007D4E4C" w:rsidP="007D4E4C">
            <w:pPr>
              <w:jc w:val="center"/>
            </w:pPr>
            <w:r>
              <w:t>10/</w:t>
            </w:r>
            <w:r w:rsidR="00DF08B2">
              <w:t>4</w:t>
            </w:r>
          </w:p>
        </w:tc>
        <w:tc>
          <w:tcPr>
            <w:tcW w:w="1999" w:type="dxa"/>
          </w:tcPr>
          <w:p w14:paraId="3C5382D6" w14:textId="77777777" w:rsidR="007D4E4C" w:rsidRDefault="007D4E4C" w:rsidP="007D4E4C">
            <w:pPr>
              <w:jc w:val="center"/>
            </w:pPr>
            <w:r>
              <w:t>21</w:t>
            </w:r>
          </w:p>
        </w:tc>
        <w:tc>
          <w:tcPr>
            <w:tcW w:w="4587" w:type="dxa"/>
            <w:vMerge/>
            <w:vAlign w:val="center"/>
          </w:tcPr>
          <w:p w14:paraId="7CD6EC48" w14:textId="77777777" w:rsidR="007D4E4C" w:rsidRDefault="007D4E4C" w:rsidP="007D4E4C">
            <w:pPr>
              <w:pStyle w:val="Default"/>
              <w:keepLines/>
              <w:suppressAutoHyphens/>
              <w:autoSpaceDE/>
              <w:autoSpaceDN/>
              <w:adjustRightInd/>
            </w:pPr>
          </w:p>
        </w:tc>
      </w:tr>
      <w:tr w:rsidR="007D4E4C" w:rsidRPr="00996FA6" w14:paraId="3D45AE6F" w14:textId="77777777" w:rsidTr="007D4E4C">
        <w:tc>
          <w:tcPr>
            <w:tcW w:w="1334" w:type="dxa"/>
            <w:shd w:val="clear" w:color="auto" w:fill="auto"/>
          </w:tcPr>
          <w:p w14:paraId="404B9829" w14:textId="22216148" w:rsidR="007D4E4C" w:rsidRPr="00454E54" w:rsidRDefault="007D4E4C" w:rsidP="007D4E4C">
            <w:pPr>
              <w:jc w:val="center"/>
            </w:pPr>
            <w:r>
              <w:t>10/</w:t>
            </w:r>
            <w:r w:rsidR="00DF08B2">
              <w:t>5</w:t>
            </w:r>
          </w:p>
        </w:tc>
        <w:tc>
          <w:tcPr>
            <w:tcW w:w="1999" w:type="dxa"/>
          </w:tcPr>
          <w:p w14:paraId="2F192FEB" w14:textId="77777777" w:rsidR="007D4E4C" w:rsidRDefault="007D4E4C" w:rsidP="007D4E4C">
            <w:pPr>
              <w:jc w:val="center"/>
            </w:pPr>
            <w:r>
              <w:t>22</w:t>
            </w:r>
          </w:p>
        </w:tc>
        <w:tc>
          <w:tcPr>
            <w:tcW w:w="4587" w:type="dxa"/>
            <w:vMerge/>
            <w:vAlign w:val="center"/>
          </w:tcPr>
          <w:p w14:paraId="416295D3" w14:textId="77777777" w:rsidR="007D4E4C" w:rsidRPr="00996FA6" w:rsidRDefault="007D4E4C" w:rsidP="007D4E4C">
            <w:pPr>
              <w:pStyle w:val="Default"/>
              <w:keepLines/>
              <w:suppressAutoHyphens/>
            </w:pPr>
          </w:p>
        </w:tc>
      </w:tr>
      <w:tr w:rsidR="007D4E4C" w14:paraId="47A672F4" w14:textId="77777777" w:rsidTr="007D4E4C">
        <w:tc>
          <w:tcPr>
            <w:tcW w:w="1334" w:type="dxa"/>
            <w:shd w:val="clear" w:color="auto" w:fill="auto"/>
          </w:tcPr>
          <w:p w14:paraId="3541AAF9" w14:textId="3ED9ECDA" w:rsidR="007D4E4C" w:rsidRPr="00454E54" w:rsidRDefault="007D4E4C" w:rsidP="007D4E4C">
            <w:pPr>
              <w:jc w:val="center"/>
            </w:pPr>
            <w:r>
              <w:t>10/</w:t>
            </w:r>
            <w:r w:rsidR="00DF08B2">
              <w:t>6</w:t>
            </w:r>
          </w:p>
        </w:tc>
        <w:tc>
          <w:tcPr>
            <w:tcW w:w="1999" w:type="dxa"/>
          </w:tcPr>
          <w:p w14:paraId="3348D359" w14:textId="77777777" w:rsidR="007D4E4C" w:rsidRDefault="007D4E4C" w:rsidP="007D4E4C">
            <w:pPr>
              <w:jc w:val="center"/>
            </w:pPr>
            <w:r>
              <w:t>23</w:t>
            </w:r>
          </w:p>
        </w:tc>
        <w:tc>
          <w:tcPr>
            <w:tcW w:w="4587" w:type="dxa"/>
            <w:vMerge/>
            <w:vAlign w:val="center"/>
          </w:tcPr>
          <w:p w14:paraId="5D65699C" w14:textId="77777777" w:rsidR="007D4E4C" w:rsidRDefault="007D4E4C" w:rsidP="007D4E4C">
            <w:pPr>
              <w:pStyle w:val="Default"/>
              <w:keepLines/>
              <w:suppressAutoHyphens/>
            </w:pPr>
          </w:p>
        </w:tc>
      </w:tr>
      <w:tr w:rsidR="007D4E4C" w14:paraId="276DE83C" w14:textId="77777777" w:rsidTr="007D4E4C">
        <w:tc>
          <w:tcPr>
            <w:tcW w:w="1334" w:type="dxa"/>
            <w:shd w:val="clear" w:color="auto" w:fill="auto"/>
          </w:tcPr>
          <w:p w14:paraId="5794E590" w14:textId="0C38CD1E" w:rsidR="007D4E4C" w:rsidRPr="00454E54" w:rsidRDefault="007D4E4C" w:rsidP="007D4E4C">
            <w:pPr>
              <w:jc w:val="center"/>
            </w:pPr>
            <w:r>
              <w:t>10/1</w:t>
            </w:r>
            <w:r w:rsidR="00DF08B2">
              <w:t>1</w:t>
            </w:r>
          </w:p>
        </w:tc>
        <w:tc>
          <w:tcPr>
            <w:tcW w:w="1999" w:type="dxa"/>
          </w:tcPr>
          <w:p w14:paraId="0637A6DF" w14:textId="77777777" w:rsidR="007D4E4C" w:rsidRDefault="007D4E4C" w:rsidP="007D4E4C">
            <w:pPr>
              <w:jc w:val="center"/>
            </w:pPr>
            <w:r>
              <w:t>24</w:t>
            </w:r>
          </w:p>
        </w:tc>
        <w:tc>
          <w:tcPr>
            <w:tcW w:w="4587" w:type="dxa"/>
            <w:vMerge w:val="restart"/>
            <w:vAlign w:val="center"/>
          </w:tcPr>
          <w:p w14:paraId="61CAB91B" w14:textId="0EA02590" w:rsidR="007D4E4C" w:rsidRDefault="007D4E4C" w:rsidP="007D4E4C">
            <w:pPr>
              <w:pStyle w:val="Default"/>
              <w:keepLines/>
              <w:suppressAutoHyphens/>
            </w:pPr>
            <w:r>
              <w:t>Public Offering Regulations</w:t>
            </w:r>
          </w:p>
        </w:tc>
      </w:tr>
      <w:tr w:rsidR="007D4E4C" w14:paraId="412D92F7" w14:textId="77777777" w:rsidTr="007D4E4C">
        <w:tc>
          <w:tcPr>
            <w:tcW w:w="1334" w:type="dxa"/>
            <w:shd w:val="clear" w:color="auto" w:fill="auto"/>
          </w:tcPr>
          <w:p w14:paraId="3E73143F" w14:textId="7A5C00A9" w:rsidR="007D4E4C" w:rsidRPr="00454E54" w:rsidRDefault="007D4E4C" w:rsidP="007D4E4C">
            <w:pPr>
              <w:jc w:val="center"/>
            </w:pPr>
            <w:r>
              <w:lastRenderedPageBreak/>
              <w:t>10/1</w:t>
            </w:r>
            <w:r w:rsidR="00DF08B2">
              <w:t>2</w:t>
            </w:r>
          </w:p>
        </w:tc>
        <w:tc>
          <w:tcPr>
            <w:tcW w:w="1999" w:type="dxa"/>
          </w:tcPr>
          <w:p w14:paraId="5FDC958B" w14:textId="77777777" w:rsidR="007D4E4C" w:rsidRDefault="007D4E4C" w:rsidP="007D4E4C">
            <w:pPr>
              <w:jc w:val="center"/>
            </w:pPr>
            <w:r>
              <w:t>25</w:t>
            </w:r>
          </w:p>
        </w:tc>
        <w:tc>
          <w:tcPr>
            <w:tcW w:w="4587" w:type="dxa"/>
            <w:vMerge/>
            <w:vAlign w:val="center"/>
          </w:tcPr>
          <w:p w14:paraId="6E0C8CB2" w14:textId="77777777" w:rsidR="007D4E4C" w:rsidRDefault="007D4E4C" w:rsidP="007D4E4C">
            <w:pPr>
              <w:pStyle w:val="Default"/>
              <w:keepLines/>
              <w:suppressAutoHyphens/>
            </w:pPr>
          </w:p>
        </w:tc>
      </w:tr>
      <w:tr w:rsidR="007D4E4C" w14:paraId="5B566677" w14:textId="77777777" w:rsidTr="007D4E4C">
        <w:tc>
          <w:tcPr>
            <w:tcW w:w="1334" w:type="dxa"/>
            <w:tcBorders>
              <w:bottom w:val="single" w:sz="4" w:space="0" w:color="auto"/>
            </w:tcBorders>
            <w:shd w:val="clear" w:color="auto" w:fill="auto"/>
          </w:tcPr>
          <w:p w14:paraId="0C6BD7B0" w14:textId="285E5228" w:rsidR="007D4E4C" w:rsidRPr="00454E54" w:rsidRDefault="007D4E4C" w:rsidP="007D4E4C">
            <w:pPr>
              <w:jc w:val="center"/>
            </w:pPr>
            <w:r>
              <w:t>10/1</w:t>
            </w:r>
            <w:r w:rsidR="00DF08B2">
              <w:t>3</w:t>
            </w:r>
          </w:p>
        </w:tc>
        <w:tc>
          <w:tcPr>
            <w:tcW w:w="1999" w:type="dxa"/>
          </w:tcPr>
          <w:p w14:paraId="203E3921" w14:textId="77777777" w:rsidR="007D4E4C" w:rsidRDefault="007D4E4C" w:rsidP="007D4E4C">
            <w:pPr>
              <w:jc w:val="center"/>
            </w:pPr>
            <w:r>
              <w:t>26</w:t>
            </w:r>
          </w:p>
        </w:tc>
        <w:tc>
          <w:tcPr>
            <w:tcW w:w="4587" w:type="dxa"/>
            <w:vMerge/>
            <w:vAlign w:val="center"/>
          </w:tcPr>
          <w:p w14:paraId="7955D569" w14:textId="77777777" w:rsidR="007D4E4C" w:rsidRDefault="007D4E4C" w:rsidP="007D4E4C">
            <w:pPr>
              <w:pStyle w:val="Default"/>
              <w:keepLines/>
              <w:suppressAutoHyphens/>
            </w:pPr>
          </w:p>
        </w:tc>
      </w:tr>
      <w:tr w:rsidR="007D4E4C" w14:paraId="2D4506B0" w14:textId="77777777" w:rsidTr="007D4E4C">
        <w:tc>
          <w:tcPr>
            <w:tcW w:w="1334" w:type="dxa"/>
            <w:tcBorders>
              <w:bottom w:val="single" w:sz="4" w:space="0" w:color="auto"/>
            </w:tcBorders>
            <w:shd w:val="clear" w:color="auto" w:fill="auto"/>
          </w:tcPr>
          <w:p w14:paraId="1CA5C0AB" w14:textId="2827526D" w:rsidR="007D4E4C" w:rsidRPr="00454E54" w:rsidRDefault="007D4E4C" w:rsidP="007D4E4C">
            <w:pPr>
              <w:jc w:val="center"/>
            </w:pPr>
            <w:r>
              <w:t>10/</w:t>
            </w:r>
            <w:r w:rsidR="00DF08B2">
              <w:t>18</w:t>
            </w:r>
          </w:p>
        </w:tc>
        <w:tc>
          <w:tcPr>
            <w:tcW w:w="1999" w:type="dxa"/>
          </w:tcPr>
          <w:p w14:paraId="1DDD2701" w14:textId="77777777" w:rsidR="007D4E4C" w:rsidRDefault="007D4E4C" w:rsidP="007D4E4C">
            <w:pPr>
              <w:jc w:val="center"/>
            </w:pPr>
            <w:r>
              <w:t>27</w:t>
            </w:r>
          </w:p>
        </w:tc>
        <w:tc>
          <w:tcPr>
            <w:tcW w:w="4587" w:type="dxa"/>
            <w:vMerge/>
            <w:vAlign w:val="center"/>
          </w:tcPr>
          <w:p w14:paraId="47C6DDAE" w14:textId="77777777" w:rsidR="007D4E4C" w:rsidRPr="00996FA6" w:rsidRDefault="007D4E4C" w:rsidP="007D4E4C">
            <w:pPr>
              <w:pStyle w:val="Default"/>
              <w:keepLines/>
              <w:suppressAutoHyphens/>
              <w:autoSpaceDE/>
              <w:autoSpaceDN/>
              <w:adjustRightInd/>
            </w:pPr>
          </w:p>
        </w:tc>
      </w:tr>
      <w:tr w:rsidR="007D4E4C" w14:paraId="56D1AA31" w14:textId="77777777" w:rsidTr="007D4E4C">
        <w:tc>
          <w:tcPr>
            <w:tcW w:w="1334" w:type="dxa"/>
            <w:shd w:val="clear" w:color="auto" w:fill="auto"/>
          </w:tcPr>
          <w:p w14:paraId="4C1E4A1B" w14:textId="71A81243" w:rsidR="007D4E4C" w:rsidRPr="00454E54" w:rsidRDefault="007D4E4C" w:rsidP="007D4E4C">
            <w:pPr>
              <w:jc w:val="center"/>
            </w:pPr>
            <w:r>
              <w:t>10/</w:t>
            </w:r>
            <w:r w:rsidR="00DF08B2">
              <w:t>19</w:t>
            </w:r>
          </w:p>
        </w:tc>
        <w:tc>
          <w:tcPr>
            <w:tcW w:w="1999" w:type="dxa"/>
            <w:tcBorders>
              <w:bottom w:val="single" w:sz="4" w:space="0" w:color="auto"/>
            </w:tcBorders>
          </w:tcPr>
          <w:p w14:paraId="410DC22E" w14:textId="77777777" w:rsidR="007D4E4C" w:rsidRDefault="007D4E4C" w:rsidP="007D4E4C">
            <w:pPr>
              <w:jc w:val="center"/>
            </w:pPr>
            <w:r>
              <w:t>28</w:t>
            </w:r>
          </w:p>
        </w:tc>
        <w:tc>
          <w:tcPr>
            <w:tcW w:w="4587" w:type="dxa"/>
            <w:vMerge/>
            <w:vAlign w:val="center"/>
          </w:tcPr>
          <w:p w14:paraId="4F039E84" w14:textId="77777777" w:rsidR="007D4E4C" w:rsidRDefault="007D4E4C" w:rsidP="007D4E4C">
            <w:pPr>
              <w:pStyle w:val="Default"/>
            </w:pPr>
          </w:p>
        </w:tc>
      </w:tr>
      <w:tr w:rsidR="007D4E4C" w:rsidRPr="00996FA6" w14:paraId="20B59C2F" w14:textId="77777777" w:rsidTr="007D4E4C">
        <w:tc>
          <w:tcPr>
            <w:tcW w:w="1334" w:type="dxa"/>
            <w:shd w:val="clear" w:color="auto" w:fill="auto"/>
          </w:tcPr>
          <w:p w14:paraId="447AF30A" w14:textId="1AC43248" w:rsidR="007D4E4C" w:rsidRPr="00454E54" w:rsidRDefault="007D4E4C" w:rsidP="007D4E4C">
            <w:pPr>
              <w:jc w:val="center"/>
            </w:pPr>
            <w:r>
              <w:t>10/2</w:t>
            </w:r>
            <w:r w:rsidR="00DF08B2">
              <w:t>0</w:t>
            </w:r>
          </w:p>
        </w:tc>
        <w:tc>
          <w:tcPr>
            <w:tcW w:w="1999" w:type="dxa"/>
          </w:tcPr>
          <w:p w14:paraId="3BCAAD49" w14:textId="77777777" w:rsidR="007D4E4C" w:rsidRDefault="007D4E4C" w:rsidP="007D4E4C">
            <w:pPr>
              <w:jc w:val="center"/>
            </w:pPr>
            <w:r>
              <w:t>29</w:t>
            </w:r>
          </w:p>
        </w:tc>
        <w:tc>
          <w:tcPr>
            <w:tcW w:w="4587" w:type="dxa"/>
            <w:vMerge/>
            <w:vAlign w:val="center"/>
          </w:tcPr>
          <w:p w14:paraId="640FD7EF" w14:textId="77777777" w:rsidR="007D4E4C" w:rsidRDefault="007D4E4C" w:rsidP="007D4E4C">
            <w:pPr>
              <w:keepLines/>
            </w:pPr>
          </w:p>
        </w:tc>
      </w:tr>
      <w:tr w:rsidR="007D4E4C" w:rsidRPr="00916AB7" w14:paraId="26BE1E38" w14:textId="77777777" w:rsidTr="007D4E4C">
        <w:tc>
          <w:tcPr>
            <w:tcW w:w="1334" w:type="dxa"/>
            <w:shd w:val="clear" w:color="auto" w:fill="auto"/>
          </w:tcPr>
          <w:p w14:paraId="723578A2" w14:textId="1D52BF72" w:rsidR="007D4E4C" w:rsidRPr="009658DA" w:rsidRDefault="007D4E4C" w:rsidP="007D4E4C">
            <w:pPr>
              <w:jc w:val="center"/>
            </w:pPr>
            <w:r>
              <w:t>10/2</w:t>
            </w:r>
            <w:r w:rsidR="00DF08B2">
              <w:t>5</w:t>
            </w:r>
          </w:p>
        </w:tc>
        <w:tc>
          <w:tcPr>
            <w:tcW w:w="1999" w:type="dxa"/>
          </w:tcPr>
          <w:p w14:paraId="0861DC96" w14:textId="77777777" w:rsidR="007D4E4C" w:rsidRDefault="007D4E4C" w:rsidP="007D4E4C">
            <w:pPr>
              <w:jc w:val="center"/>
            </w:pPr>
            <w:r>
              <w:t>30</w:t>
            </w:r>
          </w:p>
        </w:tc>
        <w:tc>
          <w:tcPr>
            <w:tcW w:w="4587" w:type="dxa"/>
            <w:vMerge/>
            <w:vAlign w:val="center"/>
          </w:tcPr>
          <w:p w14:paraId="6548623B" w14:textId="77777777" w:rsidR="007D4E4C" w:rsidRPr="00916AB7" w:rsidRDefault="007D4E4C" w:rsidP="007D4E4C">
            <w:pPr>
              <w:keepLines/>
              <w:rPr>
                <w:highlight w:val="yellow"/>
              </w:rPr>
            </w:pPr>
          </w:p>
        </w:tc>
      </w:tr>
      <w:tr w:rsidR="007D4E4C" w:rsidRPr="00916AB7" w14:paraId="4002F154" w14:textId="77777777" w:rsidTr="007D4E4C">
        <w:tc>
          <w:tcPr>
            <w:tcW w:w="1334" w:type="dxa"/>
            <w:tcBorders>
              <w:top w:val="single" w:sz="4" w:space="0" w:color="auto"/>
              <w:bottom w:val="single" w:sz="4" w:space="0" w:color="auto"/>
            </w:tcBorders>
            <w:shd w:val="clear" w:color="auto" w:fill="auto"/>
          </w:tcPr>
          <w:p w14:paraId="669A03F6" w14:textId="7EC85A34" w:rsidR="007D4E4C" w:rsidRPr="009658DA" w:rsidRDefault="007D4E4C" w:rsidP="007D4E4C">
            <w:pPr>
              <w:jc w:val="center"/>
            </w:pPr>
            <w:r>
              <w:t>10/</w:t>
            </w:r>
            <w:r w:rsidR="00297AAF">
              <w:t>2</w:t>
            </w:r>
            <w:r w:rsidR="00DF08B2">
              <w:t>6</w:t>
            </w:r>
          </w:p>
        </w:tc>
        <w:tc>
          <w:tcPr>
            <w:tcW w:w="1999" w:type="dxa"/>
            <w:vAlign w:val="center"/>
          </w:tcPr>
          <w:p w14:paraId="3D96E85B" w14:textId="77777777" w:rsidR="007D4E4C" w:rsidRDefault="007D4E4C" w:rsidP="007D4E4C">
            <w:pPr>
              <w:jc w:val="center"/>
            </w:pPr>
            <w:r>
              <w:t>31</w:t>
            </w:r>
          </w:p>
        </w:tc>
        <w:tc>
          <w:tcPr>
            <w:tcW w:w="4587" w:type="dxa"/>
            <w:vMerge w:val="restart"/>
            <w:vAlign w:val="center"/>
          </w:tcPr>
          <w:p w14:paraId="4227E32A" w14:textId="03EC3E6F" w:rsidR="007D4E4C" w:rsidRPr="00916AB7" w:rsidRDefault="007D4E4C" w:rsidP="007D4E4C">
            <w:pPr>
              <w:keepLines/>
              <w:rPr>
                <w:highlight w:val="yellow"/>
              </w:rPr>
            </w:pPr>
            <w:r w:rsidRPr="0093273E">
              <w:t>Public Offerings: Liability Regime</w:t>
            </w:r>
          </w:p>
        </w:tc>
      </w:tr>
      <w:tr w:rsidR="007D4E4C" w:rsidRPr="00996FA6" w14:paraId="5FEB3166" w14:textId="77777777" w:rsidTr="007D4E4C">
        <w:tc>
          <w:tcPr>
            <w:tcW w:w="1334" w:type="dxa"/>
            <w:tcBorders>
              <w:top w:val="single" w:sz="4" w:space="0" w:color="auto"/>
              <w:left w:val="single" w:sz="4" w:space="0" w:color="auto"/>
              <w:bottom w:val="single" w:sz="4" w:space="0" w:color="auto"/>
            </w:tcBorders>
            <w:shd w:val="clear" w:color="auto" w:fill="auto"/>
          </w:tcPr>
          <w:p w14:paraId="4BF10166" w14:textId="5BF80E09" w:rsidR="007D4E4C" w:rsidRPr="00454E54" w:rsidRDefault="007D4E4C" w:rsidP="007D4E4C">
            <w:pPr>
              <w:jc w:val="center"/>
            </w:pPr>
            <w:r>
              <w:t>10/</w:t>
            </w:r>
            <w:r w:rsidR="00DF08B2">
              <w:t>27</w:t>
            </w:r>
          </w:p>
        </w:tc>
        <w:tc>
          <w:tcPr>
            <w:tcW w:w="1999" w:type="dxa"/>
          </w:tcPr>
          <w:p w14:paraId="77CF96BE" w14:textId="77777777" w:rsidR="007D4E4C" w:rsidRDefault="007D4E4C" w:rsidP="007D4E4C">
            <w:pPr>
              <w:jc w:val="center"/>
            </w:pPr>
            <w:r>
              <w:t>32</w:t>
            </w:r>
          </w:p>
        </w:tc>
        <w:tc>
          <w:tcPr>
            <w:tcW w:w="4587" w:type="dxa"/>
            <w:vMerge/>
            <w:vAlign w:val="center"/>
          </w:tcPr>
          <w:p w14:paraId="0B48674A" w14:textId="77777777" w:rsidR="007D4E4C" w:rsidRPr="00996FA6" w:rsidRDefault="007D4E4C" w:rsidP="007D4E4C">
            <w:pPr>
              <w:keepLines/>
            </w:pPr>
          </w:p>
        </w:tc>
      </w:tr>
      <w:tr w:rsidR="007D4E4C" w:rsidRPr="00996FA6" w14:paraId="129FAC4B" w14:textId="77777777" w:rsidTr="007D4E4C">
        <w:tc>
          <w:tcPr>
            <w:tcW w:w="1334" w:type="dxa"/>
            <w:tcBorders>
              <w:top w:val="single" w:sz="4" w:space="0" w:color="auto"/>
              <w:left w:val="single" w:sz="4" w:space="0" w:color="auto"/>
              <w:bottom w:val="single" w:sz="4" w:space="0" w:color="auto"/>
            </w:tcBorders>
            <w:shd w:val="clear" w:color="auto" w:fill="auto"/>
          </w:tcPr>
          <w:p w14:paraId="5CD310DC" w14:textId="58CFBBB5" w:rsidR="007D4E4C" w:rsidRPr="00454E54" w:rsidRDefault="007D4E4C" w:rsidP="007D4E4C">
            <w:pPr>
              <w:jc w:val="center"/>
            </w:pPr>
            <w:r>
              <w:t>11/</w:t>
            </w:r>
            <w:r w:rsidR="00DF08B2">
              <w:t>1</w:t>
            </w:r>
          </w:p>
        </w:tc>
        <w:tc>
          <w:tcPr>
            <w:tcW w:w="1999" w:type="dxa"/>
          </w:tcPr>
          <w:p w14:paraId="283ABCF6" w14:textId="77777777" w:rsidR="007D4E4C" w:rsidRDefault="007D4E4C" w:rsidP="007D4E4C">
            <w:pPr>
              <w:jc w:val="center"/>
            </w:pPr>
            <w:r>
              <w:t>33</w:t>
            </w:r>
          </w:p>
        </w:tc>
        <w:tc>
          <w:tcPr>
            <w:tcW w:w="4587" w:type="dxa"/>
            <w:vMerge/>
            <w:vAlign w:val="center"/>
          </w:tcPr>
          <w:p w14:paraId="2484D1C0" w14:textId="77777777" w:rsidR="007D4E4C" w:rsidRPr="00996FA6" w:rsidRDefault="007D4E4C" w:rsidP="007D4E4C">
            <w:pPr>
              <w:keepLines/>
            </w:pPr>
          </w:p>
        </w:tc>
      </w:tr>
      <w:tr w:rsidR="007D4E4C" w:rsidRPr="009C484E" w14:paraId="31B6BC5C" w14:textId="77777777" w:rsidTr="007D4E4C">
        <w:tc>
          <w:tcPr>
            <w:tcW w:w="1334" w:type="dxa"/>
            <w:shd w:val="clear" w:color="auto" w:fill="auto"/>
            <w:vAlign w:val="center"/>
          </w:tcPr>
          <w:p w14:paraId="12A17604" w14:textId="07A4DFEB" w:rsidR="007D4E4C" w:rsidRPr="00454E54" w:rsidRDefault="007D4E4C" w:rsidP="007D4E4C">
            <w:pPr>
              <w:jc w:val="center"/>
            </w:pPr>
            <w:r>
              <w:t>11/</w:t>
            </w:r>
            <w:r w:rsidR="00DF08B2">
              <w:t>2</w:t>
            </w:r>
          </w:p>
        </w:tc>
        <w:tc>
          <w:tcPr>
            <w:tcW w:w="1999" w:type="dxa"/>
          </w:tcPr>
          <w:p w14:paraId="573936D7" w14:textId="77777777" w:rsidR="007D4E4C" w:rsidRDefault="007D4E4C" w:rsidP="007D4E4C">
            <w:pPr>
              <w:jc w:val="center"/>
            </w:pPr>
            <w:r>
              <w:t>34</w:t>
            </w:r>
          </w:p>
        </w:tc>
        <w:tc>
          <w:tcPr>
            <w:tcW w:w="4587" w:type="dxa"/>
            <w:vMerge/>
            <w:vAlign w:val="center"/>
          </w:tcPr>
          <w:p w14:paraId="4CFBF65C" w14:textId="77777777" w:rsidR="007D4E4C" w:rsidRPr="00454E54" w:rsidRDefault="007D4E4C" w:rsidP="007D4E4C">
            <w:pPr>
              <w:pStyle w:val="Address"/>
              <w:spacing w:after="0"/>
              <w:ind w:left="0"/>
              <w:rPr>
                <w:szCs w:val="24"/>
              </w:rPr>
            </w:pPr>
          </w:p>
        </w:tc>
      </w:tr>
      <w:tr w:rsidR="007D4E4C" w:rsidRPr="00996FA6" w14:paraId="0AD2F20D"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4A64D27D" w14:textId="30146A47" w:rsidR="007D4E4C" w:rsidRPr="00454E54" w:rsidRDefault="007D4E4C" w:rsidP="007D4E4C">
            <w:pPr>
              <w:jc w:val="center"/>
            </w:pPr>
            <w:r>
              <w:t>11/</w:t>
            </w:r>
            <w:r w:rsidR="00DF08B2">
              <w:t>3</w:t>
            </w:r>
          </w:p>
        </w:tc>
        <w:tc>
          <w:tcPr>
            <w:tcW w:w="1999" w:type="dxa"/>
            <w:tcBorders>
              <w:bottom w:val="single" w:sz="4" w:space="0" w:color="auto"/>
            </w:tcBorders>
          </w:tcPr>
          <w:p w14:paraId="18EBE0AD" w14:textId="77777777" w:rsidR="007D4E4C" w:rsidRDefault="007D4E4C" w:rsidP="007D4E4C">
            <w:pPr>
              <w:jc w:val="center"/>
            </w:pPr>
            <w:r>
              <w:t>35</w:t>
            </w:r>
          </w:p>
        </w:tc>
        <w:tc>
          <w:tcPr>
            <w:tcW w:w="4587" w:type="dxa"/>
            <w:vMerge/>
            <w:tcBorders>
              <w:bottom w:val="single" w:sz="4" w:space="0" w:color="auto"/>
            </w:tcBorders>
            <w:vAlign w:val="center"/>
          </w:tcPr>
          <w:p w14:paraId="68D57418" w14:textId="77777777" w:rsidR="007D4E4C" w:rsidRPr="00996FA6" w:rsidRDefault="007D4E4C" w:rsidP="007D4E4C">
            <w:pPr>
              <w:keepLines/>
            </w:pPr>
          </w:p>
        </w:tc>
      </w:tr>
      <w:tr w:rsidR="007D4E4C" w:rsidRPr="00996FA6" w14:paraId="311B3734"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21581332" w14:textId="16E8A67B" w:rsidR="007D4E4C" w:rsidRPr="00454E54" w:rsidRDefault="007D4E4C" w:rsidP="007D4E4C">
            <w:pPr>
              <w:jc w:val="center"/>
            </w:pPr>
            <w:r>
              <w:t>11/</w:t>
            </w:r>
            <w:r w:rsidR="00DF08B2">
              <w:t>8</w:t>
            </w:r>
          </w:p>
        </w:tc>
        <w:tc>
          <w:tcPr>
            <w:tcW w:w="1999" w:type="dxa"/>
            <w:tcBorders>
              <w:top w:val="single" w:sz="4" w:space="0" w:color="auto"/>
              <w:left w:val="single" w:sz="4" w:space="0" w:color="auto"/>
              <w:bottom w:val="single" w:sz="4" w:space="0" w:color="auto"/>
              <w:right w:val="single" w:sz="4" w:space="0" w:color="auto"/>
            </w:tcBorders>
          </w:tcPr>
          <w:p w14:paraId="4AE539D5" w14:textId="25B69524" w:rsidR="007D4E4C" w:rsidRDefault="007D4E4C" w:rsidP="007D4E4C">
            <w:pPr>
              <w:jc w:val="center"/>
            </w:pPr>
            <w:r>
              <w:t>36</w:t>
            </w:r>
          </w:p>
        </w:tc>
        <w:tc>
          <w:tcPr>
            <w:tcW w:w="4587" w:type="dxa"/>
            <w:vMerge w:val="restart"/>
            <w:tcBorders>
              <w:left w:val="single" w:sz="4" w:space="0" w:color="auto"/>
              <w:right w:val="single" w:sz="4" w:space="0" w:color="auto"/>
            </w:tcBorders>
            <w:vAlign w:val="center"/>
          </w:tcPr>
          <w:p w14:paraId="491D427A" w14:textId="2FD978A4" w:rsidR="007D4E4C" w:rsidRDefault="007D4E4C" w:rsidP="007D4E4C">
            <w:pPr>
              <w:keepLines/>
            </w:pPr>
            <w:r>
              <w:t>Exempt Transactions</w:t>
            </w:r>
          </w:p>
        </w:tc>
      </w:tr>
      <w:tr w:rsidR="007D4E4C" w:rsidRPr="00996FA6" w14:paraId="1A59F46E"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7C21A0A0" w14:textId="4C02D446" w:rsidR="007D4E4C" w:rsidRPr="00454E54" w:rsidRDefault="007D4E4C" w:rsidP="007D4E4C">
            <w:pPr>
              <w:jc w:val="center"/>
            </w:pPr>
            <w:r>
              <w:t>11/</w:t>
            </w:r>
            <w:r w:rsidR="00DF08B2">
              <w:t>9</w:t>
            </w:r>
          </w:p>
        </w:tc>
        <w:tc>
          <w:tcPr>
            <w:tcW w:w="1999" w:type="dxa"/>
            <w:tcBorders>
              <w:top w:val="single" w:sz="4" w:space="0" w:color="auto"/>
              <w:left w:val="single" w:sz="4" w:space="0" w:color="auto"/>
              <w:bottom w:val="single" w:sz="4" w:space="0" w:color="auto"/>
              <w:right w:val="single" w:sz="4" w:space="0" w:color="auto"/>
            </w:tcBorders>
          </w:tcPr>
          <w:p w14:paraId="311C190E" w14:textId="39522CB1" w:rsidR="007D4E4C" w:rsidRDefault="007D4E4C" w:rsidP="007D4E4C">
            <w:pPr>
              <w:jc w:val="center"/>
            </w:pPr>
            <w:r>
              <w:t>37</w:t>
            </w:r>
          </w:p>
        </w:tc>
        <w:tc>
          <w:tcPr>
            <w:tcW w:w="4587" w:type="dxa"/>
            <w:vMerge/>
            <w:tcBorders>
              <w:left w:val="single" w:sz="4" w:space="0" w:color="auto"/>
              <w:right w:val="single" w:sz="4" w:space="0" w:color="auto"/>
            </w:tcBorders>
            <w:vAlign w:val="center"/>
          </w:tcPr>
          <w:p w14:paraId="545A9FFB" w14:textId="77777777" w:rsidR="007D4E4C" w:rsidRPr="00996FA6" w:rsidRDefault="007D4E4C" w:rsidP="007D4E4C">
            <w:pPr>
              <w:keepLines/>
            </w:pPr>
          </w:p>
        </w:tc>
      </w:tr>
      <w:tr w:rsidR="007D4E4C" w:rsidRPr="00996FA6" w14:paraId="4F059DB6"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0802DF94" w14:textId="5B26CD01" w:rsidR="007D4E4C" w:rsidRPr="00454E54" w:rsidRDefault="007D4E4C" w:rsidP="007D4E4C">
            <w:pPr>
              <w:jc w:val="center"/>
            </w:pPr>
            <w:r>
              <w:t>11/1</w:t>
            </w:r>
            <w:r w:rsidR="00DF08B2">
              <w:t>0</w:t>
            </w:r>
          </w:p>
        </w:tc>
        <w:tc>
          <w:tcPr>
            <w:tcW w:w="1999" w:type="dxa"/>
            <w:tcBorders>
              <w:top w:val="single" w:sz="4" w:space="0" w:color="auto"/>
              <w:left w:val="single" w:sz="4" w:space="0" w:color="auto"/>
              <w:bottom w:val="single" w:sz="4" w:space="0" w:color="auto"/>
              <w:right w:val="single" w:sz="4" w:space="0" w:color="auto"/>
            </w:tcBorders>
          </w:tcPr>
          <w:p w14:paraId="7147EC68" w14:textId="4DE6222D" w:rsidR="007D4E4C" w:rsidRDefault="007D4E4C" w:rsidP="007D4E4C">
            <w:pPr>
              <w:jc w:val="center"/>
            </w:pPr>
            <w:r>
              <w:t>38</w:t>
            </w:r>
          </w:p>
        </w:tc>
        <w:tc>
          <w:tcPr>
            <w:tcW w:w="4587" w:type="dxa"/>
            <w:vMerge/>
            <w:tcBorders>
              <w:left w:val="single" w:sz="4" w:space="0" w:color="auto"/>
              <w:right w:val="single" w:sz="4" w:space="0" w:color="auto"/>
            </w:tcBorders>
            <w:vAlign w:val="center"/>
          </w:tcPr>
          <w:p w14:paraId="3CAB2B76" w14:textId="77777777" w:rsidR="007D4E4C" w:rsidRPr="00996FA6" w:rsidRDefault="007D4E4C" w:rsidP="007D4E4C">
            <w:pPr>
              <w:keepLines/>
            </w:pPr>
          </w:p>
        </w:tc>
      </w:tr>
      <w:tr w:rsidR="007D4E4C" w:rsidRPr="00996FA6" w14:paraId="1343AAB6"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258026DC" w14:textId="0707ECC8" w:rsidR="007D4E4C" w:rsidRPr="00454E54" w:rsidRDefault="007D4E4C" w:rsidP="007D4E4C">
            <w:pPr>
              <w:jc w:val="center"/>
            </w:pPr>
            <w:r>
              <w:t>11/</w:t>
            </w:r>
            <w:r w:rsidR="00297AAF">
              <w:t>1</w:t>
            </w:r>
            <w:r w:rsidR="00DF08B2">
              <w:t>5</w:t>
            </w:r>
          </w:p>
        </w:tc>
        <w:tc>
          <w:tcPr>
            <w:tcW w:w="1999" w:type="dxa"/>
            <w:tcBorders>
              <w:top w:val="single" w:sz="4" w:space="0" w:color="auto"/>
              <w:left w:val="single" w:sz="4" w:space="0" w:color="auto"/>
              <w:bottom w:val="single" w:sz="4" w:space="0" w:color="auto"/>
              <w:right w:val="single" w:sz="4" w:space="0" w:color="auto"/>
            </w:tcBorders>
          </w:tcPr>
          <w:p w14:paraId="405F944C" w14:textId="205E956D" w:rsidR="007D4E4C" w:rsidRDefault="007D4E4C" w:rsidP="007D4E4C">
            <w:pPr>
              <w:jc w:val="center"/>
            </w:pPr>
            <w:r>
              <w:t>39</w:t>
            </w:r>
          </w:p>
        </w:tc>
        <w:tc>
          <w:tcPr>
            <w:tcW w:w="4587" w:type="dxa"/>
            <w:vMerge/>
            <w:tcBorders>
              <w:left w:val="single" w:sz="4" w:space="0" w:color="auto"/>
              <w:right w:val="single" w:sz="4" w:space="0" w:color="auto"/>
            </w:tcBorders>
            <w:vAlign w:val="center"/>
          </w:tcPr>
          <w:p w14:paraId="110C5987" w14:textId="77777777" w:rsidR="007D4E4C" w:rsidRPr="00996FA6" w:rsidRDefault="007D4E4C" w:rsidP="007D4E4C">
            <w:pPr>
              <w:keepLines/>
            </w:pPr>
          </w:p>
        </w:tc>
      </w:tr>
      <w:tr w:rsidR="007D4E4C" w:rsidRPr="00996FA6" w14:paraId="36A2AA32"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31406F12" w14:textId="345155E3" w:rsidR="007D4E4C" w:rsidRPr="00454E54" w:rsidRDefault="007D4E4C" w:rsidP="007D4E4C">
            <w:pPr>
              <w:jc w:val="center"/>
            </w:pPr>
            <w:r>
              <w:t>11/</w:t>
            </w:r>
            <w:r w:rsidR="00DF08B2">
              <w:t>16</w:t>
            </w:r>
          </w:p>
        </w:tc>
        <w:tc>
          <w:tcPr>
            <w:tcW w:w="1999" w:type="dxa"/>
            <w:tcBorders>
              <w:top w:val="single" w:sz="4" w:space="0" w:color="auto"/>
              <w:left w:val="single" w:sz="4" w:space="0" w:color="auto"/>
              <w:right w:val="single" w:sz="4" w:space="0" w:color="auto"/>
            </w:tcBorders>
          </w:tcPr>
          <w:p w14:paraId="0FF1CA07" w14:textId="5312C51C" w:rsidR="007D4E4C" w:rsidRDefault="007D4E4C" w:rsidP="007D4E4C">
            <w:pPr>
              <w:jc w:val="center"/>
            </w:pPr>
            <w:r>
              <w:t>40</w:t>
            </w:r>
          </w:p>
        </w:tc>
        <w:tc>
          <w:tcPr>
            <w:tcW w:w="4587" w:type="dxa"/>
            <w:vMerge w:val="restart"/>
            <w:tcBorders>
              <w:left w:val="single" w:sz="4" w:space="0" w:color="auto"/>
              <w:right w:val="single" w:sz="4" w:space="0" w:color="auto"/>
            </w:tcBorders>
            <w:vAlign w:val="center"/>
          </w:tcPr>
          <w:p w14:paraId="79D1D59E" w14:textId="5A3F5EA2" w:rsidR="007D4E4C" w:rsidRDefault="007D4E4C" w:rsidP="007D4E4C">
            <w:pPr>
              <w:keepLines/>
            </w:pPr>
            <w:r>
              <w:t>Secondary Sales</w:t>
            </w:r>
          </w:p>
        </w:tc>
      </w:tr>
      <w:tr w:rsidR="007D4E4C" w:rsidRPr="00996FA6" w14:paraId="03248503"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04DE54A6" w14:textId="42279DA8" w:rsidR="007D4E4C" w:rsidRDefault="007D4E4C" w:rsidP="007D4E4C">
            <w:pPr>
              <w:jc w:val="center"/>
            </w:pPr>
            <w:r>
              <w:t>11/</w:t>
            </w:r>
            <w:r w:rsidR="00DF08B2">
              <w:t>17</w:t>
            </w:r>
          </w:p>
        </w:tc>
        <w:tc>
          <w:tcPr>
            <w:tcW w:w="1999" w:type="dxa"/>
            <w:tcBorders>
              <w:top w:val="single" w:sz="4" w:space="0" w:color="auto"/>
              <w:left w:val="single" w:sz="4" w:space="0" w:color="auto"/>
              <w:right w:val="single" w:sz="4" w:space="0" w:color="auto"/>
            </w:tcBorders>
          </w:tcPr>
          <w:p w14:paraId="60620E1D" w14:textId="77777777" w:rsidR="007D4E4C" w:rsidRDefault="007D4E4C" w:rsidP="007D4E4C">
            <w:pPr>
              <w:jc w:val="center"/>
            </w:pPr>
            <w:r>
              <w:t>41</w:t>
            </w:r>
          </w:p>
        </w:tc>
        <w:tc>
          <w:tcPr>
            <w:tcW w:w="4587" w:type="dxa"/>
            <w:vMerge/>
            <w:tcBorders>
              <w:left w:val="single" w:sz="4" w:space="0" w:color="auto"/>
              <w:right w:val="single" w:sz="4" w:space="0" w:color="auto"/>
            </w:tcBorders>
          </w:tcPr>
          <w:p w14:paraId="65484E8E" w14:textId="77777777" w:rsidR="007D4E4C" w:rsidRPr="00996FA6" w:rsidRDefault="007D4E4C" w:rsidP="007D4E4C">
            <w:pPr>
              <w:keepLines/>
            </w:pPr>
          </w:p>
        </w:tc>
      </w:tr>
      <w:tr w:rsidR="007D4E4C" w:rsidRPr="00996FA6" w14:paraId="133BBCB3" w14:textId="77777777" w:rsidTr="007D4E4C">
        <w:tc>
          <w:tcPr>
            <w:tcW w:w="1334" w:type="dxa"/>
            <w:tcBorders>
              <w:top w:val="single" w:sz="4" w:space="0" w:color="auto"/>
              <w:left w:val="single" w:sz="4" w:space="0" w:color="auto"/>
              <w:bottom w:val="single" w:sz="4" w:space="0" w:color="auto"/>
              <w:right w:val="single" w:sz="4" w:space="0" w:color="auto"/>
            </w:tcBorders>
            <w:shd w:val="clear" w:color="auto" w:fill="auto"/>
          </w:tcPr>
          <w:p w14:paraId="196816B5" w14:textId="0BB2A853" w:rsidR="007D4E4C" w:rsidRDefault="007D4E4C" w:rsidP="007D4E4C">
            <w:pPr>
              <w:jc w:val="center"/>
            </w:pPr>
            <w:r>
              <w:t>11/</w:t>
            </w:r>
            <w:r w:rsidR="00DF08B2">
              <w:t>22</w:t>
            </w:r>
          </w:p>
        </w:tc>
        <w:tc>
          <w:tcPr>
            <w:tcW w:w="1999" w:type="dxa"/>
            <w:tcBorders>
              <w:top w:val="single" w:sz="4" w:space="0" w:color="auto"/>
              <w:left w:val="single" w:sz="4" w:space="0" w:color="auto"/>
              <w:right w:val="single" w:sz="4" w:space="0" w:color="auto"/>
            </w:tcBorders>
          </w:tcPr>
          <w:p w14:paraId="493BEFBA" w14:textId="019F7F27" w:rsidR="007D4E4C" w:rsidRDefault="007D4E4C" w:rsidP="007D4E4C">
            <w:pPr>
              <w:jc w:val="center"/>
            </w:pPr>
            <w:r>
              <w:t>42</w:t>
            </w:r>
          </w:p>
        </w:tc>
        <w:tc>
          <w:tcPr>
            <w:tcW w:w="4587" w:type="dxa"/>
            <w:vMerge/>
            <w:tcBorders>
              <w:left w:val="single" w:sz="4" w:space="0" w:color="auto"/>
              <w:right w:val="single" w:sz="4" w:space="0" w:color="auto"/>
            </w:tcBorders>
          </w:tcPr>
          <w:p w14:paraId="21909018" w14:textId="77777777" w:rsidR="007D4E4C" w:rsidRPr="00996FA6" w:rsidRDefault="007D4E4C" w:rsidP="007D4E4C">
            <w:pPr>
              <w:keepLines/>
            </w:pPr>
          </w:p>
        </w:tc>
      </w:tr>
    </w:tbl>
    <w:p w14:paraId="75C2EC47" w14:textId="77777777" w:rsidR="005E0E3D" w:rsidRDefault="005E0E3D" w:rsidP="00452FD9">
      <w:pPr>
        <w:rPr>
          <w:szCs w:val="24"/>
        </w:rPr>
      </w:pPr>
    </w:p>
    <w:sectPr w:rsidR="005E0E3D" w:rsidSect="00BA1663">
      <w:footerReference w:type="even" r:id="rId27"/>
      <w:foot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244E" w14:textId="77777777" w:rsidR="00684427" w:rsidRDefault="00684427" w:rsidP="00AE62ED">
      <w:r>
        <w:separator/>
      </w:r>
    </w:p>
  </w:endnote>
  <w:endnote w:type="continuationSeparator" w:id="0">
    <w:p w14:paraId="7DEAD2D7" w14:textId="77777777" w:rsidR="00684427" w:rsidRDefault="00684427" w:rsidP="00AE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266115"/>
      <w:docPartObj>
        <w:docPartGallery w:val="Page Numbers (Bottom of Page)"/>
        <w:docPartUnique/>
      </w:docPartObj>
    </w:sdtPr>
    <w:sdtEndPr>
      <w:rPr>
        <w:rStyle w:val="PageNumber"/>
      </w:rPr>
    </w:sdtEndPr>
    <w:sdtContent>
      <w:p w14:paraId="00614909" w14:textId="1C13B566" w:rsidR="00AE62ED" w:rsidRDefault="00AE62ED" w:rsidP="00CB2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25B32" w14:textId="77777777" w:rsidR="00AE62ED" w:rsidRDefault="00AE6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417635"/>
      <w:docPartObj>
        <w:docPartGallery w:val="Page Numbers (Bottom of Page)"/>
        <w:docPartUnique/>
      </w:docPartObj>
    </w:sdtPr>
    <w:sdtEndPr>
      <w:rPr>
        <w:rStyle w:val="PageNumber"/>
      </w:rPr>
    </w:sdtEndPr>
    <w:sdtContent>
      <w:p w14:paraId="4A5A4518" w14:textId="5C97AD23" w:rsidR="00AE62ED" w:rsidRDefault="00AE62ED" w:rsidP="00CB2A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5BD07E" w14:textId="77777777" w:rsidR="00AE62ED" w:rsidRDefault="00AE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63A3" w14:textId="77777777" w:rsidR="00684427" w:rsidRDefault="00684427" w:rsidP="00AE62ED">
      <w:r>
        <w:separator/>
      </w:r>
    </w:p>
  </w:footnote>
  <w:footnote w:type="continuationSeparator" w:id="0">
    <w:p w14:paraId="20AFEF35" w14:textId="77777777" w:rsidR="00684427" w:rsidRDefault="00684427" w:rsidP="00AE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8904830"/>
    <w:lvl w:ilvl="0">
      <w:start w:val="1"/>
      <w:numFmt w:val="decimal"/>
      <w:pStyle w:val="Heading1"/>
      <w:lvlText w:val="%1."/>
      <w:lvlJc w:val="left"/>
      <w:pPr>
        <w:tabs>
          <w:tab w:val="num" w:pos="1440"/>
        </w:tabs>
        <w:ind w:left="0" w:firstLine="144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2160"/>
        </w:tabs>
        <w:ind w:left="0" w:firstLine="216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2880"/>
        </w:tabs>
        <w:ind w:left="0" w:firstLine="2880"/>
      </w:pPr>
      <w:rPr>
        <w:rFonts w:ascii="Times New Roman" w:hAnsi="Times New Roman" w:hint="default"/>
        <w:b w:val="0"/>
        <w:i w:val="0"/>
        <w:color w:val="auto"/>
        <w:sz w:val="24"/>
        <w:szCs w:val="24"/>
        <w:u w:val="none"/>
      </w:rPr>
    </w:lvl>
    <w:lvl w:ilvl="3">
      <w:start w:val="1"/>
      <w:numFmt w:val="lowerRoman"/>
      <w:pStyle w:val="Heading4"/>
      <w:lvlText w:val="(%4)"/>
      <w:lvlJc w:val="right"/>
      <w:pPr>
        <w:tabs>
          <w:tab w:val="num" w:pos="4032"/>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432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504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right"/>
      <w:pPr>
        <w:tabs>
          <w:tab w:val="num" w:pos="6192"/>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648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right"/>
      <w:pPr>
        <w:tabs>
          <w:tab w:val="num" w:pos="7632"/>
        </w:tabs>
        <w:ind w:left="0" w:firstLine="7200"/>
      </w:pPr>
      <w:rPr>
        <w:rFonts w:ascii="Times New Roman" w:hAnsi="Times New Roman" w:hint="default"/>
        <w:b w:val="0"/>
        <w:i w:val="0"/>
        <w:color w:val="auto"/>
        <w:sz w:val="24"/>
        <w:szCs w:val="24"/>
        <w:u w:val="none"/>
      </w:rPr>
    </w:lvl>
  </w:abstractNum>
  <w:abstractNum w:abstractNumId="1" w15:restartNumberingAfterBreak="0">
    <w:nsid w:val="194067CF"/>
    <w:multiLevelType w:val="hybridMultilevel"/>
    <w:tmpl w:val="B1C0A396"/>
    <w:lvl w:ilvl="0" w:tplc="337ECBCA">
      <w:start w:val="4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10B4C27"/>
    <w:multiLevelType w:val="singleLevel"/>
    <w:tmpl w:val="850EF2CE"/>
    <w:lvl w:ilvl="0">
      <w:start w:val="1"/>
      <w:numFmt w:val="bullet"/>
      <w:pStyle w:val="bullet2"/>
      <w:lvlText w:val=""/>
      <w:lvlJc w:val="left"/>
      <w:pPr>
        <w:tabs>
          <w:tab w:val="num" w:pos="360"/>
        </w:tabs>
        <w:ind w:left="360" w:hanging="360"/>
      </w:pPr>
      <w:rPr>
        <w:rFonts w:ascii="Symbol" w:hAnsi="Symbol" w:hint="default"/>
        <w:sz w:val="20"/>
      </w:rPr>
    </w:lvl>
  </w:abstractNum>
  <w:abstractNum w:abstractNumId="3" w15:restartNumberingAfterBreak="0">
    <w:nsid w:val="51D939CB"/>
    <w:multiLevelType w:val="hybridMultilevel"/>
    <w:tmpl w:val="7278C3FA"/>
    <w:lvl w:ilvl="0" w:tplc="7506D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263326"/>
    <w:multiLevelType w:val="multilevel"/>
    <w:tmpl w:val="E3ACD76A"/>
    <w:lvl w:ilvl="0">
      <w:start w:val="1"/>
      <w:numFmt w:val="decimal"/>
      <w:lvlText w:val="%1."/>
      <w:legacy w:legacy="1" w:legacySpace="0" w:legacyIndent="720"/>
      <w:lvlJc w:val="left"/>
    </w:lvl>
    <w:lvl w:ilvl="1">
      <w:start w:val="1"/>
      <w:numFmt w:val="decimal"/>
      <w:lvlText w:val="%1.%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288" w:legacyIndent="720"/>
      <w:lvlJc w:val="righ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lowerRoman"/>
      <w:lvlText w:val="(%7)"/>
      <w:legacy w:legacy="1" w:legacySpace="0" w:legacyIndent="720"/>
      <w:lvlJc w:val="left"/>
      <w:pPr>
        <w:ind w:left="0" w:hanging="720"/>
      </w:pPr>
    </w:lvl>
    <w:lvl w:ilvl="7">
      <w:start w:val="1"/>
      <w:numFmt w:val="lowerLetter"/>
      <w:lvlText w:val="(%8)"/>
      <w:legacy w:legacy="1" w:legacySpace="0" w:legacyIndent="720"/>
      <w:lvlJc w:val="left"/>
      <w:pPr>
        <w:ind w:left="0" w:hanging="720"/>
      </w:pPr>
    </w:lvl>
    <w:lvl w:ilvl="8">
      <w:start w:val="1"/>
      <w:numFmt w:val="lowerRoman"/>
      <w:lvlText w:val="(%9)"/>
      <w:legacy w:legacy="1" w:legacySpace="0" w:legacyIndent="720"/>
      <w:lvlJc w:val="left"/>
      <w:pPr>
        <w:ind w:left="6480" w:hanging="720"/>
      </w:pPr>
    </w:lvl>
  </w:abstractNum>
  <w:abstractNum w:abstractNumId="5" w15:restartNumberingAfterBreak="0">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abstractNum w:abstractNumId="6" w15:restartNumberingAfterBreak="0">
    <w:nsid w:val="66232581"/>
    <w:multiLevelType w:val="hybridMultilevel"/>
    <w:tmpl w:val="C47C820C"/>
    <w:lvl w:ilvl="0" w:tplc="EA008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76AD6"/>
    <w:multiLevelType w:val="hybridMultilevel"/>
    <w:tmpl w:val="BB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32B2C"/>
    <w:multiLevelType w:val="hybridMultilevel"/>
    <w:tmpl w:val="FB02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B52DD"/>
    <w:multiLevelType w:val="hybridMultilevel"/>
    <w:tmpl w:val="669AB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3"/>
  </w:num>
  <w:num w:numId="30">
    <w:abstractNumId w:val="8"/>
  </w:num>
  <w:num w:numId="31">
    <w:abstractNumId w:val="9"/>
  </w:num>
  <w:num w:numId="32">
    <w:abstractNumId w:val="6"/>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D6"/>
    <w:rsid w:val="00010772"/>
    <w:rsid w:val="00020E9F"/>
    <w:rsid w:val="000217EB"/>
    <w:rsid w:val="0002696E"/>
    <w:rsid w:val="00055048"/>
    <w:rsid w:val="00062AF0"/>
    <w:rsid w:val="000720DB"/>
    <w:rsid w:val="000721CC"/>
    <w:rsid w:val="0008249E"/>
    <w:rsid w:val="00082B5F"/>
    <w:rsid w:val="000B7A27"/>
    <w:rsid w:val="000C2A6F"/>
    <w:rsid w:val="000D0DFB"/>
    <w:rsid w:val="000E7818"/>
    <w:rsid w:val="000F0A6F"/>
    <w:rsid w:val="000F7D6E"/>
    <w:rsid w:val="00105FD4"/>
    <w:rsid w:val="00110F34"/>
    <w:rsid w:val="00120BF6"/>
    <w:rsid w:val="001351B8"/>
    <w:rsid w:val="0016038B"/>
    <w:rsid w:val="00174109"/>
    <w:rsid w:val="001A0D3C"/>
    <w:rsid w:val="001B094A"/>
    <w:rsid w:val="001B1D27"/>
    <w:rsid w:val="001B7891"/>
    <w:rsid w:val="001C210C"/>
    <w:rsid w:val="001C795A"/>
    <w:rsid w:val="001E51BC"/>
    <w:rsid w:val="001F7714"/>
    <w:rsid w:val="0020589D"/>
    <w:rsid w:val="0021617C"/>
    <w:rsid w:val="00223D39"/>
    <w:rsid w:val="0024796D"/>
    <w:rsid w:val="00250B87"/>
    <w:rsid w:val="002666A0"/>
    <w:rsid w:val="0028484F"/>
    <w:rsid w:val="00297AAF"/>
    <w:rsid w:val="002A1FCE"/>
    <w:rsid w:val="002A56AB"/>
    <w:rsid w:val="002B5E89"/>
    <w:rsid w:val="002C276E"/>
    <w:rsid w:val="002F2320"/>
    <w:rsid w:val="00310D18"/>
    <w:rsid w:val="00325052"/>
    <w:rsid w:val="003852DD"/>
    <w:rsid w:val="00386FF9"/>
    <w:rsid w:val="0038787C"/>
    <w:rsid w:val="003935C9"/>
    <w:rsid w:val="003C0D36"/>
    <w:rsid w:val="0041097D"/>
    <w:rsid w:val="00434843"/>
    <w:rsid w:val="00443E1E"/>
    <w:rsid w:val="00451368"/>
    <w:rsid w:val="00452FD9"/>
    <w:rsid w:val="00454E54"/>
    <w:rsid w:val="0047312C"/>
    <w:rsid w:val="00476CF1"/>
    <w:rsid w:val="004B3659"/>
    <w:rsid w:val="004B7C1F"/>
    <w:rsid w:val="004C3C96"/>
    <w:rsid w:val="004D0105"/>
    <w:rsid w:val="004E64E0"/>
    <w:rsid w:val="004F2A19"/>
    <w:rsid w:val="00534D63"/>
    <w:rsid w:val="0055268B"/>
    <w:rsid w:val="005A0875"/>
    <w:rsid w:val="005A2EE6"/>
    <w:rsid w:val="005C27DA"/>
    <w:rsid w:val="005E0E3D"/>
    <w:rsid w:val="00600DD3"/>
    <w:rsid w:val="0060159C"/>
    <w:rsid w:val="00614130"/>
    <w:rsid w:val="0062032A"/>
    <w:rsid w:val="00684427"/>
    <w:rsid w:val="00690998"/>
    <w:rsid w:val="006946B3"/>
    <w:rsid w:val="006C19F7"/>
    <w:rsid w:val="006D7A8C"/>
    <w:rsid w:val="007145B1"/>
    <w:rsid w:val="00723010"/>
    <w:rsid w:val="007246DB"/>
    <w:rsid w:val="00741296"/>
    <w:rsid w:val="00745224"/>
    <w:rsid w:val="00770F67"/>
    <w:rsid w:val="007B7883"/>
    <w:rsid w:val="007D4E4C"/>
    <w:rsid w:val="007D50F6"/>
    <w:rsid w:val="00813F0A"/>
    <w:rsid w:val="008264B4"/>
    <w:rsid w:val="0083124B"/>
    <w:rsid w:val="00833705"/>
    <w:rsid w:val="00840EE1"/>
    <w:rsid w:val="00844FE5"/>
    <w:rsid w:val="008549E9"/>
    <w:rsid w:val="008643F8"/>
    <w:rsid w:val="0087267A"/>
    <w:rsid w:val="008953D8"/>
    <w:rsid w:val="008B45F7"/>
    <w:rsid w:val="008E645D"/>
    <w:rsid w:val="008F2965"/>
    <w:rsid w:val="00910DE8"/>
    <w:rsid w:val="009153A2"/>
    <w:rsid w:val="00916AB7"/>
    <w:rsid w:val="0096510E"/>
    <w:rsid w:val="009658DA"/>
    <w:rsid w:val="009709D5"/>
    <w:rsid w:val="00982A75"/>
    <w:rsid w:val="009A3CAC"/>
    <w:rsid w:val="009A5706"/>
    <w:rsid w:val="009B3006"/>
    <w:rsid w:val="009D7E50"/>
    <w:rsid w:val="009E2B7A"/>
    <w:rsid w:val="009E2E90"/>
    <w:rsid w:val="00A03264"/>
    <w:rsid w:val="00A24A4F"/>
    <w:rsid w:val="00A25A44"/>
    <w:rsid w:val="00A3390B"/>
    <w:rsid w:val="00A343CA"/>
    <w:rsid w:val="00A80CA8"/>
    <w:rsid w:val="00A865D6"/>
    <w:rsid w:val="00A907B7"/>
    <w:rsid w:val="00A93720"/>
    <w:rsid w:val="00AA57D6"/>
    <w:rsid w:val="00AC5832"/>
    <w:rsid w:val="00AE40C4"/>
    <w:rsid w:val="00AE62ED"/>
    <w:rsid w:val="00B01085"/>
    <w:rsid w:val="00B05ADE"/>
    <w:rsid w:val="00B21C49"/>
    <w:rsid w:val="00B44C4C"/>
    <w:rsid w:val="00B51EA8"/>
    <w:rsid w:val="00B74106"/>
    <w:rsid w:val="00B80682"/>
    <w:rsid w:val="00B8726A"/>
    <w:rsid w:val="00B92AC1"/>
    <w:rsid w:val="00B955D1"/>
    <w:rsid w:val="00BA1563"/>
    <w:rsid w:val="00BA1663"/>
    <w:rsid w:val="00BA16DD"/>
    <w:rsid w:val="00BD70A7"/>
    <w:rsid w:val="00BE5B24"/>
    <w:rsid w:val="00BF1B26"/>
    <w:rsid w:val="00C10D53"/>
    <w:rsid w:val="00C159BC"/>
    <w:rsid w:val="00C52AF1"/>
    <w:rsid w:val="00C54A6D"/>
    <w:rsid w:val="00C62089"/>
    <w:rsid w:val="00C95CAD"/>
    <w:rsid w:val="00CA5B0C"/>
    <w:rsid w:val="00CC19CF"/>
    <w:rsid w:val="00CE1255"/>
    <w:rsid w:val="00D148CD"/>
    <w:rsid w:val="00D1712A"/>
    <w:rsid w:val="00D22675"/>
    <w:rsid w:val="00D35BFB"/>
    <w:rsid w:val="00D604A0"/>
    <w:rsid w:val="00D828D7"/>
    <w:rsid w:val="00DB29D1"/>
    <w:rsid w:val="00DB5C61"/>
    <w:rsid w:val="00DD77F7"/>
    <w:rsid w:val="00DF08B2"/>
    <w:rsid w:val="00E060B0"/>
    <w:rsid w:val="00E262D0"/>
    <w:rsid w:val="00E963E6"/>
    <w:rsid w:val="00E9740E"/>
    <w:rsid w:val="00EB3026"/>
    <w:rsid w:val="00ED618F"/>
    <w:rsid w:val="00EE06B8"/>
    <w:rsid w:val="00EE45C6"/>
    <w:rsid w:val="00EF2696"/>
    <w:rsid w:val="00EF6C15"/>
    <w:rsid w:val="00F113D8"/>
    <w:rsid w:val="00F1602B"/>
    <w:rsid w:val="00F50E2C"/>
    <w:rsid w:val="00F5196E"/>
    <w:rsid w:val="00F7552D"/>
    <w:rsid w:val="00FE3B9B"/>
    <w:rsid w:val="00FF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25BB2"/>
  <w15:docId w15:val="{25A49EE2-6D60-3849-9097-F34F1EB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4E0"/>
    <w:pPr>
      <w:suppressAutoHyphens/>
    </w:pPr>
    <w:rPr>
      <w:sz w:val="24"/>
    </w:rPr>
  </w:style>
  <w:style w:type="paragraph" w:styleId="Heading1">
    <w:name w:val="heading 1"/>
    <w:basedOn w:val="Normal"/>
    <w:qFormat/>
    <w:rsid w:val="003C0D36"/>
    <w:pPr>
      <w:numPr>
        <w:numId w:val="27"/>
      </w:numPr>
      <w:spacing w:after="240"/>
      <w:jc w:val="both"/>
      <w:outlineLvl w:val="0"/>
    </w:pPr>
  </w:style>
  <w:style w:type="paragraph" w:styleId="Heading2">
    <w:name w:val="heading 2"/>
    <w:basedOn w:val="Normal"/>
    <w:qFormat/>
    <w:rsid w:val="003C0D36"/>
    <w:pPr>
      <w:numPr>
        <w:ilvl w:val="1"/>
        <w:numId w:val="27"/>
      </w:numPr>
      <w:spacing w:after="240"/>
      <w:jc w:val="both"/>
      <w:outlineLvl w:val="1"/>
    </w:pPr>
  </w:style>
  <w:style w:type="paragraph" w:styleId="Heading3">
    <w:name w:val="heading 3"/>
    <w:basedOn w:val="Normal"/>
    <w:qFormat/>
    <w:rsid w:val="003C0D36"/>
    <w:pPr>
      <w:numPr>
        <w:ilvl w:val="2"/>
        <w:numId w:val="27"/>
      </w:numPr>
      <w:spacing w:after="240"/>
      <w:jc w:val="both"/>
      <w:outlineLvl w:val="2"/>
    </w:pPr>
  </w:style>
  <w:style w:type="paragraph" w:styleId="Heading4">
    <w:name w:val="heading 4"/>
    <w:basedOn w:val="Normal"/>
    <w:qFormat/>
    <w:rsid w:val="003C0D36"/>
    <w:pPr>
      <w:numPr>
        <w:ilvl w:val="3"/>
        <w:numId w:val="27"/>
      </w:numPr>
      <w:spacing w:after="240"/>
      <w:jc w:val="both"/>
      <w:outlineLvl w:val="3"/>
    </w:pPr>
  </w:style>
  <w:style w:type="paragraph" w:styleId="Heading5">
    <w:name w:val="heading 5"/>
    <w:basedOn w:val="Normal"/>
    <w:qFormat/>
    <w:rsid w:val="003C0D36"/>
    <w:pPr>
      <w:numPr>
        <w:ilvl w:val="4"/>
        <w:numId w:val="27"/>
      </w:numPr>
      <w:spacing w:after="240"/>
      <w:jc w:val="both"/>
      <w:outlineLvl w:val="4"/>
    </w:pPr>
  </w:style>
  <w:style w:type="paragraph" w:styleId="Heading6">
    <w:name w:val="heading 6"/>
    <w:basedOn w:val="Normal"/>
    <w:qFormat/>
    <w:rsid w:val="003C0D36"/>
    <w:pPr>
      <w:numPr>
        <w:ilvl w:val="5"/>
        <w:numId w:val="27"/>
      </w:numPr>
      <w:spacing w:after="240"/>
      <w:jc w:val="both"/>
      <w:outlineLvl w:val="5"/>
    </w:pPr>
  </w:style>
  <w:style w:type="paragraph" w:styleId="Heading7">
    <w:name w:val="heading 7"/>
    <w:basedOn w:val="Normal"/>
    <w:qFormat/>
    <w:rsid w:val="003C0D36"/>
    <w:pPr>
      <w:numPr>
        <w:ilvl w:val="6"/>
        <w:numId w:val="27"/>
      </w:numPr>
      <w:spacing w:after="240"/>
      <w:jc w:val="both"/>
      <w:outlineLvl w:val="6"/>
    </w:pPr>
  </w:style>
  <w:style w:type="paragraph" w:styleId="Heading8">
    <w:name w:val="heading 8"/>
    <w:basedOn w:val="Normal"/>
    <w:qFormat/>
    <w:rsid w:val="003C0D36"/>
    <w:pPr>
      <w:numPr>
        <w:ilvl w:val="7"/>
        <w:numId w:val="27"/>
      </w:numPr>
      <w:spacing w:after="240"/>
      <w:jc w:val="both"/>
      <w:outlineLvl w:val="7"/>
    </w:pPr>
  </w:style>
  <w:style w:type="paragraph" w:styleId="Heading9">
    <w:name w:val="heading 9"/>
    <w:basedOn w:val="Normal"/>
    <w:qFormat/>
    <w:rsid w:val="003C0D36"/>
    <w:pPr>
      <w:numPr>
        <w:ilvl w:val="8"/>
        <w:numId w:val="2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rsid w:val="004E64E0"/>
    <w:pPr>
      <w:spacing w:after="120"/>
    </w:pPr>
  </w:style>
  <w:style w:type="paragraph" w:customStyle="1" w:styleId="bullet">
    <w:name w:val="bullet"/>
    <w:basedOn w:val="Normal"/>
    <w:rsid w:val="004E64E0"/>
    <w:pPr>
      <w:numPr>
        <w:numId w:val="1"/>
      </w:numPr>
      <w:tabs>
        <w:tab w:val="clear" w:pos="360"/>
      </w:tabs>
      <w:ind w:left="0" w:firstLine="0"/>
    </w:pPr>
    <w:rPr>
      <w:sz w:val="20"/>
    </w:r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sz w:val="20"/>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sz w:val="20"/>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table" w:styleId="TableGrid">
    <w:name w:val="Table Grid"/>
    <w:basedOn w:val="TableNormal"/>
    <w:rsid w:val="00AA5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45224"/>
    <w:rPr>
      <w:i/>
      <w:iCs/>
    </w:rPr>
  </w:style>
  <w:style w:type="character" w:styleId="Hyperlink">
    <w:name w:val="Hyperlink"/>
    <w:rsid w:val="00F5196E"/>
    <w:rPr>
      <w:color w:val="0000FF"/>
      <w:u w:val="single"/>
    </w:rPr>
  </w:style>
  <w:style w:type="paragraph" w:styleId="BalloonText">
    <w:name w:val="Balloon Text"/>
    <w:basedOn w:val="Normal"/>
    <w:semiHidden/>
    <w:rsid w:val="00E963E6"/>
    <w:rPr>
      <w:rFonts w:ascii="Tahoma" w:hAnsi="Tahoma" w:cs="Tahoma"/>
      <w:sz w:val="16"/>
      <w:szCs w:val="16"/>
    </w:rPr>
  </w:style>
  <w:style w:type="paragraph" w:customStyle="1" w:styleId="Default">
    <w:name w:val="Default"/>
    <w:rsid w:val="00454E54"/>
    <w:pPr>
      <w:autoSpaceDE w:val="0"/>
      <w:autoSpaceDN w:val="0"/>
      <w:adjustRightInd w:val="0"/>
    </w:pPr>
    <w:rPr>
      <w:color w:val="000000"/>
      <w:sz w:val="24"/>
      <w:szCs w:val="24"/>
    </w:rPr>
  </w:style>
  <w:style w:type="paragraph" w:styleId="ListParagraph">
    <w:name w:val="List Paragraph"/>
    <w:basedOn w:val="Normal"/>
    <w:uiPriority w:val="34"/>
    <w:qFormat/>
    <w:rsid w:val="00723010"/>
    <w:pPr>
      <w:ind w:left="720"/>
      <w:contextualSpacing/>
    </w:pPr>
  </w:style>
  <w:style w:type="character" w:styleId="FollowedHyperlink">
    <w:name w:val="FollowedHyperlink"/>
    <w:basedOn w:val="DefaultParagraphFont"/>
    <w:semiHidden/>
    <w:unhideWhenUsed/>
    <w:rsid w:val="002F2320"/>
    <w:rPr>
      <w:color w:val="800080" w:themeColor="followedHyperlink"/>
      <w:u w:val="single"/>
    </w:rPr>
  </w:style>
  <w:style w:type="character" w:styleId="UnresolvedMention">
    <w:name w:val="Unresolved Mention"/>
    <w:basedOn w:val="DefaultParagraphFont"/>
    <w:uiPriority w:val="99"/>
    <w:semiHidden/>
    <w:unhideWhenUsed/>
    <w:rsid w:val="002F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keley.zoom.us/j/97274904310" TargetMode="External"/><Relationship Id="rId13" Type="http://schemas.openxmlformats.org/officeDocument/2006/relationships/hyperlink" Target="http://libguides.law.berkeley.edu/computing/home" TargetMode="External"/><Relationship Id="rId18" Type="http://schemas.openxmlformats.org/officeDocument/2006/relationships/hyperlink" Target="mailto:kvalenti@law.berkeley.edu" TargetMode="External"/><Relationship Id="rId26" Type="http://schemas.openxmlformats.org/officeDocument/2006/relationships/hyperlink" Target="http://sa.berkeley.edu/dean/confidential-care-advocate" TargetMode="External"/><Relationship Id="rId3" Type="http://schemas.openxmlformats.org/officeDocument/2006/relationships/settings" Target="settings.xml"/><Relationship Id="rId21" Type="http://schemas.openxmlformats.org/officeDocument/2006/relationships/hyperlink" Target="https://basicneeds.berkeley.edu/" TargetMode="External"/><Relationship Id="rId7" Type="http://schemas.openxmlformats.org/officeDocument/2006/relationships/hyperlink" Target="mailto:rbartlett@berkeley.edu" TargetMode="External"/><Relationship Id="rId12" Type="http://schemas.openxmlformats.org/officeDocument/2006/relationships/hyperlink" Target="mailto:studentcomputing@law.berkeley.edu" TargetMode="External"/><Relationship Id="rId17" Type="http://schemas.openxmlformats.org/officeDocument/2006/relationships/hyperlink" Target="https://www.law.berkeley.edu/library/dynamic/internal/chat.php" TargetMode="External"/><Relationship Id="rId25" Type="http://schemas.openxmlformats.org/officeDocument/2006/relationships/hyperlink" Target="mailto:ask_ophd@berkeley.edu" TargetMode="External"/><Relationship Id="rId2" Type="http://schemas.openxmlformats.org/officeDocument/2006/relationships/styles" Target="styles.xml"/><Relationship Id="rId16" Type="http://schemas.openxmlformats.org/officeDocument/2006/relationships/hyperlink" Target="https://www.law.berkeley.edu/library/dynamic/students/researchRequest.php" TargetMode="External"/><Relationship Id="rId20" Type="http://schemas.openxmlformats.org/officeDocument/2006/relationships/hyperlink" Target="https://www.law.berkeley.edu/academics/registrar/academic-rules/academic-honor-co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ourses.berkeley.edu/courses/1506355" TargetMode="External"/><Relationship Id="rId24" Type="http://schemas.openxmlformats.org/officeDocument/2006/relationships/hyperlink" Target="http://policy.ucop.edu/doc/4000385/SVSH" TargetMode="External"/><Relationship Id="rId5" Type="http://schemas.openxmlformats.org/officeDocument/2006/relationships/footnotes" Target="footnotes.xml"/><Relationship Id="rId15" Type="http://schemas.openxmlformats.org/officeDocument/2006/relationships/hyperlink" Target="https://www.law.berkeley.edu/library/dynamic/internal/techChat.php" TargetMode="External"/><Relationship Id="rId23" Type="http://schemas.openxmlformats.org/officeDocument/2006/relationships/hyperlink" Target="https://pantry.berkeley.edu/" TargetMode="External"/><Relationship Id="rId28" Type="http://schemas.openxmlformats.org/officeDocument/2006/relationships/footer" Target="footer2.xml"/><Relationship Id="rId10" Type="http://schemas.openxmlformats.org/officeDocument/2006/relationships/hyperlink" Target="https://store.wsj.com/v2/shop/US/US/wsjstudentsummer18?trackingCode=aaqro03a&amp;cid=WSJ_SCH_GOO_ACQ_NA&amp;ef_id=W0bQIwAAAI1nFwIT:20180815172119:s" TargetMode="External"/><Relationship Id="rId19" Type="http://schemas.openxmlformats.org/officeDocument/2006/relationships/hyperlink" Target="mailto:kylekatedudley@law.berkeley.edu" TargetMode="External"/><Relationship Id="rId4" Type="http://schemas.openxmlformats.org/officeDocument/2006/relationships/webSettings" Target="webSettings.xml"/><Relationship Id="rId9" Type="http://schemas.openxmlformats.org/officeDocument/2006/relationships/hyperlink" Target="https://berkeley.zoom.us/j/93437465922" TargetMode="External"/><Relationship Id="rId14" Type="http://schemas.openxmlformats.org/officeDocument/2006/relationships/hyperlink" Target="mailto:studentcomputing@law.berkeley.edu" TargetMode="External"/><Relationship Id="rId22" Type="http://schemas.openxmlformats.org/officeDocument/2006/relationships/hyperlink" Target="http://calfresh.berkeley.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 - internal</vt:lpstr>
    </vt:vector>
  </TitlesOfParts>
  <Company>Gunderson Dettmer</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internal</dc:title>
  <dc:creator>Bobby Bartlett</dc:creator>
  <cp:lastModifiedBy>Robert Bartlett</cp:lastModifiedBy>
  <cp:revision>13</cp:revision>
  <cp:lastPrinted>2009-08-19T19:00:00Z</cp:lastPrinted>
  <dcterms:created xsi:type="dcterms:W3CDTF">2021-08-11T18:16:00Z</dcterms:created>
  <dcterms:modified xsi:type="dcterms:W3CDTF">2021-08-11T19:23:00Z</dcterms:modified>
</cp:coreProperties>
</file>