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3EC3" w14:textId="77777777" w:rsidR="00713112" w:rsidRPr="00713112" w:rsidRDefault="00713112" w:rsidP="00713112"/>
    <w:p w14:paraId="6DC6BB25" w14:textId="00F937BE" w:rsidR="00713112" w:rsidRPr="001F0BAE" w:rsidRDefault="00713112" w:rsidP="001F0BAE">
      <w:pPr>
        <w:pStyle w:val="Heading1"/>
        <w:rPr>
          <w:color w:val="auto"/>
        </w:rPr>
      </w:pPr>
      <w:r w:rsidRPr="001F0BAE">
        <w:rPr>
          <w:color w:val="auto"/>
        </w:rPr>
        <w:t xml:space="preserve">Course Number </w:t>
      </w:r>
      <w:r w:rsidRPr="005106E8">
        <w:rPr>
          <w:color w:val="auto"/>
        </w:rPr>
        <w:t>–</w:t>
      </w:r>
      <w:r w:rsidR="004952A2">
        <w:rPr>
          <w:color w:val="auto"/>
        </w:rPr>
        <w:t xml:space="preserve"> </w:t>
      </w:r>
      <w:r w:rsidRPr="001F0BAE">
        <w:rPr>
          <w:color w:val="auto"/>
        </w:rPr>
        <w:t>Course Title</w:t>
      </w:r>
      <w:r w:rsidR="004952A2">
        <w:rPr>
          <w:color w:val="auto"/>
        </w:rPr>
        <w:t>: Public Health Law: Addressing the Legal Determinants of Health</w:t>
      </w:r>
    </w:p>
    <w:p w14:paraId="7C066177" w14:textId="5E447C7B" w:rsidR="00713112" w:rsidRPr="00713112" w:rsidRDefault="004952A2" w:rsidP="00713112">
      <w:r>
        <w:rPr>
          <w:rFonts w:ascii="Arial" w:hAnsi="Arial" w:cs="Arial"/>
          <w:color w:val="000000"/>
          <w:sz w:val="22"/>
          <w:szCs w:val="22"/>
        </w:rPr>
        <w:t>Spring 2021</w:t>
      </w:r>
    </w:p>
    <w:p w14:paraId="1BD60925" w14:textId="77777777" w:rsidR="00713112" w:rsidRPr="00713112" w:rsidRDefault="00713112" w:rsidP="00713112"/>
    <w:p w14:paraId="288AD6F4" w14:textId="5F025018" w:rsidR="00EC0FF8" w:rsidRPr="00EC0FF8" w:rsidRDefault="00EC0FF8" w:rsidP="00EC0FF8">
      <w:pPr>
        <w:rPr>
          <w:rFonts w:ascii="Arial" w:hAnsi="Arial" w:cs="Arial"/>
          <w:color w:val="4472C4" w:themeColor="accent1"/>
          <w:sz w:val="22"/>
          <w:szCs w:val="22"/>
        </w:rPr>
      </w:pPr>
      <w:r w:rsidRPr="00EC0FF8">
        <w:rPr>
          <w:rFonts w:ascii="Arial" w:hAnsi="Arial" w:cs="Arial"/>
          <w:color w:val="000000"/>
          <w:sz w:val="22"/>
          <w:szCs w:val="22"/>
        </w:rPr>
        <w:t>Instructor Name</w:t>
      </w:r>
      <w:r w:rsidRPr="00EC0FF8">
        <w:rPr>
          <w:rFonts w:ascii="Arial" w:hAnsi="Arial" w:cs="Arial"/>
          <w:color w:val="4472C4" w:themeColor="accent1"/>
          <w:sz w:val="22"/>
          <w:szCs w:val="22"/>
        </w:rPr>
        <w:t>: </w:t>
      </w:r>
      <w:r w:rsidR="004952A2">
        <w:rPr>
          <w:rFonts w:ascii="Arial" w:hAnsi="Arial" w:cs="Arial"/>
          <w:color w:val="4472C4" w:themeColor="accent1"/>
          <w:sz w:val="22"/>
          <w:szCs w:val="22"/>
        </w:rPr>
        <w:t xml:space="preserve">Marice Ashe and </w:t>
      </w:r>
      <w:hyperlink r:id="rId8" w:history="1">
        <w:r w:rsidR="004952A2" w:rsidRPr="004952A2">
          <w:rPr>
            <w:rStyle w:val="Hyperlink"/>
            <w:rFonts w:ascii="Arial" w:hAnsi="Arial" w:cs="Arial"/>
            <w:sz w:val="22"/>
            <w:szCs w:val="22"/>
          </w:rPr>
          <w:t>Steve Suga</w:t>
        </w:r>
        <w:r w:rsidR="004952A2">
          <w:rPr>
            <w:rStyle w:val="Hyperlink"/>
            <w:rFonts w:ascii="Arial" w:hAnsi="Arial" w:cs="Arial"/>
            <w:sz w:val="22"/>
            <w:szCs w:val="22"/>
          </w:rPr>
          <w:t>r</w:t>
        </w:r>
        <w:r w:rsidR="004952A2" w:rsidRPr="004952A2">
          <w:rPr>
            <w:rStyle w:val="Hyperlink"/>
            <w:rFonts w:ascii="Arial" w:hAnsi="Arial" w:cs="Arial"/>
            <w:sz w:val="22"/>
            <w:szCs w:val="22"/>
          </w:rPr>
          <w:t>man</w:t>
        </w:r>
      </w:hyperlink>
      <w:r w:rsidRPr="00EC0FF8">
        <w:rPr>
          <w:rFonts w:ascii="Arial" w:hAnsi="Arial" w:cs="Arial"/>
          <w:color w:val="4472C4" w:themeColor="accent1"/>
          <w:sz w:val="22"/>
          <w:szCs w:val="22"/>
        </w:rPr>
        <w:t xml:space="preserve"> </w:t>
      </w:r>
    </w:p>
    <w:p w14:paraId="56AB7533" w14:textId="77777777" w:rsidR="00B27B3C" w:rsidRDefault="00B27B3C" w:rsidP="004952A2">
      <w:pPr>
        <w:rPr>
          <w:rFonts w:ascii="Arial" w:hAnsi="Arial" w:cs="Arial"/>
          <w:color w:val="000000"/>
          <w:sz w:val="22"/>
          <w:szCs w:val="22"/>
        </w:rPr>
      </w:pPr>
    </w:p>
    <w:p w14:paraId="58F96643" w14:textId="70D280FE" w:rsidR="004952A2" w:rsidRPr="004952A2" w:rsidRDefault="00713112" w:rsidP="004952A2">
      <w:pPr>
        <w:rPr>
          <w:rFonts w:ascii="Arial" w:hAnsi="Arial" w:cs="Arial"/>
          <w:sz w:val="22"/>
          <w:szCs w:val="22"/>
        </w:rPr>
      </w:pPr>
      <w:r w:rsidRPr="00713112">
        <w:rPr>
          <w:rFonts w:ascii="Arial" w:hAnsi="Arial" w:cs="Arial"/>
          <w:color w:val="000000"/>
          <w:sz w:val="22"/>
          <w:szCs w:val="22"/>
        </w:rPr>
        <w:t>Instructor Information:</w:t>
      </w:r>
      <w:r>
        <w:rPr>
          <w:rFonts w:ascii="Arial" w:hAnsi="Arial" w:cs="Arial"/>
          <w:color w:val="000000"/>
          <w:sz w:val="22"/>
          <w:szCs w:val="22"/>
        </w:rPr>
        <w:t xml:space="preserve"> </w:t>
      </w:r>
      <w:r w:rsidR="004952A2" w:rsidRPr="004952A2">
        <w:rPr>
          <w:rFonts w:ascii="Arial" w:hAnsi="Arial" w:cs="Arial"/>
          <w:b/>
          <w:bCs/>
          <w:sz w:val="22"/>
          <w:szCs w:val="22"/>
        </w:rPr>
        <w:t>Marice Ashe</w:t>
      </w:r>
      <w:r w:rsidR="004952A2" w:rsidRPr="004952A2">
        <w:rPr>
          <w:rFonts w:ascii="Arial" w:hAnsi="Arial" w:cs="Arial"/>
          <w:sz w:val="22"/>
          <w:szCs w:val="22"/>
        </w:rPr>
        <w:t xml:space="preserve"> is the Founder of </w:t>
      </w:r>
      <w:hyperlink r:id="rId9" w:history="1">
        <w:r w:rsidR="004952A2" w:rsidRPr="004952A2">
          <w:rPr>
            <w:rStyle w:val="Hyperlink"/>
            <w:rFonts w:ascii="Arial" w:hAnsi="Arial" w:cs="Arial"/>
            <w:sz w:val="22"/>
            <w:szCs w:val="22"/>
          </w:rPr>
          <w:t>ChangeLab Solutions</w:t>
        </w:r>
      </w:hyperlink>
      <w:r w:rsidR="004952A2" w:rsidRPr="004952A2">
        <w:rPr>
          <w:rFonts w:ascii="Arial" w:hAnsi="Arial" w:cs="Arial"/>
          <w:sz w:val="22"/>
          <w:szCs w:val="22"/>
        </w:rPr>
        <w:t xml:space="preserve"> where she served as CEO for nearly 25 years. </w:t>
      </w:r>
      <w:proofErr w:type="spellStart"/>
      <w:r w:rsidR="004952A2" w:rsidRPr="004952A2">
        <w:rPr>
          <w:rFonts w:ascii="Arial" w:hAnsi="Arial" w:cs="Arial"/>
          <w:sz w:val="22"/>
          <w:szCs w:val="22"/>
        </w:rPr>
        <w:t>S</w:t>
      </w:r>
      <w:r w:rsidR="004952A2" w:rsidRPr="004952A2">
        <w:rPr>
          <w:rFonts w:ascii="Arial" w:hAnsi="Arial" w:cs="Arial"/>
          <w:sz w:val="22"/>
          <w:szCs w:val="22"/>
          <w:bdr w:val="none" w:sz="0" w:space="0" w:color="auto" w:frame="1"/>
          <w:lang w:val="en"/>
        </w:rPr>
        <w:t>he</w:t>
      </w:r>
      <w:proofErr w:type="spellEnd"/>
      <w:r w:rsidR="004952A2" w:rsidRPr="004952A2">
        <w:rPr>
          <w:rFonts w:ascii="Arial" w:hAnsi="Arial" w:cs="Arial"/>
          <w:sz w:val="22"/>
          <w:szCs w:val="22"/>
          <w:bdr w:val="none" w:sz="0" w:space="0" w:color="auto" w:frame="1"/>
          <w:lang w:val="en"/>
        </w:rPr>
        <w:t xml:space="preserve"> pioneered the use of law and policy to solve complex problems related to institutionalized inequities and poor community health outcomes. Leading a staff of 60 lawyers and other public health experts and </w:t>
      </w:r>
      <w:r w:rsidR="004952A2" w:rsidRPr="004952A2">
        <w:rPr>
          <w:rFonts w:ascii="Arial" w:hAnsi="Arial" w:cs="Arial"/>
          <w:sz w:val="22"/>
          <w:szCs w:val="22"/>
        </w:rPr>
        <w:t xml:space="preserve">working in all 50 states, she </w:t>
      </w:r>
      <w:r w:rsidR="004952A2" w:rsidRPr="004952A2">
        <w:rPr>
          <w:rFonts w:ascii="Arial" w:hAnsi="Arial" w:cs="Arial"/>
          <w:sz w:val="22"/>
          <w:szCs w:val="22"/>
          <w:bdr w:val="none" w:sz="0" w:space="0" w:color="auto" w:frame="1"/>
          <w:lang w:val="en"/>
        </w:rPr>
        <w:t xml:space="preserve">drove major health equity successes across a broad range of public health challenges.  Under her direction, ChangeLab Solutions </w:t>
      </w:r>
      <w:r w:rsidR="004952A2" w:rsidRPr="004952A2">
        <w:rPr>
          <w:rFonts w:ascii="Arial" w:hAnsi="Arial" w:cs="Arial"/>
          <w:sz w:val="22"/>
          <w:szCs w:val="22"/>
        </w:rPr>
        <w:t>consulted with leadership from every level of government, health system and community health practice, and created a vast library of “how to” guides and model laws and policies that promote multi-disciplinary partnerships to empower leaders, mobilize resources and improve outcomes.  Marice is currently a public health law and policy consultant. She serves on the national advisory boards for t</w:t>
      </w:r>
      <w:r w:rsidR="004952A2" w:rsidRPr="004952A2">
        <w:rPr>
          <w:rFonts w:ascii="Arial" w:hAnsi="Arial" w:cs="Arial"/>
          <w:sz w:val="22"/>
          <w:szCs w:val="22"/>
          <w:shd w:val="clear" w:color="auto" w:fill="FFFFFF"/>
        </w:rPr>
        <w:t xml:space="preserve">he Center for the Redress of Inequity Through Community-Engaged Scholarship at the University of Virginia and the Institute for Health Policy and Leadership at </w:t>
      </w:r>
      <w:r w:rsidR="004952A2" w:rsidRPr="004952A2">
        <w:rPr>
          <w:rFonts w:ascii="Arial" w:hAnsi="Arial" w:cs="Arial"/>
          <w:sz w:val="22"/>
          <w:szCs w:val="22"/>
        </w:rPr>
        <w:t>Loma Linda University.  She consults with public health leaders throughout the world. She is a graduate of the University of Notre Dame and graduate degrees in public health and law from the University of California at Berkeley.</w:t>
      </w:r>
    </w:p>
    <w:p w14:paraId="6D4A02D0" w14:textId="6FAD924D" w:rsidR="00713112" w:rsidRPr="00713112" w:rsidRDefault="00713112" w:rsidP="00713112">
      <w:pPr>
        <w:rPr>
          <w:color w:val="4472C4" w:themeColor="accent1"/>
        </w:rPr>
      </w:pPr>
      <w:r w:rsidRPr="00713112">
        <w:rPr>
          <w:rFonts w:ascii="Arial" w:hAnsi="Arial" w:cs="Arial"/>
          <w:color w:val="000000"/>
          <w:sz w:val="22"/>
          <w:szCs w:val="22"/>
        </w:rPr>
        <w:t xml:space="preserve"> </w:t>
      </w:r>
    </w:p>
    <w:p w14:paraId="773EF831" w14:textId="30F8F547" w:rsidR="00713112" w:rsidRPr="00713112" w:rsidRDefault="00713112" w:rsidP="00713112">
      <w:pPr>
        <w:rPr>
          <w:color w:val="4472C4" w:themeColor="accent1"/>
        </w:rPr>
      </w:pPr>
      <w:r w:rsidRPr="00713112">
        <w:rPr>
          <w:rFonts w:ascii="Arial" w:hAnsi="Arial" w:cs="Arial"/>
          <w:color w:val="000000"/>
          <w:sz w:val="22"/>
          <w:szCs w:val="22"/>
        </w:rPr>
        <w:t>Email</w:t>
      </w:r>
      <w:r>
        <w:rPr>
          <w:rFonts w:ascii="Arial" w:hAnsi="Arial" w:cs="Arial"/>
          <w:color w:val="000000"/>
          <w:sz w:val="22"/>
          <w:szCs w:val="22"/>
        </w:rPr>
        <w:t xml:space="preserve"> address</w:t>
      </w:r>
      <w:r w:rsidRPr="00713112">
        <w:rPr>
          <w:rFonts w:ascii="Arial" w:hAnsi="Arial" w:cs="Arial"/>
          <w:color w:val="4472C4" w:themeColor="accent1"/>
          <w:sz w:val="22"/>
          <w:szCs w:val="22"/>
        </w:rPr>
        <w:t>: </w:t>
      </w:r>
      <w:hyperlink r:id="rId10" w:history="1">
        <w:r w:rsidR="00B27B3C" w:rsidRPr="007076FE">
          <w:rPr>
            <w:rStyle w:val="Hyperlink"/>
            <w:rFonts w:ascii="Arial" w:hAnsi="Arial" w:cs="Arial"/>
            <w:sz w:val="22"/>
            <w:szCs w:val="22"/>
          </w:rPr>
          <w:t>mariceashe@gmail.com</w:t>
        </w:r>
      </w:hyperlink>
      <w:r w:rsidR="00B27B3C">
        <w:rPr>
          <w:rFonts w:ascii="Arial" w:hAnsi="Arial" w:cs="Arial"/>
          <w:color w:val="4472C4" w:themeColor="accent1"/>
          <w:sz w:val="22"/>
          <w:szCs w:val="22"/>
        </w:rPr>
        <w:t xml:space="preserve"> and </w:t>
      </w:r>
      <w:hyperlink r:id="rId11" w:history="1">
        <w:r w:rsidR="00B27B3C" w:rsidRPr="007076FE">
          <w:rPr>
            <w:rStyle w:val="Hyperlink"/>
            <w:rFonts w:ascii="Arial" w:hAnsi="Arial" w:cs="Arial"/>
            <w:sz w:val="22"/>
            <w:szCs w:val="22"/>
          </w:rPr>
          <w:t>sugarman@law.berkeley.edu</w:t>
        </w:r>
      </w:hyperlink>
      <w:r w:rsidR="00B27B3C">
        <w:rPr>
          <w:rFonts w:ascii="Arial" w:hAnsi="Arial" w:cs="Arial"/>
          <w:color w:val="4472C4" w:themeColor="accent1"/>
          <w:sz w:val="22"/>
          <w:szCs w:val="22"/>
        </w:rPr>
        <w:t xml:space="preserve"> </w:t>
      </w:r>
      <w:r w:rsidRPr="00713112">
        <w:rPr>
          <w:rFonts w:ascii="Arial" w:hAnsi="Arial" w:cs="Arial"/>
          <w:color w:val="4472C4" w:themeColor="accent1"/>
          <w:sz w:val="22"/>
          <w:szCs w:val="22"/>
        </w:rPr>
        <w:t xml:space="preserve"> </w:t>
      </w:r>
    </w:p>
    <w:p w14:paraId="45C46271" w14:textId="07BCE42C" w:rsidR="00713112" w:rsidRPr="00713112" w:rsidRDefault="00713112" w:rsidP="00713112">
      <w:pPr>
        <w:rPr>
          <w:color w:val="4472C4" w:themeColor="accent1"/>
        </w:rPr>
      </w:pPr>
      <w:r w:rsidRPr="00713112">
        <w:rPr>
          <w:rFonts w:ascii="Arial" w:hAnsi="Arial" w:cs="Arial"/>
          <w:color w:val="000000"/>
          <w:sz w:val="22"/>
          <w:szCs w:val="22"/>
        </w:rPr>
        <w:t xml:space="preserve">Phone:  </w:t>
      </w:r>
      <w:r w:rsidR="00B27B3C">
        <w:rPr>
          <w:rFonts w:ascii="Arial" w:hAnsi="Arial" w:cs="Arial"/>
          <w:color w:val="000000"/>
          <w:sz w:val="22"/>
          <w:szCs w:val="22"/>
        </w:rPr>
        <w:t xml:space="preserve">510-847-1655 </w:t>
      </w:r>
    </w:p>
    <w:p w14:paraId="1A015F98" w14:textId="26CDA77C" w:rsidR="00713112" w:rsidRPr="00713112" w:rsidRDefault="00713112" w:rsidP="00713112">
      <w:pPr>
        <w:rPr>
          <w:color w:val="4472C4" w:themeColor="accent1"/>
        </w:rPr>
      </w:pPr>
      <w:r w:rsidRPr="00713112">
        <w:rPr>
          <w:rFonts w:ascii="Arial" w:hAnsi="Arial" w:cs="Arial"/>
          <w:color w:val="000000"/>
          <w:sz w:val="22"/>
          <w:szCs w:val="22"/>
        </w:rPr>
        <w:t xml:space="preserve">Zoom Meeting Room ID: </w:t>
      </w:r>
      <w:r>
        <w:rPr>
          <w:rFonts w:ascii="Arial" w:hAnsi="Arial" w:cs="Arial"/>
          <w:color w:val="000000"/>
          <w:sz w:val="22"/>
          <w:szCs w:val="22"/>
        </w:rPr>
        <w:t xml:space="preserve"> </w:t>
      </w:r>
      <w:r w:rsidR="005106E8">
        <w:rPr>
          <w:rFonts w:ascii="Arial" w:hAnsi="Arial" w:cs="Arial"/>
          <w:color w:val="000000"/>
          <w:sz w:val="22"/>
          <w:szCs w:val="22"/>
        </w:rPr>
        <w:t>TBD</w:t>
      </w:r>
      <w:r w:rsidR="001F0BAE" w:rsidRPr="005106E8">
        <w:rPr>
          <w:rFonts w:ascii="Arial" w:hAnsi="Arial" w:cs="Arial"/>
          <w:color w:val="4472C4" w:themeColor="accent1"/>
          <w:sz w:val="22"/>
          <w:szCs w:val="22"/>
        </w:rPr>
        <w:t>.</w:t>
      </w:r>
    </w:p>
    <w:p w14:paraId="1EA87234" w14:textId="7C9B56F4" w:rsidR="00713112" w:rsidRPr="00713112" w:rsidRDefault="5507A810" w:rsidP="5507A810">
      <w:pPr>
        <w:rPr>
          <w:rFonts w:ascii="Arial" w:eastAsia="Arial" w:hAnsi="Arial" w:cs="Arial"/>
          <w:sz w:val="22"/>
          <w:szCs w:val="22"/>
        </w:rPr>
      </w:pPr>
      <w:r w:rsidRPr="5507A810">
        <w:rPr>
          <w:rFonts w:ascii="Arial" w:hAnsi="Arial" w:cs="Arial"/>
          <w:color w:val="000000" w:themeColor="text1"/>
          <w:sz w:val="22"/>
          <w:szCs w:val="22"/>
        </w:rPr>
        <w:t xml:space="preserve">Virtual Office Hours:  </w:t>
      </w:r>
      <w:r w:rsidR="00B27B3C">
        <w:rPr>
          <w:rFonts w:ascii="Arial" w:hAnsi="Arial" w:cs="Arial"/>
          <w:color w:val="000000" w:themeColor="text1"/>
          <w:sz w:val="22"/>
          <w:szCs w:val="22"/>
        </w:rPr>
        <w:t xml:space="preserve">TBD depending on what day/time the course will be offered. </w:t>
      </w:r>
    </w:p>
    <w:p w14:paraId="3F31E9DE" w14:textId="77777777" w:rsidR="00713112" w:rsidRPr="000A5727" w:rsidRDefault="00713112" w:rsidP="000A5727">
      <w:pPr>
        <w:pStyle w:val="Heading2"/>
      </w:pPr>
      <w:r w:rsidRPr="000A5727">
        <w:t>Course Information </w:t>
      </w:r>
    </w:p>
    <w:p w14:paraId="78E5AD3B" w14:textId="6D890E71" w:rsidR="00713112" w:rsidRPr="00713112" w:rsidRDefault="00713112" w:rsidP="00713112">
      <w:pPr>
        <w:rPr>
          <w:color w:val="4472C4" w:themeColor="accent1"/>
        </w:rPr>
      </w:pPr>
      <w:r w:rsidRPr="00713112">
        <w:rPr>
          <w:rFonts w:ascii="Arial" w:hAnsi="Arial" w:cs="Arial"/>
          <w:color w:val="000000"/>
          <w:sz w:val="22"/>
          <w:szCs w:val="22"/>
        </w:rPr>
        <w:t>Meetings:</w:t>
      </w:r>
      <w:r w:rsidR="00EC0FF8">
        <w:rPr>
          <w:rFonts w:ascii="Arial" w:hAnsi="Arial" w:cs="Arial"/>
          <w:color w:val="000000"/>
          <w:sz w:val="22"/>
          <w:szCs w:val="22"/>
        </w:rPr>
        <w:t xml:space="preserve">  </w:t>
      </w:r>
      <w:r w:rsidR="00E55442" w:rsidRPr="005106E8">
        <w:rPr>
          <w:rFonts w:ascii="Arial" w:hAnsi="Arial" w:cs="Arial"/>
          <w:color w:val="000000"/>
          <w:sz w:val="22"/>
          <w:szCs w:val="22"/>
        </w:rPr>
        <w:t>TBD</w:t>
      </w:r>
    </w:p>
    <w:p w14:paraId="3F207991" w14:textId="42D8F0E8" w:rsidR="00713112" w:rsidRDefault="00713112" w:rsidP="00713112">
      <w:pPr>
        <w:rPr>
          <w:color w:val="4472C4" w:themeColor="accent1"/>
        </w:rPr>
      </w:pPr>
      <w:r w:rsidRPr="00713112">
        <w:rPr>
          <w:rFonts w:ascii="Arial" w:hAnsi="Arial" w:cs="Arial"/>
          <w:color w:val="000000"/>
          <w:sz w:val="22"/>
          <w:szCs w:val="22"/>
        </w:rPr>
        <w:t>Zoom ID:</w:t>
      </w:r>
      <w:r w:rsidR="00EC0FF8">
        <w:rPr>
          <w:rFonts w:ascii="Arial" w:hAnsi="Arial" w:cs="Arial"/>
          <w:color w:val="000000"/>
          <w:sz w:val="22"/>
          <w:szCs w:val="22"/>
        </w:rPr>
        <w:t xml:space="preserve"> </w:t>
      </w:r>
      <w:r w:rsidR="005106E8">
        <w:rPr>
          <w:rFonts w:ascii="Arial" w:hAnsi="Arial" w:cs="Arial"/>
          <w:color w:val="000000"/>
          <w:sz w:val="22"/>
          <w:szCs w:val="22"/>
        </w:rPr>
        <w:t xml:space="preserve"> TBD</w:t>
      </w:r>
      <w:r w:rsidR="00EC0FF8">
        <w:rPr>
          <w:rFonts w:ascii="Arial" w:hAnsi="Arial" w:cs="Arial"/>
          <w:color w:val="000000"/>
          <w:sz w:val="22"/>
          <w:szCs w:val="22"/>
        </w:rPr>
        <w:t xml:space="preserve"> </w:t>
      </w:r>
    </w:p>
    <w:p w14:paraId="6D163EF3" w14:textId="77777777" w:rsidR="001F0BAE" w:rsidRPr="001F0BAE" w:rsidRDefault="001F0BAE" w:rsidP="00713112">
      <w:pPr>
        <w:rPr>
          <w:color w:val="4472C4" w:themeColor="accent1"/>
        </w:rPr>
      </w:pPr>
    </w:p>
    <w:p w14:paraId="50AF6FCA" w14:textId="0B9AF252" w:rsidR="00713112" w:rsidRPr="00713112" w:rsidRDefault="00713112" w:rsidP="00713112">
      <w:pPr>
        <w:rPr>
          <w:color w:val="4472C4" w:themeColor="accent1"/>
        </w:rPr>
      </w:pPr>
      <w:r w:rsidRPr="00713112">
        <w:rPr>
          <w:rFonts w:ascii="Arial" w:hAnsi="Arial" w:cs="Arial"/>
          <w:color w:val="000000"/>
          <w:sz w:val="22"/>
          <w:szCs w:val="22"/>
        </w:rPr>
        <w:t xml:space="preserve">Prerequisites or Co-requisites: </w:t>
      </w:r>
      <w:r w:rsidR="00EC0FF8">
        <w:rPr>
          <w:rFonts w:ascii="Arial" w:hAnsi="Arial" w:cs="Arial"/>
          <w:color w:val="000000"/>
          <w:sz w:val="22"/>
          <w:szCs w:val="22"/>
        </w:rPr>
        <w:t xml:space="preserve"> </w:t>
      </w:r>
      <w:r w:rsidR="00E55442">
        <w:rPr>
          <w:rFonts w:ascii="Arial" w:hAnsi="Arial" w:cs="Arial"/>
          <w:color w:val="000000"/>
          <w:sz w:val="22"/>
          <w:szCs w:val="22"/>
        </w:rPr>
        <w:t>None</w:t>
      </w:r>
    </w:p>
    <w:p w14:paraId="75607837" w14:textId="77777777" w:rsidR="00713112" w:rsidRPr="00713112" w:rsidRDefault="00713112" w:rsidP="00713112"/>
    <w:p w14:paraId="10F0BC09" w14:textId="3BDD1D7F" w:rsidR="00713112" w:rsidRPr="00713112" w:rsidRDefault="00713112" w:rsidP="00713112">
      <w:pPr>
        <w:rPr>
          <w:color w:val="4472C4" w:themeColor="accent1"/>
        </w:rPr>
      </w:pPr>
      <w:r w:rsidRPr="00713112">
        <w:rPr>
          <w:rFonts w:ascii="Arial" w:hAnsi="Arial" w:cs="Arial"/>
          <w:color w:val="000000"/>
          <w:sz w:val="22"/>
          <w:szCs w:val="22"/>
        </w:rPr>
        <w:t xml:space="preserve">Units: </w:t>
      </w:r>
      <w:r w:rsidR="00E55442">
        <w:rPr>
          <w:rFonts w:ascii="Arial" w:hAnsi="Arial" w:cs="Arial"/>
          <w:color w:val="000000"/>
          <w:sz w:val="22"/>
          <w:szCs w:val="22"/>
        </w:rPr>
        <w:t>3</w:t>
      </w:r>
    </w:p>
    <w:p w14:paraId="7E6A6807" w14:textId="77777777" w:rsidR="00713112" w:rsidRPr="00713112" w:rsidRDefault="00713112" w:rsidP="00713112"/>
    <w:p w14:paraId="5325CEAD" w14:textId="78E7BFBA" w:rsidR="00713112" w:rsidRPr="000A5727" w:rsidRDefault="00AA5F72" w:rsidP="000A5727">
      <w:pPr>
        <w:pStyle w:val="Heading2"/>
      </w:pPr>
      <w:r>
        <w:br w:type="page"/>
      </w:r>
      <w:r w:rsidR="00AF50F7">
        <w:lastRenderedPageBreak/>
        <w:t>Textbook/Course Materials</w:t>
      </w:r>
    </w:p>
    <w:p w14:paraId="6558184E" w14:textId="77777777" w:rsidR="00EE4F43" w:rsidRPr="00EE4F43" w:rsidRDefault="00EE4F43" w:rsidP="00EE4F43">
      <w:pPr>
        <w:rPr>
          <w:rFonts w:ascii="Arial" w:hAnsi="Arial" w:cs="Arial"/>
          <w:sz w:val="22"/>
          <w:szCs w:val="22"/>
        </w:rPr>
      </w:pPr>
      <w:r w:rsidRPr="00EE4F43">
        <w:rPr>
          <w:rFonts w:ascii="Arial" w:hAnsi="Arial" w:cs="Arial"/>
          <w:sz w:val="22"/>
          <w:szCs w:val="22"/>
        </w:rPr>
        <w:t xml:space="preserve">The textbook is Scott Burris et al., The New Public Health Law: A Transdisciplinary Approach to Practice and Advocacy (2018). Unless otherwise noted, all additional course materials will be on </w:t>
      </w:r>
      <w:proofErr w:type="spellStart"/>
      <w:r w:rsidRPr="00EE4F43">
        <w:rPr>
          <w:rFonts w:ascii="Arial" w:hAnsi="Arial" w:cs="Arial"/>
          <w:sz w:val="22"/>
          <w:szCs w:val="22"/>
        </w:rPr>
        <w:t>bCourses</w:t>
      </w:r>
      <w:proofErr w:type="spellEnd"/>
      <w:r w:rsidRPr="00EE4F43">
        <w:rPr>
          <w:rFonts w:ascii="Arial" w:hAnsi="Arial" w:cs="Arial"/>
          <w:sz w:val="22"/>
          <w:szCs w:val="22"/>
        </w:rPr>
        <w:t xml:space="preserve"> or via a direct web link. </w:t>
      </w:r>
    </w:p>
    <w:p w14:paraId="1DD8D870" w14:textId="77777777" w:rsidR="00713112" w:rsidRPr="00713112" w:rsidRDefault="00713112" w:rsidP="00713112"/>
    <w:p w14:paraId="22F40ED7" w14:textId="77777777" w:rsidR="00713112" w:rsidRPr="00713112" w:rsidRDefault="00713112" w:rsidP="000A5727">
      <w:pPr>
        <w:pStyle w:val="Heading2"/>
      </w:pPr>
      <w:proofErr w:type="spellStart"/>
      <w:r w:rsidRPr="00713112">
        <w:t>bCourses</w:t>
      </w:r>
      <w:proofErr w:type="spellEnd"/>
      <w:r w:rsidRPr="00713112">
        <w:t> </w:t>
      </w:r>
    </w:p>
    <w:p w14:paraId="686F589A" w14:textId="3E3AB2C9" w:rsidR="00713112" w:rsidRPr="00713112" w:rsidRDefault="00713112" w:rsidP="00713112">
      <w:pPr>
        <w:rPr>
          <w:color w:val="4472C4" w:themeColor="accent1"/>
        </w:rPr>
      </w:pPr>
      <w:r w:rsidRPr="00713112">
        <w:rPr>
          <w:rFonts w:ascii="Arial" w:hAnsi="Arial" w:cs="Arial"/>
          <w:color w:val="000000"/>
          <w:sz w:val="22"/>
          <w:szCs w:val="22"/>
        </w:rPr>
        <w:t xml:space="preserve">Our class </w:t>
      </w:r>
      <w:proofErr w:type="spellStart"/>
      <w:r w:rsidRPr="00713112">
        <w:rPr>
          <w:rFonts w:ascii="Arial" w:hAnsi="Arial" w:cs="Arial"/>
          <w:color w:val="000000"/>
          <w:sz w:val="22"/>
          <w:szCs w:val="22"/>
        </w:rPr>
        <w:t>bCourse</w:t>
      </w:r>
      <w:proofErr w:type="spellEnd"/>
      <w:r w:rsidRPr="00713112">
        <w:rPr>
          <w:rFonts w:ascii="Arial" w:hAnsi="Arial" w:cs="Arial"/>
          <w:color w:val="000000"/>
          <w:sz w:val="22"/>
          <w:szCs w:val="22"/>
        </w:rPr>
        <w:t xml:space="preserve"> site </w:t>
      </w:r>
      <w:r w:rsidRPr="005106E8">
        <w:rPr>
          <w:rFonts w:ascii="Arial" w:hAnsi="Arial" w:cs="Arial"/>
          <w:sz w:val="22"/>
          <w:szCs w:val="22"/>
        </w:rPr>
        <w:t xml:space="preserve">is [add a link to your </w:t>
      </w:r>
      <w:proofErr w:type="spellStart"/>
      <w:r w:rsidRPr="005106E8">
        <w:rPr>
          <w:rFonts w:ascii="Arial" w:hAnsi="Arial" w:cs="Arial"/>
          <w:sz w:val="22"/>
          <w:szCs w:val="22"/>
        </w:rPr>
        <w:t>bCourse</w:t>
      </w:r>
      <w:proofErr w:type="spellEnd"/>
      <w:r w:rsidRPr="005106E8">
        <w:rPr>
          <w:rFonts w:ascii="Arial" w:hAnsi="Arial" w:cs="Arial"/>
          <w:sz w:val="22"/>
          <w:szCs w:val="22"/>
        </w:rPr>
        <w:t xml:space="preserve"> site]. </w:t>
      </w:r>
      <w:r w:rsidR="005106E8" w:rsidRPr="005106E8">
        <w:rPr>
          <w:rFonts w:ascii="Arial" w:hAnsi="Arial" w:cs="Arial"/>
          <w:sz w:val="22"/>
          <w:szCs w:val="22"/>
        </w:rPr>
        <w:t>S</w:t>
      </w:r>
      <w:r w:rsidRPr="005106E8">
        <w:rPr>
          <w:rFonts w:ascii="Arial" w:hAnsi="Arial" w:cs="Arial"/>
          <w:sz w:val="22"/>
          <w:szCs w:val="22"/>
        </w:rPr>
        <w:t xml:space="preserve">tudents should use the site (e.g., checking for relevant announcements, assignments, or updates, participation, etc.). </w:t>
      </w:r>
    </w:p>
    <w:p w14:paraId="12A70A5A" w14:textId="77777777" w:rsidR="00713112" w:rsidRPr="00713112" w:rsidRDefault="00713112" w:rsidP="00713112"/>
    <w:p w14:paraId="2D44E295" w14:textId="77777777" w:rsidR="00713112" w:rsidRPr="00713112" w:rsidRDefault="00713112" w:rsidP="000A5727">
      <w:pPr>
        <w:pStyle w:val="Heading2"/>
      </w:pPr>
      <w:r w:rsidRPr="00713112">
        <w:t>Course Description</w:t>
      </w:r>
    </w:p>
    <w:p w14:paraId="26E0FDAC" w14:textId="77777777" w:rsidR="00EE4F43" w:rsidRPr="00EE4F43" w:rsidRDefault="00EE4F43" w:rsidP="00EE4F43">
      <w:pPr>
        <w:rPr>
          <w:rFonts w:ascii="Arial" w:hAnsi="Arial" w:cs="Arial"/>
          <w:sz w:val="22"/>
          <w:szCs w:val="22"/>
        </w:rPr>
      </w:pPr>
      <w:r w:rsidRPr="00EE4F43">
        <w:rPr>
          <w:rFonts w:ascii="Arial" w:hAnsi="Arial" w:cs="Arial"/>
          <w:sz w:val="22"/>
          <w:szCs w:val="22"/>
        </w:rPr>
        <w:t xml:space="preserve">COVID-19 </w:t>
      </w:r>
      <w:r w:rsidRPr="00EE4F43">
        <w:rPr>
          <w:rFonts w:ascii="Arial" w:hAnsi="Arial" w:cs="Arial"/>
          <w:sz w:val="22"/>
          <w:szCs w:val="22"/>
          <w:shd w:val="clear" w:color="auto" w:fill="FFFFFF"/>
        </w:rPr>
        <w:t xml:space="preserve">and the failure of government agencies to coordinate a national response has shocked the nation and the world.  </w:t>
      </w:r>
      <w:r w:rsidRPr="00EE4F43">
        <w:rPr>
          <w:rFonts w:ascii="Arial" w:hAnsi="Arial" w:cs="Arial"/>
          <w:sz w:val="22"/>
          <w:szCs w:val="22"/>
        </w:rPr>
        <w:t xml:space="preserve">We now see so clearly how health is inextricably linked to the legal authority of federal, state and local governments – including legal and civic structures embedded in structural racism and historic discrimination.  We are learning in real-time how global economics and transportation systems, workplace policies and employee benefits, food systems and retail environments, schools, playgrounds and every aspect of civic life influence health </w:t>
      </w:r>
      <w:proofErr w:type="gramStart"/>
      <w:r w:rsidRPr="00EE4F43">
        <w:rPr>
          <w:rFonts w:ascii="Arial" w:hAnsi="Arial" w:cs="Arial"/>
          <w:sz w:val="22"/>
          <w:szCs w:val="22"/>
        </w:rPr>
        <w:t>outcomes</w:t>
      </w:r>
      <w:proofErr w:type="gramEnd"/>
      <w:r w:rsidRPr="00EE4F43">
        <w:rPr>
          <w:rFonts w:ascii="Arial" w:hAnsi="Arial" w:cs="Arial"/>
          <w:sz w:val="22"/>
          <w:szCs w:val="22"/>
        </w:rPr>
        <w:t xml:space="preserve">.  </w:t>
      </w:r>
    </w:p>
    <w:p w14:paraId="20706F7A" w14:textId="77777777" w:rsidR="00EE4F43" w:rsidRPr="00EE4F43" w:rsidRDefault="00EE4F43" w:rsidP="00EE4F43">
      <w:pPr>
        <w:rPr>
          <w:rFonts w:ascii="Arial" w:hAnsi="Arial" w:cs="Arial"/>
          <w:sz w:val="22"/>
          <w:szCs w:val="22"/>
        </w:rPr>
      </w:pPr>
    </w:p>
    <w:p w14:paraId="14715372" w14:textId="77777777" w:rsidR="00EE4F43" w:rsidRPr="00EE4F43" w:rsidRDefault="00EE4F43" w:rsidP="00EE4F43">
      <w:pPr>
        <w:rPr>
          <w:rFonts w:ascii="Arial" w:hAnsi="Arial" w:cs="Arial"/>
          <w:sz w:val="22"/>
          <w:szCs w:val="22"/>
        </w:rPr>
      </w:pPr>
      <w:r w:rsidRPr="00EE4F43">
        <w:rPr>
          <w:rFonts w:ascii="Arial" w:hAnsi="Arial" w:cs="Arial"/>
          <w:sz w:val="22"/>
          <w:szCs w:val="22"/>
        </w:rPr>
        <w:t>Constitutional law is central to fighting disease from pandemics to chronic diseases like cancer, diabetes and heart disease. Over the past few months, the authority of state and federal governments to protect the public’s health at the expense of individual liberties has never been on greater display: religious services are cancelled, access to family planning is deemed non-essential, extensive restrictions are placed on the right to freely travel and assemble, the ability to earn a living is aggressively curtailed..</w:t>
      </w:r>
    </w:p>
    <w:p w14:paraId="5A9AF1C3" w14:textId="77777777" w:rsidR="00EE4F43" w:rsidRPr="00EE4F43" w:rsidRDefault="00EE4F43" w:rsidP="00EE4F43">
      <w:pPr>
        <w:rPr>
          <w:rFonts w:ascii="Arial" w:hAnsi="Arial" w:cs="Arial"/>
          <w:sz w:val="22"/>
          <w:szCs w:val="22"/>
        </w:rPr>
      </w:pPr>
    </w:p>
    <w:p w14:paraId="0539AC45" w14:textId="45513BC1" w:rsidR="00EE4F43" w:rsidRPr="00EE4F43" w:rsidRDefault="00EE4F43" w:rsidP="00EE4F43">
      <w:pPr>
        <w:rPr>
          <w:rFonts w:ascii="Arial" w:hAnsi="Arial" w:cs="Arial"/>
          <w:sz w:val="22"/>
          <w:szCs w:val="22"/>
        </w:rPr>
      </w:pPr>
      <w:r w:rsidRPr="00EE4F43">
        <w:rPr>
          <w:rFonts w:ascii="Arial" w:hAnsi="Arial" w:cs="Arial"/>
          <w:sz w:val="22"/>
          <w:szCs w:val="22"/>
        </w:rPr>
        <w:t>The strengths and limits of cooperative federalism are daily headlines from the Army and National Guard both providing staffing services to homes for the elderly and disbanding peaceful protests for presidential photo ops, to states competing against each other for basic PPE supplies, and worse. The President of the United States has claimed “total power” and urges protest</w:t>
      </w:r>
      <w:r w:rsidR="004666E2">
        <w:rPr>
          <w:rFonts w:ascii="Arial" w:hAnsi="Arial" w:cs="Arial"/>
          <w:sz w:val="22"/>
          <w:szCs w:val="22"/>
        </w:rPr>
        <w:t>e</w:t>
      </w:r>
      <w:r w:rsidRPr="00EE4F43">
        <w:rPr>
          <w:rFonts w:ascii="Arial" w:hAnsi="Arial" w:cs="Arial"/>
          <w:sz w:val="22"/>
          <w:szCs w:val="22"/>
        </w:rPr>
        <w:t xml:space="preserve">rs to force states and localities to “liberate” their economies. Most critically, we are seeing how systemic inequities create diseases of poverty and vast disparities in health outcomes based on race/ethnicity, income inequality, and political marginalization.  </w:t>
      </w:r>
    </w:p>
    <w:p w14:paraId="10929229" w14:textId="77777777" w:rsidR="00EE4F43" w:rsidRPr="00EE4F43" w:rsidRDefault="00EE4F43" w:rsidP="00EE4F43">
      <w:pPr>
        <w:rPr>
          <w:rFonts w:ascii="Arial" w:hAnsi="Arial" w:cs="Arial"/>
          <w:sz w:val="22"/>
          <w:szCs w:val="22"/>
        </w:rPr>
      </w:pPr>
    </w:p>
    <w:p w14:paraId="61FDE01F" w14:textId="77777777" w:rsidR="00EE4F43" w:rsidRPr="00EE4F43" w:rsidRDefault="00EE4F43" w:rsidP="00EE4F43">
      <w:pPr>
        <w:rPr>
          <w:rFonts w:ascii="Arial" w:hAnsi="Arial" w:cs="Arial"/>
          <w:sz w:val="22"/>
          <w:szCs w:val="22"/>
        </w:rPr>
      </w:pPr>
      <w:r w:rsidRPr="00EE4F43">
        <w:rPr>
          <w:rFonts w:ascii="Arial" w:hAnsi="Arial" w:cs="Arial"/>
          <w:sz w:val="22"/>
          <w:szCs w:val="22"/>
        </w:rPr>
        <w:t xml:space="preserve">This extraordinary list of issues touches on everyday constitutional rights while simultaneously entering largely uncharted legal territory that will be the subject of litigation and legislation for years to come. </w:t>
      </w:r>
    </w:p>
    <w:p w14:paraId="638BEC10" w14:textId="77777777" w:rsidR="00EE4F43" w:rsidRPr="00EE4F43" w:rsidRDefault="00EE4F43" w:rsidP="00EE4F43">
      <w:pPr>
        <w:rPr>
          <w:rFonts w:ascii="Arial" w:hAnsi="Arial" w:cs="Arial"/>
          <w:sz w:val="22"/>
          <w:szCs w:val="22"/>
        </w:rPr>
      </w:pPr>
    </w:p>
    <w:p w14:paraId="09EC03BF" w14:textId="62C11DCA" w:rsidR="00EE4F43" w:rsidRPr="00EE4F43" w:rsidRDefault="00EE4F43" w:rsidP="00EE4F43">
      <w:pPr>
        <w:rPr>
          <w:rFonts w:ascii="Arial" w:hAnsi="Arial" w:cs="Arial"/>
          <w:sz w:val="22"/>
          <w:szCs w:val="22"/>
        </w:rPr>
      </w:pPr>
      <w:r w:rsidRPr="00EE4F43">
        <w:rPr>
          <w:rFonts w:ascii="Arial" w:hAnsi="Arial" w:cs="Arial"/>
          <w:sz w:val="22"/>
          <w:szCs w:val="22"/>
        </w:rPr>
        <w:t xml:space="preserve">The purpose of this course is to provide students with an understanding of how constitutional and administrative law is integrated with science, systems thinking, community organizing and organizational leadership to ensure everyone has the ability to live a healthy and prosperous life. Students interested in social justice lawyering will be exposed to a </w:t>
      </w:r>
      <w:r w:rsidR="005F3D9C">
        <w:rPr>
          <w:rFonts w:ascii="Arial" w:hAnsi="Arial" w:cs="Arial"/>
          <w:sz w:val="22"/>
          <w:szCs w:val="22"/>
        </w:rPr>
        <w:t xml:space="preserve">broad </w:t>
      </w:r>
      <w:r w:rsidRPr="00EE4F43">
        <w:rPr>
          <w:rFonts w:ascii="Arial" w:hAnsi="Arial" w:cs="Arial"/>
          <w:sz w:val="22"/>
          <w:szCs w:val="22"/>
        </w:rPr>
        <w:t>array of legal and scientific concepts and resources that will be central to their legal career regardless of future venue: legal aid offices and other community-based organizations, policy think tanks and government agencies that touch all aspects of civic life, and law firms dedicated to public interest lawyering.</w:t>
      </w:r>
    </w:p>
    <w:p w14:paraId="3E58795F" w14:textId="77777777" w:rsidR="00EE4F43" w:rsidRPr="00EE4F43" w:rsidRDefault="00EE4F43" w:rsidP="00EE4F43">
      <w:pPr>
        <w:rPr>
          <w:rFonts w:ascii="Arial" w:hAnsi="Arial" w:cs="Arial"/>
          <w:sz w:val="22"/>
          <w:szCs w:val="22"/>
        </w:rPr>
      </w:pPr>
    </w:p>
    <w:p w14:paraId="63351A2F" w14:textId="77777777" w:rsidR="00EE4F43" w:rsidRPr="00EE4F43" w:rsidRDefault="00EE4F43" w:rsidP="00EE4F43">
      <w:pPr>
        <w:rPr>
          <w:rFonts w:ascii="Arial" w:hAnsi="Arial" w:cs="Arial"/>
          <w:sz w:val="22"/>
          <w:szCs w:val="22"/>
        </w:rPr>
      </w:pPr>
      <w:r w:rsidRPr="00EE4F43">
        <w:rPr>
          <w:rFonts w:ascii="Arial" w:hAnsi="Arial" w:cs="Arial"/>
          <w:sz w:val="22"/>
          <w:szCs w:val="22"/>
        </w:rPr>
        <w:t>Students will learn how to integrate core legal theory with fundamental public health principles and will understand how to shape laws and policies to further the public’s health. They will be immersed in legal and policy strategies to redress inequalities and promote health equity. Students will study legal and public health theory, simulate responses to real world problems, and practice proactive legal and policy leadership to prevent and manage both emergent pathogens and ubiquitous chronic diseases resulting from systemic racism and historic discrimination that result in preventable death and disability.</w:t>
      </w:r>
    </w:p>
    <w:p w14:paraId="3118A37A" w14:textId="77777777" w:rsidR="00713112" w:rsidRPr="00713112" w:rsidRDefault="00713112" w:rsidP="00713112"/>
    <w:p w14:paraId="194452DE" w14:textId="4F32ED32" w:rsidR="00713112" w:rsidRPr="00713112" w:rsidRDefault="58C5563E" w:rsidP="00713112">
      <w:r w:rsidRPr="58C5563E">
        <w:rPr>
          <w:rFonts w:ascii="Arial" w:hAnsi="Arial" w:cs="Arial"/>
          <w:color w:val="000000" w:themeColor="text1"/>
          <w:sz w:val="22"/>
          <w:szCs w:val="22"/>
        </w:rPr>
        <w:t xml:space="preserve">Class meetings will be offered online via web conference with Zoom at </w:t>
      </w:r>
      <w:r w:rsidR="005F3D9C">
        <w:rPr>
          <w:rFonts w:ascii="Arial" w:hAnsi="Arial" w:cs="Arial"/>
          <w:color w:val="000000" w:themeColor="text1"/>
          <w:sz w:val="22"/>
          <w:szCs w:val="22"/>
        </w:rPr>
        <w:t>[insert]. We</w:t>
      </w:r>
      <w:r w:rsidRPr="58C5563E">
        <w:rPr>
          <w:rFonts w:ascii="Arial" w:hAnsi="Arial" w:cs="Arial"/>
          <w:color w:val="000000" w:themeColor="text1"/>
          <w:sz w:val="22"/>
          <w:szCs w:val="22"/>
        </w:rPr>
        <w:t xml:space="preserve"> will record each meeting and post it on </w:t>
      </w:r>
      <w:proofErr w:type="spellStart"/>
      <w:r w:rsidRPr="58C5563E">
        <w:rPr>
          <w:rFonts w:ascii="Arial" w:hAnsi="Arial" w:cs="Arial"/>
          <w:sz w:val="22"/>
          <w:szCs w:val="22"/>
        </w:rPr>
        <w:t>bCourses</w:t>
      </w:r>
      <w:proofErr w:type="spellEnd"/>
      <w:r w:rsidRPr="58C5563E">
        <w:rPr>
          <w:rFonts w:ascii="Arial" w:hAnsi="Arial" w:cs="Arial"/>
          <w:sz w:val="22"/>
          <w:szCs w:val="22"/>
        </w:rPr>
        <w:t xml:space="preserve">. </w:t>
      </w:r>
      <w:r w:rsidRPr="58C5563E">
        <w:rPr>
          <w:rFonts w:ascii="Arial" w:hAnsi="Arial" w:cs="Arial"/>
          <w:color w:val="000000" w:themeColor="text1"/>
          <w:sz w:val="22"/>
          <w:szCs w:val="22"/>
        </w:rPr>
        <w:t xml:space="preserve">You are strongly encouraged to attend classes live on Zoom, which will provide the most engaging and enriching experience. If you are unable to attend in real-time, you should provide </w:t>
      </w:r>
      <w:r w:rsidR="005F3D9C">
        <w:rPr>
          <w:rFonts w:ascii="Arial" w:hAnsi="Arial" w:cs="Arial"/>
          <w:color w:val="000000" w:themeColor="text1"/>
          <w:sz w:val="22"/>
          <w:szCs w:val="22"/>
        </w:rPr>
        <w:t>the instructors</w:t>
      </w:r>
      <w:r w:rsidRPr="58C5563E">
        <w:rPr>
          <w:rFonts w:ascii="Arial" w:hAnsi="Arial" w:cs="Arial"/>
          <w:color w:val="000000" w:themeColor="text1"/>
          <w:sz w:val="22"/>
          <w:szCs w:val="22"/>
        </w:rPr>
        <w:t xml:space="preserve"> with timely advance notice (or subsequent notice of an unanticipated emergency). As a substitute for real-time attendance and participation, you will be required to </w:t>
      </w:r>
      <w:r w:rsidR="005F3D9C">
        <w:rPr>
          <w:rFonts w:ascii="Arial" w:hAnsi="Arial" w:cs="Arial"/>
          <w:color w:val="000000" w:themeColor="text1"/>
          <w:sz w:val="22"/>
          <w:szCs w:val="22"/>
        </w:rPr>
        <w:t xml:space="preserve">answer a series of questions that are responsive to the readings and the recorded class content. </w:t>
      </w:r>
    </w:p>
    <w:p w14:paraId="6D2BD66D" w14:textId="77777777" w:rsidR="00713112" w:rsidRPr="00713112" w:rsidRDefault="00713112" w:rsidP="00713112"/>
    <w:p w14:paraId="22B311B7" w14:textId="2C8FE202" w:rsidR="00713112" w:rsidRDefault="00713112" w:rsidP="00AA5F72">
      <w:pPr>
        <w:rPr>
          <w:color w:val="4472C4" w:themeColor="accent1"/>
        </w:rPr>
      </w:pPr>
      <w:r w:rsidRPr="00713112">
        <w:rPr>
          <w:rFonts w:ascii="Arial" w:hAnsi="Arial" w:cs="Arial"/>
          <w:color w:val="000000"/>
          <w:sz w:val="22"/>
          <w:szCs w:val="22"/>
        </w:rPr>
        <w:t xml:space="preserve">Regardless of your mode of attendance and participation, you are responsible for all content covered in each class meeting. </w:t>
      </w:r>
      <w:r w:rsidRPr="00876D50">
        <w:rPr>
          <w:rFonts w:ascii="Arial" w:hAnsi="Arial" w:cs="Arial"/>
          <w:sz w:val="22"/>
          <w:szCs w:val="22"/>
        </w:rPr>
        <w:t xml:space="preserve">This class combines lecture, exercises, polls, small-group discussions on Zoom, and </w:t>
      </w:r>
      <w:r w:rsidRPr="005F3D9C">
        <w:rPr>
          <w:rFonts w:ascii="Arial" w:hAnsi="Arial" w:cs="Arial"/>
          <w:sz w:val="22"/>
          <w:szCs w:val="22"/>
        </w:rPr>
        <w:t xml:space="preserve">discussion forums on </w:t>
      </w:r>
      <w:proofErr w:type="spellStart"/>
      <w:r w:rsidRPr="005F3D9C">
        <w:rPr>
          <w:rFonts w:ascii="Arial" w:hAnsi="Arial" w:cs="Arial"/>
          <w:sz w:val="22"/>
          <w:szCs w:val="22"/>
        </w:rPr>
        <w:t>bCourses</w:t>
      </w:r>
      <w:proofErr w:type="spellEnd"/>
      <w:r w:rsidRPr="005F3D9C">
        <w:rPr>
          <w:rFonts w:ascii="Arial" w:hAnsi="Arial" w:cs="Arial"/>
          <w:sz w:val="22"/>
          <w:szCs w:val="22"/>
        </w:rPr>
        <w:t>.</w:t>
      </w:r>
    </w:p>
    <w:p w14:paraId="3D2C31B5" w14:textId="77777777" w:rsidR="00AA5F72" w:rsidRPr="00713112" w:rsidRDefault="00AA5F72" w:rsidP="00AA5F72">
      <w:pPr>
        <w:rPr>
          <w:color w:val="4472C4" w:themeColor="accent1"/>
        </w:rPr>
      </w:pPr>
    </w:p>
    <w:p w14:paraId="4ABB507A" w14:textId="77777777" w:rsidR="00713112" w:rsidRPr="00713112" w:rsidRDefault="00713112" w:rsidP="000A5727">
      <w:pPr>
        <w:pStyle w:val="Heading2"/>
      </w:pPr>
      <w:r w:rsidRPr="00713112">
        <w:t>Learning Outcomes </w:t>
      </w:r>
    </w:p>
    <w:p w14:paraId="427EA050" w14:textId="77777777" w:rsidR="00713112" w:rsidRPr="00713112" w:rsidRDefault="00713112" w:rsidP="00713112"/>
    <w:p w14:paraId="562ED674" w14:textId="77777777" w:rsidR="00876D50" w:rsidRDefault="00713112" w:rsidP="00AA5F72">
      <w:pPr>
        <w:rPr>
          <w:rFonts w:ascii="Arial" w:hAnsi="Arial" w:cs="Arial"/>
          <w:color w:val="000000"/>
          <w:sz w:val="22"/>
          <w:szCs w:val="22"/>
        </w:rPr>
      </w:pPr>
      <w:r w:rsidRPr="00713112">
        <w:rPr>
          <w:rFonts w:ascii="Arial" w:hAnsi="Arial" w:cs="Arial"/>
          <w:color w:val="000000"/>
          <w:sz w:val="22"/>
          <w:szCs w:val="22"/>
        </w:rPr>
        <w:t>Students in the course will be expected to achieve the following Berkeley Law Learning Outcomes:</w:t>
      </w:r>
    </w:p>
    <w:p w14:paraId="5DE6170D" w14:textId="291A844A" w:rsidR="00876D50" w:rsidRPr="00876D50" w:rsidRDefault="00876D50" w:rsidP="00152F9F">
      <w:pPr>
        <w:pStyle w:val="ListParagraph"/>
        <w:numPr>
          <w:ilvl w:val="0"/>
          <w:numId w:val="2"/>
        </w:numPr>
      </w:pPr>
      <w:r w:rsidRPr="00BF34BF">
        <w:rPr>
          <w:rFonts w:ascii="Arial" w:hAnsi="Arial" w:cs="Arial"/>
          <w:sz w:val="22"/>
          <w:szCs w:val="22"/>
        </w:rPr>
        <w:t>Knowledge and understanding of substantive and procedural law; </w:t>
      </w:r>
    </w:p>
    <w:p w14:paraId="5F0F31AD" w14:textId="4E63DBAF" w:rsidR="00876D50" w:rsidRPr="00876D50" w:rsidRDefault="00876D50" w:rsidP="00152F9F">
      <w:pPr>
        <w:pStyle w:val="ListParagraph"/>
        <w:numPr>
          <w:ilvl w:val="0"/>
          <w:numId w:val="2"/>
        </w:numPr>
      </w:pPr>
      <w:r w:rsidRPr="00BF34BF">
        <w:rPr>
          <w:rFonts w:ascii="Arial" w:hAnsi="Arial" w:cs="Arial"/>
          <w:sz w:val="22"/>
          <w:szCs w:val="22"/>
        </w:rPr>
        <w:t>Legal analysis and reasoning, problem-solving, and written communication in the legal context; </w:t>
      </w:r>
    </w:p>
    <w:p w14:paraId="2481C42E" w14:textId="3942B6D5" w:rsidR="00876D50" w:rsidRPr="00876D50" w:rsidRDefault="00876D50" w:rsidP="00152F9F">
      <w:pPr>
        <w:pStyle w:val="ListParagraph"/>
        <w:numPr>
          <w:ilvl w:val="0"/>
          <w:numId w:val="2"/>
        </w:numPr>
      </w:pPr>
      <w:r w:rsidRPr="00BF34BF">
        <w:rPr>
          <w:rFonts w:ascii="Arial" w:hAnsi="Arial" w:cs="Arial"/>
          <w:sz w:val="22"/>
          <w:szCs w:val="22"/>
        </w:rPr>
        <w:t>Other professional skills needed for competent and ethical participation as a member of the legal profession; and</w:t>
      </w:r>
    </w:p>
    <w:p w14:paraId="214FCCCA" w14:textId="3366D8BF" w:rsidR="00876D50" w:rsidRPr="00876D50" w:rsidRDefault="00876D50" w:rsidP="00152F9F">
      <w:pPr>
        <w:pStyle w:val="ListParagraph"/>
        <w:numPr>
          <w:ilvl w:val="0"/>
          <w:numId w:val="2"/>
        </w:numPr>
      </w:pPr>
      <w:r w:rsidRPr="00BF34BF">
        <w:rPr>
          <w:rFonts w:ascii="Arial" w:hAnsi="Arial" w:cs="Arial"/>
          <w:sz w:val="22"/>
          <w:szCs w:val="22"/>
        </w:rPr>
        <w:t>Using the law to solve real-world problems and to create a more just society.</w:t>
      </w:r>
    </w:p>
    <w:p w14:paraId="262A6F6C" w14:textId="7B441600" w:rsidR="00AA5F72" w:rsidRPr="00713112" w:rsidRDefault="00713112" w:rsidP="00AA5F72">
      <w:pPr>
        <w:rPr>
          <w:color w:val="4472C4" w:themeColor="accent1"/>
        </w:rPr>
      </w:pPr>
      <w:r w:rsidRPr="00713112">
        <w:rPr>
          <w:rFonts w:ascii="Arial" w:hAnsi="Arial" w:cs="Arial"/>
          <w:color w:val="000000"/>
          <w:sz w:val="22"/>
          <w:szCs w:val="22"/>
        </w:rPr>
        <w:t xml:space="preserve"> </w:t>
      </w:r>
    </w:p>
    <w:p w14:paraId="65EF105A" w14:textId="2FCFDD0D" w:rsidR="00713112" w:rsidRPr="001F0BAE" w:rsidRDefault="00713112" w:rsidP="00AF50F7">
      <w:pPr>
        <w:pStyle w:val="Heading2"/>
      </w:pPr>
      <w:r w:rsidRPr="001F0BAE">
        <w:t>Course-Specific Learning Outcomes</w:t>
      </w:r>
    </w:p>
    <w:p w14:paraId="54600AC5" w14:textId="77777777" w:rsidR="00876D50" w:rsidRPr="00876D50" w:rsidRDefault="00876D50" w:rsidP="00876D50">
      <w:pPr>
        <w:rPr>
          <w:rFonts w:ascii="Arial" w:hAnsi="Arial" w:cs="Arial"/>
          <w:sz w:val="22"/>
          <w:szCs w:val="22"/>
        </w:rPr>
      </w:pPr>
      <w:r w:rsidRPr="00876D50">
        <w:rPr>
          <w:rFonts w:ascii="Arial" w:hAnsi="Arial" w:cs="Arial"/>
          <w:sz w:val="22"/>
          <w:szCs w:val="22"/>
        </w:rPr>
        <w:t>By the end of the class, students will:</w:t>
      </w:r>
    </w:p>
    <w:p w14:paraId="038A199C" w14:textId="77777777" w:rsidR="00876D50" w:rsidRPr="00876D50" w:rsidRDefault="00876D50" w:rsidP="00152F9F">
      <w:pPr>
        <w:pStyle w:val="ListParagraph"/>
        <w:numPr>
          <w:ilvl w:val="0"/>
          <w:numId w:val="1"/>
        </w:numPr>
        <w:rPr>
          <w:rFonts w:ascii="Arial" w:hAnsi="Arial" w:cs="Arial"/>
          <w:sz w:val="22"/>
          <w:szCs w:val="22"/>
        </w:rPr>
      </w:pPr>
      <w:r w:rsidRPr="00876D50">
        <w:rPr>
          <w:rFonts w:ascii="Arial" w:hAnsi="Arial" w:cs="Arial"/>
          <w:sz w:val="22"/>
          <w:szCs w:val="22"/>
        </w:rPr>
        <w:t>Understand core theories and practices of public health law.</w:t>
      </w:r>
    </w:p>
    <w:p w14:paraId="64053AAE" w14:textId="77777777" w:rsidR="00876D50" w:rsidRPr="00876D50" w:rsidRDefault="00876D50" w:rsidP="00152F9F">
      <w:pPr>
        <w:pStyle w:val="ListParagraph"/>
        <w:numPr>
          <w:ilvl w:val="0"/>
          <w:numId w:val="1"/>
        </w:numPr>
        <w:rPr>
          <w:rFonts w:ascii="Arial" w:hAnsi="Arial" w:cs="Arial"/>
          <w:sz w:val="22"/>
          <w:szCs w:val="22"/>
        </w:rPr>
      </w:pPr>
      <w:r w:rsidRPr="00876D50">
        <w:rPr>
          <w:rFonts w:ascii="Arial" w:hAnsi="Arial" w:cs="Arial"/>
          <w:sz w:val="22"/>
          <w:szCs w:val="22"/>
        </w:rPr>
        <w:t>Apply and critique these theories and practices to solve every day public health challenges.</w:t>
      </w:r>
    </w:p>
    <w:p w14:paraId="37A90A37" w14:textId="0C0B6AA7" w:rsidR="00876D50" w:rsidRPr="00876D50" w:rsidRDefault="00876D50" w:rsidP="00152F9F">
      <w:pPr>
        <w:pStyle w:val="ListParagraph"/>
        <w:numPr>
          <w:ilvl w:val="0"/>
          <w:numId w:val="1"/>
        </w:numPr>
        <w:rPr>
          <w:rFonts w:ascii="Arial" w:hAnsi="Arial" w:cs="Arial"/>
          <w:sz w:val="22"/>
          <w:szCs w:val="22"/>
        </w:rPr>
      </w:pPr>
      <w:r w:rsidRPr="00876D50">
        <w:rPr>
          <w:rFonts w:ascii="Arial" w:hAnsi="Arial" w:cs="Arial"/>
          <w:sz w:val="22"/>
          <w:szCs w:val="22"/>
        </w:rPr>
        <w:t xml:space="preserve">Explore and critique strategies for using public health law to promote </w:t>
      </w:r>
      <w:r>
        <w:rPr>
          <w:rFonts w:ascii="Arial" w:hAnsi="Arial" w:cs="Arial"/>
          <w:sz w:val="22"/>
          <w:szCs w:val="22"/>
        </w:rPr>
        <w:t xml:space="preserve">racial and </w:t>
      </w:r>
      <w:r w:rsidRPr="00876D50">
        <w:rPr>
          <w:rFonts w:ascii="Arial" w:hAnsi="Arial" w:cs="Arial"/>
          <w:sz w:val="22"/>
          <w:szCs w:val="22"/>
        </w:rPr>
        <w:t>health equity.</w:t>
      </w:r>
    </w:p>
    <w:p w14:paraId="6AF9B41F" w14:textId="77777777" w:rsidR="00876D50" w:rsidRPr="00876D50" w:rsidRDefault="00876D50" w:rsidP="00152F9F">
      <w:pPr>
        <w:pStyle w:val="ListParagraph"/>
        <w:numPr>
          <w:ilvl w:val="0"/>
          <w:numId w:val="1"/>
        </w:numPr>
        <w:rPr>
          <w:rFonts w:ascii="Arial" w:hAnsi="Arial" w:cs="Arial"/>
          <w:sz w:val="22"/>
          <w:szCs w:val="22"/>
        </w:rPr>
      </w:pPr>
      <w:r w:rsidRPr="00876D50">
        <w:rPr>
          <w:rFonts w:ascii="Arial" w:hAnsi="Arial" w:cs="Arial"/>
          <w:sz w:val="22"/>
          <w:szCs w:val="22"/>
        </w:rPr>
        <w:t>Practice statutory analysis across a range of public health issues.</w:t>
      </w:r>
    </w:p>
    <w:p w14:paraId="088008CB" w14:textId="77777777" w:rsidR="00876D50" w:rsidRPr="00876D50" w:rsidRDefault="00876D50" w:rsidP="00152F9F">
      <w:pPr>
        <w:pStyle w:val="ListParagraph"/>
        <w:numPr>
          <w:ilvl w:val="0"/>
          <w:numId w:val="1"/>
        </w:numPr>
        <w:rPr>
          <w:rFonts w:ascii="Arial" w:hAnsi="Arial" w:cs="Arial"/>
          <w:sz w:val="22"/>
          <w:szCs w:val="22"/>
        </w:rPr>
      </w:pPr>
      <w:r w:rsidRPr="00876D50">
        <w:rPr>
          <w:rFonts w:ascii="Arial" w:hAnsi="Arial" w:cs="Arial"/>
          <w:sz w:val="22"/>
          <w:szCs w:val="22"/>
        </w:rPr>
        <w:t>Work in cross-disciplinary teams to analyze and address complex social problems.</w:t>
      </w:r>
    </w:p>
    <w:p w14:paraId="508D0761" w14:textId="77777777" w:rsidR="00713112" w:rsidRPr="00713112" w:rsidRDefault="00713112" w:rsidP="00713112">
      <w:pPr>
        <w:rPr>
          <w:color w:val="4472C4" w:themeColor="accent1"/>
        </w:rPr>
      </w:pPr>
    </w:p>
    <w:p w14:paraId="4D60EFBA" w14:textId="77777777" w:rsidR="00713112" w:rsidRPr="00713112" w:rsidRDefault="00713112" w:rsidP="000A5727">
      <w:pPr>
        <w:pStyle w:val="Heading2"/>
      </w:pPr>
      <w:r w:rsidRPr="00713112">
        <w:t>Remote Instruction Guidelines</w:t>
      </w:r>
    </w:p>
    <w:p w14:paraId="25AD582C" w14:textId="470604B3" w:rsidR="00713112" w:rsidRPr="00713112" w:rsidRDefault="00713112" w:rsidP="00713112">
      <w:pPr>
        <w:rPr>
          <w:color w:val="4472C4" w:themeColor="accent1"/>
        </w:rPr>
      </w:pPr>
    </w:p>
    <w:p w14:paraId="061C6675" w14:textId="77777777" w:rsidR="00713112" w:rsidRPr="00BF34BF" w:rsidRDefault="00713112" w:rsidP="00713112">
      <w:pPr>
        <w:rPr>
          <w:rFonts w:ascii="Arial" w:hAnsi="Arial" w:cs="Arial"/>
          <w:sz w:val="22"/>
          <w:szCs w:val="22"/>
        </w:rPr>
      </w:pPr>
      <w:r w:rsidRPr="00BF34BF">
        <w:rPr>
          <w:rFonts w:ascii="Arial" w:hAnsi="Arial" w:cs="Arial"/>
          <w:sz w:val="22"/>
          <w:szCs w:val="22"/>
        </w:rPr>
        <w:t>The relevant skills to participate in remote instruction are not only technology skills. You also need to exercise good communication, judgment, and professionalism. To that end, please follow these recommendations for conduct in remote classes on Zoom: </w:t>
      </w:r>
    </w:p>
    <w:p w14:paraId="0A933B26" w14:textId="0E297EF8" w:rsidR="00713112" w:rsidRPr="00BF34BF" w:rsidRDefault="00713112" w:rsidP="00152F9F">
      <w:pPr>
        <w:pStyle w:val="ListParagraph"/>
        <w:numPr>
          <w:ilvl w:val="0"/>
          <w:numId w:val="3"/>
        </w:numPr>
        <w:ind w:left="270" w:hanging="270"/>
        <w:rPr>
          <w:rFonts w:ascii="Arial" w:hAnsi="Arial" w:cs="Arial"/>
          <w:sz w:val="22"/>
          <w:szCs w:val="22"/>
        </w:rPr>
      </w:pPr>
      <w:r w:rsidRPr="00BF34BF">
        <w:rPr>
          <w:rFonts w:ascii="Arial" w:hAnsi="Arial" w:cs="Arial"/>
          <w:sz w:val="22"/>
          <w:szCs w:val="22"/>
        </w:rPr>
        <w:t xml:space="preserve">Your ability to engage meaningfully with your instructor and classmates, exercising the full range of your communication skills, will be enhanced if you can talk to each other and see each other. I realize that this will not always be possible for a variety of reasons. But please use video when it is possible, unless I </w:t>
      </w:r>
      <w:r w:rsidR="00ED7856" w:rsidRPr="00BF34BF">
        <w:rPr>
          <w:rFonts w:ascii="Arial" w:hAnsi="Arial" w:cs="Arial"/>
          <w:sz w:val="22"/>
          <w:szCs w:val="22"/>
        </w:rPr>
        <w:t>give other</w:t>
      </w:r>
      <w:r w:rsidRPr="00BF34BF">
        <w:rPr>
          <w:rFonts w:ascii="Arial" w:hAnsi="Arial" w:cs="Arial"/>
          <w:sz w:val="22"/>
          <w:szCs w:val="22"/>
        </w:rPr>
        <w:t xml:space="preserve"> instructions.</w:t>
      </w:r>
    </w:p>
    <w:p w14:paraId="4D50CD76" w14:textId="762BFC98" w:rsidR="00713112" w:rsidRPr="00BF34BF" w:rsidRDefault="00713112" w:rsidP="00152F9F">
      <w:pPr>
        <w:pStyle w:val="ListParagraph"/>
        <w:numPr>
          <w:ilvl w:val="0"/>
          <w:numId w:val="3"/>
        </w:numPr>
        <w:ind w:left="270" w:hanging="270"/>
        <w:rPr>
          <w:rFonts w:ascii="Arial" w:hAnsi="Arial" w:cs="Arial"/>
          <w:sz w:val="22"/>
          <w:szCs w:val="22"/>
        </w:rPr>
      </w:pPr>
      <w:r w:rsidRPr="00BF34BF">
        <w:rPr>
          <w:rFonts w:ascii="Arial" w:hAnsi="Arial" w:cs="Arial"/>
          <w:sz w:val="22"/>
          <w:szCs w:val="22"/>
        </w:rPr>
        <w:t xml:space="preserve">The benefits of video will be compromised if your background is distracting. If you can’t avoid being in a place with distractions in the background, consider using a </w:t>
      </w:r>
      <w:hyperlink r:id="rId12" w:history="1">
        <w:r w:rsidRPr="00BF34BF">
          <w:rPr>
            <w:rStyle w:val="Hyperlink"/>
            <w:rFonts w:ascii="Arial" w:hAnsi="Arial" w:cs="Arial"/>
            <w:color w:val="auto"/>
            <w:sz w:val="22"/>
            <w:szCs w:val="22"/>
          </w:rPr>
          <w:t>virtual background</w:t>
        </w:r>
      </w:hyperlink>
      <w:r w:rsidRPr="00BF34BF">
        <w:rPr>
          <w:rFonts w:ascii="Arial" w:hAnsi="Arial" w:cs="Arial"/>
          <w:sz w:val="22"/>
          <w:szCs w:val="22"/>
        </w:rPr>
        <w:t xml:space="preserve">. </w:t>
      </w:r>
    </w:p>
    <w:p w14:paraId="2FE70B99" w14:textId="738B922F" w:rsidR="00713112" w:rsidRPr="00BF34BF" w:rsidRDefault="00713112" w:rsidP="00152F9F">
      <w:pPr>
        <w:pStyle w:val="ListParagraph"/>
        <w:numPr>
          <w:ilvl w:val="0"/>
          <w:numId w:val="3"/>
        </w:numPr>
        <w:ind w:left="270" w:hanging="270"/>
        <w:rPr>
          <w:rFonts w:ascii="Arial" w:hAnsi="Arial" w:cs="Arial"/>
          <w:sz w:val="22"/>
          <w:szCs w:val="22"/>
        </w:rPr>
      </w:pPr>
      <w:r w:rsidRPr="00BF34BF">
        <w:rPr>
          <w:rFonts w:ascii="Arial" w:hAnsi="Arial" w:cs="Arial"/>
          <w:sz w:val="22"/>
          <w:szCs w:val="22"/>
        </w:rPr>
        <w:t>Along the same lines, try to present yourself with the same professionalism you bring to in-person classes. In other words: wear appropriate clothes and sit upright facing your screen as you would face the instructor in class.</w:t>
      </w:r>
    </w:p>
    <w:p w14:paraId="4DB4BD5B" w14:textId="303DAC4B" w:rsidR="00713112" w:rsidRPr="00BF34BF" w:rsidRDefault="00713112" w:rsidP="00152F9F">
      <w:pPr>
        <w:pStyle w:val="ListParagraph"/>
        <w:numPr>
          <w:ilvl w:val="0"/>
          <w:numId w:val="3"/>
        </w:numPr>
        <w:ind w:left="270" w:hanging="270"/>
        <w:rPr>
          <w:rFonts w:ascii="Arial" w:hAnsi="Arial" w:cs="Arial"/>
          <w:sz w:val="22"/>
          <w:szCs w:val="22"/>
        </w:rPr>
      </w:pPr>
      <w:r w:rsidRPr="00BF34BF">
        <w:rPr>
          <w:rFonts w:ascii="Arial" w:hAnsi="Arial" w:cs="Arial"/>
          <w:sz w:val="22"/>
          <w:szCs w:val="22"/>
        </w:rPr>
        <w:t xml:space="preserve">Note that recordings of Zoom classes typically capture images of participants, screen-shared material, and a transcript of all chats that are displayed to the meeting host. So (1) all of your participation should be class-appropriate (i.e. avoid snarky comments in the chat); (2) you must not distribute </w:t>
      </w:r>
      <w:r w:rsidR="00C91861" w:rsidRPr="00BF34BF">
        <w:rPr>
          <w:rFonts w:ascii="Arial" w:hAnsi="Arial" w:cs="Arial"/>
          <w:sz w:val="22"/>
          <w:szCs w:val="22"/>
        </w:rPr>
        <w:t xml:space="preserve">class recordings (including video, audio, or screenshots). </w:t>
      </w:r>
    </w:p>
    <w:p w14:paraId="29D11E8E" w14:textId="19B3B6CC" w:rsidR="00713112" w:rsidRPr="00BF34BF" w:rsidRDefault="00713112" w:rsidP="00152F9F">
      <w:pPr>
        <w:pStyle w:val="ListParagraph"/>
        <w:numPr>
          <w:ilvl w:val="0"/>
          <w:numId w:val="3"/>
        </w:numPr>
        <w:ind w:left="270" w:hanging="270"/>
        <w:rPr>
          <w:rFonts w:ascii="Arial" w:hAnsi="Arial" w:cs="Arial"/>
          <w:sz w:val="22"/>
          <w:szCs w:val="22"/>
        </w:rPr>
      </w:pPr>
      <w:r w:rsidRPr="00BF34BF">
        <w:rPr>
          <w:rFonts w:ascii="Arial" w:hAnsi="Arial" w:cs="Arial"/>
          <w:sz w:val="22"/>
          <w:szCs w:val="22"/>
        </w:rPr>
        <w:t>Do not share your screen with the class unless instructed to do so by me.</w:t>
      </w:r>
    </w:p>
    <w:p w14:paraId="568E06E6" w14:textId="714B5C8F" w:rsidR="00713112" w:rsidRPr="00BF34BF" w:rsidRDefault="00713112" w:rsidP="00152F9F">
      <w:pPr>
        <w:pStyle w:val="ListParagraph"/>
        <w:numPr>
          <w:ilvl w:val="0"/>
          <w:numId w:val="3"/>
        </w:numPr>
        <w:ind w:left="270" w:hanging="270"/>
        <w:rPr>
          <w:rFonts w:ascii="Arial" w:hAnsi="Arial" w:cs="Arial"/>
          <w:sz w:val="22"/>
          <w:szCs w:val="22"/>
        </w:rPr>
      </w:pPr>
      <w:r w:rsidRPr="00BF34BF">
        <w:rPr>
          <w:rFonts w:ascii="Arial" w:hAnsi="Arial" w:cs="Arial"/>
          <w:sz w:val="22"/>
          <w:szCs w:val="22"/>
        </w:rPr>
        <w:t>Keep yourself on “mute” when you are not speaking. This will help to minimize background noise for everyone.</w:t>
      </w:r>
    </w:p>
    <w:p w14:paraId="21AB932D" w14:textId="55159C86" w:rsidR="00713112" w:rsidRPr="00BF34BF" w:rsidRDefault="00713112" w:rsidP="00152F9F">
      <w:pPr>
        <w:pStyle w:val="ListParagraph"/>
        <w:numPr>
          <w:ilvl w:val="0"/>
          <w:numId w:val="3"/>
        </w:numPr>
        <w:ind w:left="270" w:hanging="270"/>
        <w:rPr>
          <w:rFonts w:ascii="Arial" w:hAnsi="Arial" w:cs="Arial"/>
          <w:sz w:val="22"/>
          <w:szCs w:val="22"/>
        </w:rPr>
      </w:pPr>
      <w:r w:rsidRPr="00BF34BF">
        <w:rPr>
          <w:rFonts w:ascii="Arial" w:hAnsi="Arial" w:cs="Arial"/>
          <w:sz w:val="22"/>
          <w:szCs w:val="22"/>
        </w:rPr>
        <w:t>When you would like to speak in class, use the “raise hand” function in the “participants” pane. Then, wait for me to call on you before speaking. </w:t>
      </w:r>
    </w:p>
    <w:p w14:paraId="20815750" w14:textId="77777777" w:rsidR="00713112" w:rsidRPr="00713112" w:rsidRDefault="00713112" w:rsidP="00713112">
      <w:pPr>
        <w:rPr>
          <w:color w:val="4472C4" w:themeColor="accent1"/>
        </w:rPr>
      </w:pPr>
    </w:p>
    <w:p w14:paraId="6F415E7F" w14:textId="77777777" w:rsidR="00713112" w:rsidRPr="00713112" w:rsidRDefault="00713112" w:rsidP="000A5727">
      <w:pPr>
        <w:pStyle w:val="Heading2"/>
      </w:pPr>
      <w:r w:rsidRPr="00713112">
        <w:t>Student Technology Help</w:t>
      </w:r>
    </w:p>
    <w:p w14:paraId="39D33409" w14:textId="77777777" w:rsidR="00713112" w:rsidRPr="00713112" w:rsidRDefault="00713112" w:rsidP="00713112">
      <w:r w:rsidRPr="00713112">
        <w:rPr>
          <w:rFonts w:ascii="Arial" w:hAnsi="Arial" w:cs="Arial"/>
          <w:color w:val="000000"/>
          <w:sz w:val="22"/>
          <w:szCs w:val="22"/>
        </w:rPr>
        <w:t>If technical difficulties prevent you from completing course work, please alert me immediately. However, understand that I cannot assist you with technical problems. Please use the technical support resources described below. Be sure to document (save emails and transaction numbers) for all interactions with tech support.</w:t>
      </w:r>
    </w:p>
    <w:p w14:paraId="76800785" w14:textId="77777777" w:rsidR="00713112" w:rsidRPr="00713112" w:rsidRDefault="00713112" w:rsidP="00713112"/>
    <w:p w14:paraId="28AD79BF" w14:textId="123C1D6D" w:rsidR="00713112" w:rsidRPr="00713112" w:rsidRDefault="00713112" w:rsidP="00713112">
      <w:r w:rsidRPr="00713112">
        <w:rPr>
          <w:rFonts w:ascii="Arial" w:hAnsi="Arial" w:cs="Arial"/>
          <w:color w:val="000000"/>
          <w:sz w:val="22"/>
          <w:szCs w:val="22"/>
        </w:rPr>
        <w:t xml:space="preserve">Berkeley Law students are entitled to general software support for their computers from the law school, and certain free software downloads from UC Berkeley, while enrolled.  If </w:t>
      </w:r>
      <w:r w:rsidR="00803554">
        <w:rPr>
          <w:rFonts w:ascii="Arial" w:hAnsi="Arial" w:cs="Arial"/>
          <w:color w:val="000000"/>
          <w:sz w:val="22"/>
          <w:szCs w:val="22"/>
        </w:rPr>
        <w:t>you</w:t>
      </w:r>
      <w:r w:rsidRPr="00713112">
        <w:rPr>
          <w:rFonts w:ascii="Arial" w:hAnsi="Arial" w:cs="Arial"/>
          <w:color w:val="000000"/>
          <w:sz w:val="22"/>
          <w:szCs w:val="22"/>
        </w:rPr>
        <w:t xml:space="preserve"> have issues with internet access or computer equipment required to participate in classes remotely, they should contact </w:t>
      </w:r>
      <w:hyperlink r:id="rId13" w:history="1">
        <w:r w:rsidRPr="00713112">
          <w:rPr>
            <w:rFonts w:ascii="Arial" w:hAnsi="Arial" w:cs="Arial"/>
            <w:color w:val="1155CC"/>
            <w:sz w:val="22"/>
            <w:szCs w:val="22"/>
            <w:u w:val="single"/>
          </w:rPr>
          <w:t>studentcomputing@law.berkeley.edu</w:t>
        </w:r>
      </w:hyperlink>
      <w:r w:rsidRPr="00713112">
        <w:rPr>
          <w:rFonts w:ascii="Arial" w:hAnsi="Arial" w:cs="Arial"/>
          <w:color w:val="000000"/>
          <w:sz w:val="22"/>
          <w:szCs w:val="22"/>
        </w:rPr>
        <w:t xml:space="preserve">. Information, links, and instructions for many common computer/technical questions can be found in the </w:t>
      </w:r>
      <w:hyperlink r:id="rId14" w:history="1">
        <w:r w:rsidRPr="00A16254">
          <w:rPr>
            <w:rStyle w:val="Hyperlink"/>
            <w:rFonts w:ascii="Arial" w:hAnsi="Arial" w:cs="Arial"/>
            <w:sz w:val="22"/>
            <w:szCs w:val="22"/>
          </w:rPr>
          <w:t>law l</w:t>
        </w:r>
        <w:r w:rsidR="00A16254" w:rsidRPr="00A16254">
          <w:rPr>
            <w:rStyle w:val="Hyperlink"/>
            <w:rFonts w:ascii="Arial" w:hAnsi="Arial" w:cs="Arial"/>
            <w:sz w:val="22"/>
            <w:szCs w:val="22"/>
          </w:rPr>
          <w:t>ibrary's online computing guide</w:t>
        </w:r>
      </w:hyperlink>
      <w:r w:rsidRPr="00713112">
        <w:rPr>
          <w:rFonts w:ascii="Arial" w:hAnsi="Arial" w:cs="Arial"/>
          <w:color w:val="000000"/>
          <w:sz w:val="22"/>
          <w:szCs w:val="22"/>
        </w:rPr>
        <w:t>. </w:t>
      </w:r>
    </w:p>
    <w:p w14:paraId="17958F9C" w14:textId="77777777" w:rsidR="000F791F" w:rsidRDefault="000F791F" w:rsidP="00713112">
      <w:pPr>
        <w:rPr>
          <w:rFonts w:ascii="Arial" w:hAnsi="Arial" w:cs="Arial"/>
          <w:color w:val="000000"/>
          <w:sz w:val="22"/>
          <w:szCs w:val="22"/>
        </w:rPr>
      </w:pPr>
    </w:p>
    <w:p w14:paraId="222454C1" w14:textId="6785EB02" w:rsidR="00713112" w:rsidRPr="00713112" w:rsidRDefault="00713112" w:rsidP="00713112">
      <w:r w:rsidRPr="00713112">
        <w:rPr>
          <w:rFonts w:ascii="Arial" w:hAnsi="Arial" w:cs="Arial"/>
          <w:color w:val="000000"/>
          <w:sz w:val="22"/>
          <w:szCs w:val="22"/>
        </w:rPr>
        <w:t xml:space="preserve">For </w:t>
      </w:r>
      <w:proofErr w:type="spellStart"/>
      <w:r w:rsidRPr="00713112">
        <w:rPr>
          <w:rFonts w:ascii="Arial" w:hAnsi="Arial" w:cs="Arial"/>
          <w:color w:val="000000"/>
          <w:sz w:val="22"/>
          <w:szCs w:val="22"/>
        </w:rPr>
        <w:t>bCourses</w:t>
      </w:r>
      <w:proofErr w:type="spellEnd"/>
      <w:r w:rsidRPr="00713112">
        <w:rPr>
          <w:rFonts w:ascii="Arial" w:hAnsi="Arial" w:cs="Arial"/>
          <w:color w:val="000000"/>
          <w:sz w:val="22"/>
          <w:szCs w:val="22"/>
        </w:rPr>
        <w:t xml:space="preserve">, Zoom, and technical support questions, please email </w:t>
      </w:r>
      <w:hyperlink r:id="rId15" w:history="1">
        <w:r w:rsidRPr="00713112">
          <w:rPr>
            <w:rFonts w:ascii="Arial" w:hAnsi="Arial" w:cs="Arial"/>
            <w:color w:val="1155CC"/>
            <w:sz w:val="22"/>
            <w:szCs w:val="22"/>
            <w:u w:val="single"/>
          </w:rPr>
          <w:t>studentcomputing@law.berkeley.edu</w:t>
        </w:r>
      </w:hyperlink>
      <w:r w:rsidRPr="00713112">
        <w:rPr>
          <w:rFonts w:ascii="Arial" w:hAnsi="Arial" w:cs="Arial"/>
          <w:color w:val="000000"/>
          <w:sz w:val="22"/>
          <w:szCs w:val="22"/>
        </w:rPr>
        <w:t xml:space="preserve"> or you can</w:t>
      </w:r>
      <w:r w:rsidR="00A16254">
        <w:rPr>
          <w:rFonts w:ascii="Arial" w:hAnsi="Arial" w:cs="Arial"/>
          <w:color w:val="000000"/>
          <w:sz w:val="22"/>
          <w:szCs w:val="22"/>
        </w:rPr>
        <w:t xml:space="preserve"> use the </w:t>
      </w:r>
      <w:hyperlink r:id="rId16" w:history="1">
        <w:r w:rsidR="00A16254" w:rsidRPr="00A16254">
          <w:rPr>
            <w:rStyle w:val="Hyperlink"/>
            <w:rFonts w:ascii="Arial" w:hAnsi="Arial" w:cs="Arial"/>
            <w:sz w:val="22"/>
            <w:szCs w:val="22"/>
          </w:rPr>
          <w:t>Student Computing chat</w:t>
        </w:r>
      </w:hyperlink>
      <w:r w:rsidRPr="00713112">
        <w:rPr>
          <w:rFonts w:ascii="Arial" w:hAnsi="Arial" w:cs="Arial"/>
          <w:color w:val="000000"/>
          <w:sz w:val="22"/>
          <w:szCs w:val="22"/>
        </w:rPr>
        <w:t>. In both cases, someone will respond to you during our regular business hours.</w:t>
      </w:r>
      <w:r w:rsidRPr="00713112">
        <w:rPr>
          <w:rFonts w:ascii="Arial" w:hAnsi="Arial" w:cs="Arial"/>
          <w:color w:val="000000"/>
          <w:sz w:val="22"/>
          <w:szCs w:val="22"/>
        </w:rPr>
        <w:br/>
      </w:r>
    </w:p>
    <w:p w14:paraId="73914796" w14:textId="615CF81B" w:rsidR="00713112" w:rsidRPr="00713112" w:rsidRDefault="00713112" w:rsidP="00713112">
      <w:r w:rsidRPr="00713112">
        <w:rPr>
          <w:rFonts w:ascii="Arial" w:hAnsi="Arial" w:cs="Arial"/>
          <w:color w:val="000000"/>
          <w:sz w:val="22"/>
          <w:szCs w:val="22"/>
        </w:rPr>
        <w:t>If you have research-related questions, please contact the reference librar</w:t>
      </w:r>
      <w:r w:rsidR="00A16254">
        <w:rPr>
          <w:rFonts w:ascii="Arial" w:hAnsi="Arial" w:cs="Arial"/>
          <w:color w:val="000000"/>
          <w:sz w:val="22"/>
          <w:szCs w:val="22"/>
        </w:rPr>
        <w:t xml:space="preserve">ians by filling out the </w:t>
      </w:r>
      <w:hyperlink r:id="rId17" w:history="1">
        <w:r w:rsidR="00A16254" w:rsidRPr="00A16254">
          <w:rPr>
            <w:rStyle w:val="Hyperlink"/>
            <w:rFonts w:ascii="Arial" w:hAnsi="Arial" w:cs="Arial"/>
            <w:sz w:val="22"/>
            <w:szCs w:val="22"/>
          </w:rPr>
          <w:t>reference request form</w:t>
        </w:r>
      </w:hyperlink>
      <w:r w:rsidRPr="00713112">
        <w:rPr>
          <w:rFonts w:ascii="Arial" w:hAnsi="Arial" w:cs="Arial"/>
          <w:color w:val="000000"/>
          <w:sz w:val="22"/>
          <w:szCs w:val="22"/>
        </w:rPr>
        <w:t>.</w:t>
      </w:r>
      <w:r w:rsidR="00A16254">
        <w:t xml:space="preserve"> </w:t>
      </w:r>
      <w:r w:rsidRPr="00713112">
        <w:rPr>
          <w:rFonts w:ascii="Arial" w:hAnsi="Arial" w:cs="Arial"/>
          <w:color w:val="000000"/>
          <w:sz w:val="22"/>
          <w:szCs w:val="22"/>
        </w:rPr>
        <w:t xml:space="preserve">You can also reach reference librarians during business </w:t>
      </w:r>
      <w:r w:rsidR="00A16254">
        <w:rPr>
          <w:rFonts w:ascii="Arial" w:hAnsi="Arial" w:cs="Arial"/>
          <w:color w:val="000000"/>
          <w:sz w:val="22"/>
          <w:szCs w:val="22"/>
        </w:rPr>
        <w:t xml:space="preserve">hours by using the </w:t>
      </w:r>
      <w:hyperlink r:id="rId18" w:history="1">
        <w:r w:rsidR="00A16254" w:rsidRPr="00A16254">
          <w:rPr>
            <w:rStyle w:val="Hyperlink"/>
            <w:rFonts w:ascii="Arial" w:hAnsi="Arial" w:cs="Arial"/>
            <w:sz w:val="22"/>
            <w:szCs w:val="22"/>
          </w:rPr>
          <w:t>law library’s chat service</w:t>
        </w:r>
      </w:hyperlink>
      <w:r w:rsidR="00A16254">
        <w:rPr>
          <w:rFonts w:ascii="Arial" w:hAnsi="Arial" w:cs="Arial"/>
          <w:color w:val="000000"/>
          <w:sz w:val="22"/>
          <w:szCs w:val="22"/>
        </w:rPr>
        <w:t>.</w:t>
      </w:r>
    </w:p>
    <w:p w14:paraId="27742DCB" w14:textId="77777777" w:rsidR="00713112" w:rsidRPr="00713112" w:rsidRDefault="00713112" w:rsidP="00713112"/>
    <w:p w14:paraId="2F0D9898" w14:textId="0410806E" w:rsidR="00713112" w:rsidRPr="00713112" w:rsidRDefault="00713112" w:rsidP="000A5727">
      <w:pPr>
        <w:pStyle w:val="Heading2"/>
      </w:pPr>
      <w:r w:rsidRPr="005106E8">
        <w:t>Assignments/Exams/Experiential Exercises/Papers/Projects</w:t>
      </w:r>
    </w:p>
    <w:p w14:paraId="6805E1BD" w14:textId="77777777" w:rsidR="00524491" w:rsidRDefault="5507A810" w:rsidP="00713112">
      <w:pPr>
        <w:rPr>
          <w:rFonts w:ascii="Arial" w:hAnsi="Arial" w:cs="Arial"/>
          <w:color w:val="000000" w:themeColor="text1"/>
          <w:sz w:val="22"/>
          <w:szCs w:val="22"/>
        </w:rPr>
      </w:pPr>
      <w:r w:rsidRPr="5507A810">
        <w:rPr>
          <w:rFonts w:ascii="Arial" w:hAnsi="Arial" w:cs="Arial"/>
          <w:color w:val="000000" w:themeColor="text1"/>
          <w:sz w:val="22"/>
          <w:szCs w:val="22"/>
        </w:rPr>
        <w:t>Students will be evaluated in the following areas:</w:t>
      </w:r>
    </w:p>
    <w:p w14:paraId="7711B307" w14:textId="77777777" w:rsidR="00AB3CEA" w:rsidRDefault="00AB3CEA" w:rsidP="00524491">
      <w:pPr>
        <w:rPr>
          <w:rFonts w:ascii="Arial" w:hAnsi="Arial" w:cs="Arial"/>
          <w:sz w:val="22"/>
          <w:szCs w:val="22"/>
        </w:rPr>
      </w:pPr>
    </w:p>
    <w:p w14:paraId="3D205453" w14:textId="3EC7251A" w:rsidR="00524491" w:rsidRPr="00524491" w:rsidRDefault="00524491" w:rsidP="00524491">
      <w:pPr>
        <w:rPr>
          <w:rFonts w:ascii="Arial" w:hAnsi="Arial" w:cs="Arial"/>
          <w:sz w:val="22"/>
          <w:szCs w:val="22"/>
        </w:rPr>
      </w:pPr>
      <w:r w:rsidRPr="00524491">
        <w:rPr>
          <w:rFonts w:ascii="Arial" w:hAnsi="Arial" w:cs="Arial"/>
          <w:sz w:val="22"/>
          <w:szCs w:val="22"/>
        </w:rPr>
        <w:t xml:space="preserve">Each student will be evaluated based on his/her/their written assignments and on class participation.  Written assignments include one memo due </w:t>
      </w:r>
      <w:r w:rsidRPr="005106E8">
        <w:rPr>
          <w:rFonts w:ascii="Arial" w:hAnsi="Arial" w:cs="Arial"/>
          <w:sz w:val="22"/>
          <w:szCs w:val="22"/>
        </w:rPr>
        <w:t>on week x and a final paper that builds on the analysis developed in the memo due on Wednesday, May 19</w:t>
      </w:r>
      <w:r w:rsidRPr="005106E8">
        <w:rPr>
          <w:rFonts w:ascii="Arial" w:hAnsi="Arial" w:cs="Arial"/>
          <w:sz w:val="22"/>
          <w:szCs w:val="22"/>
          <w:vertAlign w:val="superscript"/>
        </w:rPr>
        <w:t>th</w:t>
      </w:r>
      <w:r w:rsidRPr="005106E8">
        <w:rPr>
          <w:rFonts w:ascii="Arial" w:hAnsi="Arial" w:cs="Arial"/>
          <w:sz w:val="22"/>
          <w:szCs w:val="22"/>
        </w:rPr>
        <w:t>. The</w:t>
      </w:r>
      <w:r w:rsidRPr="00524491">
        <w:rPr>
          <w:rFonts w:ascii="Arial" w:hAnsi="Arial" w:cs="Arial"/>
          <w:sz w:val="22"/>
          <w:szCs w:val="22"/>
        </w:rPr>
        <w:t xml:space="preserve"> memo and final paper are described more fully below and together they satisfy the Option 1 writing requirement. Class participation includes</w:t>
      </w:r>
      <w:r w:rsidR="00AB3CEA">
        <w:rPr>
          <w:rFonts w:ascii="Arial" w:hAnsi="Arial" w:cs="Arial"/>
          <w:sz w:val="22"/>
          <w:szCs w:val="22"/>
        </w:rPr>
        <w:t xml:space="preserve"> attendance at every class, and </w:t>
      </w:r>
      <w:r w:rsidRPr="00524491">
        <w:rPr>
          <w:rFonts w:ascii="Arial" w:hAnsi="Arial" w:cs="Arial"/>
          <w:sz w:val="22"/>
          <w:szCs w:val="22"/>
        </w:rPr>
        <w:t>active engagement in class discussions and in small group activities</w:t>
      </w:r>
      <w:r w:rsidR="00AB3CEA">
        <w:rPr>
          <w:rFonts w:ascii="Arial" w:hAnsi="Arial" w:cs="Arial"/>
          <w:sz w:val="22"/>
          <w:szCs w:val="22"/>
        </w:rPr>
        <w:t>.</w:t>
      </w:r>
      <w:r w:rsidRPr="00524491">
        <w:rPr>
          <w:rFonts w:ascii="Arial" w:hAnsi="Arial" w:cs="Arial"/>
          <w:sz w:val="22"/>
          <w:szCs w:val="22"/>
        </w:rPr>
        <w:t xml:space="preserve"> </w:t>
      </w:r>
    </w:p>
    <w:p w14:paraId="1C4FD1BE" w14:textId="77777777" w:rsidR="00524491" w:rsidRPr="00524491" w:rsidRDefault="00524491" w:rsidP="00524491">
      <w:pPr>
        <w:rPr>
          <w:rFonts w:ascii="Arial" w:hAnsi="Arial" w:cs="Arial"/>
          <w:sz w:val="22"/>
          <w:szCs w:val="22"/>
        </w:rPr>
      </w:pPr>
    </w:p>
    <w:p w14:paraId="3D2E147B" w14:textId="4292CBB3" w:rsidR="00524491" w:rsidRPr="00524491" w:rsidRDefault="00524491" w:rsidP="00524491">
      <w:pPr>
        <w:rPr>
          <w:rFonts w:ascii="Arial" w:hAnsi="Arial" w:cs="Arial"/>
          <w:sz w:val="22"/>
          <w:szCs w:val="22"/>
        </w:rPr>
      </w:pPr>
      <w:r w:rsidRPr="00524491">
        <w:rPr>
          <w:rFonts w:ascii="Arial" w:hAnsi="Arial" w:cs="Arial"/>
          <w:sz w:val="22"/>
          <w:szCs w:val="22"/>
        </w:rPr>
        <w:t>The memo should be no more than 5 pages (not including endnotes), double spaced, 12</w:t>
      </w:r>
      <w:r w:rsidR="00AB3CEA">
        <w:rPr>
          <w:rFonts w:ascii="Arial" w:hAnsi="Arial" w:cs="Arial"/>
          <w:sz w:val="22"/>
          <w:szCs w:val="22"/>
        </w:rPr>
        <w:t>-</w:t>
      </w:r>
      <w:r w:rsidRPr="00524491">
        <w:rPr>
          <w:rFonts w:ascii="Arial" w:hAnsi="Arial" w:cs="Arial"/>
          <w:sz w:val="22"/>
          <w:szCs w:val="22"/>
        </w:rPr>
        <w:t xml:space="preserve">point font, 1-inch margins. It can be on any public health topic of your choice that is preapproved by the instructor. First, select a geographic area that you want to study that corresponds to a specific political jurisdiction (state, tribe, county, city/town). Second, select a specific preventable disease such as COVID-19, heart disease, diabetes, asthma, lead poisoning, etc. Third, identify one or more social determinants of health such as housing, transportation, income inequality, education, voting rights, etc. that, if addressed, will help to prevent that disease.  This </w:t>
      </w:r>
      <w:hyperlink r:id="rId19" w:history="1">
        <w:r w:rsidRPr="00524491">
          <w:rPr>
            <w:rStyle w:val="Hyperlink"/>
            <w:rFonts w:ascii="Arial" w:hAnsi="Arial" w:cs="Arial"/>
            <w:sz w:val="22"/>
            <w:szCs w:val="22"/>
          </w:rPr>
          <w:t xml:space="preserve">list from </w:t>
        </w:r>
        <w:proofErr w:type="spellStart"/>
        <w:r w:rsidRPr="00524491">
          <w:rPr>
            <w:rStyle w:val="Hyperlink"/>
            <w:rFonts w:ascii="Arial" w:hAnsi="Arial" w:cs="Arial"/>
            <w:sz w:val="22"/>
            <w:szCs w:val="22"/>
          </w:rPr>
          <w:t>Salud</w:t>
        </w:r>
        <w:proofErr w:type="spellEnd"/>
        <w:r w:rsidRPr="00524491">
          <w:rPr>
            <w:rStyle w:val="Hyperlink"/>
            <w:rFonts w:ascii="Arial" w:hAnsi="Arial" w:cs="Arial"/>
            <w:sz w:val="22"/>
            <w:szCs w:val="22"/>
          </w:rPr>
          <w:t xml:space="preserve"> America!</w:t>
        </w:r>
      </w:hyperlink>
      <w:r w:rsidRPr="00524491">
        <w:rPr>
          <w:rFonts w:ascii="Arial" w:hAnsi="Arial" w:cs="Arial"/>
          <w:sz w:val="22"/>
          <w:szCs w:val="22"/>
        </w:rPr>
        <w:t xml:space="preserve"> gives a sense of possible topics, but you are not limited to those ideas. </w:t>
      </w:r>
    </w:p>
    <w:p w14:paraId="2BD47DD7" w14:textId="77777777" w:rsidR="00524491" w:rsidRPr="00524491" w:rsidRDefault="00524491" w:rsidP="00524491">
      <w:pPr>
        <w:rPr>
          <w:rFonts w:ascii="Arial" w:hAnsi="Arial" w:cs="Arial"/>
          <w:sz w:val="22"/>
          <w:szCs w:val="22"/>
        </w:rPr>
      </w:pPr>
    </w:p>
    <w:p w14:paraId="11EC5BB4" w14:textId="77777777" w:rsidR="00524491" w:rsidRPr="00524491" w:rsidRDefault="00524491" w:rsidP="00524491">
      <w:pPr>
        <w:rPr>
          <w:rFonts w:ascii="Arial" w:hAnsi="Arial" w:cs="Arial"/>
          <w:sz w:val="22"/>
          <w:szCs w:val="22"/>
        </w:rPr>
      </w:pPr>
      <w:r w:rsidRPr="00524491">
        <w:rPr>
          <w:rFonts w:ascii="Arial" w:hAnsi="Arial" w:cs="Arial"/>
          <w:sz w:val="22"/>
          <w:szCs w:val="22"/>
        </w:rPr>
        <w:t xml:space="preserve">The memo will be addressed to a policy maker (e.g., elected official or government agency director) or the executive director of a community-based advocacy organization (e.g., legal aid, community development finance institution, a local chapter of a national civil rights organization, grassroots neighborhood group, etc.) who wants to use legal and policy tools to address health inequities in the jurisdiction. </w:t>
      </w:r>
    </w:p>
    <w:p w14:paraId="3386BD84" w14:textId="77777777" w:rsidR="00524491" w:rsidRPr="00524491" w:rsidRDefault="00524491" w:rsidP="00524491">
      <w:pPr>
        <w:rPr>
          <w:rFonts w:ascii="Arial" w:hAnsi="Arial" w:cs="Arial"/>
          <w:sz w:val="22"/>
          <w:szCs w:val="22"/>
        </w:rPr>
      </w:pPr>
    </w:p>
    <w:p w14:paraId="53214279" w14:textId="77777777" w:rsidR="00524491" w:rsidRPr="00524491" w:rsidRDefault="00524491" w:rsidP="00524491">
      <w:pPr>
        <w:rPr>
          <w:rFonts w:ascii="Arial" w:hAnsi="Arial" w:cs="Arial"/>
          <w:sz w:val="22"/>
          <w:szCs w:val="22"/>
        </w:rPr>
      </w:pPr>
      <w:r w:rsidRPr="00524491">
        <w:rPr>
          <w:rFonts w:ascii="Arial" w:hAnsi="Arial" w:cs="Arial"/>
          <w:sz w:val="22"/>
          <w:szCs w:val="22"/>
        </w:rPr>
        <w:t>The memo should define the problem and identify one or more policy solutions by:</w:t>
      </w:r>
    </w:p>
    <w:p w14:paraId="3E000DC6" w14:textId="77777777" w:rsidR="00524491" w:rsidRPr="00524491" w:rsidRDefault="00524491" w:rsidP="00152F9F">
      <w:pPr>
        <w:pStyle w:val="ListParagraph"/>
        <w:numPr>
          <w:ilvl w:val="0"/>
          <w:numId w:val="4"/>
        </w:numPr>
        <w:rPr>
          <w:rFonts w:ascii="Arial" w:hAnsi="Arial" w:cs="Arial"/>
          <w:sz w:val="22"/>
          <w:szCs w:val="22"/>
        </w:rPr>
      </w:pPr>
      <w:r w:rsidRPr="00524491">
        <w:rPr>
          <w:rFonts w:ascii="Arial" w:hAnsi="Arial" w:cs="Arial"/>
          <w:sz w:val="22"/>
          <w:szCs w:val="22"/>
        </w:rPr>
        <w:t xml:space="preserve">Using one or more sources of online public health data to describe and define the health inequities based on race, ethnicity, gender, income, etc. in the jurisdiction you have chosen.  </w:t>
      </w:r>
    </w:p>
    <w:p w14:paraId="231D3B66" w14:textId="77777777" w:rsidR="00524491" w:rsidRPr="00524491" w:rsidRDefault="00524491" w:rsidP="00152F9F">
      <w:pPr>
        <w:pStyle w:val="ListParagraph"/>
        <w:numPr>
          <w:ilvl w:val="0"/>
          <w:numId w:val="4"/>
        </w:numPr>
        <w:rPr>
          <w:rFonts w:ascii="Arial" w:hAnsi="Arial" w:cs="Arial"/>
          <w:sz w:val="22"/>
          <w:szCs w:val="22"/>
        </w:rPr>
      </w:pPr>
      <w:r w:rsidRPr="00524491">
        <w:rPr>
          <w:rFonts w:ascii="Arial" w:hAnsi="Arial" w:cs="Arial"/>
          <w:sz w:val="22"/>
          <w:szCs w:val="22"/>
        </w:rPr>
        <w:t>Tying those health inequities to the preventable disease you have identified.</w:t>
      </w:r>
    </w:p>
    <w:p w14:paraId="337C830F" w14:textId="77777777" w:rsidR="00524491" w:rsidRPr="00524491" w:rsidRDefault="00524491" w:rsidP="00152F9F">
      <w:pPr>
        <w:pStyle w:val="ListParagraph"/>
        <w:numPr>
          <w:ilvl w:val="0"/>
          <w:numId w:val="4"/>
        </w:numPr>
        <w:rPr>
          <w:rFonts w:ascii="Arial" w:hAnsi="Arial" w:cs="Arial"/>
          <w:sz w:val="22"/>
          <w:szCs w:val="22"/>
        </w:rPr>
      </w:pPr>
      <w:r w:rsidRPr="00524491">
        <w:rPr>
          <w:rFonts w:ascii="Arial" w:hAnsi="Arial" w:cs="Arial"/>
          <w:sz w:val="22"/>
          <w:szCs w:val="22"/>
        </w:rPr>
        <w:t>Making the case for one or more policy strategies that can be used to address the inequities and thereby prevent disease.</w:t>
      </w:r>
    </w:p>
    <w:p w14:paraId="4ABCA978" w14:textId="77777777" w:rsidR="00524491" w:rsidRPr="00524491" w:rsidRDefault="00524491" w:rsidP="00524491">
      <w:pPr>
        <w:pStyle w:val="ListParagraph"/>
        <w:ind w:left="773"/>
        <w:rPr>
          <w:rFonts w:ascii="Arial" w:hAnsi="Arial" w:cs="Arial"/>
          <w:sz w:val="22"/>
          <w:szCs w:val="22"/>
        </w:rPr>
      </w:pPr>
    </w:p>
    <w:p w14:paraId="42BE4453" w14:textId="77777777" w:rsidR="00524491" w:rsidRPr="00524491" w:rsidRDefault="00524491" w:rsidP="00524491">
      <w:pPr>
        <w:rPr>
          <w:rFonts w:ascii="Arial" w:hAnsi="Arial" w:cs="Arial"/>
          <w:sz w:val="22"/>
          <w:szCs w:val="22"/>
        </w:rPr>
      </w:pPr>
      <w:r w:rsidRPr="00524491">
        <w:rPr>
          <w:rFonts w:ascii="Arial" w:hAnsi="Arial" w:cs="Arial"/>
          <w:sz w:val="22"/>
          <w:szCs w:val="22"/>
        </w:rPr>
        <w:t>The final paper will be 10-12 pages (not including endnotes), double spaced, 12point font, 1-inch margins. The paper will build on, but not duplicate, the data and policy strategies elucidated in the shorter memo.  The paper should discuss:</w:t>
      </w:r>
    </w:p>
    <w:p w14:paraId="184FF4EE" w14:textId="77777777" w:rsidR="00524491" w:rsidRPr="00524491" w:rsidRDefault="00524491" w:rsidP="00152F9F">
      <w:pPr>
        <w:pStyle w:val="ListParagraph"/>
        <w:numPr>
          <w:ilvl w:val="0"/>
          <w:numId w:val="5"/>
        </w:numPr>
        <w:rPr>
          <w:rFonts w:ascii="Arial" w:hAnsi="Arial" w:cs="Arial"/>
          <w:sz w:val="22"/>
          <w:szCs w:val="22"/>
        </w:rPr>
      </w:pPr>
      <w:r w:rsidRPr="00524491">
        <w:rPr>
          <w:rFonts w:ascii="Arial" w:hAnsi="Arial" w:cs="Arial"/>
          <w:sz w:val="22"/>
          <w:szCs w:val="22"/>
        </w:rPr>
        <w:t xml:space="preserve">At least three legal challenges (e.g., any combination of constitutional challenges, administrative law hurdles, enforcement problems, other issues) that can be anticipated as the policy strategies are politically advanced in the jurisdiction. </w:t>
      </w:r>
    </w:p>
    <w:p w14:paraId="4E73FA98" w14:textId="77777777" w:rsidR="00524491" w:rsidRPr="00524491" w:rsidRDefault="00524491" w:rsidP="00152F9F">
      <w:pPr>
        <w:pStyle w:val="ListParagraph"/>
        <w:numPr>
          <w:ilvl w:val="0"/>
          <w:numId w:val="5"/>
        </w:numPr>
        <w:rPr>
          <w:rFonts w:ascii="Arial" w:hAnsi="Arial" w:cs="Arial"/>
          <w:sz w:val="22"/>
          <w:szCs w:val="22"/>
        </w:rPr>
      </w:pPr>
      <w:r w:rsidRPr="00524491">
        <w:rPr>
          <w:rFonts w:ascii="Arial" w:hAnsi="Arial" w:cs="Arial"/>
          <w:sz w:val="22"/>
          <w:szCs w:val="22"/>
        </w:rPr>
        <w:t>How political success in enacting the policy(</w:t>
      </w:r>
      <w:proofErr w:type="spellStart"/>
      <w:r w:rsidRPr="00524491">
        <w:rPr>
          <w:rFonts w:ascii="Arial" w:hAnsi="Arial" w:cs="Arial"/>
          <w:sz w:val="22"/>
          <w:szCs w:val="22"/>
        </w:rPr>
        <w:t>ies</w:t>
      </w:r>
      <w:proofErr w:type="spellEnd"/>
      <w:r w:rsidRPr="00524491">
        <w:rPr>
          <w:rFonts w:ascii="Arial" w:hAnsi="Arial" w:cs="Arial"/>
          <w:sz w:val="22"/>
          <w:szCs w:val="22"/>
        </w:rPr>
        <w:t>) will have a synergistic effect (either positive or negative) on other social determinants of health.</w:t>
      </w:r>
    </w:p>
    <w:p w14:paraId="52617288" w14:textId="77777777" w:rsidR="00524491" w:rsidRPr="00524491" w:rsidRDefault="00524491" w:rsidP="00152F9F">
      <w:pPr>
        <w:pStyle w:val="ListParagraph"/>
        <w:numPr>
          <w:ilvl w:val="0"/>
          <w:numId w:val="5"/>
        </w:numPr>
        <w:rPr>
          <w:rFonts w:ascii="Arial" w:hAnsi="Arial" w:cs="Arial"/>
          <w:sz w:val="22"/>
          <w:szCs w:val="22"/>
        </w:rPr>
      </w:pPr>
      <w:r w:rsidRPr="00524491">
        <w:rPr>
          <w:rFonts w:ascii="Arial" w:hAnsi="Arial" w:cs="Arial"/>
          <w:sz w:val="22"/>
          <w:szCs w:val="22"/>
        </w:rPr>
        <w:t>Recommendations to build the political will needed to ensure enactment of the policy strategy(</w:t>
      </w:r>
      <w:proofErr w:type="spellStart"/>
      <w:r w:rsidRPr="00524491">
        <w:rPr>
          <w:rFonts w:ascii="Arial" w:hAnsi="Arial" w:cs="Arial"/>
          <w:sz w:val="22"/>
          <w:szCs w:val="22"/>
        </w:rPr>
        <w:t>ies</w:t>
      </w:r>
      <w:proofErr w:type="spellEnd"/>
      <w:r w:rsidRPr="00524491">
        <w:rPr>
          <w:rFonts w:ascii="Arial" w:hAnsi="Arial" w:cs="Arial"/>
          <w:sz w:val="22"/>
          <w:szCs w:val="22"/>
        </w:rPr>
        <w:t>).</w:t>
      </w:r>
    </w:p>
    <w:p w14:paraId="7C3FF82A" w14:textId="77777777" w:rsidR="00524491" w:rsidRDefault="00524491" w:rsidP="00713112">
      <w:pPr>
        <w:rPr>
          <w:rFonts w:ascii="Arial" w:hAnsi="Arial" w:cs="Arial"/>
          <w:color w:val="000000" w:themeColor="text1"/>
          <w:sz w:val="22"/>
          <w:szCs w:val="22"/>
        </w:rPr>
      </w:pPr>
    </w:p>
    <w:p w14:paraId="74E704D6" w14:textId="27CAAF25" w:rsidR="00AB3CEA" w:rsidRPr="00AB3CEA" w:rsidRDefault="00713112" w:rsidP="00713112">
      <w:pPr>
        <w:rPr>
          <w:rFonts w:ascii="Arial" w:hAnsi="Arial" w:cs="Arial"/>
          <w:sz w:val="22"/>
          <w:szCs w:val="22"/>
        </w:rPr>
      </w:pPr>
      <w:r w:rsidRPr="00713112">
        <w:rPr>
          <w:rFonts w:ascii="Arial" w:hAnsi="Arial" w:cs="Arial"/>
          <w:color w:val="000000"/>
          <w:sz w:val="22"/>
          <w:szCs w:val="22"/>
        </w:rPr>
        <w:t>Give date of exam an</w:t>
      </w:r>
      <w:r w:rsidR="00A16254">
        <w:rPr>
          <w:rFonts w:ascii="Arial" w:hAnsi="Arial" w:cs="Arial"/>
          <w:color w:val="000000"/>
          <w:sz w:val="22"/>
          <w:szCs w:val="22"/>
        </w:rPr>
        <w:t>d date/time of review session. </w:t>
      </w:r>
      <w:r w:rsidR="00A16254">
        <w:rPr>
          <w:rFonts w:ascii="Arial" w:hAnsi="Arial" w:cs="Arial"/>
          <w:color w:val="4472C4" w:themeColor="accent1"/>
          <w:sz w:val="22"/>
          <w:szCs w:val="22"/>
        </w:rPr>
        <w:t xml:space="preserve"> </w:t>
      </w:r>
      <w:r w:rsidR="00AB3CEA" w:rsidRPr="00AB3CEA">
        <w:rPr>
          <w:rFonts w:ascii="Arial" w:hAnsi="Arial" w:cs="Arial"/>
          <w:sz w:val="22"/>
          <w:szCs w:val="22"/>
        </w:rPr>
        <w:t xml:space="preserve">The memo will be due on </w:t>
      </w:r>
      <w:r w:rsidR="00AB3CEA" w:rsidRPr="00AB3CEA">
        <w:rPr>
          <w:rFonts w:ascii="Arial" w:hAnsi="Arial" w:cs="Arial"/>
          <w:sz w:val="22"/>
          <w:szCs w:val="22"/>
          <w:highlight w:val="yellow"/>
        </w:rPr>
        <w:t>[date]</w:t>
      </w:r>
      <w:r w:rsidR="00AB3CEA" w:rsidRPr="00AB3CEA">
        <w:rPr>
          <w:rFonts w:ascii="Arial" w:hAnsi="Arial" w:cs="Arial"/>
          <w:sz w:val="22"/>
          <w:szCs w:val="22"/>
        </w:rPr>
        <w:t xml:space="preserve"> and the final paper will be due on the final day of the exam period, May 19</w:t>
      </w:r>
      <w:r w:rsidR="00AB3CEA" w:rsidRPr="00AB3CEA">
        <w:rPr>
          <w:rFonts w:ascii="Arial" w:hAnsi="Arial" w:cs="Arial"/>
          <w:sz w:val="22"/>
          <w:szCs w:val="22"/>
          <w:vertAlign w:val="superscript"/>
        </w:rPr>
        <w:t>th</w:t>
      </w:r>
      <w:r w:rsidR="00AB3CEA" w:rsidRPr="00AB3CEA">
        <w:rPr>
          <w:rFonts w:ascii="Arial" w:hAnsi="Arial" w:cs="Arial"/>
          <w:sz w:val="22"/>
          <w:szCs w:val="22"/>
        </w:rPr>
        <w:t>.</w:t>
      </w:r>
    </w:p>
    <w:p w14:paraId="7DBA2EAD" w14:textId="77777777" w:rsidR="00AB3CEA" w:rsidRDefault="00AB3CEA" w:rsidP="00713112">
      <w:pPr>
        <w:rPr>
          <w:rFonts w:ascii="Arial" w:hAnsi="Arial" w:cs="Arial"/>
          <w:color w:val="4472C4" w:themeColor="accent1"/>
          <w:sz w:val="22"/>
          <w:szCs w:val="22"/>
        </w:rPr>
      </w:pPr>
    </w:p>
    <w:p w14:paraId="785D17A5" w14:textId="77777777" w:rsidR="00713112" w:rsidRPr="00713112" w:rsidRDefault="00713112" w:rsidP="000A5727">
      <w:pPr>
        <w:pStyle w:val="Heading2"/>
      </w:pPr>
      <w:r w:rsidRPr="00713112">
        <w:t>Grading/Evaluation</w:t>
      </w:r>
    </w:p>
    <w:p w14:paraId="4F46C416" w14:textId="49204195" w:rsidR="00AB3CEA" w:rsidRDefault="00AB3CEA" w:rsidP="00AB3CEA">
      <w:pPr>
        <w:rPr>
          <w:rFonts w:ascii="Arial" w:hAnsi="Arial" w:cs="Arial"/>
          <w:sz w:val="22"/>
          <w:szCs w:val="22"/>
        </w:rPr>
      </w:pPr>
      <w:r>
        <w:rPr>
          <w:rFonts w:ascii="Arial" w:hAnsi="Arial" w:cs="Arial"/>
          <w:sz w:val="22"/>
          <w:szCs w:val="22"/>
        </w:rPr>
        <w:t>Grades will be based on:</w:t>
      </w:r>
    </w:p>
    <w:p w14:paraId="7580CBF0" w14:textId="49053ECB" w:rsidR="00AB3CEA" w:rsidRPr="00AB3CEA" w:rsidRDefault="00AB3CEA" w:rsidP="00152F9F">
      <w:pPr>
        <w:pStyle w:val="ListParagraph"/>
        <w:numPr>
          <w:ilvl w:val="0"/>
          <w:numId w:val="6"/>
        </w:numPr>
        <w:ind w:left="810" w:hanging="360"/>
        <w:rPr>
          <w:rFonts w:ascii="Arial" w:hAnsi="Arial" w:cs="Arial"/>
          <w:sz w:val="22"/>
          <w:szCs w:val="22"/>
        </w:rPr>
      </w:pPr>
      <w:r w:rsidRPr="00AB3CEA">
        <w:rPr>
          <w:rFonts w:ascii="Arial" w:hAnsi="Arial" w:cs="Arial"/>
          <w:sz w:val="22"/>
          <w:szCs w:val="22"/>
        </w:rPr>
        <w:t>Memo (30%)</w:t>
      </w:r>
    </w:p>
    <w:p w14:paraId="6946D8EC" w14:textId="54815B1B" w:rsidR="00AB3CEA" w:rsidRPr="00AB3CEA" w:rsidRDefault="00AB3CEA" w:rsidP="00152F9F">
      <w:pPr>
        <w:pStyle w:val="ListParagraph"/>
        <w:numPr>
          <w:ilvl w:val="0"/>
          <w:numId w:val="6"/>
        </w:numPr>
        <w:ind w:left="810" w:hanging="360"/>
        <w:rPr>
          <w:rFonts w:ascii="Arial" w:hAnsi="Arial" w:cs="Arial"/>
          <w:sz w:val="22"/>
          <w:szCs w:val="22"/>
        </w:rPr>
      </w:pPr>
      <w:r w:rsidRPr="00AB3CEA">
        <w:rPr>
          <w:rFonts w:ascii="Arial" w:hAnsi="Arial" w:cs="Arial"/>
          <w:sz w:val="22"/>
          <w:szCs w:val="22"/>
        </w:rPr>
        <w:t>Final paper (50%)</w:t>
      </w:r>
    </w:p>
    <w:p w14:paraId="0190F1F4" w14:textId="2DF82A69" w:rsidR="00AB3CEA" w:rsidRPr="00AB3CEA" w:rsidRDefault="00AB3CEA" w:rsidP="00152F9F">
      <w:pPr>
        <w:pStyle w:val="ListParagraph"/>
        <w:numPr>
          <w:ilvl w:val="0"/>
          <w:numId w:val="6"/>
        </w:numPr>
        <w:ind w:left="810" w:hanging="360"/>
        <w:rPr>
          <w:rFonts w:ascii="Arial" w:hAnsi="Arial" w:cs="Arial"/>
          <w:sz w:val="22"/>
          <w:szCs w:val="22"/>
        </w:rPr>
      </w:pPr>
      <w:r w:rsidRPr="00AB3CEA">
        <w:rPr>
          <w:rFonts w:ascii="Arial" w:hAnsi="Arial" w:cs="Arial"/>
          <w:sz w:val="22"/>
          <w:szCs w:val="22"/>
        </w:rPr>
        <w:t xml:space="preserve">Class participation (20%) </w:t>
      </w:r>
    </w:p>
    <w:p w14:paraId="56CE40C5" w14:textId="77777777" w:rsidR="00AB3CEA" w:rsidRDefault="00AB3CEA" w:rsidP="00713112">
      <w:pPr>
        <w:rPr>
          <w:rFonts w:ascii="Arial" w:hAnsi="Arial" w:cs="Arial"/>
          <w:sz w:val="22"/>
          <w:szCs w:val="22"/>
        </w:rPr>
      </w:pPr>
    </w:p>
    <w:p w14:paraId="2A597B10" w14:textId="217989BB" w:rsidR="00D36E5B" w:rsidRDefault="00713112" w:rsidP="00D36E5B">
      <w:pPr>
        <w:rPr>
          <w:rFonts w:ascii="Arial" w:hAnsi="Arial" w:cs="Arial"/>
          <w:color w:val="4472C4" w:themeColor="accent1"/>
          <w:sz w:val="22"/>
          <w:szCs w:val="22"/>
        </w:rPr>
      </w:pPr>
      <w:r w:rsidRPr="00713112">
        <w:rPr>
          <w:rFonts w:ascii="Arial" w:hAnsi="Arial" w:cs="Arial"/>
          <w:sz w:val="22"/>
          <w:szCs w:val="22"/>
        </w:rPr>
        <w:t>Describe grading details here</w:t>
      </w:r>
      <w:r w:rsidRPr="00713112">
        <w:rPr>
          <w:rFonts w:ascii="Arial" w:hAnsi="Arial" w:cs="Arial"/>
          <w:color w:val="4472C4" w:themeColor="accent1"/>
          <w:sz w:val="22"/>
          <w:szCs w:val="22"/>
        </w:rPr>
        <w:t>.</w:t>
      </w:r>
      <w:r w:rsidR="00D36E5B">
        <w:rPr>
          <w:rFonts w:ascii="Arial" w:hAnsi="Arial" w:cs="Arial"/>
          <w:color w:val="4472C4" w:themeColor="accent1"/>
          <w:sz w:val="22"/>
          <w:szCs w:val="22"/>
        </w:rPr>
        <w:t xml:space="preserve"> </w:t>
      </w:r>
      <w:r w:rsidR="00D36E5B" w:rsidRPr="00D36E5B">
        <w:rPr>
          <w:rFonts w:ascii="Arial" w:hAnsi="Arial" w:cs="Arial"/>
          <w:sz w:val="22"/>
          <w:szCs w:val="22"/>
        </w:rPr>
        <w:t>The minimum expectations for the memo and final paper are described above.  If a student is unable to attend a class due to exigent circumstances prompted by COVID-19, he/she/they should inform the instructors.  For those students only, class participation will be assessed via these asynchronous learning strategies that must be emailed to the instructors within 24-hours after the class:</w:t>
      </w:r>
    </w:p>
    <w:p w14:paraId="4EA59D47" w14:textId="77777777" w:rsidR="00D36E5B" w:rsidRDefault="00D36E5B" w:rsidP="00D36E5B">
      <w:pPr>
        <w:rPr>
          <w:rFonts w:ascii="Arial" w:hAnsi="Arial" w:cs="Arial"/>
          <w:color w:val="4472C4" w:themeColor="accent1"/>
          <w:sz w:val="22"/>
          <w:szCs w:val="22"/>
        </w:rPr>
      </w:pPr>
    </w:p>
    <w:p w14:paraId="0D950C58" w14:textId="77777777" w:rsidR="00D36E5B" w:rsidRPr="00D36E5B" w:rsidRDefault="00D36E5B" w:rsidP="00152F9F">
      <w:pPr>
        <w:pStyle w:val="NormalWeb"/>
        <w:numPr>
          <w:ilvl w:val="0"/>
          <w:numId w:val="7"/>
        </w:numPr>
        <w:shd w:val="clear" w:color="auto" w:fill="FFFFFF"/>
        <w:spacing w:before="0" w:beforeAutospacing="0" w:after="158" w:afterAutospacing="0"/>
        <w:rPr>
          <w:rFonts w:ascii="Arial" w:hAnsi="Arial" w:cs="Arial"/>
          <w:color w:val="333333"/>
          <w:sz w:val="22"/>
          <w:szCs w:val="22"/>
        </w:rPr>
      </w:pPr>
      <w:r w:rsidRPr="00D36E5B">
        <w:rPr>
          <w:rFonts w:ascii="Arial" w:hAnsi="Arial" w:cs="Arial"/>
          <w:color w:val="333333"/>
          <w:sz w:val="22"/>
          <w:szCs w:val="22"/>
        </w:rPr>
        <w:t>How would you explain what today's class session/video was about to a classmate?</w:t>
      </w:r>
    </w:p>
    <w:p w14:paraId="2A07522E" w14:textId="77777777" w:rsidR="00D36E5B" w:rsidRPr="00D36E5B" w:rsidRDefault="00D36E5B" w:rsidP="00152F9F">
      <w:pPr>
        <w:pStyle w:val="NormalWeb"/>
        <w:numPr>
          <w:ilvl w:val="0"/>
          <w:numId w:val="7"/>
        </w:numPr>
        <w:shd w:val="clear" w:color="auto" w:fill="FFFFFF"/>
        <w:spacing w:before="0" w:beforeAutospacing="0" w:after="158" w:afterAutospacing="0"/>
        <w:rPr>
          <w:rFonts w:ascii="Arial" w:hAnsi="Arial" w:cs="Arial"/>
          <w:color w:val="333333"/>
          <w:sz w:val="22"/>
          <w:szCs w:val="22"/>
        </w:rPr>
      </w:pPr>
      <w:r w:rsidRPr="00D36E5B">
        <w:rPr>
          <w:rFonts w:ascii="Arial" w:hAnsi="Arial" w:cs="Arial"/>
          <w:color w:val="333333"/>
          <w:sz w:val="22"/>
          <w:szCs w:val="22"/>
        </w:rPr>
        <w:t>How did the ideas of today's class/video relate to previous class sessions?</w:t>
      </w:r>
    </w:p>
    <w:p w14:paraId="75E869C0" w14:textId="77777777" w:rsidR="00D36E5B" w:rsidRPr="00D36E5B" w:rsidRDefault="00D36E5B" w:rsidP="00152F9F">
      <w:pPr>
        <w:pStyle w:val="NormalWeb"/>
        <w:numPr>
          <w:ilvl w:val="0"/>
          <w:numId w:val="7"/>
        </w:numPr>
        <w:shd w:val="clear" w:color="auto" w:fill="FFFFFF"/>
        <w:spacing w:before="0" w:beforeAutospacing="0" w:after="158" w:afterAutospacing="0"/>
        <w:rPr>
          <w:rFonts w:ascii="Arial" w:hAnsi="Arial" w:cs="Arial"/>
          <w:color w:val="333333"/>
          <w:sz w:val="22"/>
          <w:szCs w:val="22"/>
        </w:rPr>
      </w:pPr>
      <w:r w:rsidRPr="00D36E5B">
        <w:rPr>
          <w:rFonts w:ascii="Arial" w:hAnsi="Arial" w:cs="Arial"/>
          <w:color w:val="333333"/>
          <w:sz w:val="22"/>
          <w:szCs w:val="22"/>
        </w:rPr>
        <w:t>What was confusing or something that you are unsure about? </w:t>
      </w:r>
    </w:p>
    <w:p w14:paraId="702DF00B" w14:textId="77777777" w:rsidR="00D36E5B" w:rsidRPr="00D36E5B" w:rsidRDefault="00D36E5B" w:rsidP="00152F9F">
      <w:pPr>
        <w:pStyle w:val="NormalWeb"/>
        <w:numPr>
          <w:ilvl w:val="0"/>
          <w:numId w:val="7"/>
        </w:numPr>
        <w:shd w:val="clear" w:color="auto" w:fill="FFFFFF"/>
        <w:spacing w:before="0" w:beforeAutospacing="0" w:after="158" w:afterAutospacing="0"/>
        <w:rPr>
          <w:rFonts w:ascii="Arial" w:hAnsi="Arial" w:cs="Arial"/>
          <w:color w:val="333333"/>
          <w:sz w:val="22"/>
          <w:szCs w:val="22"/>
        </w:rPr>
      </w:pPr>
      <w:r w:rsidRPr="00D36E5B">
        <w:rPr>
          <w:rFonts w:ascii="Arial" w:hAnsi="Arial" w:cs="Arial"/>
          <w:color w:val="333333"/>
          <w:sz w:val="22"/>
          <w:szCs w:val="22"/>
        </w:rPr>
        <w:t>What did you find most interesting or surprising about class today/the video?</w:t>
      </w:r>
    </w:p>
    <w:p w14:paraId="13C696F5" w14:textId="0A1FAB84" w:rsidR="00D36E5B" w:rsidRPr="00D36E5B" w:rsidRDefault="00D36E5B" w:rsidP="00D36E5B">
      <w:pPr>
        <w:rPr>
          <w:rFonts w:ascii="Arial" w:hAnsi="Arial" w:cs="Arial"/>
          <w:sz w:val="22"/>
          <w:szCs w:val="22"/>
        </w:rPr>
      </w:pPr>
      <w:r w:rsidRPr="00D36E5B">
        <w:rPr>
          <w:rFonts w:ascii="Arial" w:hAnsi="Arial" w:cs="Arial"/>
          <w:sz w:val="22"/>
          <w:szCs w:val="22"/>
        </w:rPr>
        <w:t xml:space="preserve">In addition, the student will complete and send to the </w:t>
      </w:r>
      <w:proofErr w:type="gramStart"/>
      <w:r w:rsidRPr="00D36E5B">
        <w:rPr>
          <w:rFonts w:ascii="Arial" w:hAnsi="Arial" w:cs="Arial"/>
          <w:sz w:val="22"/>
          <w:szCs w:val="22"/>
        </w:rPr>
        <w:t>instructors</w:t>
      </w:r>
      <w:proofErr w:type="gramEnd"/>
      <w:r w:rsidRPr="00D36E5B">
        <w:rPr>
          <w:rFonts w:ascii="Arial" w:hAnsi="Arial" w:cs="Arial"/>
          <w:sz w:val="22"/>
          <w:szCs w:val="22"/>
        </w:rPr>
        <w:t xml:space="preserve"> results of all in-class activities that the student must complete on his/her/their own without the benefit of small group discussion.</w:t>
      </w:r>
    </w:p>
    <w:p w14:paraId="1AF4F977" w14:textId="77777777" w:rsidR="00D36E5B" w:rsidRDefault="00D36E5B" w:rsidP="00713112">
      <w:pPr>
        <w:rPr>
          <w:rFonts w:ascii="Arial" w:hAnsi="Arial" w:cs="Arial"/>
          <w:color w:val="4472C4" w:themeColor="accent1"/>
          <w:sz w:val="22"/>
          <w:szCs w:val="22"/>
        </w:rPr>
      </w:pPr>
    </w:p>
    <w:p w14:paraId="5011EDAA" w14:textId="3A4F0159" w:rsidR="00713112" w:rsidRDefault="00713112" w:rsidP="000A5727">
      <w:pPr>
        <w:pStyle w:val="Heading2"/>
      </w:pPr>
      <w:r w:rsidRPr="00713112">
        <w:t>School-wide Policies</w:t>
      </w:r>
    </w:p>
    <w:p w14:paraId="03F38888" w14:textId="77777777" w:rsidR="001F0BAE" w:rsidRPr="001F0BAE" w:rsidRDefault="001F0BAE" w:rsidP="001F0BAE"/>
    <w:p w14:paraId="2797D8DC" w14:textId="77777777" w:rsidR="00713112" w:rsidRPr="00713112" w:rsidRDefault="00713112" w:rsidP="00713112">
      <w:r w:rsidRPr="00713112">
        <w:rPr>
          <w:rFonts w:ascii="Arial" w:hAnsi="Arial" w:cs="Arial"/>
          <w:color w:val="000000"/>
          <w:sz w:val="22"/>
          <w:szCs w:val="22"/>
        </w:rPr>
        <w:t>1) A “credit hour” at Berkeley Law is an amount of work that reasonably approximates three to four hours of work per week for 15 weeks, including a) classroom time, b) time spent preparing for class, c) time spent studying for,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 </w:t>
      </w:r>
    </w:p>
    <w:p w14:paraId="5DFFD00D" w14:textId="77777777" w:rsidR="00AA5F72" w:rsidRDefault="00AA5F72" w:rsidP="00713112"/>
    <w:p w14:paraId="3D10FC20" w14:textId="77777777" w:rsidR="00713112" w:rsidRPr="00713112" w:rsidRDefault="00713112" w:rsidP="00713112">
      <w:r w:rsidRPr="00713112">
        <w:rPr>
          <w:rFonts w:ascii="Arial" w:hAnsi="Arial" w:cs="Arial"/>
          <w:color w:val="000000"/>
          <w:sz w:val="22"/>
          <w:szCs w:val="22"/>
        </w:rPr>
        <w:t xml:space="preserve">2) Students who need classroom accommodations or want to discuss implementation of their accommodations, including accommodated exams, in this class are advised to contact Kyle </w:t>
      </w:r>
      <w:proofErr w:type="spellStart"/>
      <w:r w:rsidRPr="00713112">
        <w:rPr>
          <w:rFonts w:ascii="Arial" w:hAnsi="Arial" w:cs="Arial"/>
          <w:color w:val="000000"/>
          <w:sz w:val="22"/>
          <w:szCs w:val="22"/>
        </w:rPr>
        <w:t>Valenti</w:t>
      </w:r>
      <w:proofErr w:type="spellEnd"/>
      <w:r w:rsidRPr="00713112">
        <w:rPr>
          <w:rFonts w:ascii="Arial" w:hAnsi="Arial" w:cs="Arial"/>
          <w:color w:val="000000"/>
          <w:sz w:val="22"/>
          <w:szCs w:val="22"/>
        </w:rPr>
        <w:t>, Associate Director of Student Services (</w:t>
      </w:r>
      <w:hyperlink r:id="rId20" w:history="1">
        <w:r w:rsidRPr="00713112">
          <w:rPr>
            <w:rFonts w:ascii="Arial" w:hAnsi="Arial" w:cs="Arial"/>
            <w:color w:val="1155CC"/>
            <w:sz w:val="22"/>
            <w:szCs w:val="22"/>
            <w:u w:val="single"/>
          </w:rPr>
          <w:t>kvalenti@law.berkeley.edu</w:t>
        </w:r>
      </w:hyperlink>
      <w:r w:rsidRPr="00713112">
        <w:rPr>
          <w:rFonts w:ascii="Arial" w:hAnsi="Arial" w:cs="Arial"/>
          <w:color w:val="000000"/>
          <w:sz w:val="22"/>
          <w:szCs w:val="22"/>
        </w:rPr>
        <w:t>) or Kyle Kate Dudley, Assistant Director of Student Services, Accessible Education (</w:t>
      </w:r>
      <w:hyperlink r:id="rId21" w:history="1">
        <w:r w:rsidRPr="00713112">
          <w:rPr>
            <w:rFonts w:ascii="Arial" w:hAnsi="Arial" w:cs="Arial"/>
            <w:color w:val="1155CC"/>
            <w:sz w:val="22"/>
            <w:szCs w:val="22"/>
            <w:u w:val="single"/>
          </w:rPr>
          <w:t>kylekatedudley@law.berkeley.edu</w:t>
        </w:r>
      </w:hyperlink>
      <w:r w:rsidRPr="00713112">
        <w:rPr>
          <w:rFonts w:ascii="Arial" w:hAnsi="Arial" w:cs="Arial"/>
          <w:color w:val="000000"/>
          <w:sz w:val="22"/>
          <w:szCs w:val="22"/>
        </w:rPr>
        <w:t>) as soon as possible.</w:t>
      </w:r>
    </w:p>
    <w:p w14:paraId="4FA539C8" w14:textId="77777777" w:rsidR="00713112" w:rsidRPr="00713112" w:rsidRDefault="00713112" w:rsidP="00713112"/>
    <w:p w14:paraId="10A6858D" w14:textId="77777777" w:rsidR="00713112" w:rsidRPr="00713112" w:rsidRDefault="00713112" w:rsidP="00713112">
      <w:r w:rsidRPr="00713112">
        <w:rPr>
          <w:rFonts w:ascii="Arial" w:hAnsi="Arial" w:cs="Arial"/>
          <w:color w:val="000000"/>
          <w:sz w:val="22"/>
          <w:szCs w:val="22"/>
        </w:rPr>
        <w:t>Student Services schedules all exams, including accommodated exams, as the law school is committed to anonymous grading. PROFESSORS DO NOT HAVE THE AUTHORITY TO RESCHEDULE EXAMS.</w:t>
      </w:r>
    </w:p>
    <w:p w14:paraId="5F5E282B" w14:textId="77777777" w:rsidR="00713112" w:rsidRPr="00713112" w:rsidRDefault="00713112" w:rsidP="00713112"/>
    <w:p w14:paraId="3A37F16F" w14:textId="30B020B5" w:rsidR="00713112" w:rsidRDefault="00713112" w:rsidP="00713112">
      <w:pPr>
        <w:rPr>
          <w:rFonts w:ascii="Arial" w:hAnsi="Arial" w:cs="Arial"/>
          <w:color w:val="000000"/>
          <w:sz w:val="22"/>
          <w:szCs w:val="22"/>
        </w:rPr>
      </w:pPr>
      <w:r w:rsidRPr="00713112">
        <w:rPr>
          <w:rFonts w:ascii="Arial" w:hAnsi="Arial" w:cs="Arial"/>
          <w:color w:val="000000"/>
          <w:sz w:val="22"/>
          <w:szCs w:val="22"/>
        </w:rPr>
        <w:t xml:space="preserve">3) The </w:t>
      </w:r>
      <w:hyperlink r:id="rId22" w:history="1">
        <w:r w:rsidRPr="00713112">
          <w:rPr>
            <w:rFonts w:ascii="Arial" w:hAnsi="Arial" w:cs="Arial"/>
            <w:color w:val="1155CC"/>
            <w:sz w:val="22"/>
            <w:szCs w:val="22"/>
            <w:u w:val="single"/>
          </w:rPr>
          <w:t>Academic Honor Code</w:t>
        </w:r>
      </w:hyperlink>
      <w:r w:rsidRPr="00713112">
        <w:rPr>
          <w:rFonts w:ascii="Arial" w:hAnsi="Arial" w:cs="Arial"/>
          <w:color w:val="000000"/>
          <w:sz w:val="22"/>
          <w:szCs w:val="22"/>
        </w:rPr>
        <w:t xml:space="preserve"> governs the conduct of all students during examinations and in all other academic and pre-professional activities at Berkeley Law. We expect students to adhere to this code scrupulously. If you have any question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6FE393F9" w14:textId="08B09798" w:rsidR="00EE2831" w:rsidRDefault="00EE2831" w:rsidP="00713112"/>
    <w:p w14:paraId="0F35F3D0" w14:textId="044EAEDD" w:rsidR="00713112" w:rsidRDefault="5A460A3A" w:rsidP="00EE2831">
      <w:pPr>
        <w:rPr>
          <w:rFonts w:ascii="Arial" w:hAnsi="Arial" w:cs="Arial"/>
          <w:color w:val="000000"/>
          <w:sz w:val="22"/>
          <w:szCs w:val="22"/>
        </w:rPr>
      </w:pPr>
      <w:r w:rsidRPr="5A460A3A">
        <w:rPr>
          <w:rFonts w:ascii="Arial" w:hAnsi="Arial" w:cs="Arial"/>
          <w:color w:val="000000" w:themeColor="text1"/>
          <w:sz w:val="22"/>
          <w:szCs w:val="22"/>
        </w:rPr>
        <w:t>As of Fall 2020, Rule 7 of the Academic Rules has been updated to include this restriction on distribution of class content:</w:t>
      </w:r>
    </w:p>
    <w:p w14:paraId="235E283C" w14:textId="77777777" w:rsidR="00EE2831" w:rsidRPr="00EE2831" w:rsidRDefault="00EE2831" w:rsidP="00EE2831"/>
    <w:p w14:paraId="5A22E7F8" w14:textId="657F3241" w:rsidR="00EE2831" w:rsidRPr="00EE2831" w:rsidRDefault="00EE2831" w:rsidP="00EE2831">
      <w:pPr>
        <w:rPr>
          <w:i/>
        </w:rPr>
      </w:pPr>
      <w:r w:rsidRPr="00EE2831">
        <w:rPr>
          <w:rFonts w:ascii="Arial" w:hAnsi="Arial" w:cs="Arial"/>
          <w:i/>
          <w:shd w:val="clear" w:color="auto" w:fill="FFFFFF"/>
        </w:rPr>
        <w:t>During emergencies and disasters, class recordings may be created and provided to students to allow asynchronous attendance. Recordings may also be made available under other circumstances to augment instruction. Students shall not distribute video or audio recordings or screenshots for any reason unless authorized in connection with a disability accommodation</w:t>
      </w:r>
      <w:r w:rsidR="00CA4901">
        <w:rPr>
          <w:rFonts w:ascii="Arial" w:hAnsi="Arial" w:cs="Arial"/>
          <w:i/>
          <w:shd w:val="clear" w:color="auto" w:fill="FFFFFF"/>
        </w:rPr>
        <w:t>.</w:t>
      </w:r>
    </w:p>
    <w:p w14:paraId="44CECAA8" w14:textId="77777777" w:rsidR="00EE2831" w:rsidRPr="00EE2831" w:rsidRDefault="00EE2831" w:rsidP="00EE2831"/>
    <w:p w14:paraId="23D726CA" w14:textId="676038F8" w:rsidR="00713112" w:rsidRPr="00713112" w:rsidRDefault="00713112" w:rsidP="00713112">
      <w:r w:rsidRPr="00713112">
        <w:rPr>
          <w:rFonts w:ascii="Arial" w:hAnsi="Arial" w:cs="Arial"/>
          <w:color w:val="000000"/>
          <w:sz w:val="22"/>
          <w:szCs w:val="22"/>
        </w:rPr>
        <w:t xml:space="preserve">4) If you are in need of economic, food, or housing support, you can find help at </w:t>
      </w:r>
      <w:r w:rsidR="00A16254">
        <w:rPr>
          <w:rFonts w:ascii="Arial" w:hAnsi="Arial" w:cs="Arial"/>
          <w:color w:val="000000"/>
          <w:sz w:val="22"/>
          <w:szCs w:val="22"/>
        </w:rPr>
        <w:t xml:space="preserve">our </w:t>
      </w:r>
      <w:hyperlink r:id="rId23" w:history="1">
        <w:r w:rsidR="00A16254" w:rsidRPr="006D4C6C">
          <w:rPr>
            <w:rStyle w:val="Hyperlink"/>
            <w:rFonts w:ascii="Arial" w:hAnsi="Arial" w:cs="Arial"/>
            <w:sz w:val="22"/>
            <w:szCs w:val="22"/>
          </w:rPr>
          <w:t>basic needs</w:t>
        </w:r>
        <w:r w:rsidR="006D4C6C" w:rsidRPr="006D4C6C">
          <w:rPr>
            <w:rStyle w:val="Hyperlink"/>
            <w:rFonts w:ascii="Arial" w:hAnsi="Arial" w:cs="Arial"/>
            <w:sz w:val="22"/>
            <w:szCs w:val="22"/>
          </w:rPr>
          <w:t xml:space="preserve"> center</w:t>
        </w:r>
      </w:hyperlink>
      <w:r w:rsidR="00A16254">
        <w:rPr>
          <w:rFonts w:ascii="Arial" w:hAnsi="Arial" w:cs="Arial"/>
          <w:color w:val="000000"/>
          <w:sz w:val="22"/>
          <w:szCs w:val="22"/>
        </w:rPr>
        <w:t xml:space="preserve">. </w:t>
      </w:r>
      <w:r w:rsidRPr="00713112">
        <w:rPr>
          <w:rFonts w:ascii="Arial" w:hAnsi="Arial" w:cs="Arial"/>
          <w:color w:val="000000"/>
          <w:sz w:val="22"/>
          <w:szCs w:val="22"/>
        </w:rPr>
        <w:t>You may be eligible for money to buy groceries via</w:t>
      </w:r>
      <w:r w:rsidR="00A16254">
        <w:rPr>
          <w:rFonts w:ascii="Arial" w:hAnsi="Arial" w:cs="Arial"/>
          <w:color w:val="000000"/>
          <w:sz w:val="22"/>
          <w:szCs w:val="22"/>
        </w:rPr>
        <w:t xml:space="preserve"> </w:t>
      </w:r>
      <w:hyperlink r:id="rId24" w:history="1">
        <w:proofErr w:type="spellStart"/>
        <w:r w:rsidR="00A16254" w:rsidRPr="00A16254">
          <w:rPr>
            <w:rStyle w:val="Hyperlink"/>
            <w:rFonts w:ascii="Arial" w:hAnsi="Arial" w:cs="Arial"/>
            <w:sz w:val="22"/>
            <w:szCs w:val="22"/>
          </w:rPr>
          <w:t>CalFresh</w:t>
        </w:r>
        <w:proofErr w:type="spellEnd"/>
      </w:hyperlink>
      <w:r w:rsidRPr="00713112">
        <w:rPr>
          <w:rFonts w:ascii="Arial" w:hAnsi="Arial" w:cs="Arial"/>
          <w:color w:val="000000"/>
          <w:sz w:val="22"/>
          <w:szCs w:val="22"/>
        </w:rPr>
        <w:t xml:space="preserve"> or our Food Assistance Program. If you </w:t>
      </w:r>
      <w:r w:rsidR="00ED7856" w:rsidRPr="00713112">
        <w:rPr>
          <w:rFonts w:ascii="Arial" w:hAnsi="Arial" w:cs="Arial"/>
          <w:color w:val="000000"/>
          <w:sz w:val="22"/>
          <w:szCs w:val="22"/>
        </w:rPr>
        <w:t>need</w:t>
      </w:r>
      <w:r w:rsidRPr="00713112">
        <w:rPr>
          <w:rFonts w:ascii="Arial" w:hAnsi="Arial" w:cs="Arial"/>
          <w:color w:val="000000"/>
          <w:sz w:val="22"/>
          <w:szCs w:val="22"/>
        </w:rPr>
        <w:t xml:space="preserve"> food immediately, please visi</w:t>
      </w:r>
      <w:r w:rsidR="00A16254">
        <w:rPr>
          <w:rFonts w:ascii="Arial" w:hAnsi="Arial" w:cs="Arial"/>
          <w:color w:val="000000"/>
          <w:sz w:val="22"/>
          <w:szCs w:val="22"/>
        </w:rPr>
        <w:t xml:space="preserve">t our </w:t>
      </w:r>
      <w:hyperlink r:id="rId25" w:history="1">
        <w:r w:rsidR="00A16254" w:rsidRPr="00A16254">
          <w:rPr>
            <w:rStyle w:val="Hyperlink"/>
            <w:rFonts w:ascii="Arial" w:hAnsi="Arial" w:cs="Arial"/>
            <w:sz w:val="22"/>
            <w:szCs w:val="22"/>
          </w:rPr>
          <w:t>UC Berkeley Food Pantry</w:t>
        </w:r>
      </w:hyperlink>
      <w:r w:rsidR="00A16254">
        <w:rPr>
          <w:rFonts w:ascii="Arial" w:hAnsi="Arial" w:cs="Arial"/>
          <w:color w:val="000000"/>
          <w:sz w:val="22"/>
          <w:szCs w:val="22"/>
        </w:rPr>
        <w:t>.</w:t>
      </w:r>
    </w:p>
    <w:p w14:paraId="0FF7DE04" w14:textId="77777777" w:rsidR="00713112" w:rsidRPr="00713112" w:rsidRDefault="00713112" w:rsidP="00713112"/>
    <w:p w14:paraId="330CEFA2" w14:textId="03FDE81A" w:rsidR="00713112" w:rsidRPr="00713112" w:rsidRDefault="00713112" w:rsidP="00713112">
      <w:r w:rsidRPr="00713112">
        <w:rPr>
          <w:rFonts w:ascii="Arial" w:hAnsi="Arial" w:cs="Arial"/>
          <w:color w:val="000000"/>
          <w:sz w:val="22"/>
          <w:szCs w:val="22"/>
        </w:rPr>
        <w:t xml:space="preserve">5) 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law and/or University policy. The University will respond promptly and effectively to reports of Prohibited Conduct and will take appropriate action to prevent, to correct, and when necessary, to discipline behavior that violates this policy. For the complete UC Policy, definitions, compliance and procedures, please access the </w:t>
      </w:r>
      <w:hyperlink r:id="rId26" w:history="1">
        <w:r w:rsidR="00802A37" w:rsidRPr="00802A37">
          <w:rPr>
            <w:rStyle w:val="Hyperlink"/>
            <w:rFonts w:ascii="Arial" w:hAnsi="Arial" w:cs="Arial"/>
            <w:sz w:val="22"/>
            <w:szCs w:val="22"/>
          </w:rPr>
          <w:t>Sexual Violence and Sexual Harassment Policy</w:t>
        </w:r>
      </w:hyperlink>
      <w:r w:rsidR="00802A37">
        <w:rPr>
          <w:rFonts w:ascii="Arial" w:hAnsi="Arial" w:cs="Arial"/>
          <w:color w:val="000000"/>
          <w:sz w:val="22"/>
          <w:szCs w:val="22"/>
        </w:rPr>
        <w:t>.</w:t>
      </w:r>
      <w:r w:rsidR="00802A37" w:rsidRPr="00713112">
        <w:t xml:space="preserve"> </w:t>
      </w:r>
    </w:p>
    <w:p w14:paraId="1251EBD4" w14:textId="77777777" w:rsidR="00713112" w:rsidRPr="00713112" w:rsidRDefault="00713112" w:rsidP="00713112"/>
    <w:p w14:paraId="6BD0CC8D" w14:textId="77777777" w:rsidR="00713112" w:rsidRPr="00713112" w:rsidRDefault="00713112" w:rsidP="00713112">
      <w:r w:rsidRPr="00713112">
        <w:rPr>
          <w:rFonts w:ascii="Arial" w:hAnsi="Arial" w:cs="Arial"/>
          <w:color w:val="000000"/>
          <w:sz w:val="22"/>
          <w:szCs w:val="22"/>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27" w:history="1">
        <w:r w:rsidRPr="00713112">
          <w:rPr>
            <w:rFonts w:ascii="Arial" w:hAnsi="Arial" w:cs="Arial"/>
            <w:color w:val="1155CC"/>
            <w:sz w:val="22"/>
            <w:szCs w:val="22"/>
            <w:u w:val="single"/>
          </w:rPr>
          <w:t>ask_ophd@berkeley.edu</w:t>
        </w:r>
      </w:hyperlink>
      <w:r w:rsidRPr="00713112">
        <w:rPr>
          <w:rFonts w:ascii="Arial" w:hAnsi="Arial" w:cs="Arial"/>
          <w:color w:val="000000"/>
          <w:sz w:val="22"/>
          <w:szCs w:val="22"/>
        </w:rPr>
        <w:t>.</w:t>
      </w:r>
    </w:p>
    <w:p w14:paraId="44442154" w14:textId="77777777" w:rsidR="00713112" w:rsidRPr="00713112" w:rsidRDefault="00713112" w:rsidP="00713112"/>
    <w:p w14:paraId="3A078C2F" w14:textId="05FE7A52" w:rsidR="00713112" w:rsidRPr="00713112" w:rsidRDefault="00962EB1" w:rsidP="00713112">
      <w:pPr>
        <w:rPr>
          <w:color w:val="4472C4" w:themeColor="accent1"/>
        </w:rPr>
      </w:pPr>
      <w:hyperlink r:id="rId28" w:history="1">
        <w:r w:rsidR="00713112" w:rsidRPr="00802A37">
          <w:rPr>
            <w:rStyle w:val="Hyperlink"/>
            <w:rFonts w:ascii="Arial" w:hAnsi="Arial" w:cs="Arial"/>
            <w:sz w:val="22"/>
            <w:szCs w:val="22"/>
          </w:rPr>
          <w:t>Path to Care Center</w:t>
        </w:r>
      </w:hyperlink>
      <w:r w:rsidR="00713112" w:rsidRPr="00713112">
        <w:rPr>
          <w:rFonts w:ascii="Arial" w:hAnsi="Arial" w:cs="Arial"/>
          <w:color w:val="000000"/>
          <w:sz w:val="22"/>
          <w:szCs w:val="22"/>
        </w:rPr>
        <w:t xml:space="preserve">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approach to exploring all options, rights, and resources. They can be reached by phone </w:t>
      </w:r>
      <w:r w:rsidR="00802A37">
        <w:rPr>
          <w:rFonts w:ascii="Arial" w:hAnsi="Arial" w:cs="Arial"/>
          <w:color w:val="000000"/>
          <w:sz w:val="22"/>
          <w:szCs w:val="22"/>
        </w:rPr>
        <w:t xml:space="preserve">at </w:t>
      </w:r>
      <w:r w:rsidR="00713112" w:rsidRPr="00713112">
        <w:rPr>
          <w:rFonts w:ascii="Arial" w:hAnsi="Arial" w:cs="Arial"/>
          <w:color w:val="000000"/>
          <w:sz w:val="22"/>
          <w:szCs w:val="22"/>
        </w:rPr>
        <w:t>(510) 642-198</w:t>
      </w:r>
      <w:r w:rsidR="00802A37">
        <w:rPr>
          <w:rFonts w:ascii="Arial" w:hAnsi="Arial" w:cs="Arial"/>
          <w:color w:val="000000"/>
          <w:sz w:val="22"/>
          <w:szCs w:val="22"/>
        </w:rPr>
        <w:t>8.</w:t>
      </w:r>
    </w:p>
    <w:p w14:paraId="7B5F849E" w14:textId="77777777" w:rsidR="00713112" w:rsidRPr="00713112" w:rsidRDefault="00713112" w:rsidP="00713112">
      <w:pPr>
        <w:rPr>
          <w:color w:val="4472C4" w:themeColor="accent1"/>
        </w:rPr>
      </w:pPr>
    </w:p>
    <w:p w14:paraId="32FA4DD3" w14:textId="77777777" w:rsidR="00713112" w:rsidRPr="00713112" w:rsidRDefault="00713112" w:rsidP="000A5727">
      <w:pPr>
        <w:pStyle w:val="Heading2"/>
      </w:pPr>
      <w:r w:rsidRPr="00713112">
        <w:t>Course Schedule </w:t>
      </w:r>
    </w:p>
    <w:p w14:paraId="3E99BF74" w14:textId="62E2B25C" w:rsidR="00713112" w:rsidRDefault="00713112" w:rsidP="00713112">
      <w:pPr>
        <w:spacing w:after="240"/>
        <w:rPr>
          <w:color w:val="4472C4" w:themeColor="accent1"/>
        </w:rPr>
      </w:pPr>
    </w:p>
    <w:p w14:paraId="38AE25E2" w14:textId="77777777" w:rsidR="00CB73B6" w:rsidRPr="00CB73B6" w:rsidRDefault="00CB73B6" w:rsidP="00CB73B6">
      <w:pPr>
        <w:rPr>
          <w:rFonts w:ascii="Arial" w:hAnsi="Arial" w:cs="Arial"/>
          <w:sz w:val="22"/>
          <w:szCs w:val="22"/>
        </w:rPr>
      </w:pPr>
      <w:r w:rsidRPr="00CB73B6">
        <w:rPr>
          <w:rFonts w:ascii="Arial" w:hAnsi="Arial" w:cs="Arial"/>
          <w:b/>
          <w:bCs/>
          <w:sz w:val="22"/>
          <w:szCs w:val="22"/>
        </w:rPr>
        <w:t xml:space="preserve">Week 1: </w:t>
      </w:r>
      <w:r w:rsidRPr="00CB73B6">
        <w:rPr>
          <w:rFonts w:ascii="Arial" w:hAnsi="Arial" w:cs="Arial"/>
          <w:b/>
          <w:bCs/>
          <w:sz w:val="22"/>
          <w:szCs w:val="22"/>
          <w:shd w:val="clear" w:color="auto" w:fill="FFFFFF"/>
        </w:rPr>
        <w:t>Race, Class, And Unequal Health:</w:t>
      </w:r>
      <w:r w:rsidRPr="00CB73B6">
        <w:rPr>
          <w:rFonts w:ascii="Arial" w:hAnsi="Arial" w:cs="Arial"/>
          <w:sz w:val="22"/>
          <w:szCs w:val="22"/>
          <w:shd w:val="clear" w:color="auto" w:fill="FFFFFF"/>
        </w:rPr>
        <w:t> </w:t>
      </w:r>
      <w:r w:rsidRPr="00CB73B6">
        <w:rPr>
          <w:rFonts w:ascii="Arial" w:hAnsi="Arial" w:cs="Arial"/>
          <w:b/>
          <w:bCs/>
          <w:sz w:val="22"/>
          <w:szCs w:val="22"/>
        </w:rPr>
        <w:t>Social Drivers of Health and the Law</w:t>
      </w:r>
    </w:p>
    <w:p w14:paraId="0BF012B1" w14:textId="77777777" w:rsidR="00CB73B6" w:rsidRPr="00CB73B6" w:rsidRDefault="00CB73B6" w:rsidP="00CB73B6">
      <w:pPr>
        <w:rPr>
          <w:rFonts w:ascii="Arial" w:hAnsi="Arial" w:cs="Arial"/>
          <w:sz w:val="22"/>
          <w:szCs w:val="22"/>
        </w:rPr>
      </w:pPr>
    </w:p>
    <w:p w14:paraId="1409BDA3"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54BCC592"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By now we all know that COVID-19 is a public health crisis, but what exactly is </w:t>
      </w:r>
      <w:r w:rsidRPr="00CB73B6">
        <w:rPr>
          <w:rFonts w:ascii="Arial" w:hAnsi="Arial" w:cs="Arial"/>
          <w:i/>
          <w:iCs/>
          <w:sz w:val="22"/>
          <w:szCs w:val="22"/>
        </w:rPr>
        <w:t>public health</w:t>
      </w:r>
      <w:r w:rsidRPr="00CB73B6">
        <w:rPr>
          <w:rFonts w:ascii="Arial" w:hAnsi="Arial" w:cs="Arial"/>
          <w:sz w:val="22"/>
          <w:szCs w:val="22"/>
        </w:rPr>
        <w:t xml:space="preserve">? We start the course with an introduction to basic concepts about the fields of public health. We will explore the focus on population-level data (rather than individual-level information) as the primary lens of public health. We will define health disparities, the social/economic/political drivers of health, and the importance of protecting children from violence, poverty and other toxic stressors.  Together, these factors exemplify the power of prevention and social justice – more than medical care delivery – for addressing the systemic causes of illness and disease. </w:t>
      </w:r>
    </w:p>
    <w:p w14:paraId="68F44415" w14:textId="77777777" w:rsidR="00CB73B6" w:rsidRPr="00CB73B6" w:rsidRDefault="00CB73B6" w:rsidP="00CB73B6">
      <w:pPr>
        <w:rPr>
          <w:rFonts w:ascii="Arial" w:hAnsi="Arial" w:cs="Arial"/>
          <w:sz w:val="22"/>
          <w:szCs w:val="22"/>
        </w:rPr>
      </w:pPr>
    </w:p>
    <w:p w14:paraId="7DE4D5DB" w14:textId="77777777" w:rsidR="00CB73B6" w:rsidRPr="00CB73B6" w:rsidRDefault="00CB73B6" w:rsidP="00CB73B6">
      <w:pPr>
        <w:rPr>
          <w:rFonts w:ascii="Arial" w:hAnsi="Arial" w:cs="Arial"/>
          <w:color w:val="000000"/>
          <w:sz w:val="22"/>
          <w:szCs w:val="22"/>
          <w:shd w:val="clear" w:color="auto" w:fill="FFFFFF"/>
        </w:rPr>
      </w:pPr>
      <w:r w:rsidRPr="00CB73B6">
        <w:rPr>
          <w:rFonts w:ascii="Arial" w:hAnsi="Arial" w:cs="Arial"/>
          <w:sz w:val="22"/>
          <w:szCs w:val="22"/>
        </w:rPr>
        <w:t xml:space="preserve">We also will define the role of law in shaping behaviors and environments at all levels — federal, state, local, tribal, and international — and introduce examples for how law impacts the public’s health. </w:t>
      </w:r>
      <w:r w:rsidRPr="00CB73B6">
        <w:rPr>
          <w:rFonts w:ascii="Arial" w:hAnsi="Arial" w:cs="Arial"/>
          <w:color w:val="000000"/>
          <w:sz w:val="22"/>
          <w:szCs w:val="22"/>
          <w:shd w:val="clear" w:color="auto" w:fill="FFFFFF"/>
        </w:rPr>
        <w:t xml:space="preserve">We will learn about the structure of government and the public health system as a whole, including the organizations, activities, and people who promote public health in the United States.  We will describe the separation of powers in our constitutional system and the agencies at the federal, state, tribal, local, and territorial levels that have been granted legal authority to act on behalf of public health. </w:t>
      </w:r>
    </w:p>
    <w:p w14:paraId="4EED38E8" w14:textId="77777777" w:rsidR="00CB73B6" w:rsidRPr="00CB73B6" w:rsidRDefault="00CB73B6" w:rsidP="00CB73B6">
      <w:pPr>
        <w:rPr>
          <w:rFonts w:ascii="Arial" w:hAnsi="Arial" w:cs="Arial"/>
          <w:sz w:val="22"/>
          <w:szCs w:val="22"/>
        </w:rPr>
      </w:pPr>
    </w:p>
    <w:p w14:paraId="7DACE9FA"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6D9929E2" w14:textId="77777777" w:rsidR="00CB73B6" w:rsidRPr="00CB73B6" w:rsidRDefault="00CB73B6" w:rsidP="00152F9F">
      <w:pPr>
        <w:pStyle w:val="ListParagraph"/>
        <w:numPr>
          <w:ilvl w:val="0"/>
          <w:numId w:val="8"/>
        </w:numPr>
        <w:rPr>
          <w:rFonts w:ascii="Arial" w:eastAsia="Times New Roman" w:hAnsi="Arial" w:cs="Arial"/>
          <w:sz w:val="22"/>
          <w:szCs w:val="22"/>
        </w:rPr>
      </w:pPr>
      <w:r w:rsidRPr="00CB73B6">
        <w:rPr>
          <w:rFonts w:ascii="Arial" w:eastAsia="Times New Roman" w:hAnsi="Arial" w:cs="Arial"/>
          <w:sz w:val="22"/>
          <w:szCs w:val="22"/>
        </w:rPr>
        <w:t>Define the terms public health, law, public health law, health disparities, and social determinants of health, and provide examples of how they interrelate.</w:t>
      </w:r>
    </w:p>
    <w:p w14:paraId="27E8ABEE" w14:textId="77777777" w:rsidR="00CB73B6" w:rsidRPr="00CB73B6" w:rsidRDefault="00CB73B6" w:rsidP="00152F9F">
      <w:pPr>
        <w:pStyle w:val="ListParagraph"/>
        <w:numPr>
          <w:ilvl w:val="0"/>
          <w:numId w:val="8"/>
        </w:numPr>
        <w:rPr>
          <w:rFonts w:ascii="Arial" w:eastAsia="Times New Roman" w:hAnsi="Arial" w:cs="Arial"/>
          <w:sz w:val="22"/>
          <w:szCs w:val="22"/>
        </w:rPr>
      </w:pPr>
      <w:r w:rsidRPr="00CB73B6">
        <w:rPr>
          <w:rFonts w:ascii="Arial" w:eastAsia="Times New Roman" w:hAnsi="Arial" w:cs="Arial"/>
          <w:sz w:val="22"/>
          <w:szCs w:val="22"/>
        </w:rPr>
        <w:t xml:space="preserve">Provide examples of different types of public health laws. </w:t>
      </w:r>
    </w:p>
    <w:p w14:paraId="2418816F" w14:textId="77777777" w:rsidR="00CB73B6" w:rsidRPr="00CB73B6" w:rsidRDefault="00CB73B6" w:rsidP="00152F9F">
      <w:pPr>
        <w:pStyle w:val="paragraph"/>
        <w:numPr>
          <w:ilvl w:val="0"/>
          <w:numId w:val="8"/>
        </w:numPr>
        <w:spacing w:before="0" w:beforeAutospacing="0" w:after="0" w:afterAutospacing="0"/>
        <w:textAlignment w:val="baseline"/>
        <w:rPr>
          <w:rFonts w:ascii="Arial" w:hAnsi="Arial" w:cs="Arial"/>
          <w:sz w:val="22"/>
          <w:szCs w:val="22"/>
        </w:rPr>
      </w:pPr>
      <w:r w:rsidRPr="00CB73B6">
        <w:rPr>
          <w:rStyle w:val="normaltextrun"/>
          <w:rFonts w:ascii="Arial" w:hAnsi="Arial" w:cs="Arial"/>
          <w:sz w:val="22"/>
          <w:szCs w:val="22"/>
        </w:rPr>
        <w:t>Define the public health system and understand its structure and the basic services it provides.</w:t>
      </w:r>
      <w:r w:rsidRPr="00CB73B6">
        <w:rPr>
          <w:rStyle w:val="eop"/>
          <w:rFonts w:ascii="Arial" w:hAnsi="Arial" w:cs="Arial"/>
          <w:sz w:val="22"/>
          <w:szCs w:val="22"/>
        </w:rPr>
        <w:t> </w:t>
      </w:r>
    </w:p>
    <w:p w14:paraId="5B2A4D19" w14:textId="77777777" w:rsidR="00CB73B6" w:rsidRPr="00CB73B6" w:rsidRDefault="00CB73B6" w:rsidP="00152F9F">
      <w:pPr>
        <w:pStyle w:val="paragraph"/>
        <w:numPr>
          <w:ilvl w:val="0"/>
          <w:numId w:val="8"/>
        </w:numPr>
        <w:spacing w:before="0" w:beforeAutospacing="0" w:after="0" w:afterAutospacing="0"/>
        <w:textAlignment w:val="baseline"/>
        <w:rPr>
          <w:rFonts w:ascii="Arial" w:hAnsi="Arial" w:cs="Arial"/>
          <w:sz w:val="22"/>
          <w:szCs w:val="22"/>
        </w:rPr>
      </w:pPr>
      <w:r w:rsidRPr="00CB73B6">
        <w:rPr>
          <w:rStyle w:val="normaltextrun"/>
          <w:rFonts w:ascii="Arial" w:hAnsi="Arial" w:cs="Arial"/>
          <w:sz w:val="22"/>
          <w:szCs w:val="22"/>
        </w:rPr>
        <w:t>Describe the differing roles of federal, state, and local public health agencies in the public health system.</w:t>
      </w:r>
      <w:r w:rsidRPr="00CB73B6">
        <w:rPr>
          <w:rStyle w:val="eop"/>
          <w:rFonts w:ascii="Arial" w:hAnsi="Arial" w:cs="Arial"/>
          <w:sz w:val="22"/>
          <w:szCs w:val="22"/>
        </w:rPr>
        <w:t> </w:t>
      </w:r>
    </w:p>
    <w:p w14:paraId="00DCA6C1" w14:textId="77777777" w:rsidR="00CB73B6" w:rsidRPr="00CB73B6" w:rsidRDefault="00CB73B6" w:rsidP="00CB73B6">
      <w:pPr>
        <w:rPr>
          <w:rFonts w:ascii="Arial" w:hAnsi="Arial" w:cs="Arial"/>
          <w:sz w:val="22"/>
          <w:szCs w:val="22"/>
        </w:rPr>
      </w:pPr>
    </w:p>
    <w:p w14:paraId="2BF5F875"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164958C7"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sz w:val="22"/>
          <w:szCs w:val="22"/>
        </w:rPr>
        <w:t xml:space="preserve">Chapters 1 and 2. </w:t>
      </w:r>
    </w:p>
    <w:p w14:paraId="16DF9915"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sz w:val="22"/>
          <w:szCs w:val="22"/>
        </w:rPr>
        <w:t xml:space="preserve">Michael Marmot, </w:t>
      </w:r>
      <w:r w:rsidRPr="00CB73B6">
        <w:rPr>
          <w:rFonts w:ascii="Arial" w:hAnsi="Arial" w:cs="Arial"/>
          <w:i/>
          <w:iCs/>
          <w:sz w:val="22"/>
          <w:szCs w:val="22"/>
        </w:rPr>
        <w:t xml:space="preserve">Economic and Social Determinants of Disease and </w:t>
      </w:r>
      <w:r w:rsidRPr="00CB73B6">
        <w:rPr>
          <w:rFonts w:ascii="Arial" w:hAnsi="Arial" w:cs="Arial"/>
          <w:sz w:val="22"/>
          <w:szCs w:val="22"/>
        </w:rPr>
        <w:t xml:space="preserve">Geoffrey Rose, </w:t>
      </w:r>
      <w:r w:rsidRPr="00CB73B6">
        <w:rPr>
          <w:rFonts w:ascii="Arial" w:hAnsi="Arial" w:cs="Arial"/>
          <w:i/>
          <w:iCs/>
          <w:sz w:val="22"/>
          <w:szCs w:val="22"/>
        </w:rPr>
        <w:t>Sick Individuals and Sick Populations</w:t>
      </w:r>
      <w:r w:rsidRPr="00CB73B6">
        <w:rPr>
          <w:rFonts w:ascii="Arial" w:hAnsi="Arial" w:cs="Arial"/>
          <w:sz w:val="22"/>
          <w:szCs w:val="22"/>
        </w:rPr>
        <w:t xml:space="preserve">, 14 </w:t>
      </w:r>
      <w:r w:rsidRPr="00CB73B6">
        <w:rPr>
          <w:rFonts w:ascii="Arial" w:hAnsi="Arial" w:cs="Arial"/>
          <w:smallCaps/>
          <w:sz w:val="22"/>
          <w:szCs w:val="22"/>
        </w:rPr>
        <w:t>Int’l J. Epidemiology</w:t>
      </w:r>
      <w:r w:rsidRPr="00CB73B6">
        <w:rPr>
          <w:rFonts w:ascii="Arial" w:hAnsi="Arial" w:cs="Arial"/>
          <w:b/>
          <w:bCs/>
          <w:sz w:val="22"/>
          <w:szCs w:val="22"/>
        </w:rPr>
        <w:t xml:space="preserve"> </w:t>
      </w:r>
      <w:r w:rsidRPr="00CB73B6">
        <w:rPr>
          <w:rFonts w:ascii="Arial" w:hAnsi="Arial" w:cs="Arial"/>
          <w:sz w:val="22"/>
          <w:szCs w:val="22"/>
        </w:rPr>
        <w:t xml:space="preserve">32 (1985).  </w:t>
      </w:r>
      <w:hyperlink r:id="rId29" w:history="1">
        <w:r w:rsidRPr="00CB73B6">
          <w:rPr>
            <w:rStyle w:val="Hyperlink"/>
            <w:rFonts w:ascii="Arial" w:hAnsi="Arial" w:cs="Arial"/>
            <w:sz w:val="22"/>
            <w:szCs w:val="22"/>
          </w:rPr>
          <w:t>https://apps.who.int/iris/bitstream/handle/10665/70950/bu1409.pdf?sequence=1&amp;isAllowed=y</w:t>
        </w:r>
      </w:hyperlink>
      <w:r w:rsidRPr="00CB73B6">
        <w:rPr>
          <w:rFonts w:ascii="Arial" w:hAnsi="Arial" w:cs="Arial"/>
          <w:sz w:val="22"/>
          <w:szCs w:val="22"/>
        </w:rPr>
        <w:t xml:space="preserve">  </w:t>
      </w:r>
    </w:p>
    <w:p w14:paraId="1B00811A"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sz w:val="22"/>
          <w:szCs w:val="22"/>
        </w:rPr>
        <w:t xml:space="preserve">B. G. Link &amp; JO Phelan, </w:t>
      </w:r>
      <w:r w:rsidRPr="00CB73B6">
        <w:rPr>
          <w:rFonts w:ascii="Arial" w:hAnsi="Arial" w:cs="Arial"/>
          <w:i/>
          <w:sz w:val="22"/>
          <w:szCs w:val="22"/>
        </w:rPr>
        <w:t xml:space="preserve">Social Conditions </w:t>
      </w:r>
      <w:proofErr w:type="gramStart"/>
      <w:r w:rsidRPr="00CB73B6">
        <w:rPr>
          <w:rFonts w:ascii="Arial" w:hAnsi="Arial" w:cs="Arial"/>
          <w:i/>
          <w:sz w:val="22"/>
          <w:szCs w:val="22"/>
        </w:rPr>
        <w:t>As</w:t>
      </w:r>
      <w:proofErr w:type="gramEnd"/>
      <w:r w:rsidRPr="00CB73B6">
        <w:rPr>
          <w:rFonts w:ascii="Arial" w:hAnsi="Arial" w:cs="Arial"/>
          <w:i/>
          <w:sz w:val="22"/>
          <w:szCs w:val="22"/>
        </w:rPr>
        <w:t xml:space="preserve"> Fundamental Causes Of Disease</w:t>
      </w:r>
      <w:r w:rsidRPr="00CB73B6">
        <w:rPr>
          <w:rFonts w:ascii="Arial" w:hAnsi="Arial" w:cs="Arial"/>
          <w:sz w:val="22"/>
          <w:szCs w:val="22"/>
        </w:rPr>
        <w:t xml:space="preserve">, </w:t>
      </w:r>
      <w:r w:rsidRPr="00CB73B6">
        <w:rPr>
          <w:rFonts w:ascii="Arial" w:hAnsi="Arial" w:cs="Arial"/>
          <w:smallCaps/>
          <w:sz w:val="22"/>
          <w:szCs w:val="22"/>
        </w:rPr>
        <w:t xml:space="preserve">J. Health &amp; Social Behavior </w:t>
      </w:r>
      <w:r w:rsidRPr="00CB73B6">
        <w:rPr>
          <w:rFonts w:ascii="Arial" w:hAnsi="Arial" w:cs="Arial"/>
          <w:sz w:val="22"/>
          <w:szCs w:val="22"/>
        </w:rPr>
        <w:t xml:space="preserve">(1995) (special issue). </w:t>
      </w:r>
      <w:hyperlink r:id="rId30" w:anchor="metadata_info_tab_contents" w:history="1">
        <w:r w:rsidRPr="00CB73B6">
          <w:rPr>
            <w:rStyle w:val="Hyperlink"/>
            <w:rFonts w:ascii="Arial" w:hAnsi="Arial" w:cs="Arial"/>
            <w:sz w:val="22"/>
            <w:szCs w:val="22"/>
          </w:rPr>
          <w:t>https://www.jstor.org/stable/2626958?seq=1#metadata_info_tab_contents</w:t>
        </w:r>
      </w:hyperlink>
    </w:p>
    <w:p w14:paraId="7D6582B1" w14:textId="77777777" w:rsidR="00CB73B6" w:rsidRPr="00CB73B6" w:rsidRDefault="00CB73B6" w:rsidP="00152F9F">
      <w:pPr>
        <w:pStyle w:val="NEXT"/>
        <w:numPr>
          <w:ilvl w:val="0"/>
          <w:numId w:val="9"/>
        </w:numPr>
      </w:pPr>
      <w:r w:rsidRPr="00CB73B6">
        <w:t xml:space="preserve">Paula </w:t>
      </w:r>
      <w:proofErr w:type="spellStart"/>
      <w:r w:rsidRPr="00CB73B6">
        <w:t>Braveman</w:t>
      </w:r>
      <w:proofErr w:type="spellEnd"/>
      <w:r w:rsidRPr="00CB73B6">
        <w:t xml:space="preserve">, Susan </w:t>
      </w:r>
      <w:proofErr w:type="spellStart"/>
      <w:r w:rsidRPr="00CB73B6">
        <w:t>Egerter</w:t>
      </w:r>
      <w:proofErr w:type="spellEnd"/>
      <w:r w:rsidRPr="00CB73B6">
        <w:t xml:space="preserve"> and David R. Williams. The Social Determinants of Health: Coming of Age. 32 </w:t>
      </w:r>
      <w:proofErr w:type="spellStart"/>
      <w:r w:rsidRPr="00CB73B6">
        <w:t>Annu</w:t>
      </w:r>
      <w:proofErr w:type="spellEnd"/>
      <w:r w:rsidRPr="00CB73B6">
        <w:t xml:space="preserve"> Rev. Public Health 381-98. (2011). </w:t>
      </w:r>
      <w:hyperlink r:id="rId31" w:history="1">
        <w:r w:rsidRPr="00CB73B6">
          <w:rPr>
            <w:rStyle w:val="Hyperlink"/>
          </w:rPr>
          <w:t>https://www.annualreviews.org/doi/pdf/10.1146/annurev-publhealth-031210-101218</w:t>
        </w:r>
      </w:hyperlink>
      <w:r w:rsidRPr="00CB73B6">
        <w:t xml:space="preserve"> (last visited August 19, 2020).</w:t>
      </w:r>
    </w:p>
    <w:p w14:paraId="3A53CA5B" w14:textId="77777777" w:rsidR="00CB73B6" w:rsidRPr="00CB73B6" w:rsidRDefault="00CB73B6" w:rsidP="00CB73B6">
      <w:pPr>
        <w:pStyle w:val="ListParagraph"/>
        <w:rPr>
          <w:rStyle w:val="Hyperlink"/>
          <w:rFonts w:ascii="Arial" w:hAnsi="Arial" w:cs="Arial"/>
          <w:sz w:val="22"/>
          <w:szCs w:val="22"/>
        </w:rPr>
      </w:pPr>
    </w:p>
    <w:p w14:paraId="3B86E5A4" w14:textId="77777777" w:rsidR="00CB73B6" w:rsidRPr="00CB73B6" w:rsidRDefault="00CB73B6" w:rsidP="00CB73B6">
      <w:pPr>
        <w:autoSpaceDE w:val="0"/>
        <w:autoSpaceDN w:val="0"/>
        <w:adjustRightInd w:val="0"/>
        <w:rPr>
          <w:rFonts w:ascii="Arial" w:hAnsi="Arial" w:cs="Arial"/>
          <w:sz w:val="22"/>
          <w:szCs w:val="22"/>
        </w:rPr>
      </w:pPr>
      <w:r w:rsidRPr="00CB73B6">
        <w:rPr>
          <w:rFonts w:ascii="Arial" w:hAnsi="Arial" w:cs="Arial"/>
          <w:sz w:val="22"/>
          <w:szCs w:val="22"/>
        </w:rPr>
        <w:t xml:space="preserve">Websites - </w:t>
      </w:r>
      <w:r w:rsidRPr="00CB73B6">
        <w:rPr>
          <w:rFonts w:ascii="Arial" w:hAnsi="Arial" w:cs="Arial"/>
          <w:b/>
          <w:bCs/>
          <w:sz w:val="22"/>
          <w:szCs w:val="22"/>
        </w:rPr>
        <w:t>Be prepared for a class activity integrating the information in the websites below with the reading assignments.</w:t>
      </w:r>
    </w:p>
    <w:p w14:paraId="4124A396" w14:textId="77777777" w:rsidR="00CB73B6" w:rsidRPr="00CB73B6" w:rsidRDefault="00CB73B6" w:rsidP="00072018">
      <w:pPr>
        <w:pStyle w:val="NEXT"/>
      </w:pPr>
    </w:p>
    <w:p w14:paraId="35A4979F" w14:textId="77777777" w:rsidR="00CB73B6" w:rsidRPr="00CB73B6" w:rsidRDefault="00CB73B6" w:rsidP="00152F9F">
      <w:pPr>
        <w:pStyle w:val="ListParagraph"/>
        <w:numPr>
          <w:ilvl w:val="0"/>
          <w:numId w:val="9"/>
        </w:numPr>
        <w:autoSpaceDE w:val="0"/>
        <w:autoSpaceDN w:val="0"/>
        <w:adjustRightInd w:val="0"/>
        <w:rPr>
          <w:rFonts w:ascii="Arial" w:hAnsi="Arial" w:cs="Arial"/>
          <w:sz w:val="22"/>
          <w:szCs w:val="22"/>
        </w:rPr>
      </w:pPr>
      <w:r w:rsidRPr="00CB73B6">
        <w:rPr>
          <w:rFonts w:ascii="Arial" w:hAnsi="Arial" w:cs="Arial"/>
          <w:sz w:val="22"/>
          <w:szCs w:val="22"/>
        </w:rPr>
        <w:t xml:space="preserve">Scroll through the </w:t>
      </w:r>
      <w:hyperlink r:id="rId32" w:history="1">
        <w:r w:rsidRPr="00CB73B6">
          <w:rPr>
            <w:rStyle w:val="Hyperlink"/>
            <w:rFonts w:ascii="Arial" w:hAnsi="Arial" w:cs="Arial"/>
            <w:sz w:val="22"/>
            <w:szCs w:val="22"/>
          </w:rPr>
          <w:t>CDC resources related to ACEs</w:t>
        </w:r>
      </w:hyperlink>
      <w:r w:rsidRPr="00CB73B6">
        <w:rPr>
          <w:rFonts w:ascii="Arial" w:hAnsi="Arial" w:cs="Arial"/>
          <w:sz w:val="22"/>
          <w:szCs w:val="22"/>
        </w:rPr>
        <w:t xml:space="preserve"> (last visited April 28, 2020). </w:t>
      </w:r>
    </w:p>
    <w:p w14:paraId="06597858" w14:textId="77777777" w:rsidR="00CB73B6" w:rsidRPr="00CB73B6" w:rsidRDefault="00CB73B6" w:rsidP="00152F9F">
      <w:pPr>
        <w:pStyle w:val="ListParagraph"/>
        <w:numPr>
          <w:ilvl w:val="0"/>
          <w:numId w:val="9"/>
        </w:numPr>
        <w:autoSpaceDE w:val="0"/>
        <w:autoSpaceDN w:val="0"/>
        <w:adjustRightInd w:val="0"/>
        <w:rPr>
          <w:rStyle w:val="Hyperlink"/>
          <w:rFonts w:ascii="Arial" w:hAnsi="Arial" w:cs="Arial"/>
          <w:sz w:val="22"/>
          <w:szCs w:val="22"/>
        </w:rPr>
      </w:pPr>
      <w:r w:rsidRPr="00CB73B6">
        <w:rPr>
          <w:rFonts w:ascii="Arial" w:hAnsi="Arial" w:cs="Arial"/>
          <w:i/>
          <w:iCs/>
          <w:sz w:val="22"/>
          <w:szCs w:val="22"/>
        </w:rPr>
        <w:t>Preventing Adverse Childhood Experiences: Leveraging the Best Available Evidence</w:t>
      </w:r>
      <w:r w:rsidRPr="00CB73B6">
        <w:rPr>
          <w:rFonts w:ascii="Arial" w:hAnsi="Arial" w:cs="Arial"/>
          <w:sz w:val="22"/>
          <w:szCs w:val="22"/>
        </w:rPr>
        <w:t xml:space="preserve">, Centers for Disease Control and Prevention (2019). </w:t>
      </w:r>
      <w:hyperlink r:id="rId33" w:history="1">
        <w:r w:rsidRPr="00CB73B6">
          <w:rPr>
            <w:rStyle w:val="Hyperlink"/>
            <w:rFonts w:ascii="Arial" w:hAnsi="Arial" w:cs="Arial"/>
            <w:sz w:val="22"/>
            <w:szCs w:val="22"/>
          </w:rPr>
          <w:t>https://www.cdc.gov/violenceprevention/pdf/preventingACES.pdf/</w:t>
        </w:r>
      </w:hyperlink>
      <w:r w:rsidRPr="00CB73B6">
        <w:rPr>
          <w:rFonts w:ascii="Arial" w:hAnsi="Arial" w:cs="Arial"/>
          <w:sz w:val="22"/>
          <w:szCs w:val="22"/>
        </w:rPr>
        <w:t xml:space="preserve"> </w:t>
      </w:r>
    </w:p>
    <w:p w14:paraId="316A89AF" w14:textId="77777777" w:rsidR="00CB73B6" w:rsidRPr="00CB73B6" w:rsidRDefault="00CB73B6" w:rsidP="00072018">
      <w:pPr>
        <w:pStyle w:val="NEXT"/>
        <w:rPr>
          <w:rStyle w:val="Hyperlink"/>
        </w:rPr>
      </w:pPr>
    </w:p>
    <w:p w14:paraId="5F30BD83" w14:textId="77777777" w:rsidR="00CB73B6" w:rsidRPr="00CB73B6" w:rsidRDefault="00CB73B6" w:rsidP="00072018">
      <w:pPr>
        <w:pStyle w:val="NEXT"/>
      </w:pPr>
      <w:r w:rsidRPr="00CB73B6">
        <w:t>Optional (but helpful) Quick Reads – these short articles illuminate public health and racial equity issues during COVID-19.</w:t>
      </w:r>
    </w:p>
    <w:p w14:paraId="6BE33A9B" w14:textId="77777777" w:rsidR="00CB73B6" w:rsidRPr="00CB73B6" w:rsidRDefault="00CB73B6" w:rsidP="00152F9F">
      <w:pPr>
        <w:pStyle w:val="NEXT"/>
        <w:numPr>
          <w:ilvl w:val="0"/>
          <w:numId w:val="9"/>
        </w:numPr>
      </w:pPr>
      <w:proofErr w:type="spellStart"/>
      <w:r w:rsidRPr="00CB73B6">
        <w:t>Yaryna</w:t>
      </w:r>
      <w:proofErr w:type="spellEnd"/>
      <w:r w:rsidRPr="00CB73B6">
        <w:t xml:space="preserve"> </w:t>
      </w:r>
      <w:proofErr w:type="spellStart"/>
      <w:r w:rsidRPr="00CB73B6">
        <w:t>Serkez</w:t>
      </w:r>
      <w:proofErr w:type="spellEnd"/>
      <w:r w:rsidRPr="00CB73B6">
        <w:t xml:space="preserve">. Who Is Most Likely to Die </w:t>
      </w:r>
      <w:proofErr w:type="gramStart"/>
      <w:r w:rsidRPr="00CB73B6">
        <w:t>From</w:t>
      </w:r>
      <w:proofErr w:type="gramEnd"/>
      <w:r w:rsidRPr="00CB73B6">
        <w:t xml:space="preserve"> the Coronavirus? NYT Opinion. June 4, 2020. </w:t>
      </w:r>
      <w:hyperlink r:id="rId34" w:history="1">
        <w:r w:rsidRPr="00CB73B6">
          <w:rPr>
            <w:rStyle w:val="Hyperlink"/>
          </w:rPr>
          <w:t>https://www.nytimes.com/interactive/2020/06/04/opinion/coronavirus-health-race-inequality.html?referringSource=articleShare</w:t>
        </w:r>
      </w:hyperlink>
    </w:p>
    <w:p w14:paraId="074C3B5B" w14:textId="77777777" w:rsidR="00CB73B6" w:rsidRPr="00CB73B6" w:rsidRDefault="00CB73B6" w:rsidP="00152F9F">
      <w:pPr>
        <w:pStyle w:val="NEXT"/>
        <w:numPr>
          <w:ilvl w:val="0"/>
          <w:numId w:val="9"/>
        </w:numPr>
        <w:rPr>
          <w:i/>
          <w:iCs/>
        </w:rPr>
      </w:pPr>
      <w:r w:rsidRPr="00CB73B6">
        <w:t xml:space="preserve">Monica W. Hooper, Anna M </w:t>
      </w:r>
      <w:proofErr w:type="spellStart"/>
      <w:r w:rsidRPr="00CB73B6">
        <w:t>Napolés</w:t>
      </w:r>
      <w:proofErr w:type="spellEnd"/>
      <w:r w:rsidRPr="00CB73B6">
        <w:t xml:space="preserve"> and Eliseo J. </w:t>
      </w:r>
      <w:proofErr w:type="spellStart"/>
      <w:r w:rsidRPr="00CB73B6">
        <w:t>Peréz</w:t>
      </w:r>
      <w:proofErr w:type="spellEnd"/>
      <w:r w:rsidRPr="00CB73B6">
        <w:t xml:space="preserve">-Stable. COVID-19 and Racial/Ethnic Disparities. JAMA Viewpoint. May 11, 2020. </w:t>
      </w:r>
      <w:hyperlink r:id="rId35" w:history="1">
        <w:r w:rsidRPr="00CB73B6">
          <w:rPr>
            <w:rStyle w:val="Hyperlink"/>
          </w:rPr>
          <w:t>https://jamanetwork.com/journals/jama/fullarticle/2766098?utm_source=silverchair&amp;utm_medium=email&amp;utm_campaign=article_alert-jama&amp;utm_content=olf&amp;utm_term=051120</w:t>
        </w:r>
      </w:hyperlink>
    </w:p>
    <w:p w14:paraId="128DCD08" w14:textId="77777777" w:rsidR="00CB73B6" w:rsidRPr="00CB73B6" w:rsidRDefault="00CB73B6" w:rsidP="00152F9F">
      <w:pPr>
        <w:pStyle w:val="NEXT"/>
        <w:numPr>
          <w:ilvl w:val="0"/>
          <w:numId w:val="9"/>
        </w:numPr>
        <w:rPr>
          <w:rStyle w:val="Hyperlink"/>
          <w:i/>
          <w:iCs/>
        </w:rPr>
      </w:pPr>
      <w:r w:rsidRPr="00CB73B6">
        <w:t xml:space="preserve">David R. Williams and Lisa Cooper. COVID-19 and Health Equity – A New Kind of “Herd Immunity”. JAMA Viewpoint. May 11, 2020. </w:t>
      </w:r>
      <w:hyperlink r:id="rId36" w:history="1">
        <w:r w:rsidRPr="00CB73B6">
          <w:rPr>
            <w:rStyle w:val="Hyperlink"/>
          </w:rPr>
          <w:t>https://jamanetwork.com/journals/jama/fullarticle/2766096?utm_source=silverchair&amp;utm_medium=email&amp;utm_campaign=article_alert-jama&amp;utm_content=olf&amp;utm_term=051120</w:t>
        </w:r>
      </w:hyperlink>
    </w:p>
    <w:p w14:paraId="64FF5D82" w14:textId="77777777" w:rsidR="00CB73B6" w:rsidRPr="00CB73B6" w:rsidRDefault="00CB73B6" w:rsidP="00152F9F">
      <w:pPr>
        <w:pStyle w:val="ListParagraph"/>
        <w:numPr>
          <w:ilvl w:val="0"/>
          <w:numId w:val="9"/>
        </w:numPr>
        <w:autoSpaceDE w:val="0"/>
        <w:autoSpaceDN w:val="0"/>
        <w:adjustRightInd w:val="0"/>
        <w:rPr>
          <w:rStyle w:val="Hyperlink"/>
          <w:rFonts w:ascii="Arial" w:hAnsi="Arial" w:cs="Arial"/>
          <w:sz w:val="22"/>
          <w:szCs w:val="22"/>
        </w:rPr>
      </w:pPr>
      <w:r w:rsidRPr="00CB73B6">
        <w:rPr>
          <w:rFonts w:ascii="Arial" w:hAnsi="Arial" w:cs="Arial"/>
          <w:sz w:val="22"/>
          <w:szCs w:val="22"/>
        </w:rPr>
        <w:t xml:space="preserve">Jeanne </w:t>
      </w:r>
      <w:proofErr w:type="spellStart"/>
      <w:r w:rsidRPr="00CB73B6">
        <w:rPr>
          <w:rFonts w:ascii="Arial" w:hAnsi="Arial" w:cs="Arial"/>
          <w:sz w:val="22"/>
          <w:szCs w:val="22"/>
        </w:rPr>
        <w:t>Interlandi</w:t>
      </w:r>
      <w:proofErr w:type="spellEnd"/>
      <w:r w:rsidRPr="00CB73B6">
        <w:rPr>
          <w:rFonts w:ascii="Arial" w:hAnsi="Arial" w:cs="Arial"/>
          <w:sz w:val="22"/>
          <w:szCs w:val="22"/>
        </w:rPr>
        <w:t xml:space="preserve">, </w:t>
      </w:r>
      <w:hyperlink r:id="rId37" w:history="1">
        <w:r w:rsidRPr="00CB73B6">
          <w:rPr>
            <w:rStyle w:val="Hyperlink"/>
            <w:rFonts w:ascii="Arial" w:hAnsi="Arial" w:cs="Arial"/>
            <w:i/>
            <w:iCs/>
            <w:sz w:val="22"/>
            <w:szCs w:val="22"/>
          </w:rPr>
          <w:t>The US Approach to Public Health: Neglect, Panic, Repeat</w:t>
        </w:r>
      </w:hyperlink>
      <w:r w:rsidRPr="00CB73B6">
        <w:rPr>
          <w:rFonts w:ascii="Arial" w:hAnsi="Arial" w:cs="Arial"/>
          <w:sz w:val="22"/>
          <w:szCs w:val="22"/>
        </w:rPr>
        <w:t>, NYT, April 9, 2020.</w:t>
      </w:r>
    </w:p>
    <w:p w14:paraId="33B32782" w14:textId="77777777" w:rsidR="00CB73B6" w:rsidRPr="00CB73B6" w:rsidRDefault="00CB73B6" w:rsidP="00072018">
      <w:pPr>
        <w:pStyle w:val="NEXT"/>
        <w:rPr>
          <w:rStyle w:val="Hyperlink"/>
        </w:rPr>
      </w:pPr>
    </w:p>
    <w:p w14:paraId="7AFF738D" w14:textId="77777777" w:rsidR="00CB73B6" w:rsidRPr="00CB73B6" w:rsidRDefault="00CB73B6" w:rsidP="00CB73B6">
      <w:pPr>
        <w:pStyle w:val="paragraph"/>
        <w:spacing w:before="0" w:beforeAutospacing="0" w:after="0" w:afterAutospacing="0"/>
        <w:textAlignment w:val="baseline"/>
        <w:rPr>
          <w:rStyle w:val="Hyperlink"/>
          <w:rFonts w:ascii="Arial" w:hAnsi="Arial" w:cs="Arial"/>
          <w:sz w:val="22"/>
          <w:szCs w:val="22"/>
        </w:rPr>
      </w:pPr>
      <w:r w:rsidRPr="00CB73B6">
        <w:rPr>
          <w:rStyle w:val="Hyperlink"/>
          <w:rFonts w:ascii="Arial" w:hAnsi="Arial" w:cs="Arial"/>
          <w:sz w:val="22"/>
          <w:szCs w:val="22"/>
        </w:rPr>
        <w:t>Optional reading:</w:t>
      </w:r>
    </w:p>
    <w:p w14:paraId="3500D372" w14:textId="390F2FDE" w:rsidR="00CB73B6" w:rsidRPr="00CB73B6" w:rsidRDefault="00CB73B6" w:rsidP="00152F9F">
      <w:pPr>
        <w:pStyle w:val="ListParagraph"/>
        <w:numPr>
          <w:ilvl w:val="0"/>
          <w:numId w:val="11"/>
        </w:numPr>
        <w:rPr>
          <w:rFonts w:ascii="Arial" w:hAnsi="Arial" w:cs="Arial"/>
          <w:sz w:val="22"/>
          <w:szCs w:val="22"/>
        </w:rPr>
      </w:pPr>
      <w:proofErr w:type="spellStart"/>
      <w:r w:rsidRPr="00CB73B6">
        <w:rPr>
          <w:rFonts w:ascii="Arial" w:hAnsi="Arial" w:cs="Arial"/>
          <w:sz w:val="22"/>
          <w:szCs w:val="22"/>
        </w:rPr>
        <w:t>Ruqaiijah</w:t>
      </w:r>
      <w:proofErr w:type="spellEnd"/>
      <w:r w:rsidRPr="00CB73B6">
        <w:rPr>
          <w:rFonts w:ascii="Arial" w:hAnsi="Arial" w:cs="Arial"/>
          <w:sz w:val="22"/>
          <w:szCs w:val="22"/>
        </w:rPr>
        <w:t xml:space="preserve"> </w:t>
      </w:r>
      <w:proofErr w:type="spellStart"/>
      <w:r w:rsidRPr="00CB73B6">
        <w:rPr>
          <w:rFonts w:ascii="Arial" w:hAnsi="Arial" w:cs="Arial"/>
          <w:sz w:val="22"/>
          <w:szCs w:val="22"/>
        </w:rPr>
        <w:t>Yearby</w:t>
      </w:r>
      <w:proofErr w:type="spellEnd"/>
      <w:r w:rsidRPr="00CB73B6">
        <w:rPr>
          <w:rFonts w:ascii="Arial" w:hAnsi="Arial" w:cs="Arial"/>
          <w:sz w:val="22"/>
          <w:szCs w:val="22"/>
        </w:rPr>
        <w:t xml:space="preserve"> &amp; Seema Mohapatra, </w:t>
      </w:r>
      <w:hyperlink r:id="rId38" w:history="1">
        <w:r w:rsidRPr="00CB73B6">
          <w:rPr>
            <w:rStyle w:val="Hyperlink"/>
            <w:rFonts w:ascii="Arial" w:hAnsi="Arial" w:cs="Arial"/>
            <w:i/>
            <w:iCs/>
            <w:sz w:val="22"/>
            <w:szCs w:val="22"/>
          </w:rPr>
          <w:t>Law, Structural Racism, and the COVID-19 Pandemic</w:t>
        </w:r>
      </w:hyperlink>
      <w:r w:rsidRPr="00CB73B6">
        <w:rPr>
          <w:rFonts w:ascii="Arial" w:hAnsi="Arial" w:cs="Arial"/>
          <w:sz w:val="22"/>
          <w:szCs w:val="22"/>
        </w:rPr>
        <w:t>, by (Journal of Law and the Biosciences, forthcoming).</w:t>
      </w:r>
    </w:p>
    <w:p w14:paraId="7BBC938D" w14:textId="77777777" w:rsidR="00CB73B6" w:rsidRPr="00CB73B6" w:rsidRDefault="00CB73B6" w:rsidP="00152F9F">
      <w:pPr>
        <w:pStyle w:val="NEXT"/>
        <w:numPr>
          <w:ilvl w:val="0"/>
          <w:numId w:val="11"/>
        </w:numPr>
        <w:rPr>
          <w:rStyle w:val="Hyperlink"/>
        </w:rPr>
      </w:pPr>
      <w:r w:rsidRPr="00CB73B6">
        <w:t xml:space="preserve">Optional: David R. Williams, Miles to go before we sleep: racial inequities in health. 53(3) J. Health Soc. </w:t>
      </w:r>
      <w:proofErr w:type="spellStart"/>
      <w:r w:rsidRPr="00CB73B6">
        <w:t>Behav</w:t>
      </w:r>
      <w:proofErr w:type="spellEnd"/>
      <w:r w:rsidRPr="00CB73B6">
        <w:t xml:space="preserve">. 279–295 (2012). </w:t>
      </w:r>
      <w:hyperlink r:id="rId39" w:history="1">
        <w:r w:rsidRPr="00CB73B6">
          <w:rPr>
            <w:rStyle w:val="Hyperlink"/>
          </w:rPr>
          <w:t>https://www.ncbi.nlm.nih.gov/pmc/articles/PMC3712789/pdf/nihms-491963.pdf</w:t>
        </w:r>
      </w:hyperlink>
      <w:r w:rsidRPr="00CB73B6">
        <w:rPr>
          <w:rStyle w:val="Hyperlink"/>
        </w:rPr>
        <w:t xml:space="preserve"> (last visited Apr. 28, 2020).</w:t>
      </w:r>
    </w:p>
    <w:p w14:paraId="0C7591F2" w14:textId="77777777" w:rsidR="00CB73B6" w:rsidRPr="00CB73B6" w:rsidRDefault="00CB73B6" w:rsidP="00072018">
      <w:pPr>
        <w:pStyle w:val="NEXT"/>
        <w:rPr>
          <w:rStyle w:val="Hyperlink"/>
        </w:rPr>
      </w:pPr>
    </w:p>
    <w:p w14:paraId="156C9EFF" w14:textId="77777777" w:rsidR="00CB73B6" w:rsidRPr="00CB73B6" w:rsidRDefault="00CB73B6" w:rsidP="00072018">
      <w:pPr>
        <w:pStyle w:val="NEXT"/>
        <w:rPr>
          <w:rStyle w:val="Hyperlink"/>
          <w:u w:val="none"/>
        </w:rPr>
      </w:pPr>
      <w:r w:rsidRPr="00CB73B6">
        <w:rPr>
          <w:rStyle w:val="Hyperlink"/>
          <w:color w:val="auto"/>
          <w:u w:val="none"/>
        </w:rPr>
        <w:t>Webinars: Optional but highly recommended for straightforward learning.</w:t>
      </w:r>
    </w:p>
    <w:p w14:paraId="031C6B51" w14:textId="77777777" w:rsidR="00CB73B6" w:rsidRPr="00CB73B6" w:rsidRDefault="00CB73B6" w:rsidP="00152F9F">
      <w:pPr>
        <w:pStyle w:val="NEXT"/>
        <w:numPr>
          <w:ilvl w:val="0"/>
          <w:numId w:val="15"/>
        </w:numPr>
      </w:pPr>
      <w:r w:rsidRPr="00CB73B6">
        <w:t xml:space="preserve">ChangeLab Solutions &amp; CDC Public Health Law Program, Public Health Law Academy: Public Health Law – Past &amp; Present, </w:t>
      </w:r>
      <w:hyperlink r:id="rId40" w:history="1">
        <w:r w:rsidRPr="00CB73B6">
          <w:rPr>
            <w:rStyle w:val="Hyperlink"/>
          </w:rPr>
          <w:t>https://www.changelabsolutions.org/good-governance/phla/intro-public-health-law</w:t>
        </w:r>
      </w:hyperlink>
      <w:r w:rsidRPr="00CB73B6">
        <w:rPr>
          <w:rStyle w:val="Hyperlink"/>
        </w:rPr>
        <w:t xml:space="preserve"> (last visited Apr. 28, 2020).</w:t>
      </w:r>
    </w:p>
    <w:p w14:paraId="744DAB42" w14:textId="77777777" w:rsidR="00CB73B6" w:rsidRPr="00CB73B6" w:rsidRDefault="00CB73B6" w:rsidP="00152F9F">
      <w:pPr>
        <w:pStyle w:val="NEXT"/>
        <w:numPr>
          <w:ilvl w:val="0"/>
          <w:numId w:val="15"/>
        </w:numPr>
      </w:pPr>
      <w:r w:rsidRPr="00CB73B6">
        <w:t xml:space="preserve">ChangeLab Solutions &amp; CDC Public Health Law Program, Public Health Law Academy: Structure of Government, </w:t>
      </w:r>
      <w:hyperlink r:id="rId41" w:history="1">
        <w:r w:rsidRPr="00CB73B6">
          <w:rPr>
            <w:rStyle w:val="Hyperlink"/>
          </w:rPr>
          <w:t>https://www.changelabsolutions.org/good-governance/phla/intro-public-health-law</w:t>
        </w:r>
      </w:hyperlink>
      <w:r w:rsidRPr="00CB73B6">
        <w:rPr>
          <w:rStyle w:val="Hyperlink"/>
        </w:rPr>
        <w:t xml:space="preserve"> (last visited Apr. 28, 2020).</w:t>
      </w:r>
    </w:p>
    <w:p w14:paraId="62B002F4" w14:textId="77777777" w:rsidR="00CB73B6" w:rsidRPr="00CB73B6" w:rsidRDefault="00CB73B6" w:rsidP="00CB73B6">
      <w:pPr>
        <w:rPr>
          <w:rFonts w:ascii="Arial" w:hAnsi="Arial" w:cs="Arial"/>
          <w:sz w:val="22"/>
          <w:szCs w:val="22"/>
        </w:rPr>
      </w:pPr>
    </w:p>
    <w:p w14:paraId="156E44DA"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Week 2: Identifying Public Health Problems and Identifying a Legal Response</w:t>
      </w:r>
    </w:p>
    <w:p w14:paraId="42541C7D" w14:textId="77777777" w:rsidR="00CB73B6" w:rsidRPr="00CB73B6" w:rsidRDefault="00CB73B6" w:rsidP="00CB73B6">
      <w:pPr>
        <w:pStyle w:val="ListParagraph"/>
        <w:rPr>
          <w:rFonts w:ascii="Arial" w:hAnsi="Arial" w:cs="Arial"/>
          <w:sz w:val="22"/>
          <w:szCs w:val="22"/>
        </w:rPr>
      </w:pPr>
    </w:p>
    <w:p w14:paraId="2FD5B137"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33FC6199" w14:textId="77777777" w:rsidR="00CB73B6" w:rsidRPr="00CB73B6" w:rsidRDefault="00CB73B6" w:rsidP="00CB73B6">
      <w:pPr>
        <w:rPr>
          <w:rFonts w:ascii="Arial" w:hAnsi="Arial" w:cs="Arial"/>
          <w:sz w:val="22"/>
          <w:szCs w:val="22"/>
        </w:rPr>
      </w:pPr>
      <w:r w:rsidRPr="00CB73B6">
        <w:rPr>
          <w:rStyle w:val="normaltextrun"/>
          <w:rFonts w:ascii="Arial" w:hAnsi="Arial" w:cs="Arial"/>
          <w:color w:val="000000"/>
          <w:sz w:val="22"/>
          <w:szCs w:val="22"/>
          <w:shd w:val="clear" w:color="auto" w:fill="FFFFFF"/>
        </w:rPr>
        <w:t xml:space="preserve">Leadership from all aspects of civic life shape the health of a community. We will learn how to identify </w:t>
      </w:r>
      <w:r w:rsidRPr="00CB73B6">
        <w:rPr>
          <w:rFonts w:ascii="Arial" w:hAnsi="Arial" w:cs="Arial"/>
          <w:sz w:val="22"/>
          <w:szCs w:val="22"/>
        </w:rPr>
        <w:t xml:space="preserve">public health priorities including research about economic and educational inequalities, maternal and child health outcomes, trends in preventable diseases, voting patterns, years of potential life lost, measures of lifetime impacts and the social drivers of health.  We’ll practice using interactive data bases that help identify public health problems across regions and populations to inform policymaking. </w:t>
      </w:r>
    </w:p>
    <w:p w14:paraId="74390385" w14:textId="77777777" w:rsidR="00CB73B6" w:rsidRPr="00CB73B6" w:rsidRDefault="00CB73B6" w:rsidP="00CB73B6">
      <w:pPr>
        <w:rPr>
          <w:rFonts w:ascii="Arial" w:hAnsi="Arial" w:cs="Arial"/>
          <w:sz w:val="22"/>
          <w:szCs w:val="22"/>
        </w:rPr>
      </w:pPr>
    </w:p>
    <w:p w14:paraId="4A48F675"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We also will explore legal approaches that can be used to promote public health and address specific health problems including restricting or mandating conduct, creating and enforcing licensing schemes, increasing the costs of unhealthy conduct and incentivizing healthy conduct, changing the informational environment, or modifying the built environment. We will identify potential constitutional and practical limitations to each approach. </w:t>
      </w:r>
    </w:p>
    <w:p w14:paraId="6C23CB21" w14:textId="77777777" w:rsidR="00CB73B6" w:rsidRPr="00CB73B6" w:rsidRDefault="00CB73B6" w:rsidP="00CB73B6">
      <w:pPr>
        <w:rPr>
          <w:rFonts w:ascii="Arial" w:hAnsi="Arial" w:cs="Arial"/>
          <w:sz w:val="22"/>
          <w:szCs w:val="22"/>
        </w:rPr>
      </w:pPr>
    </w:p>
    <w:p w14:paraId="3434AF05"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Finally, we will discuss the role of community-based participatory research to engage the residents most directly affected by public health problems and to build the political will for policy change throughout governmental structures. </w:t>
      </w:r>
    </w:p>
    <w:p w14:paraId="642B1A5F" w14:textId="77777777" w:rsidR="00CB73B6" w:rsidRPr="00CB73B6" w:rsidRDefault="00CB73B6" w:rsidP="00CB73B6">
      <w:pPr>
        <w:rPr>
          <w:rFonts w:ascii="Arial" w:hAnsi="Arial" w:cs="Arial"/>
          <w:sz w:val="22"/>
          <w:szCs w:val="22"/>
        </w:rPr>
      </w:pPr>
    </w:p>
    <w:p w14:paraId="649F9A42"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59EDB775" w14:textId="77777777" w:rsidR="00CB73B6" w:rsidRPr="00CB73B6" w:rsidRDefault="00CB73B6" w:rsidP="00152F9F">
      <w:pPr>
        <w:pStyle w:val="ListParagraph"/>
        <w:numPr>
          <w:ilvl w:val="0"/>
          <w:numId w:val="10"/>
        </w:numPr>
        <w:rPr>
          <w:rFonts w:ascii="Arial" w:hAnsi="Arial" w:cs="Arial"/>
          <w:sz w:val="22"/>
          <w:szCs w:val="22"/>
        </w:rPr>
      </w:pPr>
      <w:r w:rsidRPr="00CB73B6">
        <w:rPr>
          <w:rFonts w:ascii="Arial" w:hAnsi="Arial" w:cs="Arial"/>
          <w:sz w:val="22"/>
          <w:szCs w:val="22"/>
        </w:rPr>
        <w:t>Understand basic concepts and methods used in epidemiology to define, describe and investigate population health problems.</w:t>
      </w:r>
    </w:p>
    <w:p w14:paraId="0FA3E969" w14:textId="77777777" w:rsidR="00CB73B6" w:rsidRPr="00CB73B6" w:rsidRDefault="00CB73B6" w:rsidP="00152F9F">
      <w:pPr>
        <w:pStyle w:val="paragraph"/>
        <w:numPr>
          <w:ilvl w:val="0"/>
          <w:numId w:val="10"/>
        </w:numPr>
        <w:spacing w:before="0" w:beforeAutospacing="0" w:after="0" w:afterAutospacing="0"/>
        <w:textAlignment w:val="baseline"/>
        <w:rPr>
          <w:rFonts w:ascii="Arial" w:hAnsi="Arial" w:cs="Arial"/>
          <w:sz w:val="22"/>
          <w:szCs w:val="22"/>
        </w:rPr>
      </w:pPr>
      <w:r w:rsidRPr="00CB73B6">
        <w:rPr>
          <w:rStyle w:val="normaltextrun"/>
          <w:rFonts w:ascii="Arial" w:hAnsi="Arial" w:cs="Arial"/>
          <w:sz w:val="22"/>
          <w:szCs w:val="22"/>
        </w:rPr>
        <w:t>Grasp the fundamentals of policy surveillance.</w:t>
      </w:r>
      <w:r w:rsidRPr="00CB73B6">
        <w:rPr>
          <w:rStyle w:val="eop"/>
          <w:rFonts w:ascii="Arial" w:hAnsi="Arial" w:cs="Arial"/>
          <w:sz w:val="22"/>
          <w:szCs w:val="22"/>
        </w:rPr>
        <w:t> </w:t>
      </w:r>
    </w:p>
    <w:p w14:paraId="1E3E15D2" w14:textId="77777777" w:rsidR="00CB73B6" w:rsidRPr="00CB73B6" w:rsidRDefault="00CB73B6" w:rsidP="00152F9F">
      <w:pPr>
        <w:pStyle w:val="paragraph"/>
        <w:numPr>
          <w:ilvl w:val="0"/>
          <w:numId w:val="10"/>
        </w:numPr>
        <w:spacing w:before="0" w:beforeAutospacing="0" w:after="0" w:afterAutospacing="0"/>
        <w:textAlignment w:val="baseline"/>
        <w:rPr>
          <w:rStyle w:val="eop"/>
          <w:rFonts w:ascii="Arial" w:hAnsi="Arial" w:cs="Arial"/>
          <w:sz w:val="22"/>
          <w:szCs w:val="22"/>
        </w:rPr>
      </w:pPr>
      <w:r w:rsidRPr="00CB73B6">
        <w:rPr>
          <w:rStyle w:val="normaltextrun"/>
          <w:rFonts w:ascii="Arial" w:hAnsi="Arial" w:cs="Arial"/>
          <w:sz w:val="22"/>
          <w:szCs w:val="22"/>
        </w:rPr>
        <w:t>Apply the concept of mechanisms of legal effect to develop hypotheses about how laws influence health.</w:t>
      </w:r>
      <w:r w:rsidRPr="00CB73B6">
        <w:rPr>
          <w:rStyle w:val="eop"/>
          <w:rFonts w:ascii="Arial" w:hAnsi="Arial" w:cs="Arial"/>
          <w:sz w:val="22"/>
          <w:szCs w:val="22"/>
        </w:rPr>
        <w:t> </w:t>
      </w:r>
    </w:p>
    <w:p w14:paraId="4ED7E75D" w14:textId="77777777" w:rsidR="00CB73B6" w:rsidRPr="00CB73B6" w:rsidRDefault="00CB73B6" w:rsidP="00CB73B6">
      <w:pPr>
        <w:rPr>
          <w:rFonts w:ascii="Arial" w:hAnsi="Arial" w:cs="Arial"/>
          <w:sz w:val="22"/>
          <w:szCs w:val="22"/>
        </w:rPr>
      </w:pPr>
    </w:p>
    <w:p w14:paraId="4BD3BEF7"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1551DDF4" w14:textId="77777777" w:rsidR="00CB73B6" w:rsidRPr="00CB73B6" w:rsidRDefault="00CB73B6" w:rsidP="00152F9F">
      <w:pPr>
        <w:pStyle w:val="paragraph"/>
        <w:numPr>
          <w:ilvl w:val="0"/>
          <w:numId w:val="12"/>
        </w:numPr>
        <w:spacing w:before="0" w:beforeAutospacing="0" w:after="0" w:afterAutospacing="0"/>
        <w:textAlignment w:val="baseline"/>
        <w:rPr>
          <w:rFonts w:ascii="Arial" w:hAnsi="Arial" w:cs="Arial"/>
          <w:sz w:val="22"/>
          <w:szCs w:val="22"/>
        </w:rPr>
      </w:pPr>
      <w:r w:rsidRPr="00CB73B6">
        <w:rPr>
          <w:rFonts w:ascii="Arial" w:hAnsi="Arial" w:cs="Arial"/>
          <w:sz w:val="22"/>
          <w:szCs w:val="22"/>
        </w:rPr>
        <w:t>Chapters 5, 6 and 7.</w:t>
      </w:r>
    </w:p>
    <w:p w14:paraId="00BC936A" w14:textId="77777777" w:rsidR="00CB73B6" w:rsidRPr="00CB73B6" w:rsidRDefault="00CB73B6" w:rsidP="00152F9F">
      <w:pPr>
        <w:pStyle w:val="ListParagraph"/>
        <w:numPr>
          <w:ilvl w:val="0"/>
          <w:numId w:val="12"/>
        </w:numPr>
        <w:rPr>
          <w:rFonts w:ascii="Arial" w:hAnsi="Arial" w:cs="Arial"/>
          <w:b/>
          <w:bCs/>
          <w:sz w:val="22"/>
          <w:szCs w:val="22"/>
        </w:rPr>
      </w:pPr>
      <w:r w:rsidRPr="00CB73B6">
        <w:rPr>
          <w:rFonts w:ascii="Arial" w:hAnsi="Arial" w:cs="Arial"/>
          <w:sz w:val="22"/>
          <w:szCs w:val="22"/>
        </w:rPr>
        <w:t xml:space="preserve">Thomas R. Frieden, </w:t>
      </w:r>
      <w:r w:rsidRPr="00CB73B6">
        <w:rPr>
          <w:rFonts w:ascii="Arial" w:hAnsi="Arial" w:cs="Arial"/>
          <w:i/>
          <w:iCs/>
          <w:sz w:val="22"/>
          <w:szCs w:val="22"/>
        </w:rPr>
        <w:t>A Framework for Public Health Action: The Health Impact Pyramid</w:t>
      </w:r>
      <w:r w:rsidRPr="00CB73B6">
        <w:rPr>
          <w:rFonts w:ascii="Arial" w:hAnsi="Arial" w:cs="Arial"/>
          <w:sz w:val="22"/>
          <w:szCs w:val="22"/>
        </w:rPr>
        <w:t xml:space="preserve">, 100 Am. J. Public Health 590 (2010). </w:t>
      </w:r>
      <w:hyperlink r:id="rId42" w:history="1">
        <w:r w:rsidRPr="00CB73B6">
          <w:rPr>
            <w:rStyle w:val="Hyperlink"/>
            <w:rFonts w:ascii="Arial" w:hAnsi="Arial" w:cs="Arial"/>
            <w:sz w:val="22"/>
            <w:szCs w:val="22"/>
          </w:rPr>
          <w:t>https://ajph.aphapublications.org/doi/pdf/10.2105/AJPH.2009.185652</w:t>
        </w:r>
      </w:hyperlink>
      <w:r w:rsidRPr="00CB73B6">
        <w:rPr>
          <w:rStyle w:val="Hyperlink"/>
          <w:rFonts w:ascii="Arial" w:hAnsi="Arial" w:cs="Arial"/>
          <w:sz w:val="22"/>
          <w:szCs w:val="22"/>
        </w:rPr>
        <w:t xml:space="preserve"> (last visited Apr. 28, 2020)</w:t>
      </w:r>
      <w:r w:rsidRPr="00CB73B6">
        <w:rPr>
          <w:rFonts w:ascii="Arial" w:hAnsi="Arial" w:cs="Arial"/>
          <w:sz w:val="22"/>
          <w:szCs w:val="22"/>
        </w:rPr>
        <w:t xml:space="preserve"> </w:t>
      </w:r>
      <w:r w:rsidRPr="00CB73B6">
        <w:rPr>
          <w:rFonts w:ascii="Arial" w:hAnsi="Arial" w:cs="Arial"/>
          <w:b/>
          <w:bCs/>
          <w:sz w:val="22"/>
          <w:szCs w:val="22"/>
        </w:rPr>
        <w:t>Be prepared for a class activity on this reading.</w:t>
      </w:r>
    </w:p>
    <w:p w14:paraId="5D6FFEB5" w14:textId="77777777" w:rsidR="00CB73B6" w:rsidRPr="00CB73B6" w:rsidRDefault="00CB73B6" w:rsidP="00152F9F">
      <w:pPr>
        <w:pStyle w:val="ListParagraph"/>
        <w:numPr>
          <w:ilvl w:val="0"/>
          <w:numId w:val="11"/>
        </w:numPr>
        <w:autoSpaceDE w:val="0"/>
        <w:autoSpaceDN w:val="0"/>
        <w:adjustRightInd w:val="0"/>
        <w:rPr>
          <w:rStyle w:val="Hyperlink"/>
          <w:rFonts w:ascii="Arial" w:hAnsi="Arial" w:cs="Arial"/>
          <w:sz w:val="22"/>
          <w:szCs w:val="22"/>
        </w:rPr>
      </w:pPr>
      <w:r w:rsidRPr="00CB73B6">
        <w:rPr>
          <w:rFonts w:ascii="Arial" w:hAnsi="Arial" w:cs="Arial"/>
          <w:sz w:val="22"/>
          <w:szCs w:val="22"/>
        </w:rPr>
        <w:t xml:space="preserve">Richard A. Goodman et al.  </w:t>
      </w:r>
      <w:r w:rsidRPr="00CB73B6">
        <w:rPr>
          <w:rFonts w:ascii="Arial" w:hAnsi="Arial" w:cs="Arial"/>
          <w:i/>
          <w:iCs/>
          <w:sz w:val="22"/>
          <w:szCs w:val="22"/>
        </w:rPr>
        <w:t>Law and Public Health at CDC</w:t>
      </w:r>
      <w:r w:rsidRPr="00CB73B6">
        <w:rPr>
          <w:rFonts w:ascii="Arial" w:hAnsi="Arial" w:cs="Arial"/>
          <w:sz w:val="22"/>
          <w:szCs w:val="22"/>
        </w:rPr>
        <w:t xml:space="preserve">. 55 Suppl 2 MMWR </w:t>
      </w:r>
      <w:proofErr w:type="spellStart"/>
      <w:r w:rsidRPr="00CB73B6">
        <w:rPr>
          <w:rFonts w:ascii="Arial" w:hAnsi="Arial" w:cs="Arial"/>
          <w:sz w:val="22"/>
          <w:szCs w:val="22"/>
        </w:rPr>
        <w:t>Morb</w:t>
      </w:r>
      <w:proofErr w:type="spellEnd"/>
      <w:r w:rsidRPr="00CB73B6">
        <w:rPr>
          <w:rFonts w:ascii="Arial" w:hAnsi="Arial" w:cs="Arial"/>
          <w:sz w:val="22"/>
          <w:szCs w:val="22"/>
        </w:rPr>
        <w:t xml:space="preserve">. </w:t>
      </w:r>
      <w:proofErr w:type="spellStart"/>
      <w:r w:rsidRPr="00CB73B6">
        <w:rPr>
          <w:rFonts w:ascii="Arial" w:hAnsi="Arial" w:cs="Arial"/>
          <w:sz w:val="22"/>
          <w:szCs w:val="22"/>
        </w:rPr>
        <w:t>Mortal.Wkly</w:t>
      </w:r>
      <w:proofErr w:type="spellEnd"/>
      <w:r w:rsidRPr="00CB73B6">
        <w:rPr>
          <w:rFonts w:ascii="Arial" w:hAnsi="Arial" w:cs="Arial"/>
          <w:sz w:val="22"/>
          <w:szCs w:val="22"/>
        </w:rPr>
        <w:t>. Rep.</w:t>
      </w:r>
      <w:r w:rsidRPr="00CB73B6">
        <w:rPr>
          <w:rFonts w:ascii="Arial" w:hAnsi="Arial" w:cs="Arial"/>
          <w:i/>
          <w:iCs/>
          <w:sz w:val="22"/>
          <w:szCs w:val="22"/>
        </w:rPr>
        <w:t xml:space="preserve">, </w:t>
      </w:r>
      <w:r w:rsidRPr="00CB73B6">
        <w:rPr>
          <w:rFonts w:ascii="Arial" w:hAnsi="Arial" w:cs="Arial"/>
          <w:sz w:val="22"/>
          <w:szCs w:val="22"/>
        </w:rPr>
        <w:t xml:space="preserve">29-33 (2006). </w:t>
      </w:r>
      <w:hyperlink r:id="rId43" w:history="1">
        <w:r w:rsidRPr="00CB73B6">
          <w:rPr>
            <w:rStyle w:val="Hyperlink"/>
            <w:rFonts w:ascii="Arial" w:hAnsi="Arial" w:cs="Arial"/>
            <w:sz w:val="22"/>
            <w:szCs w:val="22"/>
          </w:rPr>
          <w:t>https://www.cdc.gov/mmwr/preview/mmwrhtml/su5502a11.htm</w:t>
        </w:r>
      </w:hyperlink>
      <w:r w:rsidRPr="00CB73B6">
        <w:rPr>
          <w:rStyle w:val="Hyperlink"/>
          <w:rFonts w:ascii="Arial" w:hAnsi="Arial" w:cs="Arial"/>
          <w:sz w:val="22"/>
          <w:szCs w:val="22"/>
        </w:rPr>
        <w:t xml:space="preserve"> (last visited on April 28, 2020).</w:t>
      </w:r>
    </w:p>
    <w:p w14:paraId="2C8B3E3F" w14:textId="77777777" w:rsidR="00CB73B6" w:rsidRPr="00CB73B6" w:rsidRDefault="00CB73B6" w:rsidP="00152F9F">
      <w:pPr>
        <w:pStyle w:val="ListParagraph"/>
        <w:numPr>
          <w:ilvl w:val="0"/>
          <w:numId w:val="11"/>
        </w:numPr>
        <w:autoSpaceDE w:val="0"/>
        <w:autoSpaceDN w:val="0"/>
        <w:adjustRightInd w:val="0"/>
        <w:rPr>
          <w:rFonts w:ascii="Arial" w:hAnsi="Arial" w:cs="Arial"/>
          <w:sz w:val="22"/>
          <w:szCs w:val="22"/>
        </w:rPr>
      </w:pPr>
      <w:r w:rsidRPr="00CB73B6">
        <w:rPr>
          <w:rFonts w:ascii="Arial" w:hAnsi="Arial" w:cs="Arial"/>
          <w:sz w:val="22"/>
          <w:szCs w:val="22"/>
        </w:rPr>
        <w:t xml:space="preserve">Tara Ramanathan et al. </w:t>
      </w:r>
      <w:r w:rsidRPr="00CB73B6">
        <w:rPr>
          <w:rFonts w:ascii="Arial" w:hAnsi="Arial" w:cs="Arial"/>
          <w:i/>
          <w:iCs/>
          <w:sz w:val="22"/>
          <w:szCs w:val="22"/>
        </w:rPr>
        <w:t>Legal Epidemiology: The Science of Law</w:t>
      </w:r>
      <w:r w:rsidRPr="00CB73B6">
        <w:rPr>
          <w:rFonts w:ascii="Arial" w:hAnsi="Arial" w:cs="Arial"/>
          <w:sz w:val="22"/>
          <w:szCs w:val="22"/>
        </w:rPr>
        <w:t>,</w:t>
      </w:r>
      <w:r w:rsidRPr="00CB73B6">
        <w:rPr>
          <w:rFonts w:ascii="Arial" w:hAnsi="Arial" w:cs="Arial"/>
          <w:i/>
          <w:iCs/>
          <w:sz w:val="22"/>
          <w:szCs w:val="22"/>
        </w:rPr>
        <w:t xml:space="preserve"> </w:t>
      </w:r>
      <w:r w:rsidRPr="00CB73B6">
        <w:rPr>
          <w:rFonts w:ascii="Arial" w:hAnsi="Arial" w:cs="Arial"/>
          <w:sz w:val="22"/>
          <w:szCs w:val="22"/>
        </w:rPr>
        <w:t>45 (1 Supp) J. Law, Med. &amp; Eth.</w:t>
      </w:r>
      <w:r w:rsidRPr="00CB73B6">
        <w:rPr>
          <w:rFonts w:ascii="Arial" w:hAnsi="Arial" w:cs="Arial"/>
          <w:i/>
          <w:iCs/>
          <w:sz w:val="22"/>
          <w:szCs w:val="22"/>
        </w:rPr>
        <w:t xml:space="preserve">, </w:t>
      </w:r>
      <w:r w:rsidRPr="00CB73B6">
        <w:rPr>
          <w:rFonts w:ascii="Arial" w:hAnsi="Arial" w:cs="Arial"/>
          <w:sz w:val="22"/>
          <w:szCs w:val="22"/>
        </w:rPr>
        <w:t>69-72 (2017).</w:t>
      </w:r>
    </w:p>
    <w:p w14:paraId="74DFC9AE" w14:textId="77777777" w:rsidR="00CB73B6" w:rsidRPr="00CB73B6" w:rsidRDefault="00CB73B6" w:rsidP="00152F9F">
      <w:pPr>
        <w:pStyle w:val="paragraph"/>
        <w:numPr>
          <w:ilvl w:val="0"/>
          <w:numId w:val="11"/>
        </w:numPr>
        <w:spacing w:before="0" w:beforeAutospacing="0" w:after="0" w:afterAutospacing="0"/>
        <w:textAlignment w:val="baseline"/>
        <w:rPr>
          <w:rStyle w:val="Hyperlink"/>
          <w:rFonts w:ascii="Arial" w:hAnsi="Arial" w:cs="Arial"/>
          <w:sz w:val="22"/>
          <w:szCs w:val="22"/>
        </w:rPr>
      </w:pPr>
      <w:r w:rsidRPr="00CB73B6">
        <w:rPr>
          <w:rStyle w:val="Hyperlink"/>
          <w:rFonts w:ascii="Arial" w:hAnsi="Arial" w:cs="Arial"/>
          <w:color w:val="auto"/>
          <w:sz w:val="22"/>
          <w:szCs w:val="22"/>
          <w:u w:val="none"/>
        </w:rPr>
        <w:t xml:space="preserve">David </w:t>
      </w:r>
      <w:proofErr w:type="spellStart"/>
      <w:r w:rsidRPr="00CB73B6">
        <w:rPr>
          <w:rStyle w:val="Hyperlink"/>
          <w:rFonts w:ascii="Arial" w:hAnsi="Arial" w:cs="Arial"/>
          <w:color w:val="auto"/>
          <w:sz w:val="22"/>
          <w:szCs w:val="22"/>
          <w:u w:val="none"/>
        </w:rPr>
        <w:t>Satcher</w:t>
      </w:r>
      <w:proofErr w:type="spellEnd"/>
      <w:r w:rsidRPr="00CB73B6">
        <w:rPr>
          <w:rStyle w:val="Hyperlink"/>
          <w:rFonts w:ascii="Arial" w:hAnsi="Arial" w:cs="Arial"/>
          <w:color w:val="auto"/>
          <w:sz w:val="22"/>
          <w:szCs w:val="22"/>
          <w:u w:val="none"/>
        </w:rPr>
        <w:t>, The Initiative to Eliminate Racial and Ethnic Health Disparities Is Moving Forward. 114 Public Health Reports 283, May/June (1999).</w:t>
      </w:r>
      <w:r w:rsidRPr="00CB73B6">
        <w:rPr>
          <w:rStyle w:val="Hyperlink"/>
          <w:rFonts w:ascii="Arial" w:hAnsi="Arial" w:cs="Arial"/>
          <w:color w:val="auto"/>
          <w:sz w:val="22"/>
          <w:szCs w:val="22"/>
        </w:rPr>
        <w:t xml:space="preserve"> </w:t>
      </w:r>
      <w:hyperlink r:id="rId44" w:history="1">
        <w:r w:rsidRPr="00CB73B6">
          <w:rPr>
            <w:rStyle w:val="Hyperlink"/>
            <w:rFonts w:ascii="Arial" w:hAnsi="Arial" w:cs="Arial"/>
            <w:sz w:val="22"/>
            <w:szCs w:val="22"/>
          </w:rPr>
          <w:t>https://www.ncbi.nlm.nih.gov/pmc/articles/PMC1308482/pdf/pubhealthrep00027-0085.pdf</w:t>
        </w:r>
      </w:hyperlink>
      <w:r w:rsidRPr="00CB73B6">
        <w:rPr>
          <w:rStyle w:val="Hyperlink"/>
          <w:rFonts w:ascii="Arial" w:hAnsi="Arial" w:cs="Arial"/>
          <w:sz w:val="22"/>
          <w:szCs w:val="22"/>
        </w:rPr>
        <w:t xml:space="preserve"> (last visited on April 28, 2020).</w:t>
      </w:r>
    </w:p>
    <w:p w14:paraId="48490D66" w14:textId="77777777" w:rsidR="00CB73B6" w:rsidRPr="00CB73B6" w:rsidRDefault="00CB73B6" w:rsidP="00CB73B6">
      <w:pPr>
        <w:pStyle w:val="paragraph"/>
        <w:spacing w:before="0" w:beforeAutospacing="0" w:after="0" w:afterAutospacing="0"/>
        <w:ind w:left="720"/>
        <w:textAlignment w:val="baseline"/>
        <w:rPr>
          <w:rStyle w:val="Hyperlink"/>
          <w:rFonts w:ascii="Arial" w:hAnsi="Arial" w:cs="Arial"/>
          <w:sz w:val="22"/>
          <w:szCs w:val="22"/>
        </w:rPr>
      </w:pPr>
    </w:p>
    <w:p w14:paraId="3593DF31" w14:textId="77777777" w:rsidR="00CB73B6" w:rsidRPr="00CB73B6" w:rsidRDefault="00CB73B6" w:rsidP="00CB73B6">
      <w:pPr>
        <w:autoSpaceDE w:val="0"/>
        <w:autoSpaceDN w:val="0"/>
        <w:adjustRightInd w:val="0"/>
        <w:rPr>
          <w:rFonts w:ascii="Arial" w:hAnsi="Arial" w:cs="Arial"/>
          <w:b/>
          <w:bCs/>
          <w:sz w:val="22"/>
          <w:szCs w:val="22"/>
        </w:rPr>
      </w:pPr>
      <w:r w:rsidRPr="00CB73B6">
        <w:rPr>
          <w:rFonts w:ascii="Arial" w:hAnsi="Arial" w:cs="Arial"/>
          <w:sz w:val="22"/>
          <w:szCs w:val="22"/>
        </w:rPr>
        <w:t xml:space="preserve">Websites: </w:t>
      </w:r>
      <w:r w:rsidRPr="00CB73B6">
        <w:rPr>
          <w:rFonts w:ascii="Arial" w:hAnsi="Arial" w:cs="Arial"/>
          <w:b/>
          <w:bCs/>
          <w:sz w:val="22"/>
          <w:szCs w:val="22"/>
        </w:rPr>
        <w:t>Be prepared for a class activity related to data from these websites:</w:t>
      </w:r>
    </w:p>
    <w:p w14:paraId="04E62C2D" w14:textId="77777777" w:rsidR="00CB73B6" w:rsidRPr="00CB73B6" w:rsidRDefault="00CB73B6" w:rsidP="00152F9F">
      <w:pPr>
        <w:pStyle w:val="ListParagraph"/>
        <w:numPr>
          <w:ilvl w:val="0"/>
          <w:numId w:val="11"/>
        </w:numPr>
        <w:autoSpaceDE w:val="0"/>
        <w:autoSpaceDN w:val="0"/>
        <w:adjustRightInd w:val="0"/>
        <w:rPr>
          <w:rStyle w:val="Hyperlink"/>
          <w:rFonts w:ascii="Arial" w:hAnsi="Arial" w:cs="Arial"/>
          <w:sz w:val="22"/>
          <w:szCs w:val="22"/>
        </w:rPr>
      </w:pPr>
      <w:r w:rsidRPr="00CB73B6">
        <w:rPr>
          <w:rFonts w:ascii="Arial" w:hAnsi="Arial" w:cs="Arial"/>
          <w:color w:val="000000"/>
          <w:sz w:val="22"/>
          <w:szCs w:val="22"/>
          <w:shd w:val="clear" w:color="auto" w:fill="FFFFFF"/>
        </w:rPr>
        <w:t xml:space="preserve">Centers for Disease Control and Prevention. </w:t>
      </w:r>
      <w:r w:rsidRPr="00CB73B6">
        <w:rPr>
          <w:rFonts w:ascii="Arial" w:hAnsi="Arial" w:cs="Arial"/>
          <w:i/>
          <w:iCs/>
          <w:color w:val="000000"/>
          <w:sz w:val="22"/>
          <w:szCs w:val="22"/>
          <w:shd w:val="clear" w:color="auto" w:fill="FFFFFF"/>
        </w:rPr>
        <w:t>Introduction to Epidemiology.</w:t>
      </w:r>
      <w:r w:rsidRPr="00CB73B6">
        <w:rPr>
          <w:rFonts w:ascii="Arial" w:hAnsi="Arial" w:cs="Arial"/>
          <w:color w:val="000000"/>
          <w:sz w:val="22"/>
          <w:szCs w:val="22"/>
          <w:shd w:val="clear" w:color="auto" w:fill="FFFFFF"/>
        </w:rPr>
        <w:t xml:space="preserve"> In: Public Health 101 Series. Atlanta, GA: U.S. Department of Health and Human Services, CDC; 2014. Available at:</w:t>
      </w:r>
      <w:r w:rsidRPr="00CB73B6">
        <w:rPr>
          <w:rFonts w:ascii="Arial" w:hAnsi="Arial" w:cs="Arial"/>
          <w:sz w:val="22"/>
          <w:szCs w:val="22"/>
        </w:rPr>
        <w:t xml:space="preserve"> </w:t>
      </w:r>
      <w:hyperlink r:id="rId45" w:history="1">
        <w:r w:rsidRPr="00CB73B6">
          <w:rPr>
            <w:rStyle w:val="Hyperlink"/>
            <w:rFonts w:ascii="Arial" w:hAnsi="Arial" w:cs="Arial"/>
            <w:sz w:val="22"/>
            <w:szCs w:val="22"/>
          </w:rPr>
          <w:t>https://www.cdc.gov/publichealth101/e-learning/epidemiology/</w:t>
        </w:r>
      </w:hyperlink>
    </w:p>
    <w:p w14:paraId="0D3977DE" w14:textId="77777777" w:rsidR="00CB73B6" w:rsidRPr="00CB73B6" w:rsidRDefault="00CB73B6" w:rsidP="00152F9F">
      <w:pPr>
        <w:pStyle w:val="ListParagraph"/>
        <w:numPr>
          <w:ilvl w:val="0"/>
          <w:numId w:val="11"/>
        </w:numPr>
        <w:autoSpaceDE w:val="0"/>
        <w:autoSpaceDN w:val="0"/>
        <w:adjustRightInd w:val="0"/>
        <w:rPr>
          <w:rStyle w:val="Hyperlink"/>
          <w:rFonts w:ascii="Arial" w:hAnsi="Arial" w:cs="Arial"/>
          <w:sz w:val="22"/>
          <w:szCs w:val="22"/>
        </w:rPr>
      </w:pPr>
      <w:r w:rsidRPr="00CB73B6">
        <w:rPr>
          <w:rFonts w:ascii="Arial" w:hAnsi="Arial" w:cs="Arial"/>
          <w:sz w:val="22"/>
          <w:szCs w:val="22"/>
        </w:rPr>
        <w:t xml:space="preserve">Centers for Disease Control, </w:t>
      </w:r>
      <w:r w:rsidRPr="00CB73B6">
        <w:rPr>
          <w:rFonts w:ascii="Arial" w:hAnsi="Arial" w:cs="Arial"/>
          <w:i/>
          <w:iCs/>
          <w:sz w:val="22"/>
          <w:szCs w:val="22"/>
        </w:rPr>
        <w:t>Ten great public health achievements--United States, 1900-1999</w:t>
      </w:r>
      <w:r w:rsidRPr="00CB73B6">
        <w:rPr>
          <w:rFonts w:ascii="Arial" w:hAnsi="Arial" w:cs="Arial"/>
          <w:sz w:val="22"/>
          <w:szCs w:val="22"/>
        </w:rPr>
        <w:t xml:space="preserve">. MMWR </w:t>
      </w:r>
      <w:proofErr w:type="spellStart"/>
      <w:r w:rsidRPr="00CB73B6">
        <w:rPr>
          <w:rFonts w:ascii="Arial" w:hAnsi="Arial" w:cs="Arial"/>
          <w:sz w:val="22"/>
          <w:szCs w:val="22"/>
        </w:rPr>
        <w:t>Morb</w:t>
      </w:r>
      <w:proofErr w:type="spellEnd"/>
      <w:r w:rsidRPr="00CB73B6">
        <w:rPr>
          <w:rFonts w:ascii="Arial" w:hAnsi="Arial" w:cs="Arial"/>
          <w:sz w:val="22"/>
          <w:szCs w:val="22"/>
        </w:rPr>
        <w:t xml:space="preserve"> Mortal </w:t>
      </w:r>
      <w:proofErr w:type="spellStart"/>
      <w:r w:rsidRPr="00CB73B6">
        <w:rPr>
          <w:rFonts w:ascii="Arial" w:hAnsi="Arial" w:cs="Arial"/>
          <w:sz w:val="22"/>
          <w:szCs w:val="22"/>
        </w:rPr>
        <w:t>Wkly</w:t>
      </w:r>
      <w:proofErr w:type="spellEnd"/>
      <w:r w:rsidRPr="00CB73B6">
        <w:rPr>
          <w:rFonts w:ascii="Arial" w:hAnsi="Arial" w:cs="Arial"/>
          <w:sz w:val="22"/>
          <w:szCs w:val="22"/>
        </w:rPr>
        <w:t xml:space="preserve"> Rep</w:t>
      </w:r>
      <w:r w:rsidRPr="00CB73B6">
        <w:rPr>
          <w:rFonts w:ascii="Arial" w:hAnsi="Arial" w:cs="Arial"/>
          <w:i/>
          <w:iCs/>
          <w:sz w:val="22"/>
          <w:szCs w:val="22"/>
        </w:rPr>
        <w:t>, 48</w:t>
      </w:r>
      <w:r w:rsidRPr="00CB73B6">
        <w:rPr>
          <w:rFonts w:ascii="Arial" w:hAnsi="Arial" w:cs="Arial"/>
          <w:sz w:val="22"/>
          <w:szCs w:val="22"/>
        </w:rPr>
        <w:t xml:space="preserve">(12), 241-243 (1999). </w:t>
      </w:r>
      <w:hyperlink r:id="rId46" w:history="1">
        <w:r w:rsidRPr="00CB73B6">
          <w:rPr>
            <w:rStyle w:val="Hyperlink"/>
            <w:rFonts w:ascii="Arial" w:hAnsi="Arial" w:cs="Arial"/>
            <w:sz w:val="22"/>
            <w:szCs w:val="22"/>
          </w:rPr>
          <w:t>https://www.cdc.gov/mmwr/preview/mmwrhtml/00056796.htm</w:t>
        </w:r>
      </w:hyperlink>
      <w:r w:rsidRPr="00CB73B6">
        <w:rPr>
          <w:rStyle w:val="Hyperlink"/>
          <w:rFonts w:ascii="Arial" w:hAnsi="Arial" w:cs="Arial"/>
          <w:sz w:val="22"/>
          <w:szCs w:val="22"/>
        </w:rPr>
        <w:t xml:space="preserve"> (last visited on April 28, 2020).</w:t>
      </w:r>
    </w:p>
    <w:p w14:paraId="70B837FE" w14:textId="77777777" w:rsidR="00CB73B6" w:rsidRPr="00CB73B6" w:rsidRDefault="00CB73B6" w:rsidP="00152F9F">
      <w:pPr>
        <w:pStyle w:val="paragraph"/>
        <w:numPr>
          <w:ilvl w:val="0"/>
          <w:numId w:val="11"/>
        </w:numPr>
        <w:spacing w:before="0" w:beforeAutospacing="0" w:after="0" w:afterAutospacing="0"/>
        <w:textAlignment w:val="baseline"/>
        <w:rPr>
          <w:rFonts w:ascii="Arial" w:hAnsi="Arial" w:cs="Arial"/>
          <w:sz w:val="22"/>
          <w:szCs w:val="22"/>
        </w:rPr>
      </w:pPr>
      <w:r w:rsidRPr="00CB73B6">
        <w:rPr>
          <w:rFonts w:ascii="Arial" w:hAnsi="Arial" w:cs="Arial"/>
          <w:sz w:val="22"/>
          <w:szCs w:val="22"/>
        </w:rPr>
        <w:t xml:space="preserve">Centers for Disease Control, </w:t>
      </w:r>
      <w:r w:rsidRPr="00CB73B6">
        <w:rPr>
          <w:rFonts w:ascii="Arial" w:hAnsi="Arial" w:cs="Arial"/>
          <w:i/>
          <w:iCs/>
          <w:sz w:val="22"/>
          <w:szCs w:val="22"/>
        </w:rPr>
        <w:t>500 Cities: Local Data for Better Health</w:t>
      </w:r>
      <w:r w:rsidRPr="00CB73B6">
        <w:rPr>
          <w:rFonts w:ascii="Arial" w:hAnsi="Arial" w:cs="Arial"/>
          <w:sz w:val="22"/>
          <w:szCs w:val="22"/>
        </w:rPr>
        <w:t xml:space="preserve">, </w:t>
      </w:r>
      <w:hyperlink r:id="rId47" w:history="1">
        <w:r w:rsidRPr="00CB73B6">
          <w:rPr>
            <w:rStyle w:val="Hyperlink"/>
            <w:rFonts w:ascii="Arial" w:hAnsi="Arial" w:cs="Arial"/>
            <w:sz w:val="22"/>
            <w:szCs w:val="22"/>
          </w:rPr>
          <w:t>https://www.cdc.gov/500cities/</w:t>
        </w:r>
      </w:hyperlink>
      <w:r w:rsidRPr="00CB73B6">
        <w:rPr>
          <w:rFonts w:ascii="Arial" w:hAnsi="Arial" w:cs="Arial"/>
          <w:sz w:val="22"/>
          <w:szCs w:val="22"/>
        </w:rPr>
        <w:t>.</w:t>
      </w:r>
    </w:p>
    <w:p w14:paraId="6648FBE3" w14:textId="77777777" w:rsidR="00CB73B6" w:rsidRPr="00CB73B6" w:rsidRDefault="00CB73B6" w:rsidP="00152F9F">
      <w:pPr>
        <w:pStyle w:val="paragraph"/>
        <w:numPr>
          <w:ilvl w:val="0"/>
          <w:numId w:val="11"/>
        </w:numPr>
        <w:spacing w:before="0" w:beforeAutospacing="0" w:after="0" w:afterAutospacing="0"/>
        <w:textAlignment w:val="baseline"/>
        <w:rPr>
          <w:rFonts w:ascii="Arial" w:hAnsi="Arial" w:cs="Arial"/>
          <w:sz w:val="22"/>
          <w:szCs w:val="22"/>
        </w:rPr>
      </w:pPr>
      <w:r w:rsidRPr="00CB73B6">
        <w:rPr>
          <w:rFonts w:ascii="Arial" w:hAnsi="Arial" w:cs="Arial"/>
          <w:sz w:val="22"/>
          <w:szCs w:val="22"/>
        </w:rPr>
        <w:t xml:space="preserve">CDC data on race and ethnicity during COVID-19: </w:t>
      </w:r>
      <w:hyperlink r:id="rId48" w:history="1">
        <w:r w:rsidRPr="00CB73B6">
          <w:rPr>
            <w:rStyle w:val="Hyperlink"/>
            <w:rFonts w:ascii="Arial" w:hAnsi="Arial" w:cs="Arial"/>
            <w:sz w:val="22"/>
            <w:szCs w:val="22"/>
          </w:rPr>
          <w:t>https://www.cdc.gov/coronavirus/2019-ncov/community/health-equity/race-ethnicity.html</w:t>
        </w:r>
      </w:hyperlink>
    </w:p>
    <w:p w14:paraId="18F433F8" w14:textId="77777777" w:rsidR="00CB73B6" w:rsidRPr="00CB73B6" w:rsidRDefault="00CB73B6" w:rsidP="00152F9F">
      <w:pPr>
        <w:pStyle w:val="paragraph"/>
        <w:numPr>
          <w:ilvl w:val="0"/>
          <w:numId w:val="11"/>
        </w:numPr>
        <w:spacing w:before="0" w:beforeAutospacing="0" w:after="0" w:afterAutospacing="0"/>
        <w:textAlignment w:val="baseline"/>
        <w:rPr>
          <w:rFonts w:ascii="Arial" w:hAnsi="Arial" w:cs="Arial"/>
          <w:sz w:val="22"/>
          <w:szCs w:val="22"/>
        </w:rPr>
      </w:pPr>
      <w:r w:rsidRPr="00CB73B6">
        <w:rPr>
          <w:rFonts w:ascii="Arial" w:hAnsi="Arial" w:cs="Arial"/>
          <w:sz w:val="22"/>
          <w:szCs w:val="22"/>
        </w:rPr>
        <w:t xml:space="preserve">County Health Rankings Action Learning Guides </w:t>
      </w:r>
      <w:hyperlink r:id="rId49" w:anchor="/1/0" w:history="1">
        <w:r w:rsidRPr="00CB73B6">
          <w:rPr>
            <w:rStyle w:val="Hyperlink"/>
            <w:rFonts w:ascii="Arial" w:hAnsi="Arial" w:cs="Arial"/>
            <w:sz w:val="22"/>
            <w:szCs w:val="22"/>
          </w:rPr>
          <w:t>https://www.countyhealthrankings.org/take-action-to-improve-health/learning-guides/what-are-data#/1/0</w:t>
        </w:r>
      </w:hyperlink>
      <w:r w:rsidRPr="00CB73B6">
        <w:rPr>
          <w:rFonts w:ascii="Arial" w:hAnsi="Arial" w:cs="Arial"/>
          <w:sz w:val="22"/>
          <w:szCs w:val="22"/>
        </w:rPr>
        <w:t>.</w:t>
      </w:r>
    </w:p>
    <w:p w14:paraId="6B7A7846" w14:textId="7D370C60" w:rsidR="00CB73B6" w:rsidRPr="00CB73B6" w:rsidRDefault="00CB73B6" w:rsidP="00152F9F">
      <w:pPr>
        <w:pStyle w:val="paragraph"/>
        <w:numPr>
          <w:ilvl w:val="0"/>
          <w:numId w:val="11"/>
        </w:numPr>
        <w:autoSpaceDE w:val="0"/>
        <w:autoSpaceDN w:val="0"/>
        <w:adjustRightInd w:val="0"/>
        <w:spacing w:before="0" w:beforeAutospacing="0" w:after="0" w:afterAutospacing="0"/>
        <w:textAlignment w:val="baseline"/>
        <w:rPr>
          <w:rStyle w:val="Hyperlink"/>
          <w:rFonts w:ascii="Arial" w:hAnsi="Arial" w:cs="Arial"/>
          <w:color w:val="auto"/>
          <w:sz w:val="22"/>
          <w:szCs w:val="22"/>
          <w:u w:val="none"/>
        </w:rPr>
      </w:pPr>
      <w:r w:rsidRPr="00CB73B6">
        <w:rPr>
          <w:rFonts w:ascii="Arial" w:hAnsi="Arial" w:cs="Arial"/>
          <w:sz w:val="22"/>
          <w:szCs w:val="22"/>
        </w:rPr>
        <w:t xml:space="preserve">City Health Dashboard </w:t>
      </w:r>
      <w:hyperlink r:id="rId50" w:history="1">
        <w:r w:rsidRPr="00CB73B6">
          <w:rPr>
            <w:rStyle w:val="Hyperlink"/>
            <w:rFonts w:ascii="Arial" w:hAnsi="Arial" w:cs="Arial"/>
            <w:sz w:val="22"/>
            <w:szCs w:val="22"/>
          </w:rPr>
          <w:t>https://www.cityhealthdashboard.com/</w:t>
        </w:r>
      </w:hyperlink>
    </w:p>
    <w:p w14:paraId="43E2C632" w14:textId="5918505D" w:rsidR="00CB73B6" w:rsidRPr="00CB73B6" w:rsidRDefault="00CB73B6" w:rsidP="00152F9F">
      <w:pPr>
        <w:pStyle w:val="paragraph"/>
        <w:numPr>
          <w:ilvl w:val="0"/>
          <w:numId w:val="11"/>
        </w:numPr>
        <w:autoSpaceDE w:val="0"/>
        <w:autoSpaceDN w:val="0"/>
        <w:adjustRightInd w:val="0"/>
        <w:spacing w:before="0" w:beforeAutospacing="0" w:after="0" w:afterAutospacing="0"/>
        <w:textAlignment w:val="baseline"/>
        <w:rPr>
          <w:rFonts w:ascii="Arial" w:hAnsi="Arial" w:cs="Arial"/>
          <w:sz w:val="22"/>
          <w:szCs w:val="22"/>
        </w:rPr>
      </w:pPr>
      <w:r w:rsidRPr="00CB73B6">
        <w:rPr>
          <w:rStyle w:val="Hyperlink"/>
          <w:rFonts w:ascii="Arial" w:hAnsi="Arial" w:cs="Arial"/>
          <w:color w:val="auto"/>
          <w:sz w:val="22"/>
          <w:szCs w:val="22"/>
          <w:u w:val="none"/>
        </w:rPr>
        <w:t xml:space="preserve">Law Atlas </w:t>
      </w:r>
      <w:hyperlink r:id="rId51" w:history="1">
        <w:r w:rsidRPr="00CB73B6">
          <w:rPr>
            <w:rStyle w:val="Hyperlink"/>
            <w:rFonts w:ascii="Arial" w:hAnsi="Arial" w:cs="Arial"/>
            <w:sz w:val="22"/>
            <w:szCs w:val="22"/>
          </w:rPr>
          <w:t>https://lawatlas.org/</w:t>
        </w:r>
      </w:hyperlink>
    </w:p>
    <w:p w14:paraId="546504B3" w14:textId="77777777" w:rsidR="00CB73B6" w:rsidRPr="00CB73B6" w:rsidRDefault="00CB73B6" w:rsidP="00072018">
      <w:pPr>
        <w:pStyle w:val="NEXT"/>
      </w:pPr>
    </w:p>
    <w:p w14:paraId="427216D3" w14:textId="77777777" w:rsidR="00CB73B6" w:rsidRPr="00CB73B6" w:rsidRDefault="00CB73B6" w:rsidP="00072018">
      <w:pPr>
        <w:pStyle w:val="NEXT"/>
      </w:pPr>
      <w:r w:rsidRPr="00CB73B6">
        <w:t>Optional (but helpful) Quick Reads – these short articles illuminate public health and racial equity issues during COVID-19.</w:t>
      </w:r>
    </w:p>
    <w:p w14:paraId="2DE287A7" w14:textId="77777777" w:rsidR="00CB73B6" w:rsidRPr="00CB73B6" w:rsidRDefault="00CB73B6" w:rsidP="00152F9F">
      <w:pPr>
        <w:pStyle w:val="paragraph"/>
        <w:numPr>
          <w:ilvl w:val="0"/>
          <w:numId w:val="30"/>
        </w:numPr>
        <w:spacing w:before="0" w:beforeAutospacing="0" w:after="0" w:afterAutospacing="0"/>
        <w:textAlignment w:val="baseline"/>
        <w:rPr>
          <w:rStyle w:val="Hyperlink"/>
          <w:rFonts w:ascii="Arial" w:hAnsi="Arial" w:cs="Arial"/>
          <w:sz w:val="22"/>
          <w:szCs w:val="22"/>
        </w:rPr>
      </w:pPr>
      <w:r w:rsidRPr="00CB73B6">
        <w:rPr>
          <w:rFonts w:ascii="Arial" w:hAnsi="Arial" w:cs="Arial"/>
          <w:sz w:val="22"/>
          <w:szCs w:val="22"/>
        </w:rPr>
        <w:t xml:space="preserve">Osagie </w:t>
      </w:r>
      <w:proofErr w:type="spellStart"/>
      <w:r w:rsidRPr="00CB73B6">
        <w:rPr>
          <w:rFonts w:ascii="Arial" w:hAnsi="Arial" w:cs="Arial"/>
          <w:sz w:val="22"/>
          <w:szCs w:val="22"/>
        </w:rPr>
        <w:t>Obasogie</w:t>
      </w:r>
      <w:proofErr w:type="spellEnd"/>
      <w:r w:rsidRPr="00CB73B6">
        <w:rPr>
          <w:rFonts w:ascii="Arial" w:hAnsi="Arial" w:cs="Arial"/>
          <w:sz w:val="22"/>
          <w:szCs w:val="22"/>
        </w:rPr>
        <w:t xml:space="preserve">, Police killing black people is a pandemic, too. Wash Post, Perspective. June 5, 2020. </w:t>
      </w:r>
      <w:hyperlink r:id="rId52" w:history="1">
        <w:r w:rsidRPr="00CB73B6">
          <w:rPr>
            <w:rStyle w:val="Hyperlink"/>
            <w:rFonts w:ascii="Arial" w:hAnsi="Arial" w:cs="Arial"/>
            <w:sz w:val="22"/>
            <w:szCs w:val="22"/>
          </w:rPr>
          <w:t>https://www.washingtonpost.com/outlook/police-violence-pandemic/2020/06/05/e1a2a1b0-a669-11ea-b619-3f9133bbb482_story.html</w:t>
        </w:r>
      </w:hyperlink>
    </w:p>
    <w:p w14:paraId="667AD3D4" w14:textId="77777777" w:rsidR="00CB73B6" w:rsidRPr="00CB73B6" w:rsidRDefault="00CB73B6" w:rsidP="00152F9F">
      <w:pPr>
        <w:pStyle w:val="NEXT"/>
        <w:numPr>
          <w:ilvl w:val="0"/>
          <w:numId w:val="30"/>
        </w:numPr>
        <w:rPr>
          <w:rStyle w:val="Hyperlink"/>
        </w:rPr>
      </w:pPr>
      <w:r w:rsidRPr="00CB73B6">
        <w:t xml:space="preserve">Sandro Galea and Salma Abdalla, COVID-19 Pandemic, Unemployment, and Civil Unrest: Underlying Deep Racial and Socioeconomic Divides, JAMA Viewpoint, June 12, 2020. </w:t>
      </w:r>
      <w:hyperlink r:id="rId53" w:history="1">
        <w:r w:rsidRPr="00CB73B6">
          <w:rPr>
            <w:rStyle w:val="Hyperlink"/>
          </w:rPr>
          <w:t>file:///C:/Users/maric/Downloads/jama_galea_2020_vp_200136.pdf</w:t>
        </w:r>
      </w:hyperlink>
    </w:p>
    <w:p w14:paraId="111D54C5" w14:textId="77777777" w:rsidR="00CB73B6" w:rsidRPr="00CB73B6" w:rsidRDefault="00CB73B6" w:rsidP="00CB73B6">
      <w:pPr>
        <w:pStyle w:val="paragraph"/>
        <w:spacing w:before="0" w:beforeAutospacing="0" w:after="0" w:afterAutospacing="0"/>
        <w:ind w:left="720"/>
        <w:textAlignment w:val="baseline"/>
        <w:rPr>
          <w:rFonts w:ascii="Arial" w:hAnsi="Arial" w:cs="Arial"/>
          <w:sz w:val="22"/>
          <w:szCs w:val="22"/>
        </w:rPr>
      </w:pPr>
    </w:p>
    <w:p w14:paraId="2D49BA7F" w14:textId="77777777" w:rsidR="00CB73B6" w:rsidRPr="00CB73B6" w:rsidRDefault="00CB73B6" w:rsidP="00CB73B6">
      <w:pPr>
        <w:pStyle w:val="paragraph"/>
        <w:spacing w:before="0" w:beforeAutospacing="0" w:after="0" w:afterAutospacing="0"/>
        <w:textAlignment w:val="baseline"/>
        <w:rPr>
          <w:rFonts w:ascii="Arial" w:hAnsi="Arial" w:cs="Arial"/>
          <w:sz w:val="22"/>
          <w:szCs w:val="22"/>
        </w:rPr>
      </w:pPr>
      <w:r w:rsidRPr="00CB73B6">
        <w:rPr>
          <w:rFonts w:ascii="Arial" w:hAnsi="Arial" w:cs="Arial"/>
          <w:sz w:val="22"/>
          <w:szCs w:val="22"/>
        </w:rPr>
        <w:t xml:space="preserve">Optional video: </w:t>
      </w:r>
    </w:p>
    <w:p w14:paraId="00846512" w14:textId="77777777" w:rsidR="00CB73B6" w:rsidRPr="00CB73B6" w:rsidRDefault="00CB73B6" w:rsidP="00152F9F">
      <w:pPr>
        <w:pStyle w:val="paragraph"/>
        <w:numPr>
          <w:ilvl w:val="0"/>
          <w:numId w:val="29"/>
        </w:numPr>
        <w:spacing w:before="0" w:beforeAutospacing="0" w:after="0" w:afterAutospacing="0"/>
        <w:textAlignment w:val="baseline"/>
        <w:rPr>
          <w:rStyle w:val="Hyperlink"/>
          <w:rFonts w:ascii="Arial" w:hAnsi="Arial" w:cs="Arial"/>
          <w:sz w:val="22"/>
          <w:szCs w:val="22"/>
        </w:rPr>
      </w:pPr>
      <w:r w:rsidRPr="00CB73B6">
        <w:rPr>
          <w:rFonts w:ascii="Arial" w:hAnsi="Arial" w:cs="Arial"/>
          <w:sz w:val="22"/>
          <w:szCs w:val="22"/>
        </w:rPr>
        <w:t xml:space="preserve">Given the importance of good science and critical reading of science, this </w:t>
      </w:r>
      <w:hyperlink r:id="rId54" w:history="1">
        <w:r w:rsidRPr="00CB73B6">
          <w:rPr>
            <w:rStyle w:val="Hyperlink"/>
            <w:rFonts w:ascii="Arial" w:hAnsi="Arial" w:cs="Arial"/>
            <w:sz w:val="22"/>
            <w:szCs w:val="22"/>
          </w:rPr>
          <w:t>clip</w:t>
        </w:r>
      </w:hyperlink>
      <w:r w:rsidRPr="00CB73B6">
        <w:rPr>
          <w:rFonts w:ascii="Arial" w:hAnsi="Arial" w:cs="Arial"/>
          <w:sz w:val="22"/>
          <w:szCs w:val="22"/>
        </w:rPr>
        <w:t xml:space="preserve"> from Last Week Tonight with John Oliver provides a funny but pointed overview of ways science can go bad: John Oliver, on critically reading scientific studies </w:t>
      </w:r>
      <w:r w:rsidRPr="00CB73B6">
        <w:rPr>
          <w:rStyle w:val="Hyperlink"/>
          <w:rFonts w:ascii="Arial" w:hAnsi="Arial" w:cs="Arial"/>
          <w:sz w:val="22"/>
          <w:szCs w:val="22"/>
        </w:rPr>
        <w:t>(last visited on April 28, 2020).</w:t>
      </w:r>
    </w:p>
    <w:p w14:paraId="121A82AD" w14:textId="77777777" w:rsidR="00CB73B6" w:rsidRPr="00CB73B6" w:rsidRDefault="00CB73B6" w:rsidP="00CB73B6">
      <w:pPr>
        <w:pStyle w:val="paragraph"/>
        <w:spacing w:before="0" w:beforeAutospacing="0" w:after="0" w:afterAutospacing="0"/>
        <w:textAlignment w:val="baseline"/>
        <w:rPr>
          <w:rStyle w:val="Hyperlink"/>
          <w:rFonts w:ascii="Arial" w:hAnsi="Arial" w:cs="Arial"/>
          <w:sz w:val="22"/>
          <w:szCs w:val="22"/>
        </w:rPr>
      </w:pPr>
    </w:p>
    <w:p w14:paraId="1E13D575"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Week 3: Legal Authority and Duty (or not) to Protect the Public’s Health – Part 1</w:t>
      </w:r>
    </w:p>
    <w:p w14:paraId="79F09C3A" w14:textId="77777777" w:rsidR="00CB73B6" w:rsidRPr="00CB73B6" w:rsidRDefault="00CB73B6" w:rsidP="00CB73B6">
      <w:pPr>
        <w:rPr>
          <w:rFonts w:ascii="Arial" w:hAnsi="Arial" w:cs="Arial"/>
          <w:sz w:val="22"/>
          <w:szCs w:val="22"/>
        </w:rPr>
      </w:pPr>
    </w:p>
    <w:p w14:paraId="1EA65C27"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6F29FA0A"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As schools and businesses closed and we all stayed home for months on end, we learned first-hand that the government has the </w:t>
      </w:r>
      <w:r w:rsidRPr="00CB73B6">
        <w:rPr>
          <w:rFonts w:ascii="Arial" w:hAnsi="Arial" w:cs="Arial"/>
          <w:i/>
          <w:iCs/>
          <w:sz w:val="22"/>
          <w:szCs w:val="22"/>
        </w:rPr>
        <w:t>authority</w:t>
      </w:r>
      <w:r w:rsidRPr="00CB73B6">
        <w:rPr>
          <w:rFonts w:ascii="Arial" w:hAnsi="Arial" w:cs="Arial"/>
          <w:sz w:val="22"/>
          <w:szCs w:val="22"/>
        </w:rPr>
        <w:t xml:space="preserve"> to protect public health.  But does it have a </w:t>
      </w:r>
      <w:r w:rsidRPr="00CB73B6">
        <w:rPr>
          <w:rFonts w:ascii="Arial" w:hAnsi="Arial" w:cs="Arial"/>
          <w:i/>
          <w:iCs/>
          <w:sz w:val="22"/>
          <w:szCs w:val="22"/>
        </w:rPr>
        <w:t>duty</w:t>
      </w:r>
      <w:r w:rsidRPr="00CB73B6">
        <w:rPr>
          <w:rFonts w:ascii="Arial" w:hAnsi="Arial" w:cs="Arial"/>
          <w:sz w:val="22"/>
          <w:szCs w:val="22"/>
        </w:rPr>
        <w:t xml:space="preserve"> to protect public health? We will delve into the legal authority and legal duty (or not) of government to protect our health. We will examine the role of the Constitution and federalism, and figure out different ways that cooperative federalism can best address public health challenges.  We will explore the enumerated powers of the federal government, the plenary or “police powers” of state and local governments and dig into </w:t>
      </w:r>
      <w:r w:rsidRPr="00CB73B6">
        <w:rPr>
          <w:rFonts w:ascii="Arial" w:hAnsi="Arial" w:cs="Arial"/>
          <w:i/>
          <w:iCs/>
          <w:sz w:val="22"/>
          <w:szCs w:val="22"/>
        </w:rPr>
        <w:t xml:space="preserve">Jacobson v. Massachusetts – </w:t>
      </w:r>
      <w:r w:rsidRPr="00CB73B6">
        <w:rPr>
          <w:rFonts w:ascii="Arial" w:hAnsi="Arial" w:cs="Arial"/>
          <w:sz w:val="22"/>
          <w:szCs w:val="22"/>
        </w:rPr>
        <w:t>the powerful U.S. Supreme Court decision supporting public health.</w:t>
      </w:r>
    </w:p>
    <w:p w14:paraId="386A427A" w14:textId="77777777" w:rsidR="00CB73B6" w:rsidRPr="00CB73B6" w:rsidRDefault="00CB73B6" w:rsidP="00CB73B6">
      <w:pPr>
        <w:rPr>
          <w:rFonts w:ascii="Arial" w:hAnsi="Arial" w:cs="Arial"/>
          <w:sz w:val="22"/>
          <w:szCs w:val="22"/>
        </w:rPr>
      </w:pPr>
    </w:p>
    <w:p w14:paraId="5F850B13"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0E06C00E" w14:textId="77777777" w:rsidR="00CB73B6" w:rsidRPr="00CB73B6" w:rsidRDefault="00CB73B6" w:rsidP="00152F9F">
      <w:pPr>
        <w:pStyle w:val="ListParagraph"/>
        <w:numPr>
          <w:ilvl w:val="0"/>
          <w:numId w:val="13"/>
        </w:numPr>
        <w:rPr>
          <w:rFonts w:ascii="Arial" w:hAnsi="Arial" w:cs="Arial"/>
          <w:sz w:val="22"/>
          <w:szCs w:val="22"/>
        </w:rPr>
      </w:pPr>
      <w:r w:rsidRPr="00CB73B6">
        <w:rPr>
          <w:rFonts w:ascii="Arial" w:hAnsi="Arial" w:cs="Arial"/>
          <w:sz w:val="22"/>
          <w:szCs w:val="22"/>
        </w:rPr>
        <w:t>Understand the range of ways law can be used to influence behavior and environments for better health.</w:t>
      </w:r>
    </w:p>
    <w:p w14:paraId="34029EFF" w14:textId="77777777" w:rsidR="00CB73B6" w:rsidRPr="00CB73B6" w:rsidRDefault="00CB73B6" w:rsidP="00152F9F">
      <w:pPr>
        <w:pStyle w:val="ListParagraph"/>
        <w:numPr>
          <w:ilvl w:val="0"/>
          <w:numId w:val="13"/>
        </w:numPr>
        <w:rPr>
          <w:rFonts w:ascii="Arial" w:eastAsia="Times New Roman" w:hAnsi="Arial" w:cs="Arial"/>
          <w:sz w:val="22"/>
          <w:szCs w:val="22"/>
        </w:rPr>
      </w:pPr>
      <w:r w:rsidRPr="00CB73B6">
        <w:rPr>
          <w:rFonts w:ascii="Arial" w:eastAsia="Times New Roman" w:hAnsi="Arial" w:cs="Arial"/>
          <w:sz w:val="22"/>
          <w:szCs w:val="22"/>
        </w:rPr>
        <w:t>Understand that Congress can only exercise the powers enumerated in the Constitution, and the implications of this limitation.  </w:t>
      </w:r>
    </w:p>
    <w:p w14:paraId="639A622B" w14:textId="77777777" w:rsidR="00CB73B6" w:rsidRPr="00CB73B6" w:rsidRDefault="00CB73B6" w:rsidP="00152F9F">
      <w:pPr>
        <w:pStyle w:val="ListParagraph"/>
        <w:numPr>
          <w:ilvl w:val="0"/>
          <w:numId w:val="13"/>
        </w:numPr>
        <w:rPr>
          <w:rFonts w:ascii="Arial" w:eastAsia="Times New Roman" w:hAnsi="Arial" w:cs="Arial"/>
          <w:sz w:val="22"/>
          <w:szCs w:val="22"/>
        </w:rPr>
      </w:pPr>
      <w:r w:rsidRPr="00CB73B6">
        <w:rPr>
          <w:rFonts w:ascii="Arial" w:eastAsia="Times New Roman" w:hAnsi="Arial" w:cs="Arial"/>
          <w:sz w:val="22"/>
          <w:szCs w:val="22"/>
        </w:rPr>
        <w:t>Explore the growing role of the 10</w:t>
      </w:r>
      <w:r w:rsidRPr="00CB73B6">
        <w:rPr>
          <w:rFonts w:ascii="Arial" w:eastAsia="Times New Roman" w:hAnsi="Arial" w:cs="Arial"/>
          <w:sz w:val="22"/>
          <w:szCs w:val="22"/>
          <w:vertAlign w:val="superscript"/>
        </w:rPr>
        <w:t>th</w:t>
      </w:r>
      <w:r w:rsidRPr="00CB73B6">
        <w:rPr>
          <w:rFonts w:ascii="Arial" w:eastAsia="Times New Roman" w:hAnsi="Arial" w:cs="Arial"/>
          <w:sz w:val="22"/>
          <w:szCs w:val="22"/>
        </w:rPr>
        <w:t xml:space="preserve"> Amendment to enhance the power of state and local governments to protect public health. </w:t>
      </w:r>
    </w:p>
    <w:p w14:paraId="34B4FB0A" w14:textId="77777777" w:rsidR="00CB73B6" w:rsidRPr="00CB73B6" w:rsidRDefault="00CB73B6" w:rsidP="00CB73B6">
      <w:pPr>
        <w:rPr>
          <w:rFonts w:ascii="Arial" w:hAnsi="Arial" w:cs="Arial"/>
          <w:sz w:val="22"/>
          <w:szCs w:val="22"/>
        </w:rPr>
      </w:pPr>
    </w:p>
    <w:p w14:paraId="1E0F8C4C"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5585F508" w14:textId="77777777" w:rsidR="00CB73B6" w:rsidRPr="00CB73B6" w:rsidRDefault="00CB73B6" w:rsidP="00152F9F">
      <w:pPr>
        <w:pStyle w:val="NEXT"/>
        <w:numPr>
          <w:ilvl w:val="0"/>
          <w:numId w:val="28"/>
        </w:numPr>
      </w:pPr>
      <w:r w:rsidRPr="00CB73B6">
        <w:t>Chapters 8, 9, 10</w:t>
      </w:r>
    </w:p>
    <w:p w14:paraId="0F16214E" w14:textId="77777777" w:rsidR="00CB73B6" w:rsidRPr="00CB73B6" w:rsidRDefault="00CB73B6" w:rsidP="00152F9F">
      <w:pPr>
        <w:pStyle w:val="NEXT"/>
        <w:numPr>
          <w:ilvl w:val="0"/>
          <w:numId w:val="28"/>
        </w:numPr>
      </w:pPr>
      <w:r w:rsidRPr="00CB73B6">
        <w:t xml:space="preserve">Jacobson v. Massachusetts, 197 U.S. 11 (1905).  Excerpts. </w:t>
      </w:r>
    </w:p>
    <w:p w14:paraId="5F08684E" w14:textId="77777777" w:rsidR="00CB73B6" w:rsidRPr="00CB73B6" w:rsidRDefault="00CB73B6" w:rsidP="00152F9F">
      <w:pPr>
        <w:pStyle w:val="NEXT"/>
        <w:numPr>
          <w:ilvl w:val="0"/>
          <w:numId w:val="28"/>
        </w:numPr>
      </w:pPr>
      <w:r w:rsidRPr="00CB73B6">
        <w:t xml:space="preserve">South Dakota v. Dole, 483 U.S. 203 (1987). Excerpts. </w:t>
      </w:r>
    </w:p>
    <w:p w14:paraId="6096504D" w14:textId="77777777" w:rsidR="00CB73B6" w:rsidRPr="00CB73B6" w:rsidRDefault="00CB73B6" w:rsidP="00152F9F">
      <w:pPr>
        <w:pStyle w:val="NEXT"/>
        <w:numPr>
          <w:ilvl w:val="0"/>
          <w:numId w:val="28"/>
        </w:numPr>
      </w:pPr>
      <w:r w:rsidRPr="00CB73B6">
        <w:t>National Federation of Independent Business v. Sebelius, 567 U.S. 519 (2012). Excerpts.</w:t>
      </w:r>
    </w:p>
    <w:p w14:paraId="01937D42" w14:textId="77777777" w:rsidR="00CB73B6" w:rsidRPr="00CB73B6" w:rsidRDefault="00962EB1" w:rsidP="00152F9F">
      <w:pPr>
        <w:pStyle w:val="NEXT"/>
        <w:numPr>
          <w:ilvl w:val="0"/>
          <w:numId w:val="28"/>
        </w:numPr>
      </w:pPr>
      <w:hyperlink r:id="rId55">
        <w:proofErr w:type="spellStart"/>
        <w:r w:rsidR="00CB73B6" w:rsidRPr="00CB73B6">
          <w:rPr>
            <w:rStyle w:val="Hyperlink"/>
          </w:rPr>
          <w:t>DeShaney</w:t>
        </w:r>
        <w:proofErr w:type="spellEnd"/>
        <w:r w:rsidR="00CB73B6" w:rsidRPr="00CB73B6">
          <w:rPr>
            <w:rStyle w:val="Hyperlink"/>
          </w:rPr>
          <w:t xml:space="preserve"> v. Winnebago </w:t>
        </w:r>
        <w:proofErr w:type="spellStart"/>
        <w:r w:rsidR="00CB73B6" w:rsidRPr="00CB73B6">
          <w:rPr>
            <w:rStyle w:val="Hyperlink"/>
          </w:rPr>
          <w:t>Cty</w:t>
        </w:r>
        <w:proofErr w:type="spellEnd"/>
        <w:r w:rsidR="00CB73B6" w:rsidRPr="00CB73B6">
          <w:rPr>
            <w:rStyle w:val="Hyperlink"/>
          </w:rPr>
          <w:t>. Dep't of Soc. Servs</w:t>
        </w:r>
      </w:hyperlink>
      <w:r w:rsidR="00CB73B6" w:rsidRPr="00CB73B6">
        <w:rPr>
          <w:rStyle w:val="Hyperlink"/>
        </w:rPr>
        <w:t>, 489 U.S. 189 (1989)</w:t>
      </w:r>
      <w:r w:rsidR="00CB73B6" w:rsidRPr="00CB73B6">
        <w:t>. Excerpts.</w:t>
      </w:r>
    </w:p>
    <w:p w14:paraId="1238F3F1" w14:textId="77777777" w:rsidR="00CB73B6" w:rsidRPr="00CB73B6" w:rsidRDefault="00CB73B6" w:rsidP="00152F9F">
      <w:pPr>
        <w:pStyle w:val="NEXT"/>
        <w:numPr>
          <w:ilvl w:val="0"/>
          <w:numId w:val="28"/>
        </w:numPr>
      </w:pPr>
      <w:r w:rsidRPr="00CB73B6">
        <w:t>New York v. U.S., 505 U.S. 144 (1992). Excerpts.</w:t>
      </w:r>
    </w:p>
    <w:p w14:paraId="2DF3296A" w14:textId="77777777" w:rsidR="00CB73B6" w:rsidRPr="00CB73B6" w:rsidRDefault="00CB73B6" w:rsidP="00152F9F">
      <w:pPr>
        <w:pStyle w:val="NEXT"/>
        <w:numPr>
          <w:ilvl w:val="0"/>
          <w:numId w:val="28"/>
        </w:numPr>
        <w:rPr>
          <w:rStyle w:val="Hyperlink"/>
          <w:b/>
          <w:bCs/>
        </w:rPr>
      </w:pPr>
      <w:r w:rsidRPr="00CB73B6">
        <w:t>ChangeLab Solutions</w:t>
      </w:r>
      <w:r w:rsidRPr="00CB73B6">
        <w:rPr>
          <w:i/>
          <w:iCs/>
        </w:rPr>
        <w:t>,</w:t>
      </w:r>
      <w:r w:rsidRPr="00CB73B6">
        <w:t xml:space="preserve"> Blueprint for Changemakers: Achieving Health Equity through Law and Policy (2019). </w:t>
      </w:r>
      <w:hyperlink r:id="rId56" w:history="1">
        <w:r w:rsidRPr="00CB73B6">
          <w:rPr>
            <w:rStyle w:val="Hyperlink"/>
          </w:rPr>
          <w:t>https://www.changelabsolutions.org/product/blueprint-changemakers</w:t>
        </w:r>
      </w:hyperlink>
      <w:r w:rsidRPr="00CB73B6">
        <w:rPr>
          <w:rStyle w:val="Hyperlink"/>
        </w:rPr>
        <w:t xml:space="preserve">. (last visited on April 28, 2020). </w:t>
      </w:r>
      <w:r w:rsidRPr="00CB73B6">
        <w:rPr>
          <w:rStyle w:val="Hyperlink"/>
          <w:b/>
          <w:bCs/>
        </w:rPr>
        <w:t>Be prepared to use this reading for inspiration for a class activity.</w:t>
      </w:r>
    </w:p>
    <w:p w14:paraId="648883B6" w14:textId="77777777" w:rsidR="00CB73B6" w:rsidRPr="00CB73B6" w:rsidRDefault="00CB73B6" w:rsidP="00072018">
      <w:pPr>
        <w:pStyle w:val="NEXT"/>
      </w:pPr>
    </w:p>
    <w:p w14:paraId="6431C826" w14:textId="77777777" w:rsidR="00CB73B6" w:rsidRPr="00CB73B6" w:rsidRDefault="00CB73B6" w:rsidP="00072018">
      <w:pPr>
        <w:pStyle w:val="NEXT"/>
      </w:pPr>
      <w:r w:rsidRPr="00CB73B6">
        <w:t>Optional (but helpful) Quick Reads</w:t>
      </w:r>
    </w:p>
    <w:p w14:paraId="64D85908" w14:textId="0181E385" w:rsidR="00CB73B6" w:rsidRPr="00CB73B6" w:rsidRDefault="00CB73B6" w:rsidP="00152F9F">
      <w:pPr>
        <w:pStyle w:val="NEXT"/>
        <w:numPr>
          <w:ilvl w:val="0"/>
          <w:numId w:val="28"/>
        </w:numPr>
        <w:rPr>
          <w:rStyle w:val="Hyperlink"/>
        </w:rPr>
      </w:pPr>
      <w:r w:rsidRPr="00CB73B6">
        <w:rPr>
          <w:rStyle w:val="Hyperlink"/>
          <w:color w:val="auto"/>
          <w:u w:val="none"/>
        </w:rPr>
        <w:t xml:space="preserve">Lawrence </w:t>
      </w:r>
      <w:proofErr w:type="spellStart"/>
      <w:r w:rsidRPr="00CB73B6">
        <w:rPr>
          <w:rStyle w:val="Hyperlink"/>
          <w:color w:val="auto"/>
          <w:u w:val="none"/>
        </w:rPr>
        <w:t>Gostin</w:t>
      </w:r>
      <w:proofErr w:type="spellEnd"/>
      <w:r w:rsidRPr="00CB73B6">
        <w:rPr>
          <w:rStyle w:val="Hyperlink"/>
          <w:color w:val="auto"/>
          <w:u w:val="none"/>
        </w:rPr>
        <w:t xml:space="preserve"> &amp; Lindsay Wiley</w:t>
      </w:r>
      <w:r>
        <w:rPr>
          <w:rStyle w:val="Hyperlink"/>
          <w:color w:val="auto"/>
          <w:u w:val="none"/>
        </w:rPr>
        <w:t xml:space="preserve">. </w:t>
      </w:r>
      <w:r w:rsidRPr="00CB73B6">
        <w:t>Governmental Public Health Powers During the COVID-19 Pandemic:</w:t>
      </w:r>
      <w:r w:rsidRPr="00CB73B6">
        <w:rPr>
          <w:rStyle w:val="Subtitle1"/>
          <w:color w:val="333333"/>
        </w:rPr>
        <w:t xml:space="preserve"> Stay-at-home Orders, Business Closures, and Travel Restrictions</w:t>
      </w:r>
      <w:r w:rsidRPr="00CB73B6">
        <w:rPr>
          <w:rStyle w:val="Hyperlink"/>
        </w:rPr>
        <w:t xml:space="preserve">, JAMA Network, April 2, 2020. </w:t>
      </w:r>
      <w:hyperlink r:id="rId57" w:history="1">
        <w:r w:rsidRPr="00CB73B6">
          <w:rPr>
            <w:rStyle w:val="Hyperlink"/>
          </w:rPr>
          <w:t>https://jamanetwork.com/journals/jama/fullarticle/2764283?resultClick=1</w:t>
        </w:r>
      </w:hyperlink>
    </w:p>
    <w:p w14:paraId="5ADC7214" w14:textId="77777777" w:rsidR="00CB73B6" w:rsidRPr="00CB73B6" w:rsidRDefault="00CB73B6" w:rsidP="00152F9F">
      <w:pPr>
        <w:pStyle w:val="NEXT"/>
        <w:numPr>
          <w:ilvl w:val="0"/>
          <w:numId w:val="28"/>
        </w:numPr>
        <w:rPr>
          <w:rStyle w:val="Hyperlink"/>
        </w:rPr>
      </w:pPr>
      <w:r w:rsidRPr="00CB73B6">
        <w:t xml:space="preserve">Rebecca </w:t>
      </w:r>
      <w:proofErr w:type="spellStart"/>
      <w:r w:rsidRPr="00CB73B6">
        <w:t>Haffajee</w:t>
      </w:r>
      <w:proofErr w:type="spellEnd"/>
      <w:r w:rsidRPr="00CB73B6">
        <w:t xml:space="preserve"> &amp; Michelle Mello</w:t>
      </w:r>
      <w:r w:rsidRPr="00CB73B6">
        <w:rPr>
          <w:i/>
          <w:iCs/>
        </w:rPr>
        <w:t>,</w:t>
      </w:r>
      <w:r w:rsidRPr="00CB73B6">
        <w:t xml:space="preserve"> </w:t>
      </w:r>
      <w:r w:rsidRPr="00CB73B6">
        <w:rPr>
          <w:i/>
          <w:iCs/>
        </w:rPr>
        <w:t>Thinking Globally, Acting Locally – The US Response to Covid-19</w:t>
      </w:r>
      <w:r w:rsidRPr="00CB73B6">
        <w:t xml:space="preserve"> NEJM April 2, 2020. </w:t>
      </w:r>
      <w:hyperlink r:id="rId58" w:history="1">
        <w:r w:rsidRPr="00CB73B6">
          <w:rPr>
            <w:rStyle w:val="Hyperlink"/>
          </w:rPr>
          <w:t>https://www.nejm.org/doi/full/10.1056/NEJMp2006740</w:t>
        </w:r>
      </w:hyperlink>
      <w:r w:rsidRPr="00CB73B6">
        <w:rPr>
          <w:rStyle w:val="Hyperlink"/>
        </w:rPr>
        <w:t xml:space="preserve"> (last visited on April 28, 2020).</w:t>
      </w:r>
    </w:p>
    <w:p w14:paraId="561151DD" w14:textId="77777777" w:rsidR="00CB73B6" w:rsidRPr="00CB73B6" w:rsidRDefault="00CB73B6" w:rsidP="00072018">
      <w:pPr>
        <w:pStyle w:val="NEXT"/>
        <w:rPr>
          <w:rStyle w:val="Hyperlink"/>
        </w:rPr>
      </w:pPr>
    </w:p>
    <w:p w14:paraId="717E7B00" w14:textId="77777777" w:rsidR="00CB73B6" w:rsidRPr="00CB73B6" w:rsidRDefault="00CB73B6" w:rsidP="00072018">
      <w:pPr>
        <w:pStyle w:val="NEXT"/>
      </w:pPr>
      <w:r w:rsidRPr="00CB73B6">
        <w:rPr>
          <w:rStyle w:val="Hyperlink"/>
          <w:b/>
          <w:bCs/>
          <w:color w:val="auto"/>
          <w:u w:val="none"/>
        </w:rPr>
        <w:t>Week 4: Legal Authority and Duty – Part 2 – Preemption and Paternalism</w:t>
      </w:r>
    </w:p>
    <w:p w14:paraId="1C41A889" w14:textId="77777777" w:rsidR="00CB73B6" w:rsidRPr="00CB73B6" w:rsidRDefault="00CB73B6" w:rsidP="00072018">
      <w:pPr>
        <w:pStyle w:val="NEXT"/>
        <w:rPr>
          <w:rStyle w:val="Hyperlink"/>
        </w:rPr>
      </w:pPr>
    </w:p>
    <w:p w14:paraId="1DEB5B3A" w14:textId="77777777" w:rsidR="00CB73B6" w:rsidRPr="00CB73B6" w:rsidRDefault="00CB73B6" w:rsidP="00072018">
      <w:pPr>
        <w:pStyle w:val="NEXT"/>
      </w:pPr>
      <w:r w:rsidRPr="00CB73B6">
        <w:t>Introduction</w:t>
      </w:r>
    </w:p>
    <w:p w14:paraId="6917702C"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Public health agencies have been declared the quintessence of the </w:t>
      </w:r>
      <w:hyperlink r:id="rId59" w:history="1">
        <w:r w:rsidRPr="00CB73B6">
          <w:rPr>
            <w:rStyle w:val="Hyperlink"/>
            <w:rFonts w:ascii="Arial" w:hAnsi="Arial" w:cs="Arial"/>
            <w:sz w:val="22"/>
            <w:szCs w:val="22"/>
          </w:rPr>
          <w:t>Nanny State</w:t>
        </w:r>
      </w:hyperlink>
      <w:r w:rsidRPr="00CB73B6">
        <w:rPr>
          <w:rFonts w:ascii="Arial" w:hAnsi="Arial" w:cs="Arial"/>
          <w:sz w:val="22"/>
          <w:szCs w:val="22"/>
        </w:rPr>
        <w:t xml:space="preserve">. Is this either true or fair?  How do we know?  We will expand our discussion of the authority and duty (or not) of governments to regulate public health by delving into the doctrine of preemption and the risk of paternalism.   We start by contrasting two rules that set the scope of local public health authority in different states: Dillon’s rule and home rule.  We will take a deep dive into preemption and how it has been used to thwart important public health laws and how it impacts the goals of health equity.  We conclude with a discussion of paternalism, coercion and choice in relation to achieving public health goals. </w:t>
      </w:r>
    </w:p>
    <w:p w14:paraId="4337395A" w14:textId="77777777" w:rsidR="00CB73B6" w:rsidRPr="00CB73B6" w:rsidRDefault="00CB73B6" w:rsidP="00072018">
      <w:pPr>
        <w:pStyle w:val="NEXT"/>
      </w:pPr>
    </w:p>
    <w:p w14:paraId="38A004B7" w14:textId="77777777" w:rsidR="00CB73B6" w:rsidRPr="00CB73B6" w:rsidRDefault="00CB73B6" w:rsidP="00072018">
      <w:pPr>
        <w:pStyle w:val="NEXT"/>
      </w:pPr>
      <w:r w:rsidRPr="00CB73B6">
        <w:t>Learning Objectives</w:t>
      </w:r>
    </w:p>
    <w:p w14:paraId="6DE1C435" w14:textId="77777777" w:rsidR="00CB73B6" w:rsidRPr="00CB73B6" w:rsidRDefault="00CB73B6" w:rsidP="00152F9F">
      <w:pPr>
        <w:pStyle w:val="NEXT"/>
        <w:numPr>
          <w:ilvl w:val="0"/>
          <w:numId w:val="31"/>
        </w:numPr>
      </w:pPr>
      <w:r w:rsidRPr="00CB73B6">
        <w:t xml:space="preserve">Explain the difference between express preemption and implied preemption, and understand the role that preemption plays in public health policy and furthering health equity.  </w:t>
      </w:r>
    </w:p>
    <w:p w14:paraId="09311C65" w14:textId="77777777" w:rsidR="00CB73B6" w:rsidRPr="00CB73B6" w:rsidRDefault="00CB73B6" w:rsidP="00152F9F">
      <w:pPr>
        <w:pStyle w:val="NEXT"/>
        <w:numPr>
          <w:ilvl w:val="0"/>
          <w:numId w:val="31"/>
        </w:numPr>
      </w:pPr>
      <w:r w:rsidRPr="00CB73B6">
        <w:t>Understand the source of local public health authority and the difference between “Dillon’s Rule” and “home rule” jurisdictions. </w:t>
      </w:r>
    </w:p>
    <w:p w14:paraId="3C1AFAF9" w14:textId="77777777" w:rsidR="00CB73B6" w:rsidRPr="00CB73B6" w:rsidRDefault="00CB73B6" w:rsidP="00152F9F">
      <w:pPr>
        <w:pStyle w:val="NEXT"/>
        <w:numPr>
          <w:ilvl w:val="0"/>
          <w:numId w:val="31"/>
        </w:numPr>
      </w:pPr>
      <w:r w:rsidRPr="00CB73B6">
        <w:t>Apply a critical analysis to the role of paternalism in furthering public health goals.</w:t>
      </w:r>
    </w:p>
    <w:p w14:paraId="721B09B5" w14:textId="77777777" w:rsidR="00CB73B6" w:rsidRPr="00CB73B6" w:rsidRDefault="00CB73B6" w:rsidP="00152F9F">
      <w:pPr>
        <w:pStyle w:val="NEXT"/>
        <w:numPr>
          <w:ilvl w:val="0"/>
          <w:numId w:val="31"/>
        </w:numPr>
      </w:pPr>
      <w:r w:rsidRPr="00CB73B6">
        <w:t>Recognize the potential for innovation and complementary action in the United States’ system of cooperative federalism.</w:t>
      </w:r>
    </w:p>
    <w:p w14:paraId="12504A23" w14:textId="77777777" w:rsidR="00CB73B6" w:rsidRPr="00CB73B6" w:rsidRDefault="00CB73B6" w:rsidP="00152F9F">
      <w:pPr>
        <w:pStyle w:val="NEXT"/>
        <w:numPr>
          <w:ilvl w:val="0"/>
          <w:numId w:val="31"/>
        </w:numPr>
      </w:pPr>
      <w:r w:rsidRPr="00CB73B6">
        <w:t xml:space="preserve">Understand the drawbacks and limitations of the main tools of public health law. </w:t>
      </w:r>
    </w:p>
    <w:p w14:paraId="2D38CB0D" w14:textId="77777777" w:rsidR="00CB73B6" w:rsidRPr="00CB73B6" w:rsidRDefault="00CB73B6" w:rsidP="00072018">
      <w:pPr>
        <w:pStyle w:val="NEXT"/>
      </w:pPr>
    </w:p>
    <w:p w14:paraId="76D27D3F" w14:textId="77777777" w:rsidR="00CB73B6" w:rsidRPr="00CB73B6" w:rsidRDefault="00CB73B6" w:rsidP="00072018">
      <w:pPr>
        <w:pStyle w:val="NEXT"/>
      </w:pPr>
      <w:r w:rsidRPr="00CB73B6">
        <w:t>Reading Assignments</w:t>
      </w:r>
    </w:p>
    <w:p w14:paraId="041BDDB1" w14:textId="77777777" w:rsidR="00CB73B6" w:rsidRPr="00CB73B6" w:rsidRDefault="00CB73B6" w:rsidP="00152F9F">
      <w:pPr>
        <w:pStyle w:val="NEXT"/>
        <w:numPr>
          <w:ilvl w:val="0"/>
          <w:numId w:val="35"/>
        </w:numPr>
      </w:pPr>
      <w:r w:rsidRPr="00CB73B6">
        <w:t>Reread Chapters 8, 9 and 10</w:t>
      </w:r>
    </w:p>
    <w:p w14:paraId="3C146FE5" w14:textId="77777777" w:rsidR="00CB73B6" w:rsidRPr="00CB73B6" w:rsidRDefault="00CB73B6" w:rsidP="00152F9F">
      <w:pPr>
        <w:pStyle w:val="ListParagraph"/>
        <w:numPr>
          <w:ilvl w:val="0"/>
          <w:numId w:val="14"/>
        </w:numPr>
        <w:rPr>
          <w:rFonts w:ascii="Arial" w:hAnsi="Arial" w:cs="Arial"/>
          <w:sz w:val="22"/>
          <w:szCs w:val="22"/>
        </w:rPr>
      </w:pPr>
      <w:r w:rsidRPr="00CB73B6">
        <w:rPr>
          <w:rFonts w:ascii="Arial" w:hAnsi="Arial" w:cs="Arial"/>
          <w:color w:val="212529"/>
          <w:sz w:val="22"/>
          <w:szCs w:val="22"/>
          <w:shd w:val="clear" w:color="auto" w:fill="FFFFFF"/>
        </w:rPr>
        <w:t>New York Statewide Coalition of Hispanic Chambers of Commerce v. New York City Department of Health &amp; Mental Hygiene, 23 N.Y.3d 945 (2014). Excerpts.</w:t>
      </w:r>
    </w:p>
    <w:p w14:paraId="77157E8D" w14:textId="77777777" w:rsidR="00CB73B6" w:rsidRPr="00CB73B6" w:rsidRDefault="00CB73B6" w:rsidP="00152F9F">
      <w:pPr>
        <w:pStyle w:val="ListParagraph"/>
        <w:numPr>
          <w:ilvl w:val="0"/>
          <w:numId w:val="14"/>
        </w:numPr>
        <w:rPr>
          <w:rFonts w:ascii="Arial" w:hAnsi="Arial" w:cs="Arial"/>
          <w:sz w:val="22"/>
          <w:szCs w:val="22"/>
        </w:rPr>
      </w:pPr>
      <w:r w:rsidRPr="00CB73B6">
        <w:rPr>
          <w:rFonts w:ascii="Arial" w:hAnsi="Arial" w:cs="Arial"/>
          <w:sz w:val="22"/>
          <w:szCs w:val="22"/>
        </w:rPr>
        <w:t xml:space="preserve">Lawrence </w:t>
      </w:r>
      <w:proofErr w:type="spellStart"/>
      <w:r w:rsidRPr="00CB73B6">
        <w:rPr>
          <w:rFonts w:ascii="Arial" w:hAnsi="Arial" w:cs="Arial"/>
          <w:sz w:val="22"/>
          <w:szCs w:val="22"/>
        </w:rPr>
        <w:t>Gostin</w:t>
      </w:r>
      <w:proofErr w:type="spellEnd"/>
      <w:r w:rsidRPr="00CB73B6">
        <w:rPr>
          <w:rFonts w:ascii="Arial" w:hAnsi="Arial" w:cs="Arial"/>
          <w:sz w:val="22"/>
          <w:szCs w:val="22"/>
        </w:rPr>
        <w:t xml:space="preserve">, Jacobson v Massachusetts at 100 Years: Police Power and Civil Liberties in Tension. 95 Am. J.  Public Health, 576-581 (2005) </w:t>
      </w:r>
      <w:hyperlink r:id="rId60" w:history="1">
        <w:r w:rsidRPr="00CB73B6">
          <w:rPr>
            <w:rStyle w:val="Hyperlink"/>
            <w:rFonts w:ascii="Arial" w:hAnsi="Arial" w:cs="Arial"/>
            <w:sz w:val="22"/>
            <w:szCs w:val="22"/>
          </w:rPr>
          <w:t>https://ajph.aphapublications.org/doi/full/10.2105/AJPH.2004.055152</w:t>
        </w:r>
      </w:hyperlink>
      <w:r w:rsidRPr="00CB73B6">
        <w:rPr>
          <w:rFonts w:ascii="Arial" w:hAnsi="Arial" w:cs="Arial"/>
          <w:sz w:val="22"/>
          <w:szCs w:val="22"/>
        </w:rPr>
        <w:t xml:space="preserve"> (last visited April 28, 2020).</w:t>
      </w:r>
    </w:p>
    <w:p w14:paraId="0EA4E9AD" w14:textId="77777777" w:rsidR="00CB73B6" w:rsidRPr="00CB73B6" w:rsidRDefault="00CB73B6" w:rsidP="00152F9F">
      <w:pPr>
        <w:pStyle w:val="ListParagraph"/>
        <w:numPr>
          <w:ilvl w:val="0"/>
          <w:numId w:val="14"/>
        </w:numPr>
        <w:rPr>
          <w:rFonts w:ascii="Arial" w:hAnsi="Arial" w:cs="Arial"/>
          <w:sz w:val="22"/>
          <w:szCs w:val="22"/>
        </w:rPr>
      </w:pPr>
      <w:r w:rsidRPr="00CB73B6">
        <w:rPr>
          <w:rFonts w:ascii="Arial" w:hAnsi="Arial" w:cs="Arial"/>
          <w:sz w:val="22"/>
          <w:szCs w:val="22"/>
        </w:rPr>
        <w:t xml:space="preserve">Kim Haddow, Derek </w:t>
      </w:r>
      <w:proofErr w:type="spellStart"/>
      <w:r w:rsidRPr="00CB73B6">
        <w:rPr>
          <w:rFonts w:ascii="Arial" w:hAnsi="Arial" w:cs="Arial"/>
          <w:sz w:val="22"/>
          <w:szCs w:val="22"/>
        </w:rPr>
        <w:t>Carr</w:t>
      </w:r>
      <w:proofErr w:type="spellEnd"/>
      <w:r w:rsidRPr="00CB73B6">
        <w:rPr>
          <w:rFonts w:ascii="Arial" w:hAnsi="Arial" w:cs="Arial"/>
          <w:sz w:val="22"/>
          <w:szCs w:val="22"/>
        </w:rPr>
        <w:t xml:space="preserve"> et al. Preemption, Public Health, and Equity in the Time of COVID-19 in Assessing the Legal Response to COVID-19. 2020. </w:t>
      </w:r>
      <w:hyperlink r:id="rId61" w:history="1">
        <w:r w:rsidRPr="00CB73B6">
          <w:rPr>
            <w:rStyle w:val="Hyperlink"/>
            <w:rFonts w:ascii="Arial" w:hAnsi="Arial" w:cs="Arial"/>
            <w:sz w:val="22"/>
            <w:szCs w:val="22"/>
          </w:rPr>
          <w:t>https://static1.squarespace.com/static/5956e16e6b8f5b8c45f1c216/t/5f34361a7fb7f23c7a92c116/1597257242329/Chp9_COVIDPolicyPlaybook-Aug2020.pdf</w:t>
        </w:r>
      </w:hyperlink>
    </w:p>
    <w:p w14:paraId="67A54E76" w14:textId="77777777" w:rsidR="00CB73B6" w:rsidRPr="00CB73B6" w:rsidRDefault="00CB73B6" w:rsidP="00152F9F">
      <w:pPr>
        <w:pStyle w:val="ListParagraph"/>
        <w:numPr>
          <w:ilvl w:val="0"/>
          <w:numId w:val="14"/>
        </w:numPr>
        <w:rPr>
          <w:rFonts w:ascii="Arial" w:hAnsi="Arial" w:cs="Arial"/>
          <w:sz w:val="22"/>
          <w:szCs w:val="22"/>
        </w:rPr>
      </w:pPr>
      <w:r w:rsidRPr="00CB73B6">
        <w:rPr>
          <w:rFonts w:ascii="Arial" w:hAnsi="Arial" w:cs="Arial"/>
          <w:sz w:val="22"/>
          <w:szCs w:val="22"/>
        </w:rPr>
        <w:t xml:space="preserve">Cass Sunstein and Richard Thaler, </w:t>
      </w:r>
      <w:hyperlink r:id="rId62" w:history="1">
        <w:r w:rsidRPr="00CB73B6">
          <w:rPr>
            <w:rStyle w:val="Hyperlink"/>
            <w:rFonts w:ascii="Arial" w:hAnsi="Arial" w:cs="Arial"/>
            <w:sz w:val="22"/>
            <w:szCs w:val="22"/>
          </w:rPr>
          <w:t>Libertarian Paternalism is Not an Oxymoron</w:t>
        </w:r>
      </w:hyperlink>
      <w:r w:rsidRPr="00CB73B6">
        <w:rPr>
          <w:rStyle w:val="Hyperlink"/>
          <w:rFonts w:ascii="Arial" w:hAnsi="Arial" w:cs="Arial"/>
          <w:sz w:val="22"/>
          <w:szCs w:val="22"/>
        </w:rPr>
        <w:t xml:space="preserve"> </w:t>
      </w:r>
      <w:r w:rsidRPr="00CB73B6">
        <w:rPr>
          <w:rFonts w:ascii="Arial" w:hAnsi="Arial" w:cs="Arial"/>
          <w:sz w:val="22"/>
          <w:szCs w:val="22"/>
        </w:rPr>
        <w:t xml:space="preserve">AEI-Brookings Joint Center for Regulatory Studies Working Paper No. 03-2 (2003). </w:t>
      </w:r>
      <w:hyperlink r:id="rId63" w:history="1">
        <w:r w:rsidRPr="00CB73B6">
          <w:rPr>
            <w:rStyle w:val="Hyperlink"/>
            <w:rFonts w:ascii="Arial" w:hAnsi="Arial" w:cs="Arial"/>
            <w:sz w:val="22"/>
            <w:szCs w:val="22"/>
          </w:rPr>
          <w:t>https://papers.ssrn.com/sol3/papers.cfm?abstract_id=405940</w:t>
        </w:r>
      </w:hyperlink>
      <w:r w:rsidRPr="00CB73B6">
        <w:rPr>
          <w:rFonts w:ascii="Arial" w:hAnsi="Arial" w:cs="Arial"/>
          <w:sz w:val="22"/>
          <w:szCs w:val="22"/>
        </w:rPr>
        <w:t xml:space="preserve"> (last visited on April 28, 2020).</w:t>
      </w:r>
    </w:p>
    <w:p w14:paraId="4BC0030C" w14:textId="77777777" w:rsidR="00CB73B6" w:rsidRPr="00CB73B6" w:rsidRDefault="00CB73B6" w:rsidP="00072018">
      <w:pPr>
        <w:pStyle w:val="NEXT"/>
      </w:pPr>
    </w:p>
    <w:p w14:paraId="2041B8B4" w14:textId="77777777" w:rsidR="00CB73B6" w:rsidRPr="00CB73B6" w:rsidRDefault="00CB73B6" w:rsidP="00072018">
      <w:pPr>
        <w:pStyle w:val="NEXT"/>
      </w:pPr>
      <w:r w:rsidRPr="00CB73B6">
        <w:t xml:space="preserve">Websites: please review: </w:t>
      </w:r>
    </w:p>
    <w:p w14:paraId="1457A6F6" w14:textId="77777777" w:rsidR="00CB73B6" w:rsidRPr="00CB73B6" w:rsidRDefault="00CB73B6" w:rsidP="00152F9F">
      <w:pPr>
        <w:pStyle w:val="NEXT"/>
        <w:numPr>
          <w:ilvl w:val="0"/>
          <w:numId w:val="15"/>
        </w:numPr>
      </w:pPr>
      <w:r w:rsidRPr="00CB73B6">
        <w:t xml:space="preserve">Partnership for Working Families: </w:t>
      </w:r>
      <w:hyperlink r:id="rId64" w:history="1">
        <w:r w:rsidRPr="00CB73B6">
          <w:rPr>
            <w:rStyle w:val="Hyperlink"/>
          </w:rPr>
          <w:t>http://www.forworkingfamilies.org/preemptionmap</w:t>
        </w:r>
      </w:hyperlink>
    </w:p>
    <w:p w14:paraId="01ACEF7B" w14:textId="77777777" w:rsidR="00CB73B6" w:rsidRPr="00CB73B6" w:rsidRDefault="00CB73B6" w:rsidP="00152F9F">
      <w:pPr>
        <w:pStyle w:val="NEXT"/>
        <w:numPr>
          <w:ilvl w:val="0"/>
          <w:numId w:val="15"/>
        </w:numPr>
      </w:pPr>
      <w:r w:rsidRPr="00CB73B6">
        <w:t xml:space="preserve">Grassroots Change: </w:t>
      </w:r>
      <w:hyperlink r:id="rId65" w:history="1">
        <w:r w:rsidRPr="00CB73B6">
          <w:rPr>
            <w:rStyle w:val="Hyperlink"/>
          </w:rPr>
          <w:t>https://grassrootschange.net/preemption-watch</w:t>
        </w:r>
      </w:hyperlink>
    </w:p>
    <w:p w14:paraId="626BF96E" w14:textId="77777777" w:rsidR="00CB73B6" w:rsidRPr="00CB73B6" w:rsidRDefault="00CB73B6" w:rsidP="00152F9F">
      <w:pPr>
        <w:pStyle w:val="NEXT"/>
        <w:numPr>
          <w:ilvl w:val="0"/>
          <w:numId w:val="15"/>
        </w:numPr>
      </w:pPr>
      <w:r w:rsidRPr="00CB73B6">
        <w:t xml:space="preserve">Local Solutions Support Center: </w:t>
      </w:r>
      <w:hyperlink r:id="rId66" w:history="1">
        <w:r w:rsidRPr="00CB73B6">
          <w:rPr>
            <w:rStyle w:val="Hyperlink"/>
          </w:rPr>
          <w:t>https://www.supportdemocracy.org/</w:t>
        </w:r>
      </w:hyperlink>
    </w:p>
    <w:p w14:paraId="634CD032" w14:textId="77777777" w:rsidR="00CB73B6" w:rsidRPr="00CB73B6" w:rsidRDefault="00CB73B6" w:rsidP="00072018">
      <w:pPr>
        <w:pStyle w:val="NEXT"/>
      </w:pPr>
    </w:p>
    <w:p w14:paraId="14DBF9D7" w14:textId="77777777" w:rsidR="00CB73B6" w:rsidRPr="00CB73B6" w:rsidRDefault="00CB73B6" w:rsidP="00072018">
      <w:pPr>
        <w:pStyle w:val="NEXT"/>
        <w:rPr>
          <w:rStyle w:val="Hyperlink"/>
          <w:color w:val="auto"/>
          <w:u w:val="none"/>
        </w:rPr>
      </w:pPr>
      <w:r w:rsidRPr="00CB73B6">
        <w:rPr>
          <w:rStyle w:val="Hyperlink"/>
          <w:color w:val="auto"/>
          <w:u w:val="none"/>
        </w:rPr>
        <w:t>Optional readings.</w:t>
      </w:r>
    </w:p>
    <w:p w14:paraId="560C6141" w14:textId="77777777" w:rsidR="00CB73B6" w:rsidRPr="00CB73B6" w:rsidRDefault="00CB73B6" w:rsidP="00152F9F">
      <w:pPr>
        <w:pStyle w:val="ListParagraph"/>
        <w:numPr>
          <w:ilvl w:val="0"/>
          <w:numId w:val="15"/>
        </w:numPr>
        <w:rPr>
          <w:rStyle w:val="Hyperlink"/>
          <w:rFonts w:ascii="Arial" w:hAnsi="Arial" w:cs="Arial"/>
          <w:sz w:val="22"/>
          <w:szCs w:val="22"/>
        </w:rPr>
      </w:pPr>
      <w:r w:rsidRPr="00CB73B6">
        <w:rPr>
          <w:rFonts w:ascii="Arial" w:hAnsi="Arial" w:cs="Arial"/>
          <w:sz w:val="22"/>
          <w:szCs w:val="22"/>
        </w:rPr>
        <w:t xml:space="preserve">Derek </w:t>
      </w:r>
      <w:proofErr w:type="spellStart"/>
      <w:r w:rsidRPr="00CB73B6">
        <w:rPr>
          <w:rFonts w:ascii="Arial" w:hAnsi="Arial" w:cs="Arial"/>
          <w:sz w:val="22"/>
          <w:szCs w:val="22"/>
        </w:rPr>
        <w:t>Carr</w:t>
      </w:r>
      <w:proofErr w:type="spellEnd"/>
      <w:r w:rsidRPr="00CB73B6">
        <w:rPr>
          <w:rFonts w:ascii="Arial" w:hAnsi="Arial" w:cs="Arial"/>
          <w:sz w:val="22"/>
          <w:szCs w:val="22"/>
        </w:rPr>
        <w:t xml:space="preserve"> et al. Equity First: Conceptualizing a Normative Framework to Assess the Role of Preemption in Public Health, 98 The Milbank Quarterly x (2020). </w:t>
      </w:r>
      <w:hyperlink r:id="rId67" w:history="1">
        <w:r w:rsidRPr="00CB73B6">
          <w:rPr>
            <w:rStyle w:val="Hyperlink"/>
            <w:rFonts w:ascii="Arial" w:hAnsi="Arial" w:cs="Arial"/>
            <w:sz w:val="22"/>
            <w:szCs w:val="22"/>
          </w:rPr>
          <w:t>https://www.milbank.org/quarterly/articles/equity-first-conceptualizing-a-normative-framework-to-assess-the-role-of-preemption-in-public-health/</w:t>
        </w:r>
      </w:hyperlink>
      <w:r w:rsidRPr="00CB73B6">
        <w:rPr>
          <w:rStyle w:val="Hyperlink"/>
          <w:rFonts w:ascii="Arial" w:hAnsi="Arial" w:cs="Arial"/>
          <w:sz w:val="22"/>
          <w:szCs w:val="22"/>
        </w:rPr>
        <w:t xml:space="preserve"> (last visited on April 28, 2020).</w:t>
      </w:r>
    </w:p>
    <w:p w14:paraId="33FBE4A3" w14:textId="77777777" w:rsidR="00CB73B6" w:rsidRPr="00CB73B6" w:rsidRDefault="00CB73B6" w:rsidP="00152F9F">
      <w:pPr>
        <w:pStyle w:val="ListParagraph"/>
        <w:numPr>
          <w:ilvl w:val="0"/>
          <w:numId w:val="15"/>
        </w:numPr>
        <w:rPr>
          <w:rFonts w:ascii="Arial" w:hAnsi="Arial" w:cs="Arial"/>
          <w:sz w:val="22"/>
          <w:szCs w:val="22"/>
        </w:rPr>
      </w:pPr>
      <w:r w:rsidRPr="00CB73B6">
        <w:rPr>
          <w:rFonts w:ascii="Arial" w:hAnsi="Arial" w:cs="Arial"/>
          <w:sz w:val="22"/>
          <w:szCs w:val="22"/>
        </w:rPr>
        <w:t xml:space="preserve">Rick </w:t>
      </w:r>
      <w:proofErr w:type="spellStart"/>
      <w:r w:rsidRPr="00CB73B6">
        <w:rPr>
          <w:rFonts w:ascii="Arial" w:hAnsi="Arial" w:cs="Arial"/>
          <w:sz w:val="22"/>
          <w:szCs w:val="22"/>
        </w:rPr>
        <w:t>Su</w:t>
      </w:r>
      <w:proofErr w:type="spellEnd"/>
      <w:r w:rsidRPr="00CB73B6">
        <w:rPr>
          <w:rFonts w:ascii="Arial" w:hAnsi="Arial" w:cs="Arial"/>
          <w:sz w:val="22"/>
          <w:szCs w:val="22"/>
        </w:rPr>
        <w:t xml:space="preserve">, Have Cities Abandoned Home Rule? 44 Fordham </w:t>
      </w:r>
      <w:proofErr w:type="spellStart"/>
      <w:r w:rsidRPr="00CB73B6">
        <w:rPr>
          <w:rFonts w:ascii="Arial" w:hAnsi="Arial" w:cs="Arial"/>
          <w:sz w:val="22"/>
          <w:szCs w:val="22"/>
        </w:rPr>
        <w:t>Urb</w:t>
      </w:r>
      <w:proofErr w:type="spellEnd"/>
      <w:r w:rsidRPr="00CB73B6">
        <w:rPr>
          <w:rFonts w:ascii="Arial" w:hAnsi="Arial" w:cs="Arial"/>
          <w:sz w:val="22"/>
          <w:szCs w:val="22"/>
        </w:rPr>
        <w:t xml:space="preserve">. L. J. 181-216 (2017).  Focus on the concise history of Dillon's Rule vs. Home Rule on pp. 189-195. </w:t>
      </w:r>
      <w:hyperlink r:id="rId68" w:history="1">
        <w:r w:rsidRPr="00CB73B6">
          <w:rPr>
            <w:rStyle w:val="Hyperlink"/>
            <w:rFonts w:ascii="Arial" w:hAnsi="Arial" w:cs="Arial"/>
            <w:sz w:val="22"/>
            <w:szCs w:val="22"/>
          </w:rPr>
          <w:t>https://ir.lawnet.fordham.edu/ulj/vol44/iss1/6/</w:t>
        </w:r>
      </w:hyperlink>
      <w:r w:rsidRPr="00CB73B6">
        <w:rPr>
          <w:rFonts w:ascii="Arial" w:hAnsi="Arial" w:cs="Arial"/>
          <w:sz w:val="22"/>
          <w:szCs w:val="22"/>
        </w:rPr>
        <w:t xml:space="preserve"> (last visited on April 28, 2020).</w:t>
      </w:r>
    </w:p>
    <w:p w14:paraId="617F1BE0" w14:textId="77777777" w:rsidR="00CB73B6" w:rsidRPr="00CB73B6" w:rsidRDefault="00CB73B6" w:rsidP="00152F9F">
      <w:pPr>
        <w:pStyle w:val="ListParagraph"/>
        <w:numPr>
          <w:ilvl w:val="0"/>
          <w:numId w:val="15"/>
        </w:numPr>
        <w:rPr>
          <w:rFonts w:ascii="Arial" w:hAnsi="Arial" w:cs="Arial"/>
          <w:sz w:val="22"/>
          <w:szCs w:val="22"/>
        </w:rPr>
      </w:pPr>
      <w:r w:rsidRPr="00CB73B6">
        <w:rPr>
          <w:rFonts w:ascii="Arial" w:hAnsi="Arial" w:cs="Arial"/>
          <w:sz w:val="22"/>
          <w:szCs w:val="22"/>
        </w:rPr>
        <w:t xml:space="preserve">Richard A. Epstein, Let the shoemaker stick to his last: a defense of the "old" public health, 46(3 Suppl), Perspectives in Biology &amp; Medicine S138-159 (2003). </w:t>
      </w:r>
      <w:hyperlink r:id="rId69" w:history="1">
        <w:r w:rsidRPr="00CB73B6">
          <w:rPr>
            <w:rStyle w:val="Hyperlink"/>
            <w:rFonts w:ascii="Arial" w:hAnsi="Arial" w:cs="Arial"/>
            <w:sz w:val="22"/>
            <w:szCs w:val="22"/>
          </w:rPr>
          <w:t>https://muse.jhu.edu/article/168971/pdf</w:t>
        </w:r>
      </w:hyperlink>
      <w:r w:rsidRPr="00CB73B6">
        <w:rPr>
          <w:rFonts w:ascii="Arial" w:hAnsi="Arial" w:cs="Arial"/>
          <w:sz w:val="22"/>
          <w:szCs w:val="22"/>
        </w:rPr>
        <w:t xml:space="preserve"> (last visited on April 28, 2020). </w:t>
      </w:r>
    </w:p>
    <w:p w14:paraId="645D5855" w14:textId="77777777" w:rsidR="00CB73B6" w:rsidRPr="00CB73B6" w:rsidRDefault="00CB73B6" w:rsidP="00072018">
      <w:pPr>
        <w:pStyle w:val="NEXT"/>
      </w:pPr>
    </w:p>
    <w:p w14:paraId="6C12ADA9" w14:textId="77777777" w:rsidR="00CB73B6" w:rsidRPr="00CB73B6" w:rsidRDefault="00CB73B6" w:rsidP="00072018">
      <w:pPr>
        <w:pStyle w:val="NEXT"/>
      </w:pPr>
      <w:r w:rsidRPr="00CB73B6">
        <w:t xml:space="preserve">Optional website: great for straightforward learning about preemption: </w:t>
      </w:r>
    </w:p>
    <w:p w14:paraId="239D251B" w14:textId="77777777" w:rsidR="00CB73B6" w:rsidRPr="00CB73B6" w:rsidRDefault="00CB73B6" w:rsidP="00152F9F">
      <w:pPr>
        <w:pStyle w:val="NEXT"/>
        <w:numPr>
          <w:ilvl w:val="0"/>
          <w:numId w:val="15"/>
        </w:numPr>
      </w:pPr>
      <w:r w:rsidRPr="00CB73B6">
        <w:t xml:space="preserve">Public Health Law Academy: Preemption. </w:t>
      </w:r>
      <w:hyperlink r:id="rId70" w:history="1">
        <w:r w:rsidRPr="00CB73B6">
          <w:rPr>
            <w:rStyle w:val="Hyperlink"/>
          </w:rPr>
          <w:t>https://www.changelabsolutions.org/good-governance/phla/intro-public-health-law</w:t>
        </w:r>
      </w:hyperlink>
    </w:p>
    <w:p w14:paraId="5EA54843" w14:textId="77777777" w:rsidR="00CB73B6" w:rsidRPr="00CB73B6" w:rsidRDefault="00CB73B6" w:rsidP="00072018">
      <w:pPr>
        <w:pStyle w:val="NEXT"/>
        <w:rPr>
          <w:rStyle w:val="Hyperlink"/>
        </w:rPr>
      </w:pPr>
    </w:p>
    <w:p w14:paraId="05D208D0"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Week 5: Limits on Government Power and Authority: Substantive and Procedural Due Process</w:t>
      </w:r>
    </w:p>
    <w:p w14:paraId="65A8B833" w14:textId="77777777" w:rsidR="00CB73B6" w:rsidRPr="00CB73B6" w:rsidRDefault="00CB73B6" w:rsidP="00CB73B6">
      <w:pPr>
        <w:rPr>
          <w:rFonts w:ascii="Arial" w:hAnsi="Arial" w:cs="Arial"/>
          <w:sz w:val="22"/>
          <w:szCs w:val="22"/>
        </w:rPr>
      </w:pPr>
    </w:p>
    <w:p w14:paraId="14AF75EA"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2A4B4F60" w14:textId="77777777" w:rsidR="00CB73B6" w:rsidRPr="00CB73B6" w:rsidRDefault="00CB73B6" w:rsidP="00CB73B6">
      <w:pPr>
        <w:rPr>
          <w:rFonts w:ascii="Arial" w:hAnsi="Arial" w:cs="Arial"/>
          <w:sz w:val="22"/>
          <w:szCs w:val="22"/>
        </w:rPr>
      </w:pPr>
      <w:r w:rsidRPr="00CB73B6">
        <w:rPr>
          <w:rFonts w:ascii="Arial" w:hAnsi="Arial" w:cs="Arial"/>
          <w:sz w:val="22"/>
          <w:szCs w:val="22"/>
        </w:rPr>
        <w:t>The ink was barely dry on the Constitution when the first ten amendments – known as the Bill of Rights – were enacted to protect citizens from government over-reach.  After the Civil War, the 14</w:t>
      </w:r>
      <w:r w:rsidRPr="00CB73B6">
        <w:rPr>
          <w:rFonts w:ascii="Arial" w:hAnsi="Arial" w:cs="Arial"/>
          <w:sz w:val="22"/>
          <w:szCs w:val="22"/>
          <w:vertAlign w:val="superscript"/>
        </w:rPr>
        <w:t>th</w:t>
      </w:r>
      <w:r w:rsidRPr="00CB73B6">
        <w:rPr>
          <w:rFonts w:ascii="Arial" w:hAnsi="Arial" w:cs="Arial"/>
          <w:sz w:val="22"/>
          <w:szCs w:val="22"/>
        </w:rPr>
        <w:t xml:space="preserve"> Amendment applied all the protections of the Bill of Rights to over-reach from state governments, too. Then came COVID-19. Does the President really have “total power”? How do we square the protections of civil liberties with protecting the health of the public? We will explore the Due Process Clause of the 5</w:t>
      </w:r>
      <w:r w:rsidRPr="00CB73B6">
        <w:rPr>
          <w:rFonts w:ascii="Arial" w:hAnsi="Arial" w:cs="Arial"/>
          <w:sz w:val="22"/>
          <w:szCs w:val="22"/>
          <w:vertAlign w:val="superscript"/>
        </w:rPr>
        <w:t>th</w:t>
      </w:r>
      <w:r w:rsidRPr="00CB73B6">
        <w:rPr>
          <w:rFonts w:ascii="Arial" w:hAnsi="Arial" w:cs="Arial"/>
          <w:sz w:val="22"/>
          <w:szCs w:val="22"/>
        </w:rPr>
        <w:t xml:space="preserve"> and 14</w:t>
      </w:r>
      <w:r w:rsidRPr="00CB73B6">
        <w:rPr>
          <w:rFonts w:ascii="Arial" w:hAnsi="Arial" w:cs="Arial"/>
          <w:sz w:val="22"/>
          <w:szCs w:val="22"/>
          <w:vertAlign w:val="superscript"/>
        </w:rPr>
        <w:t>th</w:t>
      </w:r>
      <w:r w:rsidRPr="00CB73B6">
        <w:rPr>
          <w:rFonts w:ascii="Arial" w:hAnsi="Arial" w:cs="Arial"/>
          <w:sz w:val="22"/>
          <w:szCs w:val="22"/>
        </w:rPr>
        <w:t xml:space="preserve"> in the context of public health protections.  </w:t>
      </w:r>
    </w:p>
    <w:p w14:paraId="2630E6A6" w14:textId="77777777" w:rsidR="00CB73B6" w:rsidRPr="00CB73B6" w:rsidRDefault="00CB73B6" w:rsidP="00CB73B6">
      <w:pPr>
        <w:rPr>
          <w:rFonts w:ascii="Arial" w:hAnsi="Arial" w:cs="Arial"/>
          <w:sz w:val="22"/>
          <w:szCs w:val="22"/>
        </w:rPr>
      </w:pPr>
    </w:p>
    <w:p w14:paraId="3D0D40CD" w14:textId="77777777" w:rsidR="00CB73B6" w:rsidRPr="00CB73B6" w:rsidRDefault="00CB73B6" w:rsidP="00CB73B6">
      <w:pPr>
        <w:rPr>
          <w:rFonts w:ascii="Arial" w:hAnsi="Arial" w:cs="Arial"/>
          <w:sz w:val="22"/>
          <w:szCs w:val="22"/>
        </w:rPr>
      </w:pPr>
      <w:r w:rsidRPr="00CB73B6">
        <w:rPr>
          <w:rFonts w:ascii="Arial" w:hAnsi="Arial" w:cs="Arial"/>
          <w:sz w:val="22"/>
          <w:szCs w:val="22"/>
        </w:rPr>
        <w:t>Substantive and procedural due process rights have evolved over the centuries and specific legal tests help decide whether individuals’ due process rights have been violated. We will discuss Supreme Court cases that have defined due process in the context of public health and examine cases where public health principles were raised as a justification for governmental action: one about involuntary sterilization and one about Ebola.  We conclude with discussion of the “state action doctrine” that defines which public health actors may be challenged on due process grounds.</w:t>
      </w:r>
    </w:p>
    <w:p w14:paraId="407BD1CA" w14:textId="77777777" w:rsidR="00CB73B6" w:rsidRPr="00CB73B6" w:rsidRDefault="00CB73B6" w:rsidP="00CB73B6">
      <w:pPr>
        <w:rPr>
          <w:rFonts w:ascii="Arial" w:hAnsi="Arial" w:cs="Arial"/>
          <w:sz w:val="22"/>
          <w:szCs w:val="22"/>
        </w:rPr>
      </w:pPr>
    </w:p>
    <w:p w14:paraId="692BF9A3"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5714D873" w14:textId="77777777" w:rsidR="00CB73B6" w:rsidRPr="00CB73B6" w:rsidRDefault="00CB73B6" w:rsidP="00152F9F">
      <w:pPr>
        <w:pStyle w:val="ListParagraph"/>
        <w:numPr>
          <w:ilvl w:val="0"/>
          <w:numId w:val="16"/>
        </w:numPr>
        <w:rPr>
          <w:rFonts w:ascii="Arial" w:eastAsia="Times New Roman" w:hAnsi="Arial" w:cs="Arial"/>
          <w:sz w:val="22"/>
          <w:szCs w:val="22"/>
        </w:rPr>
      </w:pPr>
      <w:r w:rsidRPr="00CB73B6">
        <w:rPr>
          <w:rFonts w:ascii="Arial" w:eastAsia="Times New Roman" w:hAnsi="Arial" w:cs="Arial"/>
          <w:sz w:val="22"/>
          <w:szCs w:val="22"/>
        </w:rPr>
        <w:t>Differentiate substantive from procedural due process.  </w:t>
      </w:r>
    </w:p>
    <w:p w14:paraId="55C0A5BE" w14:textId="77777777" w:rsidR="00CB73B6" w:rsidRPr="00CB73B6" w:rsidRDefault="00CB73B6" w:rsidP="00152F9F">
      <w:pPr>
        <w:pStyle w:val="ListParagraph"/>
        <w:numPr>
          <w:ilvl w:val="0"/>
          <w:numId w:val="16"/>
        </w:numPr>
        <w:rPr>
          <w:rFonts w:ascii="Arial" w:eastAsia="Times New Roman" w:hAnsi="Arial" w:cs="Arial"/>
          <w:sz w:val="22"/>
          <w:szCs w:val="22"/>
        </w:rPr>
      </w:pPr>
      <w:r w:rsidRPr="00CB73B6">
        <w:rPr>
          <w:rFonts w:ascii="Arial" w:eastAsia="Times New Roman" w:hAnsi="Arial" w:cs="Arial"/>
          <w:sz w:val="22"/>
          <w:szCs w:val="22"/>
        </w:rPr>
        <w:t>Provide examples of “fundamental rights” and explain why determining whether or not a right is “fundamental” is critical to any substantive due process analysis. </w:t>
      </w:r>
    </w:p>
    <w:p w14:paraId="5AA34E6D" w14:textId="77777777" w:rsidR="00CB73B6" w:rsidRPr="00CB73B6" w:rsidRDefault="00CB73B6" w:rsidP="00152F9F">
      <w:pPr>
        <w:pStyle w:val="ListParagraph"/>
        <w:numPr>
          <w:ilvl w:val="0"/>
          <w:numId w:val="16"/>
        </w:numPr>
        <w:rPr>
          <w:rFonts w:ascii="Arial" w:eastAsia="Times New Roman" w:hAnsi="Arial" w:cs="Arial"/>
          <w:sz w:val="22"/>
          <w:szCs w:val="22"/>
        </w:rPr>
      </w:pPr>
      <w:r w:rsidRPr="00CB73B6">
        <w:rPr>
          <w:rFonts w:ascii="Arial" w:eastAsia="Times New Roman" w:hAnsi="Arial" w:cs="Arial"/>
          <w:sz w:val="22"/>
          <w:szCs w:val="22"/>
        </w:rPr>
        <w:t>Understand how the state action doctrine limits who can be held responsible for due process violations. </w:t>
      </w:r>
    </w:p>
    <w:p w14:paraId="460494B9" w14:textId="77777777" w:rsidR="00CB73B6" w:rsidRPr="00CB73B6" w:rsidRDefault="00CB73B6" w:rsidP="00CB73B6">
      <w:pPr>
        <w:rPr>
          <w:rFonts w:ascii="Arial" w:hAnsi="Arial" w:cs="Arial"/>
          <w:sz w:val="22"/>
          <w:szCs w:val="22"/>
        </w:rPr>
      </w:pPr>
    </w:p>
    <w:p w14:paraId="38CA50FA"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44916382"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 xml:space="preserve">Chapter 11. </w:t>
      </w:r>
    </w:p>
    <w:p w14:paraId="18A34028"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hAnsi="Arial" w:cs="Arial"/>
          <w:sz w:val="22"/>
          <w:szCs w:val="22"/>
        </w:rPr>
        <w:t xml:space="preserve">Buck v. Bell, </w:t>
      </w:r>
      <w:hyperlink r:id="rId71" w:tgtFrame="_blank" w:history="1">
        <w:r w:rsidRPr="00CB73B6">
          <w:rPr>
            <w:rStyle w:val="ng-binding"/>
            <w:rFonts w:ascii="Arial" w:eastAsiaTheme="majorEastAsia" w:hAnsi="Arial" w:cs="Arial"/>
            <w:sz w:val="22"/>
            <w:szCs w:val="22"/>
            <w:shd w:val="clear" w:color="auto" w:fill="F8F8F8"/>
          </w:rPr>
          <w:t>274 U.S. 200 (1927)</w:t>
        </w:r>
      </w:hyperlink>
      <w:r w:rsidRPr="00CB73B6">
        <w:rPr>
          <w:rFonts w:ascii="Arial" w:hAnsi="Arial" w:cs="Arial"/>
          <w:sz w:val="22"/>
          <w:szCs w:val="22"/>
        </w:rPr>
        <w:t xml:space="preserve">. </w:t>
      </w:r>
      <w:r w:rsidRPr="00CB73B6">
        <w:rPr>
          <w:rFonts w:ascii="Arial" w:hAnsi="Arial" w:cs="Arial"/>
          <w:color w:val="1A1A1A"/>
          <w:sz w:val="22"/>
          <w:szCs w:val="22"/>
        </w:rPr>
        <w:t>Excerpts.</w:t>
      </w:r>
    </w:p>
    <w:p w14:paraId="49E0EE69"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hAnsi="Arial" w:cs="Arial"/>
          <w:color w:val="1A1A1A"/>
          <w:sz w:val="22"/>
          <w:szCs w:val="22"/>
        </w:rPr>
        <w:t xml:space="preserve">Goldberg v. Kelly, 397 U.S. 254 (1970). Excerpts. </w:t>
      </w:r>
    </w:p>
    <w:p w14:paraId="55270E9B"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hAnsi="Arial" w:cs="Arial"/>
          <w:color w:val="1A1A1A"/>
          <w:sz w:val="22"/>
          <w:szCs w:val="22"/>
        </w:rPr>
        <w:t xml:space="preserve">City of New York v. St. Mark’s Baths, 130 Misc.2d 911 (N.Y. Sup. Ct. 1986). Excerpts. </w:t>
      </w:r>
    </w:p>
    <w:p w14:paraId="56682FB1"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 xml:space="preserve">School Board of Nassau County, FL v. Arline, </w:t>
      </w:r>
      <w:hyperlink r:id="rId72" w:tgtFrame="_blank" w:history="1">
        <w:r w:rsidRPr="00CB73B6">
          <w:rPr>
            <w:rStyle w:val="ng-binding"/>
            <w:rFonts w:ascii="Arial" w:hAnsi="Arial" w:cs="Arial"/>
            <w:sz w:val="22"/>
            <w:szCs w:val="22"/>
            <w:shd w:val="clear" w:color="auto" w:fill="F8F8F8"/>
          </w:rPr>
          <w:t>480 U.S. 273 (1987)</w:t>
        </w:r>
      </w:hyperlink>
      <w:r w:rsidRPr="00CB73B6">
        <w:rPr>
          <w:rFonts w:ascii="Arial" w:eastAsia="Times New Roman" w:hAnsi="Arial" w:cs="Arial"/>
          <w:sz w:val="22"/>
          <w:szCs w:val="22"/>
        </w:rPr>
        <w:t>.</w:t>
      </w:r>
      <w:r w:rsidRPr="00CB73B6">
        <w:rPr>
          <w:rFonts w:ascii="Arial" w:hAnsi="Arial" w:cs="Arial"/>
          <w:color w:val="1A1A1A"/>
          <w:sz w:val="22"/>
          <w:szCs w:val="22"/>
        </w:rPr>
        <w:t xml:space="preserve"> Excerpts.</w:t>
      </w:r>
    </w:p>
    <w:p w14:paraId="75FA7BE7"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hAnsi="Arial" w:cs="Arial"/>
          <w:color w:val="1A1A1A"/>
          <w:sz w:val="22"/>
          <w:szCs w:val="22"/>
        </w:rPr>
        <w:t>City of Newark v. J.S., 652 A.2d 265 (N.J. Super. Ct. 1993). Excerpts.</w:t>
      </w:r>
    </w:p>
    <w:p w14:paraId="25704E9F"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Wong Wai v. Williamson, 103 F.1 (C.C.N.D. California 1900). Excerpts</w:t>
      </w:r>
    </w:p>
    <w:p w14:paraId="6084ED6C"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 xml:space="preserve">Lawrence v. Texas, </w:t>
      </w:r>
      <w:r w:rsidRPr="00CB73B6">
        <w:rPr>
          <w:rFonts w:ascii="Arial" w:hAnsi="Arial" w:cs="Arial"/>
          <w:color w:val="000000"/>
          <w:sz w:val="22"/>
          <w:szCs w:val="22"/>
        </w:rPr>
        <w:t xml:space="preserve">123 </w:t>
      </w:r>
      <w:proofErr w:type="spellStart"/>
      <w:r w:rsidRPr="00CB73B6">
        <w:rPr>
          <w:rFonts w:ascii="Arial" w:hAnsi="Arial" w:cs="Arial"/>
          <w:color w:val="000000"/>
          <w:sz w:val="22"/>
          <w:szCs w:val="22"/>
        </w:rPr>
        <w:t>S.Ct</w:t>
      </w:r>
      <w:proofErr w:type="spellEnd"/>
      <w:r w:rsidRPr="00CB73B6">
        <w:rPr>
          <w:rFonts w:ascii="Arial" w:hAnsi="Arial" w:cs="Arial"/>
          <w:color w:val="000000"/>
          <w:sz w:val="22"/>
          <w:szCs w:val="22"/>
        </w:rPr>
        <w:t xml:space="preserve">. 2472 (2003). </w:t>
      </w:r>
      <w:r w:rsidRPr="00CB73B6">
        <w:rPr>
          <w:rFonts w:ascii="Arial" w:hAnsi="Arial" w:cs="Arial"/>
          <w:sz w:val="22"/>
          <w:szCs w:val="22"/>
        </w:rPr>
        <w:t>Excerpts.</w:t>
      </w:r>
    </w:p>
    <w:p w14:paraId="669522E5"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 xml:space="preserve">Burwell v. Hobby Lobby Stores, Inc. 573 U.S. 682 (2014). </w:t>
      </w:r>
      <w:r w:rsidRPr="00CB73B6">
        <w:rPr>
          <w:rFonts w:ascii="Arial" w:hAnsi="Arial" w:cs="Arial"/>
          <w:color w:val="1A1A1A"/>
          <w:sz w:val="22"/>
          <w:szCs w:val="22"/>
        </w:rPr>
        <w:t>Excerpts.</w:t>
      </w:r>
    </w:p>
    <w:p w14:paraId="0268A328"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hAnsi="Arial" w:cs="Arial"/>
          <w:color w:val="1A1A1A"/>
          <w:sz w:val="22"/>
          <w:szCs w:val="22"/>
        </w:rPr>
        <w:t>South Bay United Pentecostal Church v. Newsom, 590 U.S. __ (2020).</w:t>
      </w:r>
    </w:p>
    <w:p w14:paraId="0347E198" w14:textId="77777777" w:rsidR="00CB73B6" w:rsidRPr="00CB73B6" w:rsidRDefault="00CB73B6" w:rsidP="00CB73B6">
      <w:pPr>
        <w:rPr>
          <w:rFonts w:ascii="Arial" w:hAnsi="Arial" w:cs="Arial"/>
          <w:color w:val="000000" w:themeColor="text1"/>
          <w:sz w:val="22"/>
          <w:szCs w:val="22"/>
        </w:rPr>
      </w:pPr>
    </w:p>
    <w:p w14:paraId="77A63033" w14:textId="77777777" w:rsidR="00CB73B6" w:rsidRPr="00CB73B6" w:rsidRDefault="00CB73B6" w:rsidP="00CB73B6">
      <w:pPr>
        <w:rPr>
          <w:rFonts w:ascii="Arial" w:hAnsi="Arial" w:cs="Arial"/>
          <w:color w:val="000000" w:themeColor="text1"/>
          <w:sz w:val="22"/>
          <w:szCs w:val="22"/>
        </w:rPr>
      </w:pPr>
      <w:r w:rsidRPr="00CB73B6">
        <w:rPr>
          <w:rFonts w:ascii="Arial" w:hAnsi="Arial" w:cs="Arial"/>
          <w:color w:val="000000" w:themeColor="text1"/>
          <w:sz w:val="22"/>
          <w:szCs w:val="22"/>
        </w:rPr>
        <w:t>Short readings:</w:t>
      </w:r>
    </w:p>
    <w:p w14:paraId="3D941D44"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 xml:space="preserve">Lindsay Wiley &amp; Stephen Vladeck, </w:t>
      </w:r>
      <w:r w:rsidRPr="00CB73B6">
        <w:rPr>
          <w:rFonts w:ascii="Arial" w:eastAsia="Times New Roman" w:hAnsi="Arial" w:cs="Arial"/>
          <w:i/>
          <w:iCs/>
          <w:color w:val="000000" w:themeColor="text1"/>
          <w:sz w:val="22"/>
          <w:szCs w:val="22"/>
        </w:rPr>
        <w:t>COVID-19 Reinforces the Argument for “Regular” Judicial Review – Not Suspension of Civil Liberties – In Times of Crisis</w:t>
      </w:r>
      <w:r w:rsidRPr="00CB73B6">
        <w:rPr>
          <w:rFonts w:ascii="Arial" w:eastAsia="Times New Roman" w:hAnsi="Arial" w:cs="Arial"/>
          <w:color w:val="000000" w:themeColor="text1"/>
          <w:sz w:val="22"/>
          <w:szCs w:val="22"/>
        </w:rPr>
        <w:t xml:space="preserve">, Harvard </w:t>
      </w:r>
      <w:proofErr w:type="spellStart"/>
      <w:r w:rsidRPr="00CB73B6">
        <w:rPr>
          <w:rFonts w:ascii="Arial" w:eastAsia="Times New Roman" w:hAnsi="Arial" w:cs="Arial"/>
          <w:color w:val="000000" w:themeColor="text1"/>
          <w:sz w:val="22"/>
          <w:szCs w:val="22"/>
        </w:rPr>
        <w:t>L.Rev</w:t>
      </w:r>
      <w:proofErr w:type="spellEnd"/>
      <w:r w:rsidRPr="00CB73B6">
        <w:rPr>
          <w:rFonts w:ascii="Arial" w:eastAsia="Times New Roman" w:hAnsi="Arial" w:cs="Arial"/>
          <w:color w:val="000000" w:themeColor="text1"/>
          <w:sz w:val="22"/>
          <w:szCs w:val="22"/>
        </w:rPr>
        <w:t xml:space="preserve">. Blog, April 9, 2020. </w:t>
      </w:r>
      <w:hyperlink r:id="rId73" w:history="1">
        <w:r w:rsidRPr="00CB73B6">
          <w:rPr>
            <w:rStyle w:val="Hyperlink"/>
            <w:rFonts w:ascii="Arial" w:hAnsi="Arial" w:cs="Arial"/>
            <w:sz w:val="22"/>
            <w:szCs w:val="22"/>
          </w:rPr>
          <w:t>https://blog.harvardlawreview.org/covid-19-reinforces-the-argument-for-regular-judicial-review-not-suspension-of-civil-liberties-in-times-of-crisis/</w:t>
        </w:r>
      </w:hyperlink>
      <w:r w:rsidRPr="00CB73B6">
        <w:rPr>
          <w:rFonts w:ascii="Arial" w:hAnsi="Arial" w:cs="Arial"/>
          <w:sz w:val="22"/>
          <w:szCs w:val="22"/>
        </w:rPr>
        <w:t xml:space="preserve">. </w:t>
      </w:r>
      <w:r w:rsidRPr="00CB73B6">
        <w:rPr>
          <w:rFonts w:ascii="Arial" w:eastAsia="Times New Roman" w:hAnsi="Arial" w:cs="Arial"/>
          <w:color w:val="000000" w:themeColor="text1"/>
          <w:sz w:val="22"/>
          <w:szCs w:val="22"/>
        </w:rPr>
        <w:t xml:space="preserve"> (Last visited on April 28, 2020).</w:t>
      </w:r>
    </w:p>
    <w:p w14:paraId="76339EEE" w14:textId="77777777" w:rsidR="00CB73B6" w:rsidRPr="00CB73B6" w:rsidRDefault="00CB73B6" w:rsidP="00CB73B6">
      <w:pPr>
        <w:pStyle w:val="ListParagraph"/>
        <w:rPr>
          <w:rFonts w:ascii="Arial" w:eastAsia="Times New Roman" w:hAnsi="Arial" w:cs="Arial"/>
          <w:color w:val="000000" w:themeColor="text1"/>
          <w:sz w:val="22"/>
          <w:szCs w:val="22"/>
        </w:rPr>
      </w:pPr>
    </w:p>
    <w:p w14:paraId="3564F983" w14:textId="77777777" w:rsidR="00CB73B6" w:rsidRPr="00CB73B6" w:rsidRDefault="00CB73B6" w:rsidP="00CB73B6">
      <w:pPr>
        <w:rPr>
          <w:rFonts w:ascii="Arial" w:hAnsi="Arial" w:cs="Arial"/>
          <w:color w:val="000000" w:themeColor="text1"/>
          <w:sz w:val="22"/>
          <w:szCs w:val="22"/>
        </w:rPr>
      </w:pPr>
      <w:r w:rsidRPr="00CB73B6">
        <w:rPr>
          <w:rFonts w:ascii="Arial" w:hAnsi="Arial" w:cs="Arial"/>
          <w:color w:val="000000" w:themeColor="text1"/>
          <w:sz w:val="22"/>
          <w:szCs w:val="22"/>
        </w:rPr>
        <w:t>Optional reading and video on Ebola:</w:t>
      </w:r>
    </w:p>
    <w:p w14:paraId="7DC4E38A" w14:textId="77777777" w:rsidR="00CB73B6" w:rsidRPr="00CB73B6" w:rsidRDefault="00CB73B6" w:rsidP="00152F9F">
      <w:pPr>
        <w:pStyle w:val="ListParagraph"/>
        <w:numPr>
          <w:ilvl w:val="0"/>
          <w:numId w:val="9"/>
        </w:numPr>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A</w:t>
      </w:r>
      <w:r w:rsidRPr="00CB73B6">
        <w:rPr>
          <w:rFonts w:ascii="Arial" w:eastAsia="Times New Roman" w:hAnsi="Arial" w:cs="Arial"/>
          <w:sz w:val="22"/>
          <w:szCs w:val="22"/>
        </w:rPr>
        <w:t xml:space="preserve">CLU-Yale Law School, </w:t>
      </w:r>
      <w:r w:rsidRPr="00CB73B6">
        <w:rPr>
          <w:rFonts w:ascii="Arial" w:eastAsia="Times New Roman" w:hAnsi="Arial" w:cs="Arial"/>
          <w:i/>
          <w:iCs/>
          <w:sz w:val="22"/>
          <w:szCs w:val="22"/>
        </w:rPr>
        <w:t>FEAR, POLITICS, AND EBOLA</w:t>
      </w:r>
      <w:r w:rsidRPr="00CB73B6">
        <w:rPr>
          <w:rStyle w:val="Hyperlink"/>
          <w:rFonts w:ascii="Arial" w:eastAsia="Times New Roman" w:hAnsi="Arial" w:cs="Arial"/>
          <w:i/>
          <w:iCs/>
          <w:sz w:val="22"/>
          <w:szCs w:val="22"/>
        </w:rPr>
        <w:t>:</w:t>
      </w:r>
      <w:r w:rsidRPr="00CB73B6">
        <w:rPr>
          <w:rFonts w:ascii="Arial" w:eastAsia="Times New Roman" w:hAnsi="Arial" w:cs="Arial"/>
          <w:i/>
          <w:iCs/>
          <w:sz w:val="22"/>
          <w:szCs w:val="22"/>
        </w:rPr>
        <w:t xml:space="preserve"> How Quarantines Hurt the Fight Against Ebola and Violate the Constitution</w:t>
      </w:r>
      <w:r w:rsidRPr="00CB73B6">
        <w:rPr>
          <w:rFonts w:ascii="Arial" w:eastAsia="Times New Roman" w:hAnsi="Arial" w:cs="Arial"/>
          <w:sz w:val="22"/>
          <w:szCs w:val="22"/>
        </w:rPr>
        <w:t xml:space="preserve"> (2015). </w:t>
      </w:r>
      <w:hyperlink r:id="rId74" w:history="1">
        <w:r w:rsidRPr="00CB73B6">
          <w:rPr>
            <w:rStyle w:val="Hyperlink"/>
            <w:rFonts w:ascii="Arial" w:hAnsi="Arial" w:cs="Arial"/>
            <w:sz w:val="22"/>
            <w:szCs w:val="22"/>
          </w:rPr>
          <w:t>https://www.aclu.org/sites/default/files/field_document/aclu-ebolareport.pdf</w:t>
        </w:r>
      </w:hyperlink>
      <w:r w:rsidRPr="00CB73B6">
        <w:rPr>
          <w:rFonts w:ascii="Arial" w:hAnsi="Arial" w:cs="Arial"/>
          <w:sz w:val="22"/>
          <w:szCs w:val="22"/>
        </w:rPr>
        <w:t xml:space="preserve"> (last visited on April 28, 2020). Pages</w:t>
      </w:r>
      <w:r w:rsidRPr="00CB73B6">
        <w:rPr>
          <w:rFonts w:ascii="Arial" w:eastAsia="Times New Roman" w:hAnsi="Arial" w:cs="Arial"/>
          <w:sz w:val="22"/>
          <w:szCs w:val="22"/>
        </w:rPr>
        <w:t xml:space="preserve"> 25-42 are most important.</w:t>
      </w:r>
    </w:p>
    <w:p w14:paraId="055A13E1" w14:textId="77777777" w:rsidR="00CB73B6" w:rsidRPr="00CB73B6" w:rsidRDefault="00CB73B6" w:rsidP="00152F9F">
      <w:pPr>
        <w:pStyle w:val="ListParagraph"/>
        <w:numPr>
          <w:ilvl w:val="0"/>
          <w:numId w:val="9"/>
        </w:numPr>
        <w:rPr>
          <w:rStyle w:val="Hyperlink"/>
          <w:rFonts w:ascii="Arial" w:eastAsia="Times New Roman" w:hAnsi="Arial" w:cs="Arial"/>
          <w:color w:val="000000" w:themeColor="text1"/>
          <w:sz w:val="22"/>
          <w:szCs w:val="22"/>
        </w:rPr>
      </w:pPr>
      <w:r w:rsidRPr="00CB73B6">
        <w:rPr>
          <w:rFonts w:ascii="Arial" w:hAnsi="Arial" w:cs="Arial"/>
          <w:sz w:val="22"/>
          <w:szCs w:val="22"/>
        </w:rPr>
        <w:t xml:space="preserve">Frontline: Outbreak [Ebola] </w:t>
      </w:r>
      <w:hyperlink r:id="rId75" w:history="1">
        <w:r w:rsidRPr="00CB73B6">
          <w:rPr>
            <w:rStyle w:val="Hyperlink"/>
            <w:rFonts w:ascii="Arial" w:eastAsia="Times New Roman" w:hAnsi="Arial" w:cs="Arial"/>
            <w:sz w:val="22"/>
            <w:szCs w:val="22"/>
          </w:rPr>
          <w:t>http://www.pbs.org/wgbh/frontline/film/outbreak/</w:t>
        </w:r>
      </w:hyperlink>
      <w:r w:rsidRPr="00CB73B6">
        <w:rPr>
          <w:rStyle w:val="Hyperlink"/>
          <w:rFonts w:ascii="Arial" w:eastAsia="Times New Roman" w:hAnsi="Arial" w:cs="Arial"/>
          <w:sz w:val="22"/>
          <w:szCs w:val="22"/>
        </w:rPr>
        <w:t xml:space="preserve">. </w:t>
      </w:r>
    </w:p>
    <w:p w14:paraId="6BB96432" w14:textId="77777777" w:rsidR="00CB73B6" w:rsidRPr="00CB73B6" w:rsidRDefault="00CB73B6" w:rsidP="00CB73B6">
      <w:pPr>
        <w:rPr>
          <w:rFonts w:ascii="Arial" w:hAnsi="Arial" w:cs="Arial"/>
          <w:color w:val="000000" w:themeColor="text1"/>
          <w:sz w:val="22"/>
          <w:szCs w:val="22"/>
        </w:rPr>
      </w:pPr>
      <w:r w:rsidRPr="00CB73B6">
        <w:rPr>
          <w:rFonts w:ascii="Arial" w:hAnsi="Arial" w:cs="Arial"/>
          <w:sz w:val="22"/>
          <w:szCs w:val="22"/>
        </w:rPr>
        <w:t xml:space="preserve"> </w:t>
      </w:r>
    </w:p>
    <w:p w14:paraId="0814FAF8" w14:textId="77777777" w:rsidR="00CB73B6" w:rsidRPr="00CB73B6" w:rsidRDefault="00CB73B6" w:rsidP="00CB73B6">
      <w:pPr>
        <w:rPr>
          <w:rFonts w:ascii="Arial" w:hAnsi="Arial" w:cs="Arial"/>
          <w:b/>
          <w:bCs/>
          <w:sz w:val="22"/>
          <w:szCs w:val="22"/>
        </w:rPr>
      </w:pPr>
    </w:p>
    <w:p w14:paraId="27ECBF15"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Week 6: Equal Protection and Civil Rights</w:t>
      </w:r>
    </w:p>
    <w:p w14:paraId="406B4AF1" w14:textId="77777777" w:rsidR="00CB73B6" w:rsidRPr="00CB73B6" w:rsidRDefault="00CB73B6" w:rsidP="00CB73B6">
      <w:pPr>
        <w:rPr>
          <w:rFonts w:ascii="Arial" w:hAnsi="Arial" w:cs="Arial"/>
          <w:sz w:val="22"/>
          <w:szCs w:val="22"/>
        </w:rPr>
      </w:pPr>
    </w:p>
    <w:p w14:paraId="6F26CFDF"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3F01936D" w14:textId="77777777" w:rsidR="00CB73B6" w:rsidRPr="00CB73B6" w:rsidRDefault="00CB73B6" w:rsidP="00CB73B6">
      <w:pPr>
        <w:rPr>
          <w:rFonts w:ascii="Arial" w:hAnsi="Arial" w:cs="Arial"/>
          <w:sz w:val="22"/>
          <w:szCs w:val="22"/>
        </w:rPr>
      </w:pPr>
      <w:r w:rsidRPr="00CB73B6">
        <w:rPr>
          <w:rFonts w:ascii="Arial" w:hAnsi="Arial" w:cs="Arial"/>
          <w:sz w:val="22"/>
          <w:szCs w:val="22"/>
        </w:rPr>
        <w:t>The death rates for COVID-19 – just like for most other preventable diseases – were disproportionately high for people of color all throughout the United States. What’s going on?  How does this align with constitutional guarantees of equal protection under the law?</w:t>
      </w:r>
    </w:p>
    <w:p w14:paraId="3A81885A" w14:textId="77777777" w:rsidR="00CB73B6" w:rsidRPr="00CB73B6" w:rsidRDefault="00CB73B6" w:rsidP="00CB73B6">
      <w:pPr>
        <w:rPr>
          <w:rFonts w:ascii="Arial" w:hAnsi="Arial" w:cs="Arial"/>
          <w:sz w:val="22"/>
          <w:szCs w:val="22"/>
        </w:rPr>
      </w:pPr>
    </w:p>
    <w:p w14:paraId="1658B0AD" w14:textId="77777777" w:rsidR="00CB73B6" w:rsidRPr="00CB73B6" w:rsidRDefault="00CB73B6" w:rsidP="00CB73B6">
      <w:pPr>
        <w:rPr>
          <w:rFonts w:ascii="Arial" w:hAnsi="Arial" w:cs="Arial"/>
          <w:sz w:val="22"/>
          <w:szCs w:val="22"/>
        </w:rPr>
      </w:pPr>
      <w:r w:rsidRPr="00CB73B6">
        <w:rPr>
          <w:rFonts w:ascii="Arial" w:hAnsi="Arial" w:cs="Arial"/>
          <w:sz w:val="22"/>
          <w:szCs w:val="22"/>
        </w:rPr>
        <w:t>We will explore the Equal Protection Clause of the 14</w:t>
      </w:r>
      <w:r w:rsidRPr="00CB73B6">
        <w:rPr>
          <w:rFonts w:ascii="Arial" w:hAnsi="Arial" w:cs="Arial"/>
          <w:sz w:val="22"/>
          <w:szCs w:val="22"/>
          <w:vertAlign w:val="superscript"/>
        </w:rPr>
        <w:t>th</w:t>
      </w:r>
      <w:r w:rsidRPr="00CB73B6">
        <w:rPr>
          <w:rFonts w:ascii="Arial" w:hAnsi="Arial" w:cs="Arial"/>
          <w:sz w:val="22"/>
          <w:szCs w:val="22"/>
        </w:rPr>
        <w:t xml:space="preserve"> Amendment which guarantees the equal protection under the law for all citizens. Federal, state or local governments are forbidden from discriminating based on immutable characteristics (also known as protected classifications) such as race, ethnicity, gender, religion. How do these guarantees align with government sanctioned red-lining, tax policies that enhance school funds in wealthy neighborhoods, forbidding transgender persons from serving in the military, and so many other historic and current government policies?</w:t>
      </w:r>
    </w:p>
    <w:p w14:paraId="637E975D" w14:textId="77777777" w:rsidR="00CB73B6" w:rsidRPr="00CB73B6" w:rsidRDefault="00CB73B6" w:rsidP="00CB73B6">
      <w:pPr>
        <w:rPr>
          <w:rFonts w:ascii="Arial" w:hAnsi="Arial" w:cs="Arial"/>
          <w:sz w:val="22"/>
          <w:szCs w:val="22"/>
        </w:rPr>
      </w:pPr>
    </w:p>
    <w:p w14:paraId="0A81C5AC"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2F8906C4" w14:textId="77777777" w:rsidR="00CB73B6" w:rsidRPr="00CB73B6" w:rsidRDefault="00CB73B6" w:rsidP="00152F9F">
      <w:pPr>
        <w:pStyle w:val="ListParagraph"/>
        <w:numPr>
          <w:ilvl w:val="0"/>
          <w:numId w:val="16"/>
        </w:numPr>
        <w:rPr>
          <w:rFonts w:ascii="Arial" w:eastAsiaTheme="minorBidi" w:hAnsi="Arial" w:cs="Arial"/>
          <w:sz w:val="22"/>
          <w:szCs w:val="22"/>
        </w:rPr>
      </w:pPr>
      <w:r w:rsidRPr="00CB73B6">
        <w:rPr>
          <w:rFonts w:ascii="Arial" w:eastAsia="Times New Roman" w:hAnsi="Arial" w:cs="Arial"/>
          <w:sz w:val="22"/>
          <w:szCs w:val="22"/>
        </w:rPr>
        <w:t>Understand the origins of the Fourteenth Amendment’s Equal Protection Clause. </w:t>
      </w:r>
    </w:p>
    <w:p w14:paraId="36D55848" w14:textId="77777777" w:rsidR="00CB73B6" w:rsidRPr="00CB73B6" w:rsidRDefault="00CB73B6" w:rsidP="00152F9F">
      <w:pPr>
        <w:pStyle w:val="ListParagraph"/>
        <w:numPr>
          <w:ilvl w:val="0"/>
          <w:numId w:val="16"/>
        </w:numPr>
        <w:rPr>
          <w:rFonts w:ascii="Arial" w:eastAsiaTheme="minorBidi" w:hAnsi="Arial" w:cs="Arial"/>
          <w:sz w:val="22"/>
          <w:szCs w:val="22"/>
        </w:rPr>
      </w:pPr>
      <w:r w:rsidRPr="00CB73B6">
        <w:rPr>
          <w:rFonts w:ascii="Arial" w:eastAsia="Times New Roman" w:hAnsi="Arial" w:cs="Arial"/>
          <w:sz w:val="22"/>
          <w:szCs w:val="22"/>
        </w:rPr>
        <w:t>Identify suspect and quasi-suspect classes and explain the levels of scrutiny courts apply in equal protection review.   </w:t>
      </w:r>
    </w:p>
    <w:p w14:paraId="31A89C25" w14:textId="77777777" w:rsidR="00CB73B6" w:rsidRPr="00CB73B6" w:rsidRDefault="00CB73B6" w:rsidP="00152F9F">
      <w:pPr>
        <w:pStyle w:val="ListParagraph"/>
        <w:numPr>
          <w:ilvl w:val="0"/>
          <w:numId w:val="16"/>
        </w:numPr>
        <w:rPr>
          <w:rFonts w:ascii="Arial" w:eastAsiaTheme="minorBidi" w:hAnsi="Arial" w:cs="Arial"/>
          <w:sz w:val="22"/>
          <w:szCs w:val="22"/>
        </w:rPr>
      </w:pPr>
      <w:r w:rsidRPr="00CB73B6">
        <w:rPr>
          <w:rFonts w:ascii="Arial" w:eastAsia="Times New Roman" w:hAnsi="Arial" w:cs="Arial"/>
          <w:sz w:val="22"/>
          <w:szCs w:val="22"/>
        </w:rPr>
        <w:t>Recognize factors that have historically led to equal protection violations by public health officials.  </w:t>
      </w:r>
    </w:p>
    <w:p w14:paraId="2C7B170D" w14:textId="7C317212" w:rsidR="00CB73B6" w:rsidRDefault="00CB73B6" w:rsidP="00CB73B6">
      <w:pPr>
        <w:rPr>
          <w:rFonts w:ascii="Arial" w:hAnsi="Arial" w:cs="Arial"/>
          <w:sz w:val="22"/>
          <w:szCs w:val="22"/>
        </w:rPr>
      </w:pPr>
    </w:p>
    <w:p w14:paraId="5622F852" w14:textId="2B15D19C" w:rsidR="00072018" w:rsidRPr="00072018" w:rsidRDefault="00072018" w:rsidP="00072018">
      <w:pPr>
        <w:pStyle w:val="NEXT"/>
      </w:pPr>
      <w:r w:rsidRPr="00072018">
        <w:rPr>
          <w:rStyle w:val="Hyperlink"/>
          <w:b/>
          <w:bCs/>
          <w:color w:val="auto"/>
          <w:u w:val="none"/>
        </w:rPr>
        <w:t xml:space="preserve">Special Assignment: </w:t>
      </w:r>
      <w:r w:rsidRPr="00072018">
        <w:rPr>
          <w:rStyle w:val="Hyperlink"/>
          <w:color w:val="auto"/>
          <w:u w:val="none"/>
        </w:rPr>
        <w:t xml:space="preserve">Find a COVID-19-related case that argues violations of the Equal Protection doctrine. </w:t>
      </w:r>
      <w:r w:rsidRPr="00072018">
        <w:rPr>
          <w:rStyle w:val="Hyperlink"/>
          <w:b/>
          <w:bCs/>
          <w:color w:val="auto"/>
          <w:u w:val="none"/>
        </w:rPr>
        <w:t xml:space="preserve"> Be prepared to discuss it in class.</w:t>
      </w:r>
    </w:p>
    <w:p w14:paraId="0FF21BD8" w14:textId="77777777" w:rsidR="00072018" w:rsidRPr="00CB73B6" w:rsidRDefault="00072018" w:rsidP="00CB73B6">
      <w:pPr>
        <w:rPr>
          <w:rFonts w:ascii="Arial" w:hAnsi="Arial" w:cs="Arial"/>
          <w:sz w:val="22"/>
          <w:szCs w:val="22"/>
        </w:rPr>
      </w:pPr>
    </w:p>
    <w:p w14:paraId="09301EE0"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161D1FFD" w14:textId="77777777" w:rsidR="00CB73B6" w:rsidRPr="00CB73B6" w:rsidRDefault="00CB73B6" w:rsidP="00152F9F">
      <w:pPr>
        <w:pStyle w:val="NEXT"/>
        <w:numPr>
          <w:ilvl w:val="0"/>
          <w:numId w:val="34"/>
        </w:numPr>
      </w:pPr>
      <w:r w:rsidRPr="00CB73B6">
        <w:t xml:space="preserve">Chapter 12. </w:t>
      </w:r>
    </w:p>
    <w:p w14:paraId="7660F19E" w14:textId="77777777" w:rsidR="00CB73B6" w:rsidRPr="00CB73B6" w:rsidRDefault="00CB73B6" w:rsidP="00152F9F">
      <w:pPr>
        <w:pStyle w:val="NEXT"/>
        <w:numPr>
          <w:ilvl w:val="0"/>
          <w:numId w:val="34"/>
        </w:numPr>
      </w:pPr>
      <w:r w:rsidRPr="00CB73B6">
        <w:t xml:space="preserve">Jew Ho v. Williamson, 103 F. 10 (C.C.N.D. California 1900). </w:t>
      </w:r>
    </w:p>
    <w:p w14:paraId="002229E5" w14:textId="77777777" w:rsidR="00CB73B6" w:rsidRPr="00CB73B6" w:rsidRDefault="00CB73B6" w:rsidP="00152F9F">
      <w:pPr>
        <w:pStyle w:val="NEXT"/>
        <w:numPr>
          <w:ilvl w:val="0"/>
          <w:numId w:val="34"/>
        </w:numPr>
      </w:pPr>
      <w:r w:rsidRPr="00CB73B6">
        <w:t xml:space="preserve">Buck v. Bell, </w:t>
      </w:r>
      <w:hyperlink r:id="rId76" w:tgtFrame="_blank" w:history="1">
        <w:r w:rsidRPr="00962EB1">
          <w:rPr>
            <w:rStyle w:val="ng-binding"/>
            <w:rFonts w:eastAsiaTheme="majorEastAsia"/>
            <w:b/>
            <w:bCs/>
            <w:shd w:val="clear" w:color="auto" w:fill="F8F8F8"/>
          </w:rPr>
          <w:t>274 U.S. 200 (1927)</w:t>
        </w:r>
      </w:hyperlink>
      <w:r w:rsidRPr="00CB73B6">
        <w:t xml:space="preserve">. Excerpts. Reread. </w:t>
      </w:r>
    </w:p>
    <w:p w14:paraId="39ADF475" w14:textId="77777777" w:rsidR="00CB73B6" w:rsidRPr="00CB73B6" w:rsidRDefault="00CB73B6" w:rsidP="00152F9F">
      <w:pPr>
        <w:pStyle w:val="NEXT"/>
        <w:numPr>
          <w:ilvl w:val="0"/>
          <w:numId w:val="34"/>
        </w:numPr>
      </w:pPr>
      <w:r w:rsidRPr="00CB73B6">
        <w:t>Craig v. Boren, 429 U.S. 190 (1976). Excerpts.</w:t>
      </w:r>
    </w:p>
    <w:p w14:paraId="6188042B" w14:textId="77777777" w:rsidR="00CB73B6" w:rsidRPr="00CB73B6" w:rsidRDefault="00CB73B6" w:rsidP="00152F9F">
      <w:pPr>
        <w:pStyle w:val="ListParagraph"/>
        <w:numPr>
          <w:ilvl w:val="0"/>
          <w:numId w:val="27"/>
        </w:numPr>
        <w:ind w:left="720"/>
        <w:rPr>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 xml:space="preserve">Lawrence v. Texas, </w:t>
      </w:r>
      <w:r w:rsidRPr="00CB73B6">
        <w:rPr>
          <w:rFonts w:ascii="Arial" w:hAnsi="Arial" w:cs="Arial"/>
          <w:color w:val="000000"/>
          <w:sz w:val="22"/>
          <w:szCs w:val="22"/>
        </w:rPr>
        <w:t xml:space="preserve">123 </w:t>
      </w:r>
      <w:proofErr w:type="spellStart"/>
      <w:r w:rsidRPr="00CB73B6">
        <w:rPr>
          <w:rFonts w:ascii="Arial" w:hAnsi="Arial" w:cs="Arial"/>
          <w:color w:val="000000"/>
          <w:sz w:val="22"/>
          <w:szCs w:val="22"/>
        </w:rPr>
        <w:t>S.Ct</w:t>
      </w:r>
      <w:proofErr w:type="spellEnd"/>
      <w:r w:rsidRPr="00CB73B6">
        <w:rPr>
          <w:rFonts w:ascii="Arial" w:hAnsi="Arial" w:cs="Arial"/>
          <w:color w:val="000000"/>
          <w:sz w:val="22"/>
          <w:szCs w:val="22"/>
        </w:rPr>
        <w:t xml:space="preserve">. 2472 (2003). </w:t>
      </w:r>
      <w:r w:rsidRPr="00CB73B6">
        <w:rPr>
          <w:rFonts w:ascii="Arial" w:hAnsi="Arial" w:cs="Arial"/>
          <w:sz w:val="22"/>
          <w:szCs w:val="22"/>
        </w:rPr>
        <w:t>Excerpts.</w:t>
      </w:r>
    </w:p>
    <w:p w14:paraId="3A14E1C7" w14:textId="77777777" w:rsidR="00CB73B6" w:rsidRPr="00CB73B6" w:rsidRDefault="00CB73B6" w:rsidP="00152F9F">
      <w:pPr>
        <w:pStyle w:val="ListParagraph"/>
        <w:numPr>
          <w:ilvl w:val="0"/>
          <w:numId w:val="27"/>
        </w:numPr>
        <w:ind w:left="720"/>
        <w:rPr>
          <w:rFonts w:ascii="Arial" w:eastAsia="Times New Roman" w:hAnsi="Arial" w:cs="Arial"/>
          <w:color w:val="000000" w:themeColor="text1"/>
          <w:sz w:val="22"/>
          <w:szCs w:val="22"/>
        </w:rPr>
      </w:pPr>
      <w:proofErr w:type="spellStart"/>
      <w:r w:rsidRPr="00CB73B6">
        <w:rPr>
          <w:rFonts w:ascii="Arial" w:hAnsi="Arial" w:cs="Arial"/>
          <w:sz w:val="22"/>
          <w:szCs w:val="22"/>
        </w:rPr>
        <w:t>Bostoc</w:t>
      </w:r>
      <w:proofErr w:type="spellEnd"/>
      <w:r w:rsidRPr="00CB73B6">
        <w:rPr>
          <w:rFonts w:ascii="Arial" w:hAnsi="Arial" w:cs="Arial"/>
          <w:sz w:val="22"/>
          <w:szCs w:val="22"/>
        </w:rPr>
        <w:t xml:space="preserve"> v. Clayton County, 590 U.S. __ (2020). Excerpts. </w:t>
      </w:r>
    </w:p>
    <w:p w14:paraId="4E26684F" w14:textId="77777777" w:rsidR="00CB73B6" w:rsidRPr="00CB73B6" w:rsidRDefault="00CB73B6" w:rsidP="00152F9F">
      <w:pPr>
        <w:pStyle w:val="ListParagraph"/>
        <w:numPr>
          <w:ilvl w:val="0"/>
          <w:numId w:val="27"/>
        </w:numPr>
        <w:ind w:left="720"/>
        <w:rPr>
          <w:rFonts w:ascii="Arial" w:eastAsia="Times New Roman" w:hAnsi="Arial" w:cs="Arial"/>
          <w:color w:val="000000" w:themeColor="text1"/>
          <w:sz w:val="22"/>
          <w:szCs w:val="22"/>
        </w:rPr>
      </w:pPr>
      <w:r w:rsidRPr="00CB73B6">
        <w:rPr>
          <w:rFonts w:ascii="Arial" w:hAnsi="Arial" w:cs="Arial"/>
          <w:sz w:val="22"/>
          <w:szCs w:val="22"/>
        </w:rPr>
        <w:t xml:space="preserve">Angela Harris and </w:t>
      </w:r>
      <w:proofErr w:type="spellStart"/>
      <w:r w:rsidRPr="00CB73B6">
        <w:rPr>
          <w:rFonts w:ascii="Arial" w:hAnsi="Arial" w:cs="Arial"/>
          <w:sz w:val="22"/>
          <w:szCs w:val="22"/>
        </w:rPr>
        <w:t>Aysha</w:t>
      </w:r>
      <w:proofErr w:type="spellEnd"/>
      <w:r w:rsidRPr="00CB73B6">
        <w:rPr>
          <w:rFonts w:ascii="Arial" w:hAnsi="Arial" w:cs="Arial"/>
          <w:sz w:val="22"/>
          <w:szCs w:val="22"/>
        </w:rPr>
        <w:t xml:space="preserve"> </w:t>
      </w:r>
      <w:proofErr w:type="spellStart"/>
      <w:r w:rsidRPr="00CB73B6">
        <w:rPr>
          <w:rFonts w:ascii="Arial" w:hAnsi="Arial" w:cs="Arial"/>
          <w:sz w:val="22"/>
          <w:szCs w:val="22"/>
        </w:rPr>
        <w:t>Pamukcu</w:t>
      </w:r>
      <w:proofErr w:type="spellEnd"/>
      <w:r w:rsidRPr="00CB73B6">
        <w:rPr>
          <w:rFonts w:ascii="Arial" w:hAnsi="Arial" w:cs="Arial"/>
          <w:sz w:val="22"/>
          <w:szCs w:val="22"/>
        </w:rPr>
        <w:t xml:space="preserve">, Fostering the Civil Rights of Health in Assessing the Legal Responses to COVID-19, Chapter 35. </w:t>
      </w:r>
      <w:hyperlink r:id="rId77" w:history="1">
        <w:r w:rsidRPr="00CB73B6">
          <w:rPr>
            <w:rStyle w:val="Hyperlink"/>
            <w:rFonts w:ascii="Arial" w:hAnsi="Arial" w:cs="Arial"/>
            <w:sz w:val="22"/>
            <w:szCs w:val="22"/>
          </w:rPr>
          <w:t>https://static1.squarespace.com/static/5956e16e6b8f5b8c45f1c216/t/5f343aa58431c434c75ee02c/1597258406741/Chp35_COVIDPolicyPlaybook-Aug2020.pdf</w:t>
        </w:r>
      </w:hyperlink>
    </w:p>
    <w:p w14:paraId="327C7072" w14:textId="77777777" w:rsidR="00CB73B6" w:rsidRPr="00CB73B6" w:rsidRDefault="00CB73B6" w:rsidP="00152F9F">
      <w:pPr>
        <w:pStyle w:val="ListParagraph"/>
        <w:numPr>
          <w:ilvl w:val="0"/>
          <w:numId w:val="27"/>
        </w:numPr>
        <w:ind w:left="720"/>
        <w:rPr>
          <w:rFonts w:ascii="Arial" w:eastAsia="Times New Roman" w:hAnsi="Arial" w:cs="Arial"/>
          <w:color w:val="000000" w:themeColor="text1"/>
          <w:sz w:val="22"/>
          <w:szCs w:val="22"/>
        </w:rPr>
      </w:pPr>
      <w:r w:rsidRPr="00CB73B6">
        <w:rPr>
          <w:rFonts w:ascii="Arial" w:hAnsi="Arial" w:cs="Arial"/>
          <w:sz w:val="22"/>
          <w:szCs w:val="22"/>
        </w:rPr>
        <w:t xml:space="preserve">Osagie </w:t>
      </w:r>
      <w:proofErr w:type="spellStart"/>
      <w:r w:rsidRPr="00CB73B6">
        <w:rPr>
          <w:rFonts w:ascii="Arial" w:hAnsi="Arial" w:cs="Arial"/>
          <w:sz w:val="22"/>
          <w:szCs w:val="22"/>
        </w:rPr>
        <w:t>Obasogie</w:t>
      </w:r>
      <w:proofErr w:type="spellEnd"/>
      <w:r w:rsidRPr="00CB73B6">
        <w:rPr>
          <w:rFonts w:ascii="Arial" w:hAnsi="Arial" w:cs="Arial"/>
          <w:sz w:val="22"/>
          <w:szCs w:val="22"/>
        </w:rPr>
        <w:t xml:space="preserve"> et al. Race, Law, and Health Disparities: Toward a Critical Race Intervention, 13 </w:t>
      </w:r>
      <w:proofErr w:type="spellStart"/>
      <w:r w:rsidRPr="00CB73B6">
        <w:rPr>
          <w:rFonts w:ascii="Arial" w:hAnsi="Arial" w:cs="Arial"/>
          <w:sz w:val="22"/>
          <w:szCs w:val="22"/>
        </w:rPr>
        <w:t>Annu</w:t>
      </w:r>
      <w:proofErr w:type="spellEnd"/>
      <w:r w:rsidRPr="00CB73B6">
        <w:rPr>
          <w:rFonts w:ascii="Arial" w:hAnsi="Arial" w:cs="Arial"/>
          <w:sz w:val="22"/>
          <w:szCs w:val="22"/>
        </w:rPr>
        <w:t xml:space="preserve">. Rev. Law Soc. Sci.313–29 (2017). </w:t>
      </w:r>
      <w:hyperlink r:id="rId78" w:history="1">
        <w:r w:rsidRPr="00CB73B6">
          <w:rPr>
            <w:rStyle w:val="Hyperlink"/>
            <w:rFonts w:ascii="Arial" w:hAnsi="Arial" w:cs="Arial"/>
            <w:sz w:val="22"/>
            <w:szCs w:val="22"/>
          </w:rPr>
          <w:t>https://www.annualreviews.org/doi/pdf/10.1146/annurev-lawsocsci-110615-085002</w:t>
        </w:r>
      </w:hyperlink>
      <w:r w:rsidRPr="00CB73B6">
        <w:rPr>
          <w:rFonts w:ascii="Arial" w:hAnsi="Arial" w:cs="Arial"/>
          <w:sz w:val="22"/>
          <w:szCs w:val="22"/>
        </w:rPr>
        <w:t xml:space="preserve"> </w:t>
      </w:r>
    </w:p>
    <w:p w14:paraId="6AF2A5C5" w14:textId="77777777" w:rsidR="00CB73B6" w:rsidRPr="00CB73B6" w:rsidRDefault="00CB73B6" w:rsidP="00072018">
      <w:pPr>
        <w:pStyle w:val="NEXT"/>
        <w:rPr>
          <w:rStyle w:val="Hyperlink"/>
        </w:rPr>
      </w:pPr>
    </w:p>
    <w:p w14:paraId="79CE6708" w14:textId="77777777" w:rsidR="00CB73B6" w:rsidRPr="00072018" w:rsidRDefault="00CB73B6" w:rsidP="00072018">
      <w:pPr>
        <w:pStyle w:val="NEXT"/>
        <w:rPr>
          <w:rStyle w:val="Hyperlink"/>
          <w:color w:val="auto"/>
          <w:u w:val="none"/>
        </w:rPr>
      </w:pPr>
      <w:r w:rsidRPr="00072018">
        <w:rPr>
          <w:rStyle w:val="Hyperlink"/>
          <w:color w:val="auto"/>
          <w:u w:val="none"/>
        </w:rPr>
        <w:t>Optional reading:</w:t>
      </w:r>
    </w:p>
    <w:p w14:paraId="7E539078" w14:textId="77777777" w:rsidR="00CB73B6" w:rsidRPr="00CB73B6" w:rsidRDefault="00CB73B6" w:rsidP="00072018">
      <w:pPr>
        <w:pStyle w:val="NEXT"/>
      </w:pPr>
      <w:r w:rsidRPr="00CB73B6">
        <w:t xml:space="preserve">Angela Harris and </w:t>
      </w:r>
      <w:proofErr w:type="spellStart"/>
      <w:r w:rsidRPr="00CB73B6">
        <w:t>Aysha</w:t>
      </w:r>
      <w:proofErr w:type="spellEnd"/>
      <w:r w:rsidRPr="00CB73B6">
        <w:t xml:space="preserve"> </w:t>
      </w:r>
      <w:proofErr w:type="spellStart"/>
      <w:r w:rsidRPr="00CB73B6">
        <w:t>Pamukcu</w:t>
      </w:r>
      <w:proofErr w:type="spellEnd"/>
      <w:r w:rsidRPr="00CB73B6">
        <w:t xml:space="preserve">. UCLA L Rev. CITATION. The Civil Rights of Health: A New Approach to Challenging Structural Inequality. </w:t>
      </w:r>
      <w:hyperlink r:id="rId79" w:history="1">
        <w:r w:rsidRPr="00CB73B6">
          <w:rPr>
            <w:rStyle w:val="Hyperlink"/>
            <w:b/>
            <w:bCs/>
          </w:rPr>
          <w:t>file:///C:/Users/maric/Downloads/SSRN-id3350597.pdf</w:t>
        </w:r>
      </w:hyperlink>
    </w:p>
    <w:p w14:paraId="66DA4174" w14:textId="77777777" w:rsidR="00CB73B6" w:rsidRPr="00CB73B6" w:rsidRDefault="00CB73B6" w:rsidP="00072018">
      <w:pPr>
        <w:pStyle w:val="NEXT"/>
        <w:rPr>
          <w:rStyle w:val="Hyperlink"/>
          <w:b/>
          <w:bCs/>
        </w:rPr>
      </w:pPr>
    </w:p>
    <w:p w14:paraId="58717701" w14:textId="77777777" w:rsidR="00CB73B6" w:rsidRPr="00CB73B6" w:rsidRDefault="00CB73B6" w:rsidP="00CB73B6">
      <w:pPr>
        <w:rPr>
          <w:rFonts w:ascii="Arial" w:hAnsi="Arial" w:cs="Arial"/>
          <w:sz w:val="22"/>
          <w:szCs w:val="22"/>
        </w:rPr>
      </w:pPr>
    </w:p>
    <w:p w14:paraId="13EF447F"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Week 7: 1</w:t>
      </w:r>
      <w:r w:rsidRPr="00CB73B6">
        <w:rPr>
          <w:rFonts w:ascii="Arial" w:hAnsi="Arial" w:cs="Arial"/>
          <w:b/>
          <w:bCs/>
          <w:sz w:val="22"/>
          <w:szCs w:val="22"/>
          <w:vertAlign w:val="superscript"/>
        </w:rPr>
        <w:t>st</w:t>
      </w:r>
      <w:r w:rsidRPr="00CB73B6">
        <w:rPr>
          <w:rFonts w:ascii="Arial" w:hAnsi="Arial" w:cs="Arial"/>
          <w:b/>
          <w:bCs/>
          <w:sz w:val="22"/>
          <w:szCs w:val="22"/>
        </w:rPr>
        <w:t xml:space="preserve"> Amendment – Ted </w:t>
      </w:r>
      <w:proofErr w:type="spellStart"/>
      <w:r w:rsidRPr="00CB73B6">
        <w:rPr>
          <w:rFonts w:ascii="Arial" w:hAnsi="Arial" w:cs="Arial"/>
          <w:b/>
          <w:bCs/>
          <w:sz w:val="22"/>
          <w:szCs w:val="22"/>
        </w:rPr>
        <w:t>Mermin</w:t>
      </w:r>
      <w:proofErr w:type="spellEnd"/>
      <w:r w:rsidRPr="00CB73B6">
        <w:rPr>
          <w:rFonts w:ascii="Arial" w:hAnsi="Arial" w:cs="Arial"/>
          <w:b/>
          <w:bCs/>
          <w:sz w:val="22"/>
          <w:szCs w:val="22"/>
        </w:rPr>
        <w:t>, guest lecturer</w:t>
      </w:r>
    </w:p>
    <w:p w14:paraId="5D237B86" w14:textId="77777777" w:rsidR="00CB73B6" w:rsidRPr="00CB73B6" w:rsidRDefault="00CB73B6" w:rsidP="00CB73B6">
      <w:pPr>
        <w:rPr>
          <w:rFonts w:ascii="Arial" w:hAnsi="Arial" w:cs="Arial"/>
          <w:sz w:val="22"/>
          <w:szCs w:val="22"/>
        </w:rPr>
      </w:pPr>
    </w:p>
    <w:p w14:paraId="3546B725"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74ECDCC2" w14:textId="77777777" w:rsidR="00CB73B6" w:rsidRPr="00CB73B6" w:rsidRDefault="00CB73B6" w:rsidP="00CB73B6">
      <w:pPr>
        <w:rPr>
          <w:rFonts w:ascii="Arial" w:hAnsi="Arial" w:cs="Arial"/>
          <w:sz w:val="22"/>
          <w:szCs w:val="22"/>
        </w:rPr>
      </w:pPr>
      <w:r w:rsidRPr="00CB73B6">
        <w:rPr>
          <w:rFonts w:ascii="Arial" w:hAnsi="Arial" w:cs="Arial"/>
          <w:sz w:val="22"/>
          <w:szCs w:val="22"/>
        </w:rPr>
        <w:t>We will explore the 1</w:t>
      </w:r>
      <w:r w:rsidRPr="00CB73B6">
        <w:rPr>
          <w:rFonts w:ascii="Arial" w:hAnsi="Arial" w:cs="Arial"/>
          <w:sz w:val="22"/>
          <w:szCs w:val="22"/>
          <w:vertAlign w:val="superscript"/>
        </w:rPr>
        <w:t>st</w:t>
      </w:r>
      <w:r w:rsidRPr="00CB73B6">
        <w:rPr>
          <w:rFonts w:ascii="Arial" w:hAnsi="Arial" w:cs="Arial"/>
          <w:sz w:val="22"/>
          <w:szCs w:val="22"/>
        </w:rPr>
        <w:t xml:space="preserve"> </w:t>
      </w:r>
      <w:r w:rsidRPr="00CB73B6">
        <w:rPr>
          <w:rFonts w:ascii="Arial" w:eastAsiaTheme="minorBidi" w:hAnsi="Arial" w:cs="Arial"/>
          <w:sz w:val="22"/>
          <w:szCs w:val="22"/>
        </w:rPr>
        <w:t>Amendment to the US Constitution and how courts have applied the free speech clause to regulate commercial speech.</w:t>
      </w:r>
      <w:r w:rsidRPr="00CB73B6">
        <w:rPr>
          <w:rFonts w:ascii="Arial" w:hAnsi="Arial" w:cs="Arial"/>
          <w:sz w:val="22"/>
          <w:szCs w:val="22"/>
        </w:rPr>
        <w:t xml:space="preserve"> The First Amendment governs not only what the government can do to restrict speech in theaters or Sproul Plaza, but also what Congress or state legislatures or city health departments can tell tobacco companies or soft drink businesses to say or not say. (You’ll never look at a warning label in quite the same way.) </w:t>
      </w:r>
    </w:p>
    <w:p w14:paraId="3DDDE1E8" w14:textId="77777777" w:rsidR="00CB73B6" w:rsidRPr="00CB73B6" w:rsidRDefault="00CB73B6" w:rsidP="00CB73B6">
      <w:pPr>
        <w:rPr>
          <w:rFonts w:ascii="Arial" w:hAnsi="Arial" w:cs="Arial"/>
          <w:sz w:val="22"/>
          <w:szCs w:val="22"/>
        </w:rPr>
      </w:pPr>
    </w:p>
    <w:p w14:paraId="04305C9F"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We will also examine the 1st Amendment’s free exercise clause as it impacts the government’s </w:t>
      </w:r>
      <w:r w:rsidRPr="00CB73B6">
        <w:rPr>
          <w:rFonts w:ascii="Arial" w:eastAsiaTheme="minorBidi" w:hAnsi="Arial" w:cs="Arial"/>
          <w:sz w:val="22"/>
          <w:szCs w:val="22"/>
        </w:rPr>
        <w:t xml:space="preserve">ability to restrict religious liberties in the interest of public health, a conflict illustrated recently in resistance by some religious communities to vaccination requirements. </w:t>
      </w:r>
    </w:p>
    <w:p w14:paraId="4E5E0359" w14:textId="77777777" w:rsidR="00CB73B6" w:rsidRPr="00CB73B6" w:rsidRDefault="00CB73B6" w:rsidP="00CB73B6">
      <w:pPr>
        <w:rPr>
          <w:rFonts w:ascii="Arial" w:hAnsi="Arial" w:cs="Arial"/>
          <w:sz w:val="22"/>
          <w:szCs w:val="22"/>
        </w:rPr>
      </w:pPr>
    </w:p>
    <w:p w14:paraId="07B34108" w14:textId="77777777" w:rsidR="00CB73B6" w:rsidRPr="00CB73B6" w:rsidRDefault="00CB73B6" w:rsidP="00CB73B6">
      <w:pPr>
        <w:rPr>
          <w:rFonts w:ascii="Arial" w:hAnsi="Arial" w:cs="Arial"/>
          <w:sz w:val="22"/>
          <w:szCs w:val="22"/>
        </w:rPr>
      </w:pPr>
      <w:r w:rsidRPr="00CB73B6">
        <w:rPr>
          <w:rFonts w:ascii="Arial" w:hAnsi="Arial" w:cs="Arial"/>
          <w:sz w:val="22"/>
          <w:szCs w:val="22"/>
        </w:rPr>
        <w:t>Learning Goals</w:t>
      </w:r>
    </w:p>
    <w:p w14:paraId="02D27F44" w14:textId="77777777" w:rsidR="00CB73B6" w:rsidRPr="00CB73B6" w:rsidRDefault="00CB73B6" w:rsidP="00152F9F">
      <w:pPr>
        <w:pStyle w:val="ListParagraph"/>
        <w:numPr>
          <w:ilvl w:val="0"/>
          <w:numId w:val="17"/>
        </w:numPr>
        <w:rPr>
          <w:rFonts w:ascii="Arial" w:eastAsiaTheme="minorBidi" w:hAnsi="Arial" w:cs="Arial"/>
          <w:sz w:val="22"/>
          <w:szCs w:val="22"/>
        </w:rPr>
      </w:pPr>
      <w:r w:rsidRPr="00CB73B6">
        <w:rPr>
          <w:rFonts w:ascii="Arial" w:eastAsiaTheme="minorBidi" w:hAnsi="Arial" w:cs="Arial"/>
          <w:sz w:val="22"/>
          <w:szCs w:val="22"/>
        </w:rPr>
        <w:t xml:space="preserve">Understand how the courts have applied the First Amendment’s free speech clause to the regulation of commercial speech.  </w:t>
      </w:r>
    </w:p>
    <w:p w14:paraId="6068FF62" w14:textId="77777777" w:rsidR="00CB73B6" w:rsidRPr="00CB73B6" w:rsidRDefault="00CB73B6" w:rsidP="00152F9F">
      <w:pPr>
        <w:pStyle w:val="ListParagraph"/>
        <w:numPr>
          <w:ilvl w:val="0"/>
          <w:numId w:val="17"/>
        </w:numPr>
        <w:rPr>
          <w:rFonts w:ascii="Arial" w:eastAsiaTheme="minorBidi" w:hAnsi="Arial" w:cs="Arial"/>
          <w:sz w:val="22"/>
          <w:szCs w:val="22"/>
        </w:rPr>
      </w:pPr>
      <w:r w:rsidRPr="00CB73B6">
        <w:rPr>
          <w:rFonts w:ascii="Arial" w:eastAsiaTheme="minorBidi" w:hAnsi="Arial" w:cs="Arial"/>
          <w:sz w:val="22"/>
          <w:szCs w:val="22"/>
        </w:rPr>
        <w:t xml:space="preserve">Identify the standards courts use to assess whether public health laws unconstitutionally burden religious practice. </w:t>
      </w:r>
    </w:p>
    <w:p w14:paraId="371A4ED6" w14:textId="77777777" w:rsidR="00CB73B6" w:rsidRPr="00CB73B6" w:rsidRDefault="00CB73B6" w:rsidP="00CB73B6">
      <w:pPr>
        <w:rPr>
          <w:rFonts w:ascii="Arial" w:hAnsi="Arial" w:cs="Arial"/>
          <w:sz w:val="22"/>
          <w:szCs w:val="22"/>
        </w:rPr>
      </w:pPr>
    </w:p>
    <w:p w14:paraId="074F385E"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053232B6" w14:textId="77777777" w:rsidR="00CB73B6" w:rsidRPr="00CB73B6" w:rsidRDefault="00CB73B6" w:rsidP="00152F9F">
      <w:pPr>
        <w:pStyle w:val="ListParagraph"/>
        <w:numPr>
          <w:ilvl w:val="0"/>
          <w:numId w:val="22"/>
        </w:numPr>
        <w:rPr>
          <w:rFonts w:ascii="Arial" w:hAnsi="Arial" w:cs="Arial"/>
          <w:sz w:val="22"/>
          <w:szCs w:val="22"/>
        </w:rPr>
      </w:pPr>
      <w:r w:rsidRPr="00CB73B6">
        <w:rPr>
          <w:rFonts w:ascii="Arial" w:hAnsi="Arial" w:cs="Arial"/>
          <w:sz w:val="22"/>
          <w:szCs w:val="22"/>
        </w:rPr>
        <w:t>Chapter 13</w:t>
      </w:r>
    </w:p>
    <w:p w14:paraId="71D02B4F" w14:textId="77777777" w:rsidR="00CB73B6" w:rsidRPr="00CB73B6" w:rsidRDefault="00CB73B6" w:rsidP="00152F9F">
      <w:pPr>
        <w:pStyle w:val="ListParagraph"/>
        <w:numPr>
          <w:ilvl w:val="0"/>
          <w:numId w:val="22"/>
        </w:numPr>
        <w:spacing w:after="160" w:line="259" w:lineRule="auto"/>
        <w:rPr>
          <w:rFonts w:ascii="Arial" w:hAnsi="Arial" w:cs="Arial"/>
          <w:sz w:val="22"/>
          <w:szCs w:val="22"/>
        </w:rPr>
      </w:pPr>
      <w:r w:rsidRPr="00CB73B6">
        <w:rPr>
          <w:rFonts w:ascii="Arial" w:hAnsi="Arial" w:cs="Arial"/>
          <w:sz w:val="22"/>
          <w:szCs w:val="22"/>
        </w:rPr>
        <w:t xml:space="preserve">Micah Berman, </w:t>
      </w:r>
      <w:r w:rsidRPr="00CB73B6">
        <w:rPr>
          <w:rFonts w:ascii="Arial" w:hAnsi="Arial" w:cs="Arial"/>
          <w:i/>
          <w:iCs/>
          <w:sz w:val="22"/>
          <w:szCs w:val="22"/>
        </w:rPr>
        <w:t>The Commercial Speech Doctrine in the United States: False Promise and Promising Approaches for Protecting Public Health</w:t>
      </w:r>
      <w:r w:rsidRPr="00CB73B6">
        <w:rPr>
          <w:rFonts w:ascii="Arial" w:hAnsi="Arial" w:cs="Arial"/>
          <w:sz w:val="22"/>
          <w:szCs w:val="22"/>
        </w:rPr>
        <w:t xml:space="preserve"> (2014). </w:t>
      </w:r>
      <w:hyperlink r:id="rId80" w:history="1">
        <w:r w:rsidRPr="00CB73B6">
          <w:rPr>
            <w:rStyle w:val="Hyperlink"/>
            <w:rFonts w:ascii="Arial" w:hAnsi="Arial" w:cs="Arial"/>
            <w:sz w:val="22"/>
            <w:szCs w:val="22"/>
            <w:shd w:val="clear" w:color="auto" w:fill="FFFFFF"/>
          </w:rPr>
          <w:t>https://papers.ssrn.com/sol3/papers.cfm?abstract_id=2479886</w:t>
        </w:r>
      </w:hyperlink>
    </w:p>
    <w:p w14:paraId="5A1A6292" w14:textId="77777777" w:rsidR="00CB73B6" w:rsidRPr="00CB73B6" w:rsidRDefault="00CB73B6" w:rsidP="00152F9F">
      <w:pPr>
        <w:pStyle w:val="ListParagraph"/>
        <w:numPr>
          <w:ilvl w:val="0"/>
          <w:numId w:val="22"/>
        </w:numPr>
        <w:spacing w:after="160" w:line="259" w:lineRule="auto"/>
        <w:rPr>
          <w:rFonts w:ascii="Arial" w:hAnsi="Arial" w:cs="Arial"/>
          <w:iCs/>
          <w:sz w:val="22"/>
          <w:szCs w:val="22"/>
        </w:rPr>
      </w:pPr>
      <w:r w:rsidRPr="00CB73B6">
        <w:rPr>
          <w:rFonts w:ascii="Arial" w:hAnsi="Arial" w:cs="Arial"/>
          <w:iCs/>
          <w:sz w:val="22"/>
          <w:szCs w:val="22"/>
        </w:rPr>
        <w:t>Lorillard Tobacco Co. v. Reilly, 533 U.S. 525 (2001). Excerpts.</w:t>
      </w:r>
    </w:p>
    <w:p w14:paraId="41445208" w14:textId="77777777" w:rsidR="00CB73B6" w:rsidRPr="00CB73B6" w:rsidRDefault="00CB73B6" w:rsidP="00152F9F">
      <w:pPr>
        <w:pStyle w:val="ListParagraph"/>
        <w:numPr>
          <w:ilvl w:val="0"/>
          <w:numId w:val="22"/>
        </w:numPr>
        <w:spacing w:line="259" w:lineRule="auto"/>
        <w:rPr>
          <w:rFonts w:ascii="Arial" w:hAnsi="Arial" w:cs="Arial"/>
          <w:iCs/>
          <w:sz w:val="22"/>
          <w:szCs w:val="22"/>
        </w:rPr>
      </w:pPr>
      <w:r w:rsidRPr="00CB73B6">
        <w:rPr>
          <w:rFonts w:ascii="Arial" w:hAnsi="Arial" w:cs="Arial"/>
          <w:iCs/>
          <w:sz w:val="22"/>
          <w:szCs w:val="22"/>
        </w:rPr>
        <w:t>Discount Tobacco City v. United States, 674 F.3d 509 (2012). Excerpts.</w:t>
      </w:r>
      <w:r w:rsidRPr="00CB73B6">
        <w:rPr>
          <w:rFonts w:ascii="Arial" w:hAnsi="Arial" w:cs="Arial"/>
          <w:iCs/>
          <w:sz w:val="22"/>
          <w:szCs w:val="22"/>
        </w:rPr>
        <w:tab/>
        <w:t xml:space="preserve"> </w:t>
      </w:r>
    </w:p>
    <w:p w14:paraId="750BD252" w14:textId="77777777" w:rsidR="00CB73B6" w:rsidRPr="00CB73B6" w:rsidRDefault="00CB73B6" w:rsidP="00152F9F">
      <w:pPr>
        <w:pStyle w:val="ListParagraph"/>
        <w:numPr>
          <w:ilvl w:val="0"/>
          <w:numId w:val="22"/>
        </w:numPr>
        <w:spacing w:line="259" w:lineRule="auto"/>
        <w:rPr>
          <w:rFonts w:ascii="Arial" w:hAnsi="Arial" w:cs="Arial"/>
          <w:sz w:val="22"/>
          <w:szCs w:val="22"/>
        </w:rPr>
      </w:pPr>
      <w:r w:rsidRPr="00CB73B6">
        <w:rPr>
          <w:rFonts w:ascii="Arial" w:hAnsi="Arial" w:cs="Arial"/>
          <w:iCs/>
          <w:sz w:val="22"/>
          <w:szCs w:val="22"/>
        </w:rPr>
        <w:t xml:space="preserve">NIFLA v. Becerra, 138 </w:t>
      </w:r>
      <w:proofErr w:type="spellStart"/>
      <w:r w:rsidRPr="00CB73B6">
        <w:rPr>
          <w:rFonts w:ascii="Arial" w:hAnsi="Arial" w:cs="Arial"/>
          <w:iCs/>
          <w:sz w:val="22"/>
          <w:szCs w:val="22"/>
        </w:rPr>
        <w:t>S.Ct</w:t>
      </w:r>
      <w:proofErr w:type="spellEnd"/>
      <w:r w:rsidRPr="00CB73B6">
        <w:rPr>
          <w:rFonts w:ascii="Arial" w:hAnsi="Arial" w:cs="Arial"/>
          <w:iCs/>
          <w:sz w:val="22"/>
          <w:szCs w:val="22"/>
        </w:rPr>
        <w:t>. 2361 (2018). Excerpts</w:t>
      </w:r>
      <w:r w:rsidRPr="00CB73B6">
        <w:rPr>
          <w:rFonts w:ascii="Arial" w:hAnsi="Arial" w:cs="Arial"/>
          <w:sz w:val="22"/>
          <w:szCs w:val="22"/>
        </w:rPr>
        <w:t>.</w:t>
      </w:r>
    </w:p>
    <w:p w14:paraId="619096B0" w14:textId="77777777" w:rsidR="00CB73B6" w:rsidRPr="00CB73B6" w:rsidRDefault="00CB73B6" w:rsidP="00152F9F">
      <w:pPr>
        <w:pStyle w:val="ListParagraph"/>
        <w:numPr>
          <w:ilvl w:val="0"/>
          <w:numId w:val="22"/>
        </w:numPr>
        <w:spacing w:line="259" w:lineRule="auto"/>
        <w:rPr>
          <w:rFonts w:ascii="Arial" w:hAnsi="Arial" w:cs="Arial"/>
          <w:sz w:val="22"/>
          <w:szCs w:val="22"/>
        </w:rPr>
      </w:pPr>
      <w:r w:rsidRPr="00CB73B6">
        <w:rPr>
          <w:rFonts w:ascii="Arial" w:hAnsi="Arial" w:cs="Arial"/>
          <w:sz w:val="22"/>
          <w:szCs w:val="22"/>
        </w:rPr>
        <w:t xml:space="preserve">James G. Hodge, Jr., </w:t>
      </w:r>
      <w:r w:rsidRPr="00CB73B6">
        <w:rPr>
          <w:rFonts w:ascii="Arial" w:hAnsi="Arial" w:cs="Arial"/>
          <w:i/>
          <w:sz w:val="22"/>
          <w:szCs w:val="22"/>
        </w:rPr>
        <w:t>Respecting Religious Freedoms and Protecting the Public’s Health</w:t>
      </w:r>
      <w:r w:rsidRPr="00CB73B6">
        <w:rPr>
          <w:rFonts w:ascii="Arial" w:hAnsi="Arial" w:cs="Arial"/>
          <w:sz w:val="22"/>
          <w:szCs w:val="22"/>
        </w:rPr>
        <w:t xml:space="preserve">, 130(5) </w:t>
      </w:r>
      <w:r w:rsidRPr="00CB73B6">
        <w:rPr>
          <w:rFonts w:ascii="Arial" w:hAnsi="Arial" w:cs="Arial"/>
          <w:color w:val="000000"/>
          <w:sz w:val="22"/>
          <w:szCs w:val="22"/>
          <w:shd w:val="clear" w:color="auto" w:fill="FFFFFF"/>
        </w:rPr>
        <w:t xml:space="preserve">Public Health Rep. 546 (2015). </w:t>
      </w:r>
      <w:hyperlink r:id="rId81" w:history="1">
        <w:r w:rsidRPr="00CB73B6">
          <w:rPr>
            <w:rStyle w:val="Hyperlink"/>
            <w:rFonts w:ascii="Arial" w:hAnsi="Arial" w:cs="Arial"/>
            <w:sz w:val="22"/>
            <w:szCs w:val="22"/>
          </w:rPr>
          <w:t>https://www.ncbi.nlm.nih.gov/pmc/articles/PMC4529841/</w:t>
        </w:r>
      </w:hyperlink>
      <w:r w:rsidRPr="00CB73B6">
        <w:rPr>
          <w:rFonts w:ascii="Arial" w:hAnsi="Arial" w:cs="Arial"/>
          <w:sz w:val="22"/>
          <w:szCs w:val="22"/>
        </w:rPr>
        <w:t xml:space="preserve"> </w:t>
      </w:r>
    </w:p>
    <w:p w14:paraId="02F1C45E" w14:textId="77777777" w:rsidR="00CB73B6" w:rsidRPr="00CB73B6" w:rsidRDefault="00CB73B6" w:rsidP="00152F9F">
      <w:pPr>
        <w:pStyle w:val="NormalWeb"/>
        <w:numPr>
          <w:ilvl w:val="0"/>
          <w:numId w:val="22"/>
        </w:numPr>
        <w:rPr>
          <w:rFonts w:ascii="Arial" w:hAnsi="Arial" w:cs="Arial"/>
          <w:iCs/>
          <w:sz w:val="22"/>
          <w:szCs w:val="22"/>
        </w:rPr>
      </w:pPr>
      <w:r w:rsidRPr="00CB73B6">
        <w:rPr>
          <w:rFonts w:ascii="Arial" w:hAnsi="Arial" w:cs="Arial"/>
          <w:iCs/>
          <w:sz w:val="22"/>
          <w:szCs w:val="22"/>
        </w:rPr>
        <w:t>Prince v. Massachusetts, 321 U.S. 158, 166 (1944). Excerpts.</w:t>
      </w:r>
    </w:p>
    <w:p w14:paraId="1007093E" w14:textId="77777777" w:rsidR="00CB73B6" w:rsidRPr="00CB73B6" w:rsidRDefault="00CB73B6" w:rsidP="00152F9F">
      <w:pPr>
        <w:pStyle w:val="ListParagraph"/>
        <w:numPr>
          <w:ilvl w:val="0"/>
          <w:numId w:val="22"/>
        </w:numPr>
        <w:spacing w:after="160" w:line="259" w:lineRule="auto"/>
        <w:rPr>
          <w:rFonts w:ascii="Arial" w:hAnsi="Arial" w:cs="Arial"/>
          <w:iCs/>
          <w:sz w:val="22"/>
          <w:szCs w:val="22"/>
        </w:rPr>
      </w:pPr>
      <w:r w:rsidRPr="00CB73B6">
        <w:rPr>
          <w:rFonts w:ascii="Arial" w:hAnsi="Arial" w:cs="Arial"/>
          <w:iCs/>
          <w:sz w:val="22"/>
          <w:szCs w:val="22"/>
        </w:rPr>
        <w:t>F.F. v State of New York (2019 NY Slip Op 29261). Excerpts.</w:t>
      </w:r>
    </w:p>
    <w:p w14:paraId="78FA40C0" w14:textId="77777777" w:rsidR="00CB73B6" w:rsidRPr="00CB73B6" w:rsidRDefault="00CB73B6" w:rsidP="00CB73B6">
      <w:pPr>
        <w:rPr>
          <w:rFonts w:ascii="Arial" w:hAnsi="Arial" w:cs="Arial"/>
          <w:sz w:val="22"/>
          <w:szCs w:val="22"/>
        </w:rPr>
      </w:pPr>
      <w:r w:rsidRPr="00CB73B6">
        <w:rPr>
          <w:rFonts w:ascii="Arial" w:eastAsiaTheme="minorBidi" w:hAnsi="Arial" w:cs="Arial"/>
          <w:sz w:val="22"/>
          <w:szCs w:val="22"/>
          <w:highlight w:val="lightGray"/>
        </w:rPr>
        <w:t xml:space="preserve"> </w:t>
      </w:r>
    </w:p>
    <w:p w14:paraId="3393038E" w14:textId="0EE391DF" w:rsidR="00CB73B6" w:rsidRDefault="00CB73B6" w:rsidP="00CB73B6">
      <w:pPr>
        <w:pStyle w:val="CommentText"/>
        <w:rPr>
          <w:rFonts w:ascii="Arial" w:hAnsi="Arial" w:cs="Arial"/>
          <w:sz w:val="22"/>
          <w:szCs w:val="22"/>
        </w:rPr>
      </w:pPr>
      <w:r w:rsidRPr="00CB73B6">
        <w:rPr>
          <w:rFonts w:ascii="Arial" w:hAnsi="Arial" w:cs="Arial"/>
          <w:b/>
          <w:bCs/>
          <w:sz w:val="22"/>
          <w:szCs w:val="22"/>
        </w:rPr>
        <w:t>Week 8: Administrative Law and Regulations</w:t>
      </w:r>
      <w:r w:rsidRPr="00CB73B6">
        <w:rPr>
          <w:rFonts w:ascii="Arial" w:hAnsi="Arial" w:cs="Arial"/>
          <w:sz w:val="22"/>
          <w:szCs w:val="22"/>
        </w:rPr>
        <w:t xml:space="preserve">– </w:t>
      </w:r>
    </w:p>
    <w:p w14:paraId="4B5FC531" w14:textId="77777777" w:rsidR="005106E8" w:rsidRPr="00CB73B6" w:rsidRDefault="005106E8" w:rsidP="00CB73B6">
      <w:pPr>
        <w:pStyle w:val="CommentText"/>
        <w:rPr>
          <w:rFonts w:ascii="Arial" w:hAnsi="Arial" w:cs="Arial"/>
          <w:sz w:val="22"/>
          <w:szCs w:val="22"/>
        </w:rPr>
      </w:pPr>
    </w:p>
    <w:p w14:paraId="29FC3787"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4BEB00D2"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This class introduces the basic elements of administrative law, and some key related legal doctrines including how agencies make or promulgate regulations, and the rights of the public to have input. We will connect regulatory action with the substantive and procedural due process doctrines, and explore how notice and comment rulemaking can engage the broader public or risk agency capture.  </w:t>
      </w:r>
    </w:p>
    <w:p w14:paraId="118B5CC5"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2A72BB4C" w14:textId="77777777" w:rsidR="00CB73B6" w:rsidRPr="00CB73B6" w:rsidRDefault="00CB73B6" w:rsidP="00152F9F">
      <w:pPr>
        <w:pStyle w:val="ListParagraph"/>
        <w:numPr>
          <w:ilvl w:val="0"/>
          <w:numId w:val="18"/>
        </w:numPr>
        <w:rPr>
          <w:rFonts w:ascii="Arial" w:hAnsi="Arial" w:cs="Arial"/>
          <w:sz w:val="22"/>
          <w:szCs w:val="22"/>
        </w:rPr>
      </w:pPr>
      <w:r w:rsidRPr="00CB73B6">
        <w:rPr>
          <w:rFonts w:ascii="Arial" w:hAnsi="Arial" w:cs="Arial"/>
          <w:sz w:val="22"/>
          <w:szCs w:val="22"/>
        </w:rPr>
        <w:t>Understand the law governing how administrative agencies make and enforce rules. </w:t>
      </w:r>
    </w:p>
    <w:p w14:paraId="0E882243" w14:textId="77777777" w:rsidR="00CB73B6" w:rsidRPr="00CB73B6" w:rsidRDefault="00CB73B6" w:rsidP="00152F9F">
      <w:pPr>
        <w:pStyle w:val="ListParagraph"/>
        <w:numPr>
          <w:ilvl w:val="0"/>
          <w:numId w:val="18"/>
        </w:numPr>
        <w:rPr>
          <w:rFonts w:ascii="Arial" w:hAnsi="Arial" w:cs="Arial"/>
          <w:sz w:val="22"/>
          <w:szCs w:val="22"/>
        </w:rPr>
      </w:pPr>
      <w:r w:rsidRPr="00CB73B6">
        <w:rPr>
          <w:rFonts w:ascii="Arial" w:hAnsi="Arial" w:cs="Arial"/>
          <w:sz w:val="22"/>
          <w:szCs w:val="22"/>
        </w:rPr>
        <w:t>Explain how the public can participate in the rulemaking process and how individuals can directly challenge public health agency actions and decisions. </w:t>
      </w:r>
    </w:p>
    <w:p w14:paraId="17971B0A" w14:textId="77777777" w:rsidR="00CB73B6" w:rsidRPr="00CB73B6" w:rsidRDefault="00CB73B6" w:rsidP="00152F9F">
      <w:pPr>
        <w:pStyle w:val="ListParagraph"/>
        <w:numPr>
          <w:ilvl w:val="0"/>
          <w:numId w:val="18"/>
        </w:numPr>
        <w:rPr>
          <w:rFonts w:ascii="Arial" w:hAnsi="Arial" w:cs="Arial"/>
          <w:sz w:val="22"/>
          <w:szCs w:val="22"/>
        </w:rPr>
      </w:pPr>
      <w:r w:rsidRPr="00CB73B6">
        <w:rPr>
          <w:rFonts w:ascii="Arial" w:hAnsi="Arial" w:cs="Arial"/>
          <w:sz w:val="22"/>
          <w:szCs w:val="22"/>
        </w:rPr>
        <w:t>Describe the legal standards that courts apply to determine the validity of agency regulations. </w:t>
      </w:r>
    </w:p>
    <w:p w14:paraId="1AF5190A" w14:textId="77777777" w:rsidR="00CB73B6" w:rsidRPr="00CB73B6" w:rsidRDefault="00CB73B6" w:rsidP="00152F9F">
      <w:pPr>
        <w:pStyle w:val="ListParagraph"/>
        <w:numPr>
          <w:ilvl w:val="0"/>
          <w:numId w:val="18"/>
        </w:numPr>
        <w:rPr>
          <w:rFonts w:ascii="Arial" w:hAnsi="Arial" w:cs="Arial"/>
          <w:sz w:val="22"/>
          <w:szCs w:val="22"/>
        </w:rPr>
      </w:pPr>
      <w:r w:rsidRPr="00CB73B6">
        <w:rPr>
          <w:rFonts w:ascii="Arial" w:hAnsi="Arial" w:cs="Arial"/>
          <w:sz w:val="22"/>
          <w:szCs w:val="22"/>
        </w:rPr>
        <w:t>Recognize the role of the writ of habeas corpus as a mechanism for challenging administrative actions that result in confinement. </w:t>
      </w:r>
    </w:p>
    <w:p w14:paraId="47CE5645" w14:textId="77777777" w:rsidR="00CB73B6" w:rsidRPr="00CB73B6" w:rsidRDefault="00CB73B6" w:rsidP="00152F9F">
      <w:pPr>
        <w:pStyle w:val="ListParagraph"/>
        <w:numPr>
          <w:ilvl w:val="0"/>
          <w:numId w:val="18"/>
        </w:numPr>
        <w:rPr>
          <w:rFonts w:ascii="Arial" w:hAnsi="Arial" w:cs="Arial"/>
          <w:sz w:val="22"/>
          <w:szCs w:val="22"/>
        </w:rPr>
      </w:pPr>
      <w:r w:rsidRPr="00CB73B6">
        <w:rPr>
          <w:rFonts w:ascii="Arial" w:hAnsi="Arial" w:cs="Arial"/>
          <w:sz w:val="22"/>
          <w:szCs w:val="22"/>
        </w:rPr>
        <w:t xml:space="preserve">Understand the theory of responsive regulation. </w:t>
      </w:r>
    </w:p>
    <w:p w14:paraId="51D07366" w14:textId="77777777" w:rsidR="00CB73B6" w:rsidRPr="00CB73B6" w:rsidRDefault="00CB73B6" w:rsidP="00152F9F">
      <w:pPr>
        <w:pStyle w:val="ListParagraph"/>
        <w:numPr>
          <w:ilvl w:val="0"/>
          <w:numId w:val="18"/>
        </w:numPr>
        <w:rPr>
          <w:rFonts w:ascii="Arial" w:hAnsi="Arial" w:cs="Arial"/>
          <w:sz w:val="22"/>
          <w:szCs w:val="22"/>
        </w:rPr>
      </w:pPr>
      <w:r w:rsidRPr="00CB73B6">
        <w:rPr>
          <w:rFonts w:ascii="Arial" w:hAnsi="Arial" w:cs="Arial"/>
          <w:sz w:val="22"/>
          <w:szCs w:val="22"/>
        </w:rPr>
        <w:t>Grasp the practical challenges to effective regulation.</w:t>
      </w:r>
    </w:p>
    <w:p w14:paraId="13F5BA79" w14:textId="77777777" w:rsidR="00CB73B6" w:rsidRPr="00CB73B6" w:rsidRDefault="00CB73B6" w:rsidP="00CB73B6">
      <w:pPr>
        <w:rPr>
          <w:rFonts w:ascii="Arial" w:hAnsi="Arial" w:cs="Arial"/>
          <w:sz w:val="22"/>
          <w:szCs w:val="22"/>
        </w:rPr>
      </w:pPr>
    </w:p>
    <w:p w14:paraId="54FF724C"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66D0AC3E" w14:textId="77777777" w:rsidR="00CB73B6" w:rsidRPr="00CB73B6" w:rsidRDefault="00CB73B6" w:rsidP="00152F9F">
      <w:pPr>
        <w:pStyle w:val="NEXT"/>
        <w:numPr>
          <w:ilvl w:val="0"/>
          <w:numId w:val="26"/>
        </w:numPr>
      </w:pPr>
      <w:r w:rsidRPr="00CB73B6">
        <w:t>Chapters 14 and 18</w:t>
      </w:r>
    </w:p>
    <w:p w14:paraId="6E6CB02B" w14:textId="77777777" w:rsidR="00CB73B6" w:rsidRPr="00CB73B6" w:rsidRDefault="00CB73B6" w:rsidP="00152F9F">
      <w:pPr>
        <w:pStyle w:val="ListParagraph"/>
        <w:numPr>
          <w:ilvl w:val="0"/>
          <w:numId w:val="21"/>
        </w:numPr>
        <w:ind w:left="360"/>
        <w:rPr>
          <w:rFonts w:ascii="Arial" w:hAnsi="Arial" w:cs="Arial"/>
          <w:sz w:val="22"/>
          <w:szCs w:val="22"/>
        </w:rPr>
      </w:pPr>
      <w:r w:rsidRPr="00CB73B6">
        <w:rPr>
          <w:rFonts w:ascii="Arial" w:hAnsi="Arial" w:cs="Arial"/>
          <w:sz w:val="22"/>
          <w:szCs w:val="22"/>
        </w:rPr>
        <w:t xml:space="preserve">Valerie Braithwaite. Closing the gap between regulation and the community. </w:t>
      </w:r>
      <w:r w:rsidRPr="00CB73B6">
        <w:rPr>
          <w:rFonts w:ascii="Arial" w:hAnsi="Arial" w:cs="Arial"/>
          <w:smallCaps/>
          <w:sz w:val="22"/>
          <w:szCs w:val="22"/>
        </w:rPr>
        <w:t>Regulatory Theory: Foundations and Applications (</w:t>
      </w:r>
      <w:r w:rsidRPr="00CB73B6">
        <w:rPr>
          <w:rFonts w:ascii="Arial" w:hAnsi="Arial" w:cs="Arial"/>
          <w:sz w:val="22"/>
          <w:szCs w:val="22"/>
        </w:rPr>
        <w:t xml:space="preserve">Peter </w:t>
      </w:r>
      <w:proofErr w:type="spellStart"/>
      <w:r w:rsidRPr="00CB73B6">
        <w:rPr>
          <w:rFonts w:ascii="Arial" w:hAnsi="Arial" w:cs="Arial"/>
          <w:smallCaps/>
          <w:sz w:val="22"/>
          <w:szCs w:val="22"/>
        </w:rPr>
        <w:t>D</w:t>
      </w:r>
      <w:r w:rsidRPr="00CB73B6">
        <w:rPr>
          <w:rFonts w:ascii="Arial" w:hAnsi="Arial" w:cs="Arial"/>
          <w:sz w:val="22"/>
          <w:szCs w:val="22"/>
        </w:rPr>
        <w:t>rahos</w:t>
      </w:r>
      <w:proofErr w:type="spellEnd"/>
      <w:r w:rsidRPr="00CB73B6">
        <w:rPr>
          <w:rFonts w:ascii="Arial" w:hAnsi="Arial" w:cs="Arial"/>
          <w:sz w:val="22"/>
          <w:szCs w:val="22"/>
        </w:rPr>
        <w:t xml:space="preserve"> ed. 2017). Chapter 2. </w:t>
      </w:r>
    </w:p>
    <w:p w14:paraId="5AAF662B" w14:textId="77777777" w:rsidR="00CB73B6" w:rsidRPr="00CB73B6" w:rsidRDefault="00CB73B6" w:rsidP="00152F9F">
      <w:pPr>
        <w:pStyle w:val="NEXT"/>
        <w:numPr>
          <w:ilvl w:val="0"/>
          <w:numId w:val="26"/>
        </w:numPr>
      </w:pPr>
      <w:r w:rsidRPr="00CB73B6">
        <w:t>Something about Chevron deference and strong science.</w:t>
      </w:r>
    </w:p>
    <w:p w14:paraId="15EF65E7" w14:textId="77777777" w:rsidR="00CB73B6" w:rsidRPr="00CB73B6" w:rsidRDefault="00CB73B6" w:rsidP="00152F9F">
      <w:pPr>
        <w:pStyle w:val="ListParagraph"/>
        <w:numPr>
          <w:ilvl w:val="0"/>
          <w:numId w:val="14"/>
        </w:numPr>
        <w:ind w:left="360"/>
        <w:rPr>
          <w:rFonts w:ascii="Arial" w:hAnsi="Arial" w:cs="Arial"/>
          <w:bCs/>
          <w:sz w:val="22"/>
          <w:szCs w:val="22"/>
        </w:rPr>
      </w:pPr>
      <w:r w:rsidRPr="00CB73B6">
        <w:rPr>
          <w:rFonts w:ascii="Arial" w:hAnsi="Arial" w:cs="Arial"/>
          <w:color w:val="212529"/>
          <w:sz w:val="22"/>
          <w:szCs w:val="22"/>
          <w:shd w:val="clear" w:color="auto" w:fill="FFFFFF"/>
        </w:rPr>
        <w:t>New York Statewide Coalition of Hispanic Chambers of Commerce v. New York City Department of Health &amp; Mental Hygiene, 23 N.Y.3d 945 (2014). Excerpts.</w:t>
      </w:r>
    </w:p>
    <w:p w14:paraId="1C250013" w14:textId="77777777" w:rsidR="00CB73B6" w:rsidRPr="00CB73B6" w:rsidRDefault="00CB73B6" w:rsidP="00962EB1">
      <w:pPr>
        <w:pStyle w:val="NEXT"/>
        <w:numPr>
          <w:ilvl w:val="0"/>
          <w:numId w:val="14"/>
        </w:numPr>
        <w:ind w:left="360"/>
      </w:pPr>
      <w:r w:rsidRPr="00CB73B6">
        <w:t xml:space="preserve">Barnett K, Boyd CL, and Walker CJ, "Judge Kavanaugh, Chevron Deference, and the Supreme Court" (2018). Popular Media. 291. </w:t>
      </w:r>
      <w:hyperlink r:id="rId82" w:history="1">
        <w:r w:rsidRPr="00CB73B6">
          <w:rPr>
            <w:rStyle w:val="Hyperlink"/>
          </w:rPr>
          <w:t>https://digitalcommons.law.uga.edu/fac_pm/291</w:t>
        </w:r>
      </w:hyperlink>
      <w:r w:rsidRPr="00CB73B6">
        <w:t xml:space="preserve"> </w:t>
      </w:r>
    </w:p>
    <w:p w14:paraId="5280925F" w14:textId="77777777" w:rsidR="00CB73B6" w:rsidRPr="00CB73B6" w:rsidRDefault="00CB73B6" w:rsidP="00962EB1">
      <w:pPr>
        <w:pStyle w:val="NEXT"/>
        <w:numPr>
          <w:ilvl w:val="0"/>
          <w:numId w:val="14"/>
        </w:numPr>
        <w:ind w:left="360"/>
      </w:pPr>
      <w:r w:rsidRPr="00CB73B6">
        <w:t xml:space="preserve">S. Shapiro, “The Complexity of Regulatory Capture: Diagnosis, Causality, and Remediation.” Roger Williams University Law Review Vo. 102, No. (2012).  </w:t>
      </w:r>
      <w:hyperlink r:id="rId83" w:history="1">
        <w:r w:rsidRPr="00CB73B6">
          <w:rPr>
            <w:rStyle w:val="Hyperlink"/>
          </w:rPr>
          <w:t>http://ssrn.com/abstract=2004521</w:t>
        </w:r>
      </w:hyperlink>
      <w:r w:rsidRPr="00CB73B6">
        <w:t xml:space="preserve"> </w:t>
      </w:r>
    </w:p>
    <w:p w14:paraId="297C2C91" w14:textId="77777777" w:rsidR="00CB73B6" w:rsidRPr="00CB73B6" w:rsidRDefault="00CB73B6" w:rsidP="00962EB1">
      <w:pPr>
        <w:pStyle w:val="NEXT"/>
        <w:numPr>
          <w:ilvl w:val="0"/>
          <w:numId w:val="14"/>
        </w:numPr>
        <w:ind w:left="360"/>
      </w:pPr>
      <w:r w:rsidRPr="00CB73B6">
        <w:t xml:space="preserve">Public Health Law Academy, The ABC’s of Administrative Law </w:t>
      </w:r>
      <w:hyperlink r:id="rId84" w:history="1">
        <w:r w:rsidRPr="00CB73B6">
          <w:rPr>
            <w:rStyle w:val="Hyperlink"/>
          </w:rPr>
          <w:t>Part 1</w:t>
        </w:r>
      </w:hyperlink>
      <w:r w:rsidRPr="00CB73B6">
        <w:t xml:space="preserve"> and Part 2. </w:t>
      </w:r>
    </w:p>
    <w:p w14:paraId="1BC6794A" w14:textId="77777777" w:rsidR="00CB73B6" w:rsidRPr="00CB73B6" w:rsidRDefault="00CB73B6" w:rsidP="00962EB1">
      <w:pPr>
        <w:pStyle w:val="NEXT"/>
        <w:numPr>
          <w:ilvl w:val="0"/>
          <w:numId w:val="14"/>
        </w:numPr>
        <w:ind w:left="360"/>
        <w:rPr>
          <w:rStyle w:val="Hyperlink"/>
          <w:color w:val="000000"/>
        </w:rPr>
      </w:pPr>
      <w:r w:rsidRPr="00CB73B6">
        <w:t xml:space="preserve">Harry Snyder, Advocating for Change: Using the Administrative Petition to Serve Community Health, The California Endowment (2010). </w:t>
      </w:r>
      <w:hyperlink r:id="rId85" w:history="1">
        <w:r w:rsidRPr="00CB73B6">
          <w:rPr>
            <w:rStyle w:val="Hyperlink"/>
          </w:rPr>
          <w:t>https://berkeley-public-health-archive.s3-us-west-1.amazonaws.com/sites/default/files/Advocating-for-Change-Manual-3.pdf</w:t>
        </w:r>
      </w:hyperlink>
    </w:p>
    <w:p w14:paraId="2827D1B8" w14:textId="77777777" w:rsidR="00CB73B6" w:rsidRPr="00CB73B6" w:rsidRDefault="00CB73B6" w:rsidP="00962EB1">
      <w:pPr>
        <w:pStyle w:val="NEXT"/>
        <w:numPr>
          <w:ilvl w:val="0"/>
          <w:numId w:val="14"/>
        </w:numPr>
        <w:ind w:left="360"/>
      </w:pPr>
      <w:r w:rsidRPr="00CB73B6">
        <w:t xml:space="preserve">The National Archives, Making Regulations Readable (2017).  Available at: </w:t>
      </w:r>
      <w:hyperlink r:id="rId86" w:history="1">
        <w:r w:rsidRPr="00CB73B6">
          <w:rPr>
            <w:rStyle w:val="Hyperlink"/>
          </w:rPr>
          <w:t>https://www.archives.gov/federal-register/write/plain-language/readable-regulations.html</w:t>
        </w:r>
      </w:hyperlink>
      <w:r w:rsidRPr="00CB73B6">
        <w:t xml:space="preserve">.  The National Archives has a number of resources available regarding legislative/regulatory drafting and the use of plain language.  Other resources include this guide to </w:t>
      </w:r>
      <w:hyperlink r:id="rId87" w:history="1">
        <w:r w:rsidRPr="00CB73B6">
          <w:rPr>
            <w:rStyle w:val="Hyperlink"/>
          </w:rPr>
          <w:t>drafting legal documents</w:t>
        </w:r>
      </w:hyperlink>
      <w:r w:rsidRPr="00CB73B6">
        <w:t>.</w:t>
      </w:r>
    </w:p>
    <w:p w14:paraId="1AA53E69" w14:textId="77777777" w:rsidR="00CB73B6" w:rsidRPr="00CB73B6" w:rsidRDefault="00CB73B6" w:rsidP="00CB73B6">
      <w:pPr>
        <w:rPr>
          <w:rFonts w:ascii="Arial" w:hAnsi="Arial" w:cs="Arial"/>
          <w:sz w:val="22"/>
          <w:szCs w:val="22"/>
        </w:rPr>
      </w:pPr>
    </w:p>
    <w:p w14:paraId="5D509A13" w14:textId="77777777" w:rsidR="00CB73B6" w:rsidRPr="00CB73B6" w:rsidRDefault="00CB73B6" w:rsidP="00CB73B6">
      <w:pPr>
        <w:rPr>
          <w:rFonts w:ascii="Arial" w:hAnsi="Arial" w:cs="Arial"/>
          <w:b/>
          <w:bCs/>
          <w:sz w:val="22"/>
          <w:szCs w:val="22"/>
        </w:rPr>
      </w:pPr>
    </w:p>
    <w:p w14:paraId="7833AA35" w14:textId="77777777" w:rsidR="00CB73B6" w:rsidRPr="00CB73B6" w:rsidRDefault="00CB73B6" w:rsidP="00CB73B6">
      <w:pPr>
        <w:rPr>
          <w:rFonts w:ascii="Arial" w:hAnsi="Arial" w:cs="Arial"/>
          <w:sz w:val="22"/>
          <w:szCs w:val="22"/>
        </w:rPr>
      </w:pPr>
      <w:r w:rsidRPr="00CB73B6">
        <w:rPr>
          <w:rFonts w:ascii="Arial" w:hAnsi="Arial" w:cs="Arial"/>
          <w:b/>
          <w:bCs/>
          <w:sz w:val="22"/>
          <w:szCs w:val="22"/>
        </w:rPr>
        <w:t>Week 9:</w:t>
      </w:r>
      <w:r w:rsidRPr="00CB73B6">
        <w:rPr>
          <w:rFonts w:ascii="Arial" w:hAnsi="Arial" w:cs="Arial"/>
          <w:sz w:val="22"/>
          <w:szCs w:val="22"/>
        </w:rPr>
        <w:t xml:space="preserve"> </w:t>
      </w:r>
      <w:r w:rsidRPr="00CB73B6">
        <w:rPr>
          <w:rFonts w:ascii="Arial" w:hAnsi="Arial" w:cs="Arial"/>
          <w:b/>
          <w:bCs/>
          <w:sz w:val="22"/>
          <w:szCs w:val="22"/>
        </w:rPr>
        <w:t>Environmental Health and Environmental Justice – Claudia Polsky, guest lecturer</w:t>
      </w:r>
    </w:p>
    <w:p w14:paraId="7115B540" w14:textId="77777777" w:rsidR="00CB73B6" w:rsidRPr="00CB73B6" w:rsidRDefault="00CB73B6" w:rsidP="00CB73B6">
      <w:pPr>
        <w:rPr>
          <w:rFonts w:ascii="Arial" w:hAnsi="Arial" w:cs="Arial"/>
          <w:sz w:val="22"/>
          <w:szCs w:val="22"/>
        </w:rPr>
      </w:pPr>
    </w:p>
    <w:p w14:paraId="68D75E25"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2943A20F"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Is the prevalence of childhood asthma in America a public health issue, or an environmental issue?  Is the preferential siting of polluting facilities in poor communities of color addressable with existing legal tools?  Is the hazard of lead paint exposure best addressed as a technical issue, a social justice issue, a criminal justice issue . . . or all three? This class explores the overlapping but non-identical domains of environmental health and environmental justice, and the statutory/regulatory/policy frameworks that shape advocacy in both spheres. </w:t>
      </w:r>
    </w:p>
    <w:p w14:paraId="22ACF384" w14:textId="77777777" w:rsidR="00CB73B6" w:rsidRPr="00CB73B6" w:rsidRDefault="00CB73B6" w:rsidP="00CB73B6">
      <w:pPr>
        <w:rPr>
          <w:rFonts w:ascii="Arial" w:hAnsi="Arial" w:cs="Arial"/>
          <w:strike/>
          <w:sz w:val="22"/>
          <w:szCs w:val="22"/>
        </w:rPr>
      </w:pPr>
    </w:p>
    <w:p w14:paraId="6006CF2A"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004671A7"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sz w:val="22"/>
          <w:szCs w:val="22"/>
        </w:rPr>
        <w:t>Introduction to environmental health, as a subfield of public health</w:t>
      </w:r>
    </w:p>
    <w:p w14:paraId="2982BCA8"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sz w:val="22"/>
          <w:szCs w:val="22"/>
        </w:rPr>
        <w:t>Exploration of the relationship between environmental health and environmental justice</w:t>
      </w:r>
    </w:p>
    <w:p w14:paraId="178C3A39"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sz w:val="22"/>
          <w:szCs w:val="22"/>
        </w:rPr>
        <w:t>Understanding of the role of lawyers in relation to community organizers and technical experts.</w:t>
      </w:r>
    </w:p>
    <w:p w14:paraId="79A25F9D"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sz w:val="22"/>
          <w:szCs w:val="22"/>
        </w:rPr>
        <w:t>Understanding the possibilities and the limits of the law to address environmental exposures (pollution/toxic chemicals/radiation) that harm human health.</w:t>
      </w:r>
    </w:p>
    <w:p w14:paraId="653B121A"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r w:rsidRPr="00CB73B6">
        <w:rPr>
          <w:rFonts w:ascii="Arial" w:hAnsi="Arial" w:cs="Arial"/>
          <w:sz w:val="22"/>
          <w:szCs w:val="22"/>
        </w:rPr>
        <w:br/>
      </w:r>
    </w:p>
    <w:p w14:paraId="26326A41" w14:textId="77777777" w:rsidR="00CB73B6" w:rsidRPr="00CB73B6" w:rsidRDefault="00CB73B6" w:rsidP="00CB73B6">
      <w:pPr>
        <w:rPr>
          <w:rFonts w:ascii="Arial" w:hAnsi="Arial" w:cs="Arial"/>
          <w:sz w:val="22"/>
          <w:szCs w:val="22"/>
        </w:rPr>
      </w:pPr>
      <w:r w:rsidRPr="00CB73B6">
        <w:rPr>
          <w:rFonts w:ascii="Arial" w:hAnsi="Arial" w:cs="Arial"/>
          <w:b/>
          <w:bCs/>
          <w:sz w:val="22"/>
          <w:szCs w:val="22"/>
        </w:rPr>
        <w:t>Lead poisoning</w:t>
      </w:r>
      <w:r w:rsidRPr="00CB73B6">
        <w:rPr>
          <w:rFonts w:ascii="Arial" w:hAnsi="Arial" w:cs="Arial"/>
          <w:sz w:val="22"/>
          <w:szCs w:val="22"/>
        </w:rPr>
        <w:t xml:space="preserve"> </w:t>
      </w:r>
    </w:p>
    <w:p w14:paraId="77230E49"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i/>
          <w:iCs/>
          <w:sz w:val="22"/>
          <w:szCs w:val="22"/>
        </w:rPr>
        <w:t>People v. ConAgra Grocery Products Co</w:t>
      </w:r>
      <w:r w:rsidRPr="00CB73B6">
        <w:rPr>
          <w:rFonts w:ascii="Arial" w:hAnsi="Arial" w:cs="Arial"/>
          <w:sz w:val="22"/>
          <w:szCs w:val="22"/>
        </w:rPr>
        <w:t>., 17 Cal.App.5th 51 (2017) (establishing market share liability for lead paint public nuisance) (excerpts)</w:t>
      </w:r>
    </w:p>
    <w:p w14:paraId="16E7FC16"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i/>
          <w:iCs/>
          <w:sz w:val="22"/>
          <w:szCs w:val="22"/>
        </w:rPr>
        <w:t>In re A Community Voice</w:t>
      </w:r>
      <w:r w:rsidRPr="00CB73B6">
        <w:rPr>
          <w:rFonts w:ascii="Arial" w:hAnsi="Arial" w:cs="Arial"/>
          <w:sz w:val="22"/>
          <w:szCs w:val="22"/>
        </w:rPr>
        <w:t>, 878 F.3d 779 (9</w:t>
      </w:r>
      <w:r w:rsidRPr="00CB73B6">
        <w:rPr>
          <w:rFonts w:ascii="Arial" w:hAnsi="Arial" w:cs="Arial"/>
          <w:sz w:val="22"/>
          <w:szCs w:val="22"/>
          <w:vertAlign w:val="superscript"/>
        </w:rPr>
        <w:t>th</w:t>
      </w:r>
      <w:r w:rsidRPr="00CB73B6">
        <w:rPr>
          <w:rFonts w:ascii="Arial" w:hAnsi="Arial" w:cs="Arial"/>
          <w:sz w:val="22"/>
          <w:szCs w:val="22"/>
        </w:rPr>
        <w:t xml:space="preserve"> Cir. 2017) (EPA standard-setting for lead paint/dust)</w:t>
      </w:r>
    </w:p>
    <w:p w14:paraId="5CBE8B51"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sz w:val="22"/>
          <w:szCs w:val="22"/>
        </w:rPr>
        <w:t xml:space="preserve">Mother Jones, </w:t>
      </w:r>
      <w:r w:rsidRPr="00CB73B6">
        <w:rPr>
          <w:rFonts w:ascii="Arial" w:hAnsi="Arial" w:cs="Arial"/>
          <w:i/>
          <w:iCs/>
          <w:sz w:val="22"/>
          <w:szCs w:val="22"/>
        </w:rPr>
        <w:t>Lead: America’s Real Criminal Element</w:t>
      </w:r>
      <w:r w:rsidRPr="00CB73B6">
        <w:rPr>
          <w:rFonts w:ascii="Arial" w:hAnsi="Arial" w:cs="Arial"/>
          <w:sz w:val="22"/>
          <w:szCs w:val="22"/>
        </w:rPr>
        <w:t xml:space="preserve"> (Jan./Feb. 2013) (lead exposure and criminality)</w:t>
      </w:r>
    </w:p>
    <w:p w14:paraId="14F38C87"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Pesticide exposure</w:t>
      </w:r>
    </w:p>
    <w:p w14:paraId="5E62D24F"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sz w:val="22"/>
          <w:szCs w:val="22"/>
        </w:rPr>
        <w:t>UC Berkeley’s longitudinal CHAMACOS community-based participatory research study of Central Valley farmworkers’ exposure to pesticides</w:t>
      </w:r>
    </w:p>
    <w:p w14:paraId="102B148B" w14:textId="77777777" w:rsidR="00CB73B6" w:rsidRPr="00CB73B6" w:rsidRDefault="00CB73B6" w:rsidP="00CB73B6">
      <w:pPr>
        <w:pStyle w:val="ListParagraph"/>
        <w:rPr>
          <w:rFonts w:ascii="Arial" w:hAnsi="Arial" w:cs="Arial"/>
          <w:sz w:val="22"/>
          <w:szCs w:val="22"/>
        </w:rPr>
      </w:pPr>
    </w:p>
    <w:p w14:paraId="5FBFC4ED" w14:textId="77777777" w:rsidR="00CB73B6" w:rsidRPr="00CB73B6" w:rsidRDefault="00CB73B6" w:rsidP="00CB73B6">
      <w:pPr>
        <w:rPr>
          <w:rFonts w:ascii="Arial" w:hAnsi="Arial" w:cs="Arial"/>
          <w:sz w:val="22"/>
          <w:szCs w:val="22"/>
        </w:rPr>
      </w:pPr>
      <w:r w:rsidRPr="00CB73B6">
        <w:rPr>
          <w:rFonts w:ascii="Arial" w:hAnsi="Arial" w:cs="Arial"/>
          <w:b/>
          <w:bCs/>
          <w:sz w:val="22"/>
          <w:szCs w:val="22"/>
        </w:rPr>
        <w:t>Integrated advocacy strategy &amp; advice for environmental justice lawyers</w:t>
      </w:r>
    </w:p>
    <w:p w14:paraId="5AF2AD49" w14:textId="77777777" w:rsidR="00CB73B6" w:rsidRPr="00CB73B6" w:rsidRDefault="00CB73B6" w:rsidP="00152F9F">
      <w:pPr>
        <w:pStyle w:val="ListParagraph"/>
        <w:numPr>
          <w:ilvl w:val="0"/>
          <w:numId w:val="17"/>
        </w:numPr>
        <w:rPr>
          <w:rFonts w:ascii="Arial" w:hAnsi="Arial" w:cs="Arial"/>
          <w:sz w:val="22"/>
          <w:szCs w:val="22"/>
        </w:rPr>
      </w:pPr>
      <w:r w:rsidRPr="00CB73B6">
        <w:rPr>
          <w:rFonts w:ascii="Arial" w:hAnsi="Arial" w:cs="Arial"/>
          <w:sz w:val="22"/>
          <w:szCs w:val="22"/>
        </w:rPr>
        <w:t xml:space="preserve">Luke Cole, </w:t>
      </w:r>
      <w:r w:rsidRPr="00CB73B6">
        <w:rPr>
          <w:rFonts w:ascii="Arial" w:hAnsi="Arial" w:cs="Arial"/>
          <w:i/>
          <w:iCs/>
          <w:sz w:val="22"/>
          <w:szCs w:val="22"/>
        </w:rPr>
        <w:t xml:space="preserve">Empowerment </w:t>
      </w:r>
      <w:proofErr w:type="gramStart"/>
      <w:r w:rsidRPr="00CB73B6">
        <w:rPr>
          <w:rFonts w:ascii="Arial" w:hAnsi="Arial" w:cs="Arial"/>
          <w:i/>
          <w:iCs/>
          <w:sz w:val="22"/>
          <w:szCs w:val="22"/>
        </w:rPr>
        <w:t>As</w:t>
      </w:r>
      <w:proofErr w:type="gramEnd"/>
      <w:r w:rsidRPr="00CB73B6">
        <w:rPr>
          <w:rFonts w:ascii="Arial" w:hAnsi="Arial" w:cs="Arial"/>
          <w:i/>
          <w:iCs/>
          <w:sz w:val="22"/>
          <w:szCs w:val="22"/>
        </w:rPr>
        <w:t xml:space="preserve"> the Key to Environmental Protection,</w:t>
      </w:r>
      <w:r w:rsidRPr="00CB73B6">
        <w:rPr>
          <w:rFonts w:ascii="Arial" w:hAnsi="Arial" w:cs="Arial"/>
          <w:sz w:val="22"/>
          <w:szCs w:val="22"/>
        </w:rPr>
        <w:t xml:space="preserve"> 19 Ecology L. Quarterly 619 (1992)</w:t>
      </w:r>
    </w:p>
    <w:p w14:paraId="2AEEA6A8" w14:textId="77777777" w:rsidR="00CB73B6" w:rsidRPr="00CB73B6" w:rsidRDefault="00CB73B6" w:rsidP="00152F9F">
      <w:pPr>
        <w:pStyle w:val="ListParagraph"/>
        <w:numPr>
          <w:ilvl w:val="0"/>
          <w:numId w:val="17"/>
        </w:numPr>
        <w:spacing w:after="160" w:line="259" w:lineRule="auto"/>
        <w:rPr>
          <w:rFonts w:ascii="Arial" w:eastAsia="Times New Roman" w:hAnsi="Arial" w:cs="Arial"/>
          <w:i/>
          <w:iCs/>
          <w:sz w:val="22"/>
          <w:szCs w:val="22"/>
        </w:rPr>
      </w:pPr>
      <w:r w:rsidRPr="00CB73B6">
        <w:rPr>
          <w:rFonts w:ascii="Arial" w:hAnsi="Arial" w:cs="Arial"/>
          <w:sz w:val="22"/>
          <w:szCs w:val="22"/>
        </w:rPr>
        <w:t xml:space="preserve">Candice </w:t>
      </w:r>
      <w:proofErr w:type="spellStart"/>
      <w:r w:rsidRPr="00CB73B6">
        <w:rPr>
          <w:rFonts w:ascii="Arial" w:hAnsi="Arial" w:cs="Arial"/>
          <w:sz w:val="22"/>
          <w:szCs w:val="22"/>
        </w:rPr>
        <w:t>Younglood</w:t>
      </w:r>
      <w:proofErr w:type="spellEnd"/>
      <w:r w:rsidRPr="00CB73B6">
        <w:rPr>
          <w:rFonts w:ascii="Arial" w:hAnsi="Arial" w:cs="Arial"/>
          <w:sz w:val="22"/>
          <w:szCs w:val="22"/>
        </w:rPr>
        <w:t xml:space="preserve">, </w:t>
      </w:r>
      <w:r w:rsidRPr="00CB73B6">
        <w:rPr>
          <w:rFonts w:ascii="Arial" w:eastAsia="Times New Roman" w:hAnsi="Arial" w:cs="Arial"/>
          <w:i/>
          <w:iCs/>
          <w:sz w:val="22"/>
          <w:szCs w:val="22"/>
        </w:rPr>
        <w:t xml:space="preserve">Put Your Money Where Their Mouth Is: Actualizing Environmental Justice by Amplifying Community Voices, </w:t>
      </w:r>
      <w:r w:rsidRPr="00CB73B6">
        <w:rPr>
          <w:rFonts w:ascii="Arial" w:eastAsia="Times New Roman" w:hAnsi="Arial" w:cs="Arial"/>
          <w:sz w:val="22"/>
          <w:szCs w:val="22"/>
        </w:rPr>
        <w:t>46 Ecology L. Quarterly 455 (2019)</w:t>
      </w:r>
    </w:p>
    <w:p w14:paraId="207C4C68" w14:textId="77777777" w:rsidR="00CB73B6" w:rsidRPr="00CB73B6" w:rsidRDefault="00CB73B6" w:rsidP="00CB73B6">
      <w:pPr>
        <w:rPr>
          <w:rFonts w:ascii="Arial" w:hAnsi="Arial" w:cs="Arial"/>
          <w:sz w:val="22"/>
          <w:szCs w:val="22"/>
        </w:rPr>
      </w:pPr>
    </w:p>
    <w:p w14:paraId="5B8BEF4C" w14:textId="341CD6F2" w:rsidR="00CB73B6" w:rsidRPr="00CB73B6" w:rsidRDefault="00CB73B6" w:rsidP="00CB73B6">
      <w:pPr>
        <w:rPr>
          <w:rFonts w:ascii="Arial" w:hAnsi="Arial" w:cs="Arial"/>
          <w:b/>
          <w:bCs/>
          <w:sz w:val="22"/>
          <w:szCs w:val="22"/>
        </w:rPr>
      </w:pPr>
      <w:r w:rsidRPr="00CB73B6">
        <w:rPr>
          <w:rFonts w:ascii="Arial" w:hAnsi="Arial" w:cs="Arial"/>
          <w:b/>
          <w:bCs/>
          <w:sz w:val="22"/>
          <w:szCs w:val="22"/>
        </w:rPr>
        <w:t xml:space="preserve">Week 10: Enforcement Strategies </w:t>
      </w:r>
    </w:p>
    <w:p w14:paraId="22681552" w14:textId="77777777" w:rsidR="00CB73B6" w:rsidRPr="00CB73B6" w:rsidRDefault="00CB73B6" w:rsidP="00CB73B6">
      <w:pPr>
        <w:rPr>
          <w:rFonts w:ascii="Arial" w:hAnsi="Arial" w:cs="Arial"/>
          <w:sz w:val="22"/>
          <w:szCs w:val="22"/>
        </w:rPr>
      </w:pPr>
    </w:p>
    <w:p w14:paraId="0E06B50C"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325C4110"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Enforcing the law ideally results in meaningful sanctions for the wrong-doer and justice for the harmed.  How do we design laws to achieve such results rather than exacerbated inequities for the overly regulated? We will </w:t>
      </w:r>
      <w:bookmarkStart w:id="0" w:name="_Hlk37772065"/>
      <w:r w:rsidRPr="00CB73B6">
        <w:rPr>
          <w:rFonts w:ascii="Arial" w:hAnsi="Arial" w:cs="Arial"/>
          <w:sz w:val="22"/>
          <w:szCs w:val="22"/>
        </w:rPr>
        <w:t xml:space="preserve">introduce the various actors within and outside of government who may practice the elements of regulation and review the theory of responsive regulation and enforcement.  </w:t>
      </w:r>
      <w:bookmarkEnd w:id="0"/>
    </w:p>
    <w:p w14:paraId="1838C307" w14:textId="77777777" w:rsidR="00CB73B6" w:rsidRPr="00CB73B6" w:rsidRDefault="00CB73B6" w:rsidP="00CB73B6">
      <w:pPr>
        <w:rPr>
          <w:rFonts w:ascii="Arial" w:hAnsi="Arial" w:cs="Arial"/>
          <w:sz w:val="22"/>
          <w:szCs w:val="22"/>
        </w:rPr>
      </w:pPr>
    </w:p>
    <w:p w14:paraId="549EB091" w14:textId="77777777" w:rsidR="00CB73B6" w:rsidRPr="00CB73B6" w:rsidRDefault="00CB73B6" w:rsidP="00CB73B6">
      <w:pPr>
        <w:rPr>
          <w:rFonts w:ascii="Arial" w:eastAsiaTheme="minorBidi" w:hAnsi="Arial" w:cs="Arial"/>
          <w:sz w:val="22"/>
          <w:szCs w:val="22"/>
        </w:rPr>
      </w:pPr>
      <w:r w:rsidRPr="00CB73B6">
        <w:rPr>
          <w:rFonts w:ascii="Arial" w:eastAsiaTheme="minorBidi" w:hAnsi="Arial" w:cs="Arial"/>
          <w:sz w:val="22"/>
          <w:szCs w:val="22"/>
        </w:rPr>
        <w:t xml:space="preserve">Using the </w:t>
      </w:r>
      <w:r w:rsidRPr="00CB73B6">
        <w:rPr>
          <w:rFonts w:ascii="Arial" w:eastAsiaTheme="minorBidi" w:hAnsi="Arial" w:cs="Arial"/>
          <w:i/>
          <w:iCs/>
          <w:sz w:val="22"/>
          <w:szCs w:val="22"/>
        </w:rPr>
        <w:t xml:space="preserve">R.J. Reynolds Tobacco Company v. FDA </w:t>
      </w:r>
      <w:r w:rsidRPr="00CB73B6">
        <w:rPr>
          <w:rFonts w:ascii="Arial" w:eastAsiaTheme="minorBidi" w:hAnsi="Arial" w:cs="Arial"/>
          <w:sz w:val="22"/>
          <w:szCs w:val="22"/>
        </w:rPr>
        <w:t>case to walk through the steps of a legal challenge to a public health law, we will explore the strategic reasons why entities may challenge public health laws.  We will identify the attorneys and public health practitioners involved in defending public health laws on behalf of local, state, and federal government entities, and explain how legal technical assistance from public health organizations can support their efforts.  Finally, we will discuss the role of amicus curiae briefs and how they may effectively contribute to the defense of public health laws and regulations.</w:t>
      </w:r>
    </w:p>
    <w:p w14:paraId="66E8A063" w14:textId="77777777" w:rsidR="00CB73B6" w:rsidRPr="00CB73B6" w:rsidRDefault="00CB73B6" w:rsidP="00CB73B6">
      <w:pPr>
        <w:rPr>
          <w:rFonts w:ascii="Arial" w:eastAsiaTheme="minorBidi" w:hAnsi="Arial" w:cs="Arial"/>
          <w:sz w:val="22"/>
          <w:szCs w:val="22"/>
        </w:rPr>
      </w:pPr>
    </w:p>
    <w:p w14:paraId="055DDD85" w14:textId="77777777" w:rsidR="00CB73B6" w:rsidRPr="00CB73B6" w:rsidRDefault="00CB73B6" w:rsidP="00CB73B6">
      <w:pPr>
        <w:rPr>
          <w:rFonts w:ascii="Arial" w:hAnsi="Arial" w:cs="Arial"/>
          <w:sz w:val="22"/>
          <w:szCs w:val="22"/>
        </w:rPr>
      </w:pPr>
      <w:r w:rsidRPr="00CB73B6">
        <w:rPr>
          <w:rFonts w:ascii="Arial" w:hAnsi="Arial" w:cs="Arial"/>
          <w:sz w:val="22"/>
          <w:szCs w:val="22"/>
        </w:rPr>
        <w:t>We will review the scope of activities that comprise a comprehensive enforcement system including the design and drafting of the law, appropriations and budgeting, community outreach and education, and licensing and compliance assistance. We also will identify the variety of enforcement approaches, including investigations and inspections and sanctions for violations, and provides examples of enforcement in action.</w:t>
      </w:r>
    </w:p>
    <w:p w14:paraId="7D07EBD6" w14:textId="77777777" w:rsidR="00CB73B6" w:rsidRPr="00CB73B6" w:rsidRDefault="00CB73B6" w:rsidP="00CB73B6">
      <w:pPr>
        <w:rPr>
          <w:rFonts w:ascii="Arial" w:hAnsi="Arial" w:cs="Arial"/>
          <w:sz w:val="22"/>
          <w:szCs w:val="22"/>
        </w:rPr>
      </w:pPr>
    </w:p>
    <w:p w14:paraId="33EF7D9C"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05B28FBC" w14:textId="77777777" w:rsidR="00CB73B6" w:rsidRPr="00CB73B6" w:rsidRDefault="00CB73B6" w:rsidP="00152F9F">
      <w:pPr>
        <w:pStyle w:val="ListParagraph"/>
        <w:numPr>
          <w:ilvl w:val="0"/>
          <w:numId w:val="19"/>
        </w:numPr>
        <w:rPr>
          <w:rFonts w:ascii="Arial" w:hAnsi="Arial" w:cs="Arial"/>
          <w:sz w:val="22"/>
          <w:szCs w:val="22"/>
        </w:rPr>
      </w:pPr>
      <w:r w:rsidRPr="00CB73B6">
        <w:rPr>
          <w:rFonts w:ascii="Arial" w:hAnsi="Arial" w:cs="Arial"/>
          <w:sz w:val="22"/>
          <w:szCs w:val="22"/>
        </w:rPr>
        <w:t xml:space="preserve">Understand that enforcement is critical to the success of public health laws. </w:t>
      </w:r>
    </w:p>
    <w:p w14:paraId="2E40CC68" w14:textId="77777777" w:rsidR="00CB73B6" w:rsidRPr="00CB73B6" w:rsidRDefault="00CB73B6" w:rsidP="00152F9F">
      <w:pPr>
        <w:pStyle w:val="ListParagraph"/>
        <w:numPr>
          <w:ilvl w:val="0"/>
          <w:numId w:val="19"/>
        </w:numPr>
        <w:rPr>
          <w:rFonts w:ascii="Arial" w:hAnsi="Arial" w:cs="Arial"/>
          <w:sz w:val="22"/>
          <w:szCs w:val="22"/>
        </w:rPr>
      </w:pPr>
      <w:r w:rsidRPr="00CB73B6">
        <w:rPr>
          <w:rFonts w:ascii="Arial" w:hAnsi="Arial" w:cs="Arial"/>
          <w:sz w:val="22"/>
          <w:szCs w:val="22"/>
        </w:rPr>
        <w:t xml:space="preserve">Identify the scope of activities that comprise a comprehensive enforcement system. </w:t>
      </w:r>
    </w:p>
    <w:p w14:paraId="06EE7299" w14:textId="77777777" w:rsidR="00CB73B6" w:rsidRPr="00CB73B6" w:rsidRDefault="00CB73B6" w:rsidP="00152F9F">
      <w:pPr>
        <w:pStyle w:val="ListParagraph"/>
        <w:numPr>
          <w:ilvl w:val="0"/>
          <w:numId w:val="19"/>
        </w:numPr>
        <w:rPr>
          <w:rFonts w:ascii="Arial" w:hAnsi="Arial" w:cs="Arial"/>
          <w:sz w:val="22"/>
          <w:szCs w:val="22"/>
        </w:rPr>
      </w:pPr>
      <w:r w:rsidRPr="00CB73B6">
        <w:rPr>
          <w:rFonts w:ascii="Arial" w:hAnsi="Arial" w:cs="Arial"/>
          <w:sz w:val="22"/>
          <w:szCs w:val="22"/>
        </w:rPr>
        <w:t>Explain the variety of enforcement approaches and see some examples of enforcement in action.</w:t>
      </w:r>
    </w:p>
    <w:p w14:paraId="04AF0FA2" w14:textId="77777777" w:rsidR="00CB73B6" w:rsidRPr="00CB73B6" w:rsidRDefault="00CB73B6" w:rsidP="00152F9F">
      <w:pPr>
        <w:pStyle w:val="ListParagraph"/>
        <w:numPr>
          <w:ilvl w:val="0"/>
          <w:numId w:val="19"/>
        </w:numPr>
        <w:rPr>
          <w:rFonts w:ascii="Arial" w:eastAsiaTheme="minorBidi" w:hAnsi="Arial" w:cs="Arial"/>
          <w:sz w:val="22"/>
          <w:szCs w:val="22"/>
        </w:rPr>
      </w:pPr>
      <w:r w:rsidRPr="00CB73B6">
        <w:rPr>
          <w:rFonts w:ascii="Arial" w:eastAsiaTheme="minorBidi" w:hAnsi="Arial" w:cs="Arial"/>
          <w:sz w:val="22"/>
          <w:szCs w:val="22"/>
        </w:rPr>
        <w:t>Understand the strategic reasons why entities may challenge public health laws, and the typical steps involved in such litigation. </w:t>
      </w:r>
    </w:p>
    <w:p w14:paraId="4AF7683B" w14:textId="77777777" w:rsidR="00CB73B6" w:rsidRPr="00CB73B6" w:rsidRDefault="00CB73B6" w:rsidP="00152F9F">
      <w:pPr>
        <w:pStyle w:val="ListParagraph"/>
        <w:numPr>
          <w:ilvl w:val="0"/>
          <w:numId w:val="19"/>
        </w:numPr>
        <w:rPr>
          <w:rFonts w:ascii="Arial" w:eastAsiaTheme="minorBidi" w:hAnsi="Arial" w:cs="Arial"/>
          <w:sz w:val="22"/>
          <w:szCs w:val="22"/>
        </w:rPr>
      </w:pPr>
      <w:r w:rsidRPr="00CB73B6">
        <w:rPr>
          <w:rFonts w:ascii="Arial" w:eastAsiaTheme="minorBidi" w:hAnsi="Arial" w:cs="Arial"/>
          <w:sz w:val="22"/>
          <w:szCs w:val="22"/>
        </w:rPr>
        <w:t>Identify the attorneys involved in defending public health laws on behalf of local, state, and federal government entities, and explain how “legal technical assistance” from public health organizations can support their efforts.  </w:t>
      </w:r>
    </w:p>
    <w:p w14:paraId="106689FC" w14:textId="77777777" w:rsidR="00CB73B6" w:rsidRPr="00CB73B6" w:rsidRDefault="00CB73B6" w:rsidP="00152F9F">
      <w:pPr>
        <w:pStyle w:val="ListParagraph"/>
        <w:numPr>
          <w:ilvl w:val="0"/>
          <w:numId w:val="19"/>
        </w:numPr>
        <w:rPr>
          <w:rFonts w:ascii="Arial" w:eastAsiaTheme="minorBidi" w:hAnsi="Arial" w:cs="Arial"/>
          <w:sz w:val="22"/>
          <w:szCs w:val="22"/>
        </w:rPr>
      </w:pPr>
      <w:r w:rsidRPr="00CB73B6">
        <w:rPr>
          <w:rFonts w:ascii="Arial" w:eastAsiaTheme="minorBidi" w:hAnsi="Arial" w:cs="Arial"/>
          <w:sz w:val="22"/>
          <w:szCs w:val="22"/>
        </w:rPr>
        <w:t>Understand what an </w:t>
      </w:r>
      <w:r w:rsidRPr="00CB73B6">
        <w:rPr>
          <w:rFonts w:ascii="Arial" w:eastAsiaTheme="minorBidi" w:hAnsi="Arial" w:cs="Arial"/>
          <w:i/>
          <w:iCs/>
          <w:sz w:val="22"/>
          <w:szCs w:val="22"/>
        </w:rPr>
        <w:t>amicus curiae</w:t>
      </w:r>
      <w:r w:rsidRPr="00CB73B6">
        <w:rPr>
          <w:rFonts w:ascii="Arial" w:eastAsiaTheme="minorBidi" w:hAnsi="Arial" w:cs="Arial"/>
          <w:sz w:val="22"/>
          <w:szCs w:val="22"/>
        </w:rPr>
        <w:t> brief is and how it can most effectively contribute to the defense of public health laws and regulations. </w:t>
      </w:r>
    </w:p>
    <w:p w14:paraId="48C84743" w14:textId="77777777" w:rsidR="00CB73B6" w:rsidRPr="00CB73B6" w:rsidRDefault="00CB73B6" w:rsidP="00CB73B6">
      <w:pPr>
        <w:rPr>
          <w:rFonts w:ascii="Arial" w:hAnsi="Arial" w:cs="Arial"/>
          <w:sz w:val="22"/>
          <w:szCs w:val="22"/>
        </w:rPr>
      </w:pPr>
    </w:p>
    <w:p w14:paraId="4662B074"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5318272F" w14:textId="77777777" w:rsidR="00CB73B6" w:rsidRPr="00CB73B6" w:rsidRDefault="00CB73B6" w:rsidP="00152F9F">
      <w:pPr>
        <w:pStyle w:val="ListParagraph"/>
        <w:numPr>
          <w:ilvl w:val="0"/>
          <w:numId w:val="20"/>
        </w:numPr>
        <w:rPr>
          <w:rFonts w:ascii="Arial" w:hAnsi="Arial" w:cs="Arial"/>
          <w:sz w:val="22"/>
          <w:szCs w:val="22"/>
        </w:rPr>
      </w:pPr>
      <w:r w:rsidRPr="00CB73B6">
        <w:rPr>
          <w:rFonts w:ascii="Arial" w:hAnsi="Arial" w:cs="Arial"/>
          <w:sz w:val="22"/>
          <w:szCs w:val="22"/>
        </w:rPr>
        <w:t>Chapters 18, 19 and 20.</w:t>
      </w:r>
    </w:p>
    <w:p w14:paraId="60A41621" w14:textId="77777777" w:rsidR="00CB73B6" w:rsidRPr="00CB73B6" w:rsidRDefault="00CB73B6" w:rsidP="00152F9F">
      <w:pPr>
        <w:pStyle w:val="ListParagraph"/>
        <w:numPr>
          <w:ilvl w:val="0"/>
          <w:numId w:val="20"/>
        </w:numPr>
        <w:rPr>
          <w:rFonts w:ascii="Arial" w:hAnsi="Arial" w:cs="Arial"/>
          <w:sz w:val="22"/>
          <w:szCs w:val="22"/>
        </w:rPr>
      </w:pPr>
      <w:r w:rsidRPr="00CB73B6">
        <w:rPr>
          <w:rFonts w:ascii="Arial" w:hAnsi="Arial" w:cs="Arial"/>
          <w:color w:val="000000"/>
          <w:sz w:val="22"/>
          <w:szCs w:val="22"/>
          <w:shd w:val="clear" w:color="auto" w:fill="FFFFFF"/>
        </w:rPr>
        <w:t>Ayres I, Braithwaite, J (1992) </w:t>
      </w:r>
      <w:r w:rsidRPr="00CB73B6">
        <w:rPr>
          <w:rFonts w:ascii="Arial" w:hAnsi="Arial" w:cs="Arial"/>
          <w:i/>
          <w:iCs/>
          <w:color w:val="000000"/>
          <w:sz w:val="22"/>
          <w:szCs w:val="22"/>
          <w:shd w:val="clear" w:color="auto" w:fill="FFFFFF"/>
        </w:rPr>
        <w:t>Responsive Regulation: Transcending the Deregulation Debate</w:t>
      </w:r>
      <w:r w:rsidRPr="00CB73B6">
        <w:rPr>
          <w:rFonts w:ascii="Arial" w:hAnsi="Arial" w:cs="Arial"/>
          <w:color w:val="000000"/>
          <w:sz w:val="22"/>
          <w:szCs w:val="22"/>
          <w:shd w:val="clear" w:color="auto" w:fill="FFFFFF"/>
        </w:rPr>
        <w:t xml:space="preserve">. Oxford University Press, New York. Chapters 1 and 2 only. </w:t>
      </w:r>
      <w:hyperlink r:id="rId88" w:history="1">
        <w:r w:rsidRPr="00CB73B6">
          <w:rPr>
            <w:rStyle w:val="Hyperlink"/>
            <w:rFonts w:ascii="Arial" w:hAnsi="Arial" w:cs="Arial"/>
            <w:sz w:val="22"/>
            <w:szCs w:val="22"/>
          </w:rPr>
          <w:t>http://johnbraithwaite.com/wp-content/uploads/2016/06/Responsive-Regulation-Transce.pdf</w:t>
        </w:r>
      </w:hyperlink>
    </w:p>
    <w:p w14:paraId="11F1EAF3" w14:textId="77777777" w:rsidR="00CB73B6" w:rsidRPr="00CB73B6" w:rsidRDefault="00CB73B6" w:rsidP="00152F9F">
      <w:pPr>
        <w:pStyle w:val="ListParagraph"/>
        <w:numPr>
          <w:ilvl w:val="0"/>
          <w:numId w:val="20"/>
        </w:numPr>
        <w:rPr>
          <w:rStyle w:val="Hyperlink"/>
          <w:rFonts w:ascii="Arial" w:eastAsia="Times New Roman" w:hAnsi="Arial" w:cs="Arial"/>
          <w:color w:val="000000" w:themeColor="text1"/>
          <w:sz w:val="22"/>
          <w:szCs w:val="22"/>
        </w:rPr>
      </w:pPr>
      <w:r w:rsidRPr="00CB73B6">
        <w:rPr>
          <w:rFonts w:ascii="Arial" w:eastAsia="Times New Roman" w:hAnsi="Arial" w:cs="Arial"/>
          <w:color w:val="000000" w:themeColor="text1"/>
          <w:sz w:val="22"/>
          <w:szCs w:val="22"/>
        </w:rPr>
        <w:t xml:space="preserve">Lawrence </w:t>
      </w:r>
      <w:proofErr w:type="spellStart"/>
      <w:r w:rsidRPr="00CB73B6">
        <w:rPr>
          <w:rFonts w:ascii="Arial" w:eastAsia="Times New Roman" w:hAnsi="Arial" w:cs="Arial"/>
          <w:color w:val="000000" w:themeColor="text1"/>
          <w:sz w:val="22"/>
          <w:szCs w:val="22"/>
        </w:rPr>
        <w:t>Gostin</w:t>
      </w:r>
      <w:proofErr w:type="spellEnd"/>
      <w:r w:rsidRPr="00CB73B6">
        <w:rPr>
          <w:rFonts w:ascii="Arial" w:eastAsia="Times New Roman" w:hAnsi="Arial" w:cs="Arial"/>
          <w:color w:val="000000" w:themeColor="text1"/>
          <w:sz w:val="22"/>
          <w:szCs w:val="22"/>
        </w:rPr>
        <w:t xml:space="preserve">, </w:t>
      </w:r>
      <w:r w:rsidRPr="00CB73B6">
        <w:rPr>
          <w:rFonts w:ascii="Arial" w:eastAsia="Times New Roman" w:hAnsi="Arial" w:cs="Arial"/>
          <w:i/>
          <w:iCs/>
          <w:color w:val="000000" w:themeColor="text1"/>
          <w:sz w:val="22"/>
          <w:szCs w:val="22"/>
        </w:rPr>
        <w:t xml:space="preserve">Health of the People: The Highest </w:t>
      </w:r>
      <w:proofErr w:type="gramStart"/>
      <w:r w:rsidRPr="00CB73B6">
        <w:rPr>
          <w:rFonts w:ascii="Arial" w:eastAsia="Times New Roman" w:hAnsi="Arial" w:cs="Arial"/>
          <w:i/>
          <w:iCs/>
          <w:color w:val="000000" w:themeColor="text1"/>
          <w:sz w:val="22"/>
          <w:szCs w:val="22"/>
        </w:rPr>
        <w:t>Law?</w:t>
      </w:r>
      <w:r w:rsidRPr="00CB73B6">
        <w:rPr>
          <w:rFonts w:ascii="Arial" w:eastAsia="Times New Roman" w:hAnsi="Arial" w:cs="Arial"/>
          <w:color w:val="000000" w:themeColor="text1"/>
          <w:sz w:val="22"/>
          <w:szCs w:val="22"/>
        </w:rPr>
        <w:t>,</w:t>
      </w:r>
      <w:proofErr w:type="gramEnd"/>
      <w:r w:rsidRPr="00CB73B6">
        <w:rPr>
          <w:rFonts w:ascii="Arial" w:eastAsia="Times New Roman" w:hAnsi="Arial" w:cs="Arial"/>
          <w:color w:val="000000" w:themeColor="text1"/>
          <w:sz w:val="22"/>
          <w:szCs w:val="22"/>
        </w:rPr>
        <w:t xml:space="preserve"> 32 </w:t>
      </w:r>
      <w:r w:rsidRPr="00CB73B6">
        <w:rPr>
          <w:rFonts w:ascii="Arial" w:eastAsia="Times New Roman" w:hAnsi="Arial" w:cs="Arial"/>
          <w:smallCaps/>
          <w:color w:val="000000" w:themeColor="text1"/>
          <w:sz w:val="22"/>
          <w:szCs w:val="22"/>
        </w:rPr>
        <w:t>J.L. Med. &amp; Eth.</w:t>
      </w:r>
      <w:r w:rsidRPr="00CB73B6">
        <w:rPr>
          <w:rFonts w:ascii="Arial" w:eastAsia="Times New Roman" w:hAnsi="Arial" w:cs="Arial"/>
          <w:color w:val="000000" w:themeColor="text1"/>
          <w:sz w:val="22"/>
          <w:szCs w:val="22"/>
        </w:rPr>
        <w:t xml:space="preserve"> 509 (2004). </w:t>
      </w:r>
      <w:hyperlink r:id="rId89" w:history="1">
        <w:r w:rsidRPr="00CB73B6">
          <w:rPr>
            <w:rStyle w:val="Hyperlink"/>
            <w:rFonts w:ascii="Arial" w:hAnsi="Arial" w:cs="Arial"/>
            <w:sz w:val="22"/>
            <w:szCs w:val="22"/>
          </w:rPr>
          <w:t>https://scholarship.law.georgetown.edu/cgi/viewcontent.cgi?article=2826&amp;context=facpub</w:t>
        </w:r>
      </w:hyperlink>
    </w:p>
    <w:p w14:paraId="08CF2287" w14:textId="77777777" w:rsidR="00CB73B6" w:rsidRPr="00CB73B6" w:rsidRDefault="00CB73B6" w:rsidP="00CB73B6">
      <w:pPr>
        <w:shd w:val="clear" w:color="auto" w:fill="FFFFFF"/>
        <w:rPr>
          <w:rFonts w:ascii="Arial" w:hAnsi="Arial" w:cs="Arial"/>
          <w:sz w:val="22"/>
          <w:szCs w:val="22"/>
        </w:rPr>
      </w:pPr>
    </w:p>
    <w:p w14:paraId="0D6C5C01" w14:textId="77777777" w:rsidR="00CB73B6" w:rsidRPr="00CB73B6" w:rsidRDefault="00CB73B6" w:rsidP="00CB73B6">
      <w:pPr>
        <w:shd w:val="clear" w:color="auto" w:fill="FFFFFF"/>
        <w:rPr>
          <w:rFonts w:ascii="Arial" w:hAnsi="Arial" w:cs="Arial"/>
          <w:sz w:val="22"/>
          <w:szCs w:val="22"/>
        </w:rPr>
      </w:pPr>
      <w:r w:rsidRPr="00CB73B6">
        <w:rPr>
          <w:rFonts w:ascii="Arial" w:hAnsi="Arial" w:cs="Arial"/>
          <w:sz w:val="22"/>
          <w:szCs w:val="22"/>
        </w:rPr>
        <w:t>Optional Readings:</w:t>
      </w:r>
    </w:p>
    <w:p w14:paraId="1112465E" w14:textId="77777777" w:rsidR="00CB73B6" w:rsidRPr="00CB73B6" w:rsidRDefault="00CB73B6" w:rsidP="00152F9F">
      <w:pPr>
        <w:pStyle w:val="ListParagraph"/>
        <w:numPr>
          <w:ilvl w:val="0"/>
          <w:numId w:val="33"/>
        </w:numPr>
        <w:shd w:val="clear" w:color="auto" w:fill="FFFFFF"/>
        <w:rPr>
          <w:rFonts w:ascii="Arial" w:hAnsi="Arial" w:cs="Arial"/>
          <w:sz w:val="22"/>
          <w:szCs w:val="22"/>
        </w:rPr>
      </w:pPr>
      <w:r w:rsidRPr="00CB73B6">
        <w:rPr>
          <w:rFonts w:ascii="Arial" w:hAnsi="Arial" w:cs="Arial"/>
          <w:sz w:val="22"/>
          <w:szCs w:val="22"/>
        </w:rPr>
        <w:t xml:space="preserve">David Ray </w:t>
      </w:r>
      <w:proofErr w:type="spellStart"/>
      <w:r w:rsidRPr="00CB73B6">
        <w:rPr>
          <w:rFonts w:ascii="Arial" w:hAnsi="Arial" w:cs="Arial"/>
          <w:sz w:val="22"/>
          <w:szCs w:val="22"/>
        </w:rPr>
        <w:t>Papke</w:t>
      </w:r>
      <w:proofErr w:type="spellEnd"/>
      <w:r w:rsidRPr="00CB73B6">
        <w:rPr>
          <w:rFonts w:ascii="Arial" w:hAnsi="Arial" w:cs="Arial"/>
          <w:sz w:val="22"/>
          <w:szCs w:val="22"/>
        </w:rPr>
        <w:t xml:space="preserve"> and Mary Elise </w:t>
      </w:r>
      <w:proofErr w:type="spellStart"/>
      <w:r w:rsidRPr="00CB73B6">
        <w:rPr>
          <w:rFonts w:ascii="Arial" w:hAnsi="Arial" w:cs="Arial"/>
          <w:sz w:val="22"/>
          <w:szCs w:val="22"/>
        </w:rPr>
        <w:t>Papke</w:t>
      </w:r>
      <w:proofErr w:type="spellEnd"/>
      <w:r w:rsidRPr="00CB73B6">
        <w:rPr>
          <w:rFonts w:ascii="Arial" w:hAnsi="Arial" w:cs="Arial"/>
          <w:sz w:val="22"/>
          <w:szCs w:val="22"/>
        </w:rPr>
        <w:t xml:space="preserve">, </w:t>
      </w:r>
      <w:r w:rsidRPr="00CB73B6">
        <w:rPr>
          <w:rFonts w:ascii="Arial" w:hAnsi="Arial" w:cs="Arial"/>
          <w:i/>
          <w:iCs/>
          <w:sz w:val="22"/>
          <w:szCs w:val="22"/>
        </w:rPr>
        <w:t>A Foe More than a Friend: Law and the Health of the American Urban Poor</w:t>
      </w:r>
      <w:r w:rsidRPr="00CB73B6">
        <w:rPr>
          <w:rFonts w:ascii="Arial" w:hAnsi="Arial" w:cs="Arial"/>
          <w:sz w:val="22"/>
          <w:szCs w:val="22"/>
        </w:rPr>
        <w:t xml:space="preserve">, 44 Fordham </w:t>
      </w:r>
      <w:proofErr w:type="spellStart"/>
      <w:r w:rsidRPr="00CB73B6">
        <w:rPr>
          <w:rFonts w:ascii="Arial" w:hAnsi="Arial" w:cs="Arial"/>
          <w:sz w:val="22"/>
          <w:szCs w:val="22"/>
        </w:rPr>
        <w:t>Urb</w:t>
      </w:r>
      <w:proofErr w:type="spellEnd"/>
      <w:r w:rsidRPr="00CB73B6">
        <w:rPr>
          <w:rFonts w:ascii="Arial" w:hAnsi="Arial" w:cs="Arial"/>
          <w:sz w:val="22"/>
          <w:szCs w:val="22"/>
        </w:rPr>
        <w:t xml:space="preserve">. L.J. 1 (2017). </w:t>
      </w:r>
      <w:hyperlink r:id="rId90" w:history="1">
        <w:r w:rsidRPr="00CB73B6">
          <w:rPr>
            <w:rStyle w:val="Hyperlink"/>
            <w:rFonts w:ascii="Arial" w:hAnsi="Arial" w:cs="Arial"/>
            <w:sz w:val="22"/>
            <w:szCs w:val="22"/>
          </w:rPr>
          <w:t>https://ir.lawnet.fordham.edu/ulj/vol44/iss1/1</w:t>
        </w:r>
      </w:hyperlink>
      <w:r w:rsidRPr="00CB73B6">
        <w:rPr>
          <w:rFonts w:ascii="Arial" w:hAnsi="Arial" w:cs="Arial"/>
          <w:sz w:val="22"/>
          <w:szCs w:val="22"/>
        </w:rPr>
        <w:t xml:space="preserve"> (last visited April 28, 2020).</w:t>
      </w:r>
    </w:p>
    <w:p w14:paraId="052239E0" w14:textId="77777777" w:rsidR="00CB73B6" w:rsidRPr="00CB73B6" w:rsidRDefault="00CB73B6" w:rsidP="00152F9F">
      <w:pPr>
        <w:pStyle w:val="ListParagraph"/>
        <w:numPr>
          <w:ilvl w:val="0"/>
          <w:numId w:val="20"/>
        </w:numPr>
        <w:rPr>
          <w:rFonts w:ascii="Arial" w:hAnsi="Arial" w:cs="Arial"/>
          <w:sz w:val="22"/>
          <w:szCs w:val="22"/>
        </w:rPr>
      </w:pPr>
      <w:r w:rsidRPr="00CB73B6">
        <w:rPr>
          <w:rFonts w:ascii="Arial" w:hAnsi="Arial" w:cs="Arial"/>
          <w:sz w:val="22"/>
          <w:szCs w:val="22"/>
        </w:rPr>
        <w:t xml:space="preserve">Regulation and governance are largely ignored in U.S. law teaching, though the budding compliance field is helping to change that in part. Fortunately, the regulatory scholars at the Australian University have built a fantastic </w:t>
      </w:r>
      <w:hyperlink r:id="rId91" w:history="1">
        <w:r w:rsidRPr="00CB73B6">
          <w:rPr>
            <w:rStyle w:val="Hyperlink"/>
            <w:rFonts w:ascii="Arial" w:hAnsi="Arial" w:cs="Arial"/>
            <w:sz w:val="22"/>
            <w:szCs w:val="22"/>
          </w:rPr>
          <w:t>free textbook</w:t>
        </w:r>
      </w:hyperlink>
      <w:r w:rsidRPr="00CB73B6">
        <w:rPr>
          <w:rFonts w:ascii="Arial" w:hAnsi="Arial" w:cs="Arial"/>
          <w:sz w:val="22"/>
          <w:szCs w:val="22"/>
        </w:rPr>
        <w:t xml:space="preserve"> covering a huge range of topics.  These three chapters are particularly useful:</w:t>
      </w:r>
    </w:p>
    <w:p w14:paraId="0D1302EC" w14:textId="77777777" w:rsidR="00CB73B6" w:rsidRPr="00CB73B6" w:rsidRDefault="00CB73B6" w:rsidP="00152F9F">
      <w:pPr>
        <w:pStyle w:val="ListParagraph"/>
        <w:numPr>
          <w:ilvl w:val="0"/>
          <w:numId w:val="21"/>
        </w:numPr>
        <w:rPr>
          <w:rFonts w:ascii="Arial" w:hAnsi="Arial" w:cs="Arial"/>
          <w:sz w:val="22"/>
          <w:szCs w:val="22"/>
        </w:rPr>
      </w:pPr>
      <w:r w:rsidRPr="00CB73B6">
        <w:rPr>
          <w:rFonts w:ascii="Arial" w:hAnsi="Arial" w:cs="Arial"/>
          <w:sz w:val="22"/>
          <w:szCs w:val="22"/>
        </w:rPr>
        <w:t xml:space="preserve">John Braithwaite, </w:t>
      </w:r>
      <w:r w:rsidRPr="00CB73B6">
        <w:rPr>
          <w:rFonts w:ascii="Arial" w:hAnsi="Arial" w:cs="Arial"/>
          <w:i/>
          <w:sz w:val="22"/>
          <w:szCs w:val="22"/>
        </w:rPr>
        <w:t xml:space="preserve">Types of Responsiveness, </w:t>
      </w:r>
      <w:r w:rsidRPr="00CB73B6">
        <w:rPr>
          <w:rFonts w:ascii="Arial" w:hAnsi="Arial" w:cs="Arial"/>
          <w:sz w:val="22"/>
          <w:szCs w:val="22"/>
        </w:rPr>
        <w:t xml:space="preserve">in </w:t>
      </w:r>
      <w:r w:rsidRPr="00CB73B6">
        <w:rPr>
          <w:rFonts w:ascii="Arial" w:hAnsi="Arial" w:cs="Arial"/>
          <w:smallCaps/>
          <w:sz w:val="22"/>
          <w:szCs w:val="22"/>
        </w:rPr>
        <w:t>Regulatory Theory: Foundations and Applications (</w:t>
      </w:r>
      <w:r w:rsidRPr="00CB73B6">
        <w:rPr>
          <w:rFonts w:ascii="Arial" w:hAnsi="Arial" w:cs="Arial"/>
          <w:sz w:val="22"/>
          <w:szCs w:val="22"/>
        </w:rPr>
        <w:t xml:space="preserve">Peter </w:t>
      </w:r>
      <w:proofErr w:type="spellStart"/>
      <w:r w:rsidRPr="00CB73B6">
        <w:rPr>
          <w:rFonts w:ascii="Arial" w:hAnsi="Arial" w:cs="Arial"/>
          <w:smallCaps/>
          <w:sz w:val="22"/>
          <w:szCs w:val="22"/>
        </w:rPr>
        <w:t>D</w:t>
      </w:r>
      <w:r w:rsidRPr="00CB73B6">
        <w:rPr>
          <w:rFonts w:ascii="Arial" w:hAnsi="Arial" w:cs="Arial"/>
          <w:sz w:val="22"/>
          <w:szCs w:val="22"/>
        </w:rPr>
        <w:t>rahos</w:t>
      </w:r>
      <w:proofErr w:type="spellEnd"/>
      <w:r w:rsidRPr="00CB73B6">
        <w:rPr>
          <w:rFonts w:ascii="Arial" w:hAnsi="Arial" w:cs="Arial"/>
          <w:sz w:val="22"/>
          <w:szCs w:val="22"/>
        </w:rPr>
        <w:t xml:space="preserve"> ed. 2017)</w:t>
      </w:r>
    </w:p>
    <w:p w14:paraId="2D63C238" w14:textId="77777777" w:rsidR="00CB73B6" w:rsidRPr="00CB73B6" w:rsidRDefault="00CB73B6" w:rsidP="00152F9F">
      <w:pPr>
        <w:pStyle w:val="ListParagraph"/>
        <w:numPr>
          <w:ilvl w:val="0"/>
          <w:numId w:val="21"/>
        </w:numPr>
        <w:rPr>
          <w:rFonts w:ascii="Arial" w:hAnsi="Arial" w:cs="Arial"/>
          <w:sz w:val="22"/>
          <w:szCs w:val="22"/>
        </w:rPr>
      </w:pPr>
      <w:r w:rsidRPr="00CB73B6">
        <w:rPr>
          <w:rFonts w:ascii="Arial" w:hAnsi="Arial" w:cs="Arial"/>
          <w:sz w:val="22"/>
          <w:szCs w:val="22"/>
        </w:rPr>
        <w:t xml:space="preserve">Neil </w:t>
      </w:r>
      <w:proofErr w:type="spellStart"/>
      <w:r w:rsidRPr="00CB73B6">
        <w:rPr>
          <w:rFonts w:ascii="Arial" w:hAnsi="Arial" w:cs="Arial"/>
          <w:sz w:val="22"/>
          <w:szCs w:val="22"/>
        </w:rPr>
        <w:t>Gunningham</w:t>
      </w:r>
      <w:proofErr w:type="spellEnd"/>
      <w:r w:rsidRPr="00CB73B6">
        <w:rPr>
          <w:rFonts w:ascii="Arial" w:hAnsi="Arial" w:cs="Arial"/>
          <w:sz w:val="22"/>
          <w:szCs w:val="22"/>
        </w:rPr>
        <w:t xml:space="preserve"> and Darren Sinclair, </w:t>
      </w:r>
      <w:r w:rsidRPr="00CB73B6">
        <w:rPr>
          <w:rFonts w:ascii="Arial" w:hAnsi="Arial" w:cs="Arial"/>
          <w:i/>
          <w:sz w:val="22"/>
          <w:szCs w:val="22"/>
        </w:rPr>
        <w:t xml:space="preserve">Smart regulation, </w:t>
      </w:r>
      <w:r w:rsidRPr="00CB73B6">
        <w:rPr>
          <w:rFonts w:ascii="Arial" w:hAnsi="Arial" w:cs="Arial"/>
          <w:sz w:val="22"/>
          <w:szCs w:val="22"/>
        </w:rPr>
        <w:t xml:space="preserve">in </w:t>
      </w:r>
      <w:r w:rsidRPr="00CB73B6">
        <w:rPr>
          <w:rFonts w:ascii="Arial" w:hAnsi="Arial" w:cs="Arial"/>
          <w:smallCaps/>
          <w:sz w:val="22"/>
          <w:szCs w:val="22"/>
        </w:rPr>
        <w:t>Regulatory Theory: Foundations and Applications (</w:t>
      </w:r>
      <w:r w:rsidRPr="00CB73B6">
        <w:rPr>
          <w:rFonts w:ascii="Arial" w:hAnsi="Arial" w:cs="Arial"/>
          <w:sz w:val="22"/>
          <w:szCs w:val="22"/>
        </w:rPr>
        <w:t xml:space="preserve">Peter </w:t>
      </w:r>
      <w:proofErr w:type="spellStart"/>
      <w:r w:rsidRPr="00CB73B6">
        <w:rPr>
          <w:rFonts w:ascii="Arial" w:hAnsi="Arial" w:cs="Arial"/>
          <w:smallCaps/>
          <w:sz w:val="22"/>
          <w:szCs w:val="22"/>
        </w:rPr>
        <w:t>D</w:t>
      </w:r>
      <w:r w:rsidRPr="00CB73B6">
        <w:rPr>
          <w:rFonts w:ascii="Arial" w:hAnsi="Arial" w:cs="Arial"/>
          <w:sz w:val="22"/>
          <w:szCs w:val="22"/>
        </w:rPr>
        <w:t>rahos</w:t>
      </w:r>
      <w:proofErr w:type="spellEnd"/>
      <w:r w:rsidRPr="00CB73B6">
        <w:rPr>
          <w:rFonts w:ascii="Arial" w:hAnsi="Arial" w:cs="Arial"/>
          <w:sz w:val="22"/>
          <w:szCs w:val="22"/>
        </w:rPr>
        <w:t xml:space="preserve"> ed. 2017)</w:t>
      </w:r>
    </w:p>
    <w:p w14:paraId="671EB7CE" w14:textId="77777777" w:rsidR="00CB73B6" w:rsidRPr="00CB73B6" w:rsidRDefault="00CB73B6" w:rsidP="00152F9F">
      <w:pPr>
        <w:pStyle w:val="ListParagraph"/>
        <w:numPr>
          <w:ilvl w:val="0"/>
          <w:numId w:val="21"/>
        </w:numPr>
        <w:rPr>
          <w:rFonts w:ascii="Arial" w:hAnsi="Arial" w:cs="Arial"/>
          <w:sz w:val="22"/>
          <w:szCs w:val="22"/>
        </w:rPr>
      </w:pPr>
      <w:r w:rsidRPr="00CB73B6">
        <w:rPr>
          <w:rFonts w:ascii="Arial" w:hAnsi="Arial" w:cs="Arial"/>
          <w:sz w:val="22"/>
          <w:szCs w:val="22"/>
        </w:rPr>
        <w:t xml:space="preserve">Sharon Friel, </w:t>
      </w:r>
      <w:r w:rsidRPr="00CB73B6">
        <w:rPr>
          <w:rFonts w:ascii="Arial" w:hAnsi="Arial" w:cs="Arial"/>
          <w:i/>
          <w:sz w:val="22"/>
          <w:szCs w:val="22"/>
        </w:rPr>
        <w:t xml:space="preserve">Governance, regulation and health equity, </w:t>
      </w:r>
      <w:r w:rsidRPr="00CB73B6">
        <w:rPr>
          <w:rFonts w:ascii="Arial" w:hAnsi="Arial" w:cs="Arial"/>
          <w:sz w:val="22"/>
          <w:szCs w:val="22"/>
        </w:rPr>
        <w:t xml:space="preserve">in </w:t>
      </w:r>
      <w:r w:rsidRPr="00CB73B6">
        <w:rPr>
          <w:rFonts w:ascii="Arial" w:hAnsi="Arial" w:cs="Arial"/>
          <w:smallCaps/>
          <w:sz w:val="22"/>
          <w:szCs w:val="22"/>
        </w:rPr>
        <w:t>Regulatory Theory: Foundations and Applications (</w:t>
      </w:r>
      <w:r w:rsidRPr="00CB73B6">
        <w:rPr>
          <w:rFonts w:ascii="Arial" w:hAnsi="Arial" w:cs="Arial"/>
          <w:sz w:val="22"/>
          <w:szCs w:val="22"/>
        </w:rPr>
        <w:t xml:space="preserve">Peter </w:t>
      </w:r>
      <w:proofErr w:type="spellStart"/>
      <w:r w:rsidRPr="00CB73B6">
        <w:rPr>
          <w:rFonts w:ascii="Arial" w:hAnsi="Arial" w:cs="Arial"/>
          <w:smallCaps/>
          <w:sz w:val="22"/>
          <w:szCs w:val="22"/>
        </w:rPr>
        <w:t>D</w:t>
      </w:r>
      <w:r w:rsidRPr="00CB73B6">
        <w:rPr>
          <w:rFonts w:ascii="Arial" w:hAnsi="Arial" w:cs="Arial"/>
          <w:sz w:val="22"/>
          <w:szCs w:val="22"/>
        </w:rPr>
        <w:t>rahos</w:t>
      </w:r>
      <w:proofErr w:type="spellEnd"/>
      <w:r w:rsidRPr="00CB73B6">
        <w:rPr>
          <w:rFonts w:ascii="Arial" w:hAnsi="Arial" w:cs="Arial"/>
          <w:sz w:val="22"/>
          <w:szCs w:val="22"/>
        </w:rPr>
        <w:t xml:space="preserve"> ed. 2017)</w:t>
      </w:r>
    </w:p>
    <w:p w14:paraId="207E5565" w14:textId="77777777" w:rsidR="00CB73B6" w:rsidRPr="00CB73B6" w:rsidRDefault="00CB73B6" w:rsidP="00152F9F">
      <w:pPr>
        <w:pStyle w:val="ListParagraph"/>
        <w:numPr>
          <w:ilvl w:val="0"/>
          <w:numId w:val="9"/>
        </w:numPr>
        <w:ind w:left="360"/>
        <w:rPr>
          <w:rFonts w:ascii="Arial" w:hAnsi="Arial" w:cs="Arial"/>
          <w:sz w:val="22"/>
          <w:szCs w:val="22"/>
        </w:rPr>
      </w:pPr>
      <w:r w:rsidRPr="00CB73B6">
        <w:rPr>
          <w:rFonts w:ascii="Arial" w:hAnsi="Arial" w:cs="Arial"/>
          <w:sz w:val="22"/>
          <w:szCs w:val="22"/>
        </w:rPr>
        <w:t xml:space="preserve">Kimberly </w:t>
      </w:r>
      <w:proofErr w:type="spellStart"/>
      <w:r w:rsidRPr="00CB73B6">
        <w:rPr>
          <w:rFonts w:ascii="Arial" w:hAnsi="Arial" w:cs="Arial"/>
          <w:sz w:val="22"/>
          <w:szCs w:val="22"/>
        </w:rPr>
        <w:t>Barsamian</w:t>
      </w:r>
      <w:proofErr w:type="spellEnd"/>
      <w:r w:rsidRPr="00CB73B6">
        <w:rPr>
          <w:rFonts w:ascii="Arial" w:hAnsi="Arial" w:cs="Arial"/>
          <w:sz w:val="22"/>
          <w:szCs w:val="22"/>
        </w:rPr>
        <w:t xml:space="preserve"> Hahn and Karin D. Martin, Policing and Race: Disparate Treatment, Perceptions and Policy Responses. Social Issues and Policy Review, Vol. 10, No. 1, 2016, pp 82 – 121 (2016). </w:t>
      </w:r>
      <w:hyperlink r:id="rId92" w:history="1">
        <w:r w:rsidRPr="00CB73B6">
          <w:rPr>
            <w:rStyle w:val="Hyperlink"/>
            <w:rFonts w:ascii="Arial" w:hAnsi="Arial" w:cs="Arial"/>
            <w:sz w:val="22"/>
            <w:szCs w:val="22"/>
          </w:rPr>
          <w:t>http://www.thenewpublichealthlaw.org/uploads/1/1/8/2/118289720/kahn___martin_-_policing_and_race.pdf</w:t>
        </w:r>
      </w:hyperlink>
    </w:p>
    <w:p w14:paraId="299ECB53" w14:textId="77777777" w:rsidR="00CB73B6" w:rsidRPr="00CB73B6" w:rsidRDefault="00CB73B6" w:rsidP="00152F9F">
      <w:pPr>
        <w:pStyle w:val="ListParagraph"/>
        <w:numPr>
          <w:ilvl w:val="0"/>
          <w:numId w:val="9"/>
        </w:numPr>
        <w:ind w:left="360"/>
        <w:rPr>
          <w:rFonts w:ascii="Arial" w:hAnsi="Arial" w:cs="Arial"/>
          <w:sz w:val="22"/>
          <w:szCs w:val="22"/>
        </w:rPr>
      </w:pPr>
      <w:r w:rsidRPr="00CB73B6">
        <w:rPr>
          <w:rFonts w:ascii="Arial" w:hAnsi="Arial" w:cs="Arial"/>
          <w:sz w:val="22"/>
          <w:szCs w:val="22"/>
        </w:rPr>
        <w:t xml:space="preserve">Palmer B. Amicus curious: Will a Republican friend-of-the-court brief tip the Supreme Court in favor of gay marriage? Slate. Feb. 28, 2013.  Available at </w:t>
      </w:r>
      <w:hyperlink r:id="rId93" w:history="1">
        <w:r w:rsidRPr="00CB73B6">
          <w:rPr>
            <w:rStyle w:val="Hyperlink"/>
            <w:rFonts w:ascii="Arial" w:hAnsi="Arial" w:cs="Arial"/>
            <w:sz w:val="22"/>
            <w:szCs w:val="22"/>
          </w:rPr>
          <w:t>http://www.slate.com/articles/news_and_politics/explainer/2013/02/ken_mehlman_s_gay_marriage_signatures_do_amicus_curiae_briefs_influence.html</w:t>
        </w:r>
      </w:hyperlink>
      <w:r w:rsidRPr="00CB73B6">
        <w:rPr>
          <w:rFonts w:ascii="Arial" w:hAnsi="Arial" w:cs="Arial"/>
          <w:sz w:val="22"/>
          <w:szCs w:val="22"/>
        </w:rPr>
        <w:t xml:space="preserve">. </w:t>
      </w:r>
      <w:r w:rsidRPr="00CB73B6">
        <w:rPr>
          <w:rFonts w:ascii="Arial" w:hAnsi="Arial" w:cs="Arial"/>
          <w:i/>
          <w:iCs/>
          <w:sz w:val="22"/>
          <w:szCs w:val="22"/>
        </w:rPr>
        <w:t xml:space="preserve"> This is a brief, reader-friendly summary of the influence of amicus briefs on the Supreme Court.  The supplemental reading suggested in the book provides a much more in-depth analysis, as does </w:t>
      </w:r>
      <w:hyperlink r:id="rId94" w:history="1">
        <w:r w:rsidRPr="00CB73B6">
          <w:rPr>
            <w:rStyle w:val="Hyperlink"/>
            <w:rFonts w:ascii="Arial" w:hAnsi="Arial" w:cs="Arial"/>
            <w:i/>
            <w:iCs/>
            <w:sz w:val="22"/>
            <w:szCs w:val="22"/>
          </w:rPr>
          <w:t>this article</w:t>
        </w:r>
      </w:hyperlink>
      <w:r w:rsidRPr="00CB73B6">
        <w:rPr>
          <w:rFonts w:ascii="Arial" w:hAnsi="Arial" w:cs="Arial"/>
          <w:i/>
          <w:iCs/>
          <w:sz w:val="22"/>
          <w:szCs w:val="22"/>
        </w:rPr>
        <w:t xml:space="preserve">.  </w:t>
      </w:r>
    </w:p>
    <w:p w14:paraId="4BEAFB81" w14:textId="77777777" w:rsidR="00CB73B6" w:rsidRPr="00CB73B6" w:rsidRDefault="00CB73B6" w:rsidP="00CB73B6">
      <w:pPr>
        <w:rPr>
          <w:rFonts w:ascii="Arial" w:hAnsi="Arial" w:cs="Arial"/>
          <w:sz w:val="22"/>
          <w:szCs w:val="22"/>
        </w:rPr>
      </w:pPr>
    </w:p>
    <w:p w14:paraId="10BF613A"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Week 11: Vaccination Law and the 4</w:t>
      </w:r>
      <w:r w:rsidRPr="00CB73B6">
        <w:rPr>
          <w:rFonts w:ascii="Arial" w:hAnsi="Arial" w:cs="Arial"/>
          <w:b/>
          <w:bCs/>
          <w:sz w:val="22"/>
          <w:szCs w:val="22"/>
          <w:vertAlign w:val="superscript"/>
        </w:rPr>
        <w:t>th</w:t>
      </w:r>
      <w:r w:rsidRPr="00CB73B6">
        <w:rPr>
          <w:rFonts w:ascii="Arial" w:hAnsi="Arial" w:cs="Arial"/>
          <w:b/>
          <w:bCs/>
          <w:sz w:val="22"/>
          <w:szCs w:val="22"/>
        </w:rPr>
        <w:t xml:space="preserve"> Amendment – Lauren Dunning, guest lecturer</w:t>
      </w:r>
    </w:p>
    <w:p w14:paraId="1901ADFD" w14:textId="77777777" w:rsidR="00CB73B6" w:rsidRPr="00CB73B6" w:rsidRDefault="00CB73B6" w:rsidP="00CB73B6">
      <w:pPr>
        <w:rPr>
          <w:rFonts w:ascii="Arial" w:hAnsi="Arial" w:cs="Arial"/>
          <w:b/>
          <w:bCs/>
          <w:sz w:val="22"/>
          <w:szCs w:val="22"/>
        </w:rPr>
      </w:pPr>
    </w:p>
    <w:p w14:paraId="707C740F" w14:textId="77777777" w:rsidR="00CB73B6" w:rsidRPr="00CB73B6" w:rsidRDefault="00CB73B6" w:rsidP="00152F9F">
      <w:pPr>
        <w:pStyle w:val="ListParagraph"/>
        <w:numPr>
          <w:ilvl w:val="0"/>
          <w:numId w:val="21"/>
        </w:numPr>
        <w:shd w:val="clear" w:color="auto" w:fill="FFFFFF"/>
        <w:ind w:left="360"/>
        <w:rPr>
          <w:rFonts w:ascii="Arial" w:hAnsi="Arial" w:cs="Arial"/>
          <w:sz w:val="22"/>
          <w:szCs w:val="22"/>
        </w:rPr>
      </w:pPr>
      <w:r w:rsidRPr="00CB73B6">
        <w:rPr>
          <w:rFonts w:ascii="Arial" w:eastAsia="Times New Roman" w:hAnsi="Arial" w:cs="Arial"/>
          <w:color w:val="000000"/>
          <w:sz w:val="22"/>
          <w:szCs w:val="22"/>
          <w:lang w:bidi="he-IL"/>
        </w:rPr>
        <w:t xml:space="preserve">New York v. Burger, 482 U.S. 691 (1987). Excerpts.  </w:t>
      </w:r>
      <w:r w:rsidRPr="00CB73B6">
        <w:rPr>
          <w:rFonts w:ascii="Arial" w:eastAsia="Times New Roman" w:hAnsi="Arial" w:cs="Arial"/>
          <w:i/>
          <w:iCs/>
          <w:color w:val="000000"/>
          <w:sz w:val="22"/>
          <w:szCs w:val="22"/>
          <w:lang w:bidi="he-IL"/>
        </w:rPr>
        <w:t xml:space="preserve">Setting forth the administrative search doctrine under the Fourth Amendment. </w:t>
      </w:r>
    </w:p>
    <w:p w14:paraId="717D69A5" w14:textId="77777777" w:rsidR="00CB73B6" w:rsidRPr="00CB73B6" w:rsidRDefault="00CB73B6" w:rsidP="00CB73B6">
      <w:pPr>
        <w:rPr>
          <w:rFonts w:ascii="Arial" w:hAnsi="Arial" w:cs="Arial"/>
          <w:b/>
          <w:bCs/>
          <w:sz w:val="22"/>
          <w:szCs w:val="22"/>
        </w:rPr>
      </w:pPr>
    </w:p>
    <w:p w14:paraId="734AC511" w14:textId="77777777" w:rsidR="00CB73B6" w:rsidRPr="00CB73B6" w:rsidRDefault="00CB73B6" w:rsidP="00CB73B6">
      <w:pPr>
        <w:rPr>
          <w:rFonts w:ascii="Arial" w:hAnsi="Arial" w:cs="Arial"/>
          <w:b/>
          <w:bCs/>
          <w:sz w:val="22"/>
          <w:szCs w:val="22"/>
        </w:rPr>
      </w:pPr>
      <w:r w:rsidRPr="00CB73B6">
        <w:rPr>
          <w:rFonts w:ascii="Arial" w:hAnsi="Arial" w:cs="Arial"/>
          <w:b/>
          <w:bCs/>
          <w:sz w:val="22"/>
          <w:szCs w:val="22"/>
        </w:rPr>
        <w:t>Week 12: Systems Thinking and Health in All Policies Strategies</w:t>
      </w:r>
    </w:p>
    <w:p w14:paraId="16770D32" w14:textId="77777777" w:rsidR="00CB73B6" w:rsidRPr="00CB73B6" w:rsidRDefault="00CB73B6" w:rsidP="00CB73B6">
      <w:pPr>
        <w:rPr>
          <w:rFonts w:ascii="Arial" w:hAnsi="Arial" w:cs="Arial"/>
          <w:sz w:val="22"/>
          <w:szCs w:val="22"/>
        </w:rPr>
      </w:pPr>
    </w:p>
    <w:p w14:paraId="7041FFEB"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2F03C286" w14:textId="77777777" w:rsidR="00CB73B6" w:rsidRPr="00CB73B6" w:rsidRDefault="00CB73B6" w:rsidP="00CB73B6">
      <w:pPr>
        <w:rPr>
          <w:rFonts w:ascii="Arial" w:hAnsi="Arial" w:cs="Arial"/>
          <w:sz w:val="22"/>
          <w:szCs w:val="22"/>
        </w:rPr>
      </w:pPr>
      <w:r w:rsidRPr="00CB73B6">
        <w:rPr>
          <w:rFonts w:ascii="Arial" w:hAnsi="Arial" w:cs="Arial"/>
          <w:sz w:val="22"/>
          <w:szCs w:val="22"/>
        </w:rPr>
        <w:t xml:space="preserve">Public health challenges are “wicked problems.” At this point in the course, we realize how public health challenges are inter-twined with other complex systems across civic life. We will start to unpack “systems theory” and apply it to public health problems.  Practical tools related to </w:t>
      </w:r>
      <w:r w:rsidRPr="00CB73B6">
        <w:rPr>
          <w:rFonts w:ascii="Arial" w:hAnsi="Arial" w:cs="Arial"/>
          <w:i/>
          <w:iCs/>
          <w:sz w:val="22"/>
          <w:szCs w:val="22"/>
        </w:rPr>
        <w:t>Health in All Policies</w:t>
      </w:r>
      <w:r w:rsidRPr="00CB73B6">
        <w:rPr>
          <w:rFonts w:ascii="Arial" w:hAnsi="Arial" w:cs="Arial"/>
          <w:sz w:val="22"/>
          <w:szCs w:val="22"/>
        </w:rPr>
        <w:t xml:space="preserve"> will be introduced for discussion and critique. </w:t>
      </w:r>
    </w:p>
    <w:p w14:paraId="3E4A54BD" w14:textId="77777777" w:rsidR="00CB73B6" w:rsidRPr="00CB73B6" w:rsidRDefault="00CB73B6" w:rsidP="00CB73B6">
      <w:pPr>
        <w:rPr>
          <w:rFonts w:ascii="Arial" w:hAnsi="Arial" w:cs="Arial"/>
          <w:sz w:val="22"/>
          <w:szCs w:val="22"/>
        </w:rPr>
      </w:pPr>
    </w:p>
    <w:p w14:paraId="44A1AA21"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09089B2B" w14:textId="77777777" w:rsidR="00CB73B6" w:rsidRPr="00CB73B6" w:rsidRDefault="00CB73B6" w:rsidP="00152F9F">
      <w:pPr>
        <w:pStyle w:val="NEXT"/>
        <w:numPr>
          <w:ilvl w:val="0"/>
          <w:numId w:val="36"/>
        </w:numPr>
      </w:pPr>
      <w:r w:rsidRPr="00CB73B6">
        <w:t>Understand back systems theory</w:t>
      </w:r>
    </w:p>
    <w:p w14:paraId="2A3578AB" w14:textId="77777777" w:rsidR="00CB73B6" w:rsidRPr="00CB73B6" w:rsidRDefault="00CB73B6" w:rsidP="00152F9F">
      <w:pPr>
        <w:pStyle w:val="NEXT"/>
        <w:numPr>
          <w:ilvl w:val="0"/>
          <w:numId w:val="36"/>
        </w:numPr>
      </w:pPr>
      <w:r w:rsidRPr="00CB73B6">
        <w:t>Apply systems theory to public health problems</w:t>
      </w:r>
    </w:p>
    <w:p w14:paraId="60630CDD" w14:textId="77777777" w:rsidR="00CB73B6" w:rsidRPr="00CB73B6" w:rsidRDefault="00CB73B6" w:rsidP="00152F9F">
      <w:pPr>
        <w:pStyle w:val="NEXT"/>
        <w:numPr>
          <w:ilvl w:val="0"/>
          <w:numId w:val="36"/>
        </w:numPr>
      </w:pPr>
      <w:r w:rsidRPr="00CB73B6">
        <w:t>Understand and apply the concept of Health in All Policies</w:t>
      </w:r>
    </w:p>
    <w:p w14:paraId="52F164D5" w14:textId="77777777" w:rsidR="00CB73B6" w:rsidRPr="00CB73B6" w:rsidRDefault="00CB73B6" w:rsidP="00CB73B6">
      <w:pPr>
        <w:rPr>
          <w:rFonts w:ascii="Arial" w:hAnsi="Arial" w:cs="Arial"/>
          <w:sz w:val="22"/>
          <w:szCs w:val="22"/>
        </w:rPr>
      </w:pPr>
    </w:p>
    <w:p w14:paraId="11B62476"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13A1779F"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color w:val="222222"/>
          <w:sz w:val="22"/>
          <w:szCs w:val="22"/>
          <w:shd w:val="clear" w:color="auto" w:fill="FFFFFF"/>
        </w:rPr>
        <w:t>Australian Public Service Commission,</w:t>
      </w:r>
      <w:r w:rsidRPr="00CB73B6">
        <w:rPr>
          <w:rFonts w:ascii="Arial" w:hAnsi="Arial" w:cs="Arial"/>
          <w:sz w:val="22"/>
          <w:szCs w:val="22"/>
        </w:rPr>
        <w:t xml:space="preserve"> </w:t>
      </w:r>
      <w:hyperlink r:id="rId95" w:history="1">
        <w:r w:rsidRPr="00CB73B6">
          <w:rPr>
            <w:rStyle w:val="Hyperlink"/>
            <w:rFonts w:ascii="Arial" w:hAnsi="Arial" w:cs="Arial"/>
            <w:i/>
            <w:iCs/>
            <w:color w:val="663366"/>
            <w:sz w:val="22"/>
            <w:szCs w:val="22"/>
          </w:rPr>
          <w:t>"Tackling Wicked Problems: A Public Policy Perspective"</w:t>
        </w:r>
      </w:hyperlink>
      <w:r w:rsidRPr="00CB73B6">
        <w:rPr>
          <w:rFonts w:ascii="Arial" w:hAnsi="Arial" w:cs="Arial"/>
          <w:i/>
          <w:iCs/>
          <w:color w:val="222222"/>
          <w:sz w:val="22"/>
          <w:szCs w:val="22"/>
          <w:shd w:val="clear" w:color="auto" w:fill="FFFFFF"/>
        </w:rPr>
        <w:t xml:space="preserve">. </w:t>
      </w:r>
      <w:r w:rsidRPr="00CB73B6">
        <w:rPr>
          <w:rFonts w:ascii="Arial" w:hAnsi="Arial" w:cs="Arial"/>
          <w:color w:val="222222"/>
          <w:sz w:val="22"/>
          <w:szCs w:val="22"/>
          <w:shd w:val="clear" w:color="auto" w:fill="FFFFFF"/>
        </w:rPr>
        <w:t>October 25, 2007/ Last reviewed 2018. (Visited on April 28, 2020).</w:t>
      </w:r>
    </w:p>
    <w:p w14:paraId="3476BD71"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color w:val="222222"/>
          <w:sz w:val="22"/>
          <w:szCs w:val="22"/>
          <w:shd w:val="clear" w:color="auto" w:fill="FFFFFF"/>
        </w:rPr>
        <w:t xml:space="preserve">C. West Churchman, (December 1967). </w:t>
      </w:r>
      <w:r w:rsidRPr="00CB73B6">
        <w:rPr>
          <w:rFonts w:ascii="Arial" w:hAnsi="Arial" w:cs="Arial"/>
          <w:i/>
          <w:iCs/>
          <w:color w:val="222222"/>
          <w:sz w:val="22"/>
          <w:szCs w:val="22"/>
          <w:shd w:val="clear" w:color="auto" w:fill="FFFFFF"/>
        </w:rPr>
        <w:t>Wicked Problems,</w:t>
      </w:r>
      <w:r w:rsidRPr="00CB73B6">
        <w:rPr>
          <w:rFonts w:ascii="Arial" w:hAnsi="Arial" w:cs="Arial"/>
          <w:color w:val="222222"/>
          <w:sz w:val="22"/>
          <w:szCs w:val="22"/>
          <w:shd w:val="clear" w:color="auto" w:fill="FFFFFF"/>
        </w:rPr>
        <w:t xml:space="preserve"> 14(4) Management Science. B-141–B-146. Read pages B-141- B-142 only. </w:t>
      </w:r>
      <w:hyperlink r:id="rId96" w:tooltip="Digital object identifier" w:history="1">
        <w:r w:rsidRPr="00CB73B6">
          <w:rPr>
            <w:rStyle w:val="Hyperlink"/>
            <w:rFonts w:ascii="Arial" w:hAnsi="Arial" w:cs="Arial"/>
            <w:color w:val="0B0080"/>
            <w:sz w:val="22"/>
            <w:szCs w:val="22"/>
            <w:shd w:val="clear" w:color="auto" w:fill="FFFFFF"/>
          </w:rPr>
          <w:t>doi</w:t>
        </w:r>
      </w:hyperlink>
      <w:r w:rsidRPr="00CB73B6">
        <w:rPr>
          <w:rFonts w:ascii="Arial" w:hAnsi="Arial" w:cs="Arial"/>
          <w:color w:val="222222"/>
          <w:sz w:val="22"/>
          <w:szCs w:val="22"/>
          <w:shd w:val="clear" w:color="auto" w:fill="FFFFFF"/>
        </w:rPr>
        <w:t>:</w:t>
      </w:r>
      <w:hyperlink r:id="rId97" w:history="1">
        <w:r w:rsidRPr="00CB73B6">
          <w:rPr>
            <w:rStyle w:val="Hyperlink"/>
            <w:rFonts w:ascii="Arial" w:hAnsi="Arial" w:cs="Arial"/>
            <w:color w:val="663366"/>
            <w:sz w:val="22"/>
            <w:szCs w:val="22"/>
            <w:shd w:val="clear" w:color="auto" w:fill="FFFFFF"/>
          </w:rPr>
          <w:t>10.1287/mnsc.14.</w:t>
        </w:r>
        <w:proofErr w:type="gramStart"/>
        <w:r w:rsidRPr="00CB73B6">
          <w:rPr>
            <w:rStyle w:val="Hyperlink"/>
            <w:rFonts w:ascii="Arial" w:hAnsi="Arial" w:cs="Arial"/>
            <w:color w:val="663366"/>
            <w:sz w:val="22"/>
            <w:szCs w:val="22"/>
            <w:shd w:val="clear" w:color="auto" w:fill="FFFFFF"/>
          </w:rPr>
          <w:t>4.B</w:t>
        </w:r>
        <w:proofErr w:type="gramEnd"/>
        <w:r w:rsidRPr="00CB73B6">
          <w:rPr>
            <w:rStyle w:val="Hyperlink"/>
            <w:rFonts w:ascii="Arial" w:hAnsi="Arial" w:cs="Arial"/>
            <w:color w:val="663366"/>
            <w:sz w:val="22"/>
            <w:szCs w:val="22"/>
            <w:shd w:val="clear" w:color="auto" w:fill="FFFFFF"/>
          </w:rPr>
          <w:t>141</w:t>
        </w:r>
      </w:hyperlink>
      <w:r w:rsidRPr="00CB73B6">
        <w:rPr>
          <w:rFonts w:ascii="Arial" w:hAnsi="Arial" w:cs="Arial"/>
          <w:color w:val="222222"/>
          <w:sz w:val="22"/>
          <w:szCs w:val="22"/>
          <w:shd w:val="clear" w:color="auto" w:fill="FFFFFF"/>
        </w:rPr>
        <w:t xml:space="preserve"> (last visited on April 28, 2020).</w:t>
      </w:r>
    </w:p>
    <w:p w14:paraId="4A4E781C"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sz w:val="22"/>
          <w:szCs w:val="22"/>
        </w:rPr>
        <w:t xml:space="preserve">Douglas Luke and Katherine A. Stamatakis; Systems Science Methods in Public Health: Dynamics, Networks, and Agents, </w:t>
      </w:r>
      <w:proofErr w:type="spellStart"/>
      <w:r w:rsidRPr="00CB73B6">
        <w:rPr>
          <w:rFonts w:ascii="Arial" w:hAnsi="Arial" w:cs="Arial"/>
          <w:sz w:val="22"/>
          <w:szCs w:val="22"/>
        </w:rPr>
        <w:t>Annu</w:t>
      </w:r>
      <w:proofErr w:type="spellEnd"/>
      <w:r w:rsidRPr="00CB73B6">
        <w:rPr>
          <w:rFonts w:ascii="Arial" w:hAnsi="Arial" w:cs="Arial"/>
          <w:sz w:val="22"/>
          <w:szCs w:val="22"/>
        </w:rPr>
        <w:t xml:space="preserve">. Rev. Public Health 2012. 33:357–76 (2012), This article’s </w:t>
      </w:r>
      <w:proofErr w:type="spellStart"/>
      <w:r w:rsidRPr="00CB73B6">
        <w:rPr>
          <w:rFonts w:ascii="Arial" w:hAnsi="Arial" w:cs="Arial"/>
          <w:sz w:val="22"/>
          <w:szCs w:val="22"/>
        </w:rPr>
        <w:t>doi</w:t>
      </w:r>
      <w:proofErr w:type="spellEnd"/>
      <w:r w:rsidRPr="00CB73B6">
        <w:rPr>
          <w:rFonts w:ascii="Arial" w:hAnsi="Arial" w:cs="Arial"/>
          <w:sz w:val="22"/>
          <w:szCs w:val="22"/>
        </w:rPr>
        <w:t xml:space="preserve">: 10.1146/annurev-publhealth-031210-101222. </w:t>
      </w:r>
    </w:p>
    <w:p w14:paraId="3F629EC4"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sz w:val="22"/>
          <w:szCs w:val="22"/>
        </w:rPr>
        <w:t xml:space="preserve">Chris S. </w:t>
      </w:r>
      <w:proofErr w:type="spellStart"/>
      <w:r w:rsidRPr="00CB73B6">
        <w:rPr>
          <w:rFonts w:ascii="Arial" w:hAnsi="Arial" w:cs="Arial"/>
          <w:sz w:val="22"/>
          <w:szCs w:val="22"/>
        </w:rPr>
        <w:t>Kochtitzky</w:t>
      </w:r>
      <w:proofErr w:type="spellEnd"/>
      <w:r w:rsidRPr="00CB73B6">
        <w:rPr>
          <w:rFonts w:ascii="Arial" w:hAnsi="Arial" w:cs="Arial"/>
          <w:sz w:val="22"/>
          <w:szCs w:val="22"/>
        </w:rPr>
        <w:t xml:space="preserve"> et al, </w:t>
      </w:r>
      <w:r w:rsidRPr="00CB73B6">
        <w:rPr>
          <w:rFonts w:ascii="Arial" w:hAnsi="Arial" w:cs="Arial"/>
          <w:i/>
          <w:iCs/>
          <w:sz w:val="22"/>
          <w:szCs w:val="22"/>
        </w:rPr>
        <w:t>Urban Planning and Public Health at CDC</w:t>
      </w:r>
      <w:r w:rsidRPr="00CB73B6">
        <w:rPr>
          <w:rFonts w:ascii="Arial" w:hAnsi="Arial" w:cs="Arial"/>
          <w:sz w:val="22"/>
          <w:szCs w:val="22"/>
        </w:rPr>
        <w:t xml:space="preserve">. 55(Sup02) MMWR Morbidity &amp; Mortality Weekly Report 34-38 (2006). </w:t>
      </w:r>
      <w:hyperlink r:id="rId98" w:history="1">
        <w:r w:rsidRPr="00CB73B6">
          <w:rPr>
            <w:rStyle w:val="Hyperlink"/>
            <w:rFonts w:ascii="Arial" w:hAnsi="Arial" w:cs="Arial"/>
            <w:sz w:val="22"/>
            <w:szCs w:val="22"/>
          </w:rPr>
          <w:t>https://www.cdc.gov/mmwr/preview/mmwrhtml/su5502a12.htm</w:t>
        </w:r>
      </w:hyperlink>
    </w:p>
    <w:p w14:paraId="4571A1D1" w14:textId="77777777" w:rsidR="00CB73B6" w:rsidRPr="00CB73B6" w:rsidRDefault="00CB73B6" w:rsidP="00152F9F">
      <w:pPr>
        <w:pStyle w:val="ListParagraph"/>
        <w:numPr>
          <w:ilvl w:val="0"/>
          <w:numId w:val="9"/>
        </w:numPr>
        <w:rPr>
          <w:rFonts w:ascii="Arial" w:hAnsi="Arial" w:cs="Arial"/>
          <w:sz w:val="22"/>
          <w:szCs w:val="22"/>
        </w:rPr>
      </w:pPr>
      <w:r w:rsidRPr="00CB73B6">
        <w:rPr>
          <w:rFonts w:ascii="Arial" w:hAnsi="Arial" w:cs="Arial"/>
          <w:sz w:val="22"/>
          <w:szCs w:val="22"/>
        </w:rPr>
        <w:t>Pan-American Health Organization,</w:t>
      </w:r>
      <w:r w:rsidRPr="00CB73B6">
        <w:rPr>
          <w:rFonts w:ascii="Arial" w:hAnsi="Arial" w:cs="Arial"/>
          <w:b/>
          <w:bCs/>
          <w:sz w:val="22"/>
          <w:szCs w:val="22"/>
        </w:rPr>
        <w:t xml:space="preserve"> </w:t>
      </w:r>
      <w:r w:rsidRPr="00CB73B6">
        <w:rPr>
          <w:rFonts w:ascii="Arial" w:hAnsi="Arial" w:cs="Arial"/>
          <w:i/>
          <w:iCs/>
          <w:sz w:val="22"/>
          <w:szCs w:val="22"/>
        </w:rPr>
        <w:t>Roadmap for a Plan of Action for Health in All Policies</w:t>
      </w:r>
      <w:r w:rsidRPr="00CB73B6">
        <w:rPr>
          <w:rFonts w:ascii="Arial" w:hAnsi="Arial" w:cs="Arial"/>
          <w:sz w:val="22"/>
          <w:szCs w:val="22"/>
        </w:rPr>
        <w:t xml:space="preserve"> (2016). </w:t>
      </w:r>
      <w:hyperlink r:id="rId99" w:history="1">
        <w:r w:rsidRPr="00CB73B6">
          <w:rPr>
            <w:rStyle w:val="Hyperlink"/>
            <w:rFonts w:ascii="Arial" w:hAnsi="Arial" w:cs="Arial"/>
            <w:sz w:val="22"/>
            <w:szCs w:val="22"/>
          </w:rPr>
          <w:t>https://iris.paho.org/bitstream/handle/10665.2/31313/9789275074541-eng.pdf</w:t>
        </w:r>
      </w:hyperlink>
    </w:p>
    <w:p w14:paraId="335995E2" w14:textId="77777777" w:rsidR="00CB73B6" w:rsidRPr="00CB73B6" w:rsidRDefault="00CB73B6" w:rsidP="00152F9F">
      <w:pPr>
        <w:pStyle w:val="ListParagraph"/>
        <w:numPr>
          <w:ilvl w:val="0"/>
          <w:numId w:val="9"/>
        </w:numPr>
        <w:shd w:val="clear" w:color="auto" w:fill="FFFFFF"/>
        <w:rPr>
          <w:rStyle w:val="Hyperlink"/>
          <w:rFonts w:ascii="Arial" w:hAnsi="Arial" w:cs="Arial"/>
          <w:sz w:val="22"/>
          <w:szCs w:val="22"/>
        </w:rPr>
      </w:pPr>
      <w:r w:rsidRPr="00CB73B6">
        <w:rPr>
          <w:rFonts w:ascii="Arial" w:hAnsi="Arial" w:cs="Arial"/>
          <w:sz w:val="22"/>
          <w:szCs w:val="22"/>
        </w:rPr>
        <w:t xml:space="preserve">Bobby Milstein &amp; Jack Homer, </w:t>
      </w:r>
      <w:r w:rsidRPr="00CB73B6">
        <w:rPr>
          <w:rFonts w:ascii="Arial" w:hAnsi="Arial" w:cs="Arial"/>
          <w:i/>
          <w:iCs/>
          <w:sz w:val="22"/>
          <w:szCs w:val="22"/>
        </w:rPr>
        <w:t>Which Priorities for Health and Well-Being Stand Out After Accounting for Tangled Threats and Costs? Simulating Potential Intervention Portfolios in Large Urban Counties</w:t>
      </w:r>
      <w:r w:rsidRPr="00CB73B6">
        <w:rPr>
          <w:rFonts w:ascii="Arial" w:hAnsi="Arial" w:cs="Arial"/>
          <w:sz w:val="22"/>
          <w:szCs w:val="22"/>
        </w:rPr>
        <w:t xml:space="preserve">, xx </w:t>
      </w:r>
      <w:r w:rsidRPr="00CB73B6">
        <w:rPr>
          <w:rFonts w:ascii="Arial" w:eastAsia="Times New Roman" w:hAnsi="Arial" w:cs="Arial"/>
          <w:color w:val="000000"/>
          <w:sz w:val="22"/>
          <w:szCs w:val="22"/>
        </w:rPr>
        <w:t xml:space="preserve">The Milbank Quarterly, 1-27 (2020). </w:t>
      </w:r>
      <w:hyperlink r:id="rId100" w:history="1">
        <w:r w:rsidRPr="00CB73B6">
          <w:rPr>
            <w:rStyle w:val="Hyperlink"/>
            <w:rFonts w:ascii="Arial" w:hAnsi="Arial" w:cs="Arial"/>
            <w:sz w:val="22"/>
            <w:szCs w:val="22"/>
          </w:rPr>
          <w:t>https://onlinelibrary.wiley.com/doi/epdf/10.1111/1468-0009.12448</w:t>
        </w:r>
      </w:hyperlink>
    </w:p>
    <w:p w14:paraId="0ED7D978" w14:textId="77777777" w:rsidR="00CB73B6" w:rsidRPr="00CB73B6" w:rsidRDefault="00CB73B6" w:rsidP="00152F9F">
      <w:pPr>
        <w:pStyle w:val="ListParagraph"/>
        <w:numPr>
          <w:ilvl w:val="0"/>
          <w:numId w:val="9"/>
        </w:numPr>
        <w:shd w:val="clear" w:color="auto" w:fill="FFFFFF"/>
        <w:rPr>
          <w:rFonts w:ascii="Arial" w:hAnsi="Arial" w:cs="Arial"/>
          <w:sz w:val="22"/>
          <w:szCs w:val="22"/>
        </w:rPr>
      </w:pPr>
      <w:r w:rsidRPr="00CB73B6">
        <w:rPr>
          <w:rFonts w:ascii="Arial" w:hAnsi="Arial" w:cs="Arial"/>
          <w:sz w:val="22"/>
          <w:szCs w:val="22"/>
        </w:rPr>
        <w:t xml:space="preserve">Dawn Pepin et al, </w:t>
      </w:r>
      <w:r w:rsidRPr="00CB73B6">
        <w:rPr>
          <w:rFonts w:ascii="Arial" w:hAnsi="Arial" w:cs="Arial"/>
          <w:i/>
          <w:iCs/>
          <w:sz w:val="22"/>
          <w:szCs w:val="22"/>
        </w:rPr>
        <w:t>Collaborating for Health: Health in All Policies and the Law</w:t>
      </w:r>
      <w:r w:rsidRPr="00CB73B6">
        <w:rPr>
          <w:rFonts w:ascii="Arial" w:hAnsi="Arial" w:cs="Arial"/>
          <w:sz w:val="22"/>
          <w:szCs w:val="22"/>
        </w:rPr>
        <w:t>, 45 (S1</w:t>
      </w:r>
      <w:proofErr w:type="gramStart"/>
      <w:r w:rsidRPr="00CB73B6">
        <w:rPr>
          <w:rFonts w:ascii="Arial" w:hAnsi="Arial" w:cs="Arial"/>
          <w:sz w:val="22"/>
          <w:szCs w:val="22"/>
        </w:rPr>
        <w:t>)  J.</w:t>
      </w:r>
      <w:proofErr w:type="gramEnd"/>
      <w:r w:rsidRPr="00CB73B6">
        <w:rPr>
          <w:rFonts w:ascii="Arial" w:hAnsi="Arial" w:cs="Arial"/>
          <w:sz w:val="22"/>
          <w:szCs w:val="22"/>
        </w:rPr>
        <w:t xml:space="preserve"> Law, Med &amp; Ethics, 60 (2017). </w:t>
      </w:r>
    </w:p>
    <w:p w14:paraId="09BE8652" w14:textId="77777777" w:rsidR="00CB73B6" w:rsidRPr="00CB73B6" w:rsidRDefault="00CB73B6" w:rsidP="00152F9F">
      <w:pPr>
        <w:pStyle w:val="ListParagraph"/>
        <w:numPr>
          <w:ilvl w:val="0"/>
          <w:numId w:val="9"/>
        </w:numPr>
        <w:shd w:val="clear" w:color="auto" w:fill="FFFFFF"/>
        <w:rPr>
          <w:rFonts w:ascii="Arial" w:hAnsi="Arial" w:cs="Arial"/>
          <w:sz w:val="22"/>
          <w:szCs w:val="22"/>
        </w:rPr>
      </w:pPr>
      <w:r w:rsidRPr="00CB73B6">
        <w:rPr>
          <w:rFonts w:ascii="Arial" w:hAnsi="Arial" w:cs="Arial"/>
          <w:sz w:val="22"/>
          <w:szCs w:val="22"/>
        </w:rPr>
        <w:t xml:space="preserve">California Strategic Growth Council, </w:t>
      </w:r>
      <w:r w:rsidRPr="00CB73B6">
        <w:rPr>
          <w:rFonts w:ascii="Arial" w:hAnsi="Arial" w:cs="Arial"/>
          <w:i/>
          <w:iCs/>
          <w:sz w:val="22"/>
          <w:szCs w:val="22"/>
        </w:rPr>
        <w:t>Health in All Policies Resources</w:t>
      </w:r>
      <w:r w:rsidRPr="00CB73B6">
        <w:rPr>
          <w:rFonts w:ascii="Arial" w:hAnsi="Arial" w:cs="Arial"/>
          <w:sz w:val="22"/>
          <w:szCs w:val="22"/>
        </w:rPr>
        <w:t xml:space="preserve"> (2020). </w:t>
      </w:r>
      <w:hyperlink r:id="rId101" w:history="1">
        <w:r w:rsidRPr="00CB73B6">
          <w:rPr>
            <w:rStyle w:val="Hyperlink"/>
            <w:rFonts w:ascii="Arial" w:hAnsi="Arial" w:cs="Arial"/>
            <w:sz w:val="22"/>
            <w:szCs w:val="22"/>
          </w:rPr>
          <w:t>http://sgc.ca.gov/programs/hiap/resources/</w:t>
        </w:r>
      </w:hyperlink>
    </w:p>
    <w:p w14:paraId="6D33B454" w14:textId="77777777" w:rsidR="00CB73B6" w:rsidRPr="00CB73B6" w:rsidRDefault="00CB73B6" w:rsidP="00152F9F">
      <w:pPr>
        <w:pStyle w:val="ListParagraph"/>
        <w:numPr>
          <w:ilvl w:val="0"/>
          <w:numId w:val="9"/>
        </w:numPr>
        <w:shd w:val="clear" w:color="auto" w:fill="FFFFFF"/>
        <w:rPr>
          <w:rFonts w:ascii="Arial" w:hAnsi="Arial" w:cs="Arial"/>
          <w:sz w:val="22"/>
          <w:szCs w:val="22"/>
        </w:rPr>
      </w:pPr>
      <w:r w:rsidRPr="00CB73B6">
        <w:rPr>
          <w:rFonts w:ascii="Arial" w:hAnsi="Arial" w:cs="Arial"/>
          <w:sz w:val="22"/>
          <w:szCs w:val="22"/>
        </w:rPr>
        <w:t xml:space="preserve">ChangeLab Solutions, </w:t>
      </w:r>
      <w:r w:rsidRPr="00CB73B6">
        <w:rPr>
          <w:rFonts w:ascii="Arial" w:hAnsi="Arial" w:cs="Arial"/>
          <w:i/>
          <w:iCs/>
          <w:sz w:val="22"/>
          <w:szCs w:val="22"/>
        </w:rPr>
        <w:t>Health in All Policies</w:t>
      </w:r>
      <w:r w:rsidRPr="00CB73B6">
        <w:rPr>
          <w:rFonts w:ascii="Arial" w:hAnsi="Arial" w:cs="Arial"/>
          <w:sz w:val="22"/>
          <w:szCs w:val="22"/>
        </w:rPr>
        <w:t xml:space="preserve"> (2020). </w:t>
      </w:r>
      <w:hyperlink r:id="rId102" w:history="1">
        <w:r w:rsidRPr="00CB73B6">
          <w:rPr>
            <w:rStyle w:val="Hyperlink"/>
            <w:rFonts w:ascii="Arial" w:hAnsi="Arial" w:cs="Arial"/>
            <w:sz w:val="22"/>
            <w:szCs w:val="22"/>
          </w:rPr>
          <w:t>https://www.changelabsolutions.org/health-all-policies</w:t>
        </w:r>
      </w:hyperlink>
    </w:p>
    <w:p w14:paraId="7399F1B9" w14:textId="77777777" w:rsidR="00CB73B6" w:rsidRPr="00CB73B6" w:rsidRDefault="00CB73B6" w:rsidP="00152F9F">
      <w:pPr>
        <w:pStyle w:val="paragraph"/>
        <w:numPr>
          <w:ilvl w:val="0"/>
          <w:numId w:val="9"/>
        </w:numPr>
        <w:shd w:val="clear" w:color="auto" w:fill="FFFFFF"/>
        <w:spacing w:before="0" w:beforeAutospacing="0" w:after="0" w:afterAutospacing="0"/>
        <w:textAlignment w:val="baseline"/>
        <w:rPr>
          <w:rFonts w:ascii="Arial" w:hAnsi="Arial" w:cs="Arial"/>
          <w:sz w:val="22"/>
          <w:szCs w:val="22"/>
        </w:rPr>
      </w:pPr>
      <w:proofErr w:type="spellStart"/>
      <w:r w:rsidRPr="00CB73B6">
        <w:rPr>
          <w:rFonts w:ascii="Arial" w:hAnsi="Arial" w:cs="Arial"/>
          <w:sz w:val="22"/>
          <w:szCs w:val="22"/>
        </w:rPr>
        <w:t>CityHealth</w:t>
      </w:r>
      <w:proofErr w:type="spellEnd"/>
      <w:r w:rsidRPr="00CB73B6">
        <w:rPr>
          <w:rFonts w:ascii="Arial" w:hAnsi="Arial" w:cs="Arial"/>
          <w:sz w:val="22"/>
          <w:szCs w:val="22"/>
        </w:rPr>
        <w:t xml:space="preserve">. </w:t>
      </w:r>
      <w:hyperlink r:id="rId103" w:history="1">
        <w:r w:rsidRPr="00CB73B6">
          <w:rPr>
            <w:rStyle w:val="Hyperlink"/>
            <w:rFonts w:ascii="Arial" w:hAnsi="Arial" w:cs="Arial"/>
            <w:sz w:val="22"/>
            <w:szCs w:val="22"/>
          </w:rPr>
          <w:t>https://www.cityhealth.org/</w:t>
        </w:r>
      </w:hyperlink>
      <w:r w:rsidRPr="00CB73B6">
        <w:rPr>
          <w:rFonts w:ascii="Arial" w:hAnsi="Arial" w:cs="Arial"/>
          <w:sz w:val="22"/>
          <w:szCs w:val="22"/>
        </w:rPr>
        <w:t xml:space="preserve">. </w:t>
      </w:r>
    </w:p>
    <w:p w14:paraId="73DB461B" w14:textId="77777777" w:rsidR="00CB73B6" w:rsidRPr="00CB73B6" w:rsidRDefault="00CB73B6" w:rsidP="00152F9F">
      <w:pPr>
        <w:pStyle w:val="paragraph"/>
        <w:numPr>
          <w:ilvl w:val="0"/>
          <w:numId w:val="9"/>
        </w:numPr>
        <w:shd w:val="clear" w:color="auto" w:fill="FFFFFF"/>
        <w:spacing w:before="0" w:beforeAutospacing="0" w:after="0" w:afterAutospacing="0"/>
        <w:textAlignment w:val="baseline"/>
        <w:rPr>
          <w:rFonts w:ascii="Arial" w:hAnsi="Arial" w:cs="Arial"/>
          <w:sz w:val="22"/>
          <w:szCs w:val="22"/>
        </w:rPr>
      </w:pPr>
      <w:r w:rsidRPr="00CB73B6">
        <w:rPr>
          <w:rFonts w:ascii="Arial" w:hAnsi="Arial" w:cs="Arial"/>
          <w:sz w:val="22"/>
          <w:szCs w:val="22"/>
        </w:rPr>
        <w:t xml:space="preserve">Tackling Obesities: Future Choices Report (2007). </w:t>
      </w:r>
      <w:hyperlink r:id="rId104" w:history="1">
        <w:r w:rsidRPr="00CB73B6">
          <w:rPr>
            <w:rStyle w:val="Hyperlink"/>
            <w:rFonts w:ascii="Arial" w:hAnsi="Arial" w:cs="Arial"/>
            <w:sz w:val="22"/>
            <w:szCs w:val="22"/>
          </w:rPr>
          <w:t>https://assets.publishing.service.gov.uk/government/uploads/system/uploads/attachment_data/file/287937/07-1184x-tackling-obesities-future-choices-report.pdf</w:t>
        </w:r>
      </w:hyperlink>
    </w:p>
    <w:p w14:paraId="3E1D7C69" w14:textId="77777777" w:rsidR="00CB73B6" w:rsidRPr="00CB73B6" w:rsidRDefault="00CB73B6" w:rsidP="00CB73B6">
      <w:pPr>
        <w:pStyle w:val="ListParagraph"/>
        <w:shd w:val="clear" w:color="auto" w:fill="FFFFFF"/>
        <w:rPr>
          <w:rFonts w:ascii="Arial" w:hAnsi="Arial" w:cs="Arial"/>
          <w:sz w:val="22"/>
          <w:szCs w:val="22"/>
        </w:rPr>
      </w:pPr>
    </w:p>
    <w:p w14:paraId="0C3A92B4" w14:textId="77777777" w:rsidR="00CB73B6" w:rsidRPr="00CB73B6" w:rsidRDefault="00CB73B6" w:rsidP="00CB73B6">
      <w:pPr>
        <w:rPr>
          <w:rFonts w:ascii="Arial" w:hAnsi="Arial" w:cs="Arial"/>
          <w:sz w:val="22"/>
          <w:szCs w:val="22"/>
        </w:rPr>
      </w:pPr>
    </w:p>
    <w:p w14:paraId="3E1AAC9A" w14:textId="77777777" w:rsidR="00CB73B6" w:rsidRPr="00CB73B6" w:rsidRDefault="00CB73B6" w:rsidP="00CB73B6">
      <w:pPr>
        <w:rPr>
          <w:rFonts w:ascii="Arial" w:hAnsi="Arial" w:cs="Arial"/>
          <w:sz w:val="22"/>
          <w:szCs w:val="22"/>
        </w:rPr>
      </w:pPr>
      <w:r w:rsidRPr="00CB73B6">
        <w:rPr>
          <w:rFonts w:ascii="Arial" w:hAnsi="Arial" w:cs="Arial"/>
          <w:b/>
          <w:bCs/>
          <w:sz w:val="22"/>
          <w:szCs w:val="22"/>
        </w:rPr>
        <w:t xml:space="preserve">Week 13: Community Organizing, Advocacy and Policy Change Strategies – </w:t>
      </w:r>
      <w:r w:rsidRPr="00CB73B6">
        <w:rPr>
          <w:rFonts w:ascii="Arial" w:hAnsi="Arial" w:cs="Arial"/>
          <w:sz w:val="22"/>
          <w:szCs w:val="22"/>
        </w:rPr>
        <w:t xml:space="preserve">invited guests:  </w:t>
      </w:r>
    </w:p>
    <w:p w14:paraId="205C660A" w14:textId="77777777" w:rsidR="00CB73B6" w:rsidRPr="00CB73B6" w:rsidRDefault="00962EB1" w:rsidP="00152F9F">
      <w:pPr>
        <w:pStyle w:val="ListParagraph"/>
        <w:numPr>
          <w:ilvl w:val="0"/>
          <w:numId w:val="24"/>
        </w:numPr>
        <w:rPr>
          <w:rFonts w:ascii="Arial" w:hAnsi="Arial" w:cs="Arial"/>
          <w:sz w:val="22"/>
          <w:szCs w:val="22"/>
        </w:rPr>
      </w:pPr>
      <w:hyperlink r:id="rId105" w:history="1">
        <w:r w:rsidR="00CB73B6" w:rsidRPr="00CB73B6">
          <w:rPr>
            <w:rStyle w:val="Hyperlink"/>
            <w:rFonts w:ascii="Arial" w:hAnsi="Arial" w:cs="Arial"/>
            <w:sz w:val="22"/>
            <w:szCs w:val="22"/>
          </w:rPr>
          <w:t xml:space="preserve">Lili </w:t>
        </w:r>
        <w:proofErr w:type="spellStart"/>
        <w:r w:rsidR="00CB73B6" w:rsidRPr="00CB73B6">
          <w:rPr>
            <w:rStyle w:val="Hyperlink"/>
            <w:rFonts w:ascii="Arial" w:hAnsi="Arial" w:cs="Arial"/>
            <w:sz w:val="22"/>
            <w:szCs w:val="22"/>
          </w:rPr>
          <w:t>Farhang</w:t>
        </w:r>
        <w:proofErr w:type="spellEnd"/>
      </w:hyperlink>
      <w:r w:rsidR="00CB73B6" w:rsidRPr="00CB73B6">
        <w:rPr>
          <w:rFonts w:ascii="Arial" w:hAnsi="Arial" w:cs="Arial"/>
          <w:sz w:val="22"/>
          <w:szCs w:val="22"/>
        </w:rPr>
        <w:t>, Co-Director, Human Impact Partners</w:t>
      </w:r>
    </w:p>
    <w:p w14:paraId="13C35C29" w14:textId="77777777" w:rsidR="00CB73B6" w:rsidRPr="00CB73B6" w:rsidRDefault="00962EB1" w:rsidP="00152F9F">
      <w:pPr>
        <w:pStyle w:val="ListParagraph"/>
        <w:numPr>
          <w:ilvl w:val="0"/>
          <w:numId w:val="24"/>
        </w:numPr>
        <w:rPr>
          <w:rFonts w:ascii="Arial" w:hAnsi="Arial" w:cs="Arial"/>
          <w:sz w:val="22"/>
          <w:szCs w:val="22"/>
        </w:rPr>
      </w:pPr>
      <w:hyperlink r:id="rId106" w:history="1">
        <w:r w:rsidR="00CB73B6" w:rsidRPr="00CB73B6">
          <w:rPr>
            <w:rStyle w:val="Hyperlink"/>
            <w:rFonts w:ascii="Arial" w:hAnsi="Arial" w:cs="Arial"/>
            <w:sz w:val="22"/>
            <w:szCs w:val="22"/>
          </w:rPr>
          <w:t xml:space="preserve">Ted </w:t>
        </w:r>
        <w:proofErr w:type="spellStart"/>
        <w:r w:rsidR="00CB73B6" w:rsidRPr="00CB73B6">
          <w:rPr>
            <w:rStyle w:val="Hyperlink"/>
            <w:rFonts w:ascii="Arial" w:hAnsi="Arial" w:cs="Arial"/>
            <w:sz w:val="22"/>
            <w:szCs w:val="22"/>
          </w:rPr>
          <w:t>Mermin</w:t>
        </w:r>
        <w:proofErr w:type="spellEnd"/>
      </w:hyperlink>
      <w:r w:rsidR="00CB73B6" w:rsidRPr="00CB73B6">
        <w:rPr>
          <w:rFonts w:ascii="Arial" w:hAnsi="Arial" w:cs="Arial"/>
          <w:sz w:val="22"/>
          <w:szCs w:val="22"/>
        </w:rPr>
        <w:t>, Director, California Low-Income Consumer Coalition</w:t>
      </w:r>
    </w:p>
    <w:p w14:paraId="48B35228" w14:textId="77777777" w:rsidR="00CB73B6" w:rsidRPr="00CB73B6" w:rsidRDefault="00962EB1" w:rsidP="00152F9F">
      <w:pPr>
        <w:pStyle w:val="ListParagraph"/>
        <w:numPr>
          <w:ilvl w:val="0"/>
          <w:numId w:val="24"/>
        </w:numPr>
        <w:rPr>
          <w:rFonts w:ascii="Arial" w:hAnsi="Arial" w:cs="Arial"/>
          <w:sz w:val="22"/>
          <w:szCs w:val="22"/>
        </w:rPr>
      </w:pPr>
      <w:hyperlink r:id="rId107" w:history="1">
        <w:r w:rsidR="00CB73B6" w:rsidRPr="00CB73B6">
          <w:rPr>
            <w:rStyle w:val="Hyperlink"/>
            <w:rFonts w:ascii="Arial" w:hAnsi="Arial" w:cs="Arial"/>
            <w:sz w:val="22"/>
            <w:szCs w:val="22"/>
          </w:rPr>
          <w:t>Harry Snyder</w:t>
        </w:r>
      </w:hyperlink>
      <w:r w:rsidR="00CB73B6" w:rsidRPr="00CB73B6">
        <w:rPr>
          <w:rFonts w:ascii="Arial" w:hAnsi="Arial" w:cs="Arial"/>
          <w:sz w:val="22"/>
          <w:szCs w:val="22"/>
        </w:rPr>
        <w:t xml:space="preserve">, Advocacy Leader in Residence, UCB School of Public Health </w:t>
      </w:r>
    </w:p>
    <w:p w14:paraId="2263AA64" w14:textId="77777777" w:rsidR="00CB73B6" w:rsidRPr="00CB73B6" w:rsidRDefault="00962EB1" w:rsidP="00152F9F">
      <w:pPr>
        <w:pStyle w:val="ListParagraph"/>
        <w:numPr>
          <w:ilvl w:val="0"/>
          <w:numId w:val="24"/>
        </w:numPr>
        <w:rPr>
          <w:rFonts w:ascii="Arial" w:hAnsi="Arial" w:cs="Arial"/>
          <w:sz w:val="22"/>
          <w:szCs w:val="22"/>
        </w:rPr>
      </w:pPr>
      <w:hyperlink r:id="rId108" w:history="1">
        <w:r w:rsidR="00CB73B6" w:rsidRPr="00CB73B6">
          <w:rPr>
            <w:rStyle w:val="Hyperlink"/>
            <w:rFonts w:ascii="Arial" w:hAnsi="Arial" w:cs="Arial"/>
            <w:sz w:val="22"/>
            <w:szCs w:val="22"/>
          </w:rPr>
          <w:t>Robert Ogilvie</w:t>
        </w:r>
      </w:hyperlink>
      <w:r w:rsidR="00CB73B6" w:rsidRPr="00CB73B6">
        <w:rPr>
          <w:rFonts w:ascii="Arial" w:hAnsi="Arial" w:cs="Arial"/>
          <w:sz w:val="22"/>
          <w:szCs w:val="22"/>
        </w:rPr>
        <w:t>, Oakland Director, SPUR</w:t>
      </w:r>
    </w:p>
    <w:p w14:paraId="648C7A58" w14:textId="77777777" w:rsidR="00CB73B6" w:rsidRPr="00CB73B6" w:rsidRDefault="00CB73B6" w:rsidP="00CB73B6">
      <w:pPr>
        <w:rPr>
          <w:rFonts w:ascii="Arial" w:hAnsi="Arial" w:cs="Arial"/>
          <w:sz w:val="22"/>
          <w:szCs w:val="22"/>
        </w:rPr>
      </w:pPr>
    </w:p>
    <w:p w14:paraId="7C3E6EC3"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022C2528" w14:textId="77777777" w:rsidR="00CB73B6" w:rsidRPr="00CB73B6" w:rsidRDefault="00CB73B6" w:rsidP="00CB73B6">
      <w:pPr>
        <w:rPr>
          <w:rFonts w:ascii="Arial" w:hAnsi="Arial" w:cs="Arial"/>
          <w:sz w:val="22"/>
          <w:szCs w:val="22"/>
        </w:rPr>
      </w:pPr>
      <w:r w:rsidRPr="00CB73B6">
        <w:rPr>
          <w:rFonts w:ascii="Arial" w:hAnsi="Arial" w:cs="Arial"/>
          <w:sz w:val="22"/>
          <w:szCs w:val="22"/>
        </w:rPr>
        <w:t>Advocacy to create the political will for social justice and policy change is the core of effective public health actions. In this class we will explore</w:t>
      </w:r>
      <w:r w:rsidRPr="00CB73B6">
        <w:rPr>
          <w:rFonts w:ascii="Arial" w:eastAsiaTheme="minorBidi" w:hAnsi="Arial" w:cs="Arial"/>
          <w:sz w:val="22"/>
          <w:szCs w:val="22"/>
        </w:rPr>
        <w:t xml:space="preserve"> the many ways that individuals and organizations introduce their policy preferences into law and practice.  We will describe the basic steps in creating data, developing and implementing a program of advocacy, how to work with the private sector, and strategies for moving legislation at state and local governments. </w:t>
      </w:r>
    </w:p>
    <w:p w14:paraId="729A1BD0" w14:textId="77777777" w:rsidR="00CB73B6" w:rsidRPr="00CB73B6" w:rsidRDefault="00CB73B6" w:rsidP="00CB73B6">
      <w:pPr>
        <w:rPr>
          <w:rFonts w:ascii="Arial" w:hAnsi="Arial" w:cs="Arial"/>
          <w:sz w:val="22"/>
          <w:szCs w:val="22"/>
        </w:rPr>
      </w:pPr>
    </w:p>
    <w:p w14:paraId="1D29E1D2" w14:textId="77777777" w:rsidR="00CB73B6" w:rsidRPr="00CB73B6" w:rsidRDefault="00CB73B6" w:rsidP="00CB73B6">
      <w:pPr>
        <w:rPr>
          <w:rFonts w:ascii="Arial" w:hAnsi="Arial" w:cs="Arial"/>
          <w:sz w:val="22"/>
          <w:szCs w:val="22"/>
        </w:rPr>
      </w:pPr>
      <w:r w:rsidRPr="00CB73B6">
        <w:rPr>
          <w:rFonts w:ascii="Arial" w:hAnsi="Arial" w:cs="Arial"/>
          <w:sz w:val="22"/>
          <w:szCs w:val="22"/>
        </w:rPr>
        <w:t>Learning Objectives</w:t>
      </w:r>
    </w:p>
    <w:p w14:paraId="6AC8E504" w14:textId="77777777" w:rsidR="00CB73B6" w:rsidRPr="00CB73B6" w:rsidRDefault="00CB73B6" w:rsidP="00152F9F">
      <w:pPr>
        <w:pStyle w:val="ListParagraph"/>
        <w:numPr>
          <w:ilvl w:val="0"/>
          <w:numId w:val="19"/>
        </w:numPr>
        <w:rPr>
          <w:rFonts w:ascii="Arial" w:hAnsi="Arial" w:cs="Arial"/>
          <w:sz w:val="22"/>
          <w:szCs w:val="22"/>
        </w:rPr>
      </w:pPr>
      <w:r w:rsidRPr="00CB73B6">
        <w:rPr>
          <w:rFonts w:ascii="Arial" w:eastAsiaTheme="minorBidi" w:hAnsi="Arial" w:cs="Arial"/>
          <w:sz w:val="22"/>
          <w:szCs w:val="22"/>
        </w:rPr>
        <w:t xml:space="preserve">Identify the basic components of successful advocacy efforts. </w:t>
      </w:r>
    </w:p>
    <w:p w14:paraId="3806BF58" w14:textId="77777777" w:rsidR="00CB73B6" w:rsidRPr="00CB73B6" w:rsidRDefault="00CB73B6" w:rsidP="00152F9F">
      <w:pPr>
        <w:pStyle w:val="ListParagraph"/>
        <w:numPr>
          <w:ilvl w:val="0"/>
          <w:numId w:val="19"/>
        </w:numPr>
        <w:rPr>
          <w:rFonts w:ascii="Arial" w:eastAsiaTheme="minorBidi" w:hAnsi="Arial" w:cs="Arial"/>
          <w:sz w:val="22"/>
          <w:szCs w:val="22"/>
        </w:rPr>
      </w:pPr>
      <w:r w:rsidRPr="00CB73B6">
        <w:rPr>
          <w:rFonts w:ascii="Arial" w:eastAsiaTheme="minorBidi" w:hAnsi="Arial" w:cs="Arial"/>
          <w:sz w:val="22"/>
          <w:szCs w:val="22"/>
        </w:rPr>
        <w:t xml:space="preserve">Describe the tension between expert-led advocacy and community-empowered advocacy. </w:t>
      </w:r>
    </w:p>
    <w:p w14:paraId="75E7543A" w14:textId="77777777" w:rsidR="00CB73B6" w:rsidRPr="00CB73B6" w:rsidRDefault="00CB73B6" w:rsidP="00CB73B6">
      <w:pPr>
        <w:rPr>
          <w:rFonts w:ascii="Arial" w:hAnsi="Arial" w:cs="Arial"/>
          <w:sz w:val="22"/>
          <w:szCs w:val="22"/>
        </w:rPr>
      </w:pPr>
    </w:p>
    <w:p w14:paraId="46973D4A"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3317226A" w14:textId="77777777" w:rsidR="00CB73B6" w:rsidRPr="00CB73B6" w:rsidRDefault="00CB73B6" w:rsidP="00152F9F">
      <w:pPr>
        <w:pStyle w:val="ListParagraph"/>
        <w:numPr>
          <w:ilvl w:val="0"/>
          <w:numId w:val="11"/>
        </w:numPr>
        <w:rPr>
          <w:rFonts w:ascii="Arial" w:hAnsi="Arial" w:cs="Arial"/>
          <w:bCs/>
          <w:sz w:val="22"/>
          <w:szCs w:val="22"/>
        </w:rPr>
      </w:pPr>
      <w:r w:rsidRPr="00CB73B6">
        <w:rPr>
          <w:rFonts w:ascii="Arial" w:hAnsi="Arial" w:cs="Arial"/>
          <w:bCs/>
          <w:sz w:val="22"/>
          <w:szCs w:val="22"/>
        </w:rPr>
        <w:t>Chapter 15</w:t>
      </w:r>
    </w:p>
    <w:p w14:paraId="199010E1" w14:textId="77777777" w:rsidR="00CB73B6" w:rsidRPr="00CB73B6" w:rsidRDefault="00CB73B6" w:rsidP="00152F9F">
      <w:pPr>
        <w:pStyle w:val="ListParagraph"/>
        <w:numPr>
          <w:ilvl w:val="0"/>
          <w:numId w:val="11"/>
        </w:numPr>
        <w:rPr>
          <w:rStyle w:val="Hyperlink"/>
          <w:rFonts w:ascii="Arial" w:hAnsi="Arial" w:cs="Arial"/>
          <w:bCs/>
          <w:sz w:val="22"/>
          <w:szCs w:val="22"/>
        </w:rPr>
      </w:pPr>
      <w:r w:rsidRPr="00CB73B6">
        <w:rPr>
          <w:rFonts w:ascii="Arial" w:hAnsi="Arial" w:cs="Arial"/>
          <w:bCs/>
          <w:sz w:val="22"/>
          <w:szCs w:val="22"/>
        </w:rPr>
        <w:t xml:space="preserve">Public Health Advocacy in the Courts: Opportunities for Public Health Professionals </w:t>
      </w:r>
      <w:hyperlink r:id="rId109" w:history="1">
        <w:r w:rsidRPr="00CB73B6">
          <w:rPr>
            <w:rStyle w:val="Hyperlink"/>
            <w:rFonts w:ascii="Arial" w:hAnsi="Arial" w:cs="Arial"/>
            <w:bCs/>
            <w:sz w:val="22"/>
            <w:szCs w:val="22"/>
          </w:rPr>
          <w:t>https://www.ncbi.nlm.nih.gov/pmc/articles/PMC2773956/</w:t>
        </w:r>
      </w:hyperlink>
    </w:p>
    <w:p w14:paraId="46E44F72" w14:textId="77777777" w:rsidR="00CB73B6" w:rsidRPr="00CB73B6" w:rsidRDefault="00CB73B6" w:rsidP="00152F9F">
      <w:pPr>
        <w:pStyle w:val="ListParagraph"/>
        <w:numPr>
          <w:ilvl w:val="0"/>
          <w:numId w:val="11"/>
        </w:numPr>
        <w:rPr>
          <w:rFonts w:ascii="Arial" w:hAnsi="Arial" w:cs="Arial"/>
          <w:bCs/>
          <w:sz w:val="22"/>
          <w:szCs w:val="22"/>
        </w:rPr>
      </w:pPr>
      <w:r w:rsidRPr="00CB73B6">
        <w:rPr>
          <w:rStyle w:val="Hyperlink"/>
          <w:rFonts w:ascii="Arial" w:hAnsi="Arial" w:cs="Arial"/>
          <w:bCs/>
          <w:sz w:val="22"/>
          <w:szCs w:val="22"/>
        </w:rPr>
        <w:t>Something on Health Impact Assessments.</w:t>
      </w:r>
    </w:p>
    <w:p w14:paraId="3FC89BBC" w14:textId="77777777" w:rsidR="00CB73B6" w:rsidRPr="00CB73B6" w:rsidRDefault="00CB73B6" w:rsidP="00152F9F">
      <w:pPr>
        <w:pStyle w:val="ListParagraph"/>
        <w:numPr>
          <w:ilvl w:val="0"/>
          <w:numId w:val="11"/>
        </w:numPr>
        <w:rPr>
          <w:rFonts w:ascii="Arial" w:hAnsi="Arial" w:cs="Arial"/>
          <w:bCs/>
          <w:sz w:val="22"/>
          <w:szCs w:val="22"/>
        </w:rPr>
      </w:pPr>
      <w:proofErr w:type="spellStart"/>
      <w:r w:rsidRPr="00CB73B6">
        <w:rPr>
          <w:rFonts w:ascii="Arial" w:hAnsi="Arial" w:cs="Arial"/>
          <w:sz w:val="22"/>
          <w:szCs w:val="22"/>
        </w:rPr>
        <w:t>Rutkow</w:t>
      </w:r>
      <w:proofErr w:type="spellEnd"/>
      <w:r w:rsidRPr="00CB73B6">
        <w:rPr>
          <w:rFonts w:ascii="Arial" w:hAnsi="Arial" w:cs="Arial"/>
          <w:sz w:val="22"/>
          <w:szCs w:val="22"/>
        </w:rPr>
        <w:t xml:space="preserve">, L., &amp; </w:t>
      </w:r>
      <w:proofErr w:type="spellStart"/>
      <w:r w:rsidRPr="00CB73B6">
        <w:rPr>
          <w:rFonts w:ascii="Arial" w:hAnsi="Arial" w:cs="Arial"/>
          <w:sz w:val="22"/>
          <w:szCs w:val="22"/>
        </w:rPr>
        <w:t>Teret</w:t>
      </w:r>
      <w:proofErr w:type="spellEnd"/>
      <w:r w:rsidRPr="00CB73B6">
        <w:rPr>
          <w:rFonts w:ascii="Arial" w:hAnsi="Arial" w:cs="Arial"/>
          <w:sz w:val="22"/>
          <w:szCs w:val="22"/>
        </w:rPr>
        <w:t xml:space="preserve">, S. P. (2010). Role of state attorneys general in health policy. [Research Support, Non-U.S. Gov't]. JAMA, 304(12), 1377-1378. </w:t>
      </w:r>
      <w:proofErr w:type="spellStart"/>
      <w:r w:rsidRPr="00CB73B6">
        <w:rPr>
          <w:rFonts w:ascii="Arial" w:hAnsi="Arial" w:cs="Arial"/>
          <w:sz w:val="22"/>
          <w:szCs w:val="22"/>
        </w:rPr>
        <w:t>doi</w:t>
      </w:r>
      <w:proofErr w:type="spellEnd"/>
      <w:r w:rsidRPr="00CB73B6">
        <w:rPr>
          <w:rFonts w:ascii="Arial" w:hAnsi="Arial" w:cs="Arial"/>
          <w:sz w:val="22"/>
          <w:szCs w:val="22"/>
        </w:rPr>
        <w:t>: 10.1001/jama.2010.1377</w:t>
      </w:r>
    </w:p>
    <w:p w14:paraId="0E0B548A" w14:textId="77777777" w:rsidR="00CB73B6" w:rsidRPr="00CB73B6" w:rsidRDefault="00CB73B6" w:rsidP="00152F9F">
      <w:pPr>
        <w:pStyle w:val="ListParagraph"/>
        <w:numPr>
          <w:ilvl w:val="0"/>
          <w:numId w:val="11"/>
        </w:numPr>
        <w:rPr>
          <w:rFonts w:ascii="Arial" w:eastAsia="Times New Roman" w:hAnsi="Arial" w:cs="Arial"/>
          <w:sz w:val="22"/>
          <w:szCs w:val="22"/>
        </w:rPr>
      </w:pPr>
      <w:r w:rsidRPr="00CB73B6">
        <w:rPr>
          <w:rFonts w:ascii="Arial" w:hAnsi="Arial" w:cs="Arial"/>
          <w:iCs/>
          <w:sz w:val="22"/>
          <w:szCs w:val="22"/>
        </w:rPr>
        <w:t>Marice Ashe,</w:t>
      </w:r>
      <w:r w:rsidRPr="00CB73B6">
        <w:rPr>
          <w:rFonts w:ascii="Arial" w:eastAsia="Times New Roman" w:hAnsi="Arial" w:cs="Arial"/>
          <w:sz w:val="22"/>
          <w:szCs w:val="22"/>
        </w:rPr>
        <w:t xml:space="preserve"> </w:t>
      </w:r>
      <w:r w:rsidRPr="00CB73B6">
        <w:rPr>
          <w:rFonts w:ascii="Arial" w:eastAsia="Times New Roman" w:hAnsi="Arial" w:cs="Arial"/>
          <w:i/>
          <w:iCs/>
          <w:sz w:val="22"/>
          <w:szCs w:val="22"/>
        </w:rPr>
        <w:t>Ensuring Policy Impact through Strong Legal Practice</w:t>
      </w:r>
      <w:r w:rsidRPr="00CB73B6">
        <w:rPr>
          <w:rFonts w:ascii="Arial" w:eastAsia="Times New Roman" w:hAnsi="Arial" w:cs="Arial"/>
          <w:sz w:val="22"/>
          <w:szCs w:val="22"/>
        </w:rPr>
        <w:t xml:space="preserve">, </w:t>
      </w:r>
      <w:r w:rsidRPr="00CB73B6">
        <w:rPr>
          <w:rFonts w:ascii="Arial" w:hAnsi="Arial" w:cs="Arial"/>
          <w:color w:val="222222"/>
          <w:sz w:val="22"/>
          <w:szCs w:val="22"/>
          <w:shd w:val="clear" w:color="auto" w:fill="FFFFFF"/>
        </w:rPr>
        <w:t>Public Health Under Siege: Improving Policy in Turbulent Times</w:t>
      </w:r>
      <w:r w:rsidRPr="00CB73B6">
        <w:rPr>
          <w:rFonts w:ascii="Arial" w:hAnsi="Arial" w:cs="Arial"/>
          <w:i/>
          <w:iCs/>
          <w:color w:val="222222"/>
          <w:sz w:val="22"/>
          <w:szCs w:val="22"/>
          <w:shd w:val="clear" w:color="auto" w:fill="FFFFFF"/>
        </w:rPr>
        <w:t xml:space="preserve">. </w:t>
      </w:r>
      <w:r w:rsidRPr="00CB73B6">
        <w:rPr>
          <w:rFonts w:ascii="Arial" w:hAnsi="Arial" w:cs="Arial"/>
          <w:color w:val="222222"/>
          <w:sz w:val="22"/>
          <w:szCs w:val="22"/>
          <w:shd w:val="clear" w:color="auto" w:fill="FFFFFF"/>
        </w:rPr>
        <w:t>(forthcoming 2020).</w:t>
      </w:r>
    </w:p>
    <w:p w14:paraId="63B6F26B" w14:textId="77777777" w:rsidR="00CB73B6" w:rsidRPr="00CB73B6" w:rsidRDefault="00CB73B6" w:rsidP="00152F9F">
      <w:pPr>
        <w:pStyle w:val="ListParagraph"/>
        <w:numPr>
          <w:ilvl w:val="0"/>
          <w:numId w:val="11"/>
        </w:numPr>
        <w:rPr>
          <w:rFonts w:ascii="Arial" w:eastAsia="Times New Roman" w:hAnsi="Arial" w:cs="Arial"/>
          <w:sz w:val="22"/>
          <w:szCs w:val="22"/>
        </w:rPr>
      </w:pPr>
      <w:r w:rsidRPr="00CB73B6">
        <w:rPr>
          <w:rFonts w:ascii="Arial" w:hAnsi="Arial" w:cs="Arial"/>
          <w:color w:val="222222"/>
          <w:sz w:val="22"/>
          <w:szCs w:val="22"/>
          <w:shd w:val="clear" w:color="auto" w:fill="FFFFFF"/>
        </w:rPr>
        <w:t xml:space="preserve">ChangeLab Solutions, </w:t>
      </w:r>
      <w:r w:rsidRPr="00CB73B6">
        <w:rPr>
          <w:rFonts w:ascii="Arial" w:hAnsi="Arial" w:cs="Arial"/>
          <w:i/>
          <w:iCs/>
          <w:color w:val="222222"/>
          <w:sz w:val="22"/>
          <w:szCs w:val="22"/>
          <w:shd w:val="clear" w:color="auto" w:fill="FFFFFF"/>
        </w:rPr>
        <w:t>Tobacco Retailer Licensing Playbook</w:t>
      </w:r>
      <w:r w:rsidRPr="00CB73B6">
        <w:rPr>
          <w:rFonts w:ascii="Arial" w:hAnsi="Arial" w:cs="Arial"/>
          <w:color w:val="222222"/>
          <w:sz w:val="22"/>
          <w:szCs w:val="22"/>
          <w:shd w:val="clear" w:color="auto" w:fill="FFFFFF"/>
        </w:rPr>
        <w:t xml:space="preserve"> (2015). </w:t>
      </w:r>
      <w:hyperlink r:id="rId110" w:history="1">
        <w:r w:rsidRPr="00CB73B6">
          <w:rPr>
            <w:rStyle w:val="Hyperlink"/>
            <w:rFonts w:ascii="Arial" w:hAnsi="Arial" w:cs="Arial"/>
            <w:sz w:val="22"/>
            <w:szCs w:val="22"/>
          </w:rPr>
          <w:t>https://www.changelabsolutions.org/sites/default/files/TRL_Playbook_FINAL_20150511.pdf</w:t>
        </w:r>
      </w:hyperlink>
    </w:p>
    <w:p w14:paraId="7C7EED3A" w14:textId="77777777" w:rsidR="00CB73B6" w:rsidRPr="00CB73B6" w:rsidRDefault="00CB73B6" w:rsidP="00152F9F">
      <w:pPr>
        <w:pStyle w:val="ListParagraph"/>
        <w:numPr>
          <w:ilvl w:val="0"/>
          <w:numId w:val="11"/>
        </w:numPr>
        <w:rPr>
          <w:rFonts w:ascii="Arial" w:eastAsia="Times New Roman" w:hAnsi="Arial" w:cs="Arial"/>
          <w:sz w:val="22"/>
          <w:szCs w:val="22"/>
        </w:rPr>
      </w:pPr>
      <w:r w:rsidRPr="00CB73B6">
        <w:rPr>
          <w:rFonts w:ascii="Arial" w:hAnsi="Arial" w:cs="Arial"/>
          <w:color w:val="222222"/>
          <w:sz w:val="22"/>
          <w:szCs w:val="22"/>
          <w:shd w:val="clear" w:color="auto" w:fill="FFFFFF"/>
        </w:rPr>
        <w:t xml:space="preserve">ChangeLab Solutions, </w:t>
      </w:r>
      <w:r w:rsidRPr="00CB73B6">
        <w:rPr>
          <w:rFonts w:ascii="Arial" w:hAnsi="Arial" w:cs="Arial"/>
          <w:i/>
          <w:iCs/>
          <w:color w:val="222222"/>
          <w:sz w:val="22"/>
          <w:szCs w:val="22"/>
          <w:shd w:val="clear" w:color="auto" w:fill="FFFFFF"/>
        </w:rPr>
        <w:t>California Comprehensive Tobacco Retailer Licensing Ordinance</w:t>
      </w:r>
      <w:r w:rsidRPr="00CB73B6">
        <w:rPr>
          <w:rFonts w:ascii="Arial" w:hAnsi="Arial" w:cs="Arial"/>
          <w:color w:val="222222"/>
          <w:sz w:val="22"/>
          <w:szCs w:val="22"/>
          <w:shd w:val="clear" w:color="auto" w:fill="FFFFFF"/>
        </w:rPr>
        <w:t xml:space="preserve"> (2019).</w:t>
      </w:r>
      <w:r w:rsidRPr="00CB73B6">
        <w:rPr>
          <w:rFonts w:ascii="Arial" w:eastAsia="Times New Roman" w:hAnsi="Arial" w:cs="Arial"/>
          <w:sz w:val="22"/>
          <w:szCs w:val="22"/>
        </w:rPr>
        <w:t xml:space="preserve"> </w:t>
      </w:r>
      <w:hyperlink r:id="rId111" w:history="1">
        <w:r w:rsidRPr="00CB73B6">
          <w:rPr>
            <w:rStyle w:val="Hyperlink"/>
            <w:rFonts w:ascii="Arial" w:eastAsia="Times New Roman" w:hAnsi="Arial" w:cs="Arial"/>
            <w:sz w:val="22"/>
            <w:szCs w:val="22"/>
          </w:rPr>
          <w:t>https://www.changelabsolutions.org/sites/default/files/ComprehensiveTRL_ModelOrdinance_FINAL_20190213_1.docx</w:t>
        </w:r>
      </w:hyperlink>
      <w:r w:rsidRPr="00CB73B6">
        <w:rPr>
          <w:rFonts w:ascii="Arial" w:eastAsia="Times New Roman" w:hAnsi="Arial" w:cs="Arial"/>
          <w:sz w:val="22"/>
          <w:szCs w:val="22"/>
        </w:rPr>
        <w:t xml:space="preserve">. </w:t>
      </w:r>
      <w:r w:rsidRPr="00CB73B6">
        <w:rPr>
          <w:rFonts w:ascii="Arial" w:hAnsi="Arial" w:cs="Arial"/>
          <w:i/>
          <w:sz w:val="22"/>
          <w:szCs w:val="22"/>
        </w:rPr>
        <w:t>This is an example of a model ordinance, particularly useful because it includes explanatory text and advice about how it should be modified for use by local communities.</w:t>
      </w:r>
    </w:p>
    <w:p w14:paraId="2C5FBBAA" w14:textId="77777777" w:rsidR="00CB73B6" w:rsidRPr="00CB73B6" w:rsidRDefault="00962EB1" w:rsidP="00152F9F">
      <w:pPr>
        <w:pStyle w:val="ListParagraph"/>
        <w:numPr>
          <w:ilvl w:val="0"/>
          <w:numId w:val="11"/>
        </w:numPr>
        <w:shd w:val="clear" w:color="auto" w:fill="FFFFFF"/>
        <w:rPr>
          <w:rStyle w:val="Hyperlink"/>
          <w:rFonts w:ascii="Arial" w:hAnsi="Arial" w:cs="Arial"/>
          <w:color w:val="222222"/>
          <w:sz w:val="22"/>
          <w:szCs w:val="22"/>
        </w:rPr>
      </w:pPr>
      <w:hyperlink r:id="rId112" w:tgtFrame="_blank" w:history="1">
        <w:r w:rsidR="00CB73B6" w:rsidRPr="00CB73B6">
          <w:rPr>
            <w:rStyle w:val="Hyperlink"/>
            <w:rFonts w:ascii="Arial" w:hAnsi="Arial" w:cs="Arial"/>
            <w:color w:val="1155CC"/>
            <w:sz w:val="22"/>
            <w:szCs w:val="22"/>
          </w:rPr>
          <w:t>https://www.vox.com/podcasts/2020/3/17/21182149/jane-mcalevey-the-ezra-klein-show-labor-organizing</w:t>
        </w:r>
      </w:hyperlink>
    </w:p>
    <w:p w14:paraId="6FAF2A51" w14:textId="77777777" w:rsidR="00CB73B6" w:rsidRPr="00CB73B6" w:rsidRDefault="00CB73B6" w:rsidP="00152F9F">
      <w:pPr>
        <w:pStyle w:val="ListParagraph"/>
        <w:numPr>
          <w:ilvl w:val="0"/>
          <w:numId w:val="11"/>
        </w:numPr>
        <w:shd w:val="clear" w:color="auto" w:fill="FFFFFF"/>
        <w:rPr>
          <w:rStyle w:val="Hyperlink"/>
          <w:rFonts w:ascii="Arial" w:hAnsi="Arial" w:cs="Arial"/>
          <w:sz w:val="22"/>
          <w:szCs w:val="22"/>
        </w:rPr>
      </w:pPr>
      <w:r w:rsidRPr="00CB73B6">
        <w:rPr>
          <w:rFonts w:ascii="Arial" w:hAnsi="Arial" w:cs="Arial"/>
          <w:sz w:val="22"/>
          <w:szCs w:val="22"/>
        </w:rPr>
        <w:t xml:space="preserve">Tom </w:t>
      </w:r>
      <w:hyperlink r:id="rId113" w:tooltip="Posts by Tom Wolff" w:history="1">
        <w:r w:rsidRPr="00CB73B6">
          <w:rPr>
            <w:rStyle w:val="Hyperlink"/>
            <w:rFonts w:ascii="Arial" w:hAnsi="Arial" w:cs="Arial"/>
            <w:color w:val="1A1A1A"/>
            <w:sz w:val="22"/>
            <w:szCs w:val="22"/>
            <w:bdr w:val="none" w:sz="0" w:space="0" w:color="auto" w:frame="1"/>
          </w:rPr>
          <w:t>Wolff</w:t>
        </w:r>
      </w:hyperlink>
      <w:r w:rsidRPr="00CB73B6">
        <w:rPr>
          <w:rFonts w:ascii="Arial" w:hAnsi="Arial" w:cs="Arial"/>
          <w:color w:val="1A1A1A"/>
          <w:sz w:val="22"/>
          <w:szCs w:val="22"/>
        </w:rPr>
        <w:t xml:space="preserve">  et al, </w:t>
      </w:r>
      <w:r w:rsidRPr="00CB73B6">
        <w:rPr>
          <w:rFonts w:ascii="Arial" w:hAnsi="Arial" w:cs="Arial"/>
          <w:i/>
          <w:iCs/>
          <w:color w:val="1A1A1A"/>
          <w:sz w:val="22"/>
          <w:szCs w:val="22"/>
        </w:rPr>
        <w:t>Collaborating for Equity and Justice: Moving Beyond Collective Impact,</w:t>
      </w:r>
      <w:r w:rsidRPr="00CB73B6">
        <w:rPr>
          <w:rFonts w:ascii="Arial" w:hAnsi="Arial" w:cs="Arial"/>
          <w:color w:val="1A1A1A"/>
          <w:sz w:val="22"/>
          <w:szCs w:val="22"/>
        </w:rPr>
        <w:t xml:space="preserve"> Nonprofit Quarterly, January 9, 2017. </w:t>
      </w:r>
      <w:hyperlink r:id="rId114" w:history="1">
        <w:r w:rsidRPr="00CB73B6">
          <w:rPr>
            <w:rStyle w:val="Hyperlink"/>
            <w:rFonts w:ascii="Arial" w:hAnsi="Arial" w:cs="Arial"/>
            <w:sz w:val="22"/>
            <w:szCs w:val="22"/>
          </w:rPr>
          <w:t>https://nonprofitquarterly.org/collaborating-equity-justice-moving-beyond-collective-impact/</w:t>
        </w:r>
      </w:hyperlink>
    </w:p>
    <w:p w14:paraId="2DF76328" w14:textId="77777777" w:rsidR="00CB73B6" w:rsidRPr="00CB73B6" w:rsidRDefault="00CB73B6" w:rsidP="00152F9F">
      <w:pPr>
        <w:pStyle w:val="paragraph"/>
        <w:numPr>
          <w:ilvl w:val="0"/>
          <w:numId w:val="11"/>
        </w:numPr>
        <w:spacing w:before="0" w:beforeAutospacing="0" w:after="0" w:afterAutospacing="0"/>
        <w:textAlignment w:val="baseline"/>
        <w:rPr>
          <w:rFonts w:ascii="Arial" w:hAnsi="Arial" w:cs="Arial"/>
          <w:sz w:val="22"/>
          <w:szCs w:val="22"/>
        </w:rPr>
      </w:pPr>
      <w:r w:rsidRPr="00CB73B6">
        <w:rPr>
          <w:rStyle w:val="Hyperlink"/>
          <w:rFonts w:ascii="Arial" w:hAnsi="Arial" w:cs="Arial"/>
          <w:sz w:val="22"/>
          <w:szCs w:val="22"/>
        </w:rPr>
        <w:t xml:space="preserve">Skim: International Accountability Project, A Community Action Guide on Community-led Research (2018). </w:t>
      </w:r>
      <w:hyperlink r:id="rId115" w:history="1">
        <w:r w:rsidRPr="00CB73B6">
          <w:rPr>
            <w:rStyle w:val="Hyperlink"/>
            <w:rFonts w:ascii="Arial" w:hAnsi="Arial" w:cs="Arial"/>
            <w:sz w:val="22"/>
            <w:szCs w:val="22"/>
          </w:rPr>
          <w:t>https://accountabilityproject.org/wp-content/uploads/2018/11/IAP-Comm-Act-Guide-web.pdf</w:t>
        </w:r>
      </w:hyperlink>
    </w:p>
    <w:p w14:paraId="06A3C795" w14:textId="77777777" w:rsidR="00CB73B6" w:rsidRPr="00CB73B6" w:rsidRDefault="00CB73B6" w:rsidP="00CB73B6">
      <w:pPr>
        <w:pStyle w:val="ListParagraph"/>
        <w:shd w:val="clear" w:color="auto" w:fill="FFFFFF"/>
        <w:rPr>
          <w:rFonts w:ascii="Arial" w:hAnsi="Arial" w:cs="Arial"/>
          <w:sz w:val="22"/>
          <w:szCs w:val="22"/>
        </w:rPr>
      </w:pPr>
    </w:p>
    <w:p w14:paraId="542C4EA2" w14:textId="77777777" w:rsidR="00CB73B6" w:rsidRPr="00CB73B6" w:rsidRDefault="00CB73B6" w:rsidP="00CB73B6">
      <w:pPr>
        <w:rPr>
          <w:rFonts w:ascii="Arial" w:hAnsi="Arial" w:cs="Arial"/>
          <w:sz w:val="22"/>
          <w:szCs w:val="22"/>
        </w:rPr>
      </w:pPr>
      <w:r w:rsidRPr="00CB73B6">
        <w:rPr>
          <w:rFonts w:ascii="Arial" w:hAnsi="Arial" w:cs="Arial"/>
          <w:b/>
          <w:bCs/>
          <w:sz w:val="22"/>
          <w:szCs w:val="22"/>
        </w:rPr>
        <w:t xml:space="preserve">Week 14: Leadership and Careers in Public Health Law: </w:t>
      </w:r>
      <w:r w:rsidRPr="00CB73B6">
        <w:rPr>
          <w:rFonts w:ascii="Arial" w:hAnsi="Arial" w:cs="Arial"/>
          <w:sz w:val="22"/>
          <w:szCs w:val="22"/>
        </w:rPr>
        <w:t xml:space="preserve">Invited speakers: </w:t>
      </w:r>
    </w:p>
    <w:p w14:paraId="42D17CD6" w14:textId="77777777" w:rsidR="00CB73B6" w:rsidRPr="00CB73B6" w:rsidRDefault="00962EB1" w:rsidP="00152F9F">
      <w:pPr>
        <w:pStyle w:val="ListParagraph"/>
        <w:numPr>
          <w:ilvl w:val="0"/>
          <w:numId w:val="25"/>
        </w:numPr>
        <w:rPr>
          <w:rFonts w:ascii="Arial" w:hAnsi="Arial" w:cs="Arial"/>
          <w:sz w:val="22"/>
          <w:szCs w:val="22"/>
        </w:rPr>
      </w:pPr>
      <w:hyperlink r:id="rId116" w:history="1">
        <w:r w:rsidR="00CB73B6" w:rsidRPr="00CB73B6">
          <w:rPr>
            <w:rStyle w:val="Hyperlink"/>
            <w:rFonts w:ascii="Arial" w:hAnsi="Arial" w:cs="Arial"/>
            <w:sz w:val="22"/>
            <w:szCs w:val="22"/>
          </w:rPr>
          <w:t xml:space="preserve">Sara de </w:t>
        </w:r>
        <w:proofErr w:type="spellStart"/>
        <w:r w:rsidR="00CB73B6" w:rsidRPr="00CB73B6">
          <w:rPr>
            <w:rStyle w:val="Hyperlink"/>
            <w:rFonts w:ascii="Arial" w:hAnsi="Arial" w:cs="Arial"/>
            <w:sz w:val="22"/>
            <w:szCs w:val="22"/>
          </w:rPr>
          <w:t>Guia</w:t>
        </w:r>
        <w:proofErr w:type="spellEnd"/>
      </w:hyperlink>
      <w:r w:rsidR="00CB73B6" w:rsidRPr="00CB73B6">
        <w:rPr>
          <w:rFonts w:ascii="Arial" w:hAnsi="Arial" w:cs="Arial"/>
          <w:sz w:val="22"/>
          <w:szCs w:val="22"/>
        </w:rPr>
        <w:t>, CEO, ChangeLab Solutions</w:t>
      </w:r>
    </w:p>
    <w:p w14:paraId="79AEEB5D" w14:textId="77777777" w:rsidR="00CB73B6" w:rsidRPr="00CB73B6" w:rsidRDefault="00962EB1" w:rsidP="00152F9F">
      <w:pPr>
        <w:pStyle w:val="ListParagraph"/>
        <w:numPr>
          <w:ilvl w:val="0"/>
          <w:numId w:val="25"/>
        </w:numPr>
        <w:rPr>
          <w:rFonts w:ascii="Arial" w:hAnsi="Arial" w:cs="Arial"/>
          <w:sz w:val="22"/>
          <w:szCs w:val="22"/>
        </w:rPr>
      </w:pPr>
      <w:hyperlink r:id="rId117" w:history="1">
        <w:r w:rsidR="00CB73B6" w:rsidRPr="00CB73B6">
          <w:rPr>
            <w:rStyle w:val="Hyperlink"/>
            <w:rFonts w:ascii="Arial" w:hAnsi="Arial" w:cs="Arial"/>
            <w:sz w:val="22"/>
            <w:szCs w:val="22"/>
          </w:rPr>
          <w:t>Ray Leung</w:t>
        </w:r>
      </w:hyperlink>
      <w:r w:rsidR="00CB73B6" w:rsidRPr="00CB73B6">
        <w:rPr>
          <w:rFonts w:ascii="Arial" w:hAnsi="Arial" w:cs="Arial"/>
          <w:sz w:val="22"/>
          <w:szCs w:val="22"/>
        </w:rPr>
        <w:t>, Deputy County Counsel, Alameda County</w:t>
      </w:r>
    </w:p>
    <w:p w14:paraId="468855E1" w14:textId="77777777" w:rsidR="00CB73B6" w:rsidRPr="00CB73B6" w:rsidRDefault="00962EB1" w:rsidP="00152F9F">
      <w:pPr>
        <w:pStyle w:val="ListParagraph"/>
        <w:numPr>
          <w:ilvl w:val="0"/>
          <w:numId w:val="25"/>
        </w:numPr>
        <w:rPr>
          <w:rFonts w:ascii="Arial" w:hAnsi="Arial" w:cs="Arial"/>
          <w:sz w:val="22"/>
          <w:szCs w:val="22"/>
        </w:rPr>
      </w:pPr>
      <w:hyperlink r:id="rId118" w:history="1">
        <w:r w:rsidR="00CB73B6" w:rsidRPr="00CB73B6">
          <w:rPr>
            <w:rStyle w:val="Hyperlink"/>
            <w:rFonts w:ascii="Arial" w:hAnsi="Arial" w:cs="Arial"/>
            <w:sz w:val="22"/>
            <w:szCs w:val="22"/>
          </w:rPr>
          <w:t>Lisa Hernandez</w:t>
        </w:r>
      </w:hyperlink>
      <w:r w:rsidR="00CB73B6" w:rsidRPr="00CB73B6">
        <w:rPr>
          <w:rFonts w:ascii="Arial" w:hAnsi="Arial" w:cs="Arial"/>
          <w:sz w:val="22"/>
          <w:szCs w:val="22"/>
        </w:rPr>
        <w:t>, Public Health Officer, City of Berkeley</w:t>
      </w:r>
    </w:p>
    <w:p w14:paraId="775385C2" w14:textId="77777777" w:rsidR="00CB73B6" w:rsidRPr="00CB73B6" w:rsidRDefault="00962EB1" w:rsidP="00152F9F">
      <w:pPr>
        <w:pStyle w:val="ListParagraph"/>
        <w:numPr>
          <w:ilvl w:val="0"/>
          <w:numId w:val="25"/>
        </w:numPr>
        <w:rPr>
          <w:rFonts w:ascii="Arial" w:hAnsi="Arial" w:cs="Arial"/>
          <w:sz w:val="22"/>
          <w:szCs w:val="22"/>
        </w:rPr>
      </w:pPr>
      <w:hyperlink r:id="rId119" w:history="1">
        <w:r w:rsidR="00CB73B6" w:rsidRPr="00CB73B6">
          <w:rPr>
            <w:rStyle w:val="Hyperlink"/>
            <w:rFonts w:ascii="Arial" w:hAnsi="Arial" w:cs="Arial"/>
            <w:sz w:val="22"/>
            <w:szCs w:val="22"/>
          </w:rPr>
          <w:t xml:space="preserve">Chuck </w:t>
        </w:r>
        <w:proofErr w:type="spellStart"/>
        <w:r w:rsidR="00CB73B6" w:rsidRPr="00CB73B6">
          <w:rPr>
            <w:rStyle w:val="Hyperlink"/>
            <w:rFonts w:ascii="Arial" w:hAnsi="Arial" w:cs="Arial"/>
            <w:sz w:val="22"/>
            <w:szCs w:val="22"/>
          </w:rPr>
          <w:t>McKetney</w:t>
        </w:r>
        <w:proofErr w:type="spellEnd"/>
      </w:hyperlink>
      <w:r w:rsidR="00CB73B6" w:rsidRPr="00CB73B6">
        <w:rPr>
          <w:rFonts w:ascii="Arial" w:hAnsi="Arial" w:cs="Arial"/>
          <w:sz w:val="22"/>
          <w:szCs w:val="22"/>
        </w:rPr>
        <w:t>, Director, Community Assessment, Planning and Evaluation (CAPE), Alameda County</w:t>
      </w:r>
    </w:p>
    <w:p w14:paraId="5A3F4854" w14:textId="77777777" w:rsidR="00CB73B6" w:rsidRPr="00CB73B6" w:rsidRDefault="00CB73B6" w:rsidP="00CB73B6">
      <w:pPr>
        <w:rPr>
          <w:rFonts w:ascii="Arial" w:hAnsi="Arial" w:cs="Arial"/>
          <w:sz w:val="22"/>
          <w:szCs w:val="22"/>
          <w:highlight w:val="lightGray"/>
        </w:rPr>
      </w:pPr>
    </w:p>
    <w:p w14:paraId="48C6AB3D" w14:textId="77777777" w:rsidR="00CB73B6" w:rsidRPr="00CB73B6" w:rsidRDefault="00CB73B6" w:rsidP="00CB73B6">
      <w:pPr>
        <w:rPr>
          <w:rFonts w:ascii="Arial" w:hAnsi="Arial" w:cs="Arial"/>
          <w:sz w:val="22"/>
          <w:szCs w:val="22"/>
        </w:rPr>
      </w:pPr>
      <w:r w:rsidRPr="00CB73B6">
        <w:rPr>
          <w:rFonts w:ascii="Arial" w:hAnsi="Arial" w:cs="Arial"/>
          <w:sz w:val="22"/>
          <w:szCs w:val="22"/>
        </w:rPr>
        <w:t>Introduction</w:t>
      </w:r>
    </w:p>
    <w:p w14:paraId="08A40C25" w14:textId="77777777" w:rsidR="00CB73B6" w:rsidRPr="00CB73B6" w:rsidRDefault="00CB73B6" w:rsidP="00CB73B6">
      <w:pPr>
        <w:rPr>
          <w:rFonts w:ascii="Arial" w:hAnsi="Arial" w:cs="Arial"/>
          <w:sz w:val="22"/>
          <w:szCs w:val="22"/>
        </w:rPr>
      </w:pPr>
      <w:r w:rsidRPr="00CB73B6">
        <w:rPr>
          <w:rFonts w:ascii="Arial" w:hAnsi="Arial" w:cs="Arial"/>
          <w:sz w:val="22"/>
          <w:szCs w:val="22"/>
        </w:rPr>
        <w:t>Throughout this course, we have focused on the practical applications of public health law and explored how leaders use the law to promote health equity. In this final class, we will hear from local public health leaders – lawyers, physicians and epidemiologists – who use law and policy to improve the health of our communities.  It will be a capstone event as we see law in action in our backyards.</w:t>
      </w:r>
    </w:p>
    <w:p w14:paraId="187297C6" w14:textId="77777777" w:rsidR="00CB73B6" w:rsidRPr="00CB73B6" w:rsidRDefault="00CB73B6" w:rsidP="00CB73B6">
      <w:pPr>
        <w:rPr>
          <w:rFonts w:ascii="Arial" w:hAnsi="Arial" w:cs="Arial"/>
          <w:sz w:val="22"/>
          <w:szCs w:val="22"/>
        </w:rPr>
      </w:pPr>
    </w:p>
    <w:p w14:paraId="7F354079" w14:textId="77777777" w:rsidR="00CB73B6" w:rsidRPr="00CB73B6" w:rsidRDefault="00CB73B6" w:rsidP="00CB73B6">
      <w:pPr>
        <w:rPr>
          <w:rFonts w:ascii="Arial" w:hAnsi="Arial" w:cs="Arial"/>
          <w:sz w:val="22"/>
          <w:szCs w:val="22"/>
        </w:rPr>
      </w:pPr>
      <w:r w:rsidRPr="00CB73B6">
        <w:rPr>
          <w:rFonts w:ascii="Arial" w:hAnsi="Arial" w:cs="Arial"/>
          <w:sz w:val="22"/>
          <w:szCs w:val="22"/>
        </w:rPr>
        <w:t>Learning Goals</w:t>
      </w:r>
    </w:p>
    <w:p w14:paraId="38F74EFA" w14:textId="77777777" w:rsidR="00CB73B6" w:rsidRPr="00CB73B6" w:rsidRDefault="00CB73B6" w:rsidP="00152F9F">
      <w:pPr>
        <w:pStyle w:val="ListParagraph"/>
        <w:numPr>
          <w:ilvl w:val="0"/>
          <w:numId w:val="23"/>
        </w:numPr>
        <w:rPr>
          <w:rFonts w:ascii="Arial" w:hAnsi="Arial" w:cs="Arial"/>
          <w:sz w:val="22"/>
          <w:szCs w:val="22"/>
        </w:rPr>
      </w:pPr>
      <w:r w:rsidRPr="00CB73B6">
        <w:rPr>
          <w:rFonts w:ascii="Arial" w:hAnsi="Arial" w:cs="Arial"/>
          <w:sz w:val="22"/>
          <w:szCs w:val="22"/>
        </w:rPr>
        <w:t>Create a new cadre of public health leaders!</w:t>
      </w:r>
    </w:p>
    <w:p w14:paraId="029DB1C1" w14:textId="77777777" w:rsidR="00CB73B6" w:rsidRPr="00CB73B6" w:rsidRDefault="00CB73B6" w:rsidP="00152F9F">
      <w:pPr>
        <w:pStyle w:val="ListParagraph"/>
        <w:numPr>
          <w:ilvl w:val="0"/>
          <w:numId w:val="23"/>
        </w:numPr>
        <w:rPr>
          <w:rFonts w:ascii="Arial" w:hAnsi="Arial" w:cs="Arial"/>
          <w:sz w:val="22"/>
          <w:szCs w:val="22"/>
        </w:rPr>
      </w:pPr>
      <w:r w:rsidRPr="00CB73B6">
        <w:rPr>
          <w:rFonts w:ascii="Arial" w:hAnsi="Arial" w:cs="Arial"/>
          <w:sz w:val="22"/>
          <w:szCs w:val="22"/>
        </w:rPr>
        <w:t xml:space="preserve">Learn how local </w:t>
      </w:r>
      <w:proofErr w:type="gramStart"/>
      <w:r w:rsidRPr="00CB73B6">
        <w:rPr>
          <w:rFonts w:ascii="Arial" w:hAnsi="Arial" w:cs="Arial"/>
          <w:sz w:val="22"/>
          <w:szCs w:val="22"/>
        </w:rPr>
        <w:t>leaders</w:t>
      </w:r>
      <w:proofErr w:type="gramEnd"/>
      <w:r w:rsidRPr="00CB73B6">
        <w:rPr>
          <w:rFonts w:ascii="Arial" w:hAnsi="Arial" w:cs="Arial"/>
          <w:sz w:val="22"/>
          <w:szCs w:val="22"/>
        </w:rPr>
        <w:t xml:space="preserve"> function inside and outside of government to improve population health</w:t>
      </w:r>
    </w:p>
    <w:p w14:paraId="76B8DFEC" w14:textId="77777777" w:rsidR="00CB73B6" w:rsidRPr="00CB73B6" w:rsidRDefault="00CB73B6" w:rsidP="00152F9F">
      <w:pPr>
        <w:pStyle w:val="ListParagraph"/>
        <w:numPr>
          <w:ilvl w:val="0"/>
          <w:numId w:val="23"/>
        </w:numPr>
        <w:rPr>
          <w:rFonts w:ascii="Arial" w:hAnsi="Arial" w:cs="Arial"/>
          <w:sz w:val="22"/>
          <w:szCs w:val="22"/>
        </w:rPr>
      </w:pPr>
      <w:r w:rsidRPr="00CB73B6">
        <w:rPr>
          <w:rFonts w:ascii="Arial" w:hAnsi="Arial" w:cs="Arial"/>
          <w:sz w:val="22"/>
          <w:szCs w:val="22"/>
        </w:rPr>
        <w:t>Explore our own potential as advocates and leaders</w:t>
      </w:r>
    </w:p>
    <w:p w14:paraId="2D736463" w14:textId="77777777" w:rsidR="00CB73B6" w:rsidRPr="00CB73B6" w:rsidRDefault="00CB73B6" w:rsidP="00CB73B6">
      <w:pPr>
        <w:rPr>
          <w:rFonts w:ascii="Arial" w:hAnsi="Arial" w:cs="Arial"/>
          <w:sz w:val="22"/>
          <w:szCs w:val="22"/>
        </w:rPr>
      </w:pPr>
    </w:p>
    <w:p w14:paraId="3EDEF9EA" w14:textId="77777777" w:rsidR="00CB73B6" w:rsidRPr="00CB73B6" w:rsidRDefault="00CB73B6" w:rsidP="00CB73B6">
      <w:pPr>
        <w:rPr>
          <w:rFonts w:ascii="Arial" w:hAnsi="Arial" w:cs="Arial"/>
          <w:sz w:val="22"/>
          <w:szCs w:val="22"/>
        </w:rPr>
      </w:pPr>
      <w:r w:rsidRPr="00CB73B6">
        <w:rPr>
          <w:rFonts w:ascii="Arial" w:hAnsi="Arial" w:cs="Arial"/>
          <w:sz w:val="22"/>
          <w:szCs w:val="22"/>
        </w:rPr>
        <w:t>Reading Assignment</w:t>
      </w:r>
    </w:p>
    <w:p w14:paraId="0B265895" w14:textId="77777777" w:rsidR="00CB73B6" w:rsidRPr="00CB73B6" w:rsidRDefault="00CB73B6" w:rsidP="00152F9F">
      <w:pPr>
        <w:pStyle w:val="ListParagraph"/>
        <w:numPr>
          <w:ilvl w:val="0"/>
          <w:numId w:val="32"/>
        </w:numPr>
        <w:rPr>
          <w:rStyle w:val="Hyperlink"/>
          <w:rFonts w:ascii="Arial" w:hAnsi="Arial" w:cs="Arial"/>
          <w:sz w:val="22"/>
          <w:szCs w:val="22"/>
        </w:rPr>
      </w:pPr>
      <w:r w:rsidRPr="00CB73B6">
        <w:rPr>
          <w:rFonts w:ascii="Arial" w:hAnsi="Arial" w:cs="Arial"/>
          <w:color w:val="222222"/>
          <w:sz w:val="22"/>
          <w:szCs w:val="22"/>
          <w:shd w:val="clear" w:color="auto" w:fill="FFFFFF"/>
        </w:rPr>
        <w:t xml:space="preserve">Audacious Future: Commitment Required. University of Virginia, Racial Equity Task Force (2020). </w:t>
      </w:r>
      <w:hyperlink r:id="rId120" w:history="1">
        <w:r w:rsidRPr="00CB73B6">
          <w:rPr>
            <w:rStyle w:val="Hyperlink"/>
            <w:rFonts w:ascii="Arial" w:hAnsi="Arial" w:cs="Arial"/>
            <w:sz w:val="22"/>
            <w:szCs w:val="22"/>
            <w:shd w:val="clear" w:color="auto" w:fill="FFFFFF"/>
          </w:rPr>
          <w:t>https://racialequity.virginia.edu/sites/g/files/jsddwu356/files/2020-08/RETFFinalSigned.pdf</w:t>
        </w:r>
      </w:hyperlink>
      <w:r w:rsidRPr="00CB73B6">
        <w:rPr>
          <w:rStyle w:val="Hyperlink"/>
          <w:rFonts w:ascii="Arial" w:hAnsi="Arial" w:cs="Arial"/>
          <w:sz w:val="22"/>
          <w:szCs w:val="22"/>
          <w:shd w:val="clear" w:color="auto" w:fill="FFFFFF"/>
        </w:rPr>
        <w:t xml:space="preserve"> </w:t>
      </w:r>
    </w:p>
    <w:p w14:paraId="5921060C" w14:textId="77777777" w:rsidR="00CB73B6" w:rsidRPr="00CB73B6" w:rsidRDefault="00CB73B6" w:rsidP="00152F9F">
      <w:pPr>
        <w:pStyle w:val="ListParagraph"/>
        <w:numPr>
          <w:ilvl w:val="0"/>
          <w:numId w:val="32"/>
        </w:numPr>
        <w:rPr>
          <w:rStyle w:val="Hyperlink"/>
          <w:rFonts w:ascii="Arial" w:hAnsi="Arial" w:cs="Arial"/>
          <w:sz w:val="22"/>
          <w:szCs w:val="22"/>
        </w:rPr>
      </w:pPr>
      <w:r w:rsidRPr="005106E8">
        <w:rPr>
          <w:rStyle w:val="Hyperlink"/>
          <w:rFonts w:ascii="Arial" w:hAnsi="Arial" w:cs="Arial"/>
          <w:color w:val="auto"/>
          <w:sz w:val="22"/>
          <w:szCs w:val="22"/>
          <w:u w:val="none"/>
          <w:shd w:val="clear" w:color="auto" w:fill="FFFFFF"/>
        </w:rPr>
        <w:t xml:space="preserve">Larry </w:t>
      </w:r>
      <w:proofErr w:type="spellStart"/>
      <w:r w:rsidRPr="005106E8">
        <w:rPr>
          <w:rStyle w:val="Hyperlink"/>
          <w:rFonts w:ascii="Arial" w:hAnsi="Arial" w:cs="Arial"/>
          <w:color w:val="auto"/>
          <w:sz w:val="22"/>
          <w:szCs w:val="22"/>
          <w:u w:val="none"/>
          <w:shd w:val="clear" w:color="auto" w:fill="FFFFFF"/>
        </w:rPr>
        <w:t>Gostin</w:t>
      </w:r>
      <w:proofErr w:type="spellEnd"/>
      <w:r w:rsidRPr="005106E8">
        <w:rPr>
          <w:rStyle w:val="Hyperlink"/>
          <w:rFonts w:ascii="Arial" w:hAnsi="Arial" w:cs="Arial"/>
          <w:color w:val="auto"/>
          <w:sz w:val="22"/>
          <w:szCs w:val="22"/>
          <w:u w:val="none"/>
          <w:shd w:val="clear" w:color="auto" w:fill="FFFFFF"/>
        </w:rPr>
        <w:t xml:space="preserve"> et al. Universal Masking in the United States: The Role of Mandates, Health Education, and the CDC. JAMA Viewpoint, August 10, 2020.</w:t>
      </w:r>
      <w:r w:rsidRPr="00CB73B6">
        <w:rPr>
          <w:rStyle w:val="Hyperlink"/>
          <w:rFonts w:ascii="Arial" w:hAnsi="Arial" w:cs="Arial"/>
          <w:sz w:val="22"/>
          <w:szCs w:val="22"/>
          <w:shd w:val="clear" w:color="auto" w:fill="FFFFFF"/>
        </w:rPr>
        <w:t xml:space="preserve"> </w:t>
      </w:r>
      <w:hyperlink r:id="rId121" w:history="1">
        <w:r w:rsidRPr="00CB73B6">
          <w:rPr>
            <w:rStyle w:val="Hyperlink"/>
            <w:rFonts w:ascii="Arial" w:hAnsi="Arial" w:cs="Arial"/>
            <w:sz w:val="22"/>
            <w:szCs w:val="22"/>
          </w:rPr>
          <w:t>https://jamanetwork.com/journals/jama/fullarticle/2769440</w:t>
        </w:r>
      </w:hyperlink>
      <w:r w:rsidRPr="00CB73B6">
        <w:rPr>
          <w:rFonts w:ascii="Arial" w:hAnsi="Arial" w:cs="Arial"/>
          <w:sz w:val="22"/>
          <w:szCs w:val="22"/>
        </w:rPr>
        <w:t xml:space="preserve"> </w:t>
      </w:r>
      <w:r w:rsidRPr="00CB73B6">
        <w:rPr>
          <w:rStyle w:val="Hyperlink"/>
          <w:rFonts w:ascii="Arial" w:hAnsi="Arial" w:cs="Arial"/>
          <w:sz w:val="22"/>
          <w:szCs w:val="22"/>
          <w:shd w:val="clear" w:color="auto" w:fill="FFFFFF"/>
        </w:rPr>
        <w:t>– Focus on the new powers needed by the CDC to ensure future effectiveness,</w:t>
      </w:r>
    </w:p>
    <w:p w14:paraId="62F1E3DB" w14:textId="77777777" w:rsidR="00CB73B6" w:rsidRPr="00FD76B3" w:rsidRDefault="00CB73B6" w:rsidP="00CB73B6">
      <w:pPr>
        <w:pStyle w:val="ListParagraph"/>
        <w:rPr>
          <w:rFonts w:cstheme="minorHAnsi"/>
        </w:rPr>
      </w:pPr>
    </w:p>
    <w:p w14:paraId="0B18C2EF" w14:textId="77777777" w:rsidR="00A55945" w:rsidRDefault="00A55945"/>
    <w:sectPr w:rsidR="00A55945" w:rsidSect="00284FC7">
      <w:footerReference w:type="even" r:id="rId122"/>
      <w:footerReference w:type="default" r:id="rId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9F25B" w14:textId="77777777" w:rsidR="00F31F8C" w:rsidRDefault="00F31F8C" w:rsidP="00713112">
      <w:r>
        <w:separator/>
      </w:r>
    </w:p>
  </w:endnote>
  <w:endnote w:type="continuationSeparator" w:id="0">
    <w:p w14:paraId="137BD9DF" w14:textId="77777777" w:rsidR="00F31F8C" w:rsidRDefault="00F31F8C" w:rsidP="0071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4892015"/>
      <w:docPartObj>
        <w:docPartGallery w:val="Page Numbers (Bottom of Page)"/>
        <w:docPartUnique/>
      </w:docPartObj>
    </w:sdtPr>
    <w:sdtContent>
      <w:p w14:paraId="20E1B6A5" w14:textId="4636E57F" w:rsidR="00962EB1" w:rsidRDefault="00962EB1" w:rsidP="00CB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1BFA4" w14:textId="77777777" w:rsidR="00962EB1" w:rsidRDefault="00962EB1" w:rsidP="00AA5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365163"/>
      <w:docPartObj>
        <w:docPartGallery w:val="Page Numbers (Bottom of Page)"/>
        <w:docPartUnique/>
      </w:docPartObj>
    </w:sdtPr>
    <w:sdtContent>
      <w:p w14:paraId="3736EDA3" w14:textId="1F32A8AF" w:rsidR="00962EB1" w:rsidRDefault="00962EB1" w:rsidP="00CB73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2EC1D91" w14:textId="77777777" w:rsidR="00962EB1" w:rsidRDefault="00962EB1" w:rsidP="00AA5F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E4B8" w14:textId="77777777" w:rsidR="00F31F8C" w:rsidRDefault="00F31F8C" w:rsidP="00713112">
      <w:r>
        <w:separator/>
      </w:r>
    </w:p>
  </w:footnote>
  <w:footnote w:type="continuationSeparator" w:id="0">
    <w:p w14:paraId="73C18FB2" w14:textId="77777777" w:rsidR="00F31F8C" w:rsidRDefault="00F31F8C" w:rsidP="0071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1A1"/>
    <w:multiLevelType w:val="hybridMultilevel"/>
    <w:tmpl w:val="EB9C3E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494ECF"/>
    <w:multiLevelType w:val="hybridMultilevel"/>
    <w:tmpl w:val="1CCC1E36"/>
    <w:lvl w:ilvl="0" w:tplc="13A8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1F39"/>
    <w:multiLevelType w:val="hybridMultilevel"/>
    <w:tmpl w:val="144C10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3833B7"/>
    <w:multiLevelType w:val="multilevel"/>
    <w:tmpl w:val="7E1E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E52B9"/>
    <w:multiLevelType w:val="hybridMultilevel"/>
    <w:tmpl w:val="A944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D859B0"/>
    <w:multiLevelType w:val="hybridMultilevel"/>
    <w:tmpl w:val="0054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72746"/>
    <w:multiLevelType w:val="hybridMultilevel"/>
    <w:tmpl w:val="CDC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E05E0"/>
    <w:multiLevelType w:val="hybridMultilevel"/>
    <w:tmpl w:val="247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B60C60"/>
    <w:multiLevelType w:val="hybridMultilevel"/>
    <w:tmpl w:val="C3A88D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7151ADA"/>
    <w:multiLevelType w:val="hybridMultilevel"/>
    <w:tmpl w:val="AA54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A72C3"/>
    <w:multiLevelType w:val="hybridMultilevel"/>
    <w:tmpl w:val="E11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662BE"/>
    <w:multiLevelType w:val="hybridMultilevel"/>
    <w:tmpl w:val="C722FF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7D33B6"/>
    <w:multiLevelType w:val="hybridMultilevel"/>
    <w:tmpl w:val="1BE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05C37"/>
    <w:multiLevelType w:val="hybridMultilevel"/>
    <w:tmpl w:val="05E4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006A6"/>
    <w:multiLevelType w:val="hybridMultilevel"/>
    <w:tmpl w:val="75EC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D12837"/>
    <w:multiLevelType w:val="hybridMultilevel"/>
    <w:tmpl w:val="17F447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6C4A62"/>
    <w:multiLevelType w:val="hybridMultilevel"/>
    <w:tmpl w:val="BCDE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A73C4C"/>
    <w:multiLevelType w:val="hybridMultilevel"/>
    <w:tmpl w:val="E5D835D4"/>
    <w:lvl w:ilvl="0" w:tplc="F71C74F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56B11"/>
    <w:multiLevelType w:val="hybridMultilevel"/>
    <w:tmpl w:val="8366487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E7930C4"/>
    <w:multiLevelType w:val="hybridMultilevel"/>
    <w:tmpl w:val="0B08AB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0673FE8"/>
    <w:multiLevelType w:val="hybridMultilevel"/>
    <w:tmpl w:val="F73A1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118475A"/>
    <w:multiLevelType w:val="hybridMultilevel"/>
    <w:tmpl w:val="26D04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2374B6"/>
    <w:multiLevelType w:val="hybridMultilevel"/>
    <w:tmpl w:val="726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D1F43"/>
    <w:multiLevelType w:val="hybridMultilevel"/>
    <w:tmpl w:val="1E4A5588"/>
    <w:lvl w:ilvl="0" w:tplc="C94CF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2F69C1"/>
    <w:multiLevelType w:val="hybridMultilevel"/>
    <w:tmpl w:val="A22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B3AB6"/>
    <w:multiLevelType w:val="hybridMultilevel"/>
    <w:tmpl w:val="54B89B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64F90408"/>
    <w:multiLevelType w:val="hybridMultilevel"/>
    <w:tmpl w:val="AA0C0EE4"/>
    <w:lvl w:ilvl="0" w:tplc="C94CF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507F6B"/>
    <w:multiLevelType w:val="hybridMultilevel"/>
    <w:tmpl w:val="0438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728F1"/>
    <w:multiLevelType w:val="hybridMultilevel"/>
    <w:tmpl w:val="21C29018"/>
    <w:lvl w:ilvl="0" w:tplc="BCEE7FE6">
      <w:start w:val="5"/>
      <w:numFmt w:val="bullet"/>
      <w:lvlText w:val="•"/>
      <w:lvlJc w:val="left"/>
      <w:pPr>
        <w:ind w:left="720" w:hanging="720"/>
      </w:pPr>
      <w:rPr>
        <w:rFonts w:ascii="Arial" w:eastAsia="Times New Roman" w:hAnsi="Aria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710E40"/>
    <w:multiLevelType w:val="hybridMultilevel"/>
    <w:tmpl w:val="C0DC598C"/>
    <w:lvl w:ilvl="0" w:tplc="04090001">
      <w:start w:val="1"/>
      <w:numFmt w:val="bullet"/>
      <w:lvlText w:val=""/>
      <w:lvlJc w:val="left"/>
      <w:pPr>
        <w:ind w:left="720" w:hanging="72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97CD5"/>
    <w:multiLevelType w:val="hybridMultilevel"/>
    <w:tmpl w:val="A7E803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7457F"/>
    <w:multiLevelType w:val="hybridMultilevel"/>
    <w:tmpl w:val="8DD0DE3A"/>
    <w:lvl w:ilvl="0" w:tplc="1598E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E33ECB"/>
    <w:multiLevelType w:val="hybridMultilevel"/>
    <w:tmpl w:val="6EA4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60FD4"/>
    <w:multiLevelType w:val="hybridMultilevel"/>
    <w:tmpl w:val="3934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21269"/>
    <w:multiLevelType w:val="hybridMultilevel"/>
    <w:tmpl w:val="EC2AB856"/>
    <w:lvl w:ilvl="0" w:tplc="67D6D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53FCB"/>
    <w:multiLevelType w:val="hybridMultilevel"/>
    <w:tmpl w:val="2FFC3B6C"/>
    <w:lvl w:ilvl="0" w:tplc="F71C74F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8"/>
  </w:num>
  <w:num w:numId="4">
    <w:abstractNumId w:val="25"/>
  </w:num>
  <w:num w:numId="5">
    <w:abstractNumId w:val="8"/>
  </w:num>
  <w:num w:numId="6">
    <w:abstractNumId w:val="29"/>
  </w:num>
  <w:num w:numId="7">
    <w:abstractNumId w:val="3"/>
  </w:num>
  <w:num w:numId="8">
    <w:abstractNumId w:val="22"/>
  </w:num>
  <w:num w:numId="9">
    <w:abstractNumId w:val="17"/>
  </w:num>
  <w:num w:numId="10">
    <w:abstractNumId w:val="13"/>
  </w:num>
  <w:num w:numId="11">
    <w:abstractNumId w:val="9"/>
  </w:num>
  <w:num w:numId="12">
    <w:abstractNumId w:val="20"/>
  </w:num>
  <w:num w:numId="13">
    <w:abstractNumId w:val="24"/>
  </w:num>
  <w:num w:numId="14">
    <w:abstractNumId w:val="31"/>
  </w:num>
  <w:num w:numId="15">
    <w:abstractNumId w:val="0"/>
  </w:num>
  <w:num w:numId="16">
    <w:abstractNumId w:val="14"/>
  </w:num>
  <w:num w:numId="17">
    <w:abstractNumId w:val="4"/>
  </w:num>
  <w:num w:numId="18">
    <w:abstractNumId w:val="16"/>
  </w:num>
  <w:num w:numId="19">
    <w:abstractNumId w:val="7"/>
  </w:num>
  <w:num w:numId="20">
    <w:abstractNumId w:val="18"/>
  </w:num>
  <w:num w:numId="21">
    <w:abstractNumId w:val="21"/>
  </w:num>
  <w:num w:numId="22">
    <w:abstractNumId w:val="33"/>
  </w:num>
  <w:num w:numId="23">
    <w:abstractNumId w:val="2"/>
  </w:num>
  <w:num w:numId="24">
    <w:abstractNumId w:val="19"/>
  </w:num>
  <w:num w:numId="25">
    <w:abstractNumId w:val="11"/>
  </w:num>
  <w:num w:numId="26">
    <w:abstractNumId w:val="5"/>
  </w:num>
  <w:num w:numId="27">
    <w:abstractNumId w:val="23"/>
  </w:num>
  <w:num w:numId="28">
    <w:abstractNumId w:val="35"/>
  </w:num>
  <w:num w:numId="29">
    <w:abstractNumId w:val="10"/>
  </w:num>
  <w:num w:numId="30">
    <w:abstractNumId w:val="12"/>
  </w:num>
  <w:num w:numId="31">
    <w:abstractNumId w:val="32"/>
  </w:num>
  <w:num w:numId="32">
    <w:abstractNumId w:val="6"/>
  </w:num>
  <w:num w:numId="33">
    <w:abstractNumId w:val="27"/>
  </w:num>
  <w:num w:numId="34">
    <w:abstractNumId w:val="26"/>
  </w:num>
  <w:num w:numId="35">
    <w:abstractNumId w:val="34"/>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12"/>
    <w:rsid w:val="0002660C"/>
    <w:rsid w:val="00061451"/>
    <w:rsid w:val="00072018"/>
    <w:rsid w:val="000A5727"/>
    <w:rsid w:val="000F1E12"/>
    <w:rsid w:val="000F791F"/>
    <w:rsid w:val="00152F9F"/>
    <w:rsid w:val="00190386"/>
    <w:rsid w:val="001A3899"/>
    <w:rsid w:val="001F0BAE"/>
    <w:rsid w:val="00284FC7"/>
    <w:rsid w:val="002A006F"/>
    <w:rsid w:val="002D0634"/>
    <w:rsid w:val="00314069"/>
    <w:rsid w:val="004666E2"/>
    <w:rsid w:val="00473DB7"/>
    <w:rsid w:val="004952A2"/>
    <w:rsid w:val="005106E8"/>
    <w:rsid w:val="00524491"/>
    <w:rsid w:val="005D5187"/>
    <w:rsid w:val="005F3D9C"/>
    <w:rsid w:val="00665BF0"/>
    <w:rsid w:val="00671E5D"/>
    <w:rsid w:val="006D4C6C"/>
    <w:rsid w:val="00713112"/>
    <w:rsid w:val="00802A37"/>
    <w:rsid w:val="00803554"/>
    <w:rsid w:val="00876D50"/>
    <w:rsid w:val="008A35AF"/>
    <w:rsid w:val="0095610D"/>
    <w:rsid w:val="00962EB1"/>
    <w:rsid w:val="0096623A"/>
    <w:rsid w:val="009A3E08"/>
    <w:rsid w:val="00A04026"/>
    <w:rsid w:val="00A16254"/>
    <w:rsid w:val="00A52D98"/>
    <w:rsid w:val="00A55945"/>
    <w:rsid w:val="00AA0BE9"/>
    <w:rsid w:val="00AA5F72"/>
    <w:rsid w:val="00AB3CEA"/>
    <w:rsid w:val="00AB3F18"/>
    <w:rsid w:val="00AF50F7"/>
    <w:rsid w:val="00B27B3C"/>
    <w:rsid w:val="00BF34BF"/>
    <w:rsid w:val="00C25A9D"/>
    <w:rsid w:val="00C65B73"/>
    <w:rsid w:val="00C91861"/>
    <w:rsid w:val="00CA4901"/>
    <w:rsid w:val="00CB73B6"/>
    <w:rsid w:val="00CD547F"/>
    <w:rsid w:val="00D15002"/>
    <w:rsid w:val="00D36E5B"/>
    <w:rsid w:val="00D51CB7"/>
    <w:rsid w:val="00D9544F"/>
    <w:rsid w:val="00DA3B14"/>
    <w:rsid w:val="00E05F81"/>
    <w:rsid w:val="00E55442"/>
    <w:rsid w:val="00EC0FF8"/>
    <w:rsid w:val="00EC5E4F"/>
    <w:rsid w:val="00ED7856"/>
    <w:rsid w:val="00EE2831"/>
    <w:rsid w:val="00EE4F43"/>
    <w:rsid w:val="00F31F8C"/>
    <w:rsid w:val="00F41C0F"/>
    <w:rsid w:val="00F911DF"/>
    <w:rsid w:val="00FA0089"/>
    <w:rsid w:val="53615FCE"/>
    <w:rsid w:val="5507A810"/>
    <w:rsid w:val="58C5563E"/>
    <w:rsid w:val="5A46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E0DE"/>
  <w15:chartTrackingRefBased/>
  <w15:docId w15:val="{539FFC1D-6773-6F4E-9EDC-9DFA7A3D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831"/>
    <w:rPr>
      <w:rFonts w:ascii="Times New Roman" w:eastAsia="Times New Roman" w:hAnsi="Times New Roman" w:cs="Times New Roman"/>
    </w:rPr>
  </w:style>
  <w:style w:type="paragraph" w:styleId="Heading1">
    <w:name w:val="heading 1"/>
    <w:basedOn w:val="Normal"/>
    <w:next w:val="Normal"/>
    <w:link w:val="Heading1Char"/>
    <w:uiPriority w:val="9"/>
    <w:qFormat/>
    <w:rsid w:val="001F0B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727"/>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A5727"/>
    <w:pPr>
      <w:keepNext/>
      <w:keepLines/>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unhideWhenUsed/>
    <w:qFormat/>
    <w:rsid w:val="000A5727"/>
    <w:pPr>
      <w:keepNext/>
      <w:keepLines/>
      <w:spacing w:before="4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1F0BAE"/>
    <w:pPr>
      <w:outlineLvl w:val="4"/>
    </w:pPr>
    <w:rPr>
      <w:rFonts w:ascii="Arial"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112"/>
    <w:pPr>
      <w:spacing w:before="100" w:beforeAutospacing="1" w:after="100" w:afterAutospacing="1"/>
    </w:pPr>
  </w:style>
  <w:style w:type="paragraph" w:styleId="Header">
    <w:name w:val="header"/>
    <w:basedOn w:val="Normal"/>
    <w:link w:val="Head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13112"/>
  </w:style>
  <w:style w:type="paragraph" w:styleId="Footer">
    <w:name w:val="footer"/>
    <w:basedOn w:val="Normal"/>
    <w:link w:val="Foot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13112"/>
  </w:style>
  <w:style w:type="character" w:customStyle="1" w:styleId="apple-tab-span">
    <w:name w:val="apple-tab-span"/>
    <w:basedOn w:val="DefaultParagraphFont"/>
    <w:rsid w:val="00713112"/>
  </w:style>
  <w:style w:type="character" w:styleId="Hyperlink">
    <w:name w:val="Hyperlink"/>
    <w:basedOn w:val="DefaultParagraphFont"/>
    <w:uiPriority w:val="99"/>
    <w:unhideWhenUsed/>
    <w:rsid w:val="00713112"/>
    <w:rPr>
      <w:color w:val="0000FF"/>
      <w:u w:val="single"/>
    </w:rPr>
  </w:style>
  <w:style w:type="character" w:customStyle="1" w:styleId="UnresolvedMention1">
    <w:name w:val="Unresolved Mention1"/>
    <w:basedOn w:val="DefaultParagraphFont"/>
    <w:uiPriority w:val="99"/>
    <w:semiHidden/>
    <w:unhideWhenUsed/>
    <w:rsid w:val="00803554"/>
    <w:rPr>
      <w:color w:val="605E5C"/>
      <w:shd w:val="clear" w:color="auto" w:fill="E1DFDD"/>
    </w:rPr>
  </w:style>
  <w:style w:type="character" w:styleId="PageNumber">
    <w:name w:val="page number"/>
    <w:basedOn w:val="DefaultParagraphFont"/>
    <w:uiPriority w:val="99"/>
    <w:semiHidden/>
    <w:unhideWhenUsed/>
    <w:rsid w:val="00AA5F72"/>
  </w:style>
  <w:style w:type="character" w:styleId="CommentReference">
    <w:name w:val="annotation reference"/>
    <w:basedOn w:val="DefaultParagraphFont"/>
    <w:uiPriority w:val="99"/>
    <w:semiHidden/>
    <w:unhideWhenUsed/>
    <w:rsid w:val="00C91861"/>
    <w:rPr>
      <w:sz w:val="16"/>
      <w:szCs w:val="16"/>
    </w:rPr>
  </w:style>
  <w:style w:type="paragraph" w:styleId="CommentText">
    <w:name w:val="annotation text"/>
    <w:basedOn w:val="Normal"/>
    <w:link w:val="CommentTextChar"/>
    <w:uiPriority w:val="99"/>
    <w:semiHidden/>
    <w:unhideWhenUsed/>
    <w:rsid w:val="00C9186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1861"/>
    <w:rPr>
      <w:sz w:val="20"/>
      <w:szCs w:val="20"/>
    </w:rPr>
  </w:style>
  <w:style w:type="paragraph" w:styleId="CommentSubject">
    <w:name w:val="annotation subject"/>
    <w:basedOn w:val="CommentText"/>
    <w:next w:val="CommentText"/>
    <w:link w:val="CommentSubjectChar"/>
    <w:uiPriority w:val="99"/>
    <w:semiHidden/>
    <w:unhideWhenUsed/>
    <w:rsid w:val="00C91861"/>
    <w:rPr>
      <w:b/>
      <w:bCs/>
    </w:rPr>
  </w:style>
  <w:style w:type="character" w:customStyle="1" w:styleId="CommentSubjectChar">
    <w:name w:val="Comment Subject Char"/>
    <w:basedOn w:val="CommentTextChar"/>
    <w:link w:val="CommentSubject"/>
    <w:uiPriority w:val="99"/>
    <w:semiHidden/>
    <w:rsid w:val="00C91861"/>
    <w:rPr>
      <w:b/>
      <w:bCs/>
      <w:sz w:val="20"/>
      <w:szCs w:val="20"/>
    </w:rPr>
  </w:style>
  <w:style w:type="paragraph" w:styleId="BalloonText">
    <w:name w:val="Balloon Text"/>
    <w:basedOn w:val="Normal"/>
    <w:link w:val="BalloonTextChar"/>
    <w:uiPriority w:val="99"/>
    <w:semiHidden/>
    <w:unhideWhenUsed/>
    <w:rsid w:val="00C9186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91861"/>
    <w:rPr>
      <w:rFonts w:ascii="Segoe UI" w:hAnsi="Segoe UI" w:cs="Segoe UI"/>
      <w:sz w:val="18"/>
      <w:szCs w:val="18"/>
    </w:rPr>
  </w:style>
  <w:style w:type="paragraph" w:styleId="Revision">
    <w:name w:val="Revision"/>
    <w:hidden/>
    <w:uiPriority w:val="99"/>
    <w:semiHidden/>
    <w:rsid w:val="00061451"/>
  </w:style>
  <w:style w:type="character" w:styleId="FollowedHyperlink">
    <w:name w:val="FollowedHyperlink"/>
    <w:basedOn w:val="DefaultParagraphFont"/>
    <w:uiPriority w:val="99"/>
    <w:semiHidden/>
    <w:unhideWhenUsed/>
    <w:rsid w:val="00061451"/>
    <w:rPr>
      <w:color w:val="954F72" w:themeColor="followedHyperlink"/>
      <w:u w:val="single"/>
    </w:rPr>
  </w:style>
  <w:style w:type="paragraph" w:styleId="ListParagraph">
    <w:name w:val="List Paragraph"/>
    <w:basedOn w:val="Normal"/>
    <w:uiPriority w:val="99"/>
    <w:qFormat/>
    <w:rsid w:val="00EE283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1F0B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572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A5727"/>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0A5727"/>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1F0BAE"/>
    <w:rPr>
      <w:rFonts w:ascii="Arial" w:eastAsia="Times New Roman" w:hAnsi="Arial" w:cs="Arial"/>
      <w:color w:val="000000"/>
      <w:sz w:val="22"/>
      <w:szCs w:val="22"/>
      <w:u w:val="single"/>
    </w:rPr>
  </w:style>
  <w:style w:type="character" w:styleId="UnresolvedMention">
    <w:name w:val="Unresolved Mention"/>
    <w:basedOn w:val="DefaultParagraphFont"/>
    <w:uiPriority w:val="99"/>
    <w:semiHidden/>
    <w:unhideWhenUsed/>
    <w:rsid w:val="004952A2"/>
    <w:rPr>
      <w:color w:val="605E5C"/>
      <w:shd w:val="clear" w:color="auto" w:fill="E1DFDD"/>
    </w:rPr>
  </w:style>
  <w:style w:type="character" w:customStyle="1" w:styleId="normaltextrun">
    <w:name w:val="normaltextrun"/>
    <w:basedOn w:val="DefaultParagraphFont"/>
    <w:rsid w:val="00CB73B6"/>
  </w:style>
  <w:style w:type="character" w:customStyle="1" w:styleId="eop">
    <w:name w:val="eop"/>
    <w:basedOn w:val="DefaultParagraphFont"/>
    <w:rsid w:val="00CB73B6"/>
  </w:style>
  <w:style w:type="paragraph" w:customStyle="1" w:styleId="paragraph">
    <w:name w:val="paragraph"/>
    <w:basedOn w:val="Normal"/>
    <w:rsid w:val="00CB73B6"/>
    <w:pPr>
      <w:spacing w:before="100" w:beforeAutospacing="1" w:after="100" w:afterAutospacing="1"/>
    </w:pPr>
    <w:rPr>
      <w:rFonts w:eastAsiaTheme="minorHAnsi"/>
    </w:rPr>
  </w:style>
  <w:style w:type="paragraph" w:customStyle="1" w:styleId="NEXT">
    <w:name w:val="NEXT"/>
    <w:basedOn w:val="BodyText"/>
    <w:autoRedefine/>
    <w:qFormat/>
    <w:rsid w:val="00072018"/>
    <w:pPr>
      <w:autoSpaceDE w:val="0"/>
      <w:autoSpaceDN w:val="0"/>
      <w:adjustRightInd w:val="0"/>
      <w:spacing w:after="0" w:line="240" w:lineRule="auto"/>
    </w:pPr>
    <w:rPr>
      <w:rFonts w:ascii="Arial" w:eastAsia="Times New Roman" w:hAnsi="Arial" w:cs="Arial"/>
      <w:shd w:val="clear" w:color="auto" w:fill="FFFFFF"/>
      <w:lang w:val="en"/>
    </w:rPr>
  </w:style>
  <w:style w:type="character" w:customStyle="1" w:styleId="Subtitle1">
    <w:name w:val="Subtitle1"/>
    <w:basedOn w:val="DefaultParagraphFont"/>
    <w:rsid w:val="00CB73B6"/>
  </w:style>
  <w:style w:type="paragraph" w:styleId="BodyText">
    <w:name w:val="Body Text"/>
    <w:basedOn w:val="Normal"/>
    <w:link w:val="BodyTextChar"/>
    <w:uiPriority w:val="99"/>
    <w:semiHidden/>
    <w:unhideWhenUsed/>
    <w:rsid w:val="00CB73B6"/>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B73B6"/>
    <w:rPr>
      <w:sz w:val="22"/>
      <w:szCs w:val="22"/>
    </w:rPr>
  </w:style>
  <w:style w:type="character" w:customStyle="1" w:styleId="ng-binding">
    <w:name w:val="ng-binding"/>
    <w:basedOn w:val="DefaultParagraphFont"/>
    <w:rsid w:val="00CB73B6"/>
  </w:style>
  <w:style w:type="character" w:customStyle="1" w:styleId="cs1-lock-free">
    <w:name w:val="cs1-lock-free"/>
    <w:basedOn w:val="DefaultParagraphFont"/>
    <w:rsid w:val="00CB73B6"/>
  </w:style>
  <w:style w:type="character" w:customStyle="1" w:styleId="apple-converted-space">
    <w:name w:val="apple-converted-space"/>
    <w:basedOn w:val="DefaultParagraphFont"/>
    <w:rsid w:val="00CB73B6"/>
  </w:style>
  <w:style w:type="character" w:styleId="Emphasis">
    <w:name w:val="Emphasis"/>
    <w:basedOn w:val="DefaultParagraphFont"/>
    <w:uiPriority w:val="20"/>
    <w:qFormat/>
    <w:rsid w:val="00CB7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06445">
      <w:bodyDiv w:val="1"/>
      <w:marLeft w:val="0"/>
      <w:marRight w:val="0"/>
      <w:marTop w:val="0"/>
      <w:marBottom w:val="0"/>
      <w:divBdr>
        <w:top w:val="none" w:sz="0" w:space="0" w:color="auto"/>
        <w:left w:val="none" w:sz="0" w:space="0" w:color="auto"/>
        <w:bottom w:val="none" w:sz="0" w:space="0" w:color="auto"/>
        <w:right w:val="none" w:sz="0" w:space="0" w:color="auto"/>
      </w:divBdr>
    </w:div>
    <w:div w:id="478114082">
      <w:bodyDiv w:val="1"/>
      <w:marLeft w:val="0"/>
      <w:marRight w:val="0"/>
      <w:marTop w:val="0"/>
      <w:marBottom w:val="0"/>
      <w:divBdr>
        <w:top w:val="none" w:sz="0" w:space="0" w:color="auto"/>
        <w:left w:val="none" w:sz="0" w:space="0" w:color="auto"/>
        <w:bottom w:val="none" w:sz="0" w:space="0" w:color="auto"/>
        <w:right w:val="none" w:sz="0" w:space="0" w:color="auto"/>
      </w:divBdr>
    </w:div>
    <w:div w:id="685403047">
      <w:bodyDiv w:val="1"/>
      <w:marLeft w:val="0"/>
      <w:marRight w:val="0"/>
      <w:marTop w:val="0"/>
      <w:marBottom w:val="0"/>
      <w:divBdr>
        <w:top w:val="none" w:sz="0" w:space="0" w:color="auto"/>
        <w:left w:val="none" w:sz="0" w:space="0" w:color="auto"/>
        <w:bottom w:val="none" w:sz="0" w:space="0" w:color="auto"/>
        <w:right w:val="none" w:sz="0" w:space="0" w:color="auto"/>
      </w:divBdr>
    </w:div>
    <w:div w:id="690256223">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329290477">
      <w:bodyDiv w:val="1"/>
      <w:marLeft w:val="0"/>
      <w:marRight w:val="0"/>
      <w:marTop w:val="0"/>
      <w:marBottom w:val="0"/>
      <w:divBdr>
        <w:top w:val="none" w:sz="0" w:space="0" w:color="auto"/>
        <w:left w:val="none" w:sz="0" w:space="0" w:color="auto"/>
        <w:bottom w:val="none" w:sz="0" w:space="0" w:color="auto"/>
        <w:right w:val="none" w:sz="0" w:space="0" w:color="auto"/>
      </w:divBdr>
    </w:div>
    <w:div w:id="1605573383">
      <w:bodyDiv w:val="1"/>
      <w:marLeft w:val="0"/>
      <w:marRight w:val="0"/>
      <w:marTop w:val="0"/>
      <w:marBottom w:val="0"/>
      <w:divBdr>
        <w:top w:val="none" w:sz="0" w:space="0" w:color="auto"/>
        <w:left w:val="none" w:sz="0" w:space="0" w:color="auto"/>
        <w:bottom w:val="none" w:sz="0" w:space="0" w:color="auto"/>
        <w:right w:val="none" w:sz="0" w:space="0" w:color="auto"/>
      </w:divBdr>
    </w:div>
    <w:div w:id="1674262426">
      <w:bodyDiv w:val="1"/>
      <w:marLeft w:val="0"/>
      <w:marRight w:val="0"/>
      <w:marTop w:val="0"/>
      <w:marBottom w:val="0"/>
      <w:divBdr>
        <w:top w:val="none" w:sz="0" w:space="0" w:color="auto"/>
        <w:left w:val="none" w:sz="0" w:space="0" w:color="auto"/>
        <w:bottom w:val="none" w:sz="0" w:space="0" w:color="auto"/>
        <w:right w:val="none" w:sz="0" w:space="0" w:color="auto"/>
      </w:divBdr>
      <w:divsChild>
        <w:div w:id="947274108">
          <w:marLeft w:val="0"/>
          <w:marRight w:val="0"/>
          <w:marTop w:val="0"/>
          <w:marBottom w:val="0"/>
          <w:divBdr>
            <w:top w:val="none" w:sz="0" w:space="0" w:color="auto"/>
            <w:left w:val="none" w:sz="0" w:space="0" w:color="auto"/>
            <w:bottom w:val="none" w:sz="0" w:space="0" w:color="auto"/>
            <w:right w:val="none" w:sz="0" w:space="0" w:color="auto"/>
          </w:divBdr>
        </w:div>
        <w:div w:id="1237131904">
          <w:marLeft w:val="0"/>
          <w:marRight w:val="0"/>
          <w:marTop w:val="0"/>
          <w:marBottom w:val="0"/>
          <w:divBdr>
            <w:top w:val="none" w:sz="0" w:space="0" w:color="auto"/>
            <w:left w:val="none" w:sz="0" w:space="0" w:color="auto"/>
            <w:bottom w:val="none" w:sz="0" w:space="0" w:color="auto"/>
            <w:right w:val="none" w:sz="0" w:space="0" w:color="auto"/>
          </w:divBdr>
        </w:div>
        <w:div w:id="399401205">
          <w:marLeft w:val="0"/>
          <w:marRight w:val="0"/>
          <w:marTop w:val="0"/>
          <w:marBottom w:val="0"/>
          <w:divBdr>
            <w:top w:val="none" w:sz="0" w:space="0" w:color="auto"/>
            <w:left w:val="none" w:sz="0" w:space="0" w:color="auto"/>
            <w:bottom w:val="none" w:sz="0" w:space="0" w:color="auto"/>
            <w:right w:val="none" w:sz="0" w:space="0" w:color="auto"/>
          </w:divBdr>
        </w:div>
        <w:div w:id="687097045">
          <w:marLeft w:val="0"/>
          <w:marRight w:val="0"/>
          <w:marTop w:val="0"/>
          <w:marBottom w:val="0"/>
          <w:divBdr>
            <w:top w:val="none" w:sz="0" w:space="0" w:color="auto"/>
            <w:left w:val="none" w:sz="0" w:space="0" w:color="auto"/>
            <w:bottom w:val="none" w:sz="0" w:space="0" w:color="auto"/>
            <w:right w:val="none" w:sz="0" w:space="0" w:color="auto"/>
          </w:divBdr>
        </w:div>
        <w:div w:id="842431471">
          <w:marLeft w:val="0"/>
          <w:marRight w:val="0"/>
          <w:marTop w:val="0"/>
          <w:marBottom w:val="0"/>
          <w:divBdr>
            <w:top w:val="none" w:sz="0" w:space="0" w:color="auto"/>
            <w:left w:val="none" w:sz="0" w:space="0" w:color="auto"/>
            <w:bottom w:val="none" w:sz="0" w:space="0" w:color="auto"/>
            <w:right w:val="none" w:sz="0" w:space="0" w:color="auto"/>
          </w:divBdr>
        </w:div>
        <w:div w:id="982000743">
          <w:marLeft w:val="0"/>
          <w:marRight w:val="0"/>
          <w:marTop w:val="0"/>
          <w:marBottom w:val="0"/>
          <w:divBdr>
            <w:top w:val="none" w:sz="0" w:space="0" w:color="auto"/>
            <w:left w:val="none" w:sz="0" w:space="0" w:color="auto"/>
            <w:bottom w:val="none" w:sz="0" w:space="0" w:color="auto"/>
            <w:right w:val="none" w:sz="0" w:space="0" w:color="auto"/>
          </w:divBdr>
        </w:div>
        <w:div w:id="533349992">
          <w:marLeft w:val="0"/>
          <w:marRight w:val="0"/>
          <w:marTop w:val="0"/>
          <w:marBottom w:val="0"/>
          <w:divBdr>
            <w:top w:val="none" w:sz="0" w:space="0" w:color="auto"/>
            <w:left w:val="none" w:sz="0" w:space="0" w:color="auto"/>
            <w:bottom w:val="none" w:sz="0" w:space="0" w:color="auto"/>
            <w:right w:val="none" w:sz="0" w:space="0" w:color="auto"/>
          </w:divBdr>
        </w:div>
        <w:div w:id="696125950">
          <w:marLeft w:val="0"/>
          <w:marRight w:val="0"/>
          <w:marTop w:val="0"/>
          <w:marBottom w:val="0"/>
          <w:divBdr>
            <w:top w:val="none" w:sz="0" w:space="0" w:color="auto"/>
            <w:left w:val="none" w:sz="0" w:space="0" w:color="auto"/>
            <w:bottom w:val="none" w:sz="0" w:space="0" w:color="auto"/>
            <w:right w:val="none" w:sz="0" w:space="0" w:color="auto"/>
          </w:divBdr>
        </w:div>
        <w:div w:id="1845440519">
          <w:marLeft w:val="0"/>
          <w:marRight w:val="0"/>
          <w:marTop w:val="0"/>
          <w:marBottom w:val="0"/>
          <w:divBdr>
            <w:top w:val="none" w:sz="0" w:space="0" w:color="auto"/>
            <w:left w:val="none" w:sz="0" w:space="0" w:color="auto"/>
            <w:bottom w:val="none" w:sz="0" w:space="0" w:color="auto"/>
            <w:right w:val="none" w:sz="0" w:space="0" w:color="auto"/>
          </w:divBdr>
        </w:div>
        <w:div w:id="596182835">
          <w:marLeft w:val="0"/>
          <w:marRight w:val="0"/>
          <w:marTop w:val="0"/>
          <w:marBottom w:val="0"/>
          <w:divBdr>
            <w:top w:val="none" w:sz="0" w:space="0" w:color="auto"/>
            <w:left w:val="none" w:sz="0" w:space="0" w:color="auto"/>
            <w:bottom w:val="none" w:sz="0" w:space="0" w:color="auto"/>
            <w:right w:val="none" w:sz="0" w:space="0" w:color="auto"/>
          </w:divBdr>
        </w:div>
        <w:div w:id="1221286933">
          <w:marLeft w:val="0"/>
          <w:marRight w:val="0"/>
          <w:marTop w:val="0"/>
          <w:marBottom w:val="0"/>
          <w:divBdr>
            <w:top w:val="none" w:sz="0" w:space="0" w:color="auto"/>
            <w:left w:val="none" w:sz="0" w:space="0" w:color="auto"/>
            <w:bottom w:val="none" w:sz="0" w:space="0" w:color="auto"/>
            <w:right w:val="none" w:sz="0" w:space="0" w:color="auto"/>
          </w:divBdr>
        </w:div>
        <w:div w:id="656493603">
          <w:marLeft w:val="0"/>
          <w:marRight w:val="0"/>
          <w:marTop w:val="0"/>
          <w:marBottom w:val="0"/>
          <w:divBdr>
            <w:top w:val="none" w:sz="0" w:space="0" w:color="auto"/>
            <w:left w:val="none" w:sz="0" w:space="0" w:color="auto"/>
            <w:bottom w:val="none" w:sz="0" w:space="0" w:color="auto"/>
            <w:right w:val="none" w:sz="0" w:space="0" w:color="auto"/>
          </w:divBdr>
        </w:div>
        <w:div w:id="1717075178">
          <w:marLeft w:val="0"/>
          <w:marRight w:val="0"/>
          <w:marTop w:val="0"/>
          <w:marBottom w:val="0"/>
          <w:divBdr>
            <w:top w:val="none" w:sz="0" w:space="0" w:color="auto"/>
            <w:left w:val="none" w:sz="0" w:space="0" w:color="auto"/>
            <w:bottom w:val="none" w:sz="0" w:space="0" w:color="auto"/>
            <w:right w:val="none" w:sz="0" w:space="0" w:color="auto"/>
          </w:divBdr>
        </w:div>
        <w:div w:id="108687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licy.ucop.edu/doc/4000385/SVSH" TargetMode="External"/><Relationship Id="rId117" Type="http://schemas.openxmlformats.org/officeDocument/2006/relationships/hyperlink" Target="https://www.linkedin.com/in/raymond-leung-5396833/" TargetMode="External"/><Relationship Id="rId21" Type="http://schemas.openxmlformats.org/officeDocument/2006/relationships/hyperlink" Target="mailto:kylekatedudley@law.berkeley.edu" TargetMode="External"/><Relationship Id="rId42" Type="http://schemas.openxmlformats.org/officeDocument/2006/relationships/hyperlink" Target="https://ajph.aphapublications.org/doi/pdf/10.2105/AJPH.2009.185652" TargetMode="External"/><Relationship Id="rId47" Type="http://schemas.openxmlformats.org/officeDocument/2006/relationships/hyperlink" Target="https://www.cdc.gov/500cities/" TargetMode="External"/><Relationship Id="rId63" Type="http://schemas.openxmlformats.org/officeDocument/2006/relationships/hyperlink" Target="https://papers.ssrn.com/sol3/papers.cfm?abstract_id=405940" TargetMode="External"/><Relationship Id="rId68" Type="http://schemas.openxmlformats.org/officeDocument/2006/relationships/hyperlink" Target="https://ir.lawnet.fordham.edu/ulj/vol44/iss1/6/" TargetMode="External"/><Relationship Id="rId84" Type="http://schemas.openxmlformats.org/officeDocument/2006/relationships/hyperlink" Target="https://www.changelabsolutions.org/product/abcs-administrative-law-public-health-practice" TargetMode="External"/><Relationship Id="rId89" Type="http://schemas.openxmlformats.org/officeDocument/2006/relationships/hyperlink" Target="https://scholarship.law.georgetown.edu/cgi/viewcontent.cgi?article=2826&amp;context=facpub" TargetMode="External"/><Relationship Id="rId112" Type="http://schemas.openxmlformats.org/officeDocument/2006/relationships/hyperlink" Target="https://www.vox.com/podcasts/2020/3/17/21182149/jane-mcalevey-the-ezra-klein-show-labor-organizing" TargetMode="External"/><Relationship Id="rId16" Type="http://schemas.openxmlformats.org/officeDocument/2006/relationships/hyperlink" Target="https://www.law.berkeley.edu/library/dynamic/internal/techChat.php" TargetMode="External"/><Relationship Id="rId107" Type="http://schemas.openxmlformats.org/officeDocument/2006/relationships/hyperlink" Target="https://publichealth.berkeley.edu/people/harry-snyder/" TargetMode="External"/><Relationship Id="rId11" Type="http://schemas.openxmlformats.org/officeDocument/2006/relationships/hyperlink" Target="mailto:sugarman@law.berkeley.edu" TargetMode="External"/><Relationship Id="rId32" Type="http://schemas.openxmlformats.org/officeDocument/2006/relationships/hyperlink" Target="https://www.cdc.gov/violenceprevention/childabuseandneglect/acestudy/about.html" TargetMode="External"/><Relationship Id="rId37" Type="http://schemas.openxmlformats.org/officeDocument/2006/relationships/hyperlink" Target="https://www.nytimes.com/2020/04/09/opinion/coronavirus-public-health-system-us.html?referringSource=articleShare" TargetMode="External"/><Relationship Id="rId53" Type="http://schemas.openxmlformats.org/officeDocument/2006/relationships/hyperlink" Target="file:///C:\Users\maric\Downloads\jama_galea_2020_vp_200136.pdf" TargetMode="External"/><Relationship Id="rId58" Type="http://schemas.openxmlformats.org/officeDocument/2006/relationships/hyperlink" Target="https://www.nejm.org/doi/full/10.1056/NEJMp2006740" TargetMode="External"/><Relationship Id="rId74" Type="http://schemas.openxmlformats.org/officeDocument/2006/relationships/hyperlink" Target="https://www.aclu.org/sites/default/files/field_document/aclu-ebolareport.pdf" TargetMode="External"/><Relationship Id="rId79" Type="http://schemas.openxmlformats.org/officeDocument/2006/relationships/hyperlink" Target="file:///C:\Users\maric\Downloads\SSRN-id3350597.pdf" TargetMode="External"/><Relationship Id="rId102" Type="http://schemas.openxmlformats.org/officeDocument/2006/relationships/hyperlink" Target="https://www.changelabsolutions.org/health-all-policies"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ir.lawnet.fordham.edu/ulj/vol44/iss1/1" TargetMode="External"/><Relationship Id="rId95" Type="http://schemas.openxmlformats.org/officeDocument/2006/relationships/hyperlink" Target="http://www.apsc.gov.au/publications-and-media/archive/publications-archive/tackling-wicked-problems" TargetMode="External"/><Relationship Id="rId22" Type="http://schemas.openxmlformats.org/officeDocument/2006/relationships/hyperlink" Target="https://www.law.berkeley.edu/academics/registrar/academic-rules/academic-honor-code/" TargetMode="External"/><Relationship Id="rId27" Type="http://schemas.openxmlformats.org/officeDocument/2006/relationships/hyperlink" Target="mailto:ask_ophd@berkeley.edu" TargetMode="External"/><Relationship Id="rId43" Type="http://schemas.openxmlformats.org/officeDocument/2006/relationships/hyperlink" Target="https://www.cdc.gov/mmwr/preview/mmwrhtml/su5502a11.htm" TargetMode="External"/><Relationship Id="rId48" Type="http://schemas.openxmlformats.org/officeDocument/2006/relationships/hyperlink" Target="https://www.cdc.gov/coronavirus/2019-ncov/community/health-equity/race-ethnicity.html" TargetMode="External"/><Relationship Id="rId64" Type="http://schemas.openxmlformats.org/officeDocument/2006/relationships/hyperlink" Target="http://www.forworkingfamilies.org/preemptionmap" TargetMode="External"/><Relationship Id="rId69" Type="http://schemas.openxmlformats.org/officeDocument/2006/relationships/hyperlink" Target="https://muse.jhu.edu/article/168971/pdf" TargetMode="External"/><Relationship Id="rId113" Type="http://schemas.openxmlformats.org/officeDocument/2006/relationships/hyperlink" Target="https://nonprofitquarterly.org/author/tom-wolff/" TargetMode="External"/><Relationship Id="rId118" Type="http://schemas.openxmlformats.org/officeDocument/2006/relationships/hyperlink" Target="https://www.cityofberkeley.info/Health_Human_Services/Public_Health/City_of_Berkeley_Health_Officer.aspx" TargetMode="External"/><Relationship Id="rId80" Type="http://schemas.openxmlformats.org/officeDocument/2006/relationships/hyperlink" Target="https://papers.ssrn.com/sol3/papers.cfm?abstract_id=2479886" TargetMode="External"/><Relationship Id="rId85" Type="http://schemas.openxmlformats.org/officeDocument/2006/relationships/hyperlink" Target="https://berkeley-public-health-archive.s3-us-west-1.amazonaws.com/sites/default/files/Advocating-for-Change-Manual-3.pdf" TargetMode="External"/><Relationship Id="rId12" Type="http://schemas.openxmlformats.org/officeDocument/2006/relationships/hyperlink" Target="https://support.zoom.us/hc/en-us/articles/210707503-Virtual-Background" TargetMode="External"/><Relationship Id="rId17" Type="http://schemas.openxmlformats.org/officeDocument/2006/relationships/hyperlink" Target="https://www.law.berkeley.edu/library/dynamic/students/researchRequest.php" TargetMode="External"/><Relationship Id="rId33" Type="http://schemas.openxmlformats.org/officeDocument/2006/relationships/hyperlink" Target="https://www.cdc.gov/violenceprevention/pdf/preventingACES.pdf/" TargetMode="External"/><Relationship Id="rId38" Type="http://schemas.openxmlformats.org/officeDocument/2006/relationships/hyperlink" Target="https://academic.oup.com/jlb/article/doi/10.1093/jlb/lsaa036/5849058" TargetMode="External"/><Relationship Id="rId59" Type="http://schemas.openxmlformats.org/officeDocument/2006/relationships/hyperlink" Target="https://www.cato.org/research/nanny-state" TargetMode="External"/><Relationship Id="rId103" Type="http://schemas.openxmlformats.org/officeDocument/2006/relationships/hyperlink" Target="https://www.cityhealth.org/" TargetMode="External"/><Relationship Id="rId108" Type="http://schemas.openxmlformats.org/officeDocument/2006/relationships/hyperlink" Target="https://www.spur.org/about/staff/robert-ogilvie" TargetMode="External"/><Relationship Id="rId124" Type="http://schemas.openxmlformats.org/officeDocument/2006/relationships/fontTable" Target="fontTable.xml"/><Relationship Id="rId54" Type="http://schemas.openxmlformats.org/officeDocument/2006/relationships/hyperlink" Target="https://www.youtube.com/watch?v=0Rnq1NpHdmw" TargetMode="External"/><Relationship Id="rId70" Type="http://schemas.openxmlformats.org/officeDocument/2006/relationships/hyperlink" Target="https://www.changelabsolutions.org/good-governance/phla/intro-public-health-law" TargetMode="External"/><Relationship Id="rId75" Type="http://schemas.openxmlformats.org/officeDocument/2006/relationships/hyperlink" Target="http://www.pbs.org/wgbh/frontline/film/outbreak/" TargetMode="External"/><Relationship Id="rId91" Type="http://schemas.openxmlformats.org/officeDocument/2006/relationships/hyperlink" Target="https://press.anu.edu.au/publications/regulatory-theory" TargetMode="External"/><Relationship Id="rId96" Type="http://schemas.openxmlformats.org/officeDocument/2006/relationships/hyperlink" Target="https://en.wikipedia.org/wiki/Digital_object_identifie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asicneeds.berkeley.edu/resources?by_tags%5b%5d=2" TargetMode="External"/><Relationship Id="rId28" Type="http://schemas.openxmlformats.org/officeDocument/2006/relationships/hyperlink" Target="http://sa.berkeley.edu/dean/confidential-care-advocate" TargetMode="External"/><Relationship Id="rId49" Type="http://schemas.openxmlformats.org/officeDocument/2006/relationships/hyperlink" Target="https://www.countyhealthrankings.org/take-action-to-improve-health/learning-guides/what-are-data" TargetMode="External"/><Relationship Id="rId114" Type="http://schemas.openxmlformats.org/officeDocument/2006/relationships/hyperlink" Target="https://nonprofitquarterly.org/collaborating-equity-justice-moving-beyond-collective-impact/" TargetMode="External"/><Relationship Id="rId119" Type="http://schemas.openxmlformats.org/officeDocument/2006/relationships/hyperlink" Target="http://www.acphd.org/social-and-health-equity/contact-information.aspx" TargetMode="External"/><Relationship Id="rId44" Type="http://schemas.openxmlformats.org/officeDocument/2006/relationships/hyperlink" Target="https://www.ncbi.nlm.nih.gov/pmc/articles/PMC1308482/pdf/pubhealthrep00027-0085.pdf" TargetMode="External"/><Relationship Id="rId60" Type="http://schemas.openxmlformats.org/officeDocument/2006/relationships/hyperlink" Target="https://ajph.aphapublications.org/doi/full/10.2105/AJPH.2004.055152" TargetMode="External"/><Relationship Id="rId65" Type="http://schemas.openxmlformats.org/officeDocument/2006/relationships/hyperlink" Target="https://grassrootschange.net/preemption-watch" TargetMode="External"/><Relationship Id="rId81" Type="http://schemas.openxmlformats.org/officeDocument/2006/relationships/hyperlink" Target="https://www.ncbi.nlm.nih.gov/pmc/articles/PMC4529841/" TargetMode="External"/><Relationship Id="rId86" Type="http://schemas.openxmlformats.org/officeDocument/2006/relationships/hyperlink" Target="https://www.archives.gov/federal-register/write/plain-language/readable-regulations.html" TargetMode="External"/><Relationship Id="rId13" Type="http://schemas.openxmlformats.org/officeDocument/2006/relationships/hyperlink" Target="mailto:studentcomputing@law.berkeley.edu" TargetMode="External"/><Relationship Id="rId18" Type="http://schemas.openxmlformats.org/officeDocument/2006/relationships/hyperlink" Target="https://www.law.berkeley.edu/library/dynamic/internal/chat.php" TargetMode="External"/><Relationship Id="rId39" Type="http://schemas.openxmlformats.org/officeDocument/2006/relationships/hyperlink" Target="https://www.ncbi.nlm.nih.gov/pmc/articles/PMC3712789/pdf/nihms-491963.pdf" TargetMode="External"/><Relationship Id="rId109" Type="http://schemas.openxmlformats.org/officeDocument/2006/relationships/hyperlink" Target="https://www.ncbi.nlm.nih.gov/pmc/articles/PMC2773956/" TargetMode="External"/><Relationship Id="rId34" Type="http://schemas.openxmlformats.org/officeDocument/2006/relationships/hyperlink" Target="https://www.nytimes.com/interactive/2020/06/04/opinion/coronavirus-health-race-inequality.html?referringSource=articleShare" TargetMode="External"/><Relationship Id="rId50" Type="http://schemas.openxmlformats.org/officeDocument/2006/relationships/hyperlink" Target="https://www.cityhealthdashboard.com/" TargetMode="External"/><Relationship Id="rId55" Type="http://schemas.openxmlformats.org/officeDocument/2006/relationships/hyperlink" Target="https://www.law.cornell.edu/supremecourt/text/489/189" TargetMode="External"/><Relationship Id="rId76" Type="http://schemas.openxmlformats.org/officeDocument/2006/relationships/hyperlink" Target="https://supreme.justia.com/cases/federal/us/274/200" TargetMode="External"/><Relationship Id="rId97" Type="http://schemas.openxmlformats.org/officeDocument/2006/relationships/hyperlink" Target="https://doi.org/10.1287%2Fmnsc.14.4.B141" TargetMode="External"/><Relationship Id="rId104" Type="http://schemas.openxmlformats.org/officeDocument/2006/relationships/hyperlink" Target="https://assets.publishing.service.gov.uk/government/uploads/system/uploads/attachment_data/file/287937/07-1184x-tackling-obesities-future-choices-report.pdf" TargetMode="External"/><Relationship Id="rId120" Type="http://schemas.openxmlformats.org/officeDocument/2006/relationships/hyperlink" Target="https://racialequity.virginia.edu/sites/g/files/jsddwu356/files/2020-08/RETFFinalSigned.pd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upreme.justia.com/cases/federal/us/274/200" TargetMode="External"/><Relationship Id="rId92" Type="http://schemas.openxmlformats.org/officeDocument/2006/relationships/hyperlink" Target="http://www.thenewpublichealthlaw.org/uploads/1/1/8/2/118289720/kahn___martin_-_policing_and_race.pdf" TargetMode="External"/><Relationship Id="rId2" Type="http://schemas.openxmlformats.org/officeDocument/2006/relationships/numbering" Target="numbering.xml"/><Relationship Id="rId29" Type="http://schemas.openxmlformats.org/officeDocument/2006/relationships/hyperlink" Target="https://apps.who.int/iris/bitstream/handle/10665/70950/bu1409.pdf?sequence=1&amp;isAllowed=y" TargetMode="External"/><Relationship Id="rId24" Type="http://schemas.openxmlformats.org/officeDocument/2006/relationships/hyperlink" Target="http://calfresh.berkeley.edu/" TargetMode="External"/><Relationship Id="rId40" Type="http://schemas.openxmlformats.org/officeDocument/2006/relationships/hyperlink" Target="https://www.changelabsolutions.org/good-governance/phla/intro-public-health-law" TargetMode="External"/><Relationship Id="rId45" Type="http://schemas.openxmlformats.org/officeDocument/2006/relationships/hyperlink" Target="https://www.cdc.gov/publichealth101/e-learning/epidemiology/" TargetMode="External"/><Relationship Id="rId66" Type="http://schemas.openxmlformats.org/officeDocument/2006/relationships/hyperlink" Target="https://www.supportdemocracy.org/" TargetMode="External"/><Relationship Id="rId87" Type="http://schemas.openxmlformats.org/officeDocument/2006/relationships/hyperlink" Target="https://www.archives.gov/federal-register/write/legal-docs" TargetMode="External"/><Relationship Id="rId110" Type="http://schemas.openxmlformats.org/officeDocument/2006/relationships/hyperlink" Target="https://www.changelabsolutions.org/sites/default/files/TRL_Playbook_FINAL_20150511.pdf" TargetMode="External"/><Relationship Id="rId115" Type="http://schemas.openxmlformats.org/officeDocument/2006/relationships/hyperlink" Target="https://accountabilityproject.org/wp-content/uploads/2018/11/IAP-Comm-Act-Guide-web.pdf" TargetMode="External"/><Relationship Id="rId61" Type="http://schemas.openxmlformats.org/officeDocument/2006/relationships/hyperlink" Target="https://static1.squarespace.com/static/5956e16e6b8f5b8c45f1c216/t/5f34361a7fb7f23c7a92c116/1597257242329/Chp9_COVIDPolicyPlaybook-Aug2020.pdf" TargetMode="External"/><Relationship Id="rId82" Type="http://schemas.openxmlformats.org/officeDocument/2006/relationships/hyperlink" Target="https://digitalcommons.law.uga.edu/fac_pm/291" TargetMode="External"/><Relationship Id="rId19" Type="http://schemas.openxmlformats.org/officeDocument/2006/relationships/hyperlink" Target="https://salud-america.org/19-ways-to-ensure-health-equity-for-latinos-during-and-after-coronavirus/" TargetMode="External"/><Relationship Id="rId14" Type="http://schemas.openxmlformats.org/officeDocument/2006/relationships/hyperlink" Target="http://libguides.law.berkeley.edu/computing/home" TargetMode="External"/><Relationship Id="rId30" Type="http://schemas.openxmlformats.org/officeDocument/2006/relationships/hyperlink" Target="https://www.jstor.org/stable/2626958?seq=1" TargetMode="External"/><Relationship Id="rId35" Type="http://schemas.openxmlformats.org/officeDocument/2006/relationships/hyperlink" Target="https://jamanetwork.com/journals/jama/fullarticle/2766098?utm_source=silverchair&amp;utm_medium=email&amp;utm_campaign=article_alert-jama&amp;utm_content=olf&amp;utm_term=051120" TargetMode="External"/><Relationship Id="rId56" Type="http://schemas.openxmlformats.org/officeDocument/2006/relationships/hyperlink" Target="https://www.changelabsolutions.org/product/blueprint-changemakers" TargetMode="External"/><Relationship Id="rId77" Type="http://schemas.openxmlformats.org/officeDocument/2006/relationships/hyperlink" Target="https://static1.squarespace.com/static/5956e16e6b8f5b8c45f1c216/t/5f343aa58431c434c75ee02c/1597258406741/Chp35_COVIDPolicyPlaybook-Aug2020.pdf" TargetMode="External"/><Relationship Id="rId100" Type="http://schemas.openxmlformats.org/officeDocument/2006/relationships/hyperlink" Target="https://onlinelibrary.wiley.com/doi/epdf/10.1111/1468-0009.12448" TargetMode="External"/><Relationship Id="rId105" Type="http://schemas.openxmlformats.org/officeDocument/2006/relationships/hyperlink" Target="https://humanimpact.org/about-us/staff/" TargetMode="External"/><Relationship Id="rId8" Type="http://schemas.openxmlformats.org/officeDocument/2006/relationships/hyperlink" Target="https://www.law.berkeley.edu/our-faculty/faculty-profiles/stephen-sugarman/" TargetMode="External"/><Relationship Id="rId51" Type="http://schemas.openxmlformats.org/officeDocument/2006/relationships/hyperlink" Target="https://lawatlas.org/" TargetMode="External"/><Relationship Id="rId72" Type="http://schemas.openxmlformats.org/officeDocument/2006/relationships/hyperlink" Target="https://supreme.justia.com/cases/federal/us/480/273" TargetMode="External"/><Relationship Id="rId93" Type="http://schemas.openxmlformats.org/officeDocument/2006/relationships/hyperlink" Target="http://www.slate.com/articles/news_and_politics/explainer/2013/02/ken_mehlman_s_gay_marriage_signatures_do_amicus_curiae_briefs_influence.html" TargetMode="External"/><Relationship Id="rId98" Type="http://schemas.openxmlformats.org/officeDocument/2006/relationships/hyperlink" Target="https://www.cdc.gov/mmwr/preview/mmwrhtml/su5502a12.htm" TargetMode="External"/><Relationship Id="rId121" Type="http://schemas.openxmlformats.org/officeDocument/2006/relationships/hyperlink" Target="https://jamanetwork.com/journals/jama/fullarticle/2769440" TargetMode="External"/><Relationship Id="rId3" Type="http://schemas.openxmlformats.org/officeDocument/2006/relationships/styles" Target="styles.xml"/><Relationship Id="rId25" Type="http://schemas.openxmlformats.org/officeDocument/2006/relationships/hyperlink" Target="https://pantry.berkeley.edu/" TargetMode="External"/><Relationship Id="rId46" Type="http://schemas.openxmlformats.org/officeDocument/2006/relationships/hyperlink" Target="https://www.cdc.gov/mmwr/preview/mmwrhtml/00056796.htm" TargetMode="External"/><Relationship Id="rId67" Type="http://schemas.openxmlformats.org/officeDocument/2006/relationships/hyperlink" Target="https://www.milbank.org/quarterly/articles/equity-first-conceptualizing-a-normative-framework-to-assess-the-role-of-preemption-in-public-health/" TargetMode="External"/><Relationship Id="rId116" Type="http://schemas.openxmlformats.org/officeDocument/2006/relationships/hyperlink" Target="https://www.changelabsolutions.org/person/sarah-de-guia-jd" TargetMode="External"/><Relationship Id="rId20" Type="http://schemas.openxmlformats.org/officeDocument/2006/relationships/hyperlink" Target="mailto:kvalenti@law.berkeley.edu" TargetMode="External"/><Relationship Id="rId41" Type="http://schemas.openxmlformats.org/officeDocument/2006/relationships/hyperlink" Target="https://www.changelabsolutions.org/good-governance/phla/intro-public-health-law" TargetMode="External"/><Relationship Id="rId62" Type="http://schemas.openxmlformats.org/officeDocument/2006/relationships/hyperlink" Target="https://papers.ssrn.com/sol3/papers.cfm?abstract_id=405940" TargetMode="External"/><Relationship Id="rId83" Type="http://schemas.openxmlformats.org/officeDocument/2006/relationships/hyperlink" Target="http://ssrn.com/abstract=2004521" TargetMode="External"/><Relationship Id="rId88" Type="http://schemas.openxmlformats.org/officeDocument/2006/relationships/hyperlink" Target="http://johnbraithwaite.com/wp-content/uploads/2016/06/Responsive-Regulation-Transce.pdf" TargetMode="External"/><Relationship Id="rId111" Type="http://schemas.openxmlformats.org/officeDocument/2006/relationships/hyperlink" Target="https://www.changelabsolutions.org/sites/default/files/ComprehensiveTRL_ModelOrdinance_FINAL_20190213_1.docx" TargetMode="External"/><Relationship Id="rId15" Type="http://schemas.openxmlformats.org/officeDocument/2006/relationships/hyperlink" Target="mailto:studentcomputing@law.berkeley.edu" TargetMode="External"/><Relationship Id="rId36" Type="http://schemas.openxmlformats.org/officeDocument/2006/relationships/hyperlink" Target="https://jamanetwork.com/journals/jama/fullarticle/2766096?utm_source=silverchair&amp;utm_medium=email&amp;utm_campaign=article_alert-jama&amp;utm_content=olf&amp;utm_term=051120" TargetMode="External"/><Relationship Id="rId57" Type="http://schemas.openxmlformats.org/officeDocument/2006/relationships/hyperlink" Target="https://jamanetwork.com/journals/jama/fullarticle/2764283?resultClick=1" TargetMode="External"/><Relationship Id="rId106" Type="http://schemas.openxmlformats.org/officeDocument/2006/relationships/hyperlink" Target="https://www.law.berkeley.edu/our-faculty/faculty-profiles/ted-mermin/" TargetMode="External"/><Relationship Id="rId10" Type="http://schemas.openxmlformats.org/officeDocument/2006/relationships/hyperlink" Target="mailto:mariceashe@gmail.com" TargetMode="External"/><Relationship Id="rId31" Type="http://schemas.openxmlformats.org/officeDocument/2006/relationships/hyperlink" Target="https://www.annualreviews.org/doi/pdf/10.1146/annurev-publhealth-031210-101218" TargetMode="External"/><Relationship Id="rId52" Type="http://schemas.openxmlformats.org/officeDocument/2006/relationships/hyperlink" Target="https://www.washingtonpost.com/outlook/police-violence-pandemic/2020/06/05/e1a2a1b0-a669-11ea-b619-3f9133bbb482_story.html" TargetMode="External"/><Relationship Id="rId73" Type="http://schemas.openxmlformats.org/officeDocument/2006/relationships/hyperlink" Target="https://blog.harvardlawreview.org/covid-19-reinforces-the-argument-for-regular-judicial-review-not-suspension-of-civil-liberties-in-times-of-crisis/" TargetMode="External"/><Relationship Id="rId78" Type="http://schemas.openxmlformats.org/officeDocument/2006/relationships/hyperlink" Target="https://www.annualreviews.org/doi/pdf/10.1146/annurev-lawsocsci-110615-085002" TargetMode="External"/><Relationship Id="rId94" Type="http://schemas.openxmlformats.org/officeDocument/2006/relationships/hyperlink" Target="https://onlinelibrary.wiley.com/doi/abs/10.1111/lasr.12166" TargetMode="External"/><Relationship Id="rId99" Type="http://schemas.openxmlformats.org/officeDocument/2006/relationships/hyperlink" Target="https://iris.paho.org/bitstream/handle/10665.2/31313/9789275074541-eng.pdf" TargetMode="External"/><Relationship Id="rId101" Type="http://schemas.openxmlformats.org/officeDocument/2006/relationships/hyperlink" Target="http://sgc.ca.gov/programs/hiap/resources/"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ngelab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FFEF3-2055-49EA-B036-A1A7843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9938</Words>
  <Characters>56650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Marice Ashe</cp:lastModifiedBy>
  <cp:revision>2</cp:revision>
  <cp:lastPrinted>2020-08-30T21:11:00Z</cp:lastPrinted>
  <dcterms:created xsi:type="dcterms:W3CDTF">2020-08-31T00:06:00Z</dcterms:created>
  <dcterms:modified xsi:type="dcterms:W3CDTF">2020-08-31T00:06:00Z</dcterms:modified>
</cp:coreProperties>
</file>