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66E25" w14:textId="1D6DE607" w:rsidR="00434843" w:rsidRPr="004B3659" w:rsidRDefault="00D129EF" w:rsidP="00F5196E">
      <w:pPr>
        <w:jc w:val="center"/>
        <w:rPr>
          <w:caps/>
          <w:sz w:val="32"/>
          <w:szCs w:val="32"/>
        </w:rPr>
      </w:pPr>
      <w:r>
        <w:rPr>
          <w:caps/>
          <w:sz w:val="32"/>
          <w:szCs w:val="32"/>
        </w:rPr>
        <w:t xml:space="preserve">Corporate Finance – </w:t>
      </w:r>
      <w:r w:rsidR="009C60B5">
        <w:rPr>
          <w:caps/>
          <w:sz w:val="32"/>
          <w:szCs w:val="32"/>
        </w:rPr>
        <w:t>SPRING</w:t>
      </w:r>
      <w:r w:rsidR="00E14ACD">
        <w:rPr>
          <w:caps/>
          <w:sz w:val="32"/>
          <w:szCs w:val="32"/>
        </w:rPr>
        <w:t xml:space="preserve"> </w:t>
      </w:r>
      <w:r w:rsidR="00583F12">
        <w:rPr>
          <w:caps/>
          <w:sz w:val="32"/>
          <w:szCs w:val="32"/>
        </w:rPr>
        <w:t>2020</w:t>
      </w:r>
    </w:p>
    <w:p w14:paraId="47CC390A" w14:textId="77777777" w:rsidR="00F5196E" w:rsidRPr="004B3659" w:rsidRDefault="004B3659" w:rsidP="00F5196E">
      <w:pPr>
        <w:jc w:val="center"/>
        <w:rPr>
          <w:sz w:val="32"/>
          <w:szCs w:val="32"/>
        </w:rPr>
      </w:pPr>
      <w:r>
        <w:rPr>
          <w:sz w:val="32"/>
          <w:szCs w:val="32"/>
        </w:rPr>
        <w:t>Syllabus</w:t>
      </w:r>
    </w:p>
    <w:p w14:paraId="00B505EF" w14:textId="77777777" w:rsidR="00F5196E" w:rsidRDefault="00F5196E" w:rsidP="00010772">
      <w:pPr>
        <w:pBdr>
          <w:bottom w:val="single" w:sz="12" w:space="10" w:color="auto"/>
        </w:pBdr>
        <w:jc w:val="center"/>
        <w:rPr>
          <w:sz w:val="32"/>
          <w:szCs w:val="32"/>
        </w:rPr>
      </w:pPr>
      <w:r w:rsidRPr="004B3659">
        <w:rPr>
          <w:sz w:val="32"/>
          <w:szCs w:val="32"/>
        </w:rPr>
        <w:t>Professor Bartlett</w:t>
      </w:r>
    </w:p>
    <w:p w14:paraId="3BB1585F" w14:textId="77777777" w:rsidR="004B3659" w:rsidRDefault="004B3659" w:rsidP="00F5196E"/>
    <w:p w14:paraId="1D981759" w14:textId="77777777" w:rsidR="0008249E" w:rsidRPr="005D2B38" w:rsidRDefault="0008249E" w:rsidP="0008249E">
      <w:r w:rsidRPr="005D2B38">
        <w:rPr>
          <w:b/>
          <w:bCs/>
        </w:rPr>
        <w:t>Course Description:</w:t>
      </w:r>
      <w:r w:rsidRPr="005D2B38">
        <w:t xml:space="preserve">  </w:t>
      </w:r>
    </w:p>
    <w:p w14:paraId="6EC4604F" w14:textId="77777777" w:rsidR="00C46B2D" w:rsidRDefault="00D129EF" w:rsidP="0016038B">
      <w:r w:rsidRPr="00D129EF">
        <w:t xml:space="preserve">This course explores the legal aspects of a fundamental question for business organizations:  how does a firm raise money to finance its operations?   </w:t>
      </w:r>
      <w:r w:rsidR="00BC7DAF">
        <w:t xml:space="preserve">In examining this question, the course takes both a theoretical and a practical perspective.  </w:t>
      </w:r>
    </w:p>
    <w:p w14:paraId="7EAFB2A1" w14:textId="77777777" w:rsidR="00C46B2D" w:rsidRDefault="00C46B2D" w:rsidP="0016038B"/>
    <w:p w14:paraId="3564B51D" w14:textId="000C74C3" w:rsidR="00CD0C9F" w:rsidRDefault="00BC7DAF" w:rsidP="0016038B">
      <w:r>
        <w:t xml:space="preserve">As a matter of financial theory, how can a firm </w:t>
      </w:r>
      <w:r w:rsidR="006E7A0A">
        <w:t xml:space="preserve">utilize its financial resources as well as various sources of outside financing—for example, debt and equity markets—to </w:t>
      </w:r>
      <w:r w:rsidR="00CD0C9F">
        <w:t>enhance</w:t>
      </w:r>
      <w:r w:rsidR="00E14ACD">
        <w:t xml:space="preserve"> its</w:t>
      </w:r>
      <w:r w:rsidR="006E7A0A">
        <w:t xml:space="preserve"> value </w:t>
      </w:r>
      <w:r w:rsidR="00E14ACD">
        <w:t>to investors</w:t>
      </w:r>
      <w:r w:rsidR="006E7A0A">
        <w:t xml:space="preserve">?   Even a cursory look at the </w:t>
      </w:r>
      <w:r w:rsidR="006E7A0A">
        <w:rPr>
          <w:i/>
        </w:rPr>
        <w:t>Wall Street Journal</w:t>
      </w:r>
      <w:r w:rsidR="006E7A0A">
        <w:t xml:space="preserve"> reveals that firms differ widely </w:t>
      </w:r>
      <w:r w:rsidR="00C46B2D">
        <w:t>in</w:t>
      </w:r>
      <w:r w:rsidR="006E7A0A">
        <w:t xml:space="preserve"> how they choose to finance their operations and utilize their financial resources.  Some firms finance their operations with debt; others, with equity.  Some companies issue preferred stock; others, asset-backed securities.  </w:t>
      </w:r>
      <w:r w:rsidR="00C46B2D">
        <w:t>Some retain earnings; others pay out earnings as dividends.  Do these differing financial judgments have any systematic effect on the value of a firm?  If so, is there any legal duty o</w:t>
      </w:r>
      <w:r w:rsidR="00CD0C9F">
        <w:t xml:space="preserve">n the part of a firm’s </w:t>
      </w:r>
      <w:r w:rsidR="00C46B2D">
        <w:t xml:space="preserve">directors and officers to engage in “financial engineering” and thereby maximize </w:t>
      </w:r>
      <w:r w:rsidR="00CD0C9F">
        <w:t>the firm’s</w:t>
      </w:r>
      <w:r w:rsidR="00C46B2D">
        <w:t xml:space="preserve"> value?   </w:t>
      </w:r>
      <w:r w:rsidR="005F0DCD">
        <w:t xml:space="preserve">And how do we even go about valuing firms in the first place?  </w:t>
      </w:r>
      <w:proofErr w:type="gramStart"/>
      <w:r w:rsidR="00CD0C9F">
        <w:t>These</w:t>
      </w:r>
      <w:proofErr w:type="gramEnd"/>
      <w:r w:rsidR="00CD0C9F">
        <w:t xml:space="preserve"> are the questions that regularly face corporate managers and that motivate a significant portion of corporate transactions.  Understanding how financial theory provides answers to them is therefore a critical component of </w:t>
      </w:r>
      <w:r w:rsidR="0003786F">
        <w:t xml:space="preserve">understanding the financial motivations </w:t>
      </w:r>
      <w:r w:rsidR="00A443BB">
        <w:t>of your future corporate clients</w:t>
      </w:r>
      <w:r w:rsidR="002C33FD">
        <w:t>.</w:t>
      </w:r>
      <w:r w:rsidR="0003786F">
        <w:t xml:space="preserve"> </w:t>
      </w:r>
      <w:r w:rsidR="00CD0C9F">
        <w:t xml:space="preserve"> </w:t>
      </w:r>
      <w:r w:rsidR="00120669">
        <w:t xml:space="preserve">And understanding the motivations of your client is, of course, </w:t>
      </w:r>
      <w:r w:rsidR="00FE4ABA">
        <w:t>critical</w:t>
      </w:r>
      <w:r w:rsidR="00120669">
        <w:t xml:space="preserve"> to rendering capable legal advice.</w:t>
      </w:r>
    </w:p>
    <w:p w14:paraId="7384DF4A" w14:textId="77777777" w:rsidR="00CD0C9F" w:rsidRDefault="00CD0C9F" w:rsidP="0016038B"/>
    <w:p w14:paraId="4B771E35" w14:textId="77777777" w:rsidR="00014391" w:rsidRDefault="00FE4ABA" w:rsidP="0016038B">
      <w:r>
        <w:t xml:space="preserve">In addition to examining basic principles of finance theory, this </w:t>
      </w:r>
      <w:r w:rsidR="00030FC5">
        <w:t>course</w:t>
      </w:r>
      <w:r>
        <w:t xml:space="preserve"> will also examine</w:t>
      </w:r>
      <w:r w:rsidR="00924D6D">
        <w:t xml:space="preserve"> the practical aspects of executing a particular financing decision.  Once a</w:t>
      </w:r>
      <w:r w:rsidR="00CE66BB">
        <w:t xml:space="preserve"> financing strategy has been selected</w:t>
      </w:r>
      <w:r w:rsidR="00030FC5">
        <w:t xml:space="preserve">, it is </w:t>
      </w:r>
      <w:r w:rsidR="00014391">
        <w:t xml:space="preserve">generally </w:t>
      </w:r>
      <w:r w:rsidR="00030FC5">
        <w:t xml:space="preserve">left to </w:t>
      </w:r>
      <w:r w:rsidR="00014391">
        <w:t xml:space="preserve">the </w:t>
      </w:r>
      <w:r w:rsidR="002F75D4">
        <w:t>deal</w:t>
      </w:r>
      <w:r w:rsidR="00014391">
        <w:t xml:space="preserve"> </w:t>
      </w:r>
      <w:r w:rsidR="00030FC5">
        <w:t xml:space="preserve">lawyers to implement this strategy </w:t>
      </w:r>
      <w:r w:rsidR="00014391">
        <w:t xml:space="preserve">through </w:t>
      </w:r>
      <w:r w:rsidR="00CE66BB">
        <w:t xml:space="preserve">financial </w:t>
      </w:r>
      <w:r w:rsidR="00014391">
        <w:t>contract</w:t>
      </w:r>
      <w:r w:rsidR="00CE66BB">
        <w:t>s</w:t>
      </w:r>
      <w:r w:rsidR="00014391">
        <w:t xml:space="preserve">. </w:t>
      </w:r>
      <w:r w:rsidR="00030FC5">
        <w:t xml:space="preserve"> </w:t>
      </w:r>
      <w:r w:rsidR="00014391">
        <w:t>This component of the course can therefore be thought of as a study i</w:t>
      </w:r>
      <w:r w:rsidR="00441021">
        <w:t>n financial contracting strategies</w:t>
      </w:r>
      <w:r w:rsidR="00014391">
        <w:t xml:space="preserve">, with </w:t>
      </w:r>
      <w:r w:rsidR="00441021">
        <w:t xml:space="preserve">each </w:t>
      </w:r>
      <w:r w:rsidR="00014391">
        <w:t xml:space="preserve">strategy being </w:t>
      </w:r>
      <w:r w:rsidR="00A443BB">
        <w:t>shaped</w:t>
      </w:r>
      <w:r w:rsidR="00014391">
        <w:t xml:space="preserve"> in large part by the type of </w:t>
      </w:r>
      <w:r w:rsidR="00A443BB">
        <w:t>financing technique</w:t>
      </w:r>
      <w:r w:rsidR="00014391">
        <w:t xml:space="preserve"> being </w:t>
      </w:r>
      <w:r w:rsidR="00A443BB">
        <w:t>utilized</w:t>
      </w:r>
      <w:r w:rsidR="00014391">
        <w:t xml:space="preserve">.  </w:t>
      </w:r>
      <w:r w:rsidR="002F75D4">
        <w:t>For instance, w</w:t>
      </w:r>
      <w:r w:rsidR="00014391">
        <w:t>hat are the primary risks you need to protect against when your client invests in a firm’s common stock?  How do these risks differ when your client invests in senior securities such as corporate bonds or preferred stock?</w:t>
      </w:r>
      <w:r w:rsidR="002F75D4">
        <w:t xml:space="preserve">  </w:t>
      </w:r>
      <w:r w:rsidR="002C0D12">
        <w:t xml:space="preserve">Are there any background legal principles that might influence the negotiation or drafting of these different types of contracts?  How do these strategies change if you are </w:t>
      </w:r>
      <w:r w:rsidR="00A443BB">
        <w:t xml:space="preserve">instead </w:t>
      </w:r>
      <w:r w:rsidR="002C0D12">
        <w:t xml:space="preserve">representing a company contemplating the sale of these securities?  </w:t>
      </w:r>
      <w:r w:rsidR="002F75D4">
        <w:t xml:space="preserve">  </w:t>
      </w:r>
    </w:p>
    <w:p w14:paraId="33CEA8B4" w14:textId="77777777" w:rsidR="00FD6362" w:rsidRDefault="00FD6362" w:rsidP="0016038B"/>
    <w:p w14:paraId="1A2AC5E1" w14:textId="77777777" w:rsidR="00661C95" w:rsidRDefault="00D27125" w:rsidP="0016038B">
      <w:r>
        <w:t xml:space="preserve">Lastly, </w:t>
      </w:r>
      <w:r w:rsidR="002C0D12">
        <w:t xml:space="preserve">because both the theory of corporate finance and the practice of corporate finance require an understanding of financial statements, this course will also provide a </w:t>
      </w:r>
      <w:r w:rsidR="002C0D12" w:rsidRPr="00A443BB">
        <w:rPr>
          <w:i/>
        </w:rPr>
        <w:t>brief</w:t>
      </w:r>
      <w:r w:rsidR="002C0D12">
        <w:t xml:space="preserve"> overview of </w:t>
      </w:r>
      <w:r w:rsidR="00661C95">
        <w:t xml:space="preserve">basic </w:t>
      </w:r>
      <w:r w:rsidR="002C0D12">
        <w:t xml:space="preserve">accounting principles.  </w:t>
      </w:r>
      <w:r w:rsidR="00661C95">
        <w:t>The goal isn’t to create accountants capable of auditing a company, but rather, to get you comfortable reading and analyzing financial statements</w:t>
      </w:r>
      <w:r w:rsidR="00AF600C">
        <w:t>—</w:t>
      </w:r>
      <w:r w:rsidR="00661C95" w:rsidRPr="00503DA6">
        <w:rPr>
          <w:lang w:val="en"/>
        </w:rPr>
        <w:t>the language of corporate finance</w:t>
      </w:r>
      <w:r w:rsidR="00661C95">
        <w:rPr>
          <w:lang w:val="en"/>
        </w:rPr>
        <w:t>.</w:t>
      </w:r>
    </w:p>
    <w:p w14:paraId="75F5FCF6" w14:textId="77777777" w:rsidR="00661C95" w:rsidRDefault="00661C95" w:rsidP="0016038B"/>
    <w:p w14:paraId="78F65A5B" w14:textId="1E14F6C0" w:rsidR="00AF600C" w:rsidRDefault="00AF600C" w:rsidP="00AF600C">
      <w:r w:rsidRPr="00F04DAD">
        <w:rPr>
          <w:i/>
          <w:u w:val="single"/>
        </w:rPr>
        <w:t>A word of warning</w:t>
      </w:r>
      <w:r w:rsidR="002109D2">
        <w:t>:  B</w:t>
      </w:r>
      <w:r>
        <w:t xml:space="preserve">y law school standards, we will be using </w:t>
      </w:r>
      <w:r w:rsidRPr="00AF600C">
        <w:rPr>
          <w:b/>
        </w:rPr>
        <w:t>a lot</w:t>
      </w:r>
      <w:r>
        <w:t xml:space="preserve"> of math in this course.  We will also be doing </w:t>
      </w:r>
      <w:r w:rsidR="00F246E1">
        <w:t>a fair amount of</w:t>
      </w:r>
      <w:r>
        <w:t xml:space="preserve"> financial modeling in Microsoft Excel.  </w:t>
      </w:r>
      <w:r w:rsidRPr="00503DA6">
        <w:rPr>
          <w:lang w:val="en"/>
        </w:rPr>
        <w:t xml:space="preserve">You need no </w:t>
      </w:r>
      <w:r>
        <w:rPr>
          <w:lang w:val="en"/>
        </w:rPr>
        <w:t xml:space="preserve">prior training in Excel, nor do you need </w:t>
      </w:r>
      <w:r w:rsidRPr="00503DA6">
        <w:rPr>
          <w:lang w:val="en"/>
        </w:rPr>
        <w:t xml:space="preserve">mathematical background other than high school algebra, </w:t>
      </w:r>
      <w:r w:rsidRPr="00503DA6">
        <w:rPr>
          <w:lang w:val="en"/>
        </w:rPr>
        <w:lastRenderedPageBreak/>
        <w:t>which I’ll assume</w:t>
      </w:r>
      <w:r>
        <w:rPr>
          <w:lang w:val="en"/>
        </w:rPr>
        <w:t xml:space="preserve"> </w:t>
      </w:r>
      <w:r w:rsidRPr="00503DA6">
        <w:rPr>
          <w:lang w:val="en"/>
        </w:rPr>
        <w:t>you took a long time ago</w:t>
      </w:r>
      <w:r>
        <w:rPr>
          <w:lang w:val="en"/>
        </w:rPr>
        <w:t xml:space="preserve">.  But if equations scare you senseless or if you never took high school algebra, we should talk privately.  Likewise, if you have never used Microsoft Excel, please come see me.  </w:t>
      </w:r>
    </w:p>
    <w:p w14:paraId="1DF551F7" w14:textId="77777777" w:rsidR="00AF600C" w:rsidRDefault="00AF600C" w:rsidP="0016038B"/>
    <w:p w14:paraId="675642C6" w14:textId="77777777" w:rsidR="00B04F56" w:rsidRPr="00B955D1" w:rsidRDefault="00B04F56" w:rsidP="00B04F56">
      <w:pPr>
        <w:rPr>
          <w:b/>
        </w:rPr>
      </w:pPr>
      <w:r w:rsidRPr="00B955D1">
        <w:rPr>
          <w:b/>
        </w:rPr>
        <w:t>Required Materials:</w:t>
      </w:r>
    </w:p>
    <w:p w14:paraId="734CA228" w14:textId="77777777" w:rsidR="00B04F56" w:rsidRPr="00B955D1" w:rsidRDefault="00B04F56" w:rsidP="00B04F56">
      <w:r w:rsidRPr="00B955D1">
        <w:t xml:space="preserve">The required </w:t>
      </w:r>
      <w:r w:rsidR="00702F23">
        <w:t>materials</w:t>
      </w:r>
      <w:r w:rsidRPr="00B955D1">
        <w:t xml:space="preserve"> for this course are:</w:t>
      </w:r>
    </w:p>
    <w:p w14:paraId="5DF5DEE0" w14:textId="32598DF0" w:rsidR="00B04F56" w:rsidRPr="00702F23" w:rsidRDefault="00B04F56" w:rsidP="00B04F56">
      <w:pPr>
        <w:numPr>
          <w:ilvl w:val="0"/>
          <w:numId w:val="30"/>
        </w:numPr>
      </w:pPr>
      <w:r>
        <w:t xml:space="preserve">William J. Carney, </w:t>
      </w:r>
      <w:r w:rsidR="00A7143D">
        <w:t xml:space="preserve">Robert Bartlett, and George Geis, </w:t>
      </w:r>
      <w:r>
        <w:rPr>
          <w:i/>
        </w:rPr>
        <w:t>Corporate Finance: Principles and Practice</w:t>
      </w:r>
      <w:r>
        <w:t xml:space="preserve"> (</w:t>
      </w:r>
      <w:r w:rsidR="00A7143D">
        <w:t>4th</w:t>
      </w:r>
      <w:r>
        <w:t xml:space="preserve"> edition)</w:t>
      </w:r>
    </w:p>
    <w:p w14:paraId="3C742B71" w14:textId="34C9BE48" w:rsidR="000B11D8" w:rsidRDefault="000B11D8" w:rsidP="00B04F56">
      <w:pPr>
        <w:numPr>
          <w:ilvl w:val="0"/>
          <w:numId w:val="30"/>
        </w:numPr>
      </w:pPr>
      <w:r>
        <w:t>Access to a laptop computer for bringing to class</w:t>
      </w:r>
      <w:r w:rsidR="00E57117">
        <w:t xml:space="preserve"> (please see me if this is not possible for you)</w:t>
      </w:r>
    </w:p>
    <w:p w14:paraId="4FB34F63" w14:textId="77777777" w:rsidR="00702F23" w:rsidRDefault="00702F23" w:rsidP="00B04F56">
      <w:pPr>
        <w:numPr>
          <w:ilvl w:val="0"/>
          <w:numId w:val="30"/>
        </w:numPr>
      </w:pPr>
      <w:r>
        <w:t>Microso</w:t>
      </w:r>
      <w:r w:rsidR="00DE0882">
        <w:t xml:space="preserve">ft Excel (any </w:t>
      </w:r>
      <w:r w:rsidR="009C60B5">
        <w:t xml:space="preserve">recent </w:t>
      </w:r>
      <w:r w:rsidR="00DE0882">
        <w:t>edition</w:t>
      </w:r>
      <w:r>
        <w:t>)</w:t>
      </w:r>
    </w:p>
    <w:p w14:paraId="2CF971CA" w14:textId="77777777" w:rsidR="00702F23" w:rsidRDefault="00702F23" w:rsidP="00702F23"/>
    <w:p w14:paraId="3122F71D" w14:textId="77777777" w:rsidR="008D05C9" w:rsidRDefault="008D05C9" w:rsidP="008D05C9">
      <w:r>
        <w:t xml:space="preserve">I will also be distributing supplemental materials periodically on </w:t>
      </w:r>
      <w:proofErr w:type="spellStart"/>
      <w:r>
        <w:t>bCourses</w:t>
      </w:r>
      <w:proofErr w:type="spellEnd"/>
      <w:r>
        <w:t xml:space="preserve"> (see next).  </w:t>
      </w:r>
    </w:p>
    <w:p w14:paraId="2849F0C0" w14:textId="77777777" w:rsidR="00671293" w:rsidRDefault="00671293" w:rsidP="0016038B"/>
    <w:p w14:paraId="37A5C241" w14:textId="00E94B24" w:rsidR="00671293" w:rsidRPr="00671293" w:rsidRDefault="00671293" w:rsidP="00671293">
      <w:pPr>
        <w:rPr>
          <w:color w:val="000000"/>
        </w:rPr>
      </w:pPr>
      <w:r>
        <w:t>W</w:t>
      </w:r>
      <w:r w:rsidRPr="00671293">
        <w:t xml:space="preserve">hile not required, I would strongly recommend that you obtain a subscription to the </w:t>
      </w:r>
      <w:r w:rsidRPr="00671293">
        <w:rPr>
          <w:i/>
        </w:rPr>
        <w:t>Wall Street Journal</w:t>
      </w:r>
      <w:r w:rsidRPr="00671293">
        <w:t xml:space="preserve"> for the semester.  </w:t>
      </w:r>
      <w:r w:rsidRPr="00671293">
        <w:rPr>
          <w:color w:val="000000"/>
        </w:rPr>
        <w:t>For student subscriptions, the Journal has a student price of $1</w:t>
      </w:r>
      <w:r w:rsidR="008D05C9">
        <w:rPr>
          <w:color w:val="000000"/>
        </w:rPr>
        <w:t xml:space="preserve"> per week</w:t>
      </w:r>
      <w:r w:rsidRPr="00671293">
        <w:rPr>
          <w:color w:val="000000"/>
        </w:rPr>
        <w:t xml:space="preserve"> for a 15-week subscription</w:t>
      </w:r>
      <w:r w:rsidR="008D05C9">
        <w:rPr>
          <w:color w:val="000000"/>
        </w:rPr>
        <w:t xml:space="preserve">, which you can cancel at any time. </w:t>
      </w:r>
      <w:r w:rsidRPr="00671293">
        <w:rPr>
          <w:color w:val="000000"/>
        </w:rPr>
        <w:t xml:space="preserve"> (</w:t>
      </w:r>
      <w:r w:rsidR="008D05C9">
        <w:rPr>
          <w:color w:val="000000"/>
        </w:rPr>
        <w:t>FYI: this is a</w:t>
      </w:r>
      <w:r w:rsidRPr="00671293">
        <w:rPr>
          <w:color w:val="000000"/>
        </w:rPr>
        <w:t xml:space="preserve"> </w:t>
      </w:r>
      <w:r w:rsidR="008D05C9">
        <w:rPr>
          <w:i/>
          <w:color w:val="000000"/>
        </w:rPr>
        <w:t>very</w:t>
      </w:r>
      <w:r w:rsidR="00925CE6">
        <w:rPr>
          <w:i/>
          <w:color w:val="000000"/>
        </w:rPr>
        <w:t xml:space="preserve"> </w:t>
      </w:r>
      <w:r w:rsidRPr="00671293">
        <w:rPr>
          <w:color w:val="000000"/>
        </w:rPr>
        <w:t xml:space="preserve">good </w:t>
      </w:r>
      <w:r w:rsidR="008D05C9">
        <w:rPr>
          <w:color w:val="000000"/>
        </w:rPr>
        <w:t>price</w:t>
      </w:r>
      <w:r w:rsidRPr="00671293">
        <w:rPr>
          <w:color w:val="000000"/>
        </w:rPr>
        <w:t>). You can register at:</w:t>
      </w:r>
    </w:p>
    <w:p w14:paraId="6D19FC8B" w14:textId="77777777" w:rsidR="00671293" w:rsidRPr="00671293" w:rsidRDefault="00671293" w:rsidP="00671293">
      <w:pPr>
        <w:rPr>
          <w:color w:val="000000"/>
        </w:rPr>
      </w:pPr>
    </w:p>
    <w:p w14:paraId="16E66822" w14:textId="41DC96FA" w:rsidR="00925CE6" w:rsidRDefault="00EC2F44" w:rsidP="000D6AD6">
      <w:pPr>
        <w:jc w:val="center"/>
      </w:pPr>
      <w:hyperlink r:id="rId7" w:history="1">
        <w:r w:rsidR="00925CE6" w:rsidRPr="007B1F08">
          <w:rPr>
            <w:rStyle w:val="Hyperlink"/>
          </w:rPr>
          <w:t>http://r.wsj.net/l6mGl</w:t>
        </w:r>
      </w:hyperlink>
    </w:p>
    <w:p w14:paraId="58FD7D88" w14:textId="77777777" w:rsidR="00661C95" w:rsidRPr="00671293" w:rsidRDefault="00661C95" w:rsidP="0016038B"/>
    <w:p w14:paraId="0FC5AA2B" w14:textId="77777777" w:rsidR="009A4CA0" w:rsidRDefault="00EB2B04" w:rsidP="009A4CA0">
      <w:pPr>
        <w:rPr>
          <w:b/>
        </w:rPr>
      </w:pPr>
      <w:proofErr w:type="spellStart"/>
      <w:r>
        <w:rPr>
          <w:b/>
        </w:rPr>
        <w:t>bCourse</w:t>
      </w:r>
      <w:proofErr w:type="spellEnd"/>
      <w:r w:rsidR="009A4CA0">
        <w:rPr>
          <w:b/>
        </w:rPr>
        <w:t>; Reading Assignments</w:t>
      </w:r>
      <w:r w:rsidR="009A4CA0" w:rsidRPr="00B955D1">
        <w:rPr>
          <w:b/>
        </w:rPr>
        <w:t>:</w:t>
      </w:r>
    </w:p>
    <w:p w14:paraId="2D1DEC58" w14:textId="7F310669" w:rsidR="009A4CA0" w:rsidRDefault="00CD2A8A" w:rsidP="009A4CA0">
      <w:r>
        <w:t xml:space="preserve">I manage course announcements and assignments through </w:t>
      </w:r>
      <w:proofErr w:type="spellStart"/>
      <w:r>
        <w:t>bCourses</w:t>
      </w:r>
      <w:proofErr w:type="spellEnd"/>
      <w:r>
        <w:t>.</w:t>
      </w:r>
      <w:r w:rsidR="00EB2B04">
        <w:t xml:space="preserve"> You should already be enrolled in the course </w:t>
      </w:r>
      <w:proofErr w:type="spellStart"/>
      <w:r w:rsidR="00EB2B04">
        <w:t>bCourse</w:t>
      </w:r>
      <w:proofErr w:type="spellEnd"/>
      <w:r w:rsidR="00EB2B04">
        <w:t xml:space="preserve"> website located at:</w:t>
      </w:r>
      <w:r w:rsidR="00B90AEF" w:rsidRPr="00B90AEF">
        <w:t xml:space="preserve"> </w:t>
      </w:r>
      <w:r w:rsidR="00A7143D" w:rsidRPr="00A7143D">
        <w:rPr>
          <w:rStyle w:val="Hyperlink"/>
        </w:rPr>
        <w:t>https://bcourses.berkeley.edu/courses/1488164</w:t>
      </w:r>
      <w:r w:rsidR="00B90AEF">
        <w:t>.</w:t>
      </w:r>
      <w:r w:rsidR="002109D2">
        <w:t xml:space="preserve"> </w:t>
      </w:r>
      <w:r w:rsidR="00EB2B04">
        <w:t xml:space="preserve">If you are unable to access the </w:t>
      </w:r>
      <w:proofErr w:type="spellStart"/>
      <w:r w:rsidR="00EB2B04">
        <w:t>bCourse</w:t>
      </w:r>
      <w:proofErr w:type="spellEnd"/>
      <w:r w:rsidR="00EB2B04">
        <w:t xml:space="preserve"> site, please contact me as soon as possible.</w:t>
      </w:r>
      <w:r>
        <w:t xml:space="preserve"> </w:t>
      </w:r>
      <w:r w:rsidR="009A4CA0">
        <w:t>A copy of the syllabus, reading assignments, and copies of class materials</w:t>
      </w:r>
      <w:r w:rsidR="00EB2B04">
        <w:t xml:space="preserve"> can be found on the </w:t>
      </w:r>
      <w:proofErr w:type="spellStart"/>
      <w:r w:rsidR="00EB2B04">
        <w:t>bCourse</w:t>
      </w:r>
      <w:proofErr w:type="spellEnd"/>
      <w:r w:rsidR="00EB2B04">
        <w:t xml:space="preserve"> website</w:t>
      </w:r>
      <w:r w:rsidR="009A4CA0">
        <w:t xml:space="preserve">.  Reading assignments for each week will be posted </w:t>
      </w:r>
      <w:r w:rsidR="00B96260">
        <w:t xml:space="preserve">on or before </w:t>
      </w:r>
      <w:r w:rsidR="009A4CA0">
        <w:t xml:space="preserve">the preceding </w:t>
      </w:r>
      <w:r w:rsidR="009C60B5">
        <w:t>Thursday</w:t>
      </w:r>
      <w:r w:rsidR="009A4CA0">
        <w:t xml:space="preserve">.  </w:t>
      </w:r>
      <w:r w:rsidR="008E466F">
        <w:t xml:space="preserve">Class slides will be posted to </w:t>
      </w:r>
      <w:proofErr w:type="spellStart"/>
      <w:r w:rsidR="008E466F">
        <w:t>bCourses</w:t>
      </w:r>
      <w:proofErr w:type="spellEnd"/>
      <w:r w:rsidR="008E466F">
        <w:t xml:space="preserve"> after each class.</w:t>
      </w:r>
    </w:p>
    <w:p w14:paraId="7000B2B3" w14:textId="77777777" w:rsidR="00BC7DAF" w:rsidRPr="006E7A0A" w:rsidRDefault="00BC7DAF" w:rsidP="0016038B"/>
    <w:p w14:paraId="65D468D9" w14:textId="77777777" w:rsidR="00B96260" w:rsidRPr="00B955D1" w:rsidRDefault="00B96260" w:rsidP="00B96260">
      <w:pPr>
        <w:rPr>
          <w:b/>
        </w:rPr>
      </w:pPr>
      <w:r>
        <w:rPr>
          <w:b/>
        </w:rPr>
        <w:t>Grading</w:t>
      </w:r>
      <w:r w:rsidR="0014645B">
        <w:rPr>
          <w:b/>
        </w:rPr>
        <w:t>:</w:t>
      </w:r>
    </w:p>
    <w:p w14:paraId="571F904C" w14:textId="1FDBE2F9" w:rsidR="004E3C06" w:rsidRDefault="009C60B5" w:rsidP="004E3C06">
      <w:r>
        <w:t xml:space="preserve">The course is offered on a credit/no-credit basis.  </w:t>
      </w:r>
      <w:r w:rsidR="004E3C06">
        <w:t xml:space="preserve">Your final grade for the class will be </w:t>
      </w:r>
      <w:r w:rsidR="002109D2">
        <w:t>determined as follows:</w:t>
      </w:r>
    </w:p>
    <w:p w14:paraId="70EF9F81" w14:textId="77777777" w:rsidR="004E3C06" w:rsidRDefault="004E3C06" w:rsidP="004E3C06"/>
    <w:p w14:paraId="33C70748" w14:textId="353D9BBB" w:rsidR="004E3C06" w:rsidRDefault="004E3C06" w:rsidP="004E3C06">
      <w:r>
        <w:rPr>
          <w:i/>
        </w:rPr>
        <w:t>Exam.</w:t>
      </w:r>
      <w:r>
        <w:t xml:space="preserve">  Subject to any upward or downward adjustment described below, your final grade for this course will be based on a two-hour, in-class exam to be administered on </w:t>
      </w:r>
      <w:r w:rsidR="0058707F">
        <w:t>Tuesday</w:t>
      </w:r>
      <w:r w:rsidR="002109D2">
        <w:t xml:space="preserve">, </w:t>
      </w:r>
      <w:r w:rsidR="0058707F">
        <w:t>May 5, 2020</w:t>
      </w:r>
      <w:r>
        <w:t>.  The exam will be designed to test your mastery of the concepts covered in this class and will consist of a series of multiple-choice questions.  The exam will be open book.  I will provide more information regarding the format of the exam later in the semester.</w:t>
      </w:r>
    </w:p>
    <w:p w14:paraId="049805B4" w14:textId="77777777" w:rsidR="004E3C06" w:rsidRDefault="004E3C06" w:rsidP="00B96260"/>
    <w:p w14:paraId="17F7F896" w14:textId="3DF6395B" w:rsidR="00EB4052" w:rsidRDefault="00CD64C7" w:rsidP="00CD64C7">
      <w:r>
        <w:rPr>
          <w:i/>
        </w:rPr>
        <w:t xml:space="preserve">Problem Sets.  </w:t>
      </w:r>
      <w:r>
        <w:t xml:space="preserve">During the course of the semester, I will distribute </w:t>
      </w:r>
      <w:r w:rsidR="009C60B5">
        <w:t>4</w:t>
      </w:r>
      <w:r>
        <w:t xml:space="preserve"> problem sets to the class.  You will have one week to complete each problem set.  In addition to helping you learn the materials we are studying, the problem sets are also intended to encourage collaborative work—something that is all too seldom practiced in law school, but which is an important part of </w:t>
      </w:r>
      <w:proofErr w:type="gramStart"/>
      <w:r>
        <w:t>real life</w:t>
      </w:r>
      <w:proofErr w:type="gramEnd"/>
      <w:r>
        <w:t xml:space="preserve"> practice.  Accordingly, </w:t>
      </w:r>
      <w:r w:rsidR="00CD2A8A">
        <w:t xml:space="preserve">I will assign each of you randomly to a team of </w:t>
      </w:r>
      <w:r w:rsidR="00493C6F">
        <w:t>3-</w:t>
      </w:r>
      <w:r w:rsidR="00CD2A8A">
        <w:t>4</w:t>
      </w:r>
      <w:r>
        <w:t xml:space="preserve"> individuals </w:t>
      </w:r>
      <w:r w:rsidR="00AC713D">
        <w:t>who</w:t>
      </w:r>
      <w:r>
        <w:t xml:space="preserve"> will work jointly </w:t>
      </w:r>
      <w:r w:rsidR="00DB4ABF">
        <w:t>on the problem sets</w:t>
      </w:r>
      <w:r>
        <w:t xml:space="preserve">.  </w:t>
      </w:r>
      <w:r w:rsidR="00493C6F">
        <w:t xml:space="preserve">Each student must separately upload their answers by the </w:t>
      </w:r>
      <w:r w:rsidR="00493C6F">
        <w:lastRenderedPageBreak/>
        <w:t>assigned due date, though your work product can and should reflect the work of the entire team (i.e., it is permissible for each team member to upload the same set of answers, so long as they were collaboratively obtained).</w:t>
      </w:r>
      <w:r w:rsidR="00726430">
        <w:t xml:space="preserve"> </w:t>
      </w:r>
      <w:r w:rsidR="00EB4052">
        <w:t xml:space="preserve"> </w:t>
      </w:r>
      <w:r w:rsidR="004B3916">
        <w:t xml:space="preserve">Additionally, each team member will separately complete a team evaluation at the end of the fourth problem set (the evaluation will ask you to confirm that each member of the team contributed substantially to the completion of the four problem sets.)  </w:t>
      </w:r>
    </w:p>
    <w:p w14:paraId="1BCA28C2" w14:textId="77777777" w:rsidR="00EB4052" w:rsidRDefault="00EB4052" w:rsidP="00CD64C7"/>
    <w:p w14:paraId="3DFBF87E" w14:textId="7EB34AF0" w:rsidR="00CD64C7" w:rsidRPr="00DB4ABF" w:rsidRDefault="00EB4052" w:rsidP="00CD64C7">
      <w:r>
        <w:t xml:space="preserve">Please note that problem sets will </w:t>
      </w:r>
      <w:r>
        <w:rPr>
          <w:i/>
        </w:rPr>
        <w:t>not</w:t>
      </w:r>
      <w:r>
        <w:t xml:space="preserve"> be scored upon submission, but rather, we will review them together following the deadline.  That said, please be advised </w:t>
      </w:r>
      <w:r w:rsidR="0020657C">
        <w:t xml:space="preserve">of the following two policies.  First, </w:t>
      </w:r>
      <w:r w:rsidRPr="00CE4465">
        <w:rPr>
          <w:u w:val="single"/>
        </w:rPr>
        <w:t>all exam questions will be based on the problem sets</w:t>
      </w:r>
      <w:r>
        <w:t xml:space="preserve">; therefore, a student’s failure to comprehend </w:t>
      </w:r>
      <w:r w:rsidR="00B14AA0">
        <w:t>all</w:t>
      </w:r>
      <w:r>
        <w:t xml:space="preserve"> problem set</w:t>
      </w:r>
      <w:r w:rsidR="00B14AA0">
        <w:t>s</w:t>
      </w:r>
      <w:r>
        <w:t xml:space="preserve"> by the time of the exam will subject that student to a heightened risk of fail</w:t>
      </w:r>
      <w:r w:rsidR="0020657C">
        <w:t>ing this course</w:t>
      </w:r>
      <w:r w:rsidR="00DB4ABF">
        <w:t xml:space="preserve">.  </w:t>
      </w:r>
      <w:r w:rsidR="0020657C">
        <w:t xml:space="preserve">Second, </w:t>
      </w:r>
      <w:r w:rsidR="0020657C" w:rsidRPr="00CE4465">
        <w:rPr>
          <w:u w:val="single"/>
        </w:rPr>
        <w:t xml:space="preserve">I will review all problem sets submitted by any student </w:t>
      </w:r>
      <w:r w:rsidR="00CE4465" w:rsidRPr="00CE4465">
        <w:rPr>
          <w:u w:val="single"/>
        </w:rPr>
        <w:t>(</w:t>
      </w:r>
      <w:proofErr w:type="spellStart"/>
      <w:r w:rsidR="00CE4465" w:rsidRPr="00CE4465">
        <w:rPr>
          <w:u w:val="single"/>
        </w:rPr>
        <w:t>i</w:t>
      </w:r>
      <w:proofErr w:type="spellEnd"/>
      <w:r w:rsidR="00CE4465" w:rsidRPr="00CE4465">
        <w:rPr>
          <w:u w:val="single"/>
        </w:rPr>
        <w:t xml:space="preserve">) </w:t>
      </w:r>
      <w:r w:rsidR="0020657C" w:rsidRPr="00CE4465">
        <w:rPr>
          <w:u w:val="single"/>
        </w:rPr>
        <w:t>whose exam performance places them in the bottom quartile of the class</w:t>
      </w:r>
      <w:r w:rsidR="00D953CE" w:rsidRPr="00CE4465">
        <w:rPr>
          <w:u w:val="single"/>
        </w:rPr>
        <w:t xml:space="preserve"> or </w:t>
      </w:r>
      <w:r w:rsidR="00CE4465" w:rsidRPr="00CE4465">
        <w:rPr>
          <w:u w:val="single"/>
        </w:rPr>
        <w:t xml:space="preserve">(ii) </w:t>
      </w:r>
      <w:r w:rsidR="00D953CE" w:rsidRPr="00CE4465">
        <w:rPr>
          <w:u w:val="single"/>
        </w:rPr>
        <w:t xml:space="preserve">who </w:t>
      </w:r>
      <w:r w:rsidR="00E7328A" w:rsidRPr="00CE4465">
        <w:rPr>
          <w:u w:val="single"/>
        </w:rPr>
        <w:t>provide incorrect answers for</w:t>
      </w:r>
      <w:r w:rsidR="00D953CE" w:rsidRPr="00CE4465">
        <w:rPr>
          <w:u w:val="single"/>
        </w:rPr>
        <w:t xml:space="preserve"> more than </w:t>
      </w:r>
      <w:r w:rsidR="00E7328A" w:rsidRPr="00CE4465">
        <w:rPr>
          <w:u w:val="single"/>
        </w:rPr>
        <w:t>50</w:t>
      </w:r>
      <w:r w:rsidR="00D953CE" w:rsidRPr="00CE4465">
        <w:rPr>
          <w:u w:val="single"/>
        </w:rPr>
        <w:t>% of the exam questions</w:t>
      </w:r>
      <w:r w:rsidR="0020657C">
        <w:t>.</w:t>
      </w:r>
      <w:r w:rsidR="00933ECD">
        <w:t xml:space="preserve">  </w:t>
      </w:r>
      <w:r w:rsidR="007172CB">
        <w:t>The purpose of this review will be to determine whether any such students will receiv</w:t>
      </w:r>
      <w:r w:rsidR="0058707F">
        <w:t>e</w:t>
      </w:r>
      <w:r w:rsidR="007172CB">
        <w:t xml:space="preserve"> </w:t>
      </w:r>
      <w:r w:rsidR="00CE4465">
        <w:t xml:space="preserve">a </w:t>
      </w:r>
      <w:r w:rsidR="007172CB">
        <w:t xml:space="preserve">passing grade for this class.  </w:t>
      </w:r>
      <w:r w:rsidR="00CE4465">
        <w:t xml:space="preserve">Students who fail to </w:t>
      </w:r>
      <w:r w:rsidR="00933ECD">
        <w:t xml:space="preserve">submit a problem set by the assigned due date </w:t>
      </w:r>
      <w:r w:rsidR="00CE4465">
        <w:t>or who submit an incomplete problem set will not be eligible to have their grade resuscitated by their problem sets. Note, however, that submitting complete and timely problem sets is not sufficient to pass the class.</w:t>
      </w:r>
    </w:p>
    <w:p w14:paraId="0678C4B5" w14:textId="77777777" w:rsidR="00CD64C7" w:rsidRDefault="00CD64C7" w:rsidP="00CD64C7"/>
    <w:p w14:paraId="621EF971" w14:textId="141CED0D" w:rsidR="00DB4ABF" w:rsidRDefault="00DB4ABF" w:rsidP="0008249E">
      <w:r>
        <w:rPr>
          <w:i/>
        </w:rPr>
        <w:t>Class participation</w:t>
      </w:r>
      <w:r w:rsidR="000B11D8">
        <w:rPr>
          <w:i/>
        </w:rPr>
        <w:t xml:space="preserve"> and attendance</w:t>
      </w:r>
      <w:r>
        <w:rPr>
          <w:i/>
        </w:rPr>
        <w:t>.</w:t>
      </w:r>
      <w:r>
        <w:t xml:space="preserve">  </w:t>
      </w:r>
      <w:r w:rsidR="000B11D8">
        <w:t xml:space="preserve">Much of our class discussion will be driven by </w:t>
      </w:r>
      <w:r w:rsidR="00E37B60">
        <w:t>the readings and problems assigned for each class.  As such</w:t>
      </w:r>
      <w:r w:rsidR="000B11D8">
        <w:t xml:space="preserve">, I expect students to come to class prepared to discuss </w:t>
      </w:r>
      <w:r w:rsidR="00E37B60">
        <w:t>the assigned materials</w:t>
      </w:r>
      <w:r w:rsidR="000B11D8">
        <w:t xml:space="preserve">.  </w:t>
      </w:r>
      <w:r w:rsidR="00E37B60">
        <w:t xml:space="preserve">To ensure robust class discussion, </w:t>
      </w:r>
      <w:r w:rsidR="0058707F">
        <w:t>absent volunteers for a question, I will call on students using the class roster, proceeding alphabetically from A to Z.</w:t>
      </w:r>
      <w:r w:rsidR="00E37B60">
        <w:t xml:space="preserve">  </w:t>
      </w:r>
      <w:r w:rsidR="00E37B60" w:rsidRPr="00E37B60">
        <w:rPr>
          <w:i/>
        </w:rPr>
        <w:t xml:space="preserve">If </w:t>
      </w:r>
      <w:r w:rsidR="0058707F">
        <w:rPr>
          <w:i/>
        </w:rPr>
        <w:t>I am nearing your name on the roster</w:t>
      </w:r>
      <w:r w:rsidR="00E37B60" w:rsidRPr="00E37B60">
        <w:rPr>
          <w:i/>
        </w:rPr>
        <w:t xml:space="preserve"> </w:t>
      </w:r>
      <w:r w:rsidR="0058707F">
        <w:rPr>
          <w:i/>
        </w:rPr>
        <w:t xml:space="preserve">and you anticipate that you will not be in class when I call on you, </w:t>
      </w:r>
      <w:r w:rsidR="00E37B60" w:rsidRPr="00E37B60">
        <w:rPr>
          <w:i/>
        </w:rPr>
        <w:t>it is imperative that you let me know this in advance of class</w:t>
      </w:r>
      <w:r w:rsidR="00E37B60">
        <w:t xml:space="preserve">.  Failure to attend class on </w:t>
      </w:r>
      <w:r w:rsidR="0058707F">
        <w:t>a</w:t>
      </w:r>
      <w:r w:rsidR="00E37B60">
        <w:t xml:space="preserve"> day </w:t>
      </w:r>
      <w:r w:rsidR="0058707F">
        <w:t>when I call on you</w:t>
      </w:r>
      <w:r w:rsidR="00E37B60">
        <w:t xml:space="preserve"> </w:t>
      </w:r>
      <w:r w:rsidR="003F4663">
        <w:rPr>
          <w:lang w:val="en"/>
        </w:rPr>
        <w:t>will result in a 10% reduction of your grade, per incident.</w:t>
      </w:r>
      <w:r w:rsidR="000B11D8">
        <w:rPr>
          <w:lang w:val="en"/>
        </w:rPr>
        <w:t xml:space="preserve"> </w:t>
      </w:r>
      <w:r w:rsidR="00B03A48">
        <w:t xml:space="preserve"> </w:t>
      </w:r>
    </w:p>
    <w:p w14:paraId="347EA9F7" w14:textId="77777777" w:rsidR="00CA3DCC" w:rsidRDefault="00CA3DCC" w:rsidP="0008249E"/>
    <w:p w14:paraId="33823582" w14:textId="77777777" w:rsidR="00CA3DCC" w:rsidRDefault="00CA3DCC" w:rsidP="00CA3DCC">
      <w:r>
        <w:t xml:space="preserve">Lastly, please note the following law school policy which I reserve the right to enforce: </w:t>
      </w:r>
    </w:p>
    <w:p w14:paraId="254B7B18" w14:textId="77777777" w:rsidR="00CA3DCC" w:rsidRDefault="00CA3DCC" w:rsidP="00CA3DCC"/>
    <w:p w14:paraId="5BBE0A67" w14:textId="77777777" w:rsidR="00CA3DCC" w:rsidRPr="00723010" w:rsidRDefault="00CA3DCC" w:rsidP="00CA3DCC">
      <w:pPr>
        <w:ind w:left="420"/>
        <w:rPr>
          <w:i/>
        </w:rPr>
      </w:pPr>
      <w:r w:rsidRPr="00723010">
        <w:rPr>
          <w:i/>
        </w:rPr>
        <w:t>“When, in the opinion of an instructor, a student enrolled in his or her course has failed make a good faith effort at regular and punctual class attendance and, after reasonable warning and opportunity to make up and/or correct the deficiencies, continues to fail to make a good faith effort, the instructor may, in his or her discretion, take one of the following steps:</w:t>
      </w:r>
    </w:p>
    <w:p w14:paraId="24A20496" w14:textId="77777777" w:rsidR="00CA3DCC" w:rsidRPr="00723010" w:rsidRDefault="00CA3DCC" w:rsidP="00CA3DCC">
      <w:pPr>
        <w:pStyle w:val="ListParagraph"/>
        <w:numPr>
          <w:ilvl w:val="0"/>
          <w:numId w:val="32"/>
        </w:numPr>
        <w:rPr>
          <w:i/>
        </w:rPr>
      </w:pPr>
      <w:r w:rsidRPr="00723010">
        <w:rPr>
          <w:i/>
        </w:rPr>
        <w:t>request (in agreement with the Dean of Students) that the student be dropped from the class,</w:t>
      </w:r>
    </w:p>
    <w:p w14:paraId="7696A8EF" w14:textId="77777777" w:rsidR="00CA3DCC" w:rsidRPr="00723010" w:rsidRDefault="00CA3DCC" w:rsidP="00CA3DCC">
      <w:pPr>
        <w:pStyle w:val="ListParagraph"/>
        <w:numPr>
          <w:ilvl w:val="0"/>
          <w:numId w:val="32"/>
        </w:numPr>
        <w:rPr>
          <w:i/>
        </w:rPr>
      </w:pPr>
      <w:r w:rsidRPr="00723010">
        <w:rPr>
          <w:i/>
        </w:rPr>
        <w:t xml:space="preserve">reduce the student’s final grade, or </w:t>
      </w:r>
    </w:p>
    <w:p w14:paraId="0CDBCCBE" w14:textId="77777777" w:rsidR="00CA3DCC" w:rsidRPr="00723010" w:rsidRDefault="00CA3DCC" w:rsidP="00CA3DCC">
      <w:pPr>
        <w:pStyle w:val="ListParagraph"/>
        <w:numPr>
          <w:ilvl w:val="0"/>
          <w:numId w:val="32"/>
        </w:numPr>
        <w:rPr>
          <w:i/>
        </w:rPr>
      </w:pPr>
      <w:r w:rsidRPr="00723010">
        <w:rPr>
          <w:i/>
        </w:rPr>
        <w:t>assign the student a final grade of NC or NP.”</w:t>
      </w:r>
    </w:p>
    <w:p w14:paraId="7A4B3D79" w14:textId="77777777" w:rsidR="00CA3DCC" w:rsidRDefault="00CA3DCC" w:rsidP="0008249E"/>
    <w:p w14:paraId="293B82BC" w14:textId="77777777" w:rsidR="00A93A71" w:rsidRDefault="00A93A71" w:rsidP="00182AB6">
      <w:pPr>
        <w:rPr>
          <w:b/>
        </w:rPr>
      </w:pPr>
      <w:bookmarkStart w:id="0" w:name="_GoBack"/>
      <w:bookmarkEnd w:id="0"/>
    </w:p>
    <w:p w14:paraId="11F0AD52" w14:textId="4FF94792" w:rsidR="00182AB6" w:rsidRPr="004B3659" w:rsidRDefault="00182AB6" w:rsidP="00182AB6">
      <w:pPr>
        <w:rPr>
          <w:b/>
        </w:rPr>
      </w:pPr>
      <w:r>
        <w:rPr>
          <w:b/>
        </w:rPr>
        <w:t>Administrative Matters:</w:t>
      </w:r>
    </w:p>
    <w:p w14:paraId="5935D271" w14:textId="60D6B74E" w:rsidR="000B11D8" w:rsidRDefault="000B11D8" w:rsidP="000B11D8">
      <w:r>
        <w:t xml:space="preserve">Location:  </w:t>
      </w:r>
      <w:r w:rsidR="001B3AB2">
        <w:t xml:space="preserve">Room </w:t>
      </w:r>
      <w:r w:rsidR="00B14AA0">
        <w:t>100</w:t>
      </w:r>
      <w:r>
        <w:tab/>
      </w:r>
      <w:r>
        <w:tab/>
      </w:r>
      <w:r>
        <w:tab/>
      </w:r>
      <w:r>
        <w:tab/>
      </w:r>
    </w:p>
    <w:p w14:paraId="00D726FA" w14:textId="4840CE68" w:rsidR="001B3AB2" w:rsidRDefault="004E5CC0" w:rsidP="000B11D8">
      <w:r>
        <w:t>Class Meeting Times: M/T</w:t>
      </w:r>
      <w:r w:rsidR="001B3AB2">
        <w:t xml:space="preserve"> from 3:35 to 5:25 (we will take a 10</w:t>
      </w:r>
      <w:r w:rsidR="00E325F3">
        <w:t>-</w:t>
      </w:r>
      <w:r w:rsidR="001B3AB2">
        <w:t>minute break at 4:30)</w:t>
      </w:r>
    </w:p>
    <w:p w14:paraId="58FEE3D7" w14:textId="73AC24CF" w:rsidR="000B11D8" w:rsidRDefault="000B11D8" w:rsidP="000B11D8">
      <w:r>
        <w:t xml:space="preserve">Office Hours (Simon 890):  </w:t>
      </w:r>
      <w:r w:rsidR="00E325F3">
        <w:t>Tues</w:t>
      </w:r>
      <w:r>
        <w:t xml:space="preserve">: </w:t>
      </w:r>
      <w:r w:rsidR="002011BB">
        <w:t>10</w:t>
      </w:r>
      <w:r>
        <w:t>:</w:t>
      </w:r>
      <w:r w:rsidR="002011BB">
        <w:t>0</w:t>
      </w:r>
      <w:r>
        <w:t xml:space="preserve">0 </w:t>
      </w:r>
      <w:r w:rsidR="002109D2">
        <w:t xml:space="preserve">am </w:t>
      </w:r>
      <w:r>
        <w:t xml:space="preserve">– </w:t>
      </w:r>
      <w:r w:rsidR="002011BB">
        <w:t>12</w:t>
      </w:r>
      <w:r>
        <w:t>:</w:t>
      </w:r>
      <w:r w:rsidR="002011BB">
        <w:t>0</w:t>
      </w:r>
      <w:r>
        <w:t>0</w:t>
      </w:r>
      <w:r w:rsidR="002109D2">
        <w:t xml:space="preserve"> pm</w:t>
      </w:r>
      <w:r>
        <w:t xml:space="preserve"> </w:t>
      </w:r>
      <w:r w:rsidR="00E325F3">
        <w:t>(or by appointment)</w:t>
      </w:r>
    </w:p>
    <w:p w14:paraId="45779097" w14:textId="77777777" w:rsidR="00CF09AA" w:rsidRDefault="00CF09AA" w:rsidP="00CF09AA">
      <w:pPr>
        <w:tabs>
          <w:tab w:val="center" w:pos="4680"/>
        </w:tabs>
      </w:pPr>
      <w:r>
        <w:t>Email:  rbartlett@law.berkeley.edu</w:t>
      </w:r>
      <w:r>
        <w:tab/>
      </w:r>
    </w:p>
    <w:p w14:paraId="16F2BBDD" w14:textId="77777777" w:rsidR="00CF09AA" w:rsidRDefault="00CF09AA" w:rsidP="00CF09AA">
      <w:r>
        <w:t>Office Phone</w:t>
      </w:r>
      <w:proofErr w:type="gramStart"/>
      <w:r>
        <w:t>:  (</w:t>
      </w:r>
      <w:proofErr w:type="gramEnd"/>
      <w:r w:rsidRPr="00844FE5">
        <w:t>510</w:t>
      </w:r>
      <w:r>
        <w:t>) 642-</w:t>
      </w:r>
      <w:r w:rsidRPr="00844FE5">
        <w:t>6646</w:t>
      </w:r>
    </w:p>
    <w:p w14:paraId="5F11FA6E" w14:textId="5535EFFA" w:rsidR="002011BB" w:rsidRDefault="002011BB" w:rsidP="002011BB">
      <w:r>
        <w:t xml:space="preserve">Legal Assistant:  </w:t>
      </w:r>
      <w:r w:rsidR="00E325F3" w:rsidRPr="00E325F3">
        <w:t xml:space="preserve">Kiara Williams </w:t>
      </w:r>
      <w:r>
        <w:t>(</w:t>
      </w:r>
      <w:r w:rsidR="00E325F3" w:rsidRPr="00E325F3">
        <w:t>kwilliams1@berkeley.edu</w:t>
      </w:r>
      <w:r>
        <w:t>)</w:t>
      </w:r>
      <w:r>
        <w:tab/>
      </w:r>
      <w:r>
        <w:tab/>
      </w:r>
    </w:p>
    <w:p w14:paraId="04733649" w14:textId="77777777" w:rsidR="00AB395F" w:rsidRDefault="00DE0882" w:rsidP="00AB395F">
      <w:pPr>
        <w:rPr>
          <w:b/>
        </w:rPr>
      </w:pPr>
      <w:r>
        <w:rPr>
          <w:b/>
        </w:rPr>
        <w:br w:type="page"/>
      </w:r>
      <w:r w:rsidR="00AB395F" w:rsidRPr="00D072DE">
        <w:rPr>
          <w:b/>
        </w:rPr>
        <w:lastRenderedPageBreak/>
        <w:t>Class Outline</w:t>
      </w:r>
      <w:r w:rsidR="00AB395F">
        <w:rPr>
          <w:b/>
        </w:rPr>
        <w:t xml:space="preserve"> (subject to change):</w:t>
      </w:r>
    </w:p>
    <w:p w14:paraId="52F63901" w14:textId="77777777" w:rsidR="00AB395F" w:rsidRDefault="00AB395F" w:rsidP="00D072DE">
      <w:pPr>
        <w:rPr>
          <w:b/>
        </w:rPr>
      </w:pPr>
    </w:p>
    <w:p w14:paraId="4AF5B4D4" w14:textId="77777777" w:rsidR="00AB395F" w:rsidRDefault="00AB395F" w:rsidP="00D072DE">
      <w:pPr>
        <w:rPr>
          <w:b/>
        </w:rPr>
      </w:pPr>
    </w:p>
    <w:tbl>
      <w:tblPr>
        <w:tblW w:w="96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980"/>
        <w:gridCol w:w="6480"/>
      </w:tblGrid>
      <w:tr w:rsidR="00791562" w:rsidRPr="00AB395F" w14:paraId="2E30F54F" w14:textId="77777777" w:rsidTr="00791562">
        <w:trPr>
          <w:trHeight w:val="315"/>
        </w:trPr>
        <w:tc>
          <w:tcPr>
            <w:tcW w:w="1185" w:type="dxa"/>
            <w:shd w:val="clear" w:color="auto" w:fill="auto"/>
            <w:noWrap/>
            <w:vAlign w:val="bottom"/>
            <w:hideMark/>
          </w:tcPr>
          <w:p w14:paraId="4F26FE35" w14:textId="77777777" w:rsidR="00791562" w:rsidRPr="00394DD8" w:rsidRDefault="00791562" w:rsidP="00394DD8">
            <w:pPr>
              <w:suppressAutoHyphens w:val="0"/>
              <w:jc w:val="center"/>
              <w:rPr>
                <w:b/>
                <w:color w:val="000000"/>
              </w:rPr>
            </w:pPr>
            <w:r w:rsidRPr="00394DD8">
              <w:rPr>
                <w:b/>
                <w:color w:val="000000"/>
              </w:rPr>
              <w:t>Date</w:t>
            </w:r>
          </w:p>
        </w:tc>
        <w:tc>
          <w:tcPr>
            <w:tcW w:w="1980" w:type="dxa"/>
            <w:vAlign w:val="bottom"/>
          </w:tcPr>
          <w:p w14:paraId="25F32540" w14:textId="77777777" w:rsidR="00791562" w:rsidRPr="00394DD8" w:rsidRDefault="00791562" w:rsidP="00415B94">
            <w:pPr>
              <w:suppressAutoHyphens w:val="0"/>
              <w:jc w:val="center"/>
              <w:rPr>
                <w:b/>
                <w:color w:val="000000"/>
              </w:rPr>
            </w:pPr>
            <w:r w:rsidRPr="00394DD8">
              <w:rPr>
                <w:b/>
                <w:color w:val="000000"/>
              </w:rPr>
              <w:t>Class</w:t>
            </w:r>
          </w:p>
        </w:tc>
        <w:tc>
          <w:tcPr>
            <w:tcW w:w="6480" w:type="dxa"/>
            <w:shd w:val="clear" w:color="auto" w:fill="auto"/>
            <w:noWrap/>
            <w:vAlign w:val="bottom"/>
            <w:hideMark/>
          </w:tcPr>
          <w:p w14:paraId="7BE8D499" w14:textId="77777777" w:rsidR="00791562" w:rsidRPr="00394DD8" w:rsidRDefault="00791562" w:rsidP="00394DD8">
            <w:pPr>
              <w:suppressAutoHyphens w:val="0"/>
              <w:rPr>
                <w:b/>
                <w:color w:val="000000"/>
              </w:rPr>
            </w:pPr>
            <w:r w:rsidRPr="00394DD8">
              <w:rPr>
                <w:b/>
                <w:color w:val="000000"/>
              </w:rPr>
              <w:t>Topic</w:t>
            </w:r>
          </w:p>
        </w:tc>
      </w:tr>
      <w:tr w:rsidR="00791562" w:rsidRPr="00394DD8" w14:paraId="4DADF94B" w14:textId="77777777" w:rsidTr="00791562">
        <w:trPr>
          <w:trHeight w:val="345"/>
        </w:trPr>
        <w:tc>
          <w:tcPr>
            <w:tcW w:w="9645" w:type="dxa"/>
            <w:gridSpan w:val="3"/>
            <w:shd w:val="clear" w:color="auto" w:fill="auto"/>
            <w:noWrap/>
            <w:vAlign w:val="center"/>
          </w:tcPr>
          <w:p w14:paraId="273F97C4" w14:textId="77777777" w:rsidR="00791562" w:rsidRPr="00394DD8" w:rsidRDefault="00791562" w:rsidP="000812CD">
            <w:pPr>
              <w:suppressAutoHyphens w:val="0"/>
              <w:spacing w:before="120" w:after="120"/>
              <w:rPr>
                <w:color w:val="000000"/>
              </w:rPr>
            </w:pPr>
            <w:r w:rsidRPr="00D072DE">
              <w:rPr>
                <w:b/>
              </w:rPr>
              <w:t>I.  Measuring Firm Output</w:t>
            </w:r>
          </w:p>
        </w:tc>
      </w:tr>
      <w:tr w:rsidR="00791562" w:rsidRPr="00394DD8" w14:paraId="6616C1F2" w14:textId="77777777" w:rsidTr="00791562">
        <w:trPr>
          <w:trHeight w:val="345"/>
        </w:trPr>
        <w:tc>
          <w:tcPr>
            <w:tcW w:w="1185" w:type="dxa"/>
            <w:shd w:val="clear" w:color="auto" w:fill="auto"/>
            <w:noWrap/>
            <w:vAlign w:val="center"/>
            <w:hideMark/>
          </w:tcPr>
          <w:p w14:paraId="264189D7" w14:textId="275E0672" w:rsidR="00791562" w:rsidRPr="00394DD8" w:rsidRDefault="00791562" w:rsidP="000B11D8">
            <w:pPr>
              <w:suppressAutoHyphens w:val="0"/>
              <w:jc w:val="center"/>
              <w:rPr>
                <w:color w:val="000000"/>
              </w:rPr>
            </w:pPr>
            <w:r>
              <w:rPr>
                <w:color w:val="000000"/>
              </w:rPr>
              <w:t>1/</w:t>
            </w:r>
            <w:r w:rsidR="00823C7B">
              <w:rPr>
                <w:color w:val="000000"/>
              </w:rPr>
              <w:t>13</w:t>
            </w:r>
          </w:p>
        </w:tc>
        <w:tc>
          <w:tcPr>
            <w:tcW w:w="1980" w:type="dxa"/>
            <w:vAlign w:val="center"/>
          </w:tcPr>
          <w:p w14:paraId="3B51BD8B" w14:textId="77777777" w:rsidR="00791562" w:rsidRPr="00394DD8" w:rsidRDefault="00791562" w:rsidP="000B11D8">
            <w:pPr>
              <w:suppressAutoHyphens w:val="0"/>
              <w:jc w:val="center"/>
              <w:rPr>
                <w:color w:val="000000"/>
              </w:rPr>
            </w:pPr>
            <w:r w:rsidRPr="00394DD8">
              <w:rPr>
                <w:color w:val="000000"/>
              </w:rPr>
              <w:t>1</w:t>
            </w:r>
          </w:p>
        </w:tc>
        <w:tc>
          <w:tcPr>
            <w:tcW w:w="6480" w:type="dxa"/>
            <w:shd w:val="clear" w:color="auto" w:fill="auto"/>
            <w:noWrap/>
            <w:vAlign w:val="bottom"/>
            <w:hideMark/>
          </w:tcPr>
          <w:p w14:paraId="49E15F6D" w14:textId="77777777" w:rsidR="00791562" w:rsidRPr="00511BD5" w:rsidRDefault="00791562" w:rsidP="00394DD8">
            <w:pPr>
              <w:suppressAutoHyphens w:val="0"/>
              <w:rPr>
                <w:color w:val="000000"/>
              </w:rPr>
            </w:pPr>
            <w:r w:rsidRPr="00511BD5">
              <w:rPr>
                <w:color w:val="000000"/>
              </w:rPr>
              <w:t>Introduction; Financial Reports</w:t>
            </w:r>
          </w:p>
        </w:tc>
      </w:tr>
      <w:tr w:rsidR="00791562" w:rsidRPr="00394DD8" w14:paraId="7CB53184" w14:textId="77777777" w:rsidTr="00791562">
        <w:trPr>
          <w:trHeight w:val="300"/>
        </w:trPr>
        <w:tc>
          <w:tcPr>
            <w:tcW w:w="1185" w:type="dxa"/>
            <w:shd w:val="clear" w:color="auto" w:fill="auto"/>
            <w:noWrap/>
            <w:vAlign w:val="center"/>
            <w:hideMark/>
          </w:tcPr>
          <w:p w14:paraId="121B4998" w14:textId="45CF1CB4" w:rsidR="00791562" w:rsidRPr="00394DD8" w:rsidRDefault="00791562" w:rsidP="000B11D8">
            <w:pPr>
              <w:suppressAutoHyphens w:val="0"/>
              <w:jc w:val="center"/>
              <w:rPr>
                <w:color w:val="000000"/>
              </w:rPr>
            </w:pPr>
            <w:r>
              <w:rPr>
                <w:color w:val="000000"/>
              </w:rPr>
              <w:t>1/</w:t>
            </w:r>
            <w:r w:rsidR="00823C7B">
              <w:rPr>
                <w:color w:val="000000"/>
              </w:rPr>
              <w:t>14</w:t>
            </w:r>
          </w:p>
        </w:tc>
        <w:tc>
          <w:tcPr>
            <w:tcW w:w="1980" w:type="dxa"/>
            <w:vAlign w:val="center"/>
          </w:tcPr>
          <w:p w14:paraId="3BE2F62E" w14:textId="77777777" w:rsidR="00791562" w:rsidRPr="00394DD8" w:rsidRDefault="00791562" w:rsidP="000B11D8">
            <w:pPr>
              <w:suppressAutoHyphens w:val="0"/>
              <w:jc w:val="center"/>
              <w:rPr>
                <w:color w:val="000000"/>
              </w:rPr>
            </w:pPr>
            <w:r w:rsidRPr="00394DD8">
              <w:rPr>
                <w:color w:val="000000"/>
              </w:rPr>
              <w:t>2</w:t>
            </w:r>
          </w:p>
        </w:tc>
        <w:tc>
          <w:tcPr>
            <w:tcW w:w="6480" w:type="dxa"/>
            <w:shd w:val="clear" w:color="auto" w:fill="auto"/>
            <w:noWrap/>
            <w:vAlign w:val="bottom"/>
            <w:hideMark/>
          </w:tcPr>
          <w:p w14:paraId="0D0B11C4" w14:textId="6D8CE6E1" w:rsidR="00791562" w:rsidRPr="00511BD5" w:rsidRDefault="00791562" w:rsidP="003F5634">
            <w:pPr>
              <w:suppressAutoHyphens w:val="0"/>
              <w:rPr>
                <w:color w:val="000000"/>
              </w:rPr>
            </w:pPr>
            <w:r w:rsidRPr="00511BD5">
              <w:rPr>
                <w:color w:val="000000"/>
              </w:rPr>
              <w:t xml:space="preserve">Financial Reports (cont'd); </w:t>
            </w:r>
            <w:r w:rsidR="0069322D" w:rsidRPr="00511BD5">
              <w:rPr>
                <w:color w:val="000000"/>
              </w:rPr>
              <w:t>Excel Training Module #1</w:t>
            </w:r>
          </w:p>
        </w:tc>
      </w:tr>
      <w:tr w:rsidR="00823C7B" w:rsidRPr="00394DD8" w14:paraId="37449664" w14:textId="77777777" w:rsidTr="00791562">
        <w:trPr>
          <w:trHeight w:val="300"/>
        </w:trPr>
        <w:tc>
          <w:tcPr>
            <w:tcW w:w="1185" w:type="dxa"/>
            <w:shd w:val="clear" w:color="auto" w:fill="auto"/>
            <w:noWrap/>
            <w:vAlign w:val="center"/>
          </w:tcPr>
          <w:p w14:paraId="31799B6F" w14:textId="1F3F20EC" w:rsidR="00823C7B" w:rsidRDefault="00823C7B" w:rsidP="00B14AA0">
            <w:pPr>
              <w:suppressAutoHyphens w:val="0"/>
              <w:jc w:val="center"/>
              <w:rPr>
                <w:color w:val="000000"/>
              </w:rPr>
            </w:pPr>
            <w:r>
              <w:rPr>
                <w:color w:val="000000"/>
              </w:rPr>
              <w:t>1/20</w:t>
            </w:r>
          </w:p>
        </w:tc>
        <w:tc>
          <w:tcPr>
            <w:tcW w:w="1980" w:type="dxa"/>
            <w:vAlign w:val="center"/>
          </w:tcPr>
          <w:p w14:paraId="6667FEDA" w14:textId="77777777" w:rsidR="00823C7B" w:rsidRDefault="00823C7B" w:rsidP="00823C7B">
            <w:pPr>
              <w:suppressAutoHyphens w:val="0"/>
              <w:jc w:val="center"/>
              <w:rPr>
                <w:color w:val="000000"/>
              </w:rPr>
            </w:pPr>
            <w:r>
              <w:rPr>
                <w:color w:val="000000"/>
              </w:rPr>
              <w:t xml:space="preserve">No Class </w:t>
            </w:r>
          </w:p>
          <w:p w14:paraId="214CBC68" w14:textId="3EA8DAEB" w:rsidR="00823C7B" w:rsidRPr="00394DD8" w:rsidRDefault="00823C7B" w:rsidP="00823C7B">
            <w:pPr>
              <w:suppressAutoHyphens w:val="0"/>
              <w:jc w:val="center"/>
              <w:rPr>
                <w:color w:val="000000"/>
              </w:rPr>
            </w:pPr>
            <w:r>
              <w:rPr>
                <w:color w:val="000000"/>
              </w:rPr>
              <w:t>(MLK Day)</w:t>
            </w:r>
          </w:p>
        </w:tc>
        <w:tc>
          <w:tcPr>
            <w:tcW w:w="6480" w:type="dxa"/>
            <w:shd w:val="clear" w:color="auto" w:fill="auto"/>
            <w:noWrap/>
            <w:vAlign w:val="bottom"/>
          </w:tcPr>
          <w:p w14:paraId="17E49569" w14:textId="77777777" w:rsidR="00823C7B" w:rsidRPr="00511BD5" w:rsidRDefault="00823C7B" w:rsidP="00B14AA0">
            <w:pPr>
              <w:suppressAutoHyphens w:val="0"/>
              <w:rPr>
                <w:color w:val="000000"/>
              </w:rPr>
            </w:pPr>
          </w:p>
        </w:tc>
      </w:tr>
      <w:tr w:rsidR="00B14AA0" w:rsidRPr="00394DD8" w14:paraId="40888AF9" w14:textId="77777777" w:rsidTr="00791562">
        <w:trPr>
          <w:trHeight w:val="300"/>
        </w:trPr>
        <w:tc>
          <w:tcPr>
            <w:tcW w:w="1185" w:type="dxa"/>
            <w:shd w:val="clear" w:color="auto" w:fill="auto"/>
            <w:noWrap/>
            <w:vAlign w:val="center"/>
          </w:tcPr>
          <w:p w14:paraId="58CCADBA" w14:textId="21484CC3" w:rsidR="00B14AA0" w:rsidRDefault="00B14AA0" w:rsidP="00B14AA0">
            <w:pPr>
              <w:suppressAutoHyphens w:val="0"/>
              <w:jc w:val="center"/>
              <w:rPr>
                <w:color w:val="000000"/>
              </w:rPr>
            </w:pPr>
            <w:r>
              <w:rPr>
                <w:color w:val="000000"/>
              </w:rPr>
              <w:t>1/</w:t>
            </w:r>
            <w:r w:rsidR="00823C7B">
              <w:rPr>
                <w:color w:val="000000"/>
              </w:rPr>
              <w:t>21</w:t>
            </w:r>
          </w:p>
        </w:tc>
        <w:tc>
          <w:tcPr>
            <w:tcW w:w="1980" w:type="dxa"/>
            <w:vAlign w:val="center"/>
          </w:tcPr>
          <w:p w14:paraId="3F3191F6" w14:textId="2A2A97FB" w:rsidR="00B14AA0" w:rsidRPr="00394DD8" w:rsidRDefault="00B14AA0" w:rsidP="00B14AA0">
            <w:pPr>
              <w:suppressAutoHyphens w:val="0"/>
              <w:jc w:val="center"/>
              <w:rPr>
                <w:color w:val="000000"/>
              </w:rPr>
            </w:pPr>
            <w:r w:rsidRPr="00394DD8">
              <w:rPr>
                <w:color w:val="000000"/>
              </w:rPr>
              <w:t>3</w:t>
            </w:r>
          </w:p>
        </w:tc>
        <w:tc>
          <w:tcPr>
            <w:tcW w:w="6480" w:type="dxa"/>
            <w:shd w:val="clear" w:color="auto" w:fill="auto"/>
            <w:noWrap/>
            <w:vAlign w:val="bottom"/>
          </w:tcPr>
          <w:p w14:paraId="6BB95897" w14:textId="75B82CB9" w:rsidR="00B14AA0" w:rsidRPr="00511BD5" w:rsidRDefault="00B14AA0" w:rsidP="00B14AA0">
            <w:pPr>
              <w:suppressAutoHyphens w:val="0"/>
              <w:rPr>
                <w:color w:val="000000"/>
              </w:rPr>
            </w:pPr>
            <w:r w:rsidRPr="00511BD5">
              <w:rPr>
                <w:color w:val="000000"/>
              </w:rPr>
              <w:t>Financial Reports (cont'd)</w:t>
            </w:r>
          </w:p>
        </w:tc>
      </w:tr>
      <w:tr w:rsidR="00B14AA0" w:rsidRPr="00394DD8" w14:paraId="0333B6E8" w14:textId="77777777" w:rsidTr="00791562">
        <w:trPr>
          <w:trHeight w:val="300"/>
        </w:trPr>
        <w:tc>
          <w:tcPr>
            <w:tcW w:w="1185" w:type="dxa"/>
            <w:shd w:val="clear" w:color="auto" w:fill="auto"/>
            <w:noWrap/>
            <w:vAlign w:val="center"/>
            <w:hideMark/>
          </w:tcPr>
          <w:p w14:paraId="4E398053" w14:textId="6CA7EA24" w:rsidR="00B14AA0" w:rsidRPr="00394DD8" w:rsidRDefault="00B14AA0" w:rsidP="00B14AA0">
            <w:pPr>
              <w:suppressAutoHyphens w:val="0"/>
              <w:jc w:val="center"/>
              <w:rPr>
                <w:color w:val="000000"/>
              </w:rPr>
            </w:pPr>
            <w:r>
              <w:rPr>
                <w:color w:val="000000"/>
              </w:rPr>
              <w:t>1/</w:t>
            </w:r>
            <w:r w:rsidR="00823C7B">
              <w:rPr>
                <w:color w:val="000000"/>
              </w:rPr>
              <w:t>27</w:t>
            </w:r>
          </w:p>
        </w:tc>
        <w:tc>
          <w:tcPr>
            <w:tcW w:w="1980" w:type="dxa"/>
            <w:vAlign w:val="center"/>
          </w:tcPr>
          <w:p w14:paraId="0EFCD53C" w14:textId="66C251B0" w:rsidR="00B14AA0" w:rsidRPr="00394DD8" w:rsidRDefault="00B14AA0" w:rsidP="00B14AA0">
            <w:pPr>
              <w:suppressAutoHyphens w:val="0"/>
              <w:jc w:val="center"/>
              <w:rPr>
                <w:color w:val="000000"/>
              </w:rPr>
            </w:pPr>
            <w:r w:rsidRPr="00394DD8">
              <w:rPr>
                <w:color w:val="000000"/>
              </w:rPr>
              <w:t>4</w:t>
            </w:r>
          </w:p>
        </w:tc>
        <w:tc>
          <w:tcPr>
            <w:tcW w:w="6480" w:type="dxa"/>
            <w:shd w:val="clear" w:color="auto" w:fill="auto"/>
            <w:noWrap/>
            <w:vAlign w:val="bottom"/>
            <w:hideMark/>
          </w:tcPr>
          <w:p w14:paraId="1F8BAA14" w14:textId="4C13A3FF" w:rsidR="00B14AA0" w:rsidRPr="00511BD5" w:rsidRDefault="00B14AA0" w:rsidP="00B14AA0">
            <w:pPr>
              <w:suppressAutoHyphens w:val="0"/>
              <w:rPr>
                <w:color w:val="000000"/>
              </w:rPr>
            </w:pPr>
            <w:r>
              <w:rPr>
                <w:color w:val="000000"/>
              </w:rPr>
              <w:t>Financial Report (cont’d); Intro to Valuation</w:t>
            </w:r>
          </w:p>
          <w:p w14:paraId="4C087DA8" w14:textId="77777777" w:rsidR="00B14AA0" w:rsidRPr="00511BD5" w:rsidRDefault="00B14AA0" w:rsidP="00B14AA0">
            <w:pPr>
              <w:suppressAutoHyphens w:val="0"/>
              <w:rPr>
                <w:color w:val="000000"/>
              </w:rPr>
            </w:pPr>
          </w:p>
          <w:p w14:paraId="148D138D" w14:textId="7CC97F4D" w:rsidR="00B14AA0" w:rsidRPr="00511BD5" w:rsidRDefault="00B14AA0" w:rsidP="00A113DF">
            <w:pPr>
              <w:suppressAutoHyphens w:val="0"/>
              <w:jc w:val="center"/>
              <w:rPr>
                <w:color w:val="000000"/>
              </w:rPr>
            </w:pPr>
            <w:r w:rsidRPr="00511BD5">
              <w:rPr>
                <w:b/>
                <w:i/>
                <w:color w:val="000000"/>
              </w:rPr>
              <w:t>PROBLEM SET #1 DISTRIBUTED</w:t>
            </w:r>
          </w:p>
        </w:tc>
      </w:tr>
      <w:tr w:rsidR="00233885" w:rsidRPr="00394DD8" w14:paraId="02F89A6C" w14:textId="77777777" w:rsidTr="00791562">
        <w:trPr>
          <w:trHeight w:val="315"/>
        </w:trPr>
        <w:tc>
          <w:tcPr>
            <w:tcW w:w="9645" w:type="dxa"/>
            <w:gridSpan w:val="3"/>
            <w:shd w:val="clear" w:color="auto" w:fill="auto"/>
            <w:noWrap/>
            <w:vAlign w:val="center"/>
          </w:tcPr>
          <w:p w14:paraId="71FC9BF9" w14:textId="77777777" w:rsidR="00233885" w:rsidRPr="00511BD5" w:rsidRDefault="00233885" w:rsidP="000812CD">
            <w:pPr>
              <w:suppressAutoHyphens w:val="0"/>
              <w:spacing w:before="120" w:after="120"/>
              <w:rPr>
                <w:color w:val="000000"/>
              </w:rPr>
            </w:pPr>
            <w:r w:rsidRPr="00511BD5">
              <w:rPr>
                <w:b/>
              </w:rPr>
              <w:t>II.  How Financing Decisions Can Affect Firm Value</w:t>
            </w:r>
          </w:p>
        </w:tc>
      </w:tr>
      <w:tr w:rsidR="00233885" w:rsidRPr="00394DD8" w14:paraId="37D85B6B" w14:textId="77777777" w:rsidTr="00791562">
        <w:trPr>
          <w:trHeight w:val="315"/>
        </w:trPr>
        <w:tc>
          <w:tcPr>
            <w:tcW w:w="1185" w:type="dxa"/>
            <w:shd w:val="clear" w:color="auto" w:fill="auto"/>
            <w:noWrap/>
            <w:vAlign w:val="center"/>
            <w:hideMark/>
          </w:tcPr>
          <w:p w14:paraId="1648C820" w14:textId="076E9D27" w:rsidR="00233885" w:rsidRPr="00394DD8" w:rsidRDefault="00233885" w:rsidP="00233885">
            <w:pPr>
              <w:suppressAutoHyphens w:val="0"/>
              <w:jc w:val="center"/>
              <w:rPr>
                <w:color w:val="000000"/>
              </w:rPr>
            </w:pPr>
            <w:r>
              <w:rPr>
                <w:color w:val="000000"/>
              </w:rPr>
              <w:t>1/2</w:t>
            </w:r>
            <w:r w:rsidR="00823C7B">
              <w:rPr>
                <w:color w:val="000000"/>
              </w:rPr>
              <w:t>8</w:t>
            </w:r>
          </w:p>
        </w:tc>
        <w:tc>
          <w:tcPr>
            <w:tcW w:w="1980" w:type="dxa"/>
            <w:vAlign w:val="center"/>
          </w:tcPr>
          <w:p w14:paraId="01323186" w14:textId="24E06BA1" w:rsidR="00233885" w:rsidRPr="00394DD8" w:rsidRDefault="00B14AA0" w:rsidP="000B11D8">
            <w:pPr>
              <w:suppressAutoHyphens w:val="0"/>
              <w:jc w:val="center"/>
              <w:rPr>
                <w:color w:val="000000"/>
              </w:rPr>
            </w:pPr>
            <w:r>
              <w:rPr>
                <w:color w:val="000000"/>
              </w:rPr>
              <w:t>5</w:t>
            </w:r>
          </w:p>
        </w:tc>
        <w:tc>
          <w:tcPr>
            <w:tcW w:w="6480" w:type="dxa"/>
            <w:shd w:val="clear" w:color="auto" w:fill="auto"/>
            <w:noWrap/>
            <w:vAlign w:val="bottom"/>
            <w:hideMark/>
          </w:tcPr>
          <w:p w14:paraId="7DA28724" w14:textId="6E023E0F" w:rsidR="00233885" w:rsidRPr="00511BD5" w:rsidRDefault="00511BD5" w:rsidP="000812CD">
            <w:pPr>
              <w:suppressAutoHyphens w:val="0"/>
              <w:rPr>
                <w:color w:val="000000"/>
              </w:rPr>
            </w:pPr>
            <w:r w:rsidRPr="00511BD5">
              <w:rPr>
                <w:color w:val="000000"/>
              </w:rPr>
              <w:t>Calculating Future Value and Rates of Return; Intro to Present Value</w:t>
            </w:r>
          </w:p>
          <w:p w14:paraId="5F276963" w14:textId="77777777" w:rsidR="00233885" w:rsidRPr="00511BD5" w:rsidRDefault="00233885" w:rsidP="000812CD">
            <w:pPr>
              <w:suppressAutoHyphens w:val="0"/>
              <w:rPr>
                <w:color w:val="000000"/>
              </w:rPr>
            </w:pPr>
          </w:p>
          <w:p w14:paraId="0602E358" w14:textId="2EAAED20" w:rsidR="00233885" w:rsidRPr="00511BD5" w:rsidRDefault="00233885" w:rsidP="00CF09AA">
            <w:pPr>
              <w:suppressAutoHyphens w:val="0"/>
              <w:jc w:val="center"/>
              <w:rPr>
                <w:color w:val="000000"/>
              </w:rPr>
            </w:pPr>
            <w:r w:rsidRPr="00511BD5">
              <w:rPr>
                <w:b/>
                <w:i/>
                <w:color w:val="000000"/>
              </w:rPr>
              <w:t xml:space="preserve">PROBLEM SET #1 </w:t>
            </w:r>
            <w:r w:rsidR="00B14AA0">
              <w:rPr>
                <w:b/>
                <w:i/>
                <w:color w:val="000000"/>
              </w:rPr>
              <w:t>DUE</w:t>
            </w:r>
          </w:p>
        </w:tc>
      </w:tr>
      <w:tr w:rsidR="00233885" w:rsidRPr="00394DD8" w14:paraId="544F0C67" w14:textId="77777777" w:rsidTr="00791562">
        <w:trPr>
          <w:trHeight w:val="300"/>
        </w:trPr>
        <w:tc>
          <w:tcPr>
            <w:tcW w:w="1185" w:type="dxa"/>
            <w:shd w:val="clear" w:color="auto" w:fill="auto"/>
            <w:noWrap/>
            <w:vAlign w:val="center"/>
            <w:hideMark/>
          </w:tcPr>
          <w:p w14:paraId="3D2952D3" w14:textId="2C604447" w:rsidR="00233885" w:rsidRPr="00394DD8" w:rsidRDefault="00823C7B" w:rsidP="000B11D8">
            <w:pPr>
              <w:suppressAutoHyphens w:val="0"/>
              <w:jc w:val="center"/>
              <w:rPr>
                <w:color w:val="000000"/>
              </w:rPr>
            </w:pPr>
            <w:r>
              <w:rPr>
                <w:color w:val="000000"/>
              </w:rPr>
              <w:t>2/3</w:t>
            </w:r>
          </w:p>
        </w:tc>
        <w:tc>
          <w:tcPr>
            <w:tcW w:w="1980" w:type="dxa"/>
            <w:vAlign w:val="center"/>
          </w:tcPr>
          <w:p w14:paraId="755B354D" w14:textId="131E41CC" w:rsidR="00233885" w:rsidRPr="00394DD8" w:rsidRDefault="00A113DF" w:rsidP="000B11D8">
            <w:pPr>
              <w:suppressAutoHyphens w:val="0"/>
              <w:jc w:val="center"/>
              <w:rPr>
                <w:color w:val="000000"/>
              </w:rPr>
            </w:pPr>
            <w:r>
              <w:rPr>
                <w:color w:val="000000"/>
              </w:rPr>
              <w:t>6</w:t>
            </w:r>
          </w:p>
        </w:tc>
        <w:tc>
          <w:tcPr>
            <w:tcW w:w="6480" w:type="dxa"/>
            <w:shd w:val="clear" w:color="auto" w:fill="auto"/>
            <w:noWrap/>
            <w:vAlign w:val="bottom"/>
            <w:hideMark/>
          </w:tcPr>
          <w:p w14:paraId="5E50941D" w14:textId="54AED2C7" w:rsidR="00233885" w:rsidRPr="00511BD5" w:rsidRDefault="00511BD5" w:rsidP="00233885">
            <w:pPr>
              <w:suppressAutoHyphens w:val="0"/>
              <w:rPr>
                <w:color w:val="000000"/>
              </w:rPr>
            </w:pPr>
            <w:r w:rsidRPr="00511BD5">
              <w:t>Present Value (cont.); Excel Training Module #2 (building a financial model)</w:t>
            </w:r>
          </w:p>
        </w:tc>
      </w:tr>
      <w:tr w:rsidR="00233885" w:rsidRPr="00394DD8" w14:paraId="52A6496D" w14:textId="77777777" w:rsidTr="00791562">
        <w:trPr>
          <w:trHeight w:val="300"/>
        </w:trPr>
        <w:tc>
          <w:tcPr>
            <w:tcW w:w="1185" w:type="dxa"/>
            <w:shd w:val="clear" w:color="auto" w:fill="auto"/>
            <w:noWrap/>
            <w:vAlign w:val="center"/>
            <w:hideMark/>
          </w:tcPr>
          <w:p w14:paraId="779BAC86" w14:textId="0CC38FAA" w:rsidR="00233885" w:rsidRPr="00394DD8" w:rsidRDefault="00823C7B" w:rsidP="000B11D8">
            <w:pPr>
              <w:suppressAutoHyphens w:val="0"/>
              <w:jc w:val="center"/>
              <w:rPr>
                <w:color w:val="000000"/>
              </w:rPr>
            </w:pPr>
            <w:r>
              <w:rPr>
                <w:color w:val="000000"/>
              </w:rPr>
              <w:t>2/4</w:t>
            </w:r>
          </w:p>
        </w:tc>
        <w:tc>
          <w:tcPr>
            <w:tcW w:w="1980" w:type="dxa"/>
            <w:vAlign w:val="center"/>
          </w:tcPr>
          <w:p w14:paraId="2A367A1B" w14:textId="41CB38A4" w:rsidR="00233885" w:rsidRPr="00394DD8" w:rsidRDefault="00A113DF" w:rsidP="000B11D8">
            <w:pPr>
              <w:suppressAutoHyphens w:val="0"/>
              <w:jc w:val="center"/>
              <w:rPr>
                <w:color w:val="000000"/>
              </w:rPr>
            </w:pPr>
            <w:r>
              <w:rPr>
                <w:color w:val="000000"/>
              </w:rPr>
              <w:t>7</w:t>
            </w:r>
          </w:p>
        </w:tc>
        <w:tc>
          <w:tcPr>
            <w:tcW w:w="6480" w:type="dxa"/>
            <w:shd w:val="clear" w:color="auto" w:fill="auto"/>
            <w:noWrap/>
            <w:vAlign w:val="bottom"/>
            <w:hideMark/>
          </w:tcPr>
          <w:p w14:paraId="3166477D" w14:textId="0A770BBE" w:rsidR="00233885" w:rsidRPr="00511BD5" w:rsidRDefault="00511BD5" w:rsidP="00394DD8">
            <w:pPr>
              <w:suppressAutoHyphens w:val="0"/>
              <w:rPr>
                <w:color w:val="000000"/>
              </w:rPr>
            </w:pPr>
            <w:r w:rsidRPr="00511BD5">
              <w:rPr>
                <w:color w:val="000000"/>
              </w:rPr>
              <w:t xml:space="preserve">Determining Discount Rates: Risk and Return </w:t>
            </w:r>
          </w:p>
          <w:p w14:paraId="06F7272B" w14:textId="2C48CC2A" w:rsidR="00233885" w:rsidRPr="00511BD5" w:rsidRDefault="00233885" w:rsidP="00A113DF">
            <w:pPr>
              <w:suppressAutoHyphens w:val="0"/>
              <w:rPr>
                <w:color w:val="000000"/>
              </w:rPr>
            </w:pPr>
          </w:p>
        </w:tc>
      </w:tr>
      <w:tr w:rsidR="00233885" w:rsidRPr="00394DD8" w14:paraId="1E0AE258" w14:textId="77777777" w:rsidTr="00791562">
        <w:trPr>
          <w:trHeight w:val="300"/>
        </w:trPr>
        <w:tc>
          <w:tcPr>
            <w:tcW w:w="1185" w:type="dxa"/>
            <w:shd w:val="clear" w:color="auto" w:fill="auto"/>
            <w:noWrap/>
            <w:vAlign w:val="center"/>
            <w:hideMark/>
          </w:tcPr>
          <w:p w14:paraId="505BCC43" w14:textId="2050075E" w:rsidR="00233885" w:rsidRPr="00394DD8" w:rsidRDefault="00D17218" w:rsidP="000B11D8">
            <w:pPr>
              <w:suppressAutoHyphens w:val="0"/>
              <w:jc w:val="center"/>
              <w:rPr>
                <w:color w:val="000000"/>
              </w:rPr>
            </w:pPr>
            <w:r>
              <w:rPr>
                <w:color w:val="000000"/>
              </w:rPr>
              <w:t>2/</w:t>
            </w:r>
            <w:r w:rsidR="00823C7B">
              <w:rPr>
                <w:color w:val="000000"/>
              </w:rPr>
              <w:t>10</w:t>
            </w:r>
          </w:p>
        </w:tc>
        <w:tc>
          <w:tcPr>
            <w:tcW w:w="1980" w:type="dxa"/>
            <w:vAlign w:val="center"/>
          </w:tcPr>
          <w:p w14:paraId="6CB8153B" w14:textId="7B4DC70B" w:rsidR="00233885" w:rsidRPr="00394DD8" w:rsidRDefault="00A113DF" w:rsidP="000B11D8">
            <w:pPr>
              <w:suppressAutoHyphens w:val="0"/>
              <w:jc w:val="center"/>
              <w:rPr>
                <w:color w:val="000000"/>
              </w:rPr>
            </w:pPr>
            <w:r>
              <w:rPr>
                <w:color w:val="000000"/>
              </w:rPr>
              <w:t>8</w:t>
            </w:r>
          </w:p>
        </w:tc>
        <w:tc>
          <w:tcPr>
            <w:tcW w:w="6480" w:type="dxa"/>
            <w:shd w:val="clear" w:color="auto" w:fill="auto"/>
            <w:noWrap/>
            <w:vAlign w:val="bottom"/>
            <w:hideMark/>
          </w:tcPr>
          <w:p w14:paraId="6D13720A" w14:textId="5F87467A" w:rsidR="00233885" w:rsidRPr="00511BD5" w:rsidRDefault="00511BD5" w:rsidP="00394DD8">
            <w:pPr>
              <w:suppressAutoHyphens w:val="0"/>
              <w:rPr>
                <w:color w:val="000000"/>
              </w:rPr>
            </w:pPr>
            <w:r w:rsidRPr="00511BD5">
              <w:rPr>
                <w:color w:val="000000"/>
              </w:rPr>
              <w:t>The Capital Asset Pricing Model (CAPM)</w:t>
            </w:r>
          </w:p>
        </w:tc>
      </w:tr>
      <w:tr w:rsidR="00233885" w:rsidRPr="00394DD8" w14:paraId="2D8A7FB7" w14:textId="77777777" w:rsidTr="00791562">
        <w:trPr>
          <w:trHeight w:val="315"/>
        </w:trPr>
        <w:tc>
          <w:tcPr>
            <w:tcW w:w="1185" w:type="dxa"/>
            <w:shd w:val="clear" w:color="auto" w:fill="auto"/>
            <w:noWrap/>
            <w:vAlign w:val="center"/>
            <w:hideMark/>
          </w:tcPr>
          <w:p w14:paraId="229A156C" w14:textId="6EB49654" w:rsidR="00233885" w:rsidRPr="00394DD8" w:rsidRDefault="00233885" w:rsidP="000B11D8">
            <w:pPr>
              <w:suppressAutoHyphens w:val="0"/>
              <w:jc w:val="center"/>
              <w:rPr>
                <w:color w:val="000000"/>
              </w:rPr>
            </w:pPr>
            <w:r>
              <w:rPr>
                <w:color w:val="000000"/>
              </w:rPr>
              <w:t>2/</w:t>
            </w:r>
            <w:r w:rsidR="00823C7B">
              <w:rPr>
                <w:color w:val="000000"/>
              </w:rPr>
              <w:t>11</w:t>
            </w:r>
          </w:p>
        </w:tc>
        <w:tc>
          <w:tcPr>
            <w:tcW w:w="1980" w:type="dxa"/>
            <w:vAlign w:val="center"/>
          </w:tcPr>
          <w:p w14:paraId="0C34A6B5" w14:textId="7384A3B2" w:rsidR="00233885" w:rsidRPr="00394DD8" w:rsidRDefault="00A113DF" w:rsidP="000B11D8">
            <w:pPr>
              <w:suppressAutoHyphens w:val="0"/>
              <w:jc w:val="center"/>
              <w:rPr>
                <w:color w:val="000000"/>
              </w:rPr>
            </w:pPr>
            <w:r>
              <w:rPr>
                <w:color w:val="000000"/>
              </w:rPr>
              <w:t>9</w:t>
            </w:r>
          </w:p>
        </w:tc>
        <w:tc>
          <w:tcPr>
            <w:tcW w:w="6480" w:type="dxa"/>
            <w:shd w:val="clear" w:color="auto" w:fill="auto"/>
            <w:noWrap/>
            <w:vAlign w:val="bottom"/>
            <w:hideMark/>
          </w:tcPr>
          <w:p w14:paraId="5AEC1264" w14:textId="282FD7AA" w:rsidR="00233885" w:rsidRPr="00511BD5" w:rsidRDefault="00511BD5" w:rsidP="00394DD8">
            <w:pPr>
              <w:suppressAutoHyphens w:val="0"/>
              <w:rPr>
                <w:color w:val="000000"/>
              </w:rPr>
            </w:pPr>
            <w:r w:rsidRPr="00511BD5">
              <w:rPr>
                <w:color w:val="000000"/>
              </w:rPr>
              <w:t>CAPM and its Alternatives: Financial and Legal Perspectives</w:t>
            </w:r>
          </w:p>
        </w:tc>
      </w:tr>
      <w:tr w:rsidR="00823C7B" w:rsidRPr="00394DD8" w14:paraId="6C187BD6" w14:textId="77777777" w:rsidTr="0099661D">
        <w:trPr>
          <w:trHeight w:val="300"/>
        </w:trPr>
        <w:tc>
          <w:tcPr>
            <w:tcW w:w="1185" w:type="dxa"/>
            <w:shd w:val="clear" w:color="auto" w:fill="auto"/>
            <w:noWrap/>
            <w:vAlign w:val="center"/>
          </w:tcPr>
          <w:p w14:paraId="3164F630" w14:textId="4B90604A" w:rsidR="00823C7B" w:rsidRDefault="00823C7B" w:rsidP="000B11D8">
            <w:pPr>
              <w:suppressAutoHyphens w:val="0"/>
              <w:jc w:val="center"/>
              <w:rPr>
                <w:color w:val="000000"/>
              </w:rPr>
            </w:pPr>
            <w:r>
              <w:rPr>
                <w:color w:val="000000"/>
              </w:rPr>
              <w:t>2/17</w:t>
            </w:r>
          </w:p>
        </w:tc>
        <w:tc>
          <w:tcPr>
            <w:tcW w:w="1980" w:type="dxa"/>
            <w:vAlign w:val="center"/>
          </w:tcPr>
          <w:p w14:paraId="190C7B21" w14:textId="77777777" w:rsidR="00823C7B" w:rsidRDefault="00823C7B" w:rsidP="00823C7B">
            <w:pPr>
              <w:suppressAutoHyphens w:val="0"/>
              <w:jc w:val="center"/>
              <w:rPr>
                <w:color w:val="000000"/>
              </w:rPr>
            </w:pPr>
            <w:r>
              <w:rPr>
                <w:color w:val="000000"/>
              </w:rPr>
              <w:t xml:space="preserve">No Class </w:t>
            </w:r>
          </w:p>
          <w:p w14:paraId="094565E9" w14:textId="0EDC5AD6" w:rsidR="00823C7B" w:rsidRDefault="00823C7B" w:rsidP="00823C7B">
            <w:pPr>
              <w:suppressAutoHyphens w:val="0"/>
              <w:jc w:val="center"/>
              <w:rPr>
                <w:color w:val="000000"/>
              </w:rPr>
            </w:pPr>
            <w:r>
              <w:rPr>
                <w:color w:val="000000"/>
              </w:rPr>
              <w:t>(President’s Day)</w:t>
            </w:r>
          </w:p>
        </w:tc>
        <w:tc>
          <w:tcPr>
            <w:tcW w:w="6480" w:type="dxa"/>
            <w:shd w:val="clear" w:color="auto" w:fill="auto"/>
            <w:noWrap/>
          </w:tcPr>
          <w:p w14:paraId="4663574A" w14:textId="77777777" w:rsidR="00823C7B" w:rsidRPr="00511BD5" w:rsidRDefault="00823C7B" w:rsidP="00097A8D">
            <w:pPr>
              <w:suppressAutoHyphens w:val="0"/>
            </w:pPr>
          </w:p>
        </w:tc>
      </w:tr>
      <w:tr w:rsidR="00511BD5" w:rsidRPr="00394DD8" w14:paraId="04604D28" w14:textId="77777777" w:rsidTr="0099661D">
        <w:trPr>
          <w:trHeight w:val="300"/>
        </w:trPr>
        <w:tc>
          <w:tcPr>
            <w:tcW w:w="1185" w:type="dxa"/>
            <w:shd w:val="clear" w:color="auto" w:fill="auto"/>
            <w:noWrap/>
            <w:vAlign w:val="center"/>
            <w:hideMark/>
          </w:tcPr>
          <w:p w14:paraId="35524CD9" w14:textId="2058E204" w:rsidR="00511BD5" w:rsidRPr="00394DD8" w:rsidRDefault="00511BD5" w:rsidP="000B11D8">
            <w:pPr>
              <w:suppressAutoHyphens w:val="0"/>
              <w:jc w:val="center"/>
              <w:rPr>
                <w:color w:val="000000"/>
              </w:rPr>
            </w:pPr>
            <w:r>
              <w:rPr>
                <w:color w:val="000000"/>
              </w:rPr>
              <w:t>2/</w:t>
            </w:r>
            <w:r w:rsidR="00D17218">
              <w:rPr>
                <w:color w:val="000000"/>
              </w:rPr>
              <w:t>1</w:t>
            </w:r>
            <w:r w:rsidR="00823C7B">
              <w:rPr>
                <w:color w:val="000000"/>
              </w:rPr>
              <w:t>8</w:t>
            </w:r>
          </w:p>
        </w:tc>
        <w:tc>
          <w:tcPr>
            <w:tcW w:w="1980" w:type="dxa"/>
            <w:vAlign w:val="center"/>
          </w:tcPr>
          <w:p w14:paraId="315AF19B" w14:textId="35C5580A" w:rsidR="00511BD5" w:rsidRPr="00394DD8" w:rsidRDefault="00A113DF" w:rsidP="000B11D8">
            <w:pPr>
              <w:suppressAutoHyphens w:val="0"/>
              <w:jc w:val="center"/>
              <w:rPr>
                <w:color w:val="000000"/>
              </w:rPr>
            </w:pPr>
            <w:r>
              <w:rPr>
                <w:color w:val="000000"/>
              </w:rPr>
              <w:t>10</w:t>
            </w:r>
          </w:p>
        </w:tc>
        <w:tc>
          <w:tcPr>
            <w:tcW w:w="6480" w:type="dxa"/>
            <w:shd w:val="clear" w:color="auto" w:fill="auto"/>
            <w:noWrap/>
            <w:hideMark/>
          </w:tcPr>
          <w:p w14:paraId="08F399CF" w14:textId="27FFD785" w:rsidR="00511BD5" w:rsidRPr="00511BD5" w:rsidRDefault="00511BD5" w:rsidP="00097A8D">
            <w:pPr>
              <w:suppressAutoHyphens w:val="0"/>
              <w:rPr>
                <w:color w:val="000000"/>
              </w:rPr>
            </w:pPr>
            <w:r w:rsidRPr="00511BD5">
              <w:t>CAPM (</w:t>
            </w:r>
            <w:proofErr w:type="spellStart"/>
            <w:r w:rsidRPr="00511BD5">
              <w:t>cont</w:t>
            </w:r>
            <w:proofErr w:type="spellEnd"/>
            <w:r w:rsidRPr="00511BD5">
              <w:t>); The Efficient Capital Market Hypothesis</w:t>
            </w:r>
            <w:r w:rsidR="00A113DF">
              <w:t xml:space="preserve"> (ECMH) Part I</w:t>
            </w:r>
          </w:p>
        </w:tc>
      </w:tr>
      <w:tr w:rsidR="00511BD5" w:rsidRPr="00394DD8" w14:paraId="07F43019" w14:textId="77777777" w:rsidTr="005F3F47">
        <w:trPr>
          <w:trHeight w:val="300"/>
        </w:trPr>
        <w:tc>
          <w:tcPr>
            <w:tcW w:w="1185" w:type="dxa"/>
            <w:shd w:val="clear" w:color="auto" w:fill="auto"/>
            <w:noWrap/>
            <w:vAlign w:val="center"/>
            <w:hideMark/>
          </w:tcPr>
          <w:p w14:paraId="7D7C986C" w14:textId="37AEC4FF" w:rsidR="00511BD5" w:rsidRPr="00394DD8" w:rsidRDefault="00511BD5" w:rsidP="000B11D8">
            <w:pPr>
              <w:suppressAutoHyphens w:val="0"/>
              <w:jc w:val="center"/>
              <w:rPr>
                <w:color w:val="000000"/>
              </w:rPr>
            </w:pPr>
            <w:r>
              <w:rPr>
                <w:color w:val="000000"/>
              </w:rPr>
              <w:t>2/</w:t>
            </w:r>
            <w:r w:rsidR="00823C7B">
              <w:rPr>
                <w:color w:val="000000"/>
              </w:rPr>
              <w:t>24</w:t>
            </w:r>
          </w:p>
        </w:tc>
        <w:tc>
          <w:tcPr>
            <w:tcW w:w="1980" w:type="dxa"/>
            <w:vAlign w:val="center"/>
          </w:tcPr>
          <w:p w14:paraId="2FF05D79" w14:textId="2C6A2447" w:rsidR="00511BD5" w:rsidRPr="00394DD8" w:rsidRDefault="00511BD5" w:rsidP="000B11D8">
            <w:pPr>
              <w:suppressAutoHyphens w:val="0"/>
              <w:jc w:val="center"/>
              <w:rPr>
                <w:color w:val="000000"/>
              </w:rPr>
            </w:pPr>
            <w:r w:rsidRPr="00394DD8">
              <w:rPr>
                <w:color w:val="000000"/>
              </w:rPr>
              <w:t>1</w:t>
            </w:r>
            <w:r w:rsidR="00A113DF">
              <w:rPr>
                <w:color w:val="000000"/>
              </w:rPr>
              <w:t>1</w:t>
            </w:r>
          </w:p>
        </w:tc>
        <w:tc>
          <w:tcPr>
            <w:tcW w:w="6480" w:type="dxa"/>
            <w:shd w:val="clear" w:color="auto" w:fill="auto"/>
            <w:noWrap/>
            <w:hideMark/>
          </w:tcPr>
          <w:p w14:paraId="333EB6B6" w14:textId="7EFE7934" w:rsidR="00511BD5" w:rsidRPr="00511BD5" w:rsidRDefault="00511BD5" w:rsidP="00940B68">
            <w:pPr>
              <w:suppressAutoHyphens w:val="0"/>
              <w:rPr>
                <w:color w:val="000000"/>
              </w:rPr>
            </w:pPr>
            <w:r w:rsidRPr="00511BD5">
              <w:t>Introduction to Weighted Average Cost of Capital (WACC)</w:t>
            </w:r>
          </w:p>
        </w:tc>
      </w:tr>
      <w:tr w:rsidR="00D17218" w:rsidRPr="00394DD8" w14:paraId="50E9B9D5" w14:textId="77777777" w:rsidTr="00EC30BE">
        <w:trPr>
          <w:trHeight w:val="300"/>
        </w:trPr>
        <w:tc>
          <w:tcPr>
            <w:tcW w:w="1185" w:type="dxa"/>
            <w:shd w:val="clear" w:color="auto" w:fill="auto"/>
            <w:noWrap/>
            <w:vAlign w:val="center"/>
            <w:hideMark/>
          </w:tcPr>
          <w:p w14:paraId="461710F3" w14:textId="54E3722B" w:rsidR="00D17218" w:rsidRPr="00394DD8" w:rsidRDefault="00D17218" w:rsidP="00EC30BE">
            <w:pPr>
              <w:suppressAutoHyphens w:val="0"/>
              <w:jc w:val="center"/>
              <w:rPr>
                <w:color w:val="000000"/>
              </w:rPr>
            </w:pPr>
            <w:r>
              <w:rPr>
                <w:color w:val="000000"/>
              </w:rPr>
              <w:t>2/</w:t>
            </w:r>
            <w:r w:rsidR="00823C7B">
              <w:rPr>
                <w:color w:val="000000"/>
              </w:rPr>
              <w:t>25</w:t>
            </w:r>
          </w:p>
        </w:tc>
        <w:tc>
          <w:tcPr>
            <w:tcW w:w="1980" w:type="dxa"/>
            <w:vAlign w:val="center"/>
          </w:tcPr>
          <w:p w14:paraId="7DF218AF" w14:textId="77777777" w:rsidR="00D17218" w:rsidRPr="00394DD8" w:rsidRDefault="00D17218" w:rsidP="00EC30BE">
            <w:pPr>
              <w:suppressAutoHyphens w:val="0"/>
              <w:jc w:val="center"/>
              <w:rPr>
                <w:color w:val="000000"/>
              </w:rPr>
            </w:pPr>
            <w:r w:rsidRPr="00394DD8">
              <w:rPr>
                <w:color w:val="000000"/>
              </w:rPr>
              <w:t>1</w:t>
            </w:r>
            <w:r>
              <w:rPr>
                <w:color w:val="000000"/>
              </w:rPr>
              <w:t>2</w:t>
            </w:r>
          </w:p>
        </w:tc>
        <w:tc>
          <w:tcPr>
            <w:tcW w:w="6480" w:type="dxa"/>
            <w:shd w:val="clear" w:color="auto" w:fill="auto"/>
            <w:noWrap/>
            <w:hideMark/>
          </w:tcPr>
          <w:p w14:paraId="4BA9ECAE" w14:textId="77777777" w:rsidR="00D17218" w:rsidRPr="00511BD5" w:rsidRDefault="00D17218" w:rsidP="00EC30BE">
            <w:pPr>
              <w:suppressAutoHyphens w:val="0"/>
              <w:rPr>
                <w:color w:val="000000"/>
              </w:rPr>
            </w:pPr>
            <w:r w:rsidRPr="00511BD5">
              <w:t>WACC (cont’d); Valuing Entire Firms</w:t>
            </w:r>
            <w:r>
              <w:t>; ECMH Part II</w:t>
            </w:r>
          </w:p>
        </w:tc>
      </w:tr>
      <w:tr w:rsidR="00233885" w:rsidRPr="00394DD8" w14:paraId="7B3E97A3" w14:textId="77777777" w:rsidTr="00791562">
        <w:trPr>
          <w:trHeight w:val="323"/>
        </w:trPr>
        <w:tc>
          <w:tcPr>
            <w:tcW w:w="1185" w:type="dxa"/>
            <w:shd w:val="clear" w:color="auto" w:fill="auto"/>
            <w:noWrap/>
            <w:vAlign w:val="center"/>
            <w:hideMark/>
          </w:tcPr>
          <w:p w14:paraId="1FC97701" w14:textId="5DB8C17C" w:rsidR="00233885" w:rsidRPr="00394DD8" w:rsidRDefault="00823C7B" w:rsidP="00A733B8">
            <w:pPr>
              <w:suppressAutoHyphens w:val="0"/>
              <w:jc w:val="center"/>
              <w:rPr>
                <w:color w:val="000000"/>
              </w:rPr>
            </w:pPr>
            <w:r>
              <w:rPr>
                <w:color w:val="000000"/>
              </w:rPr>
              <w:t>3/2</w:t>
            </w:r>
          </w:p>
        </w:tc>
        <w:tc>
          <w:tcPr>
            <w:tcW w:w="1980" w:type="dxa"/>
            <w:vAlign w:val="center"/>
          </w:tcPr>
          <w:p w14:paraId="0EE72361" w14:textId="7F2F1FA9" w:rsidR="00233885" w:rsidRPr="00394DD8" w:rsidRDefault="00233885" w:rsidP="000B11D8">
            <w:pPr>
              <w:suppressAutoHyphens w:val="0"/>
              <w:jc w:val="center"/>
              <w:rPr>
                <w:color w:val="000000"/>
              </w:rPr>
            </w:pPr>
            <w:r w:rsidRPr="00394DD8">
              <w:rPr>
                <w:color w:val="000000"/>
              </w:rPr>
              <w:t>1</w:t>
            </w:r>
            <w:r w:rsidR="00A113DF">
              <w:rPr>
                <w:color w:val="000000"/>
              </w:rPr>
              <w:t>3</w:t>
            </w:r>
          </w:p>
        </w:tc>
        <w:tc>
          <w:tcPr>
            <w:tcW w:w="6480" w:type="dxa"/>
            <w:shd w:val="clear" w:color="auto" w:fill="auto"/>
            <w:noWrap/>
            <w:vAlign w:val="bottom"/>
            <w:hideMark/>
          </w:tcPr>
          <w:p w14:paraId="5444F4B0" w14:textId="08DCB8A6" w:rsidR="00233885" w:rsidRPr="00511BD5" w:rsidRDefault="00233885" w:rsidP="00097A8D">
            <w:pPr>
              <w:suppressAutoHyphens w:val="0"/>
              <w:rPr>
                <w:color w:val="000000"/>
              </w:rPr>
            </w:pPr>
            <w:r w:rsidRPr="00511BD5">
              <w:rPr>
                <w:color w:val="000000"/>
              </w:rPr>
              <w:t>Capital S</w:t>
            </w:r>
            <w:r w:rsidR="00511BD5" w:rsidRPr="00511BD5">
              <w:rPr>
                <w:color w:val="000000"/>
              </w:rPr>
              <w:t>tructure</w:t>
            </w:r>
          </w:p>
          <w:p w14:paraId="746BE378" w14:textId="77777777" w:rsidR="00233885" w:rsidRPr="00511BD5" w:rsidRDefault="00233885" w:rsidP="00454924">
            <w:pPr>
              <w:suppressAutoHyphens w:val="0"/>
              <w:rPr>
                <w:color w:val="000000"/>
              </w:rPr>
            </w:pPr>
          </w:p>
          <w:p w14:paraId="6A026322" w14:textId="77777777" w:rsidR="00233885" w:rsidRPr="00511BD5" w:rsidRDefault="00233885" w:rsidP="00454924">
            <w:pPr>
              <w:suppressAutoHyphens w:val="0"/>
              <w:rPr>
                <w:color w:val="000000"/>
              </w:rPr>
            </w:pPr>
          </w:p>
          <w:p w14:paraId="78A208F5" w14:textId="5A9C7362" w:rsidR="00233885" w:rsidRPr="00511BD5" w:rsidRDefault="00233885" w:rsidP="00BF5268">
            <w:pPr>
              <w:suppressAutoHyphens w:val="0"/>
              <w:jc w:val="center"/>
              <w:rPr>
                <w:color w:val="000000"/>
              </w:rPr>
            </w:pPr>
          </w:p>
        </w:tc>
      </w:tr>
      <w:tr w:rsidR="00823C7B" w:rsidRPr="00394DD8" w14:paraId="15E0EC24" w14:textId="77777777" w:rsidTr="00206217">
        <w:trPr>
          <w:trHeight w:val="300"/>
        </w:trPr>
        <w:tc>
          <w:tcPr>
            <w:tcW w:w="1185" w:type="dxa"/>
            <w:shd w:val="clear" w:color="auto" w:fill="auto"/>
            <w:noWrap/>
            <w:vAlign w:val="center"/>
            <w:hideMark/>
          </w:tcPr>
          <w:p w14:paraId="51A779C7" w14:textId="3C75BD65" w:rsidR="00823C7B" w:rsidRPr="00394DD8" w:rsidRDefault="00823C7B" w:rsidP="00206217">
            <w:pPr>
              <w:suppressAutoHyphens w:val="0"/>
              <w:jc w:val="center"/>
              <w:rPr>
                <w:color w:val="000000"/>
              </w:rPr>
            </w:pPr>
            <w:r>
              <w:rPr>
                <w:color w:val="000000"/>
              </w:rPr>
              <w:t>3/3</w:t>
            </w:r>
          </w:p>
        </w:tc>
        <w:tc>
          <w:tcPr>
            <w:tcW w:w="1980" w:type="dxa"/>
            <w:vAlign w:val="center"/>
          </w:tcPr>
          <w:p w14:paraId="20F79AA7" w14:textId="77777777" w:rsidR="00823C7B" w:rsidRPr="00394DD8" w:rsidRDefault="00823C7B" w:rsidP="00206217">
            <w:pPr>
              <w:suppressAutoHyphens w:val="0"/>
              <w:jc w:val="center"/>
              <w:rPr>
                <w:color w:val="000000"/>
              </w:rPr>
            </w:pPr>
            <w:r w:rsidRPr="00394DD8">
              <w:rPr>
                <w:color w:val="000000"/>
              </w:rPr>
              <w:t>1</w:t>
            </w:r>
            <w:r>
              <w:rPr>
                <w:color w:val="000000"/>
              </w:rPr>
              <w:t>4</w:t>
            </w:r>
          </w:p>
        </w:tc>
        <w:tc>
          <w:tcPr>
            <w:tcW w:w="6480" w:type="dxa"/>
            <w:shd w:val="clear" w:color="auto" w:fill="auto"/>
            <w:noWrap/>
            <w:vAlign w:val="bottom"/>
            <w:hideMark/>
          </w:tcPr>
          <w:p w14:paraId="55F4C23F" w14:textId="77777777" w:rsidR="00823C7B" w:rsidRPr="00511BD5" w:rsidRDefault="00823C7B" w:rsidP="00206217">
            <w:pPr>
              <w:suppressAutoHyphens w:val="0"/>
              <w:rPr>
                <w:color w:val="000000"/>
              </w:rPr>
            </w:pPr>
            <w:r w:rsidRPr="00511BD5">
              <w:rPr>
                <w:color w:val="000000"/>
              </w:rPr>
              <w:t>Capital Structure in the Real World: LBOs and Leverage Recaps</w:t>
            </w:r>
          </w:p>
          <w:p w14:paraId="29CCD2F7" w14:textId="77777777" w:rsidR="00823C7B" w:rsidRPr="00511BD5" w:rsidRDefault="00823C7B" w:rsidP="00206217">
            <w:pPr>
              <w:suppressAutoHyphens w:val="0"/>
              <w:rPr>
                <w:color w:val="000000"/>
              </w:rPr>
            </w:pPr>
          </w:p>
          <w:p w14:paraId="31C60CAC" w14:textId="77777777" w:rsidR="00823C7B" w:rsidRPr="00511BD5" w:rsidRDefault="00823C7B" w:rsidP="00206217">
            <w:pPr>
              <w:suppressAutoHyphens w:val="0"/>
              <w:jc w:val="center"/>
              <w:rPr>
                <w:color w:val="000000"/>
              </w:rPr>
            </w:pPr>
            <w:r w:rsidRPr="00511BD5">
              <w:rPr>
                <w:b/>
                <w:i/>
                <w:color w:val="000000"/>
              </w:rPr>
              <w:t>PROBLEM SET #2 DISTRIBUTED</w:t>
            </w:r>
            <w:r>
              <w:rPr>
                <w:b/>
                <w:i/>
                <w:color w:val="000000"/>
              </w:rPr>
              <w:t xml:space="preserve"> (tentative)</w:t>
            </w:r>
          </w:p>
        </w:tc>
      </w:tr>
      <w:tr w:rsidR="00233885" w:rsidRPr="00394DD8" w14:paraId="2552A759" w14:textId="77777777" w:rsidTr="00791562">
        <w:trPr>
          <w:trHeight w:val="300"/>
        </w:trPr>
        <w:tc>
          <w:tcPr>
            <w:tcW w:w="9645" w:type="dxa"/>
            <w:gridSpan w:val="3"/>
            <w:shd w:val="clear" w:color="auto" w:fill="auto"/>
            <w:noWrap/>
            <w:vAlign w:val="center"/>
          </w:tcPr>
          <w:p w14:paraId="2B4C3324" w14:textId="77777777" w:rsidR="00233885" w:rsidRPr="00511BD5" w:rsidRDefault="00233885" w:rsidP="00CD2A8A">
            <w:pPr>
              <w:suppressAutoHyphens w:val="0"/>
              <w:spacing w:before="120" w:after="120"/>
              <w:rPr>
                <w:color w:val="000000"/>
              </w:rPr>
            </w:pPr>
            <w:r w:rsidRPr="00511BD5">
              <w:rPr>
                <w:b/>
              </w:rPr>
              <w:t>III.  Executing the Financing Decision</w:t>
            </w:r>
          </w:p>
        </w:tc>
      </w:tr>
      <w:tr w:rsidR="00511BD5" w:rsidRPr="00394DD8" w14:paraId="1944544B" w14:textId="77777777" w:rsidTr="00E730EB">
        <w:trPr>
          <w:trHeight w:val="300"/>
        </w:trPr>
        <w:tc>
          <w:tcPr>
            <w:tcW w:w="1185" w:type="dxa"/>
            <w:shd w:val="clear" w:color="auto" w:fill="auto"/>
            <w:noWrap/>
            <w:vAlign w:val="center"/>
            <w:hideMark/>
          </w:tcPr>
          <w:p w14:paraId="705B8BA0" w14:textId="05A80D52" w:rsidR="00511BD5" w:rsidRPr="00394DD8" w:rsidRDefault="00D17218" w:rsidP="000B11D8">
            <w:pPr>
              <w:suppressAutoHyphens w:val="0"/>
              <w:jc w:val="center"/>
              <w:rPr>
                <w:color w:val="000000"/>
              </w:rPr>
            </w:pPr>
            <w:r>
              <w:rPr>
                <w:color w:val="000000"/>
              </w:rPr>
              <w:t>3/</w:t>
            </w:r>
            <w:r w:rsidR="00823C7B">
              <w:rPr>
                <w:color w:val="000000"/>
              </w:rPr>
              <w:t>9</w:t>
            </w:r>
          </w:p>
        </w:tc>
        <w:tc>
          <w:tcPr>
            <w:tcW w:w="1980" w:type="dxa"/>
            <w:vAlign w:val="center"/>
          </w:tcPr>
          <w:p w14:paraId="03085D62" w14:textId="6E2F25B4" w:rsidR="00511BD5" w:rsidRPr="00394DD8" w:rsidRDefault="00511BD5" w:rsidP="000B11D8">
            <w:pPr>
              <w:suppressAutoHyphens w:val="0"/>
              <w:jc w:val="center"/>
              <w:rPr>
                <w:color w:val="000000"/>
              </w:rPr>
            </w:pPr>
            <w:r w:rsidRPr="00394DD8">
              <w:rPr>
                <w:color w:val="000000"/>
              </w:rPr>
              <w:t>1</w:t>
            </w:r>
            <w:r w:rsidR="00A113DF">
              <w:rPr>
                <w:color w:val="000000"/>
              </w:rPr>
              <w:t>5</w:t>
            </w:r>
          </w:p>
        </w:tc>
        <w:tc>
          <w:tcPr>
            <w:tcW w:w="6480" w:type="dxa"/>
            <w:shd w:val="clear" w:color="auto" w:fill="auto"/>
            <w:noWrap/>
            <w:hideMark/>
          </w:tcPr>
          <w:p w14:paraId="02B94979" w14:textId="5D4F1B6F" w:rsidR="00511BD5" w:rsidRPr="00511BD5" w:rsidRDefault="00511BD5" w:rsidP="00511BD5">
            <w:pPr>
              <w:suppressAutoHyphens w:val="0"/>
              <w:rPr>
                <w:color w:val="000000"/>
              </w:rPr>
            </w:pPr>
            <w:r w:rsidRPr="00511BD5">
              <w:t>Introduction to Equity Financing</w:t>
            </w:r>
          </w:p>
        </w:tc>
      </w:tr>
      <w:tr w:rsidR="00511BD5" w:rsidRPr="00394DD8" w14:paraId="4DD68C50" w14:textId="77777777" w:rsidTr="00791562">
        <w:trPr>
          <w:trHeight w:val="315"/>
        </w:trPr>
        <w:tc>
          <w:tcPr>
            <w:tcW w:w="1185" w:type="dxa"/>
            <w:shd w:val="clear" w:color="auto" w:fill="auto"/>
            <w:noWrap/>
            <w:vAlign w:val="center"/>
            <w:hideMark/>
          </w:tcPr>
          <w:p w14:paraId="6D62709A" w14:textId="0E283BAD" w:rsidR="00511BD5" w:rsidRPr="00394DD8" w:rsidRDefault="00511BD5" w:rsidP="000B11D8">
            <w:pPr>
              <w:suppressAutoHyphens w:val="0"/>
              <w:jc w:val="center"/>
              <w:rPr>
                <w:color w:val="000000"/>
              </w:rPr>
            </w:pPr>
            <w:r>
              <w:rPr>
                <w:color w:val="000000"/>
              </w:rPr>
              <w:t>3/</w:t>
            </w:r>
            <w:r w:rsidR="00823C7B">
              <w:rPr>
                <w:color w:val="000000"/>
              </w:rPr>
              <w:t>10</w:t>
            </w:r>
          </w:p>
        </w:tc>
        <w:tc>
          <w:tcPr>
            <w:tcW w:w="1980" w:type="dxa"/>
            <w:vAlign w:val="center"/>
          </w:tcPr>
          <w:p w14:paraId="7486ACFE" w14:textId="4F5F4FBB" w:rsidR="00511BD5" w:rsidRPr="00394DD8" w:rsidRDefault="00511BD5" w:rsidP="000B11D8">
            <w:pPr>
              <w:suppressAutoHyphens w:val="0"/>
              <w:jc w:val="center"/>
              <w:rPr>
                <w:color w:val="000000"/>
              </w:rPr>
            </w:pPr>
            <w:r w:rsidRPr="00394DD8">
              <w:rPr>
                <w:color w:val="000000"/>
              </w:rPr>
              <w:t>1</w:t>
            </w:r>
            <w:r w:rsidR="00A113DF">
              <w:rPr>
                <w:color w:val="000000"/>
              </w:rPr>
              <w:t>6</w:t>
            </w:r>
          </w:p>
        </w:tc>
        <w:tc>
          <w:tcPr>
            <w:tcW w:w="6480" w:type="dxa"/>
            <w:shd w:val="clear" w:color="auto" w:fill="auto"/>
            <w:noWrap/>
            <w:vAlign w:val="bottom"/>
            <w:hideMark/>
          </w:tcPr>
          <w:p w14:paraId="26B4BF7B" w14:textId="3BF352D3" w:rsidR="00511BD5" w:rsidRPr="00511BD5" w:rsidRDefault="00511BD5" w:rsidP="00454924">
            <w:pPr>
              <w:suppressAutoHyphens w:val="0"/>
              <w:rPr>
                <w:color w:val="000000"/>
              </w:rPr>
            </w:pPr>
            <w:r w:rsidRPr="00511BD5">
              <w:rPr>
                <w:color w:val="000000"/>
              </w:rPr>
              <w:t>Equity Financing (cont.)</w:t>
            </w:r>
          </w:p>
          <w:p w14:paraId="7F2292CB" w14:textId="77777777" w:rsidR="00511BD5" w:rsidRPr="00511BD5" w:rsidRDefault="00511BD5" w:rsidP="00454924">
            <w:pPr>
              <w:suppressAutoHyphens w:val="0"/>
              <w:rPr>
                <w:color w:val="000000"/>
              </w:rPr>
            </w:pPr>
          </w:p>
          <w:p w14:paraId="6DA77F96" w14:textId="5925AB97" w:rsidR="00511BD5" w:rsidRPr="00511BD5" w:rsidRDefault="00511BD5" w:rsidP="003D6DD8">
            <w:pPr>
              <w:suppressAutoHyphens w:val="0"/>
              <w:jc w:val="center"/>
              <w:rPr>
                <w:color w:val="000000"/>
              </w:rPr>
            </w:pPr>
            <w:r w:rsidRPr="00511BD5">
              <w:rPr>
                <w:b/>
                <w:i/>
                <w:color w:val="000000"/>
              </w:rPr>
              <w:t>PROBLEM SET #2 DUE</w:t>
            </w:r>
            <w:r w:rsidR="00A113DF">
              <w:rPr>
                <w:b/>
                <w:i/>
                <w:color w:val="000000"/>
              </w:rPr>
              <w:t xml:space="preserve"> (tentative)</w:t>
            </w:r>
          </w:p>
        </w:tc>
      </w:tr>
      <w:tr w:rsidR="00511BD5" w:rsidRPr="00394DD8" w14:paraId="46C6CD9D" w14:textId="77777777" w:rsidTr="00C3558C">
        <w:trPr>
          <w:trHeight w:val="300"/>
        </w:trPr>
        <w:tc>
          <w:tcPr>
            <w:tcW w:w="1185" w:type="dxa"/>
            <w:shd w:val="clear" w:color="auto" w:fill="auto"/>
            <w:noWrap/>
            <w:vAlign w:val="center"/>
            <w:hideMark/>
          </w:tcPr>
          <w:p w14:paraId="3AD1A56A" w14:textId="0AA4CDB7" w:rsidR="00511BD5" w:rsidRPr="00394DD8" w:rsidRDefault="00511BD5" w:rsidP="000B11D8">
            <w:pPr>
              <w:suppressAutoHyphens w:val="0"/>
              <w:jc w:val="center"/>
              <w:rPr>
                <w:color w:val="000000"/>
              </w:rPr>
            </w:pPr>
            <w:r>
              <w:rPr>
                <w:color w:val="000000"/>
              </w:rPr>
              <w:t>3/</w:t>
            </w:r>
            <w:r w:rsidR="00D17218">
              <w:rPr>
                <w:color w:val="000000"/>
              </w:rPr>
              <w:t>1</w:t>
            </w:r>
            <w:r w:rsidR="00823C7B">
              <w:rPr>
                <w:color w:val="000000"/>
              </w:rPr>
              <w:t>6</w:t>
            </w:r>
          </w:p>
        </w:tc>
        <w:tc>
          <w:tcPr>
            <w:tcW w:w="1980" w:type="dxa"/>
            <w:vAlign w:val="center"/>
          </w:tcPr>
          <w:p w14:paraId="17C3B0DF" w14:textId="2A42A7BC" w:rsidR="00511BD5" w:rsidRPr="00394DD8" w:rsidRDefault="00511BD5" w:rsidP="000B11D8">
            <w:pPr>
              <w:suppressAutoHyphens w:val="0"/>
              <w:jc w:val="center"/>
              <w:rPr>
                <w:color w:val="000000"/>
              </w:rPr>
            </w:pPr>
            <w:r w:rsidRPr="00394DD8">
              <w:rPr>
                <w:color w:val="000000"/>
              </w:rPr>
              <w:t>1</w:t>
            </w:r>
            <w:r w:rsidR="00A113DF">
              <w:rPr>
                <w:color w:val="000000"/>
              </w:rPr>
              <w:t>7</w:t>
            </w:r>
          </w:p>
        </w:tc>
        <w:tc>
          <w:tcPr>
            <w:tcW w:w="6480" w:type="dxa"/>
            <w:shd w:val="clear" w:color="auto" w:fill="auto"/>
            <w:noWrap/>
            <w:hideMark/>
          </w:tcPr>
          <w:p w14:paraId="05CC86AB" w14:textId="77777777" w:rsidR="00511BD5" w:rsidRPr="00511BD5" w:rsidRDefault="00511BD5" w:rsidP="00F4512D">
            <w:r w:rsidRPr="00511BD5">
              <w:t>Equity Financing (cont.); Introduction to Debt Financing</w:t>
            </w:r>
          </w:p>
          <w:p w14:paraId="49651AED" w14:textId="324114ED" w:rsidR="00511BD5" w:rsidRPr="00511BD5" w:rsidRDefault="00511BD5" w:rsidP="00454924">
            <w:pPr>
              <w:suppressAutoHyphens w:val="0"/>
              <w:rPr>
                <w:color w:val="000000"/>
              </w:rPr>
            </w:pPr>
          </w:p>
        </w:tc>
      </w:tr>
      <w:tr w:rsidR="00511BD5" w:rsidRPr="00394DD8" w14:paraId="0ED38D33" w14:textId="77777777" w:rsidTr="00900207">
        <w:trPr>
          <w:trHeight w:val="300"/>
        </w:trPr>
        <w:tc>
          <w:tcPr>
            <w:tcW w:w="1185" w:type="dxa"/>
            <w:shd w:val="clear" w:color="auto" w:fill="auto"/>
            <w:noWrap/>
            <w:vAlign w:val="center"/>
            <w:hideMark/>
          </w:tcPr>
          <w:p w14:paraId="53CADFDE" w14:textId="67929B5F" w:rsidR="00511BD5" w:rsidRPr="00394DD8" w:rsidRDefault="00511BD5" w:rsidP="000B11D8">
            <w:pPr>
              <w:suppressAutoHyphens w:val="0"/>
              <w:jc w:val="center"/>
              <w:rPr>
                <w:color w:val="000000"/>
              </w:rPr>
            </w:pPr>
            <w:r>
              <w:rPr>
                <w:color w:val="000000"/>
              </w:rPr>
              <w:t>3/1</w:t>
            </w:r>
            <w:r w:rsidR="00823C7B">
              <w:rPr>
                <w:color w:val="000000"/>
              </w:rPr>
              <w:t>7</w:t>
            </w:r>
          </w:p>
        </w:tc>
        <w:tc>
          <w:tcPr>
            <w:tcW w:w="1980" w:type="dxa"/>
            <w:vAlign w:val="center"/>
          </w:tcPr>
          <w:p w14:paraId="28FB2DB4" w14:textId="074A7945" w:rsidR="00511BD5" w:rsidRPr="00394DD8" w:rsidRDefault="00511BD5" w:rsidP="000B11D8">
            <w:pPr>
              <w:suppressAutoHyphens w:val="0"/>
              <w:jc w:val="center"/>
              <w:rPr>
                <w:color w:val="000000"/>
              </w:rPr>
            </w:pPr>
            <w:r w:rsidRPr="00394DD8">
              <w:rPr>
                <w:color w:val="000000"/>
              </w:rPr>
              <w:t>1</w:t>
            </w:r>
            <w:r w:rsidR="00A113DF">
              <w:rPr>
                <w:color w:val="000000"/>
              </w:rPr>
              <w:t>8</w:t>
            </w:r>
          </w:p>
        </w:tc>
        <w:tc>
          <w:tcPr>
            <w:tcW w:w="6480" w:type="dxa"/>
            <w:shd w:val="clear" w:color="auto" w:fill="auto"/>
            <w:noWrap/>
            <w:hideMark/>
          </w:tcPr>
          <w:p w14:paraId="47151500" w14:textId="65596B28" w:rsidR="00511BD5" w:rsidRPr="00511BD5" w:rsidRDefault="00511BD5" w:rsidP="00454924">
            <w:pPr>
              <w:suppressAutoHyphens w:val="0"/>
              <w:rPr>
                <w:color w:val="000000"/>
              </w:rPr>
            </w:pPr>
            <w:r w:rsidRPr="00511BD5">
              <w:t xml:space="preserve">Debt </w:t>
            </w:r>
            <w:proofErr w:type="gramStart"/>
            <w:r w:rsidRPr="00511BD5">
              <w:t>Financing  (</w:t>
            </w:r>
            <w:proofErr w:type="gramEnd"/>
            <w:r w:rsidRPr="00511BD5">
              <w:t>cont.)</w:t>
            </w:r>
          </w:p>
        </w:tc>
      </w:tr>
      <w:tr w:rsidR="00823C7B" w:rsidRPr="00394DD8" w14:paraId="1BB81899" w14:textId="77777777" w:rsidTr="00206217">
        <w:trPr>
          <w:trHeight w:val="315"/>
        </w:trPr>
        <w:tc>
          <w:tcPr>
            <w:tcW w:w="1185" w:type="dxa"/>
            <w:shd w:val="clear" w:color="auto" w:fill="auto"/>
            <w:noWrap/>
            <w:vAlign w:val="center"/>
            <w:hideMark/>
          </w:tcPr>
          <w:p w14:paraId="11921176" w14:textId="4C6E0E9F" w:rsidR="00823C7B" w:rsidRPr="00394DD8" w:rsidRDefault="00823C7B" w:rsidP="00206217">
            <w:pPr>
              <w:suppressAutoHyphens w:val="0"/>
              <w:jc w:val="center"/>
              <w:rPr>
                <w:color w:val="000000"/>
              </w:rPr>
            </w:pPr>
            <w:r>
              <w:rPr>
                <w:color w:val="000000"/>
              </w:rPr>
              <w:lastRenderedPageBreak/>
              <w:t>3/23</w:t>
            </w:r>
          </w:p>
        </w:tc>
        <w:tc>
          <w:tcPr>
            <w:tcW w:w="1980" w:type="dxa"/>
            <w:vMerge w:val="restart"/>
            <w:vAlign w:val="center"/>
          </w:tcPr>
          <w:p w14:paraId="2BB4A719" w14:textId="77777777" w:rsidR="00823C7B" w:rsidRDefault="00823C7B" w:rsidP="00206217">
            <w:pPr>
              <w:jc w:val="center"/>
              <w:rPr>
                <w:color w:val="000000"/>
              </w:rPr>
            </w:pPr>
            <w:r>
              <w:rPr>
                <w:color w:val="000000"/>
              </w:rPr>
              <w:t xml:space="preserve">No Class </w:t>
            </w:r>
          </w:p>
          <w:p w14:paraId="4C7B2BA5" w14:textId="77777777" w:rsidR="00823C7B" w:rsidRPr="00394DD8" w:rsidRDefault="00823C7B" w:rsidP="00206217">
            <w:pPr>
              <w:jc w:val="center"/>
              <w:rPr>
                <w:color w:val="000000"/>
              </w:rPr>
            </w:pPr>
            <w:r>
              <w:rPr>
                <w:color w:val="000000"/>
              </w:rPr>
              <w:t>(Spring Break)</w:t>
            </w:r>
          </w:p>
        </w:tc>
        <w:tc>
          <w:tcPr>
            <w:tcW w:w="6480" w:type="dxa"/>
            <w:vMerge w:val="restart"/>
            <w:shd w:val="clear" w:color="auto" w:fill="auto"/>
            <w:noWrap/>
            <w:vAlign w:val="bottom"/>
            <w:hideMark/>
          </w:tcPr>
          <w:p w14:paraId="2C46304F" w14:textId="77777777" w:rsidR="00823C7B" w:rsidRPr="00511BD5" w:rsidRDefault="00823C7B" w:rsidP="00206217">
            <w:pPr>
              <w:suppressAutoHyphens w:val="0"/>
              <w:rPr>
                <w:color w:val="000000"/>
              </w:rPr>
            </w:pPr>
          </w:p>
        </w:tc>
      </w:tr>
      <w:tr w:rsidR="00823C7B" w:rsidRPr="00394DD8" w14:paraId="5E6543B6" w14:textId="77777777" w:rsidTr="00206217">
        <w:trPr>
          <w:trHeight w:val="300"/>
        </w:trPr>
        <w:tc>
          <w:tcPr>
            <w:tcW w:w="1185" w:type="dxa"/>
            <w:shd w:val="clear" w:color="auto" w:fill="auto"/>
            <w:noWrap/>
            <w:vAlign w:val="center"/>
          </w:tcPr>
          <w:p w14:paraId="00946D84" w14:textId="1DEF3C1A" w:rsidR="00823C7B" w:rsidRPr="00394DD8" w:rsidRDefault="00823C7B" w:rsidP="00206217">
            <w:pPr>
              <w:suppressAutoHyphens w:val="0"/>
              <w:jc w:val="center"/>
              <w:rPr>
                <w:color w:val="000000"/>
              </w:rPr>
            </w:pPr>
            <w:r>
              <w:rPr>
                <w:color w:val="000000"/>
              </w:rPr>
              <w:t>3/24</w:t>
            </w:r>
          </w:p>
        </w:tc>
        <w:tc>
          <w:tcPr>
            <w:tcW w:w="1980" w:type="dxa"/>
            <w:vMerge/>
            <w:vAlign w:val="center"/>
          </w:tcPr>
          <w:p w14:paraId="593A22D0" w14:textId="77777777" w:rsidR="00823C7B" w:rsidRPr="00394DD8" w:rsidRDefault="00823C7B" w:rsidP="00206217">
            <w:pPr>
              <w:suppressAutoHyphens w:val="0"/>
              <w:jc w:val="center"/>
              <w:rPr>
                <w:color w:val="000000"/>
              </w:rPr>
            </w:pPr>
          </w:p>
        </w:tc>
        <w:tc>
          <w:tcPr>
            <w:tcW w:w="6480" w:type="dxa"/>
            <w:vMerge/>
            <w:shd w:val="clear" w:color="auto" w:fill="auto"/>
            <w:noWrap/>
            <w:vAlign w:val="bottom"/>
          </w:tcPr>
          <w:p w14:paraId="265678CE" w14:textId="77777777" w:rsidR="00823C7B" w:rsidRPr="00511BD5" w:rsidRDefault="00823C7B" w:rsidP="00206217">
            <w:pPr>
              <w:suppressAutoHyphens w:val="0"/>
              <w:rPr>
                <w:color w:val="000000"/>
              </w:rPr>
            </w:pPr>
          </w:p>
        </w:tc>
      </w:tr>
      <w:tr w:rsidR="00511BD5" w:rsidRPr="00394DD8" w14:paraId="17B636B5" w14:textId="77777777" w:rsidTr="00900207">
        <w:trPr>
          <w:trHeight w:val="300"/>
        </w:trPr>
        <w:tc>
          <w:tcPr>
            <w:tcW w:w="1185" w:type="dxa"/>
            <w:shd w:val="clear" w:color="auto" w:fill="auto"/>
            <w:noWrap/>
            <w:vAlign w:val="center"/>
            <w:hideMark/>
          </w:tcPr>
          <w:p w14:paraId="64DC9C17" w14:textId="2E0D52E7" w:rsidR="00511BD5" w:rsidRPr="00394DD8" w:rsidRDefault="00511BD5" w:rsidP="000B11D8">
            <w:pPr>
              <w:suppressAutoHyphens w:val="0"/>
              <w:jc w:val="center"/>
              <w:rPr>
                <w:color w:val="000000"/>
              </w:rPr>
            </w:pPr>
            <w:r>
              <w:rPr>
                <w:color w:val="000000"/>
              </w:rPr>
              <w:t>3/</w:t>
            </w:r>
            <w:r w:rsidR="00823C7B">
              <w:rPr>
                <w:color w:val="000000"/>
              </w:rPr>
              <w:t>30</w:t>
            </w:r>
          </w:p>
        </w:tc>
        <w:tc>
          <w:tcPr>
            <w:tcW w:w="1980" w:type="dxa"/>
            <w:vAlign w:val="center"/>
          </w:tcPr>
          <w:p w14:paraId="7E5D11E4" w14:textId="5834FB67" w:rsidR="00511BD5" w:rsidRPr="00394DD8" w:rsidRDefault="00511BD5" w:rsidP="000B11D8">
            <w:pPr>
              <w:suppressAutoHyphens w:val="0"/>
              <w:jc w:val="center"/>
              <w:rPr>
                <w:color w:val="000000"/>
              </w:rPr>
            </w:pPr>
            <w:r w:rsidRPr="00394DD8">
              <w:rPr>
                <w:color w:val="000000"/>
              </w:rPr>
              <w:t>1</w:t>
            </w:r>
            <w:r w:rsidR="00A113DF">
              <w:rPr>
                <w:color w:val="000000"/>
              </w:rPr>
              <w:t>9</w:t>
            </w:r>
          </w:p>
        </w:tc>
        <w:tc>
          <w:tcPr>
            <w:tcW w:w="6480" w:type="dxa"/>
            <w:shd w:val="clear" w:color="auto" w:fill="auto"/>
            <w:noWrap/>
            <w:hideMark/>
          </w:tcPr>
          <w:p w14:paraId="53845B7A" w14:textId="2A1D7ED7" w:rsidR="00511BD5" w:rsidRPr="00511BD5" w:rsidRDefault="00511BD5" w:rsidP="00CD2A8A">
            <w:pPr>
              <w:suppressAutoHyphens w:val="0"/>
              <w:rPr>
                <w:color w:val="000000"/>
              </w:rPr>
            </w:pPr>
            <w:r w:rsidRPr="00511BD5">
              <w:t xml:space="preserve">Debt </w:t>
            </w:r>
            <w:proofErr w:type="gramStart"/>
            <w:r w:rsidRPr="00511BD5">
              <w:t>Financing  (</w:t>
            </w:r>
            <w:proofErr w:type="gramEnd"/>
            <w:r w:rsidRPr="00511BD5">
              <w:t>cont.)</w:t>
            </w:r>
          </w:p>
        </w:tc>
      </w:tr>
      <w:tr w:rsidR="00511BD5" w:rsidRPr="00394DD8" w14:paraId="45F8317A" w14:textId="77777777" w:rsidTr="00212611">
        <w:trPr>
          <w:trHeight w:val="323"/>
        </w:trPr>
        <w:tc>
          <w:tcPr>
            <w:tcW w:w="1185" w:type="dxa"/>
            <w:shd w:val="clear" w:color="auto" w:fill="auto"/>
            <w:noWrap/>
            <w:vAlign w:val="center"/>
            <w:hideMark/>
          </w:tcPr>
          <w:p w14:paraId="445D79FF" w14:textId="18A04F78" w:rsidR="00511BD5" w:rsidRPr="00394DD8" w:rsidRDefault="00511BD5" w:rsidP="000B11D8">
            <w:pPr>
              <w:suppressAutoHyphens w:val="0"/>
              <w:jc w:val="center"/>
              <w:rPr>
                <w:color w:val="000000"/>
              </w:rPr>
            </w:pPr>
            <w:r>
              <w:rPr>
                <w:color w:val="000000"/>
              </w:rPr>
              <w:t>3/</w:t>
            </w:r>
            <w:r w:rsidR="00823C7B">
              <w:rPr>
                <w:color w:val="000000"/>
              </w:rPr>
              <w:t>31</w:t>
            </w:r>
          </w:p>
        </w:tc>
        <w:tc>
          <w:tcPr>
            <w:tcW w:w="1980" w:type="dxa"/>
            <w:vAlign w:val="center"/>
          </w:tcPr>
          <w:p w14:paraId="511E06F9" w14:textId="082BC2E2" w:rsidR="00511BD5" w:rsidRPr="00394DD8" w:rsidRDefault="00A113DF" w:rsidP="000B11D8">
            <w:pPr>
              <w:suppressAutoHyphens w:val="0"/>
              <w:jc w:val="center"/>
              <w:rPr>
                <w:color w:val="000000"/>
              </w:rPr>
            </w:pPr>
            <w:r>
              <w:rPr>
                <w:color w:val="000000"/>
              </w:rPr>
              <w:t>20</w:t>
            </w:r>
          </w:p>
        </w:tc>
        <w:tc>
          <w:tcPr>
            <w:tcW w:w="6480" w:type="dxa"/>
            <w:shd w:val="clear" w:color="auto" w:fill="auto"/>
            <w:noWrap/>
          </w:tcPr>
          <w:p w14:paraId="07FE6869" w14:textId="607EE593" w:rsidR="00511BD5" w:rsidRPr="00511BD5" w:rsidRDefault="00511BD5" w:rsidP="00776E05">
            <w:pPr>
              <w:suppressAutoHyphens w:val="0"/>
              <w:rPr>
                <w:color w:val="000000"/>
              </w:rPr>
            </w:pPr>
            <w:r w:rsidRPr="00511BD5">
              <w:t xml:space="preserve">Debt </w:t>
            </w:r>
            <w:proofErr w:type="gramStart"/>
            <w:r w:rsidRPr="00511BD5">
              <w:t>Financing  (</w:t>
            </w:r>
            <w:proofErr w:type="gramEnd"/>
            <w:r w:rsidRPr="00511BD5">
              <w:t>cont.)</w:t>
            </w:r>
          </w:p>
        </w:tc>
      </w:tr>
      <w:tr w:rsidR="00D17218" w:rsidRPr="00394DD8" w14:paraId="7583D03C" w14:textId="77777777" w:rsidTr="00EC30BE">
        <w:trPr>
          <w:trHeight w:val="300"/>
        </w:trPr>
        <w:tc>
          <w:tcPr>
            <w:tcW w:w="1185" w:type="dxa"/>
            <w:shd w:val="clear" w:color="auto" w:fill="auto"/>
            <w:noWrap/>
            <w:vAlign w:val="center"/>
            <w:hideMark/>
          </w:tcPr>
          <w:p w14:paraId="03122F79" w14:textId="27C71707" w:rsidR="00D17218" w:rsidRPr="00394DD8" w:rsidRDefault="00D17218" w:rsidP="00EC30BE">
            <w:pPr>
              <w:suppressAutoHyphens w:val="0"/>
              <w:jc w:val="center"/>
              <w:rPr>
                <w:color w:val="000000"/>
              </w:rPr>
            </w:pPr>
            <w:r>
              <w:rPr>
                <w:color w:val="000000"/>
              </w:rPr>
              <w:t>4/</w:t>
            </w:r>
            <w:r w:rsidR="00823C7B">
              <w:rPr>
                <w:color w:val="000000"/>
              </w:rPr>
              <w:t>6</w:t>
            </w:r>
          </w:p>
        </w:tc>
        <w:tc>
          <w:tcPr>
            <w:tcW w:w="1980" w:type="dxa"/>
            <w:vAlign w:val="center"/>
          </w:tcPr>
          <w:p w14:paraId="6BB3F76B" w14:textId="77777777" w:rsidR="00D17218" w:rsidRPr="00394DD8" w:rsidRDefault="00D17218" w:rsidP="00EC30BE">
            <w:pPr>
              <w:suppressAutoHyphens w:val="0"/>
              <w:jc w:val="center"/>
              <w:rPr>
                <w:color w:val="000000"/>
              </w:rPr>
            </w:pPr>
            <w:r>
              <w:rPr>
                <w:color w:val="000000"/>
              </w:rPr>
              <w:t>21</w:t>
            </w:r>
          </w:p>
        </w:tc>
        <w:tc>
          <w:tcPr>
            <w:tcW w:w="6480" w:type="dxa"/>
            <w:shd w:val="clear" w:color="auto" w:fill="auto"/>
            <w:noWrap/>
            <w:hideMark/>
          </w:tcPr>
          <w:p w14:paraId="7227A221" w14:textId="6E498AC3" w:rsidR="00D17218" w:rsidRPr="00511BD5" w:rsidRDefault="00D17218" w:rsidP="00EC30BE">
            <w:pPr>
              <w:suppressAutoHyphens w:val="0"/>
              <w:rPr>
                <w:color w:val="000000"/>
              </w:rPr>
            </w:pPr>
            <w:r w:rsidRPr="00511BD5">
              <w:t>Debt Financing (</w:t>
            </w:r>
            <w:proofErr w:type="spellStart"/>
            <w:r w:rsidRPr="00511BD5">
              <w:t>cont</w:t>
            </w:r>
            <w:proofErr w:type="spellEnd"/>
            <w:r w:rsidRPr="00511BD5">
              <w:t>); Intro to Preferred Stock</w:t>
            </w:r>
          </w:p>
        </w:tc>
      </w:tr>
      <w:tr w:rsidR="00511BD5" w:rsidRPr="00394DD8" w14:paraId="021215C2" w14:textId="77777777" w:rsidTr="00791562">
        <w:trPr>
          <w:trHeight w:val="300"/>
        </w:trPr>
        <w:tc>
          <w:tcPr>
            <w:tcW w:w="1185" w:type="dxa"/>
            <w:shd w:val="clear" w:color="auto" w:fill="auto"/>
            <w:noWrap/>
            <w:vAlign w:val="center"/>
          </w:tcPr>
          <w:p w14:paraId="24CC1A53" w14:textId="5C5F2363" w:rsidR="00511BD5" w:rsidRPr="00394DD8" w:rsidRDefault="00511BD5" w:rsidP="000B11D8">
            <w:pPr>
              <w:suppressAutoHyphens w:val="0"/>
              <w:jc w:val="center"/>
              <w:rPr>
                <w:color w:val="000000"/>
              </w:rPr>
            </w:pPr>
            <w:r>
              <w:rPr>
                <w:color w:val="000000"/>
              </w:rPr>
              <w:t>4/</w:t>
            </w:r>
            <w:r w:rsidR="00823C7B">
              <w:rPr>
                <w:color w:val="000000"/>
              </w:rPr>
              <w:t>7</w:t>
            </w:r>
          </w:p>
        </w:tc>
        <w:tc>
          <w:tcPr>
            <w:tcW w:w="1980" w:type="dxa"/>
            <w:vAlign w:val="center"/>
          </w:tcPr>
          <w:p w14:paraId="451A9A6C" w14:textId="2C310484" w:rsidR="00511BD5" w:rsidRPr="00394DD8" w:rsidRDefault="00511BD5" w:rsidP="00776E05">
            <w:pPr>
              <w:suppressAutoHyphens w:val="0"/>
              <w:jc w:val="center"/>
              <w:rPr>
                <w:color w:val="000000"/>
              </w:rPr>
            </w:pPr>
            <w:r w:rsidRPr="00394DD8">
              <w:rPr>
                <w:color w:val="000000"/>
              </w:rPr>
              <w:t>2</w:t>
            </w:r>
            <w:r w:rsidR="00A113DF">
              <w:rPr>
                <w:color w:val="000000"/>
              </w:rPr>
              <w:t>2</w:t>
            </w:r>
          </w:p>
        </w:tc>
        <w:tc>
          <w:tcPr>
            <w:tcW w:w="6480" w:type="dxa"/>
            <w:shd w:val="clear" w:color="auto" w:fill="auto"/>
            <w:noWrap/>
            <w:vAlign w:val="bottom"/>
          </w:tcPr>
          <w:p w14:paraId="28A30AE3" w14:textId="2BF9025E" w:rsidR="00511BD5" w:rsidRPr="00511BD5" w:rsidRDefault="00511BD5" w:rsidP="00454924">
            <w:pPr>
              <w:suppressAutoHyphens w:val="0"/>
              <w:rPr>
                <w:color w:val="000000"/>
              </w:rPr>
            </w:pPr>
            <w:r w:rsidRPr="00511BD5">
              <w:rPr>
                <w:color w:val="000000"/>
              </w:rPr>
              <w:t>Preferred Stock (cont.)</w:t>
            </w:r>
          </w:p>
          <w:p w14:paraId="11E55E4A" w14:textId="77777777" w:rsidR="00511BD5" w:rsidRPr="00511BD5" w:rsidRDefault="00511BD5" w:rsidP="00454924">
            <w:pPr>
              <w:suppressAutoHyphens w:val="0"/>
              <w:rPr>
                <w:color w:val="000000"/>
              </w:rPr>
            </w:pPr>
          </w:p>
          <w:p w14:paraId="275EFCB9" w14:textId="67AAE3AB" w:rsidR="00511BD5" w:rsidRPr="00511BD5" w:rsidRDefault="00C43FA2" w:rsidP="00791562">
            <w:pPr>
              <w:suppressAutoHyphens w:val="0"/>
              <w:jc w:val="center"/>
              <w:rPr>
                <w:color w:val="000000"/>
              </w:rPr>
            </w:pPr>
            <w:r w:rsidRPr="00511BD5">
              <w:rPr>
                <w:b/>
                <w:i/>
                <w:color w:val="000000"/>
              </w:rPr>
              <w:t>PROBLEM SET #3 DISTRIBUTED</w:t>
            </w:r>
            <w:r>
              <w:rPr>
                <w:b/>
                <w:i/>
                <w:color w:val="000000"/>
              </w:rPr>
              <w:t xml:space="preserve"> (tentative)</w:t>
            </w:r>
          </w:p>
        </w:tc>
      </w:tr>
      <w:tr w:rsidR="00511BD5" w:rsidRPr="00394DD8" w14:paraId="70A74606" w14:textId="77777777" w:rsidTr="00C0538D">
        <w:trPr>
          <w:trHeight w:val="300"/>
        </w:trPr>
        <w:tc>
          <w:tcPr>
            <w:tcW w:w="1185" w:type="dxa"/>
            <w:shd w:val="clear" w:color="auto" w:fill="auto"/>
            <w:noWrap/>
            <w:vAlign w:val="center"/>
            <w:hideMark/>
          </w:tcPr>
          <w:p w14:paraId="0AD97112" w14:textId="3781AACE" w:rsidR="00511BD5" w:rsidRPr="00394DD8" w:rsidRDefault="00511BD5" w:rsidP="000B11D8">
            <w:pPr>
              <w:suppressAutoHyphens w:val="0"/>
              <w:jc w:val="center"/>
              <w:rPr>
                <w:color w:val="000000"/>
              </w:rPr>
            </w:pPr>
            <w:r>
              <w:rPr>
                <w:color w:val="000000"/>
              </w:rPr>
              <w:t>4/</w:t>
            </w:r>
            <w:r w:rsidR="00823C7B">
              <w:rPr>
                <w:color w:val="000000"/>
              </w:rPr>
              <w:t>13</w:t>
            </w:r>
          </w:p>
        </w:tc>
        <w:tc>
          <w:tcPr>
            <w:tcW w:w="1980" w:type="dxa"/>
            <w:vAlign w:val="center"/>
          </w:tcPr>
          <w:p w14:paraId="52D37EDB" w14:textId="29FD59B5" w:rsidR="00511BD5" w:rsidRPr="00394DD8" w:rsidRDefault="00511BD5" w:rsidP="00776E05">
            <w:pPr>
              <w:suppressAutoHyphens w:val="0"/>
              <w:jc w:val="center"/>
              <w:rPr>
                <w:color w:val="000000"/>
              </w:rPr>
            </w:pPr>
            <w:r w:rsidRPr="00394DD8">
              <w:rPr>
                <w:color w:val="000000"/>
              </w:rPr>
              <w:t>2</w:t>
            </w:r>
            <w:r w:rsidR="00A113DF">
              <w:rPr>
                <w:color w:val="000000"/>
              </w:rPr>
              <w:t>3</w:t>
            </w:r>
          </w:p>
        </w:tc>
        <w:tc>
          <w:tcPr>
            <w:tcW w:w="6480" w:type="dxa"/>
            <w:shd w:val="clear" w:color="auto" w:fill="auto"/>
            <w:noWrap/>
          </w:tcPr>
          <w:p w14:paraId="17EF4740" w14:textId="77777777" w:rsidR="00511BD5" w:rsidRDefault="00511BD5" w:rsidP="00454924">
            <w:pPr>
              <w:suppressAutoHyphens w:val="0"/>
            </w:pPr>
            <w:r w:rsidRPr="00511BD5">
              <w:t>Preferred Stock (</w:t>
            </w:r>
            <w:proofErr w:type="spellStart"/>
            <w:r w:rsidRPr="00511BD5">
              <w:t>cont</w:t>
            </w:r>
            <w:proofErr w:type="spellEnd"/>
            <w:r w:rsidRPr="00511BD5">
              <w:t>)</w:t>
            </w:r>
          </w:p>
          <w:p w14:paraId="2E6FFC42" w14:textId="77777777" w:rsidR="00A113DF" w:rsidRDefault="00A113DF" w:rsidP="00454924">
            <w:pPr>
              <w:suppressAutoHyphens w:val="0"/>
              <w:rPr>
                <w:color w:val="000000"/>
              </w:rPr>
            </w:pPr>
          </w:p>
          <w:p w14:paraId="16B674B0" w14:textId="6849861D" w:rsidR="00A113DF" w:rsidRPr="00511BD5" w:rsidRDefault="00A113DF" w:rsidP="00A113DF">
            <w:pPr>
              <w:suppressAutoHyphens w:val="0"/>
              <w:jc w:val="center"/>
              <w:rPr>
                <w:color w:val="000000"/>
              </w:rPr>
            </w:pPr>
          </w:p>
        </w:tc>
      </w:tr>
      <w:tr w:rsidR="00511BD5" w:rsidRPr="00394DD8" w14:paraId="12AEC73D" w14:textId="77777777" w:rsidTr="00713286">
        <w:trPr>
          <w:trHeight w:val="315"/>
        </w:trPr>
        <w:tc>
          <w:tcPr>
            <w:tcW w:w="1185" w:type="dxa"/>
            <w:shd w:val="clear" w:color="auto" w:fill="auto"/>
            <w:noWrap/>
            <w:vAlign w:val="center"/>
            <w:hideMark/>
          </w:tcPr>
          <w:p w14:paraId="5C3635F6" w14:textId="1736EB84" w:rsidR="00511BD5" w:rsidRPr="00394DD8" w:rsidRDefault="00511BD5" w:rsidP="000B11D8">
            <w:pPr>
              <w:suppressAutoHyphens w:val="0"/>
              <w:jc w:val="center"/>
              <w:rPr>
                <w:color w:val="000000"/>
              </w:rPr>
            </w:pPr>
            <w:r>
              <w:rPr>
                <w:color w:val="000000"/>
              </w:rPr>
              <w:t>4/</w:t>
            </w:r>
            <w:r w:rsidR="00823C7B">
              <w:rPr>
                <w:color w:val="000000"/>
              </w:rPr>
              <w:t>14</w:t>
            </w:r>
          </w:p>
        </w:tc>
        <w:tc>
          <w:tcPr>
            <w:tcW w:w="1980" w:type="dxa"/>
            <w:vAlign w:val="center"/>
          </w:tcPr>
          <w:p w14:paraId="26C0F9DB" w14:textId="4F4505A7" w:rsidR="00511BD5" w:rsidRPr="00394DD8" w:rsidRDefault="00511BD5" w:rsidP="00776E05">
            <w:pPr>
              <w:suppressAutoHyphens w:val="0"/>
              <w:jc w:val="center"/>
              <w:rPr>
                <w:color w:val="000000"/>
              </w:rPr>
            </w:pPr>
            <w:r w:rsidRPr="00394DD8">
              <w:rPr>
                <w:color w:val="000000"/>
              </w:rPr>
              <w:t>2</w:t>
            </w:r>
            <w:r w:rsidR="00A113DF">
              <w:rPr>
                <w:color w:val="000000"/>
              </w:rPr>
              <w:t>4</w:t>
            </w:r>
          </w:p>
        </w:tc>
        <w:tc>
          <w:tcPr>
            <w:tcW w:w="6480" w:type="dxa"/>
            <w:shd w:val="clear" w:color="auto" w:fill="auto"/>
            <w:noWrap/>
            <w:hideMark/>
          </w:tcPr>
          <w:p w14:paraId="62698242" w14:textId="2627ADC4" w:rsidR="00511BD5" w:rsidRDefault="00511BD5" w:rsidP="00511BD5">
            <w:pPr>
              <w:suppressAutoHyphens w:val="0"/>
            </w:pPr>
            <w:r w:rsidRPr="00511BD5">
              <w:t>Introduction to Options &amp; Option Valuation</w:t>
            </w:r>
          </w:p>
          <w:p w14:paraId="5B41F86A" w14:textId="77777777" w:rsidR="00C43FA2" w:rsidRPr="00511BD5" w:rsidRDefault="00C43FA2" w:rsidP="00511BD5">
            <w:pPr>
              <w:suppressAutoHyphens w:val="0"/>
            </w:pPr>
          </w:p>
          <w:p w14:paraId="04B6F918" w14:textId="62C1214F" w:rsidR="00511BD5" w:rsidRPr="00511BD5" w:rsidRDefault="00C43FA2" w:rsidP="00C43FA2">
            <w:pPr>
              <w:suppressAutoHyphens w:val="0"/>
              <w:jc w:val="center"/>
            </w:pPr>
            <w:r w:rsidRPr="00884A4F">
              <w:rPr>
                <w:b/>
                <w:i/>
                <w:color w:val="000000"/>
              </w:rPr>
              <w:t>PROBLEM SET #3 DUE</w:t>
            </w:r>
            <w:r>
              <w:rPr>
                <w:b/>
                <w:i/>
                <w:color w:val="000000"/>
              </w:rPr>
              <w:t xml:space="preserve"> (tentative)</w:t>
            </w:r>
          </w:p>
          <w:p w14:paraId="32196119" w14:textId="1243DD3F" w:rsidR="00511BD5" w:rsidRPr="00884A4F" w:rsidRDefault="00511BD5" w:rsidP="00884A4F">
            <w:pPr>
              <w:suppressAutoHyphens w:val="0"/>
              <w:jc w:val="center"/>
              <w:rPr>
                <w:b/>
                <w:i/>
                <w:color w:val="000000"/>
              </w:rPr>
            </w:pPr>
          </w:p>
        </w:tc>
      </w:tr>
      <w:tr w:rsidR="00511BD5" w:rsidRPr="00394DD8" w14:paraId="797E040B" w14:textId="77777777" w:rsidTr="00E808ED">
        <w:trPr>
          <w:trHeight w:val="300"/>
        </w:trPr>
        <w:tc>
          <w:tcPr>
            <w:tcW w:w="1185" w:type="dxa"/>
            <w:shd w:val="clear" w:color="auto" w:fill="auto"/>
            <w:noWrap/>
            <w:vAlign w:val="center"/>
            <w:hideMark/>
          </w:tcPr>
          <w:p w14:paraId="561E29C1" w14:textId="4B5D8275" w:rsidR="00511BD5" w:rsidRPr="00394DD8" w:rsidRDefault="00511BD5" w:rsidP="000B11D8">
            <w:pPr>
              <w:suppressAutoHyphens w:val="0"/>
              <w:jc w:val="center"/>
              <w:rPr>
                <w:color w:val="000000"/>
              </w:rPr>
            </w:pPr>
            <w:r>
              <w:rPr>
                <w:color w:val="000000"/>
              </w:rPr>
              <w:t>4/</w:t>
            </w:r>
            <w:r w:rsidR="00823C7B">
              <w:rPr>
                <w:color w:val="000000"/>
              </w:rPr>
              <w:t>20</w:t>
            </w:r>
          </w:p>
        </w:tc>
        <w:tc>
          <w:tcPr>
            <w:tcW w:w="1980" w:type="dxa"/>
            <w:vAlign w:val="center"/>
          </w:tcPr>
          <w:p w14:paraId="5E34AC99" w14:textId="036F20A1" w:rsidR="00511BD5" w:rsidRPr="00394DD8" w:rsidRDefault="00511BD5" w:rsidP="00776E05">
            <w:pPr>
              <w:suppressAutoHyphens w:val="0"/>
              <w:jc w:val="center"/>
              <w:rPr>
                <w:color w:val="000000"/>
              </w:rPr>
            </w:pPr>
            <w:r>
              <w:rPr>
                <w:color w:val="000000"/>
              </w:rPr>
              <w:t>2</w:t>
            </w:r>
            <w:r w:rsidR="00A113DF">
              <w:rPr>
                <w:color w:val="000000"/>
              </w:rPr>
              <w:t>5</w:t>
            </w:r>
          </w:p>
        </w:tc>
        <w:tc>
          <w:tcPr>
            <w:tcW w:w="6480" w:type="dxa"/>
            <w:shd w:val="clear" w:color="auto" w:fill="auto"/>
            <w:noWrap/>
            <w:hideMark/>
          </w:tcPr>
          <w:p w14:paraId="3361FC2A" w14:textId="37AE0878" w:rsidR="00A113DF" w:rsidRDefault="00511BD5" w:rsidP="00454924">
            <w:pPr>
              <w:suppressAutoHyphens w:val="0"/>
            </w:pPr>
            <w:r w:rsidRPr="00511BD5">
              <w:t xml:space="preserve">Option Valuation (cont.); Understanding Convertible Securities </w:t>
            </w:r>
            <w:proofErr w:type="gramStart"/>
            <w:r w:rsidRPr="00511BD5">
              <w:t>As</w:t>
            </w:r>
            <w:proofErr w:type="gramEnd"/>
            <w:r w:rsidRPr="00511BD5">
              <w:t xml:space="preserve"> Options</w:t>
            </w:r>
          </w:p>
          <w:p w14:paraId="25CE6178" w14:textId="5C0C6665" w:rsidR="00A113DF" w:rsidRPr="00511BD5" w:rsidRDefault="00A113DF" w:rsidP="00A113DF">
            <w:pPr>
              <w:suppressAutoHyphens w:val="0"/>
              <w:jc w:val="center"/>
              <w:rPr>
                <w:color w:val="000000"/>
              </w:rPr>
            </w:pPr>
          </w:p>
        </w:tc>
      </w:tr>
      <w:tr w:rsidR="00511BD5" w:rsidRPr="00394DD8" w14:paraId="40C5E65F" w14:textId="77777777" w:rsidTr="00791562">
        <w:trPr>
          <w:trHeight w:val="300"/>
        </w:trPr>
        <w:tc>
          <w:tcPr>
            <w:tcW w:w="1185" w:type="dxa"/>
            <w:shd w:val="clear" w:color="auto" w:fill="auto"/>
            <w:noWrap/>
            <w:vAlign w:val="center"/>
          </w:tcPr>
          <w:p w14:paraId="726E16D3" w14:textId="08A84622" w:rsidR="00511BD5" w:rsidRPr="00394DD8" w:rsidRDefault="00511BD5" w:rsidP="000B11D8">
            <w:pPr>
              <w:suppressAutoHyphens w:val="0"/>
              <w:jc w:val="center"/>
              <w:rPr>
                <w:color w:val="000000"/>
              </w:rPr>
            </w:pPr>
            <w:r>
              <w:rPr>
                <w:color w:val="000000"/>
              </w:rPr>
              <w:t>4/</w:t>
            </w:r>
            <w:r w:rsidR="00823C7B">
              <w:rPr>
                <w:color w:val="000000"/>
              </w:rPr>
              <w:t>21</w:t>
            </w:r>
          </w:p>
        </w:tc>
        <w:tc>
          <w:tcPr>
            <w:tcW w:w="1980" w:type="dxa"/>
            <w:vAlign w:val="center"/>
          </w:tcPr>
          <w:p w14:paraId="046E8E2C" w14:textId="0951F899" w:rsidR="00511BD5" w:rsidRPr="00394DD8" w:rsidRDefault="00511BD5" w:rsidP="00776E05">
            <w:pPr>
              <w:suppressAutoHyphens w:val="0"/>
              <w:jc w:val="center"/>
              <w:rPr>
                <w:color w:val="000000"/>
              </w:rPr>
            </w:pPr>
            <w:r w:rsidRPr="00394DD8">
              <w:rPr>
                <w:color w:val="000000"/>
              </w:rPr>
              <w:t>2</w:t>
            </w:r>
            <w:r w:rsidR="00A113DF">
              <w:rPr>
                <w:color w:val="000000"/>
              </w:rPr>
              <w:t>6</w:t>
            </w:r>
          </w:p>
        </w:tc>
        <w:tc>
          <w:tcPr>
            <w:tcW w:w="6480" w:type="dxa"/>
            <w:shd w:val="clear" w:color="auto" w:fill="auto"/>
            <w:noWrap/>
            <w:vAlign w:val="bottom"/>
          </w:tcPr>
          <w:p w14:paraId="2050E8A8" w14:textId="285EE4E5" w:rsidR="00511BD5" w:rsidRPr="00511BD5" w:rsidRDefault="00511BD5" w:rsidP="00776E05">
            <w:pPr>
              <w:suppressAutoHyphens w:val="0"/>
              <w:rPr>
                <w:color w:val="000000"/>
              </w:rPr>
            </w:pPr>
            <w:r w:rsidRPr="00511BD5">
              <w:rPr>
                <w:color w:val="000000"/>
              </w:rPr>
              <w:t>Protecting Option Value in Convertible Securities</w:t>
            </w:r>
          </w:p>
          <w:p w14:paraId="5AFA311F" w14:textId="77777777" w:rsidR="00511BD5" w:rsidRPr="00511BD5" w:rsidRDefault="00511BD5" w:rsidP="00776E05">
            <w:pPr>
              <w:suppressAutoHyphens w:val="0"/>
              <w:rPr>
                <w:color w:val="000000"/>
              </w:rPr>
            </w:pPr>
          </w:p>
          <w:p w14:paraId="4B3B6607" w14:textId="3C300A27" w:rsidR="00511BD5" w:rsidRPr="00511BD5" w:rsidRDefault="00511BD5" w:rsidP="00791562">
            <w:pPr>
              <w:suppressAutoHyphens w:val="0"/>
              <w:jc w:val="center"/>
              <w:rPr>
                <w:b/>
                <w:i/>
                <w:color w:val="000000"/>
              </w:rPr>
            </w:pPr>
            <w:r w:rsidRPr="00511BD5">
              <w:rPr>
                <w:b/>
                <w:i/>
                <w:color w:val="000000"/>
              </w:rPr>
              <w:t>PROBLEM SET #4 DISTRIBUTED</w:t>
            </w:r>
            <w:r w:rsidR="000B3C35">
              <w:rPr>
                <w:b/>
                <w:i/>
                <w:color w:val="000000"/>
              </w:rPr>
              <w:t xml:space="preserve"> (tentative)</w:t>
            </w:r>
          </w:p>
        </w:tc>
      </w:tr>
      <w:tr w:rsidR="00511BD5" w:rsidRPr="00394DD8" w14:paraId="3D0705B3" w14:textId="77777777" w:rsidTr="00307328">
        <w:trPr>
          <w:trHeight w:val="300"/>
        </w:trPr>
        <w:tc>
          <w:tcPr>
            <w:tcW w:w="1185" w:type="dxa"/>
            <w:shd w:val="clear" w:color="auto" w:fill="auto"/>
            <w:noWrap/>
            <w:vAlign w:val="center"/>
            <w:hideMark/>
          </w:tcPr>
          <w:p w14:paraId="03239D76" w14:textId="588F14CC" w:rsidR="00511BD5" w:rsidRPr="00394DD8" w:rsidRDefault="00511BD5" w:rsidP="000B11D8">
            <w:pPr>
              <w:suppressAutoHyphens w:val="0"/>
              <w:jc w:val="center"/>
              <w:rPr>
                <w:color w:val="000000"/>
              </w:rPr>
            </w:pPr>
            <w:r>
              <w:rPr>
                <w:color w:val="000000"/>
              </w:rPr>
              <w:t>4/</w:t>
            </w:r>
            <w:r w:rsidR="00D17218">
              <w:rPr>
                <w:color w:val="000000"/>
              </w:rPr>
              <w:t>2</w:t>
            </w:r>
            <w:r w:rsidR="00823C7B">
              <w:rPr>
                <w:color w:val="000000"/>
              </w:rPr>
              <w:t>7</w:t>
            </w:r>
          </w:p>
        </w:tc>
        <w:tc>
          <w:tcPr>
            <w:tcW w:w="1980" w:type="dxa"/>
            <w:vAlign w:val="center"/>
          </w:tcPr>
          <w:p w14:paraId="085C6E45" w14:textId="20B02B39" w:rsidR="00511BD5" w:rsidRPr="00394DD8" w:rsidRDefault="00511BD5" w:rsidP="00776E05">
            <w:pPr>
              <w:suppressAutoHyphens w:val="0"/>
              <w:jc w:val="center"/>
              <w:rPr>
                <w:color w:val="000000"/>
              </w:rPr>
            </w:pPr>
            <w:r w:rsidRPr="00394DD8">
              <w:rPr>
                <w:color w:val="000000"/>
              </w:rPr>
              <w:t>2</w:t>
            </w:r>
            <w:r w:rsidR="00A113DF">
              <w:rPr>
                <w:color w:val="000000"/>
              </w:rPr>
              <w:t>7</w:t>
            </w:r>
          </w:p>
        </w:tc>
        <w:tc>
          <w:tcPr>
            <w:tcW w:w="6480" w:type="dxa"/>
            <w:shd w:val="clear" w:color="auto" w:fill="auto"/>
            <w:noWrap/>
            <w:hideMark/>
          </w:tcPr>
          <w:p w14:paraId="5CFEFB99" w14:textId="1557B92E" w:rsidR="00511BD5" w:rsidRPr="00511BD5" w:rsidRDefault="00511BD5" w:rsidP="00CD2A8A">
            <w:pPr>
              <w:suppressAutoHyphens w:val="0"/>
              <w:rPr>
                <w:color w:val="000000"/>
              </w:rPr>
            </w:pPr>
            <w:r w:rsidRPr="00511BD5">
              <w:t>Protecting Option Value in Convertible Securities</w:t>
            </w:r>
          </w:p>
        </w:tc>
      </w:tr>
      <w:tr w:rsidR="00511BD5" w:rsidRPr="00394DD8" w14:paraId="59C3D725" w14:textId="77777777" w:rsidTr="00361566">
        <w:trPr>
          <w:trHeight w:val="315"/>
        </w:trPr>
        <w:tc>
          <w:tcPr>
            <w:tcW w:w="1185" w:type="dxa"/>
            <w:shd w:val="clear" w:color="auto" w:fill="auto"/>
            <w:noWrap/>
            <w:vAlign w:val="center"/>
            <w:hideMark/>
          </w:tcPr>
          <w:p w14:paraId="51726883" w14:textId="01CE70A2" w:rsidR="00511BD5" w:rsidRPr="00394DD8" w:rsidRDefault="00511BD5" w:rsidP="000B11D8">
            <w:pPr>
              <w:suppressAutoHyphens w:val="0"/>
              <w:jc w:val="center"/>
              <w:rPr>
                <w:color w:val="000000"/>
              </w:rPr>
            </w:pPr>
            <w:r>
              <w:rPr>
                <w:color w:val="000000"/>
              </w:rPr>
              <w:t>4/2</w:t>
            </w:r>
            <w:r w:rsidR="00823C7B">
              <w:rPr>
                <w:color w:val="000000"/>
              </w:rPr>
              <w:t>8</w:t>
            </w:r>
          </w:p>
        </w:tc>
        <w:tc>
          <w:tcPr>
            <w:tcW w:w="1980" w:type="dxa"/>
            <w:vAlign w:val="center"/>
          </w:tcPr>
          <w:p w14:paraId="2D20442E" w14:textId="6BC4BB11" w:rsidR="00511BD5" w:rsidRPr="00394DD8" w:rsidRDefault="00511BD5" w:rsidP="000B11D8">
            <w:pPr>
              <w:suppressAutoHyphens w:val="0"/>
              <w:jc w:val="center"/>
              <w:rPr>
                <w:color w:val="000000"/>
              </w:rPr>
            </w:pPr>
            <w:r>
              <w:rPr>
                <w:color w:val="000000"/>
              </w:rPr>
              <w:t>2</w:t>
            </w:r>
            <w:r w:rsidR="00A113DF">
              <w:rPr>
                <w:color w:val="000000"/>
              </w:rPr>
              <w:t>8</w:t>
            </w:r>
          </w:p>
        </w:tc>
        <w:tc>
          <w:tcPr>
            <w:tcW w:w="6480" w:type="dxa"/>
            <w:shd w:val="clear" w:color="auto" w:fill="auto"/>
            <w:noWrap/>
            <w:hideMark/>
          </w:tcPr>
          <w:p w14:paraId="1251D634" w14:textId="51139A9E" w:rsidR="00511BD5" w:rsidRDefault="00511BD5" w:rsidP="00454924">
            <w:pPr>
              <w:suppressAutoHyphens w:val="0"/>
            </w:pPr>
            <w:r w:rsidRPr="00511BD5">
              <w:t>Protecting Option Value in Convertible Securities</w:t>
            </w:r>
          </w:p>
          <w:p w14:paraId="781F848C" w14:textId="77777777" w:rsidR="00A113DF" w:rsidRDefault="00A113DF" w:rsidP="00454924">
            <w:pPr>
              <w:suppressAutoHyphens w:val="0"/>
            </w:pPr>
          </w:p>
          <w:p w14:paraId="49E46357" w14:textId="052F248C" w:rsidR="00A113DF" w:rsidRPr="00511BD5" w:rsidRDefault="00A113DF" w:rsidP="00A113DF">
            <w:pPr>
              <w:suppressAutoHyphens w:val="0"/>
              <w:jc w:val="center"/>
              <w:rPr>
                <w:color w:val="000000"/>
              </w:rPr>
            </w:pPr>
            <w:r w:rsidRPr="00511BD5">
              <w:rPr>
                <w:b/>
                <w:i/>
                <w:color w:val="000000"/>
              </w:rPr>
              <w:t>PROBLEM SET #4 DUE</w:t>
            </w:r>
            <w:r>
              <w:rPr>
                <w:b/>
                <w:i/>
                <w:color w:val="000000"/>
              </w:rPr>
              <w:t xml:space="preserve"> (tentative)</w:t>
            </w:r>
          </w:p>
        </w:tc>
      </w:tr>
    </w:tbl>
    <w:p w14:paraId="29FEF808" w14:textId="77777777" w:rsidR="00394DD8" w:rsidRPr="00D072DE" w:rsidRDefault="00394DD8" w:rsidP="00AB395F">
      <w:pPr>
        <w:rPr>
          <w:b/>
        </w:rPr>
      </w:pPr>
    </w:p>
    <w:sectPr w:rsidR="00394DD8" w:rsidRPr="00D072DE" w:rsidSect="00791562">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DCBD5" w14:textId="77777777" w:rsidR="00EC2F44" w:rsidRDefault="00EC2F44">
      <w:r>
        <w:separator/>
      </w:r>
    </w:p>
  </w:endnote>
  <w:endnote w:type="continuationSeparator" w:id="0">
    <w:p w14:paraId="0451C052" w14:textId="77777777" w:rsidR="00EC2F44" w:rsidRDefault="00E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A7E1" w14:textId="77777777" w:rsidR="007172CB" w:rsidRDefault="007172CB" w:rsidP="00DB3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099F" w14:textId="77777777" w:rsidR="007172CB" w:rsidRDefault="00717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21B93" w14:textId="77777777" w:rsidR="007172CB" w:rsidRDefault="007172CB" w:rsidP="00DB3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3916">
      <w:rPr>
        <w:rStyle w:val="PageNumber"/>
        <w:noProof/>
      </w:rPr>
      <w:t>3</w:t>
    </w:r>
    <w:r>
      <w:rPr>
        <w:rStyle w:val="PageNumber"/>
      </w:rPr>
      <w:fldChar w:fldCharType="end"/>
    </w:r>
  </w:p>
  <w:p w14:paraId="1E68C06E" w14:textId="77777777" w:rsidR="007172CB" w:rsidRDefault="00717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873CD" w14:textId="77777777" w:rsidR="00EC2F44" w:rsidRDefault="00EC2F44">
      <w:r>
        <w:separator/>
      </w:r>
    </w:p>
  </w:footnote>
  <w:footnote w:type="continuationSeparator" w:id="0">
    <w:p w14:paraId="5A9BB607" w14:textId="77777777" w:rsidR="00EC2F44" w:rsidRDefault="00EC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8904830"/>
    <w:lvl w:ilvl="0">
      <w:start w:val="1"/>
      <w:numFmt w:val="decimal"/>
      <w:pStyle w:val="Heading1"/>
      <w:lvlText w:val="%1."/>
      <w:lvlJc w:val="left"/>
      <w:pPr>
        <w:tabs>
          <w:tab w:val="num" w:pos="1440"/>
        </w:tabs>
        <w:ind w:left="0" w:firstLine="1440"/>
      </w:pPr>
      <w:rPr>
        <w:rFonts w:ascii="Times New Roman" w:hAnsi="Times New Roman" w:hint="default"/>
        <w:b w:val="0"/>
        <w:i w:val="0"/>
        <w:color w:val="auto"/>
        <w:sz w:val="24"/>
        <w:szCs w:val="24"/>
        <w:u w:val="none"/>
      </w:rPr>
    </w:lvl>
    <w:lvl w:ilvl="1">
      <w:start w:val="1"/>
      <w:numFmt w:val="decimal"/>
      <w:pStyle w:val="Heading2"/>
      <w:lvlText w:val="%1.%2"/>
      <w:lvlJc w:val="left"/>
      <w:pPr>
        <w:tabs>
          <w:tab w:val="num" w:pos="2160"/>
        </w:tabs>
        <w:ind w:left="0" w:firstLine="2160"/>
      </w:pPr>
      <w:rPr>
        <w:rFonts w:ascii="Times New Roman" w:hAnsi="Times New Roman" w:hint="default"/>
        <w:b w:val="0"/>
        <w:i w:val="0"/>
        <w:color w:val="auto"/>
        <w:sz w:val="24"/>
        <w:szCs w:val="24"/>
        <w:u w:val="none"/>
      </w:rPr>
    </w:lvl>
    <w:lvl w:ilvl="2">
      <w:start w:val="1"/>
      <w:numFmt w:val="lowerLetter"/>
      <w:pStyle w:val="Heading3"/>
      <w:lvlText w:val="(%3)"/>
      <w:lvlJc w:val="left"/>
      <w:pPr>
        <w:tabs>
          <w:tab w:val="num" w:pos="2880"/>
        </w:tabs>
        <w:ind w:left="0" w:firstLine="2880"/>
      </w:pPr>
      <w:rPr>
        <w:rFonts w:ascii="Times New Roman" w:hAnsi="Times New Roman" w:hint="default"/>
        <w:b w:val="0"/>
        <w:i w:val="0"/>
        <w:color w:val="auto"/>
        <w:sz w:val="24"/>
        <w:szCs w:val="24"/>
        <w:u w:val="none"/>
      </w:rPr>
    </w:lvl>
    <w:lvl w:ilvl="3">
      <w:start w:val="1"/>
      <w:numFmt w:val="lowerRoman"/>
      <w:pStyle w:val="Heading4"/>
      <w:lvlText w:val="(%4)"/>
      <w:lvlJc w:val="right"/>
      <w:pPr>
        <w:tabs>
          <w:tab w:val="num" w:pos="4032"/>
        </w:tabs>
        <w:ind w:left="0" w:firstLine="360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4320"/>
        </w:tabs>
        <w:ind w:left="0" w:firstLine="4320"/>
      </w:pPr>
      <w:rPr>
        <w:rFonts w:ascii="Times New Roman" w:hAnsi="Times New Roman" w:hint="default"/>
        <w:b w:val="0"/>
        <w:i w:val="0"/>
        <w:color w:val="auto"/>
        <w:sz w:val="24"/>
        <w:szCs w:val="24"/>
        <w:u w:val="none"/>
      </w:rPr>
    </w:lvl>
    <w:lvl w:ilvl="5">
      <w:start w:val="1"/>
      <w:numFmt w:val="decimal"/>
      <w:pStyle w:val="Heading6"/>
      <w:lvlText w:val="(%6)"/>
      <w:lvlJc w:val="left"/>
      <w:pPr>
        <w:tabs>
          <w:tab w:val="num" w:pos="5040"/>
        </w:tabs>
        <w:ind w:left="0" w:firstLine="5040"/>
      </w:pPr>
      <w:rPr>
        <w:rFonts w:ascii="Times New Roman" w:hAnsi="Times New Roman" w:hint="default"/>
        <w:b w:val="0"/>
        <w:i w:val="0"/>
        <w:color w:val="auto"/>
        <w:sz w:val="24"/>
        <w:szCs w:val="24"/>
        <w:u w:val="none"/>
      </w:rPr>
    </w:lvl>
    <w:lvl w:ilvl="6">
      <w:start w:val="1"/>
      <w:numFmt w:val="lowerRoman"/>
      <w:pStyle w:val="Heading7"/>
      <w:lvlText w:val="(%7)"/>
      <w:lvlJc w:val="right"/>
      <w:pPr>
        <w:tabs>
          <w:tab w:val="num" w:pos="6192"/>
        </w:tabs>
        <w:ind w:left="0" w:firstLine="5760"/>
      </w:pPr>
      <w:rPr>
        <w:rFonts w:ascii="Times New Roman" w:hAnsi="Times New Roman" w:hint="default"/>
        <w:b w:val="0"/>
        <w:i w:val="0"/>
        <w:color w:val="auto"/>
        <w:sz w:val="24"/>
        <w:szCs w:val="24"/>
        <w:u w:val="none"/>
      </w:rPr>
    </w:lvl>
    <w:lvl w:ilvl="7">
      <w:start w:val="1"/>
      <w:numFmt w:val="lowerLetter"/>
      <w:pStyle w:val="Heading8"/>
      <w:lvlText w:val="(%8)"/>
      <w:lvlJc w:val="left"/>
      <w:pPr>
        <w:tabs>
          <w:tab w:val="num" w:pos="6480"/>
        </w:tabs>
        <w:ind w:left="0" w:firstLine="6480"/>
      </w:pPr>
      <w:rPr>
        <w:rFonts w:ascii="Times New Roman" w:hAnsi="Times New Roman" w:hint="default"/>
        <w:b w:val="0"/>
        <w:i w:val="0"/>
        <w:color w:val="auto"/>
        <w:sz w:val="24"/>
        <w:szCs w:val="24"/>
        <w:u w:val="none"/>
      </w:rPr>
    </w:lvl>
    <w:lvl w:ilvl="8">
      <w:start w:val="1"/>
      <w:numFmt w:val="lowerRoman"/>
      <w:pStyle w:val="Heading9"/>
      <w:lvlText w:val="(%9)"/>
      <w:lvlJc w:val="right"/>
      <w:pPr>
        <w:tabs>
          <w:tab w:val="num" w:pos="7632"/>
        </w:tabs>
        <w:ind w:left="0" w:firstLine="7200"/>
      </w:pPr>
      <w:rPr>
        <w:rFonts w:ascii="Times New Roman" w:hAnsi="Times New Roman" w:hint="default"/>
        <w:b w:val="0"/>
        <w:i w:val="0"/>
        <w:color w:val="auto"/>
        <w:sz w:val="24"/>
        <w:szCs w:val="24"/>
        <w:u w:val="none"/>
      </w:rPr>
    </w:lvl>
  </w:abstractNum>
  <w:abstractNum w:abstractNumId="1" w15:restartNumberingAfterBreak="0">
    <w:nsid w:val="194067CF"/>
    <w:multiLevelType w:val="hybridMultilevel"/>
    <w:tmpl w:val="B1C0A396"/>
    <w:lvl w:ilvl="0" w:tplc="337ECBCA">
      <w:start w:val="4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10B4C27"/>
    <w:multiLevelType w:val="singleLevel"/>
    <w:tmpl w:val="850EF2CE"/>
    <w:lvl w:ilvl="0">
      <w:start w:val="1"/>
      <w:numFmt w:val="bullet"/>
      <w:pStyle w:val="bullet2"/>
      <w:lvlText w:val=""/>
      <w:lvlJc w:val="left"/>
      <w:pPr>
        <w:tabs>
          <w:tab w:val="num" w:pos="360"/>
        </w:tabs>
        <w:ind w:left="360" w:hanging="360"/>
      </w:pPr>
      <w:rPr>
        <w:rFonts w:ascii="Symbol" w:hAnsi="Symbol" w:hint="default"/>
        <w:sz w:val="20"/>
      </w:rPr>
    </w:lvl>
  </w:abstractNum>
  <w:abstractNum w:abstractNumId="3" w15:restartNumberingAfterBreak="0">
    <w:nsid w:val="51D939CB"/>
    <w:multiLevelType w:val="hybridMultilevel"/>
    <w:tmpl w:val="7278C3FA"/>
    <w:lvl w:ilvl="0" w:tplc="7506D3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6263326"/>
    <w:multiLevelType w:val="multilevel"/>
    <w:tmpl w:val="E3ACD76A"/>
    <w:lvl w:ilvl="0">
      <w:start w:val="1"/>
      <w:numFmt w:val="decimal"/>
      <w:lvlText w:val="%1."/>
      <w:legacy w:legacy="1" w:legacySpace="0" w:legacyIndent="720"/>
      <w:lvlJc w:val="left"/>
    </w:lvl>
    <w:lvl w:ilvl="1">
      <w:start w:val="1"/>
      <w:numFmt w:val="decimal"/>
      <w:lvlText w:val="%1.%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288" w:legacyIndent="720"/>
      <w:lvlJc w:val="righ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lowerRoman"/>
      <w:lvlText w:val="(%7)"/>
      <w:legacy w:legacy="1" w:legacySpace="0" w:legacyIndent="720"/>
      <w:lvlJc w:val="left"/>
      <w:pPr>
        <w:ind w:left="0" w:hanging="720"/>
      </w:pPr>
    </w:lvl>
    <w:lvl w:ilvl="7">
      <w:start w:val="1"/>
      <w:numFmt w:val="lowerLetter"/>
      <w:lvlText w:val="(%8)"/>
      <w:legacy w:legacy="1" w:legacySpace="0" w:legacyIndent="720"/>
      <w:lvlJc w:val="left"/>
      <w:pPr>
        <w:ind w:left="0" w:hanging="720"/>
      </w:pPr>
    </w:lvl>
    <w:lvl w:ilvl="8">
      <w:start w:val="1"/>
      <w:numFmt w:val="lowerRoman"/>
      <w:lvlText w:val="(%9)"/>
      <w:legacy w:legacy="1" w:legacySpace="0" w:legacyIndent="720"/>
      <w:lvlJc w:val="left"/>
      <w:pPr>
        <w:ind w:left="6480" w:hanging="720"/>
      </w:pPr>
    </w:lvl>
  </w:abstractNum>
  <w:abstractNum w:abstractNumId="5" w15:restartNumberingAfterBreak="0">
    <w:nsid w:val="6585680A"/>
    <w:multiLevelType w:val="singleLevel"/>
    <w:tmpl w:val="50482E52"/>
    <w:lvl w:ilvl="0">
      <w:start w:val="1"/>
      <w:numFmt w:val="bullet"/>
      <w:pStyle w:val="bullet"/>
      <w:lvlText w:val=""/>
      <w:lvlJc w:val="left"/>
      <w:pPr>
        <w:tabs>
          <w:tab w:val="num" w:pos="360"/>
        </w:tabs>
        <w:ind w:left="360" w:hanging="360"/>
      </w:pPr>
      <w:rPr>
        <w:rFonts w:ascii="Symbol" w:hAnsi="Symbol" w:hint="default"/>
        <w:sz w:val="20"/>
      </w:rPr>
    </w:lvl>
  </w:abstractNum>
  <w:abstractNum w:abstractNumId="6" w15:restartNumberingAfterBreak="0">
    <w:nsid w:val="76432B2C"/>
    <w:multiLevelType w:val="hybridMultilevel"/>
    <w:tmpl w:val="FB021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5B52DD"/>
    <w:multiLevelType w:val="hybridMultilevel"/>
    <w:tmpl w:val="669AB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4"/>
  </w:num>
  <w:num w:numId="29">
    <w:abstractNumId w:val="3"/>
  </w:num>
  <w:num w:numId="30">
    <w:abstractNumId w:val="6"/>
  </w:num>
  <w:num w:numId="31">
    <w:abstractNumId w:val="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7D6"/>
    <w:rsid w:val="00010772"/>
    <w:rsid w:val="00014391"/>
    <w:rsid w:val="0002696E"/>
    <w:rsid w:val="00030FC5"/>
    <w:rsid w:val="0003786F"/>
    <w:rsid w:val="00062AF0"/>
    <w:rsid w:val="000720DB"/>
    <w:rsid w:val="000721CC"/>
    <w:rsid w:val="000771D3"/>
    <w:rsid w:val="000812CD"/>
    <w:rsid w:val="0008249E"/>
    <w:rsid w:val="00082B5F"/>
    <w:rsid w:val="00097A8D"/>
    <w:rsid w:val="000B11D8"/>
    <w:rsid w:val="000B3C35"/>
    <w:rsid w:val="000C2A6F"/>
    <w:rsid w:val="000D1FC1"/>
    <w:rsid w:val="000D6AD6"/>
    <w:rsid w:val="000F0A6F"/>
    <w:rsid w:val="000F44B4"/>
    <w:rsid w:val="0010408E"/>
    <w:rsid w:val="00105FD4"/>
    <w:rsid w:val="00110F34"/>
    <w:rsid w:val="00120669"/>
    <w:rsid w:val="00120BF6"/>
    <w:rsid w:val="0012777A"/>
    <w:rsid w:val="001330DB"/>
    <w:rsid w:val="001340B8"/>
    <w:rsid w:val="0014645B"/>
    <w:rsid w:val="001537EE"/>
    <w:rsid w:val="0016038B"/>
    <w:rsid w:val="00164BEE"/>
    <w:rsid w:val="00174109"/>
    <w:rsid w:val="00174CDC"/>
    <w:rsid w:val="00182AB6"/>
    <w:rsid w:val="001A0D3C"/>
    <w:rsid w:val="001B0C90"/>
    <w:rsid w:val="001B0CE6"/>
    <w:rsid w:val="001B3AB2"/>
    <w:rsid w:val="001B7891"/>
    <w:rsid w:val="001E51BC"/>
    <w:rsid w:val="002011BB"/>
    <w:rsid w:val="00204820"/>
    <w:rsid w:val="0020589D"/>
    <w:rsid w:val="0020657C"/>
    <w:rsid w:val="002109D2"/>
    <w:rsid w:val="00233885"/>
    <w:rsid w:val="00242AAD"/>
    <w:rsid w:val="00243AD7"/>
    <w:rsid w:val="00250B87"/>
    <w:rsid w:val="00257084"/>
    <w:rsid w:val="002666A0"/>
    <w:rsid w:val="0028484F"/>
    <w:rsid w:val="0028649D"/>
    <w:rsid w:val="00290489"/>
    <w:rsid w:val="002A56AB"/>
    <w:rsid w:val="002B188D"/>
    <w:rsid w:val="002B5E89"/>
    <w:rsid w:val="002C07C4"/>
    <w:rsid w:val="002C0D12"/>
    <w:rsid w:val="002C33FD"/>
    <w:rsid w:val="002D315B"/>
    <w:rsid w:val="002D399B"/>
    <w:rsid w:val="002D65FA"/>
    <w:rsid w:val="002F75D4"/>
    <w:rsid w:val="00307089"/>
    <w:rsid w:val="00325052"/>
    <w:rsid w:val="00343B38"/>
    <w:rsid w:val="003777D8"/>
    <w:rsid w:val="0038123F"/>
    <w:rsid w:val="00382311"/>
    <w:rsid w:val="0038323D"/>
    <w:rsid w:val="003852DD"/>
    <w:rsid w:val="00386FF9"/>
    <w:rsid w:val="00394DD8"/>
    <w:rsid w:val="003B3306"/>
    <w:rsid w:val="003C0D36"/>
    <w:rsid w:val="003D6DD8"/>
    <w:rsid w:val="003F4663"/>
    <w:rsid w:val="003F5634"/>
    <w:rsid w:val="003F7BBC"/>
    <w:rsid w:val="0041097D"/>
    <w:rsid w:val="00415B94"/>
    <w:rsid w:val="00425362"/>
    <w:rsid w:val="00434843"/>
    <w:rsid w:val="00441021"/>
    <w:rsid w:val="0044332C"/>
    <w:rsid w:val="00443E1E"/>
    <w:rsid w:val="00451368"/>
    <w:rsid w:val="00454924"/>
    <w:rsid w:val="0047312C"/>
    <w:rsid w:val="00473255"/>
    <w:rsid w:val="00476CF1"/>
    <w:rsid w:val="00486C4F"/>
    <w:rsid w:val="00493C6F"/>
    <w:rsid w:val="004A6321"/>
    <w:rsid w:val="004B2155"/>
    <w:rsid w:val="004B3659"/>
    <w:rsid w:val="004B3916"/>
    <w:rsid w:val="004B7C1F"/>
    <w:rsid w:val="004D0105"/>
    <w:rsid w:val="004E3C06"/>
    <w:rsid w:val="004E5CC0"/>
    <w:rsid w:val="004E64E0"/>
    <w:rsid w:val="004F2A19"/>
    <w:rsid w:val="00503DA6"/>
    <w:rsid w:val="00511BD5"/>
    <w:rsid w:val="00534D63"/>
    <w:rsid w:val="00544B9E"/>
    <w:rsid w:val="0055268B"/>
    <w:rsid w:val="0055601E"/>
    <w:rsid w:val="005745E8"/>
    <w:rsid w:val="00583F12"/>
    <w:rsid w:val="00586FA3"/>
    <w:rsid w:val="0058707F"/>
    <w:rsid w:val="005874B8"/>
    <w:rsid w:val="005A00A9"/>
    <w:rsid w:val="005A0875"/>
    <w:rsid w:val="005A2EE6"/>
    <w:rsid w:val="005B78E1"/>
    <w:rsid w:val="005C27DA"/>
    <w:rsid w:val="005F0DCD"/>
    <w:rsid w:val="00600DD3"/>
    <w:rsid w:val="0060159C"/>
    <w:rsid w:val="00606E99"/>
    <w:rsid w:val="0062032A"/>
    <w:rsid w:val="00661C95"/>
    <w:rsid w:val="00667DCD"/>
    <w:rsid w:val="00671293"/>
    <w:rsid w:val="00690998"/>
    <w:rsid w:val="0069322D"/>
    <w:rsid w:val="006946B3"/>
    <w:rsid w:val="006B3D72"/>
    <w:rsid w:val="006E7A0A"/>
    <w:rsid w:val="00702F23"/>
    <w:rsid w:val="007172CB"/>
    <w:rsid w:val="007246DB"/>
    <w:rsid w:val="00726430"/>
    <w:rsid w:val="00740454"/>
    <w:rsid w:val="00745224"/>
    <w:rsid w:val="00776E05"/>
    <w:rsid w:val="00791562"/>
    <w:rsid w:val="007B07EA"/>
    <w:rsid w:val="007C0DB8"/>
    <w:rsid w:val="007C3CF8"/>
    <w:rsid w:val="007D42C5"/>
    <w:rsid w:val="00813F0A"/>
    <w:rsid w:val="00823C7B"/>
    <w:rsid w:val="00833705"/>
    <w:rsid w:val="00840EE1"/>
    <w:rsid w:val="008437B5"/>
    <w:rsid w:val="00884A4F"/>
    <w:rsid w:val="00895BFE"/>
    <w:rsid w:val="008B31B9"/>
    <w:rsid w:val="008B45F7"/>
    <w:rsid w:val="008C02C2"/>
    <w:rsid w:val="008C6B63"/>
    <w:rsid w:val="008D05C9"/>
    <w:rsid w:val="008E466F"/>
    <w:rsid w:val="008F0566"/>
    <w:rsid w:val="008F2965"/>
    <w:rsid w:val="008F7BB3"/>
    <w:rsid w:val="009011E9"/>
    <w:rsid w:val="00910DE8"/>
    <w:rsid w:val="009153A2"/>
    <w:rsid w:val="00924D6D"/>
    <w:rsid w:val="00925CE6"/>
    <w:rsid w:val="00933ECD"/>
    <w:rsid w:val="00935B73"/>
    <w:rsid w:val="00940B68"/>
    <w:rsid w:val="009571E8"/>
    <w:rsid w:val="009709D5"/>
    <w:rsid w:val="00982A75"/>
    <w:rsid w:val="009A3CAC"/>
    <w:rsid w:val="009A4CA0"/>
    <w:rsid w:val="009B3006"/>
    <w:rsid w:val="009C60B5"/>
    <w:rsid w:val="009E5466"/>
    <w:rsid w:val="00A002DF"/>
    <w:rsid w:val="00A03264"/>
    <w:rsid w:val="00A113DF"/>
    <w:rsid w:val="00A24A4F"/>
    <w:rsid w:val="00A25A44"/>
    <w:rsid w:val="00A26783"/>
    <w:rsid w:val="00A343CA"/>
    <w:rsid w:val="00A40281"/>
    <w:rsid w:val="00A443BB"/>
    <w:rsid w:val="00A67BCE"/>
    <w:rsid w:val="00A7143D"/>
    <w:rsid w:val="00A733B8"/>
    <w:rsid w:val="00A80CA8"/>
    <w:rsid w:val="00A85632"/>
    <w:rsid w:val="00A907B7"/>
    <w:rsid w:val="00A93720"/>
    <w:rsid w:val="00A93A71"/>
    <w:rsid w:val="00AA57D6"/>
    <w:rsid w:val="00AB3748"/>
    <w:rsid w:val="00AB395F"/>
    <w:rsid w:val="00AC51CC"/>
    <w:rsid w:val="00AC713D"/>
    <w:rsid w:val="00AF600C"/>
    <w:rsid w:val="00B03A48"/>
    <w:rsid w:val="00B04F56"/>
    <w:rsid w:val="00B14AA0"/>
    <w:rsid w:val="00B178C2"/>
    <w:rsid w:val="00B21C49"/>
    <w:rsid w:val="00B313B4"/>
    <w:rsid w:val="00B44C4C"/>
    <w:rsid w:val="00B51EA8"/>
    <w:rsid w:val="00B77A36"/>
    <w:rsid w:val="00B90AEF"/>
    <w:rsid w:val="00B955D1"/>
    <w:rsid w:val="00B96260"/>
    <w:rsid w:val="00BA1563"/>
    <w:rsid w:val="00BA1663"/>
    <w:rsid w:val="00BA1FEF"/>
    <w:rsid w:val="00BC6999"/>
    <w:rsid w:val="00BC7DAF"/>
    <w:rsid w:val="00BF1B26"/>
    <w:rsid w:val="00BF3151"/>
    <w:rsid w:val="00BF5268"/>
    <w:rsid w:val="00C10D53"/>
    <w:rsid w:val="00C159BC"/>
    <w:rsid w:val="00C43FA2"/>
    <w:rsid w:val="00C46B2D"/>
    <w:rsid w:val="00C476C4"/>
    <w:rsid w:val="00C52AF1"/>
    <w:rsid w:val="00C54A6D"/>
    <w:rsid w:val="00C66509"/>
    <w:rsid w:val="00C74544"/>
    <w:rsid w:val="00C95CAD"/>
    <w:rsid w:val="00CA3DCC"/>
    <w:rsid w:val="00CA5B0C"/>
    <w:rsid w:val="00CD0C9F"/>
    <w:rsid w:val="00CD2A8A"/>
    <w:rsid w:val="00CD64C7"/>
    <w:rsid w:val="00CE1255"/>
    <w:rsid w:val="00CE4465"/>
    <w:rsid w:val="00CE66BB"/>
    <w:rsid w:val="00CF09AA"/>
    <w:rsid w:val="00CF7D4F"/>
    <w:rsid w:val="00D072DE"/>
    <w:rsid w:val="00D11AF9"/>
    <w:rsid w:val="00D129EF"/>
    <w:rsid w:val="00D17218"/>
    <w:rsid w:val="00D27125"/>
    <w:rsid w:val="00D35BFB"/>
    <w:rsid w:val="00D828D7"/>
    <w:rsid w:val="00D953CE"/>
    <w:rsid w:val="00DB3B37"/>
    <w:rsid w:val="00DB4ABF"/>
    <w:rsid w:val="00DD77F7"/>
    <w:rsid w:val="00DE0882"/>
    <w:rsid w:val="00DF16FF"/>
    <w:rsid w:val="00DF209A"/>
    <w:rsid w:val="00DF769D"/>
    <w:rsid w:val="00E14ACD"/>
    <w:rsid w:val="00E325F3"/>
    <w:rsid w:val="00E37B60"/>
    <w:rsid w:val="00E57117"/>
    <w:rsid w:val="00E7328A"/>
    <w:rsid w:val="00E7555D"/>
    <w:rsid w:val="00E93386"/>
    <w:rsid w:val="00E9497E"/>
    <w:rsid w:val="00E963E6"/>
    <w:rsid w:val="00EA02E6"/>
    <w:rsid w:val="00EB2B04"/>
    <w:rsid w:val="00EB3026"/>
    <w:rsid w:val="00EB4052"/>
    <w:rsid w:val="00EC2F44"/>
    <w:rsid w:val="00ED0311"/>
    <w:rsid w:val="00ED714B"/>
    <w:rsid w:val="00EE45C6"/>
    <w:rsid w:val="00F04DAD"/>
    <w:rsid w:val="00F113D8"/>
    <w:rsid w:val="00F1602B"/>
    <w:rsid w:val="00F246E1"/>
    <w:rsid w:val="00F5196E"/>
    <w:rsid w:val="00F53B97"/>
    <w:rsid w:val="00F703B2"/>
    <w:rsid w:val="00F7552D"/>
    <w:rsid w:val="00FB55E1"/>
    <w:rsid w:val="00FB700A"/>
    <w:rsid w:val="00FC02D4"/>
    <w:rsid w:val="00FD6362"/>
    <w:rsid w:val="00FE4ABA"/>
    <w:rsid w:val="00FF3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ADB05"/>
  <w15:docId w15:val="{90B5E81F-028D-7E42-A3D0-03CC09B8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4E0"/>
    <w:pPr>
      <w:suppressAutoHyphens/>
    </w:pPr>
  </w:style>
  <w:style w:type="paragraph" w:styleId="Heading1">
    <w:name w:val="heading 1"/>
    <w:basedOn w:val="Normal"/>
    <w:qFormat/>
    <w:rsid w:val="003C0D36"/>
    <w:pPr>
      <w:numPr>
        <w:numId w:val="27"/>
      </w:numPr>
      <w:spacing w:after="240"/>
      <w:jc w:val="both"/>
      <w:outlineLvl w:val="0"/>
    </w:pPr>
  </w:style>
  <w:style w:type="paragraph" w:styleId="Heading2">
    <w:name w:val="heading 2"/>
    <w:basedOn w:val="Normal"/>
    <w:qFormat/>
    <w:rsid w:val="003C0D36"/>
    <w:pPr>
      <w:numPr>
        <w:ilvl w:val="1"/>
        <w:numId w:val="27"/>
      </w:numPr>
      <w:spacing w:after="240"/>
      <w:jc w:val="both"/>
      <w:outlineLvl w:val="1"/>
    </w:pPr>
  </w:style>
  <w:style w:type="paragraph" w:styleId="Heading3">
    <w:name w:val="heading 3"/>
    <w:basedOn w:val="Normal"/>
    <w:qFormat/>
    <w:rsid w:val="003C0D36"/>
    <w:pPr>
      <w:numPr>
        <w:ilvl w:val="2"/>
        <w:numId w:val="27"/>
      </w:numPr>
      <w:spacing w:after="240"/>
      <w:jc w:val="both"/>
      <w:outlineLvl w:val="2"/>
    </w:pPr>
  </w:style>
  <w:style w:type="paragraph" w:styleId="Heading4">
    <w:name w:val="heading 4"/>
    <w:basedOn w:val="Normal"/>
    <w:qFormat/>
    <w:rsid w:val="003C0D36"/>
    <w:pPr>
      <w:numPr>
        <w:ilvl w:val="3"/>
        <w:numId w:val="27"/>
      </w:numPr>
      <w:spacing w:after="240"/>
      <w:jc w:val="both"/>
      <w:outlineLvl w:val="3"/>
    </w:pPr>
  </w:style>
  <w:style w:type="paragraph" w:styleId="Heading5">
    <w:name w:val="heading 5"/>
    <w:basedOn w:val="Normal"/>
    <w:qFormat/>
    <w:rsid w:val="003C0D36"/>
    <w:pPr>
      <w:numPr>
        <w:ilvl w:val="4"/>
        <w:numId w:val="27"/>
      </w:numPr>
      <w:spacing w:after="240"/>
      <w:jc w:val="both"/>
      <w:outlineLvl w:val="4"/>
    </w:pPr>
  </w:style>
  <w:style w:type="paragraph" w:styleId="Heading6">
    <w:name w:val="heading 6"/>
    <w:basedOn w:val="Normal"/>
    <w:qFormat/>
    <w:rsid w:val="003C0D36"/>
    <w:pPr>
      <w:numPr>
        <w:ilvl w:val="5"/>
        <w:numId w:val="27"/>
      </w:numPr>
      <w:spacing w:after="240"/>
      <w:jc w:val="both"/>
      <w:outlineLvl w:val="5"/>
    </w:pPr>
  </w:style>
  <w:style w:type="paragraph" w:styleId="Heading7">
    <w:name w:val="heading 7"/>
    <w:basedOn w:val="Normal"/>
    <w:qFormat/>
    <w:rsid w:val="003C0D36"/>
    <w:pPr>
      <w:numPr>
        <w:ilvl w:val="6"/>
        <w:numId w:val="27"/>
      </w:numPr>
      <w:spacing w:after="240"/>
      <w:jc w:val="both"/>
      <w:outlineLvl w:val="6"/>
    </w:pPr>
  </w:style>
  <w:style w:type="paragraph" w:styleId="Heading8">
    <w:name w:val="heading 8"/>
    <w:basedOn w:val="Normal"/>
    <w:qFormat/>
    <w:rsid w:val="003C0D36"/>
    <w:pPr>
      <w:numPr>
        <w:ilvl w:val="7"/>
        <w:numId w:val="27"/>
      </w:numPr>
      <w:spacing w:after="240"/>
      <w:jc w:val="both"/>
      <w:outlineLvl w:val="7"/>
    </w:pPr>
  </w:style>
  <w:style w:type="paragraph" w:styleId="Heading9">
    <w:name w:val="heading 9"/>
    <w:basedOn w:val="Normal"/>
    <w:qFormat/>
    <w:rsid w:val="003C0D36"/>
    <w:pPr>
      <w:numPr>
        <w:ilvl w:val="8"/>
        <w:numId w:val="27"/>
      </w:numPr>
      <w:spacing w:after="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4E64E0"/>
    <w:pPr>
      <w:keepLines/>
      <w:tabs>
        <w:tab w:val="left" w:pos="4680"/>
        <w:tab w:val="left" w:pos="9360"/>
      </w:tabs>
      <w:spacing w:after="480"/>
      <w:ind w:left="3600"/>
    </w:pPr>
  </w:style>
  <w:style w:type="paragraph" w:customStyle="1" w:styleId="Addressee">
    <w:name w:val="Addressee"/>
    <w:basedOn w:val="Normal"/>
    <w:rsid w:val="004E64E0"/>
    <w:pPr>
      <w:tabs>
        <w:tab w:val="left" w:pos="1440"/>
      </w:tabs>
      <w:spacing w:after="240"/>
    </w:pPr>
  </w:style>
  <w:style w:type="paragraph" w:customStyle="1" w:styleId="Bod">
    <w:name w:val="Bod"/>
    <w:basedOn w:val="Normal"/>
    <w:rsid w:val="004E64E0"/>
    <w:pPr>
      <w:spacing w:after="240"/>
      <w:ind w:firstLine="1440"/>
      <w:jc w:val="both"/>
    </w:pPr>
  </w:style>
  <w:style w:type="paragraph" w:styleId="BodyText">
    <w:name w:val="Body Text"/>
    <w:basedOn w:val="Normal"/>
    <w:rsid w:val="004E64E0"/>
    <w:pPr>
      <w:spacing w:after="120"/>
    </w:pPr>
  </w:style>
  <w:style w:type="paragraph" w:customStyle="1" w:styleId="bullet">
    <w:name w:val="bullet"/>
    <w:basedOn w:val="Normal"/>
    <w:rsid w:val="004E64E0"/>
    <w:pPr>
      <w:numPr>
        <w:numId w:val="1"/>
      </w:numPr>
      <w:tabs>
        <w:tab w:val="clear" w:pos="360"/>
      </w:tabs>
      <w:ind w:left="0" w:firstLine="0"/>
    </w:pPr>
    <w:rPr>
      <w:sz w:val="20"/>
    </w:rPr>
  </w:style>
  <w:style w:type="paragraph" w:customStyle="1" w:styleId="bullet2">
    <w:name w:val="bullet2"/>
    <w:basedOn w:val="bullet"/>
    <w:rsid w:val="004E64E0"/>
    <w:pPr>
      <w:numPr>
        <w:numId w:val="2"/>
      </w:numPr>
      <w:tabs>
        <w:tab w:val="clear" w:pos="360"/>
      </w:tabs>
      <w:spacing w:after="240"/>
      <w:ind w:left="0" w:firstLine="0"/>
    </w:pPr>
  </w:style>
  <w:style w:type="paragraph" w:customStyle="1" w:styleId="Center">
    <w:name w:val="Center"/>
    <w:basedOn w:val="Normal"/>
    <w:rsid w:val="004E64E0"/>
    <w:pPr>
      <w:keepNext/>
      <w:spacing w:after="240"/>
      <w:jc w:val="center"/>
    </w:pPr>
  </w:style>
  <w:style w:type="paragraph" w:customStyle="1" w:styleId="Company-1">
    <w:name w:val="Company-1"/>
    <w:basedOn w:val="Normal"/>
    <w:next w:val="Normal"/>
    <w:rsid w:val="004E64E0"/>
    <w:pPr>
      <w:keepLines/>
      <w:tabs>
        <w:tab w:val="left" w:pos="5310"/>
        <w:tab w:val="left" w:pos="9360"/>
      </w:tabs>
      <w:spacing w:after="480"/>
      <w:ind w:left="4680"/>
    </w:pPr>
  </w:style>
  <w:style w:type="paragraph" w:customStyle="1" w:styleId="Company-2">
    <w:name w:val="Company-2"/>
    <w:basedOn w:val="Normal"/>
    <w:next w:val="Normal"/>
    <w:rsid w:val="004E64E0"/>
    <w:pPr>
      <w:keepLines/>
      <w:tabs>
        <w:tab w:val="left" w:pos="630"/>
        <w:tab w:val="left" w:pos="4140"/>
        <w:tab w:val="left" w:pos="4680"/>
        <w:tab w:val="left" w:pos="5310"/>
        <w:tab w:val="left" w:pos="9270"/>
      </w:tabs>
      <w:spacing w:after="480"/>
    </w:pPr>
  </w:style>
  <w:style w:type="paragraph" w:styleId="Footer">
    <w:name w:val="footer"/>
    <w:basedOn w:val="Normal"/>
    <w:rsid w:val="004E64E0"/>
    <w:pPr>
      <w:tabs>
        <w:tab w:val="center" w:pos="4680"/>
        <w:tab w:val="right" w:pos="9360"/>
      </w:tabs>
    </w:pPr>
    <w:rPr>
      <w:sz w:val="16"/>
    </w:rPr>
  </w:style>
  <w:style w:type="paragraph" w:customStyle="1" w:styleId="Head">
    <w:name w:val="Head"/>
    <w:basedOn w:val="Normal"/>
    <w:next w:val="Bod"/>
    <w:rsid w:val="004E64E0"/>
    <w:pPr>
      <w:keepNext/>
      <w:tabs>
        <w:tab w:val="left" w:pos="0"/>
      </w:tabs>
      <w:spacing w:after="240"/>
    </w:pPr>
    <w:rPr>
      <w:rFonts w:ascii="Times New Roman Bold" w:hAnsi="Times New Roman Bold"/>
      <w:b/>
      <w:sz w:val="20"/>
    </w:rPr>
  </w:style>
  <w:style w:type="paragraph" w:customStyle="1" w:styleId="Head1">
    <w:name w:val="Head1"/>
    <w:basedOn w:val="Normal"/>
    <w:rsid w:val="004E64E0"/>
    <w:pPr>
      <w:keepNext/>
      <w:tabs>
        <w:tab w:val="left" w:pos="0"/>
      </w:tabs>
      <w:spacing w:after="240"/>
    </w:pPr>
    <w:rPr>
      <w:rFonts w:ascii="Times New Roman Bold" w:hAnsi="Times New Roman Bold"/>
      <w:b/>
    </w:rPr>
  </w:style>
  <w:style w:type="paragraph" w:customStyle="1" w:styleId="Head1Text">
    <w:name w:val="Head1Text"/>
    <w:basedOn w:val="Normal"/>
    <w:next w:val="Heading2"/>
    <w:rsid w:val="004E64E0"/>
    <w:pPr>
      <w:keepNext/>
      <w:spacing w:before="120" w:after="240"/>
      <w:jc w:val="center"/>
    </w:pPr>
  </w:style>
  <w:style w:type="paragraph" w:customStyle="1" w:styleId="Head2">
    <w:name w:val="Head2"/>
    <w:basedOn w:val="Normal"/>
    <w:next w:val="Bod"/>
    <w:rsid w:val="004E64E0"/>
    <w:pPr>
      <w:keepNext/>
      <w:tabs>
        <w:tab w:val="left" w:pos="0"/>
      </w:tabs>
      <w:spacing w:after="240"/>
    </w:pPr>
    <w:rPr>
      <w:rFonts w:ascii="Times New Roman Bold" w:hAnsi="Times New Roman Bold"/>
      <w:b/>
      <w:sz w:val="20"/>
    </w:rPr>
  </w:style>
  <w:style w:type="paragraph" w:customStyle="1" w:styleId="MainTitle">
    <w:name w:val="MainTitle"/>
    <w:basedOn w:val="Normal"/>
    <w:next w:val="Normal"/>
    <w:rsid w:val="004E64E0"/>
    <w:pPr>
      <w:keepNext/>
      <w:spacing w:after="600"/>
      <w:jc w:val="center"/>
    </w:pPr>
    <w:rPr>
      <w:caps/>
    </w:rPr>
  </w:style>
  <w:style w:type="character" w:styleId="PageNumber">
    <w:name w:val="page number"/>
    <w:rsid w:val="004E64E0"/>
    <w:rPr>
      <w:rFonts w:ascii="Times New Roman" w:hAnsi="Times New Roman"/>
      <w:sz w:val="24"/>
    </w:rPr>
  </w:style>
  <w:style w:type="paragraph" w:customStyle="1" w:styleId="Plain">
    <w:name w:val="Plain"/>
    <w:basedOn w:val="Normal"/>
    <w:rsid w:val="004E64E0"/>
    <w:pPr>
      <w:spacing w:after="240"/>
      <w:jc w:val="both"/>
    </w:pPr>
  </w:style>
  <w:style w:type="table" w:styleId="TableGrid">
    <w:name w:val="Table Grid"/>
    <w:basedOn w:val="TableNormal"/>
    <w:rsid w:val="00AA57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45224"/>
    <w:rPr>
      <w:i/>
      <w:iCs/>
    </w:rPr>
  </w:style>
  <w:style w:type="character" w:styleId="Hyperlink">
    <w:name w:val="Hyperlink"/>
    <w:rsid w:val="00F5196E"/>
    <w:rPr>
      <w:color w:val="0000FF"/>
      <w:u w:val="single"/>
    </w:rPr>
  </w:style>
  <w:style w:type="paragraph" w:styleId="BalloonText">
    <w:name w:val="Balloon Text"/>
    <w:basedOn w:val="Normal"/>
    <w:semiHidden/>
    <w:rsid w:val="00E963E6"/>
    <w:rPr>
      <w:rFonts w:ascii="Tahoma" w:hAnsi="Tahoma" w:cs="Tahoma"/>
      <w:sz w:val="16"/>
      <w:szCs w:val="16"/>
    </w:rPr>
  </w:style>
  <w:style w:type="character" w:styleId="FollowedHyperlink">
    <w:name w:val="FollowedHyperlink"/>
    <w:basedOn w:val="DefaultParagraphFont"/>
    <w:rsid w:val="00CD2A8A"/>
    <w:rPr>
      <w:color w:val="800080" w:themeColor="followedHyperlink"/>
      <w:u w:val="single"/>
    </w:rPr>
  </w:style>
  <w:style w:type="paragraph" w:styleId="ListParagraph">
    <w:name w:val="List Paragraph"/>
    <w:basedOn w:val="Normal"/>
    <w:uiPriority w:val="34"/>
    <w:qFormat/>
    <w:rsid w:val="00CA3DCC"/>
    <w:pPr>
      <w:ind w:left="720"/>
      <w:contextualSpacing/>
    </w:pPr>
    <w:rPr>
      <w:szCs w:val="20"/>
    </w:rPr>
  </w:style>
  <w:style w:type="character" w:styleId="UnresolvedMention">
    <w:name w:val="Unresolved Mention"/>
    <w:basedOn w:val="DefaultParagraphFont"/>
    <w:uiPriority w:val="99"/>
    <w:semiHidden/>
    <w:unhideWhenUsed/>
    <w:rsid w:val="00B90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95410">
      <w:bodyDiv w:val="1"/>
      <w:marLeft w:val="0"/>
      <w:marRight w:val="0"/>
      <w:marTop w:val="0"/>
      <w:marBottom w:val="0"/>
      <w:divBdr>
        <w:top w:val="none" w:sz="0" w:space="0" w:color="auto"/>
        <w:left w:val="none" w:sz="0" w:space="0" w:color="auto"/>
        <w:bottom w:val="none" w:sz="0" w:space="0" w:color="auto"/>
        <w:right w:val="none" w:sz="0" w:space="0" w:color="auto"/>
      </w:divBdr>
    </w:div>
    <w:div w:id="102540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wsj.net/l6mG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Syllabus - internal</vt:lpstr>
    </vt:vector>
  </TitlesOfParts>
  <Company>Gunderson Dettmer</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internal</dc:title>
  <dc:subject/>
  <dc:creator>Bobby Bartlett</dc:creator>
  <cp:keywords/>
  <dc:description/>
  <cp:lastModifiedBy>Robert Bartlett</cp:lastModifiedBy>
  <cp:revision>9</cp:revision>
  <cp:lastPrinted>2012-01-10T00:47:00Z</cp:lastPrinted>
  <dcterms:created xsi:type="dcterms:W3CDTF">2020-01-08T19:44:00Z</dcterms:created>
  <dcterms:modified xsi:type="dcterms:W3CDTF">2020-01-09T19:21:00Z</dcterms:modified>
</cp:coreProperties>
</file>