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EEAB" w14:textId="77777777" w:rsidR="00806D78" w:rsidRDefault="00806D78" w:rsidP="00806D78">
      <w:pPr>
        <w:jc w:val="center"/>
      </w:pPr>
      <w:r>
        <w:t>DRAFT (Nov. 5, 2019)</w:t>
      </w:r>
    </w:p>
    <w:p w14:paraId="1619FD23" w14:textId="2DB61275" w:rsidR="00041AC6" w:rsidRDefault="00041AC6">
      <w:r>
        <w:t>Civil Procedure for LLM Students</w:t>
      </w:r>
    </w:p>
    <w:p w14:paraId="7E10F1BE" w14:textId="77777777" w:rsidR="007B3304" w:rsidRDefault="00041AC6">
      <w:r>
        <w:t>Spring 2020 Syllabus</w:t>
      </w:r>
    </w:p>
    <w:p w14:paraId="6B16F18B" w14:textId="77777777" w:rsidR="00041AC6" w:rsidRDefault="00041AC6"/>
    <w:p w14:paraId="6A3D5482" w14:textId="77777777" w:rsidR="006131B8" w:rsidRDefault="006131B8" w:rsidP="006131B8">
      <w:pPr>
        <w:rPr>
          <w:rFonts w:ascii="Times New Roman" w:eastAsia="Times New Roman" w:hAnsi="Times New Roman" w:cs="Times New Roman"/>
        </w:rPr>
      </w:pPr>
      <w:r>
        <w:rPr>
          <w:rFonts w:ascii="Times New Roman" w:eastAsia="Times New Roman" w:hAnsi="Times New Roman" w:cs="Times New Roman"/>
        </w:rPr>
        <w:t>Civil P</w:t>
      </w:r>
      <w:r w:rsidRPr="000D3FB4">
        <w:rPr>
          <w:rFonts w:ascii="Times New Roman" w:eastAsia="Times New Roman" w:hAnsi="Times New Roman" w:cs="Times New Roman"/>
        </w:rPr>
        <w:t>rocedure</w:t>
      </w:r>
      <w:r>
        <w:rPr>
          <w:rFonts w:ascii="Times New Roman" w:eastAsia="Times New Roman" w:hAnsi="Times New Roman" w:cs="Times New Roman"/>
        </w:rPr>
        <w:t xml:space="preserve"> for LLM Students </w:t>
      </w:r>
      <w:r w:rsidRPr="000D3FB4">
        <w:rPr>
          <w:rFonts w:ascii="Times New Roman" w:eastAsia="Times New Roman" w:hAnsi="Times New Roman" w:cs="Times New Roman"/>
        </w:rPr>
        <w:t>is the study of our civil (non-criminal) dispute resolution system, with an emphasis on li</w:t>
      </w:r>
      <w:r>
        <w:rPr>
          <w:rFonts w:ascii="Times New Roman" w:eastAsia="Times New Roman" w:hAnsi="Times New Roman" w:cs="Times New Roman"/>
        </w:rPr>
        <w:t>tigation in the federal courts, as regulated by the Federal Rules of Civil Procedure (FRCP). We will cover pleadings, subject matter jurisdiction, personal jurisdiction, joinder of parties and claims (including class actions), discovery, dispositive pre-trial and trial motions, the preclusive effect of prior litigation, settlement of disputes, and alternatives to civil litigation.</w:t>
      </w:r>
      <w:r w:rsidRPr="000D3FB4">
        <w:rPr>
          <w:rFonts w:ascii="Times New Roman" w:eastAsia="Times New Roman" w:hAnsi="Times New Roman" w:cs="Times New Roman"/>
        </w:rPr>
        <w:t xml:space="preserve"> </w:t>
      </w:r>
    </w:p>
    <w:p w14:paraId="4DDFF889" w14:textId="77777777" w:rsidR="006131B8" w:rsidRDefault="006131B8" w:rsidP="006131B8">
      <w:pPr>
        <w:rPr>
          <w:rFonts w:ascii="Times New Roman" w:eastAsia="Times New Roman" w:hAnsi="Times New Roman" w:cs="Times New Roman"/>
        </w:rPr>
      </w:pPr>
    </w:p>
    <w:p w14:paraId="244E7C88" w14:textId="46217FA5" w:rsidR="006131B8" w:rsidRDefault="006131B8" w:rsidP="006131B8">
      <w:pPr>
        <w:rPr>
          <w:rFonts w:ascii="Times New Roman" w:eastAsia="Times New Roman" w:hAnsi="Times New Roman" w:cs="Times New Roman"/>
        </w:rPr>
      </w:pPr>
      <w:r>
        <w:rPr>
          <w:rFonts w:ascii="Times New Roman" w:eastAsia="Times New Roman" w:hAnsi="Times New Roman" w:cs="Times New Roman"/>
        </w:rPr>
        <w:t>At the surface, this is a survey of the U.S. litigation system, and will introduce students to many of the civil procedure issues tested on the New York, California, and Multi-State bar exams. It is</w:t>
      </w:r>
      <w:r w:rsidR="004244F4">
        <w:rPr>
          <w:rFonts w:ascii="Times New Roman" w:eastAsia="Times New Roman" w:hAnsi="Times New Roman" w:cs="Times New Roman"/>
        </w:rPr>
        <w:t xml:space="preserve"> not </w:t>
      </w:r>
      <w:r>
        <w:rPr>
          <w:rFonts w:ascii="Times New Roman" w:eastAsia="Times New Roman" w:hAnsi="Times New Roman" w:cs="Times New Roman"/>
        </w:rPr>
        <w:t>a bar review course, but it will introduce many of the civil procedure subjects covered by the bar.</w:t>
      </w:r>
    </w:p>
    <w:p w14:paraId="720C424C" w14:textId="77777777" w:rsidR="006131B8" w:rsidRDefault="006131B8" w:rsidP="006131B8">
      <w:pPr>
        <w:rPr>
          <w:rFonts w:ascii="Times New Roman" w:eastAsia="Times New Roman" w:hAnsi="Times New Roman" w:cs="Times New Roman"/>
        </w:rPr>
      </w:pPr>
    </w:p>
    <w:p w14:paraId="5B585618" w14:textId="77777777" w:rsidR="006131B8" w:rsidRDefault="006131B8" w:rsidP="006131B8">
      <w:pPr>
        <w:rPr>
          <w:rFonts w:ascii="Times New Roman" w:eastAsia="Times New Roman" w:hAnsi="Times New Roman" w:cs="Times New Roman"/>
        </w:rPr>
      </w:pPr>
      <w:r>
        <w:rPr>
          <w:rFonts w:ascii="Times New Roman" w:eastAsia="Times New Roman" w:hAnsi="Times New Roman" w:cs="Times New Roman"/>
        </w:rPr>
        <w:t xml:space="preserve">At a deeper level, this is a comparative law class that compares multiple systems of dispute resolution, with much of the material supplied by the students from their experiences studying and practicing in many disparate legal systems. And for many students (and the instructor) it is an exploration of how common law lawyers and judges apply a common law approach to reading a code. </w:t>
      </w:r>
    </w:p>
    <w:p w14:paraId="66EBB38E" w14:textId="77777777" w:rsidR="006131B8" w:rsidRDefault="006131B8" w:rsidP="006131B8">
      <w:pPr>
        <w:rPr>
          <w:rFonts w:ascii="Times New Roman" w:eastAsia="Times New Roman" w:hAnsi="Times New Roman" w:cs="Times New Roman"/>
        </w:rPr>
      </w:pPr>
    </w:p>
    <w:p w14:paraId="7B542A72" w14:textId="77777777" w:rsidR="006131B8" w:rsidRDefault="006131B8" w:rsidP="006131B8">
      <w:pPr>
        <w:rPr>
          <w:rFonts w:ascii="Times New Roman" w:eastAsia="Times New Roman" w:hAnsi="Times New Roman" w:cs="Times New Roman"/>
        </w:rPr>
      </w:pPr>
      <w:r>
        <w:rPr>
          <w:rFonts w:ascii="Times New Roman" w:eastAsia="Times New Roman" w:hAnsi="Times New Roman" w:cs="Times New Roman"/>
        </w:rPr>
        <w:t xml:space="preserve">To place the course material in context, and provide opportunities for formative assessment, we will follow a simulated case over the course of the semester, and will conduct several advocacy exercises. </w:t>
      </w:r>
    </w:p>
    <w:p w14:paraId="66ED4BC7" w14:textId="77777777" w:rsidR="006131B8" w:rsidRDefault="006131B8" w:rsidP="006131B8">
      <w:pPr>
        <w:rPr>
          <w:rFonts w:ascii="Times New Roman" w:eastAsia="Times New Roman" w:hAnsi="Times New Roman" w:cs="Times New Roman"/>
        </w:rPr>
      </w:pPr>
    </w:p>
    <w:p w14:paraId="3880EE94" w14:textId="77777777" w:rsidR="006131B8" w:rsidRDefault="006131B8" w:rsidP="006131B8">
      <w:pPr>
        <w:rPr>
          <w:rFonts w:ascii="Times New Roman" w:eastAsia="Times New Roman" w:hAnsi="Times New Roman" w:cs="Times New Roman"/>
        </w:rPr>
      </w:pPr>
      <w:r>
        <w:rPr>
          <w:rFonts w:ascii="Times New Roman" w:eastAsia="Times New Roman" w:hAnsi="Times New Roman" w:cs="Times New Roman"/>
        </w:rPr>
        <w:t>There will be two take-home mid-term exams, and a take-home final exam.</w:t>
      </w:r>
    </w:p>
    <w:p w14:paraId="454D8313" w14:textId="77777777" w:rsidR="006131B8" w:rsidRDefault="006131B8" w:rsidP="006131B8">
      <w:pPr>
        <w:rPr>
          <w:rFonts w:ascii="Times New Roman" w:eastAsia="Times New Roman" w:hAnsi="Times New Roman" w:cs="Times New Roman"/>
        </w:rPr>
      </w:pPr>
    </w:p>
    <w:p w14:paraId="49AA4B8A" w14:textId="77777777" w:rsidR="006131B8" w:rsidRDefault="006131B8" w:rsidP="006131B8"/>
    <w:p w14:paraId="2520CC98" w14:textId="77777777" w:rsidR="006131B8" w:rsidRDefault="006131B8">
      <w:r>
        <w:t>Reading Assignments:</w:t>
      </w:r>
    </w:p>
    <w:p w14:paraId="7655A66D" w14:textId="77777777" w:rsidR="006131B8" w:rsidRDefault="006131B8"/>
    <w:p w14:paraId="4EDEA12D" w14:textId="77777777" w:rsidR="00041AC6" w:rsidRDefault="00041AC6">
      <w:r>
        <w:t>Winter Break:</w:t>
      </w:r>
    </w:p>
    <w:p w14:paraId="4DDA25AC" w14:textId="171A8F2F" w:rsidR="00041AC6" w:rsidRDefault="00041AC6">
      <w:r>
        <w:t xml:space="preserve">Read </w:t>
      </w:r>
      <w:r w:rsidR="004244F4" w:rsidRPr="004244F4">
        <w:rPr>
          <w:i/>
        </w:rPr>
        <w:t>T</w:t>
      </w:r>
      <w:r w:rsidRPr="004244F4">
        <w:rPr>
          <w:i/>
        </w:rPr>
        <w:t>he Buffalo Creek Disaster</w:t>
      </w:r>
    </w:p>
    <w:p w14:paraId="44E407A8" w14:textId="77777777" w:rsidR="00041AC6" w:rsidRDefault="00041AC6"/>
    <w:p w14:paraId="7B069F81" w14:textId="77777777" w:rsidR="006131B8" w:rsidRDefault="006131B8">
      <w:r>
        <w:t>Class 1:</w:t>
      </w:r>
    </w:p>
    <w:p w14:paraId="48221225" w14:textId="77777777" w:rsidR="00041AC6" w:rsidRDefault="00041AC6">
      <w:r>
        <w:t>FRCP Rules 1, 2, 3, 8(a), 8(d), 12(b)(6)</w:t>
      </w:r>
    </w:p>
    <w:p w14:paraId="5E1F0010" w14:textId="4F9BC7E3" w:rsidR="006131B8" w:rsidRDefault="006131B8">
      <w:r>
        <w:t>Casebook pp 433-435, 462-471</w:t>
      </w:r>
      <w:r w:rsidR="002E210D">
        <w:t xml:space="preserve"> (11 pages)</w:t>
      </w:r>
    </w:p>
    <w:p w14:paraId="665251DB" w14:textId="77777777" w:rsidR="006131B8" w:rsidRDefault="006131B8"/>
    <w:p w14:paraId="7F1B3BE9" w14:textId="77777777" w:rsidR="006131B8" w:rsidRDefault="006131B8">
      <w:r>
        <w:t>Class 2:</w:t>
      </w:r>
    </w:p>
    <w:p w14:paraId="52D6556D" w14:textId="77777777" w:rsidR="006131B8" w:rsidRDefault="006131B8">
      <w:r>
        <w:t>FRCP Rules 8(a), 8(d), 12(b)(6)</w:t>
      </w:r>
    </w:p>
    <w:p w14:paraId="03981323" w14:textId="77777777" w:rsidR="00C55AE9" w:rsidRDefault="00C55AE9">
      <w:r>
        <w:t>Patt v. Donner pp. 1-36</w:t>
      </w:r>
    </w:p>
    <w:p w14:paraId="7C22E5B3" w14:textId="2ADD7A7C" w:rsidR="006131B8" w:rsidRDefault="006131B8">
      <w:r>
        <w:t>Casebook pp. 471-496</w:t>
      </w:r>
      <w:r w:rsidR="002E210D">
        <w:t xml:space="preserve"> (25 pages)</w:t>
      </w:r>
    </w:p>
    <w:p w14:paraId="61D308E0" w14:textId="77777777" w:rsidR="00C55AE9" w:rsidRDefault="00C55AE9"/>
    <w:p w14:paraId="78085529" w14:textId="77777777" w:rsidR="00C55AE9" w:rsidRDefault="00C55AE9">
      <w:r>
        <w:t>Advocacy exercise #1</w:t>
      </w:r>
    </w:p>
    <w:p w14:paraId="72B7F349" w14:textId="77777777" w:rsidR="006131B8" w:rsidRDefault="006131B8"/>
    <w:p w14:paraId="15FD3F38" w14:textId="77777777" w:rsidR="00C55AE9" w:rsidRDefault="00C55AE9"/>
    <w:p w14:paraId="2F6EF906" w14:textId="77777777" w:rsidR="006131B8" w:rsidRDefault="006131B8">
      <w:r>
        <w:t>Class 3:</w:t>
      </w:r>
    </w:p>
    <w:p w14:paraId="4F541F10" w14:textId="77777777" w:rsidR="00C55AE9" w:rsidRDefault="00C55AE9" w:rsidP="00C55AE9">
      <w:r>
        <w:t>FRCP Rules 8(a), 8(d), 12(b)(6)</w:t>
      </w:r>
    </w:p>
    <w:p w14:paraId="69389861" w14:textId="3D6A62B6" w:rsidR="00C55AE9" w:rsidRDefault="00C55AE9" w:rsidP="00C55AE9">
      <w:r>
        <w:t>Casebook pp. 533-535</w:t>
      </w:r>
      <w:r w:rsidR="002E210D">
        <w:t xml:space="preserve"> (2 pages plus Citibank case)</w:t>
      </w:r>
    </w:p>
    <w:p w14:paraId="3B3AACD6" w14:textId="77777777" w:rsidR="00C55AE9" w:rsidRDefault="00C55AE9" w:rsidP="00C55AE9">
      <w:pPr>
        <w:widowControl w:val="0"/>
      </w:pPr>
      <w:r w:rsidRPr="009977CC">
        <w:rPr>
          <w:i/>
        </w:rPr>
        <w:t>Swanson v. Citibank</w:t>
      </w:r>
      <w:r>
        <w:t xml:space="preserve">, 614 F.3d 400 (2010),  </w:t>
      </w:r>
      <w:hyperlink r:id="rId4" w:history="1">
        <w:r w:rsidRPr="00EC0AF5">
          <w:rPr>
            <w:rStyle w:val="Hyperlink"/>
          </w:rPr>
          <w:t>https://www.courtlistener.com/opinion/151889/swanson-v-citibank-na/</w:t>
        </w:r>
      </w:hyperlink>
    </w:p>
    <w:p w14:paraId="55056149" w14:textId="77777777" w:rsidR="00C55AE9" w:rsidRDefault="00C55AE9" w:rsidP="00C55AE9">
      <w:pPr>
        <w:widowControl w:val="0"/>
        <w:ind w:firstLine="720"/>
      </w:pPr>
    </w:p>
    <w:p w14:paraId="4A721BAA" w14:textId="77777777" w:rsidR="006131B8" w:rsidRDefault="00C55AE9">
      <w:r>
        <w:t>Class 4:</w:t>
      </w:r>
    </w:p>
    <w:p w14:paraId="169C230D" w14:textId="77777777" w:rsidR="00C55AE9" w:rsidRDefault="00C55AE9">
      <w:r>
        <w:t>FRCP Rule 11</w:t>
      </w:r>
    </w:p>
    <w:p w14:paraId="7EF95879" w14:textId="13D29B2D" w:rsidR="00C55AE9" w:rsidRDefault="00C55AE9" w:rsidP="00C55AE9">
      <w:pPr>
        <w:widowControl w:val="0"/>
      </w:pPr>
      <w:r>
        <w:t xml:space="preserve">Casebook </w:t>
      </w:r>
      <w:r w:rsidR="003B77F5">
        <w:t xml:space="preserve">pp. </w:t>
      </w:r>
      <w:r>
        <w:t>509-519, 526-532</w:t>
      </w:r>
      <w:r w:rsidR="002E210D">
        <w:t xml:space="preserve"> (23 pages)</w:t>
      </w:r>
    </w:p>
    <w:p w14:paraId="3EC42759" w14:textId="77777777" w:rsidR="00C55AE9" w:rsidRDefault="00C55AE9" w:rsidP="00C55AE9">
      <w:pPr>
        <w:widowControl w:val="0"/>
      </w:pPr>
      <w:r>
        <w:t>Patt v. Donner pp. 65-73</w:t>
      </w:r>
    </w:p>
    <w:p w14:paraId="062651E2" w14:textId="77777777" w:rsidR="00C55AE9" w:rsidRDefault="00C55AE9" w:rsidP="00C55AE9">
      <w:pPr>
        <w:widowControl w:val="0"/>
      </w:pPr>
    </w:p>
    <w:p w14:paraId="783B316A" w14:textId="5AC3E7CE" w:rsidR="00BD4D50" w:rsidRDefault="00BD4D50" w:rsidP="00C55AE9">
      <w:pPr>
        <w:widowControl w:val="0"/>
      </w:pPr>
      <w:r>
        <w:t>Advocacy Exercise 2</w:t>
      </w:r>
    </w:p>
    <w:p w14:paraId="634973EF" w14:textId="77777777" w:rsidR="00BD4D50" w:rsidRDefault="00BD4D50" w:rsidP="00C55AE9">
      <w:pPr>
        <w:widowControl w:val="0"/>
      </w:pPr>
    </w:p>
    <w:p w14:paraId="072008B2" w14:textId="11E397F6" w:rsidR="00C55AE9" w:rsidRDefault="00C55AE9" w:rsidP="00C55AE9">
      <w:pPr>
        <w:widowControl w:val="0"/>
      </w:pPr>
      <w:r>
        <w:t>Class 5:</w:t>
      </w:r>
    </w:p>
    <w:p w14:paraId="72FA53FA" w14:textId="32184DD1" w:rsidR="00C55AE9" w:rsidRDefault="001E5243" w:rsidP="00C55AE9">
      <w:pPr>
        <w:widowControl w:val="0"/>
      </w:pPr>
      <w:r>
        <w:t>The subject matter jurisdiction of the federal courts I</w:t>
      </w:r>
      <w:r w:rsidR="003B77F5">
        <w:t xml:space="preserve">: </w:t>
      </w:r>
      <w:r w:rsidR="001C372F">
        <w:t>F</w:t>
      </w:r>
      <w:r>
        <w:t xml:space="preserve">ederal </w:t>
      </w:r>
      <w:r w:rsidR="001C372F">
        <w:t>Q</w:t>
      </w:r>
      <w:r>
        <w:t>u</w:t>
      </w:r>
      <w:r w:rsidR="003B77F5">
        <w:t>estion</w:t>
      </w:r>
      <w:r w:rsidR="001C372F">
        <w:t xml:space="preserve"> Jurisdiction</w:t>
      </w:r>
    </w:p>
    <w:p w14:paraId="08748A52" w14:textId="2A4DDA3D" w:rsidR="001C372F" w:rsidRDefault="003B77F5" w:rsidP="00C55AE9">
      <w:pPr>
        <w:widowControl w:val="0"/>
      </w:pPr>
      <w:r>
        <w:t>28 United States Code (USC) S 1331</w:t>
      </w:r>
    </w:p>
    <w:p w14:paraId="07BA1E05" w14:textId="1A216BB5" w:rsidR="003B77F5" w:rsidRDefault="003B77F5" w:rsidP="00C55AE9">
      <w:pPr>
        <w:widowControl w:val="0"/>
      </w:pPr>
      <w:r>
        <w:t>Casebook pp. 222-231, 238-242</w:t>
      </w:r>
      <w:r w:rsidR="002E210D">
        <w:t xml:space="preserve"> (13 pages)</w:t>
      </w:r>
    </w:p>
    <w:p w14:paraId="7EA03032" w14:textId="77777777" w:rsidR="003B77F5" w:rsidRDefault="003B77F5" w:rsidP="00C55AE9">
      <w:pPr>
        <w:widowControl w:val="0"/>
      </w:pPr>
    </w:p>
    <w:p w14:paraId="79EB1FDC" w14:textId="799EF31A" w:rsidR="001C372F" w:rsidRDefault="001C372F" w:rsidP="00C55AE9">
      <w:pPr>
        <w:widowControl w:val="0"/>
      </w:pPr>
      <w:r>
        <w:t>Class 6:</w:t>
      </w:r>
    </w:p>
    <w:p w14:paraId="4C324457" w14:textId="102764A0" w:rsidR="001C372F" w:rsidRDefault="003B77F5" w:rsidP="00C55AE9">
      <w:pPr>
        <w:widowControl w:val="0"/>
      </w:pPr>
      <w:r>
        <w:t xml:space="preserve">The subject matter jurisdiction of the federal courts II: </w:t>
      </w:r>
      <w:r w:rsidR="001C372F">
        <w:t>Diversity Jurisdiction</w:t>
      </w:r>
    </w:p>
    <w:p w14:paraId="524BF96F" w14:textId="62BFFBEC" w:rsidR="003B77F5" w:rsidRDefault="003B77F5" w:rsidP="00C55AE9">
      <w:pPr>
        <w:widowControl w:val="0"/>
      </w:pPr>
      <w:r>
        <w:t>28 USC S 1332</w:t>
      </w:r>
    </w:p>
    <w:p w14:paraId="7A307136" w14:textId="4499846E" w:rsidR="003B77F5" w:rsidRDefault="003B77F5" w:rsidP="00C55AE9">
      <w:pPr>
        <w:widowControl w:val="0"/>
      </w:pPr>
      <w:r>
        <w:t>Casebook pp. 243-260</w:t>
      </w:r>
      <w:r w:rsidR="002E210D">
        <w:t xml:space="preserve"> (17 pages)</w:t>
      </w:r>
    </w:p>
    <w:p w14:paraId="3F749C8A" w14:textId="77777777" w:rsidR="001C372F" w:rsidRDefault="001C372F" w:rsidP="00C55AE9">
      <w:pPr>
        <w:widowControl w:val="0"/>
      </w:pPr>
    </w:p>
    <w:p w14:paraId="77A6394A" w14:textId="77777777" w:rsidR="001C372F" w:rsidRDefault="001C372F" w:rsidP="00C55AE9">
      <w:pPr>
        <w:widowControl w:val="0"/>
      </w:pPr>
      <w:r>
        <w:t>Class 7:</w:t>
      </w:r>
    </w:p>
    <w:p w14:paraId="17C4B417" w14:textId="4921B286" w:rsidR="00791B74" w:rsidRDefault="003B77F5" w:rsidP="00791B74">
      <w:pPr>
        <w:widowControl w:val="0"/>
      </w:pPr>
      <w:r>
        <w:t xml:space="preserve">The subject matter jurisdiction of the federal courts III: </w:t>
      </w:r>
      <w:r w:rsidR="00791B74">
        <w:t xml:space="preserve">Supplemental </w:t>
      </w:r>
      <w:r w:rsidR="00732BA2">
        <w:t xml:space="preserve">and removal </w:t>
      </w:r>
      <w:r w:rsidR="00791B74">
        <w:t>Jurisdiction</w:t>
      </w:r>
    </w:p>
    <w:p w14:paraId="0392DF26" w14:textId="34DAC323" w:rsidR="003B77F5" w:rsidRDefault="003B77F5" w:rsidP="00791B74">
      <w:pPr>
        <w:widowControl w:val="0"/>
      </w:pPr>
      <w:r>
        <w:t>28 USC S 1367</w:t>
      </w:r>
      <w:r w:rsidR="00732BA2">
        <w:t>, 1441</w:t>
      </w:r>
    </w:p>
    <w:p w14:paraId="651F172D" w14:textId="051E3BE5" w:rsidR="003B77F5" w:rsidRDefault="003B77F5" w:rsidP="00791B74">
      <w:pPr>
        <w:widowControl w:val="0"/>
      </w:pPr>
      <w:r>
        <w:t>Casebook pp. 270-2</w:t>
      </w:r>
      <w:r w:rsidR="00732BA2">
        <w:t>76, 289-297</w:t>
      </w:r>
      <w:r w:rsidR="002E210D">
        <w:t xml:space="preserve"> (14 pages)</w:t>
      </w:r>
    </w:p>
    <w:p w14:paraId="35008EB1" w14:textId="77777777" w:rsidR="001C372F" w:rsidRDefault="001C372F" w:rsidP="00C55AE9">
      <w:pPr>
        <w:widowControl w:val="0"/>
      </w:pPr>
    </w:p>
    <w:p w14:paraId="716EE5BA" w14:textId="77777777" w:rsidR="001C372F" w:rsidRDefault="001C372F" w:rsidP="00C55AE9">
      <w:pPr>
        <w:widowControl w:val="0"/>
      </w:pPr>
      <w:r>
        <w:t>Class 8:</w:t>
      </w:r>
    </w:p>
    <w:p w14:paraId="26EFF832" w14:textId="4254BE4A" w:rsidR="003B77F5" w:rsidRDefault="003B77F5" w:rsidP="00C55AE9">
      <w:pPr>
        <w:widowControl w:val="0"/>
      </w:pPr>
      <w:r>
        <w:t xml:space="preserve">Personal </w:t>
      </w:r>
      <w:r w:rsidR="00732BA2">
        <w:t xml:space="preserve">(“territorial”) </w:t>
      </w:r>
      <w:r>
        <w:t xml:space="preserve">Jurisdiction I </w:t>
      </w:r>
    </w:p>
    <w:p w14:paraId="480DC988" w14:textId="2BC143C8" w:rsidR="00732BA2" w:rsidRDefault="00732BA2" w:rsidP="00C55AE9">
      <w:pPr>
        <w:widowControl w:val="0"/>
      </w:pPr>
      <w:r>
        <w:t>Casebook pp. 47-49, 55-59, 64-75</w:t>
      </w:r>
      <w:r w:rsidR="002E210D">
        <w:t xml:space="preserve"> (17 pages)</w:t>
      </w:r>
    </w:p>
    <w:p w14:paraId="758F4BCD" w14:textId="155BE77E" w:rsidR="00732BA2" w:rsidRDefault="00732BA2" w:rsidP="00C55AE9">
      <w:pPr>
        <w:widowControl w:val="0"/>
      </w:pPr>
    </w:p>
    <w:p w14:paraId="01CC9588" w14:textId="109A6C4B" w:rsidR="00732BA2" w:rsidRDefault="00732BA2" w:rsidP="00C55AE9">
      <w:pPr>
        <w:widowControl w:val="0"/>
      </w:pPr>
      <w:r>
        <w:t>Class 9:</w:t>
      </w:r>
    </w:p>
    <w:p w14:paraId="0F3939D6" w14:textId="418BBF26" w:rsidR="00732BA2" w:rsidRDefault="00732BA2" w:rsidP="00C55AE9">
      <w:pPr>
        <w:widowControl w:val="0"/>
      </w:pPr>
      <w:r>
        <w:t>Personal (“territorial”) Jurisdiction II</w:t>
      </w:r>
    </w:p>
    <w:p w14:paraId="7E6961E1" w14:textId="0224947F" w:rsidR="00732BA2" w:rsidRDefault="00732BA2" w:rsidP="00C55AE9">
      <w:pPr>
        <w:widowControl w:val="0"/>
      </w:pPr>
      <w:r>
        <w:t>Casebook pp. 85-9</w:t>
      </w:r>
      <w:r w:rsidR="00742192">
        <w:t>9</w:t>
      </w:r>
      <w:r w:rsidR="002E210D">
        <w:t xml:space="preserve"> (</w:t>
      </w:r>
      <w:r w:rsidR="00742192">
        <w:t>14</w:t>
      </w:r>
      <w:r w:rsidR="002E210D">
        <w:t xml:space="preserve"> pages)</w:t>
      </w:r>
    </w:p>
    <w:p w14:paraId="456E5ED3" w14:textId="363891E8" w:rsidR="00732BA2" w:rsidRDefault="00732BA2" w:rsidP="00C55AE9">
      <w:pPr>
        <w:widowControl w:val="0"/>
      </w:pPr>
    </w:p>
    <w:p w14:paraId="33422F2C" w14:textId="50A1CC20" w:rsidR="00732BA2" w:rsidRDefault="00732BA2" w:rsidP="00C55AE9">
      <w:pPr>
        <w:widowControl w:val="0"/>
      </w:pPr>
      <w:r>
        <w:t>Class 10:</w:t>
      </w:r>
    </w:p>
    <w:p w14:paraId="0186CCA7" w14:textId="7D25977D" w:rsidR="00BD4D50" w:rsidRDefault="00BD4D50" w:rsidP="00BD4D50">
      <w:pPr>
        <w:widowControl w:val="0"/>
      </w:pPr>
      <w:r>
        <w:t>Personal (“territorial”) Jurisdiction III</w:t>
      </w:r>
    </w:p>
    <w:p w14:paraId="2631A15E" w14:textId="2BB1033D" w:rsidR="00BD4D50" w:rsidRDefault="00BD4D50" w:rsidP="00BD4D50">
      <w:pPr>
        <w:widowControl w:val="0"/>
      </w:pPr>
      <w:r>
        <w:t>Casebook pp. 9</w:t>
      </w:r>
      <w:r w:rsidR="00742192">
        <w:t>9</w:t>
      </w:r>
      <w:r>
        <w:t>-119</w:t>
      </w:r>
      <w:r w:rsidR="002E210D">
        <w:t xml:space="preserve"> (2</w:t>
      </w:r>
      <w:r w:rsidR="00742192">
        <w:t>0</w:t>
      </w:r>
      <w:r w:rsidR="002E210D">
        <w:t xml:space="preserve"> pages)</w:t>
      </w:r>
    </w:p>
    <w:p w14:paraId="32AFEB9C" w14:textId="21EE7C84" w:rsidR="00BD4D50" w:rsidRDefault="00BD4D50" w:rsidP="00BD4D50">
      <w:pPr>
        <w:widowControl w:val="0"/>
      </w:pPr>
    </w:p>
    <w:p w14:paraId="53DA72C2" w14:textId="77777777" w:rsidR="004244F4" w:rsidRDefault="004244F4" w:rsidP="00BD4D50">
      <w:pPr>
        <w:widowControl w:val="0"/>
      </w:pPr>
    </w:p>
    <w:p w14:paraId="5FE911FD" w14:textId="77777777" w:rsidR="004244F4" w:rsidRDefault="004244F4" w:rsidP="00BD4D50">
      <w:pPr>
        <w:widowControl w:val="0"/>
      </w:pPr>
    </w:p>
    <w:p w14:paraId="16EC26D6" w14:textId="77777777" w:rsidR="004244F4" w:rsidRDefault="004244F4" w:rsidP="00BD4D50">
      <w:pPr>
        <w:widowControl w:val="0"/>
      </w:pPr>
    </w:p>
    <w:p w14:paraId="552B9A4F" w14:textId="0B6403A2" w:rsidR="00BD4D50" w:rsidRDefault="00BD4D50" w:rsidP="00BD4D50">
      <w:pPr>
        <w:widowControl w:val="0"/>
      </w:pPr>
      <w:r>
        <w:lastRenderedPageBreak/>
        <w:t>Class 11:</w:t>
      </w:r>
    </w:p>
    <w:p w14:paraId="78911C41" w14:textId="14950DBC" w:rsidR="00BD4D50" w:rsidRDefault="00BD4D50" w:rsidP="00BD4D50">
      <w:pPr>
        <w:widowControl w:val="0"/>
      </w:pPr>
      <w:r>
        <w:t>Personal (“territorial”) Jurisdiction IV</w:t>
      </w:r>
    </w:p>
    <w:p w14:paraId="353CAF7B" w14:textId="2AC08FB7" w:rsidR="00BD4D50" w:rsidRDefault="00BD4D50" w:rsidP="00BD4D50">
      <w:pPr>
        <w:widowControl w:val="0"/>
      </w:pPr>
      <w:r>
        <w:t xml:space="preserve">Casebook pp. </w:t>
      </w:r>
      <w:r w:rsidR="00742192">
        <w:t xml:space="preserve">119-128 (9 pages) </w:t>
      </w:r>
    </w:p>
    <w:p w14:paraId="38561B0D" w14:textId="2E9662AB" w:rsidR="00742192" w:rsidRDefault="00742192" w:rsidP="00BD4D50">
      <w:pPr>
        <w:widowControl w:val="0"/>
      </w:pPr>
      <w:r>
        <w:t>Plus lecture on BMS</w:t>
      </w:r>
    </w:p>
    <w:p w14:paraId="150A2B18" w14:textId="4223F9CE" w:rsidR="00BD4D50" w:rsidRDefault="00BD4D50" w:rsidP="00BD4D50">
      <w:pPr>
        <w:widowControl w:val="0"/>
      </w:pPr>
    </w:p>
    <w:p w14:paraId="7933359D" w14:textId="2BF71872" w:rsidR="00BD4D50" w:rsidRDefault="00BD4D50" w:rsidP="00BD4D50">
      <w:pPr>
        <w:widowControl w:val="0"/>
      </w:pPr>
      <w:r>
        <w:t>Class 12:</w:t>
      </w:r>
    </w:p>
    <w:p w14:paraId="6B5A6561" w14:textId="6AFC1E6F" w:rsidR="00742192" w:rsidRDefault="00742192" w:rsidP="00742192">
      <w:pPr>
        <w:widowControl w:val="0"/>
      </w:pPr>
      <w:r>
        <w:t>Personal (“territorial”) Jurisdiction V</w:t>
      </w:r>
    </w:p>
    <w:p w14:paraId="5AFE0110" w14:textId="381C4911" w:rsidR="002E210D" w:rsidRDefault="00742192" w:rsidP="00742192">
      <w:pPr>
        <w:widowControl w:val="0"/>
      </w:pPr>
      <w:r>
        <w:t>Casebook pp. 155-170, 193-206 (28 pages)</w:t>
      </w:r>
    </w:p>
    <w:p w14:paraId="5E1BDF73" w14:textId="77777777" w:rsidR="00742192" w:rsidRDefault="00742192" w:rsidP="00BD4D50">
      <w:pPr>
        <w:widowControl w:val="0"/>
      </w:pPr>
    </w:p>
    <w:p w14:paraId="6A46C390" w14:textId="6528824E" w:rsidR="002E210D" w:rsidRDefault="002E210D" w:rsidP="00BD4D50">
      <w:pPr>
        <w:widowControl w:val="0"/>
      </w:pPr>
      <w:r>
        <w:t>Class 13:</w:t>
      </w:r>
    </w:p>
    <w:p w14:paraId="706A6177" w14:textId="77777777" w:rsidR="00742192" w:rsidRDefault="00742192" w:rsidP="00742192">
      <w:pPr>
        <w:widowControl w:val="0"/>
      </w:pPr>
      <w:r>
        <w:t>Venue,  Change of Venue, and Forum Non Conveniens</w:t>
      </w:r>
    </w:p>
    <w:p w14:paraId="3C2A0AF1" w14:textId="77777777" w:rsidR="00742192" w:rsidRDefault="00742192" w:rsidP="00742192">
      <w:pPr>
        <w:widowControl w:val="0"/>
      </w:pPr>
      <w:r>
        <w:t>Casebook pp. 321-333 (12 pages)</w:t>
      </w:r>
    </w:p>
    <w:p w14:paraId="72C2E1F0" w14:textId="3962ACD3" w:rsidR="002E210D" w:rsidRDefault="002E210D" w:rsidP="00BD4D50">
      <w:pPr>
        <w:widowControl w:val="0"/>
      </w:pPr>
    </w:p>
    <w:p w14:paraId="198CDF37" w14:textId="70A21D82" w:rsidR="002E210D" w:rsidRDefault="002E210D" w:rsidP="00BD4D50">
      <w:pPr>
        <w:widowControl w:val="0"/>
      </w:pPr>
      <w:r>
        <w:t>Class 14:</w:t>
      </w:r>
    </w:p>
    <w:p w14:paraId="2F6EFF46" w14:textId="69B55724" w:rsidR="00AA28B4" w:rsidRDefault="00742192" w:rsidP="00BD4D50">
      <w:pPr>
        <w:widowControl w:val="0"/>
      </w:pPr>
      <w:r>
        <w:t xml:space="preserve">Answering the Complaint and </w:t>
      </w:r>
      <w:r w:rsidR="002E210D">
        <w:t>Amending the Pleadings</w:t>
      </w:r>
    </w:p>
    <w:p w14:paraId="5BA2B234" w14:textId="7C9A9011" w:rsidR="00AA28B4" w:rsidRDefault="00AA28B4" w:rsidP="00BD4D50">
      <w:pPr>
        <w:widowControl w:val="0"/>
      </w:pPr>
      <w:r>
        <w:t>In-Class Intervention Exercise</w:t>
      </w:r>
    </w:p>
    <w:p w14:paraId="2FC377BA" w14:textId="78D4E1C0" w:rsidR="002E210D" w:rsidRDefault="002E210D" w:rsidP="00BD4D50">
      <w:pPr>
        <w:widowControl w:val="0"/>
      </w:pPr>
    </w:p>
    <w:p w14:paraId="19E57205" w14:textId="1667FD94" w:rsidR="002E210D" w:rsidRDefault="002E210D" w:rsidP="00BD4D50">
      <w:pPr>
        <w:widowControl w:val="0"/>
      </w:pPr>
      <w:r>
        <w:t>Class 15:</w:t>
      </w:r>
    </w:p>
    <w:p w14:paraId="2E77C632" w14:textId="61435D95" w:rsidR="002E210D" w:rsidRDefault="002E210D" w:rsidP="00BD4D50">
      <w:pPr>
        <w:widowControl w:val="0"/>
      </w:pPr>
      <w:r>
        <w:t>Joinder of Claims</w:t>
      </w:r>
    </w:p>
    <w:p w14:paraId="706A16A9" w14:textId="30F44310" w:rsidR="002E210D" w:rsidRDefault="002E210D" w:rsidP="00BD4D50">
      <w:pPr>
        <w:widowControl w:val="0"/>
      </w:pPr>
    </w:p>
    <w:p w14:paraId="25BD856C" w14:textId="347C4FD8" w:rsidR="002E210D" w:rsidRDefault="002E210D" w:rsidP="00BD4D50">
      <w:pPr>
        <w:widowControl w:val="0"/>
      </w:pPr>
      <w:r>
        <w:t>Class 16:</w:t>
      </w:r>
    </w:p>
    <w:p w14:paraId="200FE551" w14:textId="27203D28" w:rsidR="002E210D" w:rsidRDefault="002E210D" w:rsidP="00BD4D50">
      <w:pPr>
        <w:widowControl w:val="0"/>
      </w:pPr>
      <w:r>
        <w:t>Joinder of Parties</w:t>
      </w:r>
    </w:p>
    <w:p w14:paraId="1AD6E054" w14:textId="4068C437" w:rsidR="002E210D" w:rsidRDefault="002E210D" w:rsidP="00BD4D50">
      <w:pPr>
        <w:widowControl w:val="0"/>
      </w:pPr>
    </w:p>
    <w:p w14:paraId="0E3C59AF" w14:textId="6CBAAC82" w:rsidR="002E210D" w:rsidRDefault="002E210D" w:rsidP="00BD4D50">
      <w:pPr>
        <w:widowControl w:val="0"/>
      </w:pPr>
      <w:r>
        <w:t>Class 17:</w:t>
      </w:r>
    </w:p>
    <w:p w14:paraId="5078F122" w14:textId="36408431" w:rsidR="002E210D" w:rsidRDefault="002E210D" w:rsidP="00BD4D50">
      <w:pPr>
        <w:widowControl w:val="0"/>
      </w:pPr>
      <w:r>
        <w:t>Class Actions I</w:t>
      </w:r>
    </w:p>
    <w:p w14:paraId="641C1E72" w14:textId="25C8E2AB" w:rsidR="002E210D" w:rsidRDefault="002E210D" w:rsidP="00BD4D50">
      <w:pPr>
        <w:widowControl w:val="0"/>
      </w:pPr>
    </w:p>
    <w:p w14:paraId="26AC7923" w14:textId="48ACD851" w:rsidR="002E210D" w:rsidRDefault="002E210D" w:rsidP="00BD4D50">
      <w:pPr>
        <w:widowControl w:val="0"/>
      </w:pPr>
      <w:r>
        <w:t>Class 18:</w:t>
      </w:r>
    </w:p>
    <w:p w14:paraId="29F380CE" w14:textId="0E6E1EDD" w:rsidR="002E210D" w:rsidRDefault="002E210D" w:rsidP="00BD4D50">
      <w:pPr>
        <w:widowControl w:val="0"/>
      </w:pPr>
      <w:r>
        <w:t>Class Actions II</w:t>
      </w:r>
    </w:p>
    <w:p w14:paraId="31A2B85D" w14:textId="4A87847A" w:rsidR="002E210D" w:rsidRDefault="002E210D" w:rsidP="00BD4D50">
      <w:pPr>
        <w:widowControl w:val="0"/>
      </w:pPr>
    </w:p>
    <w:p w14:paraId="7D52D287" w14:textId="4338BDEA" w:rsidR="002E210D" w:rsidRDefault="002E210D" w:rsidP="00BD4D50">
      <w:pPr>
        <w:widowControl w:val="0"/>
      </w:pPr>
      <w:r>
        <w:t>Class 19:</w:t>
      </w:r>
    </w:p>
    <w:p w14:paraId="72DA9EDC" w14:textId="60374DCD" w:rsidR="002E210D" w:rsidRDefault="002E210D" w:rsidP="00BD4D50">
      <w:pPr>
        <w:widowControl w:val="0"/>
      </w:pPr>
      <w:r>
        <w:t>Discovery I</w:t>
      </w:r>
    </w:p>
    <w:p w14:paraId="44B0A22A" w14:textId="474A064A" w:rsidR="002E210D" w:rsidRDefault="002E210D" w:rsidP="00BD4D50">
      <w:pPr>
        <w:widowControl w:val="0"/>
      </w:pPr>
    </w:p>
    <w:p w14:paraId="7DE02756" w14:textId="6BFF6138" w:rsidR="002E210D" w:rsidRDefault="002E210D" w:rsidP="00BD4D50">
      <w:pPr>
        <w:widowControl w:val="0"/>
      </w:pPr>
      <w:r>
        <w:t>Class 20:</w:t>
      </w:r>
    </w:p>
    <w:p w14:paraId="64490443" w14:textId="3493DA30" w:rsidR="00AA28B4" w:rsidRDefault="002E210D" w:rsidP="00BD4D50">
      <w:pPr>
        <w:widowControl w:val="0"/>
      </w:pPr>
      <w:r>
        <w:t>Discovery II</w:t>
      </w:r>
    </w:p>
    <w:p w14:paraId="7BA3F5F0" w14:textId="31C33948" w:rsidR="00AA28B4" w:rsidRDefault="00AA28B4" w:rsidP="00BD4D50">
      <w:pPr>
        <w:widowControl w:val="0"/>
      </w:pPr>
      <w:r>
        <w:t>In-Class Discovery Sanctions Exercise</w:t>
      </w:r>
    </w:p>
    <w:p w14:paraId="1C933914" w14:textId="570166C4" w:rsidR="002E210D" w:rsidRDefault="002E210D" w:rsidP="00BD4D50">
      <w:pPr>
        <w:widowControl w:val="0"/>
      </w:pPr>
    </w:p>
    <w:p w14:paraId="6BD05760" w14:textId="35C1AAB0" w:rsidR="002E210D" w:rsidRDefault="002E210D" w:rsidP="00BD4D50">
      <w:pPr>
        <w:widowControl w:val="0"/>
      </w:pPr>
      <w:r>
        <w:t>Class 21:</w:t>
      </w:r>
    </w:p>
    <w:p w14:paraId="5300A0D8" w14:textId="2726315D" w:rsidR="00AA28B4" w:rsidRDefault="002E210D" w:rsidP="00BD4D50">
      <w:pPr>
        <w:widowControl w:val="0"/>
      </w:pPr>
      <w:r>
        <w:t>Summary Judgment</w:t>
      </w:r>
    </w:p>
    <w:p w14:paraId="323FE2B3" w14:textId="6AC5D7BD" w:rsidR="00AA28B4" w:rsidRDefault="00AA28B4" w:rsidP="00BD4D50">
      <w:pPr>
        <w:widowControl w:val="0"/>
      </w:pPr>
      <w:r>
        <w:t>In-Class Summary Judgment Exercise</w:t>
      </w:r>
    </w:p>
    <w:p w14:paraId="490171D5" w14:textId="5778C28F" w:rsidR="002E210D" w:rsidRDefault="002E210D" w:rsidP="00BD4D50">
      <w:pPr>
        <w:widowControl w:val="0"/>
      </w:pPr>
    </w:p>
    <w:p w14:paraId="4ECCBB0B" w14:textId="38743A23" w:rsidR="002E210D" w:rsidRDefault="002E210D" w:rsidP="00BD4D50">
      <w:pPr>
        <w:widowControl w:val="0"/>
      </w:pPr>
      <w:r>
        <w:t>Class 22:</w:t>
      </w:r>
    </w:p>
    <w:p w14:paraId="5DE71CFE" w14:textId="7EB61201" w:rsidR="002E210D" w:rsidRDefault="002E210D" w:rsidP="00BD4D50">
      <w:pPr>
        <w:widowControl w:val="0"/>
      </w:pPr>
      <w:r>
        <w:t>Right to a Civil Jury Trial</w:t>
      </w:r>
    </w:p>
    <w:p w14:paraId="29DDB8A9" w14:textId="3A01EE75" w:rsidR="002E210D" w:rsidRDefault="002E210D" w:rsidP="00BD4D50">
      <w:pPr>
        <w:widowControl w:val="0"/>
      </w:pPr>
    </w:p>
    <w:p w14:paraId="211D1C70" w14:textId="77777777" w:rsidR="004244F4" w:rsidRDefault="004244F4" w:rsidP="00BD4D50">
      <w:pPr>
        <w:widowControl w:val="0"/>
      </w:pPr>
    </w:p>
    <w:p w14:paraId="7725C7C8" w14:textId="5095E272" w:rsidR="002E210D" w:rsidRDefault="002E210D" w:rsidP="00BD4D50">
      <w:pPr>
        <w:widowControl w:val="0"/>
      </w:pPr>
      <w:r>
        <w:lastRenderedPageBreak/>
        <w:t>Class 23:</w:t>
      </w:r>
    </w:p>
    <w:p w14:paraId="379E5F3A" w14:textId="2E02B103" w:rsidR="002E210D" w:rsidRDefault="002E210D" w:rsidP="00BD4D50">
      <w:pPr>
        <w:widowControl w:val="0"/>
      </w:pPr>
      <w:r>
        <w:t>Trial Motions – Judgment as a Matter of Law</w:t>
      </w:r>
    </w:p>
    <w:p w14:paraId="384D797C" w14:textId="0F3A6922" w:rsidR="002E210D" w:rsidRDefault="002E210D" w:rsidP="00BD4D50">
      <w:pPr>
        <w:widowControl w:val="0"/>
      </w:pPr>
    </w:p>
    <w:p w14:paraId="4EE00415" w14:textId="466517C9" w:rsidR="002E210D" w:rsidRDefault="002E210D" w:rsidP="00BD4D50">
      <w:pPr>
        <w:widowControl w:val="0"/>
      </w:pPr>
      <w:r>
        <w:t>Class 24:</w:t>
      </w:r>
    </w:p>
    <w:p w14:paraId="2F4E5FEC" w14:textId="43E31FC6" w:rsidR="002E210D" w:rsidRDefault="002E210D" w:rsidP="00BD4D50">
      <w:pPr>
        <w:widowControl w:val="0"/>
      </w:pPr>
      <w:r>
        <w:t>Post-Trial Motions – Renewed Judgment as a Matter of Law and New Trial</w:t>
      </w:r>
    </w:p>
    <w:p w14:paraId="7B46CCE3" w14:textId="662F1820" w:rsidR="002E210D" w:rsidRDefault="002E210D" w:rsidP="00BD4D50">
      <w:pPr>
        <w:widowControl w:val="0"/>
      </w:pPr>
    </w:p>
    <w:p w14:paraId="37BD609D" w14:textId="48CE9411" w:rsidR="002E210D" w:rsidRDefault="002E210D" w:rsidP="00BD4D50">
      <w:pPr>
        <w:widowControl w:val="0"/>
      </w:pPr>
      <w:r>
        <w:t>Class 25:</w:t>
      </w:r>
    </w:p>
    <w:p w14:paraId="4FB3E2CF" w14:textId="27DDFFC2" w:rsidR="00AA28B4" w:rsidRDefault="004244F4" w:rsidP="00AA28B4">
      <w:pPr>
        <w:widowControl w:val="0"/>
      </w:pPr>
      <w:r>
        <w:t xml:space="preserve">Arbitration and </w:t>
      </w:r>
      <w:r w:rsidR="00AA28B4">
        <w:t>Settlement</w:t>
      </w:r>
    </w:p>
    <w:p w14:paraId="4310F943" w14:textId="0C20CD3E" w:rsidR="00AA28B4" w:rsidRDefault="00AA28B4" w:rsidP="00AA28B4">
      <w:pPr>
        <w:widowControl w:val="0"/>
      </w:pPr>
      <w:r>
        <w:t>Settlement Exercise</w:t>
      </w:r>
      <w:r w:rsidR="004244F4">
        <w:t xml:space="preserve"> Distributed</w:t>
      </w:r>
      <w:bookmarkStart w:id="0" w:name="_GoBack"/>
      <w:bookmarkEnd w:id="0"/>
    </w:p>
    <w:p w14:paraId="3A660424" w14:textId="76B9BB4E" w:rsidR="002E210D" w:rsidRDefault="002E210D" w:rsidP="00BD4D50">
      <w:pPr>
        <w:widowControl w:val="0"/>
      </w:pPr>
    </w:p>
    <w:p w14:paraId="4E53A48F" w14:textId="4BDD60B0" w:rsidR="002E210D" w:rsidRDefault="002E210D" w:rsidP="00BD4D50">
      <w:pPr>
        <w:widowControl w:val="0"/>
      </w:pPr>
      <w:r>
        <w:t>Class 26:</w:t>
      </w:r>
    </w:p>
    <w:p w14:paraId="06D3161C" w14:textId="7D3765EA" w:rsidR="002E210D" w:rsidRDefault="002E210D" w:rsidP="00BD4D50">
      <w:pPr>
        <w:widowControl w:val="0"/>
      </w:pPr>
      <w:r>
        <w:t>Preclusion I</w:t>
      </w:r>
    </w:p>
    <w:p w14:paraId="3BBBEF1A" w14:textId="33D08074" w:rsidR="002E210D" w:rsidRDefault="002E210D" w:rsidP="00BD4D50">
      <w:pPr>
        <w:widowControl w:val="0"/>
      </w:pPr>
    </w:p>
    <w:p w14:paraId="60DCAAF8" w14:textId="6BB459CB" w:rsidR="002E210D" w:rsidRDefault="002E210D" w:rsidP="00BD4D50">
      <w:pPr>
        <w:widowControl w:val="0"/>
      </w:pPr>
      <w:r>
        <w:t>Class 27:</w:t>
      </w:r>
    </w:p>
    <w:p w14:paraId="2D34D968" w14:textId="40D5F5D4" w:rsidR="00AA28B4" w:rsidRDefault="00AA28B4" w:rsidP="00AA28B4">
      <w:pPr>
        <w:widowControl w:val="0"/>
      </w:pPr>
      <w:r>
        <w:t>Preclusion I</w:t>
      </w:r>
      <w:r w:rsidR="00742192">
        <w:t>I</w:t>
      </w:r>
    </w:p>
    <w:p w14:paraId="411D55BA" w14:textId="676A04DA" w:rsidR="002E210D" w:rsidRDefault="00AA28B4" w:rsidP="00BD4D50">
      <w:pPr>
        <w:widowControl w:val="0"/>
      </w:pPr>
      <w:r>
        <w:t>Settlement Exercise Due</w:t>
      </w:r>
    </w:p>
    <w:p w14:paraId="6948FE80" w14:textId="77777777" w:rsidR="00AA28B4" w:rsidRDefault="00AA28B4" w:rsidP="00BD4D50">
      <w:pPr>
        <w:widowControl w:val="0"/>
      </w:pPr>
    </w:p>
    <w:p w14:paraId="34DC1A33" w14:textId="5E63BB04" w:rsidR="002E210D" w:rsidRDefault="002E210D" w:rsidP="00BD4D50">
      <w:pPr>
        <w:widowControl w:val="0"/>
      </w:pPr>
      <w:r>
        <w:t>Class 28:</w:t>
      </w:r>
    </w:p>
    <w:p w14:paraId="330A7121" w14:textId="65E16ECC" w:rsidR="002E210D" w:rsidRDefault="002E210D" w:rsidP="00BD4D50">
      <w:pPr>
        <w:widowControl w:val="0"/>
      </w:pPr>
      <w:r>
        <w:t xml:space="preserve">Alternatives to </w:t>
      </w:r>
      <w:r w:rsidR="00AA28B4">
        <w:t>Trial</w:t>
      </w:r>
      <w:r>
        <w:t xml:space="preserve"> in Resolving Disputes (ADR)</w:t>
      </w:r>
    </w:p>
    <w:p w14:paraId="40939392" w14:textId="77777777" w:rsidR="00BD4D50" w:rsidRDefault="00BD4D50" w:rsidP="00BD4D50">
      <w:pPr>
        <w:widowControl w:val="0"/>
      </w:pPr>
    </w:p>
    <w:p w14:paraId="6A20B998" w14:textId="77777777" w:rsidR="00732BA2" w:rsidRDefault="00732BA2" w:rsidP="00C55AE9">
      <w:pPr>
        <w:widowControl w:val="0"/>
      </w:pPr>
    </w:p>
    <w:p w14:paraId="449627E7" w14:textId="4F85B15E" w:rsidR="009771FC" w:rsidRDefault="009771FC" w:rsidP="00C55AE9">
      <w:pPr>
        <w:widowControl w:val="0"/>
      </w:pPr>
    </w:p>
    <w:p w14:paraId="56F244EE" w14:textId="77777777" w:rsidR="009771FC" w:rsidRDefault="009771FC" w:rsidP="00C55AE9">
      <w:pPr>
        <w:widowControl w:val="0"/>
      </w:pPr>
    </w:p>
    <w:p w14:paraId="7B0A6DC4" w14:textId="77777777" w:rsidR="001C372F" w:rsidRDefault="001C372F" w:rsidP="00C55AE9">
      <w:pPr>
        <w:widowControl w:val="0"/>
      </w:pPr>
    </w:p>
    <w:p w14:paraId="5A21EA2B" w14:textId="77777777" w:rsidR="00C55AE9" w:rsidRDefault="00C55AE9" w:rsidP="00C55AE9">
      <w:pPr>
        <w:widowControl w:val="0"/>
      </w:pPr>
    </w:p>
    <w:p w14:paraId="62215819" w14:textId="77777777" w:rsidR="00C55AE9" w:rsidRDefault="00C55AE9" w:rsidP="00C55AE9">
      <w:pPr>
        <w:widowControl w:val="0"/>
      </w:pPr>
    </w:p>
    <w:p w14:paraId="343DA72D" w14:textId="77777777" w:rsidR="00C55AE9" w:rsidRDefault="00C55AE9"/>
    <w:p w14:paraId="3C4338FF" w14:textId="77777777" w:rsidR="00041AC6" w:rsidRDefault="00041AC6"/>
    <w:p w14:paraId="79EE6BB2" w14:textId="77777777" w:rsidR="00041AC6" w:rsidRDefault="00041AC6"/>
    <w:sectPr w:rsidR="00041AC6" w:rsidSect="00B0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C6"/>
    <w:rsid w:val="00041AC6"/>
    <w:rsid w:val="001C372F"/>
    <w:rsid w:val="001E5243"/>
    <w:rsid w:val="0029125C"/>
    <w:rsid w:val="002E15F3"/>
    <w:rsid w:val="002E210D"/>
    <w:rsid w:val="003B77F5"/>
    <w:rsid w:val="004109F9"/>
    <w:rsid w:val="004244F4"/>
    <w:rsid w:val="004432CD"/>
    <w:rsid w:val="006131B8"/>
    <w:rsid w:val="00624F24"/>
    <w:rsid w:val="00666A61"/>
    <w:rsid w:val="00732BA2"/>
    <w:rsid w:val="00742192"/>
    <w:rsid w:val="00791B74"/>
    <w:rsid w:val="00806D78"/>
    <w:rsid w:val="00920324"/>
    <w:rsid w:val="009771FC"/>
    <w:rsid w:val="009B7B43"/>
    <w:rsid w:val="00AA28B4"/>
    <w:rsid w:val="00B03D56"/>
    <w:rsid w:val="00BD4D50"/>
    <w:rsid w:val="00C55AE9"/>
    <w:rsid w:val="00F00B88"/>
    <w:rsid w:val="00F7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7009"/>
  <w15:chartTrackingRefBased/>
  <w15:docId w15:val="{EC809456-6483-C44F-B33F-92DBBE69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5A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urtlistener.com/opinion/151889/swanson-v-citibank-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2019-09-14T16:57:00Z</dcterms:created>
  <dcterms:modified xsi:type="dcterms:W3CDTF">2019-11-05T22:25:00Z</dcterms:modified>
</cp:coreProperties>
</file>