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62198" w:rsidRPr="00613F5A" w:rsidP="00A62198">
      <w:pPr>
        <w:jc w:val="center"/>
        <w:outlineLvl w:val="0"/>
        <w:rPr>
          <w:rFonts w:asciiTheme="majorHAnsi" w:hAnsiTheme="majorHAnsi"/>
          <w:b/>
        </w:rPr>
      </w:pPr>
      <w:r w:rsidRPr="00613F5A">
        <w:rPr>
          <w:rFonts w:asciiTheme="majorHAnsi" w:hAnsiTheme="majorHAnsi"/>
          <w:b/>
        </w:rPr>
        <w:t xml:space="preserve"> Law 271.4 Sec. 001– Environmental Transactional Practice</w:t>
      </w:r>
    </w:p>
    <w:p w:rsidR="00A62198" w:rsidRPr="00613F5A" w:rsidP="00A62198">
      <w:pPr>
        <w:jc w:val="center"/>
        <w:outlineLvl w:val="0"/>
        <w:rPr>
          <w:rFonts w:asciiTheme="majorHAnsi" w:hAnsiTheme="majorHAnsi"/>
          <w:b/>
        </w:rPr>
      </w:pPr>
      <w:r>
        <w:rPr>
          <w:rFonts w:asciiTheme="majorHAnsi" w:hAnsiTheme="majorHAnsi"/>
          <w:b/>
        </w:rPr>
        <w:t>Fall 2018</w:t>
      </w:r>
    </w:p>
    <w:p w:rsidR="00A62198" w:rsidRPr="002F5933" w:rsidP="00A62198">
      <w:pPr>
        <w:jc w:val="center"/>
        <w:outlineLvl w:val="0"/>
        <w:rPr>
          <w:rFonts w:asciiTheme="majorHAnsi" w:hAnsiTheme="majorHAnsi"/>
          <w:b/>
          <w:color w:val="FF0000"/>
        </w:rPr>
      </w:pPr>
    </w:p>
    <w:p w:rsidR="00613F5A" w:rsidP="00A62198">
      <w:pPr>
        <w:outlineLvl w:val="0"/>
        <w:rPr>
          <w:rFonts w:asciiTheme="majorHAnsi" w:hAnsiTheme="majorHAnsi"/>
          <w:b/>
        </w:rPr>
      </w:pPr>
    </w:p>
    <w:p w:rsidR="00A62198" w:rsidRPr="002F5933" w:rsidP="00A62198">
      <w:pPr>
        <w:outlineLvl w:val="0"/>
        <w:rPr>
          <w:rFonts w:asciiTheme="majorHAnsi" w:hAnsiTheme="majorHAnsi"/>
          <w:b/>
          <w:color w:val="C00000"/>
        </w:rPr>
      </w:pPr>
      <w:r w:rsidRPr="002F5933">
        <w:rPr>
          <w:rFonts w:asciiTheme="majorHAnsi" w:hAnsiTheme="majorHAnsi"/>
          <w:b/>
        </w:rPr>
        <w:t>Instructor Information</w:t>
      </w:r>
    </w:p>
    <w:p w:rsidR="00A62198" w:rsidRPr="006B1A6A" w:rsidP="00A62198">
      <w:pPr>
        <w:tabs>
          <w:tab w:val="left" w:pos="1260"/>
        </w:tabs>
        <w:rPr>
          <w:rFonts w:asciiTheme="majorHAnsi" w:hAnsiTheme="majorHAnsi"/>
        </w:rPr>
      </w:pPr>
      <w:r w:rsidRPr="006B1A6A">
        <w:rPr>
          <w:rFonts w:asciiTheme="majorHAnsi" w:hAnsiTheme="majorHAnsi"/>
        </w:rPr>
        <w:t xml:space="preserve">Instructor:  </w:t>
        <w:tab/>
      </w:r>
      <w:r w:rsidRPr="006B1A6A">
        <w:rPr>
          <w:rFonts w:asciiTheme="majorHAnsi" w:hAnsiTheme="majorHAnsi"/>
          <w:i/>
        </w:rPr>
        <w:t>Stefanie Gitler, Michael Saretsky and Paul Tanaka</w:t>
      </w:r>
      <w:r w:rsidRPr="006B1A6A">
        <w:rPr>
          <w:rFonts w:asciiTheme="majorHAnsi" w:hAnsiTheme="majorHAnsi"/>
        </w:rPr>
        <w:t> </w:t>
      </w:r>
    </w:p>
    <w:p w:rsidR="00A62198" w:rsidRPr="006B1A6A" w:rsidP="00A62198">
      <w:pPr>
        <w:tabs>
          <w:tab w:val="left" w:pos="1260"/>
        </w:tabs>
        <w:rPr>
          <w:rFonts w:asciiTheme="majorHAnsi" w:hAnsiTheme="majorHAnsi"/>
        </w:rPr>
      </w:pPr>
      <w:r w:rsidRPr="006B1A6A">
        <w:rPr>
          <w:rFonts w:asciiTheme="majorHAnsi" w:hAnsiTheme="majorHAnsi"/>
        </w:rPr>
        <w:t xml:space="preserve">Email:  </w:t>
        <w:tab/>
      </w:r>
      <w:r>
        <w:fldChar w:fldCharType="begin"/>
      </w:r>
      <w:r>
        <w:instrText xml:space="preserve"> HYPERLINK "mailto:stefanie.gitler@kirkland.com" </w:instrText>
      </w:r>
      <w:r>
        <w:fldChar w:fldCharType="separate"/>
      </w:r>
      <w:r w:rsidRPr="006B1A6A">
        <w:rPr>
          <w:rStyle w:val="Hyperlink"/>
          <w:rFonts w:asciiTheme="majorHAnsi" w:hAnsiTheme="majorHAnsi"/>
          <w:i/>
          <w:color w:val="auto"/>
        </w:rPr>
        <w:t>stefanie.gitler@kirkland.com</w:t>
      </w:r>
      <w:r>
        <w:fldChar w:fldCharType="end"/>
      </w:r>
      <w:r w:rsidRPr="006B1A6A">
        <w:rPr>
          <w:rFonts w:asciiTheme="majorHAnsi" w:hAnsiTheme="majorHAnsi"/>
          <w:i/>
        </w:rPr>
        <w:t xml:space="preserve">; </w:t>
      </w:r>
      <w:r>
        <w:fldChar w:fldCharType="begin"/>
      </w:r>
      <w:r>
        <w:instrText xml:space="preserve"> HYPERLINK "mailto:michael.saretsky@kirkland.com" </w:instrText>
      </w:r>
      <w:r>
        <w:fldChar w:fldCharType="separate"/>
      </w:r>
      <w:r w:rsidRPr="006B1A6A">
        <w:rPr>
          <w:rStyle w:val="Hyperlink"/>
          <w:rFonts w:asciiTheme="majorHAnsi" w:hAnsiTheme="majorHAnsi"/>
          <w:i/>
          <w:color w:val="auto"/>
        </w:rPr>
        <w:t>michael.saretsky@kirkland.com</w:t>
      </w:r>
      <w:r>
        <w:fldChar w:fldCharType="end"/>
      </w:r>
      <w:r w:rsidRPr="006B1A6A">
        <w:rPr>
          <w:rFonts w:asciiTheme="majorHAnsi" w:hAnsiTheme="majorHAnsi"/>
          <w:i/>
        </w:rPr>
        <w:t xml:space="preserve">; </w:t>
      </w:r>
      <w:r w:rsidRPr="00A16A88">
        <w:rPr>
          <w:rFonts w:asciiTheme="majorHAnsi" w:hAnsiTheme="majorHAnsi"/>
          <w:i/>
          <w:u w:val="single"/>
        </w:rPr>
        <w:t>paul.tanaka@kirkland.com</w:t>
      </w:r>
      <w:r w:rsidRPr="006B1A6A">
        <w:rPr>
          <w:rFonts w:asciiTheme="majorHAnsi" w:hAnsiTheme="majorHAnsi"/>
          <w:i/>
        </w:rPr>
        <w:t xml:space="preserve"> </w:t>
      </w:r>
      <w:r w:rsidRPr="006B1A6A">
        <w:rPr>
          <w:rFonts w:asciiTheme="majorHAnsi" w:hAnsiTheme="majorHAnsi"/>
        </w:rPr>
        <w:t xml:space="preserve"> </w:t>
      </w:r>
    </w:p>
    <w:p w:rsidR="00A62198" w:rsidRPr="006B1A6A" w:rsidP="00A62198">
      <w:pPr>
        <w:tabs>
          <w:tab w:val="left" w:pos="1260"/>
        </w:tabs>
        <w:rPr>
          <w:rFonts w:asciiTheme="majorHAnsi" w:hAnsiTheme="majorHAnsi"/>
        </w:rPr>
      </w:pPr>
      <w:r w:rsidRPr="006B1A6A">
        <w:rPr>
          <w:rFonts w:asciiTheme="majorHAnsi" w:hAnsiTheme="majorHAnsi"/>
        </w:rPr>
        <w:t xml:space="preserve">Phone:  </w:t>
        <w:tab/>
      </w:r>
      <w:r w:rsidRPr="006B1A6A">
        <w:rPr>
          <w:rFonts w:asciiTheme="majorHAnsi" w:hAnsiTheme="majorHAnsi"/>
          <w:i/>
        </w:rPr>
        <w:t>Stefanie Gitler (415-439-1421); Michael Saretsky (415-439-1419); Paul Tanaka (415-439-1451)</w:t>
      </w:r>
    </w:p>
    <w:p w:rsidR="00EA699F" w:rsidRPr="006B1A6A" w:rsidP="00EA699F">
      <w:pPr>
        <w:tabs>
          <w:tab w:val="left" w:pos="1260"/>
        </w:tabs>
        <w:rPr>
          <w:rFonts w:asciiTheme="majorHAnsi" w:hAnsiTheme="majorHAnsi"/>
          <w:i/>
        </w:rPr>
      </w:pPr>
      <w:r w:rsidRPr="006B1A6A">
        <w:rPr>
          <w:rFonts w:asciiTheme="majorHAnsi" w:hAnsiTheme="majorHAnsi"/>
        </w:rPr>
        <w:t xml:space="preserve">Office: </w:t>
        <w:tab/>
        <w:t xml:space="preserve">Café Zeb, Wednesdays from 5 - 6 pm </w:t>
      </w:r>
    </w:p>
    <w:p w:rsidR="00EA699F" w:rsidRPr="006B1A6A" w:rsidP="00A5163C">
      <w:pPr>
        <w:rPr>
          <w:rFonts w:asciiTheme="majorHAnsi" w:hAnsiTheme="majorHAnsi"/>
          <w:i/>
        </w:rPr>
      </w:pPr>
    </w:p>
    <w:p w:rsidR="00A62198" w:rsidRPr="006B1A6A" w:rsidP="00A5163C">
      <w:pPr>
        <w:rPr>
          <w:rFonts w:asciiTheme="majorHAnsi" w:hAnsiTheme="majorHAnsi"/>
          <w:b/>
          <w:i/>
        </w:rPr>
      </w:pPr>
      <w:r w:rsidRPr="006B1A6A">
        <w:rPr>
          <w:rFonts w:asciiTheme="majorHAnsi" w:hAnsiTheme="majorHAnsi"/>
          <w:b/>
        </w:rPr>
        <w:t xml:space="preserve">Course Information </w:t>
      </w:r>
    </w:p>
    <w:p w:rsidR="00A62198" w:rsidRPr="006B1A6A" w:rsidP="00A62198">
      <w:pPr>
        <w:pStyle w:val="Heading3"/>
        <w:tabs>
          <w:tab w:val="left" w:pos="1260"/>
        </w:tabs>
        <w:spacing w:before="0"/>
        <w:rPr>
          <w:rStyle w:val="Heading3Char"/>
          <w:rFonts w:asciiTheme="majorHAnsi" w:hAnsiTheme="majorHAnsi"/>
          <w:sz w:val="22"/>
          <w:szCs w:val="22"/>
        </w:rPr>
      </w:pPr>
      <w:r w:rsidRPr="006B1A6A">
        <w:rPr>
          <w:rStyle w:val="Heading3Char"/>
          <w:rFonts w:asciiTheme="majorHAnsi" w:hAnsiTheme="majorHAnsi"/>
          <w:sz w:val="22"/>
          <w:szCs w:val="22"/>
        </w:rPr>
        <w:t>Meetings:</w:t>
        <w:tab/>
      </w:r>
      <w:r w:rsidRPr="006B1A6A">
        <w:rPr>
          <w:rStyle w:val="Heading3Char"/>
          <w:rFonts w:asciiTheme="majorHAnsi" w:hAnsiTheme="majorHAnsi"/>
          <w:i/>
          <w:sz w:val="22"/>
          <w:szCs w:val="22"/>
        </w:rPr>
        <w:t>6:25pm - 8:15pm, Wednesday evenings.</w:t>
      </w:r>
    </w:p>
    <w:p w:rsidR="00A62198" w:rsidRPr="006B1A6A" w:rsidP="00A62198">
      <w:pPr>
        <w:pStyle w:val="Heading3"/>
        <w:tabs>
          <w:tab w:val="left" w:pos="1260"/>
        </w:tabs>
        <w:spacing w:before="0"/>
        <w:rPr>
          <w:rFonts w:asciiTheme="majorHAnsi" w:hAnsiTheme="majorHAnsi"/>
          <w:sz w:val="22"/>
          <w:szCs w:val="22"/>
        </w:rPr>
      </w:pPr>
      <w:r w:rsidRPr="006B1A6A">
        <w:rPr>
          <w:rStyle w:val="Heading3Char"/>
          <w:rFonts w:asciiTheme="majorHAnsi" w:hAnsiTheme="majorHAnsi"/>
          <w:sz w:val="22"/>
          <w:szCs w:val="22"/>
        </w:rPr>
        <w:t>Location</w:t>
      </w:r>
      <w:r w:rsidRPr="006B1A6A">
        <w:rPr>
          <w:rFonts w:asciiTheme="majorHAnsi" w:hAnsiTheme="majorHAnsi"/>
          <w:sz w:val="22"/>
          <w:szCs w:val="22"/>
        </w:rPr>
        <w:t xml:space="preserve">: </w:t>
        <w:tab/>
      </w:r>
      <w:r w:rsidRPr="00064A4B" w:rsidR="00064A4B">
        <w:rPr>
          <w:rFonts w:asciiTheme="majorHAnsi" w:hAnsiTheme="majorHAnsi"/>
          <w:b w:val="0"/>
          <w:i/>
          <w:sz w:val="22"/>
          <w:szCs w:val="22"/>
        </w:rPr>
        <w:t>Room 130</w:t>
      </w:r>
    </w:p>
    <w:p w:rsidR="00A62198" w:rsidRPr="006B1A6A" w:rsidP="00A62198">
      <w:pPr>
        <w:pStyle w:val="Heading3"/>
        <w:spacing w:before="0"/>
        <w:rPr>
          <w:rStyle w:val="Heading3Char"/>
          <w:rFonts w:eastAsia="Calibri" w:asciiTheme="majorHAnsi" w:hAnsiTheme="majorHAnsi"/>
          <w:sz w:val="22"/>
          <w:szCs w:val="22"/>
        </w:rPr>
      </w:pPr>
      <w:r w:rsidRPr="006B1A6A">
        <w:rPr>
          <w:rStyle w:val="Heading3Char"/>
          <w:rFonts w:asciiTheme="majorHAnsi" w:hAnsiTheme="majorHAnsi"/>
          <w:sz w:val="22"/>
          <w:szCs w:val="22"/>
        </w:rPr>
        <w:t>Prerequisites or Co-requisites</w:t>
      </w:r>
      <w:r w:rsidRPr="006B1A6A">
        <w:rPr>
          <w:rStyle w:val="Heading3Char"/>
          <w:rFonts w:asciiTheme="majorHAnsi" w:hAnsiTheme="majorHAnsi"/>
          <w:i/>
          <w:sz w:val="22"/>
          <w:szCs w:val="22"/>
        </w:rPr>
        <w:t xml:space="preserve">: </w:t>
      </w:r>
      <w:r w:rsidRPr="006B1A6A">
        <w:rPr>
          <w:rFonts w:asciiTheme="majorHAnsi" w:hAnsiTheme="majorHAnsi"/>
          <w:b w:val="0"/>
          <w:i/>
          <w:sz w:val="22"/>
          <w:szCs w:val="22"/>
        </w:rPr>
        <w:t>None</w:t>
      </w:r>
    </w:p>
    <w:p w:rsidR="00A5163C" w:rsidRPr="006B1A6A" w:rsidP="00A5163C">
      <w:pPr>
        <w:pStyle w:val="Heading3"/>
        <w:spacing w:before="0"/>
        <w:rPr>
          <w:rFonts w:asciiTheme="majorHAnsi" w:hAnsiTheme="majorHAnsi"/>
          <w:sz w:val="22"/>
          <w:szCs w:val="22"/>
        </w:rPr>
      </w:pPr>
      <w:r w:rsidRPr="006B1A6A">
        <w:rPr>
          <w:rStyle w:val="Heading3Char"/>
          <w:rFonts w:asciiTheme="majorHAnsi" w:hAnsiTheme="majorHAnsi"/>
          <w:sz w:val="22"/>
          <w:szCs w:val="22"/>
        </w:rPr>
        <w:t>Credit Hours:</w:t>
      </w:r>
      <w:r w:rsidRPr="006B1A6A">
        <w:rPr>
          <w:rFonts w:asciiTheme="majorHAnsi" w:hAnsiTheme="majorHAnsi"/>
          <w:sz w:val="22"/>
          <w:szCs w:val="22"/>
        </w:rPr>
        <w:t xml:space="preserve"> </w:t>
      </w:r>
      <w:r w:rsidRPr="006B1A6A">
        <w:rPr>
          <w:rFonts w:asciiTheme="majorHAnsi" w:hAnsiTheme="majorHAnsi"/>
          <w:b w:val="0"/>
          <w:i/>
          <w:sz w:val="22"/>
          <w:szCs w:val="22"/>
        </w:rPr>
        <w:t>2.0</w:t>
      </w:r>
    </w:p>
    <w:p w:rsidR="00A5163C" w:rsidP="00A5163C">
      <w:pPr>
        <w:pStyle w:val="Heading3"/>
        <w:spacing w:before="0"/>
        <w:rPr>
          <w:rFonts w:asciiTheme="majorHAnsi" w:hAnsiTheme="majorHAnsi"/>
          <w:color w:val="C00000"/>
          <w:sz w:val="22"/>
          <w:szCs w:val="22"/>
        </w:rPr>
      </w:pPr>
    </w:p>
    <w:p w:rsidR="00E8588E" w:rsidRPr="00A5163C" w:rsidP="00A5163C">
      <w:pPr>
        <w:pStyle w:val="Heading3"/>
        <w:spacing w:before="0"/>
        <w:rPr>
          <w:rStyle w:val="Heading3Char"/>
          <w:rFonts w:asciiTheme="majorHAnsi" w:hAnsiTheme="majorHAnsi"/>
          <w:b/>
          <w:bCs/>
          <w:color w:val="C00000"/>
          <w:sz w:val="22"/>
          <w:szCs w:val="22"/>
        </w:rPr>
      </w:pPr>
      <w:r w:rsidRPr="001B2D5D">
        <w:rPr>
          <w:rStyle w:val="Heading3Char"/>
          <w:rFonts w:asciiTheme="majorHAnsi" w:hAnsiTheme="majorHAnsi"/>
          <w:b/>
          <w:i/>
          <w:sz w:val="22"/>
          <w:szCs w:val="22"/>
        </w:rPr>
        <w:t>Textbook</w:t>
      </w:r>
      <w:r>
        <w:rPr>
          <w:rStyle w:val="Heading3Char"/>
          <w:rFonts w:asciiTheme="majorHAnsi" w:hAnsiTheme="majorHAnsi"/>
          <w:b/>
          <w:sz w:val="22"/>
          <w:szCs w:val="22"/>
        </w:rPr>
        <w:t xml:space="preserve">/Course Materials </w:t>
      </w:r>
    </w:p>
    <w:p w:rsidR="000D4571" w:rsidRPr="006B1A6A" w:rsidP="00F40CD9">
      <w:pPr>
        <w:pStyle w:val="Heading3"/>
        <w:numPr>
          <w:ilvl w:val="0"/>
          <w:numId w:val="29"/>
        </w:numPr>
        <w:spacing w:before="0"/>
        <w:ind w:left="360"/>
        <w:jc w:val="both"/>
        <w:rPr>
          <w:rFonts w:asciiTheme="majorHAnsi" w:hAnsiTheme="majorHAnsi"/>
          <w:b w:val="0"/>
          <w:sz w:val="22"/>
          <w:szCs w:val="22"/>
        </w:rPr>
      </w:pPr>
      <w:r w:rsidRPr="006B1A6A">
        <w:rPr>
          <w:rFonts w:asciiTheme="majorHAnsi" w:hAnsiTheme="majorHAnsi"/>
          <w:b w:val="0"/>
          <w:sz w:val="22"/>
          <w:szCs w:val="22"/>
        </w:rPr>
        <w:t xml:space="preserve">James B. Witkin, Ed., </w:t>
      </w:r>
      <w:r w:rsidRPr="00FB2FC5">
        <w:rPr>
          <w:rFonts w:asciiTheme="majorHAnsi" w:hAnsiTheme="majorHAnsi"/>
          <w:b w:val="0"/>
          <w:smallCaps/>
          <w:sz w:val="22"/>
          <w:szCs w:val="22"/>
        </w:rPr>
        <w:t>Environmental Aspects of Real Estate and Commercial Transactions</w:t>
      </w:r>
      <w:r>
        <w:rPr>
          <w:rFonts w:asciiTheme="majorHAnsi" w:hAnsiTheme="majorHAnsi"/>
          <w:b w:val="0"/>
          <w:sz w:val="22"/>
          <w:szCs w:val="22"/>
        </w:rPr>
        <w:t>, (ABA, 4th Ed. 2011).</w:t>
      </w:r>
    </w:p>
    <w:p w:rsidR="00DC06DF" w:rsidRPr="006B1A6A" w:rsidP="00F40CD9">
      <w:pPr>
        <w:pStyle w:val="Heading3"/>
        <w:numPr>
          <w:ilvl w:val="0"/>
          <w:numId w:val="29"/>
        </w:numPr>
        <w:spacing w:before="0"/>
        <w:ind w:left="360"/>
        <w:jc w:val="both"/>
        <w:rPr>
          <w:rFonts w:asciiTheme="majorHAnsi" w:hAnsiTheme="majorHAnsi"/>
          <w:bCs w:val="0"/>
          <w:sz w:val="22"/>
          <w:szCs w:val="22"/>
        </w:rPr>
      </w:pPr>
      <w:r>
        <w:rPr>
          <w:rFonts w:asciiTheme="majorHAnsi" w:hAnsiTheme="majorHAnsi"/>
          <w:b w:val="0"/>
          <w:sz w:val="22"/>
          <w:szCs w:val="22"/>
        </w:rPr>
        <w:t>Other readings will be posted on bCourses.</w:t>
      </w:r>
    </w:p>
    <w:p w:rsidR="00E8588E" w:rsidRPr="00E8588E" w:rsidP="00E8588E">
      <w:r>
        <w:t xml:space="preserve"> </w:t>
      </w:r>
    </w:p>
    <w:p w:rsidR="00942FD6" w:rsidRPr="002F5933" w:rsidP="00942FD6">
      <w:pPr>
        <w:ind w:right="-360"/>
        <w:jc w:val="both"/>
        <w:rPr>
          <w:rFonts w:asciiTheme="majorHAnsi" w:hAnsiTheme="majorHAnsi"/>
          <w:b/>
        </w:rPr>
      </w:pPr>
      <w:r w:rsidRPr="002F5933">
        <w:rPr>
          <w:rFonts w:asciiTheme="majorHAnsi" w:hAnsiTheme="majorHAnsi"/>
          <w:b/>
        </w:rPr>
        <w:t xml:space="preserve">bCourses Website:  </w:t>
      </w:r>
      <w:r w:rsidR="00064A4B">
        <w:rPr>
          <w:rFonts w:asciiTheme="majorHAnsi" w:hAnsiTheme="majorHAnsi"/>
        </w:rPr>
        <w:t>[To be updated]</w:t>
      </w:r>
    </w:p>
    <w:p w:rsidR="00325DC2" w:rsidP="00DC06DF">
      <w:pPr>
        <w:jc w:val="both"/>
        <w:rPr>
          <w:rFonts w:asciiTheme="majorHAnsi" w:hAnsiTheme="majorHAnsi"/>
          <w:b/>
        </w:rPr>
      </w:pPr>
    </w:p>
    <w:p w:rsidR="00DC06DF" w:rsidRPr="002F5933" w:rsidP="00DC06DF">
      <w:pPr>
        <w:jc w:val="both"/>
        <w:rPr>
          <w:rFonts w:asciiTheme="majorHAnsi" w:hAnsiTheme="majorHAnsi"/>
          <w:b/>
        </w:rPr>
      </w:pPr>
      <w:r w:rsidRPr="002F5933">
        <w:rPr>
          <w:rFonts w:asciiTheme="majorHAnsi" w:hAnsiTheme="majorHAnsi"/>
          <w:b/>
        </w:rPr>
        <w:t>Course Description</w:t>
      </w:r>
    </w:p>
    <w:p w:rsidR="00836559" w:rsidRPr="006B1A6A" w:rsidP="00E8588E">
      <w:pPr>
        <w:jc w:val="both"/>
        <w:rPr>
          <w:rFonts w:asciiTheme="majorHAnsi" w:hAnsiTheme="majorHAnsi"/>
        </w:rPr>
      </w:pPr>
      <w:r w:rsidRPr="006B1A6A">
        <w:rPr>
          <w:rFonts w:asciiTheme="majorHAnsi" w:hAnsiTheme="majorHAnsi"/>
        </w:rPr>
        <w:t>Environmental issues often play a critical role in business and corporate transactions.  This class provides practical skills development focusing on the environmental aspects of transactions, with a core emphasis on the identification, management and allocation of environmental liability risks in many different types of transactions.  The class will use simulated assignments and activities so that students will have the opportunity to study legal principles and practical methods as they are embodied in the potential transactions of hypothetical clients.  The course will include the following skills-based activities: (i) the essential methodology for conducting due diligence to identify environmental liabilities; (ii) providing legal advice to clients; (iii) best practices in reviewing, negotiating and drafting transactional documents for environmental matters; (iv) retaining and working with expert environmental consultants; (v) use of various environmental risk management tools; and (vi) addressing post-closing and other special considerations.</w:t>
      </w:r>
    </w:p>
    <w:p w:rsidR="00E8588E" w:rsidRPr="00E8588E" w:rsidP="00E8588E">
      <w:pPr>
        <w:jc w:val="both"/>
        <w:rPr>
          <w:rFonts w:asciiTheme="majorHAnsi" w:hAnsiTheme="majorHAnsi"/>
          <w:i/>
          <w:color w:val="0000FF"/>
        </w:rPr>
      </w:pPr>
    </w:p>
    <w:p w:rsidR="00A5163C" w:rsidP="00AB5194">
      <w:pPr>
        <w:pStyle w:val="Heading2"/>
        <w:spacing w:before="0"/>
        <w:jc w:val="both"/>
        <w:rPr>
          <w:rFonts w:asciiTheme="majorHAnsi" w:hAnsiTheme="majorHAnsi"/>
          <w:sz w:val="22"/>
          <w:szCs w:val="22"/>
        </w:rPr>
      </w:pPr>
      <w:r w:rsidRPr="002F5933">
        <w:rPr>
          <w:rFonts w:asciiTheme="majorHAnsi" w:hAnsiTheme="majorHAnsi"/>
          <w:sz w:val="22"/>
          <w:szCs w:val="22"/>
        </w:rPr>
        <w:t xml:space="preserve">Learning Outcomes </w:t>
      </w:r>
    </w:p>
    <w:p w:rsidR="00E911EE" w:rsidRPr="006B1A6A" w:rsidP="000B1BF1">
      <w:pPr>
        <w:rPr>
          <w:rFonts w:asciiTheme="majorHAnsi" w:hAnsiTheme="majorHAnsi"/>
        </w:rPr>
      </w:pPr>
    </w:p>
    <w:p w:rsidR="00E911EE" w:rsidRPr="006B1A6A" w:rsidP="003705B1">
      <w:pPr>
        <w:pStyle w:val="Heading2"/>
        <w:spacing w:before="0"/>
        <w:jc w:val="both"/>
        <w:rPr>
          <w:rFonts w:asciiTheme="majorHAnsi" w:hAnsiTheme="majorHAnsi"/>
        </w:rPr>
      </w:pPr>
      <w:r w:rsidRPr="006B1A6A">
        <w:rPr>
          <w:rFonts w:asciiTheme="majorHAnsi" w:hAnsiTheme="majorHAnsi"/>
          <w:i/>
          <w:sz w:val="22"/>
          <w:szCs w:val="22"/>
          <w:u w:val="single"/>
        </w:rPr>
        <w:t>Berkeley Law Learning Outcomes</w:t>
      </w:r>
    </w:p>
    <w:p w:rsidR="00613F5A" w:rsidP="003705B1">
      <w:pPr>
        <w:rPr>
          <w:rFonts w:asciiTheme="majorHAnsi" w:hAnsiTheme="majorHAnsi"/>
        </w:rPr>
      </w:pPr>
    </w:p>
    <w:p w:rsidR="003705B1" w:rsidRPr="006B1A6A" w:rsidP="003705B1">
      <w:pPr>
        <w:rPr>
          <w:rFonts w:asciiTheme="majorHAnsi" w:hAnsiTheme="majorHAnsi"/>
        </w:rPr>
      </w:pPr>
      <w:r w:rsidRPr="006B1A6A">
        <w:rPr>
          <w:rFonts w:asciiTheme="majorHAnsi" w:hAnsiTheme="majorHAnsi"/>
        </w:rPr>
        <w:t>Students in the course will be expected to achieve the following Berkeley Law Learning Outcomes:</w:t>
      </w:r>
    </w:p>
    <w:p w:rsidR="003705B1" w:rsidRPr="006B1A6A" w:rsidP="00F40CD9">
      <w:pPr>
        <w:pStyle w:val="ListNumber"/>
        <w:numPr>
          <w:ilvl w:val="0"/>
          <w:numId w:val="28"/>
        </w:numPr>
      </w:pPr>
      <w:r w:rsidRPr="006B1A6A">
        <w:t xml:space="preserve">Legal analysis and reasoning, legal research, problem-solving, and written and oral communication in the legal context; </w:t>
      </w:r>
    </w:p>
    <w:p w:rsidR="003705B1" w:rsidRPr="006B1A6A" w:rsidP="00F40CD9">
      <w:pPr>
        <w:pStyle w:val="ListNumber"/>
        <w:numPr>
          <w:ilvl w:val="0"/>
          <w:numId w:val="28"/>
        </w:numPr>
      </w:pPr>
      <w:r w:rsidRPr="006B1A6A">
        <w:t>Exercise of proper professional and ethical responsibilities to clients and the legal system; and</w:t>
      </w:r>
    </w:p>
    <w:p w:rsidR="003705B1" w:rsidRPr="006B1A6A" w:rsidP="00F40CD9">
      <w:pPr>
        <w:pStyle w:val="ListNumber"/>
        <w:numPr>
          <w:ilvl w:val="0"/>
          <w:numId w:val="28"/>
        </w:numPr>
      </w:pPr>
      <w:r w:rsidRPr="006B1A6A">
        <w:t>Other professional skills needed for competent and ethical participation as a member of the legal profession.</w:t>
      </w:r>
    </w:p>
    <w:p w:rsidR="00E8588E" w:rsidP="00E8588E">
      <w:pPr>
        <w:rPr>
          <w:rFonts w:eastAsia="Times New Roman" w:asciiTheme="majorHAnsi" w:hAnsiTheme="majorHAnsi"/>
          <w:b/>
          <w:i/>
          <w:color w:val="0000FF"/>
        </w:rPr>
      </w:pPr>
    </w:p>
    <w:p w:rsidR="00613F5A" w:rsidP="00E8588E">
      <w:pPr>
        <w:rPr>
          <w:rFonts w:eastAsia="Times New Roman" w:asciiTheme="majorHAnsi" w:hAnsiTheme="majorHAnsi"/>
          <w:b/>
          <w:i/>
          <w:color w:val="0000FF"/>
        </w:rPr>
      </w:pPr>
    </w:p>
    <w:p w:rsidR="00FB2FC5" w:rsidRPr="00E8588E" w:rsidP="00E8588E">
      <w:pPr>
        <w:rPr>
          <w:rFonts w:eastAsia="Times New Roman" w:asciiTheme="majorHAnsi" w:hAnsiTheme="majorHAnsi"/>
          <w:b/>
          <w:i/>
          <w:color w:val="0000FF"/>
        </w:rPr>
      </w:pPr>
    </w:p>
    <w:p w:rsidR="00750111" w:rsidRPr="009B1198" w:rsidP="00922422">
      <w:pPr>
        <w:pStyle w:val="Heading2"/>
        <w:spacing w:before="0"/>
        <w:jc w:val="both"/>
        <w:rPr>
          <w:rFonts w:asciiTheme="majorHAnsi" w:hAnsiTheme="majorHAnsi"/>
          <w:i/>
          <w:sz w:val="22"/>
          <w:szCs w:val="22"/>
          <w:u w:val="single"/>
        </w:rPr>
      </w:pPr>
      <w:r w:rsidRPr="009B1198">
        <w:rPr>
          <w:rFonts w:asciiTheme="majorHAnsi" w:hAnsiTheme="majorHAnsi"/>
          <w:i/>
          <w:sz w:val="22"/>
          <w:szCs w:val="22"/>
          <w:u w:val="single"/>
        </w:rPr>
        <w:t>Course-Specific Learning Outcomes</w:t>
      </w:r>
    </w:p>
    <w:p w:rsidR="00613F5A" w:rsidP="009B1198">
      <w:pPr>
        <w:ind w:right="-720"/>
        <w:rPr>
          <w:rFonts w:asciiTheme="majorHAnsi" w:eastAsiaTheme="minorEastAsia" w:hAnsiTheme="majorHAnsi" w:cs="Palatino-Roman"/>
        </w:rPr>
      </w:pPr>
    </w:p>
    <w:p w:rsidR="009B1198" w:rsidRPr="009B1198" w:rsidP="009B1198">
      <w:pPr>
        <w:ind w:right="-720"/>
      </w:pPr>
      <w:r w:rsidRPr="009B1198">
        <w:rPr>
          <w:rFonts w:asciiTheme="majorHAnsi" w:eastAsiaTheme="minorEastAsia" w:hAnsiTheme="majorHAnsi" w:cs="Palatino-Roman"/>
        </w:rPr>
        <w:t xml:space="preserve">This class is intended to help you develop practical skills and knowledge that can be applied in an environmental legal practice that includes transaction-oriented work.  </w:t>
      </w:r>
      <w:r w:rsidRPr="009B1198">
        <w:rPr>
          <w:rFonts w:asciiTheme="majorHAnsi" w:hAnsiTheme="majorHAnsi"/>
        </w:rPr>
        <w:t>By the end of this class, students should be able to:</w:t>
      </w:r>
    </w:p>
    <w:p w:rsidR="009B1198" w:rsidRPr="009B1198" w:rsidP="00F40CD9">
      <w:pPr>
        <w:numPr>
          <w:ilvl w:val="0"/>
          <w:numId w:val="23"/>
        </w:numPr>
        <w:ind w:left="360"/>
        <w:jc w:val="both"/>
        <w:rPr>
          <w:rFonts w:asciiTheme="majorHAnsi" w:hAnsiTheme="majorHAnsi"/>
        </w:rPr>
      </w:pPr>
      <w:r>
        <w:rPr>
          <w:rFonts w:asciiTheme="majorHAnsi" w:hAnsiTheme="majorHAnsi"/>
        </w:rPr>
        <w:t>Use due diligence methods to identify key types of legal and technical environmental risks that may impact a business transaction;</w:t>
      </w:r>
    </w:p>
    <w:p w:rsidR="009B1198" w:rsidRPr="009B1198" w:rsidP="00F40CD9">
      <w:pPr>
        <w:numPr>
          <w:ilvl w:val="0"/>
          <w:numId w:val="23"/>
        </w:numPr>
        <w:ind w:left="360"/>
        <w:jc w:val="both"/>
        <w:rPr>
          <w:rFonts w:asciiTheme="majorHAnsi" w:hAnsiTheme="majorHAnsi"/>
        </w:rPr>
      </w:pPr>
      <w:r>
        <w:rPr>
          <w:rFonts w:asciiTheme="majorHAnsi" w:hAnsiTheme="majorHAnsi"/>
        </w:rPr>
        <w:t>Critically evaluate the transactional implications of environmental risks and mitigation options;</w:t>
      </w:r>
    </w:p>
    <w:p w:rsidR="009B1198" w:rsidRPr="009B1198" w:rsidP="00F40CD9">
      <w:pPr>
        <w:numPr>
          <w:ilvl w:val="0"/>
          <w:numId w:val="23"/>
        </w:numPr>
        <w:ind w:left="360"/>
        <w:jc w:val="both"/>
        <w:rPr>
          <w:rFonts w:asciiTheme="majorHAnsi" w:hAnsiTheme="majorHAnsi"/>
        </w:rPr>
      </w:pPr>
      <w:r>
        <w:rPr>
          <w:rFonts w:asciiTheme="majorHAnsi" w:hAnsiTheme="majorHAnsi"/>
        </w:rPr>
        <w:t>Negotiate favorable transactional outcomes to allocate environmental risks; and</w:t>
      </w:r>
    </w:p>
    <w:p w:rsidR="009B1198" w:rsidRPr="009B1198" w:rsidP="00F40CD9">
      <w:pPr>
        <w:numPr>
          <w:ilvl w:val="0"/>
          <w:numId w:val="23"/>
        </w:numPr>
        <w:ind w:left="360"/>
        <w:jc w:val="both"/>
        <w:rPr>
          <w:rFonts w:asciiTheme="majorHAnsi" w:hAnsiTheme="majorHAnsi"/>
        </w:rPr>
      </w:pPr>
      <w:r>
        <w:rPr>
          <w:rFonts w:asciiTheme="majorHAnsi" w:hAnsiTheme="majorHAnsi"/>
        </w:rPr>
        <w:t>Prepare key documents used in environmental transactional practice, including due diligence materials and various types of commercial agreements.</w:t>
      </w:r>
    </w:p>
    <w:p w:rsidR="009B1198" w:rsidRPr="00B61FFC" w:rsidP="009B1198">
      <w:pPr>
        <w:ind w:left="720"/>
        <w:jc w:val="both"/>
        <w:rPr>
          <w:rFonts w:asciiTheme="majorHAnsi" w:hAnsiTheme="majorHAnsi"/>
          <w:color w:val="FF0000"/>
        </w:rPr>
      </w:pPr>
    </w:p>
    <w:p w:rsidR="005862AA" w:rsidRPr="0041145C" w:rsidP="005862AA">
      <w:pPr>
        <w:pStyle w:val="Heading2"/>
        <w:spacing w:before="0"/>
        <w:jc w:val="both"/>
        <w:rPr>
          <w:rFonts w:asciiTheme="majorHAnsi" w:hAnsiTheme="majorHAnsi"/>
          <w:sz w:val="22"/>
          <w:szCs w:val="22"/>
        </w:rPr>
      </w:pPr>
      <w:r w:rsidRPr="0041145C">
        <w:rPr>
          <w:rFonts w:asciiTheme="majorHAnsi" w:hAnsiTheme="majorHAnsi"/>
          <w:sz w:val="22"/>
          <w:szCs w:val="22"/>
        </w:rPr>
        <w:t>Assignments/Exams/Experiential Exercises/Papers/Projects</w:t>
      </w:r>
    </w:p>
    <w:p w:rsidR="00732A29" w:rsidP="005862AA">
      <w:pPr>
        <w:jc w:val="both"/>
        <w:rPr>
          <w:rFonts w:asciiTheme="majorHAnsi" w:hAnsiTheme="majorHAnsi"/>
        </w:rPr>
      </w:pPr>
    </w:p>
    <w:p w:rsidR="00732A29" w:rsidRPr="00FE39E5" w:rsidP="005862AA">
      <w:pPr>
        <w:jc w:val="both"/>
        <w:rPr>
          <w:rFonts w:asciiTheme="majorHAnsi" w:hAnsiTheme="majorHAnsi"/>
        </w:rPr>
      </w:pPr>
      <w:r>
        <w:rPr>
          <w:rFonts w:asciiTheme="majorHAnsi" w:hAnsiTheme="majorHAnsi"/>
        </w:rPr>
        <w:t xml:space="preserve">The assignments in this class are meant to be indicative of the work that environmental transactional attorneys prepare on a daily basis in their practice.  We will be working on a mock transaction throughout the entire course, the details of which will be provided on the first day of instruction. </w:t>
      </w:r>
    </w:p>
    <w:p w:rsidR="00732A29" w:rsidP="005862AA">
      <w:pPr>
        <w:jc w:val="both"/>
        <w:rPr>
          <w:rFonts w:asciiTheme="majorHAnsi" w:hAnsiTheme="majorHAnsi"/>
        </w:rPr>
      </w:pPr>
    </w:p>
    <w:p w:rsidR="00732A29" w:rsidRPr="009B1198" w:rsidP="00613F5A">
      <w:pPr>
        <w:pStyle w:val="ListBullet2"/>
        <w:tabs>
          <w:tab w:val="num" w:pos="360"/>
          <w:tab w:val="clear" w:pos="720"/>
        </w:tabs>
        <w:ind w:left="360"/>
        <w:rPr>
          <w:rFonts w:asciiTheme="majorHAnsi" w:hAnsiTheme="majorHAnsi"/>
        </w:rPr>
      </w:pPr>
      <w:r w:rsidRPr="00930280">
        <w:rPr>
          <w:rFonts w:asciiTheme="majorHAnsi" w:hAnsiTheme="majorHAnsi"/>
          <w:u w:val="single"/>
        </w:rPr>
        <w:t>Diligence Request List</w:t>
      </w:r>
      <w:r>
        <w:rPr>
          <w:rFonts w:asciiTheme="majorHAnsi" w:hAnsiTheme="majorHAnsi"/>
        </w:rPr>
        <w:t>: You will draft a list of due diligence requests to be shared with a target Company at the outset of a diligence process.  This list will include the standard information requested in order to properly assess environmental liabilities of the business conducted by a target and will be based on information already provided in a data room prepared for the mock transaction.</w:t>
      </w:r>
    </w:p>
    <w:p w:rsidR="00732A29" w:rsidRPr="009B1198" w:rsidP="00613F5A">
      <w:pPr>
        <w:pStyle w:val="ListBullet2"/>
        <w:tabs>
          <w:tab w:val="num" w:pos="360"/>
          <w:tab w:val="clear" w:pos="720"/>
        </w:tabs>
        <w:ind w:left="360"/>
        <w:rPr>
          <w:rFonts w:asciiTheme="majorHAnsi" w:hAnsiTheme="majorHAnsi"/>
        </w:rPr>
      </w:pPr>
      <w:r>
        <w:rPr>
          <w:rFonts w:asciiTheme="majorHAnsi" w:hAnsiTheme="majorHAnsi"/>
          <w:u w:val="single"/>
        </w:rPr>
        <w:t>Due Diligence Memorandum and Client Download</w:t>
      </w:r>
      <w:r>
        <w:rPr>
          <w:rFonts w:asciiTheme="majorHAnsi" w:hAnsiTheme="majorHAnsi"/>
        </w:rPr>
        <w:t>: You will write a memorandum summarizing the findings of your environmental diligence for your client, identifying any material environmental health or safety issues that you have identified.  You will then participate in a conference call with your “client” (i.e., a professor) and orally share the results of your diligence.</w:t>
      </w:r>
    </w:p>
    <w:p w:rsidR="00732A29" w:rsidRPr="009B1198" w:rsidP="00613F5A">
      <w:pPr>
        <w:pStyle w:val="ListBullet2"/>
        <w:tabs>
          <w:tab w:val="num" w:pos="360"/>
          <w:tab w:val="clear" w:pos="720"/>
        </w:tabs>
        <w:ind w:left="360"/>
        <w:rPr>
          <w:rFonts w:asciiTheme="majorHAnsi" w:hAnsiTheme="majorHAnsi"/>
        </w:rPr>
      </w:pPr>
      <w:r w:rsidRPr="00930280">
        <w:rPr>
          <w:rFonts w:asciiTheme="majorHAnsi" w:hAnsiTheme="majorHAnsi"/>
          <w:u w:val="single"/>
        </w:rPr>
        <w:t>Markup of Stock Purchase Agreement</w:t>
      </w:r>
      <w:r>
        <w:rPr>
          <w:rFonts w:asciiTheme="majorHAnsi" w:hAnsiTheme="majorHAnsi"/>
        </w:rPr>
        <w:t>: You will review and mark up the environmental provisions of a Stock Purchase Agreement on behalf of your client.</w:t>
      </w:r>
    </w:p>
    <w:p w:rsidR="00732A29" w:rsidRPr="009B1198" w:rsidP="00613F5A">
      <w:pPr>
        <w:pStyle w:val="ListBullet2"/>
        <w:tabs>
          <w:tab w:val="num" w:pos="360"/>
          <w:tab w:val="clear" w:pos="720"/>
        </w:tabs>
        <w:ind w:left="360"/>
        <w:rPr>
          <w:rFonts w:asciiTheme="majorHAnsi" w:hAnsiTheme="majorHAnsi"/>
        </w:rPr>
      </w:pPr>
      <w:r w:rsidRPr="00930280">
        <w:rPr>
          <w:rFonts w:asciiTheme="majorHAnsi" w:hAnsiTheme="majorHAnsi"/>
          <w:u w:val="single"/>
        </w:rPr>
        <w:t>Markup of Asset Purchase Agreement</w:t>
      </w:r>
      <w:r>
        <w:rPr>
          <w:rFonts w:asciiTheme="majorHAnsi" w:hAnsiTheme="majorHAnsi"/>
        </w:rPr>
        <w:t>: You will re</w:t>
      </w:r>
      <w:bookmarkStart w:id="0" w:name="_GoBack"/>
      <w:bookmarkEnd w:id="0"/>
      <w:r>
        <w:rPr>
          <w:rFonts w:asciiTheme="majorHAnsi" w:hAnsiTheme="majorHAnsi"/>
        </w:rPr>
        <w:t>view and mark up the environmental provisions of an Asset Purchase Agreement on behalf of your client.</w:t>
      </w:r>
    </w:p>
    <w:p w:rsidR="00702ECB" w:rsidRPr="009B1198" w:rsidP="00702ECB">
      <w:pPr>
        <w:pStyle w:val="ListBullet2"/>
        <w:tabs>
          <w:tab w:val="num" w:pos="360"/>
          <w:tab w:val="clear" w:pos="720"/>
        </w:tabs>
        <w:ind w:left="360"/>
        <w:rPr>
          <w:rFonts w:asciiTheme="majorHAnsi" w:hAnsiTheme="majorHAnsi"/>
        </w:rPr>
      </w:pPr>
      <w:r w:rsidRPr="00930280">
        <w:rPr>
          <w:rFonts w:asciiTheme="majorHAnsi" w:hAnsiTheme="majorHAnsi"/>
          <w:u w:val="single"/>
        </w:rPr>
        <w:t>Written Responses to Underwriter Diligence Requests</w:t>
      </w:r>
      <w:r>
        <w:rPr>
          <w:rFonts w:asciiTheme="majorHAnsi" w:hAnsiTheme="majorHAnsi"/>
        </w:rPr>
        <w:t>: You will prepare written responses summarizing your environmental diligence to an underwriter employed by a lender.</w:t>
      </w:r>
    </w:p>
    <w:p w:rsidR="00732A29" w:rsidP="00613F5A">
      <w:pPr>
        <w:pStyle w:val="ListBullet2"/>
        <w:tabs>
          <w:tab w:val="num" w:pos="360"/>
          <w:tab w:val="clear" w:pos="720"/>
        </w:tabs>
        <w:ind w:left="360"/>
        <w:rPr>
          <w:rFonts w:asciiTheme="majorHAnsi" w:hAnsiTheme="majorHAnsi"/>
        </w:rPr>
      </w:pPr>
      <w:r w:rsidRPr="00930280">
        <w:rPr>
          <w:rFonts w:asciiTheme="majorHAnsi" w:hAnsiTheme="majorHAnsi"/>
          <w:u w:val="single"/>
        </w:rPr>
        <w:t>Markup of Credit Agreement</w:t>
      </w:r>
      <w:r>
        <w:rPr>
          <w:rFonts w:asciiTheme="majorHAnsi" w:hAnsiTheme="majorHAnsi"/>
        </w:rPr>
        <w:t>: You will review and mark up the environmental provisions of a Credit Agreement on behalf of your client.</w:t>
      </w:r>
    </w:p>
    <w:p w:rsidR="003B286E" w:rsidRPr="003B286E" w:rsidP="003B286E">
      <w:pPr>
        <w:pStyle w:val="ListBullet2"/>
        <w:tabs>
          <w:tab w:val="num" w:pos="360"/>
          <w:tab w:val="clear" w:pos="720"/>
        </w:tabs>
        <w:ind w:left="360"/>
        <w:rPr>
          <w:rFonts w:asciiTheme="majorHAnsi" w:hAnsiTheme="majorHAnsi"/>
        </w:rPr>
      </w:pPr>
      <w:r w:rsidRPr="00930280">
        <w:rPr>
          <w:rFonts w:asciiTheme="majorHAnsi" w:hAnsiTheme="majorHAnsi"/>
          <w:u w:val="single"/>
        </w:rPr>
        <w:t>Indemnity Claim Letter</w:t>
      </w:r>
      <w:r>
        <w:rPr>
          <w:rFonts w:asciiTheme="majorHAnsi" w:hAnsiTheme="majorHAnsi"/>
        </w:rPr>
        <w:t>: You will draft a claim for indemnification by the seller for environmental matters identified during the course of your diligence.</w:t>
      </w:r>
    </w:p>
    <w:p w:rsidR="00732A29">
      <w:pPr>
        <w:jc w:val="both"/>
        <w:rPr>
          <w:rFonts w:asciiTheme="majorHAnsi" w:hAnsiTheme="majorHAnsi"/>
        </w:rPr>
      </w:pPr>
    </w:p>
    <w:p w:rsidR="00FE39E5" w:rsidRPr="00FE39E5">
      <w:pPr>
        <w:jc w:val="both"/>
        <w:rPr>
          <w:rFonts w:asciiTheme="majorHAnsi" w:hAnsiTheme="majorHAnsi"/>
        </w:rPr>
      </w:pPr>
      <w:r>
        <w:rPr>
          <w:rFonts w:asciiTheme="majorHAnsi" w:hAnsiTheme="majorHAnsi"/>
        </w:rPr>
        <w:t xml:space="preserve">These assignments will be provided consistently throughout the course.  </w:t>
      </w:r>
      <w:r>
        <w:rPr>
          <w:rFonts w:asciiTheme="majorHAnsi" w:hAnsiTheme="majorHAnsi"/>
          <w:b/>
        </w:rPr>
        <w:t>There will be no final exam</w:t>
      </w:r>
      <w:r>
        <w:rPr>
          <w:rFonts w:asciiTheme="majorHAnsi" w:hAnsiTheme="majorHAnsi"/>
        </w:rPr>
        <w:t xml:space="preserve">.  </w:t>
      </w:r>
    </w:p>
    <w:p w:rsidR="00FE39E5" w:rsidRPr="00A04A87">
      <w:pPr>
        <w:jc w:val="both"/>
        <w:rPr>
          <w:rFonts w:asciiTheme="majorHAnsi" w:hAnsiTheme="majorHAnsi"/>
        </w:rPr>
      </w:pPr>
    </w:p>
    <w:p w:rsidR="00B108C0" w:rsidP="002E0D81">
      <w:pPr>
        <w:jc w:val="both"/>
        <w:rPr>
          <w:rFonts w:asciiTheme="majorHAnsi" w:hAnsiTheme="majorHAnsi"/>
          <w:b/>
        </w:rPr>
      </w:pPr>
    </w:p>
    <w:p w:rsidR="00B108C0" w:rsidP="002E0D81">
      <w:pPr>
        <w:jc w:val="both"/>
        <w:rPr>
          <w:rFonts w:asciiTheme="majorHAnsi" w:hAnsiTheme="majorHAnsi"/>
          <w:b/>
        </w:rPr>
      </w:pPr>
    </w:p>
    <w:p w:rsidR="00702ECB" w:rsidP="002E0D81">
      <w:pPr>
        <w:jc w:val="both"/>
        <w:rPr>
          <w:rFonts w:asciiTheme="majorHAnsi" w:hAnsiTheme="majorHAnsi"/>
          <w:b/>
        </w:rPr>
      </w:pPr>
    </w:p>
    <w:p w:rsidR="00702ECB" w:rsidP="002E0D81">
      <w:pPr>
        <w:jc w:val="both"/>
        <w:rPr>
          <w:rFonts w:asciiTheme="majorHAnsi" w:hAnsiTheme="majorHAnsi"/>
          <w:b/>
        </w:rPr>
      </w:pPr>
    </w:p>
    <w:p w:rsidR="00702ECB" w:rsidP="002E0D81">
      <w:pPr>
        <w:jc w:val="both"/>
        <w:rPr>
          <w:rFonts w:asciiTheme="majorHAnsi" w:hAnsiTheme="majorHAnsi"/>
          <w:b/>
        </w:rPr>
      </w:pPr>
    </w:p>
    <w:p w:rsidR="00702ECB" w:rsidP="002E0D81">
      <w:pPr>
        <w:jc w:val="both"/>
        <w:rPr>
          <w:rFonts w:asciiTheme="majorHAnsi" w:hAnsiTheme="majorHAnsi"/>
          <w:b/>
        </w:rPr>
      </w:pPr>
    </w:p>
    <w:p w:rsidR="00702ECB" w:rsidP="002E0D81">
      <w:pPr>
        <w:jc w:val="both"/>
        <w:rPr>
          <w:rFonts w:asciiTheme="majorHAnsi" w:hAnsiTheme="majorHAnsi"/>
          <w:b/>
        </w:rPr>
      </w:pPr>
    </w:p>
    <w:p w:rsidR="00B108C0" w:rsidP="002E0D81">
      <w:pPr>
        <w:jc w:val="both"/>
        <w:rPr>
          <w:rFonts w:asciiTheme="majorHAnsi" w:hAnsiTheme="majorHAnsi"/>
          <w:b/>
        </w:rPr>
      </w:pPr>
    </w:p>
    <w:p w:rsidR="00B108C0" w:rsidP="002E0D81">
      <w:pPr>
        <w:jc w:val="both"/>
        <w:rPr>
          <w:rFonts w:asciiTheme="majorHAnsi" w:hAnsiTheme="majorHAnsi"/>
          <w:b/>
        </w:rPr>
      </w:pPr>
    </w:p>
    <w:p w:rsidR="005862AA" w:rsidP="002E0D81">
      <w:pPr>
        <w:jc w:val="both"/>
        <w:rPr>
          <w:rFonts w:asciiTheme="majorHAnsi" w:hAnsiTheme="majorHAnsi"/>
          <w:b/>
        </w:rPr>
      </w:pPr>
      <w:r w:rsidRPr="00CD6E1E">
        <w:rPr>
          <w:rFonts w:asciiTheme="majorHAnsi" w:hAnsiTheme="majorHAnsi"/>
          <w:b/>
        </w:rPr>
        <w:t>Grading/Evaluation</w:t>
      </w:r>
    </w:p>
    <w:p w:rsidR="004D5F82" w:rsidRPr="00CD6E1E" w:rsidP="002E0D81">
      <w:pPr>
        <w:jc w:val="both"/>
        <w:rPr>
          <w:rFonts w:asciiTheme="majorHAnsi" w:hAnsiTheme="majorHAnsi"/>
          <w:b/>
        </w:rPr>
      </w:pPr>
    </w:p>
    <w:p w:rsidR="006B1A6A" w:rsidRPr="009B1198" w:rsidP="006B1A6A">
      <w:pPr>
        <w:pStyle w:val="ListBullet"/>
        <w:numPr>
          <w:ilvl w:val="0"/>
          <w:numId w:val="21"/>
        </w:numPr>
        <w:rPr>
          <w:rFonts w:asciiTheme="majorHAnsi" w:hAnsiTheme="majorHAnsi"/>
          <w:sz w:val="22"/>
          <w:szCs w:val="22"/>
        </w:rPr>
      </w:pPr>
      <w:r w:rsidRPr="009B1198">
        <w:rPr>
          <w:rFonts w:asciiTheme="majorHAnsi" w:hAnsiTheme="majorHAnsi"/>
          <w:sz w:val="22"/>
          <w:szCs w:val="22"/>
          <w:u w:val="single"/>
        </w:rPr>
        <w:t>Written Assignments</w:t>
      </w:r>
      <w:r w:rsidRPr="009B1198">
        <w:rPr>
          <w:rFonts w:asciiTheme="majorHAnsi" w:hAnsiTheme="majorHAnsi"/>
          <w:sz w:val="22"/>
          <w:szCs w:val="22"/>
        </w:rPr>
        <w:t>:  The written assignments described above will all be graded and account for the following percentage of your final grade:</w:t>
      </w:r>
    </w:p>
    <w:p w:rsidR="006B1A6A" w:rsidRPr="009B1198" w:rsidP="00F40CD9">
      <w:pPr>
        <w:pStyle w:val="ListBullet2"/>
        <w:numPr>
          <w:ilvl w:val="0"/>
          <w:numId w:val="30"/>
        </w:numPr>
        <w:rPr>
          <w:rFonts w:asciiTheme="majorHAnsi" w:hAnsiTheme="majorHAnsi"/>
        </w:rPr>
      </w:pPr>
      <w:r w:rsidRPr="009B1198">
        <w:rPr>
          <w:rFonts w:asciiTheme="majorHAnsi" w:hAnsiTheme="majorHAnsi"/>
        </w:rPr>
        <w:t>Diligence Request List: 10%</w:t>
      </w:r>
    </w:p>
    <w:p w:rsidR="006B1A6A" w:rsidRPr="009B1198" w:rsidP="00F40CD9">
      <w:pPr>
        <w:pStyle w:val="ListBullet2"/>
        <w:numPr>
          <w:ilvl w:val="0"/>
          <w:numId w:val="30"/>
        </w:numPr>
        <w:rPr>
          <w:rFonts w:asciiTheme="majorHAnsi" w:hAnsiTheme="majorHAnsi"/>
        </w:rPr>
      </w:pPr>
      <w:r w:rsidRPr="009B1198">
        <w:rPr>
          <w:rFonts w:asciiTheme="majorHAnsi" w:hAnsiTheme="majorHAnsi"/>
        </w:rPr>
        <w:t>Due Diligence Memorandum: 20%</w:t>
      </w:r>
    </w:p>
    <w:p w:rsidR="006B1A6A" w:rsidRPr="009B1198" w:rsidP="00F40CD9">
      <w:pPr>
        <w:pStyle w:val="ListBullet2"/>
        <w:numPr>
          <w:ilvl w:val="0"/>
          <w:numId w:val="30"/>
        </w:numPr>
        <w:rPr>
          <w:rFonts w:asciiTheme="majorHAnsi" w:hAnsiTheme="majorHAnsi"/>
        </w:rPr>
      </w:pPr>
      <w:r w:rsidRPr="009B1198">
        <w:rPr>
          <w:rFonts w:asciiTheme="majorHAnsi" w:hAnsiTheme="majorHAnsi"/>
        </w:rPr>
        <w:t>Markup of Stock Purchase Agreement: 15%</w:t>
      </w:r>
    </w:p>
    <w:p w:rsidR="006B1A6A" w:rsidRPr="00702ECB" w:rsidP="00702ECB">
      <w:pPr>
        <w:pStyle w:val="ListBullet2"/>
        <w:numPr>
          <w:ilvl w:val="0"/>
          <w:numId w:val="30"/>
        </w:numPr>
        <w:rPr>
          <w:rFonts w:asciiTheme="majorHAnsi" w:hAnsiTheme="majorHAnsi"/>
        </w:rPr>
      </w:pPr>
      <w:r w:rsidRPr="009B1198">
        <w:rPr>
          <w:rFonts w:asciiTheme="majorHAnsi" w:hAnsiTheme="majorHAnsi"/>
        </w:rPr>
        <w:t>Markup of Asset Purchase Agreement: 15%</w:t>
      </w:r>
    </w:p>
    <w:p w:rsidR="006B1A6A" w:rsidRPr="009B1198" w:rsidP="00F40CD9">
      <w:pPr>
        <w:pStyle w:val="ListBullet2"/>
        <w:numPr>
          <w:ilvl w:val="0"/>
          <w:numId w:val="30"/>
        </w:numPr>
        <w:rPr>
          <w:rFonts w:asciiTheme="majorHAnsi" w:hAnsiTheme="majorHAnsi"/>
        </w:rPr>
      </w:pPr>
      <w:r w:rsidRPr="009B1198">
        <w:rPr>
          <w:rFonts w:asciiTheme="majorHAnsi" w:hAnsiTheme="majorHAnsi"/>
        </w:rPr>
        <w:t>Written Responses to Underwriter Diligence Requests: 10%</w:t>
      </w:r>
    </w:p>
    <w:p w:rsidR="00702ECB" w:rsidP="00F40CD9">
      <w:pPr>
        <w:pStyle w:val="ListBullet2"/>
        <w:numPr>
          <w:ilvl w:val="0"/>
          <w:numId w:val="30"/>
        </w:numPr>
        <w:rPr>
          <w:rFonts w:asciiTheme="majorHAnsi" w:hAnsiTheme="majorHAnsi"/>
        </w:rPr>
      </w:pPr>
      <w:r w:rsidRPr="009B1198">
        <w:rPr>
          <w:rFonts w:asciiTheme="majorHAnsi" w:hAnsiTheme="majorHAnsi"/>
        </w:rPr>
        <w:t>Markup of Credit Agreement: 10%</w:t>
      </w:r>
    </w:p>
    <w:p w:rsidR="003B286E" w:rsidRPr="003B286E" w:rsidP="003B286E">
      <w:pPr>
        <w:pStyle w:val="ListBullet2"/>
        <w:numPr>
          <w:ilvl w:val="0"/>
          <w:numId w:val="30"/>
        </w:numPr>
        <w:rPr>
          <w:rFonts w:asciiTheme="majorHAnsi" w:hAnsiTheme="majorHAnsi"/>
        </w:rPr>
      </w:pPr>
      <w:r w:rsidRPr="009B1198">
        <w:rPr>
          <w:rFonts w:asciiTheme="majorHAnsi" w:hAnsiTheme="majorHAnsi"/>
        </w:rPr>
        <w:t>Indemnity Claim Letter: 10%</w:t>
      </w:r>
    </w:p>
    <w:p w:rsidR="006B1A6A" w:rsidRPr="009B1198" w:rsidP="006B1A6A">
      <w:pPr>
        <w:jc w:val="both"/>
        <w:rPr>
          <w:rFonts w:asciiTheme="majorHAnsi" w:hAnsiTheme="majorHAnsi"/>
          <w:i/>
          <w:iCs/>
          <w:color w:val="0000FF"/>
        </w:rPr>
      </w:pPr>
    </w:p>
    <w:p w:rsidR="006B1A6A" w:rsidRPr="009B1198" w:rsidP="006B1A6A">
      <w:pPr>
        <w:pStyle w:val="ListBullet"/>
        <w:numPr>
          <w:ilvl w:val="0"/>
          <w:numId w:val="21"/>
        </w:numPr>
        <w:rPr>
          <w:rFonts w:asciiTheme="majorHAnsi" w:hAnsiTheme="majorHAnsi"/>
          <w:sz w:val="22"/>
          <w:szCs w:val="22"/>
        </w:rPr>
      </w:pPr>
      <w:r w:rsidRPr="009B1198">
        <w:rPr>
          <w:rFonts w:asciiTheme="majorHAnsi" w:hAnsiTheme="majorHAnsi"/>
          <w:sz w:val="22"/>
          <w:szCs w:val="22"/>
          <w:u w:val="single"/>
        </w:rPr>
        <w:t>Client Teleconference</w:t>
      </w:r>
      <w:r w:rsidRPr="009B1198">
        <w:rPr>
          <w:rFonts w:asciiTheme="majorHAnsi" w:hAnsiTheme="majorHAnsi"/>
          <w:sz w:val="22"/>
          <w:szCs w:val="22"/>
        </w:rPr>
        <w:t>:  The client telephone conference will account for 10% of your final grade.</w:t>
      </w:r>
    </w:p>
    <w:p w:rsidR="00C64AD2" w:rsidRPr="009B1198" w:rsidP="00C64AD2">
      <w:pPr>
        <w:pStyle w:val="ListBullet"/>
        <w:numPr>
          <w:ilvl w:val="0"/>
          <w:numId w:val="21"/>
        </w:numPr>
        <w:rPr>
          <w:rFonts w:asciiTheme="majorHAnsi" w:hAnsiTheme="majorHAnsi"/>
        </w:rPr>
      </w:pPr>
      <w:r w:rsidRPr="009B1198">
        <w:rPr>
          <w:rFonts w:asciiTheme="majorHAnsi" w:hAnsiTheme="majorHAnsi"/>
          <w:sz w:val="22"/>
          <w:szCs w:val="22"/>
          <w:u w:val="single"/>
        </w:rPr>
        <w:t>Class Participation</w:t>
      </w:r>
      <w:r w:rsidRPr="009B1198">
        <w:rPr>
          <w:rFonts w:asciiTheme="majorHAnsi" w:hAnsiTheme="majorHAnsi"/>
          <w:sz w:val="22"/>
          <w:szCs w:val="22"/>
        </w:rPr>
        <w:t xml:space="preserve">:  </w:t>
      </w:r>
      <w:r w:rsidRPr="00702ECB">
        <w:rPr>
          <w:rFonts w:asciiTheme="majorHAnsi" w:hAnsiTheme="majorHAnsi"/>
          <w:b/>
          <w:sz w:val="22"/>
          <w:szCs w:val="22"/>
        </w:rPr>
        <w:t>Class attendance is mandatory. </w:t>
      </w:r>
      <w:r w:rsidRPr="009B1198">
        <w:rPr>
          <w:rFonts w:asciiTheme="majorHAnsi" w:hAnsiTheme="majorHAnsi"/>
          <w:sz w:val="22"/>
          <w:szCs w:val="22"/>
        </w:rPr>
        <w:t xml:space="preserve"> If you need to miss a class, please e-mail the instructors ahead of time.  We expect each student to be prepared to participate in discussions of the relevant topics each day, and anticipate lively and diverse class participation.  The goal is to provide students the opportunity to share thoughts and opinions and not to intimidate or embarrass anyone.  Everyone is encouraged to volunteer answers, participate in discussions and ask questions throughout class.  Sometimes, we will need to postpone answers to questions for timing and other reasons, but you should feel free to raise any questions that were not answered in class during office hours.  </w:t>
      </w:r>
      <w:r w:rsidRPr="009B1198">
        <w:rPr>
          <w:rFonts w:asciiTheme="majorHAnsi" w:hAnsiTheme="majorHAnsi"/>
          <w:b/>
          <w:bCs/>
          <w:sz w:val="22"/>
          <w:szCs w:val="22"/>
        </w:rPr>
        <w:t>Class participation will be used in determining a tiebreaker for students at grade borderlines.</w:t>
      </w:r>
    </w:p>
    <w:p w:rsidR="005D750C" w:rsidP="005D750C">
      <w:pPr>
        <w:pStyle w:val="Heading2"/>
        <w:spacing w:before="0"/>
        <w:jc w:val="both"/>
        <w:rPr>
          <w:rFonts w:asciiTheme="majorHAnsi" w:hAnsiTheme="majorHAnsi"/>
          <w:sz w:val="22"/>
          <w:szCs w:val="22"/>
        </w:rPr>
      </w:pPr>
      <w:r w:rsidRPr="002F5933">
        <w:rPr>
          <w:rFonts w:asciiTheme="majorHAnsi" w:hAnsiTheme="majorHAnsi"/>
          <w:sz w:val="22"/>
          <w:szCs w:val="22"/>
        </w:rPr>
        <w:t>Course Policies</w:t>
      </w:r>
    </w:p>
    <w:p w:rsidR="005D750C" w:rsidRPr="00C64AD2" w:rsidP="00C64AD2"/>
    <w:p w:rsidR="009B1198" w:rsidRPr="009B1198" w:rsidP="009B1198">
      <w:pPr>
        <w:autoSpaceDE w:val="0"/>
        <w:autoSpaceDN w:val="0"/>
        <w:adjustRightInd w:val="0"/>
        <w:rPr>
          <w:rFonts w:asciiTheme="majorHAnsi" w:eastAsiaTheme="minorEastAsia" w:hAnsiTheme="majorHAnsi" w:cs="Palatino-Roman"/>
        </w:rPr>
      </w:pPr>
      <w:r w:rsidRPr="009B1198">
        <w:rPr>
          <w:rFonts w:asciiTheme="majorHAnsi" w:eastAsiaTheme="minorEastAsia" w:hAnsiTheme="majorHAnsi" w:cs="Palatino-Roman"/>
        </w:rPr>
        <w:t>To ensure a successful semester for you and your peers, we expect the following of every student:</w:t>
      </w:r>
    </w:p>
    <w:p w:rsidR="009B1198" w:rsidRPr="009B1198" w:rsidP="009B1198">
      <w:pPr>
        <w:autoSpaceDE w:val="0"/>
        <w:autoSpaceDN w:val="0"/>
        <w:adjustRightInd w:val="0"/>
        <w:rPr>
          <w:rFonts w:asciiTheme="majorHAnsi" w:eastAsiaTheme="minorEastAsia" w:hAnsiTheme="majorHAnsi" w:cs="Palatino-Roman"/>
        </w:rPr>
      </w:pPr>
    </w:p>
    <w:p w:rsidR="009B1198" w:rsidRPr="009B1198" w:rsidP="00F40CD9">
      <w:pPr>
        <w:numPr>
          <w:ilvl w:val="0"/>
          <w:numId w:val="24"/>
        </w:numPr>
        <w:ind w:left="360"/>
      </w:pPr>
      <w:r w:rsidRPr="009B1198">
        <w:rPr>
          <w:rFonts w:asciiTheme="majorHAnsi" w:eastAsiaTheme="minorEastAsia" w:hAnsiTheme="majorHAnsi" w:cs="Palatino-Roman"/>
        </w:rPr>
        <w:t>Attendance at every class is required. Absences will be excused only with advance notice to</w:t>
      </w:r>
      <w:r w:rsidRPr="009B1198">
        <w:t xml:space="preserve"> the professors</w:t>
      </w:r>
      <w:r w:rsidRPr="009B1198">
        <w:rPr>
          <w:rFonts w:asciiTheme="majorHAnsi" w:eastAsiaTheme="minorEastAsia" w:hAnsiTheme="majorHAnsi" w:cs="Palatino-Roman"/>
        </w:rPr>
        <w:t xml:space="preserve"> in cases of illness or personal/family necessity. The professors may request proof of the need for such absence.</w:t>
      </w:r>
    </w:p>
    <w:p w:rsidR="009B1198" w:rsidRPr="009B1198" w:rsidP="00F40CD9">
      <w:pPr>
        <w:numPr>
          <w:ilvl w:val="0"/>
          <w:numId w:val="24"/>
        </w:numPr>
        <w:ind w:left="360"/>
      </w:pPr>
      <w:r w:rsidRPr="009B1198">
        <w:rPr>
          <w:rFonts w:asciiTheme="majorHAnsi" w:eastAsiaTheme="minorEastAsia" w:hAnsiTheme="majorHAnsi" w:cs="Palatino-Roman"/>
        </w:rPr>
        <w:t>Students are expected to come to each class meeting prepared to participate. Failure to come prepared to a class is a serious issue. Per the course grading/evaluation policy, lack of participation in classes</w:t>
      </w:r>
      <w:r w:rsidRPr="009B1198">
        <w:t xml:space="preserve"> </w:t>
      </w:r>
      <w:r>
        <w:rPr>
          <w:rFonts w:asciiTheme="majorHAnsi" w:eastAsiaTheme="minorEastAsia" w:hAnsiTheme="majorHAnsi" w:cs="Palatino-Roman"/>
        </w:rPr>
        <w:t>may impact your grade.</w:t>
      </w:r>
    </w:p>
    <w:p w:rsidR="00F32222" w:rsidRPr="009B1198" w:rsidP="00F40CD9">
      <w:pPr>
        <w:numPr>
          <w:ilvl w:val="0"/>
          <w:numId w:val="24"/>
        </w:numPr>
        <w:autoSpaceDE w:val="0"/>
        <w:autoSpaceDN w:val="0"/>
        <w:adjustRightInd w:val="0"/>
        <w:ind w:left="360"/>
        <w:rPr>
          <w:rFonts w:asciiTheme="majorHAnsi" w:eastAsiaTheme="minorEastAsia" w:hAnsiTheme="majorHAnsi" w:cs="Palatino-Roman"/>
        </w:rPr>
      </w:pPr>
      <w:r w:rsidRPr="009B1198">
        <w:rPr>
          <w:rFonts w:asciiTheme="majorHAnsi" w:eastAsiaTheme="minorEastAsia" w:hAnsiTheme="majorHAnsi" w:cs="Palatino-Roman"/>
        </w:rPr>
        <w:t>Students will complete assigned tasks and fulfill responsibilities in a reliable and timely manner.</w:t>
      </w:r>
    </w:p>
    <w:p w:rsidR="009B1198" w:rsidRPr="009B1198" w:rsidP="00F40CD9">
      <w:pPr>
        <w:numPr>
          <w:ilvl w:val="0"/>
          <w:numId w:val="24"/>
        </w:numPr>
        <w:autoSpaceDE w:val="0"/>
        <w:autoSpaceDN w:val="0"/>
        <w:adjustRightInd w:val="0"/>
        <w:ind w:left="360"/>
        <w:rPr>
          <w:rFonts w:asciiTheme="majorHAnsi" w:eastAsiaTheme="minorEastAsia" w:hAnsiTheme="majorHAnsi" w:cs="Palatino-Roman"/>
        </w:rPr>
      </w:pPr>
      <w:r w:rsidRPr="009B1198">
        <w:rPr>
          <w:rFonts w:asciiTheme="majorHAnsi" w:eastAsiaTheme="minorEastAsia" w:hAnsiTheme="majorHAnsi" w:cs="Palatino-Roman"/>
        </w:rPr>
        <w:t>Students will establish rapport and relate well to their peers and the faculty in a learning environment. Students will maintain honesty, contribute to an atmosphere conducive to learning, and resolve conflicts in a dignified manner.</w:t>
      </w:r>
    </w:p>
    <w:p w:rsidR="009B1198" w:rsidRPr="009B1198" w:rsidP="00F40CD9">
      <w:pPr>
        <w:numPr>
          <w:ilvl w:val="0"/>
          <w:numId w:val="25"/>
        </w:numPr>
        <w:ind w:left="360"/>
      </w:pPr>
      <w:r w:rsidRPr="009B1198">
        <w:rPr>
          <w:rFonts w:eastAsia="Times New Roman" w:asciiTheme="majorHAnsi" w:hAnsiTheme="majorHAnsi" w:cs="Arial"/>
          <w:shd w:val="clear" w:color="auto" w:fill="FFFFFF"/>
        </w:rPr>
        <w:t xml:space="preserve">Students may use a laptop or other device to take notes and/or access course-related materials during class. However, accessing the internet (or apps) during class should be limited only to course purposes. You cannot check Facebook or Instagram and successfully follow, or make meaningful contributions to, class. </w:t>
      </w:r>
    </w:p>
    <w:p w:rsidR="00D33751" w:rsidRPr="00B11727" w:rsidP="00CF696D">
      <w:pPr>
        <w:rPr>
          <w:rFonts w:asciiTheme="majorHAnsi" w:hAnsiTheme="majorHAnsi"/>
          <w:color w:val="0000FF"/>
        </w:rPr>
      </w:pPr>
    </w:p>
    <w:p w:rsidR="00C04CE9" w:rsidRPr="00B11727" w:rsidP="00CF696D">
      <w:pPr>
        <w:rPr>
          <w:rFonts w:asciiTheme="majorHAnsi" w:hAnsiTheme="majorHAnsi"/>
          <w:color w:val="0000FF"/>
        </w:rPr>
      </w:pPr>
    </w:p>
    <w:p w:rsidR="006B1A6A" w:rsidP="00CF696D">
      <w:pPr>
        <w:rPr>
          <w:rFonts w:asciiTheme="majorHAnsi" w:hAnsiTheme="majorHAnsi"/>
          <w:b/>
        </w:rPr>
      </w:pPr>
    </w:p>
    <w:p w:rsidR="00702ECB" w:rsidP="00CF696D">
      <w:pPr>
        <w:rPr>
          <w:rFonts w:asciiTheme="majorHAnsi" w:hAnsiTheme="majorHAnsi"/>
          <w:b/>
        </w:rPr>
      </w:pPr>
    </w:p>
    <w:p w:rsidR="00702ECB" w:rsidP="00CF696D">
      <w:pPr>
        <w:rPr>
          <w:rFonts w:asciiTheme="majorHAnsi" w:hAnsiTheme="majorHAnsi"/>
          <w:b/>
        </w:rPr>
      </w:pPr>
    </w:p>
    <w:p w:rsidR="006B1A6A" w:rsidP="00CF696D">
      <w:pPr>
        <w:rPr>
          <w:rFonts w:asciiTheme="majorHAnsi" w:hAnsiTheme="majorHAnsi"/>
          <w:b/>
        </w:rPr>
      </w:pPr>
    </w:p>
    <w:p w:rsidR="00103D8E" w:rsidP="00CF696D">
      <w:pPr>
        <w:rPr>
          <w:rFonts w:asciiTheme="majorHAnsi" w:hAnsiTheme="majorHAnsi"/>
          <w:b/>
        </w:rPr>
      </w:pPr>
      <w:r w:rsidRPr="00B11727">
        <w:rPr>
          <w:rFonts w:asciiTheme="majorHAnsi" w:hAnsiTheme="majorHAnsi"/>
          <w:b/>
        </w:rPr>
        <w:t xml:space="preserve">Course Schedule </w:t>
      </w:r>
    </w:p>
    <w:p w:rsidR="007514AE" w:rsidP="00CF696D">
      <w:pPr>
        <w:rPr>
          <w:rFonts w:asciiTheme="majorHAnsi" w:hAnsiTheme="majorHAnsi"/>
          <w:b/>
        </w:rPr>
      </w:pPr>
    </w:p>
    <w:p w:rsidR="007514AE" w:rsidRPr="00B11727" w:rsidP="00CF696D">
      <w:pPr>
        <w:rPr>
          <w:rFonts w:asciiTheme="majorHAnsi" w:hAnsiTheme="majorHAnsi"/>
          <w:b/>
        </w:rPr>
      </w:pPr>
      <w:r>
        <w:rPr>
          <w:rFonts w:asciiTheme="majorHAnsi" w:hAnsiTheme="majorHAnsi"/>
          <w:b/>
        </w:rPr>
        <w:t>Note: Readings are subject to change; Please check the syllabus on a weekly basis, and we will let you know in class of any changes.</w:t>
      </w:r>
    </w:p>
    <w:p w:rsidR="00103D8E" w:rsidRPr="002F5933" w:rsidP="00103D8E">
      <w:pPr>
        <w:rPr>
          <w:rFonts w:asciiTheme="majorHAnsi" w:hAnsiTheme="majorHAnsi"/>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2383"/>
        <w:gridCol w:w="2934"/>
        <w:gridCol w:w="2984"/>
      </w:tblGrid>
      <w:tr w:rsidTr="001F2DF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409" w:type="dxa"/>
          </w:tcPr>
          <w:p w:rsidR="00314483" w:rsidRPr="0047225E" w:rsidP="007F3360">
            <w:pPr>
              <w:outlineLvl w:val="0"/>
              <w:rPr>
                <w:rFonts w:asciiTheme="majorHAnsi" w:hAnsiTheme="majorHAnsi"/>
                <w:b/>
              </w:rPr>
            </w:pPr>
            <w:r w:rsidRPr="0047225E">
              <w:rPr>
                <w:rFonts w:asciiTheme="majorHAnsi" w:hAnsiTheme="majorHAnsi"/>
                <w:b/>
              </w:rPr>
              <w:t>Class Date</w:t>
            </w:r>
          </w:p>
        </w:tc>
        <w:tc>
          <w:tcPr>
            <w:tcW w:w="2383" w:type="dxa"/>
          </w:tcPr>
          <w:p w:rsidR="00314483" w:rsidRPr="0047225E" w:rsidP="00B0553B">
            <w:pPr>
              <w:outlineLvl w:val="0"/>
              <w:rPr>
                <w:rFonts w:asciiTheme="majorHAnsi" w:hAnsiTheme="majorHAnsi"/>
                <w:b/>
              </w:rPr>
            </w:pPr>
            <w:r w:rsidRPr="0047225E">
              <w:rPr>
                <w:rFonts w:asciiTheme="majorHAnsi" w:hAnsiTheme="majorHAnsi"/>
                <w:b/>
              </w:rPr>
              <w:t>Topic</w:t>
            </w:r>
          </w:p>
        </w:tc>
        <w:tc>
          <w:tcPr>
            <w:tcW w:w="2934" w:type="dxa"/>
          </w:tcPr>
          <w:p w:rsidR="00314483" w:rsidRPr="0047225E" w:rsidP="00440761">
            <w:pPr>
              <w:outlineLvl w:val="0"/>
              <w:rPr>
                <w:rFonts w:asciiTheme="majorHAnsi" w:hAnsiTheme="majorHAnsi"/>
                <w:b/>
              </w:rPr>
            </w:pPr>
            <w:r>
              <w:rPr>
                <w:rFonts w:asciiTheme="majorHAnsi" w:hAnsiTheme="majorHAnsi"/>
                <w:b/>
              </w:rPr>
              <w:t>Reading and Other Assignments (to be completed prior to the class identified in the first column)</w:t>
            </w:r>
          </w:p>
        </w:tc>
        <w:tc>
          <w:tcPr>
            <w:tcW w:w="2984" w:type="dxa"/>
          </w:tcPr>
          <w:p w:rsidR="00314483" w:rsidRPr="0047225E" w:rsidP="00EA699F">
            <w:pPr>
              <w:outlineLvl w:val="0"/>
              <w:rPr>
                <w:rFonts w:asciiTheme="majorHAnsi" w:hAnsiTheme="majorHAnsi"/>
                <w:b/>
              </w:rPr>
            </w:pPr>
            <w:r w:rsidRPr="0047225E">
              <w:rPr>
                <w:rFonts w:asciiTheme="majorHAnsi" w:hAnsiTheme="majorHAnsi"/>
                <w:b/>
              </w:rPr>
              <w:t xml:space="preserve">Relevant Learning Outcome </w:t>
            </w:r>
          </w:p>
        </w:tc>
      </w:tr>
      <w:tr w:rsidTr="001F2DF2">
        <w:tblPrEx>
          <w:tblW w:w="0" w:type="auto"/>
          <w:tblLook w:val="04A0"/>
        </w:tblPrEx>
        <w:tc>
          <w:tcPr>
            <w:tcW w:w="1409" w:type="dxa"/>
          </w:tcPr>
          <w:p w:rsidR="00440761" w:rsidRPr="0047225E" w:rsidP="00B0553B">
            <w:pPr>
              <w:outlineLvl w:val="0"/>
              <w:rPr>
                <w:rFonts w:asciiTheme="majorHAnsi" w:hAnsiTheme="majorHAnsi"/>
              </w:rPr>
            </w:pPr>
            <w:r w:rsidRPr="0047225E">
              <w:rPr>
                <w:rFonts w:asciiTheme="majorHAnsi" w:hAnsiTheme="majorHAnsi"/>
              </w:rPr>
              <w:t>Week 1</w:t>
            </w:r>
          </w:p>
          <w:p w:rsidR="00440761" w:rsidRPr="0047225E" w:rsidP="00B0553B">
            <w:pPr>
              <w:outlineLvl w:val="0"/>
              <w:rPr>
                <w:rFonts w:asciiTheme="majorHAnsi" w:hAnsiTheme="majorHAnsi"/>
              </w:rPr>
            </w:pPr>
          </w:p>
          <w:p w:rsidR="00440761" w:rsidRPr="0047225E" w:rsidP="00B0553B">
            <w:pPr>
              <w:outlineLvl w:val="0"/>
              <w:rPr>
                <w:rFonts w:asciiTheme="majorHAnsi" w:hAnsiTheme="majorHAnsi"/>
              </w:rPr>
            </w:pPr>
          </w:p>
        </w:tc>
        <w:tc>
          <w:tcPr>
            <w:tcW w:w="2383" w:type="dxa"/>
          </w:tcPr>
          <w:p w:rsidR="00440761" w:rsidRPr="0047225E" w:rsidP="001229E0">
            <w:pPr>
              <w:rPr>
                <w:rFonts w:asciiTheme="majorHAnsi" w:hAnsiTheme="majorHAnsi"/>
              </w:rPr>
            </w:pPr>
            <w:r w:rsidRPr="0047225E">
              <w:rPr>
                <w:rFonts w:asciiTheme="majorHAnsi" w:hAnsiTheme="majorHAnsi"/>
              </w:rPr>
              <w:t>Introduction and Overview of Select Environmental Laws</w:t>
            </w:r>
          </w:p>
        </w:tc>
        <w:tc>
          <w:tcPr>
            <w:tcW w:w="2934" w:type="dxa"/>
          </w:tcPr>
          <w:p w:rsidR="00DE47B1" w:rsidP="00DE47B1">
            <w:pPr>
              <w:pStyle w:val="ListBullet"/>
              <w:numPr>
                <w:ilvl w:val="0"/>
                <w:numId w:val="0"/>
              </w:numPr>
              <w:spacing w:after="0"/>
              <w:rPr>
                <w:rFonts w:asciiTheme="majorHAnsi" w:hAnsiTheme="majorHAnsi"/>
                <w:i/>
                <w:color w:val="0000FF"/>
                <w:sz w:val="22"/>
                <w:szCs w:val="22"/>
              </w:rPr>
            </w:pPr>
            <w:r w:rsidRPr="00440761">
              <w:rPr>
                <w:rFonts w:asciiTheme="majorHAnsi" w:hAnsiTheme="majorHAnsi"/>
                <w:i/>
                <w:sz w:val="22"/>
                <w:szCs w:val="22"/>
              </w:rPr>
              <w:t>Reading:</w:t>
            </w:r>
            <w:r w:rsidRPr="00440761">
              <w:rPr>
                <w:rFonts w:asciiTheme="majorHAnsi" w:hAnsiTheme="majorHAnsi"/>
                <w:i/>
                <w:color w:val="0000FF"/>
                <w:sz w:val="22"/>
                <w:szCs w:val="22"/>
              </w:rPr>
              <w:t xml:space="preserve"> </w:t>
            </w:r>
          </w:p>
          <w:p w:rsidR="001D1AEA" w:rsidRPr="00086A0B" w:rsidP="001D1AEA">
            <w:pPr>
              <w:pStyle w:val="ListBullet"/>
              <w:rPr>
                <w:rFonts w:asciiTheme="majorHAnsi" w:hAnsiTheme="majorHAnsi"/>
                <w:i/>
                <w:color w:val="0000FF"/>
                <w:sz w:val="22"/>
                <w:szCs w:val="22"/>
              </w:rPr>
            </w:pPr>
            <w:r w:rsidRPr="00086A0B">
              <w:rPr>
                <w:rFonts w:asciiTheme="majorHAnsi" w:hAnsiTheme="majorHAnsi"/>
                <w:sz w:val="22"/>
                <w:szCs w:val="22"/>
              </w:rPr>
              <w:t xml:space="preserve">James B. Witkin, Ed., </w:t>
            </w:r>
            <w:r w:rsidRPr="00086A0B">
              <w:rPr>
                <w:rFonts w:asciiTheme="majorHAnsi" w:hAnsiTheme="majorHAnsi"/>
                <w:smallCaps/>
                <w:sz w:val="22"/>
                <w:szCs w:val="22"/>
              </w:rPr>
              <w:t xml:space="preserve">Environmental Aspects of Real Estate and Commercial Transactions </w:t>
            </w:r>
            <w:r w:rsidRPr="00086A0B">
              <w:rPr>
                <w:rFonts w:asciiTheme="majorHAnsi" w:hAnsiTheme="majorHAnsi"/>
                <w:sz w:val="22"/>
                <w:szCs w:val="22"/>
              </w:rPr>
              <w:t>[“Witkin”], Chapter 1 - Federal Environmental Liability (ABA, 4th Ed. 2011)</w:t>
            </w:r>
          </w:p>
          <w:p w:rsidR="001D1AEA" w:rsidP="001D1AEA">
            <w:pPr>
              <w:pStyle w:val="ListBullet"/>
              <w:rPr>
                <w:rFonts w:asciiTheme="majorHAnsi" w:hAnsiTheme="majorHAnsi"/>
                <w:sz w:val="22"/>
                <w:szCs w:val="22"/>
              </w:rPr>
            </w:pPr>
            <w:r w:rsidRPr="00086A0B">
              <w:rPr>
                <w:rFonts w:asciiTheme="majorHAnsi" w:hAnsiTheme="majorHAnsi"/>
                <w:i/>
                <w:sz w:val="22"/>
                <w:szCs w:val="22"/>
              </w:rPr>
              <w:t>New York v. Shore Realty Corp.</w:t>
            </w:r>
            <w:r w:rsidRPr="00086A0B">
              <w:rPr>
                <w:rFonts w:asciiTheme="majorHAnsi" w:hAnsiTheme="majorHAnsi"/>
                <w:sz w:val="22"/>
                <w:szCs w:val="22"/>
              </w:rPr>
              <w:t>, 759 F.2d 1032 (2d Cir. 1985)</w:t>
            </w:r>
          </w:p>
          <w:p w:rsidR="001D1AEA" w:rsidRPr="00086A0B" w:rsidP="001D1AEA">
            <w:pPr>
              <w:pStyle w:val="ListBullet"/>
              <w:rPr>
                <w:rFonts w:asciiTheme="majorHAnsi" w:hAnsiTheme="majorHAnsi"/>
                <w:sz w:val="22"/>
                <w:szCs w:val="22"/>
              </w:rPr>
            </w:pPr>
            <w:r w:rsidRPr="00086A0B">
              <w:rPr>
                <w:rFonts w:asciiTheme="majorHAnsi" w:hAnsiTheme="majorHAnsi"/>
                <w:sz w:val="22"/>
                <w:szCs w:val="22"/>
              </w:rPr>
              <w:t xml:space="preserve">U.S. EPA, Office of Solid Waste and Emergency Response, </w:t>
            </w:r>
            <w:r w:rsidRPr="00086A0B">
              <w:rPr>
                <w:rFonts w:asciiTheme="majorHAnsi" w:hAnsiTheme="majorHAnsi"/>
                <w:i/>
                <w:sz w:val="22"/>
                <w:szCs w:val="22"/>
              </w:rPr>
              <w:t>RCRA Training Module</w:t>
            </w:r>
            <w:r w:rsidRPr="00086A0B">
              <w:rPr>
                <w:rFonts w:asciiTheme="majorHAnsi" w:hAnsiTheme="majorHAnsi"/>
                <w:sz w:val="22"/>
                <w:szCs w:val="22"/>
              </w:rPr>
              <w:t xml:space="preserve">:  </w:t>
            </w:r>
            <w:r w:rsidRPr="00086A0B">
              <w:rPr>
                <w:rFonts w:asciiTheme="majorHAnsi" w:hAnsiTheme="majorHAnsi"/>
                <w:i/>
                <w:sz w:val="22"/>
                <w:szCs w:val="22"/>
              </w:rPr>
              <w:t>Introduction to Generators (40 C.F.R. Part 262)</w:t>
            </w:r>
            <w:r w:rsidRPr="00086A0B">
              <w:rPr>
                <w:rFonts w:asciiTheme="majorHAnsi" w:hAnsiTheme="majorHAnsi"/>
                <w:sz w:val="22"/>
                <w:szCs w:val="22"/>
              </w:rPr>
              <w:t>, Chapter 3 - Regulations Governing Hazardous Waste Generators (Sept. 2005)</w:t>
            </w:r>
          </w:p>
          <w:p w:rsidR="00B108C0" w:rsidRPr="001F2DF2" w:rsidP="001F2DF2">
            <w:pPr>
              <w:pStyle w:val="ListBullet"/>
              <w:rPr>
                <w:rFonts w:asciiTheme="majorHAnsi" w:hAnsiTheme="majorHAnsi"/>
                <w:sz w:val="22"/>
                <w:szCs w:val="22"/>
              </w:rPr>
            </w:pPr>
            <w:r w:rsidRPr="001D1AEA">
              <w:rPr>
                <w:rFonts w:asciiTheme="majorHAnsi" w:hAnsiTheme="majorHAnsi"/>
                <w:b/>
                <w:i/>
                <w:sz w:val="22"/>
                <w:szCs w:val="22"/>
                <w:u w:val="single"/>
              </w:rPr>
              <w:t>Skim</w:t>
            </w:r>
            <w:r w:rsidRPr="001D1AEA">
              <w:rPr>
                <w:rFonts w:asciiTheme="majorHAnsi" w:hAnsiTheme="majorHAnsi"/>
                <w:b/>
                <w:i/>
                <w:sz w:val="22"/>
                <w:szCs w:val="22"/>
              </w:rPr>
              <w:t xml:space="preserve">: </w:t>
            </w:r>
            <w:r>
              <w:rPr>
                <w:rFonts w:asciiTheme="majorHAnsi" w:hAnsiTheme="majorHAnsi"/>
                <w:i/>
                <w:sz w:val="22"/>
                <w:szCs w:val="22"/>
              </w:rPr>
              <w:t xml:space="preserve"> </w:t>
            </w:r>
            <w:r w:rsidRPr="00086A0B">
              <w:rPr>
                <w:rFonts w:asciiTheme="majorHAnsi" w:hAnsiTheme="majorHAnsi"/>
                <w:sz w:val="22"/>
                <w:szCs w:val="22"/>
              </w:rPr>
              <w:t xml:space="preserve">U.S. EPA, Office of Solid Waste and Emergency Response, </w:t>
            </w:r>
            <w:r w:rsidRPr="00086A0B">
              <w:rPr>
                <w:rFonts w:asciiTheme="majorHAnsi" w:hAnsiTheme="majorHAnsi"/>
                <w:i/>
                <w:sz w:val="22"/>
                <w:szCs w:val="22"/>
              </w:rPr>
              <w:t>Superfund: 20 Years of Protecting Human Health and the Environment</w:t>
            </w:r>
            <w:r w:rsidRPr="00086A0B">
              <w:rPr>
                <w:rFonts w:asciiTheme="majorHAnsi" w:hAnsiTheme="majorHAnsi"/>
                <w:sz w:val="22"/>
                <w:szCs w:val="22"/>
              </w:rPr>
              <w:t xml:space="preserve"> (Dec. 2000)</w:t>
            </w:r>
          </w:p>
        </w:tc>
        <w:tc>
          <w:tcPr>
            <w:tcW w:w="2984" w:type="dxa"/>
          </w:tcPr>
          <w:p w:rsidR="00440761" w:rsidRPr="00057A38" w:rsidP="00057A38">
            <w:pPr>
              <w:pStyle w:val="ListBullet"/>
              <w:rPr>
                <w:rFonts w:asciiTheme="majorHAnsi" w:hAnsiTheme="majorHAnsi"/>
                <w:i/>
                <w:color w:val="0000FF"/>
                <w:sz w:val="22"/>
                <w:szCs w:val="22"/>
              </w:rPr>
            </w:pPr>
            <w:r w:rsidR="00702ECB">
              <w:rPr>
                <w:rFonts w:asciiTheme="majorHAnsi" w:hAnsiTheme="majorHAnsi"/>
                <w:sz w:val="22"/>
                <w:szCs w:val="22"/>
              </w:rPr>
              <w:t>Explain and understand the basics of key environmental laws addressing liability for the treatment, storage, disposal and release of hazardous substances that are frequently considered in the context of business transactions.</w:t>
            </w:r>
          </w:p>
        </w:tc>
      </w:tr>
      <w:tr w:rsidTr="00476E40">
        <w:tblPrEx>
          <w:tblW w:w="0" w:type="auto"/>
          <w:tblLook w:val="04A0"/>
        </w:tblPrEx>
        <w:tc>
          <w:tcPr>
            <w:tcW w:w="1409" w:type="dxa"/>
          </w:tcPr>
          <w:p w:rsidR="00440761" w:rsidRPr="0047225E" w:rsidP="00B0553B">
            <w:pPr>
              <w:outlineLvl w:val="0"/>
              <w:rPr>
                <w:rFonts w:asciiTheme="majorHAnsi" w:hAnsiTheme="majorHAnsi"/>
              </w:rPr>
            </w:pPr>
            <w:r w:rsidRPr="0047225E">
              <w:rPr>
                <w:rFonts w:asciiTheme="majorHAnsi" w:hAnsiTheme="majorHAnsi"/>
              </w:rPr>
              <w:t>Week 2</w:t>
            </w:r>
          </w:p>
        </w:tc>
        <w:tc>
          <w:tcPr>
            <w:tcW w:w="2383" w:type="dxa"/>
          </w:tcPr>
          <w:p w:rsidR="00440761" w:rsidRPr="0047225E" w:rsidP="00B0553B">
            <w:pPr>
              <w:outlineLvl w:val="0"/>
              <w:rPr>
                <w:rFonts w:asciiTheme="majorHAnsi" w:hAnsiTheme="majorHAnsi"/>
              </w:rPr>
            </w:pPr>
            <w:r w:rsidRPr="0047225E">
              <w:rPr>
                <w:rFonts w:asciiTheme="majorHAnsi" w:hAnsiTheme="majorHAnsi"/>
              </w:rPr>
              <w:t>Corporate Legal Framework Governing the Transfer and Assumption of Liabilities</w:t>
            </w:r>
          </w:p>
        </w:tc>
        <w:tc>
          <w:tcPr>
            <w:tcW w:w="2934" w:type="dxa"/>
          </w:tcPr>
          <w:p w:rsidR="00440761" w:rsidRPr="0047225E" w:rsidP="00936E50">
            <w:pPr>
              <w:rPr>
                <w:rFonts w:asciiTheme="majorHAnsi" w:hAnsiTheme="majorHAnsi"/>
              </w:rPr>
            </w:pPr>
            <w:r w:rsidRPr="0047225E">
              <w:rPr>
                <w:rFonts w:asciiTheme="majorHAnsi" w:hAnsiTheme="majorHAnsi"/>
                <w:i/>
              </w:rPr>
              <w:t>Reading</w:t>
            </w:r>
            <w:r w:rsidRPr="0047225E">
              <w:rPr>
                <w:rFonts w:asciiTheme="majorHAnsi" w:hAnsiTheme="majorHAnsi"/>
              </w:rPr>
              <w:t xml:space="preserve">:  </w:t>
            </w:r>
          </w:p>
          <w:p w:rsidR="00440761" w:rsidP="00936E50">
            <w:pPr>
              <w:pStyle w:val="ListBullet"/>
              <w:rPr>
                <w:rFonts w:asciiTheme="majorHAnsi" w:hAnsiTheme="majorHAnsi"/>
                <w:sz w:val="22"/>
                <w:szCs w:val="22"/>
              </w:rPr>
            </w:pPr>
            <w:r w:rsidRPr="0047225E" w:rsidR="001D4187">
              <w:rPr>
                <w:rFonts w:asciiTheme="majorHAnsi" w:hAnsiTheme="majorHAnsi"/>
                <w:sz w:val="22"/>
                <w:szCs w:val="22"/>
              </w:rPr>
              <w:t xml:space="preserve">Edwin L. Miller Jr., </w:t>
            </w:r>
            <w:r w:rsidR="001D4187">
              <w:rPr>
                <w:rFonts w:asciiTheme="majorHAnsi" w:hAnsiTheme="majorHAnsi"/>
                <w:smallCaps/>
                <w:sz w:val="22"/>
                <w:szCs w:val="22"/>
              </w:rPr>
              <w:t xml:space="preserve">Mergers and Acquisitions: A Step-by-Step Legal and Practical Guide </w:t>
            </w:r>
            <w:r w:rsidR="001D4187">
              <w:rPr>
                <w:rFonts w:asciiTheme="majorHAnsi" w:hAnsiTheme="majorHAnsi"/>
                <w:sz w:val="22"/>
                <w:szCs w:val="22"/>
              </w:rPr>
              <w:t>[“Miller M&amp;A”], Select Segments of Chapters 1 - Structuring Fundamentals (pgs. 13-16 only), and Chapter 3 - Corporate (Non-Tax) Structuring Considerations (pgs. 86-87; 116-118 only) (Oct. 2015)</w:t>
            </w:r>
          </w:p>
          <w:p w:rsidR="00440761" w:rsidP="00440761">
            <w:pPr>
              <w:pStyle w:val="ListBullet"/>
              <w:rPr>
                <w:rFonts w:asciiTheme="majorHAnsi" w:hAnsiTheme="majorHAnsi"/>
                <w:sz w:val="22"/>
                <w:szCs w:val="22"/>
              </w:rPr>
            </w:pPr>
            <w:r w:rsidRPr="00B869DD">
              <w:rPr>
                <w:rFonts w:asciiTheme="majorHAnsi" w:hAnsiTheme="majorHAnsi"/>
                <w:i/>
                <w:sz w:val="22"/>
                <w:szCs w:val="22"/>
              </w:rPr>
              <w:t>United States v. Bestfoods</w:t>
            </w:r>
            <w:r w:rsidRPr="00440761">
              <w:rPr>
                <w:rFonts w:asciiTheme="majorHAnsi" w:hAnsiTheme="majorHAnsi"/>
                <w:sz w:val="22"/>
                <w:szCs w:val="22"/>
              </w:rPr>
              <w:t>, 524 U.S. 51 (1998)</w:t>
            </w:r>
          </w:p>
          <w:p w:rsidR="0042317D" w:rsidRPr="00440761" w:rsidP="00440761">
            <w:pPr>
              <w:pStyle w:val="ListBullet"/>
              <w:rPr>
                <w:rFonts w:asciiTheme="majorHAnsi" w:hAnsiTheme="majorHAnsi"/>
                <w:sz w:val="22"/>
                <w:szCs w:val="22"/>
              </w:rPr>
            </w:pPr>
            <w:r>
              <w:rPr>
                <w:rFonts w:asciiTheme="majorHAnsi" w:hAnsiTheme="majorHAnsi"/>
                <w:i/>
                <w:sz w:val="22"/>
                <w:szCs w:val="22"/>
              </w:rPr>
              <w:t>United States v. Carolina Transformer Company,</w:t>
            </w:r>
            <w:r>
              <w:rPr>
                <w:rFonts w:asciiTheme="majorHAnsi" w:hAnsiTheme="majorHAnsi"/>
                <w:i/>
                <w:sz w:val="22"/>
                <w:szCs w:val="22"/>
                <w:u w:val="single"/>
              </w:rPr>
              <w:t xml:space="preserve"> </w:t>
            </w:r>
            <w:r w:rsidRPr="00B62B67">
              <w:rPr>
                <w:rFonts w:asciiTheme="majorHAnsi" w:hAnsiTheme="majorHAnsi"/>
                <w:sz w:val="22"/>
                <w:szCs w:val="22"/>
              </w:rPr>
              <w:t>978 F.2d 832 (4th Cir. 1992)</w:t>
            </w:r>
          </w:p>
        </w:tc>
        <w:tc>
          <w:tcPr>
            <w:tcW w:w="2984" w:type="dxa"/>
          </w:tcPr>
          <w:p w:rsidR="00440761" w:rsidP="00057A38">
            <w:pPr>
              <w:pStyle w:val="ListBullet"/>
              <w:rPr>
                <w:rFonts w:asciiTheme="majorHAnsi" w:hAnsiTheme="majorHAnsi"/>
                <w:sz w:val="22"/>
                <w:szCs w:val="22"/>
              </w:rPr>
            </w:pPr>
            <w:r w:rsidRPr="00057A38">
              <w:rPr>
                <w:rFonts w:asciiTheme="majorHAnsi" w:hAnsiTheme="majorHAnsi"/>
                <w:sz w:val="22"/>
                <w:szCs w:val="22"/>
              </w:rPr>
              <w:t>Explain the process by which environmental liabilities may be transferred or assumed by various legal entities through transactional arrangements and operation of law</w:t>
            </w:r>
          </w:p>
          <w:p w:rsidR="00057A38" w:rsidRPr="00057A38" w:rsidP="00057A38">
            <w:pPr>
              <w:pStyle w:val="ListBullet"/>
              <w:rPr>
                <w:rFonts w:asciiTheme="majorHAnsi" w:hAnsiTheme="majorHAnsi"/>
                <w:sz w:val="22"/>
                <w:szCs w:val="22"/>
              </w:rPr>
            </w:pPr>
            <w:r>
              <w:rPr>
                <w:rFonts w:asciiTheme="majorHAnsi" w:hAnsiTheme="majorHAnsi"/>
                <w:sz w:val="22"/>
                <w:szCs w:val="22"/>
              </w:rPr>
              <w:t>Demonstrate a basic understanding of the treatment of environmental liabilities in a transactional context</w:t>
            </w:r>
          </w:p>
        </w:tc>
      </w:tr>
      <w:tr w:rsidTr="00476E40">
        <w:tblPrEx>
          <w:tblW w:w="0" w:type="auto"/>
          <w:tblLook w:val="04A0"/>
        </w:tblPrEx>
        <w:trPr>
          <w:trHeight w:val="64"/>
        </w:trPr>
        <w:tc>
          <w:tcPr>
            <w:tcW w:w="1409" w:type="dxa"/>
          </w:tcPr>
          <w:p w:rsidR="00440761" w:rsidRPr="0047225E" w:rsidP="00B0553B">
            <w:pPr>
              <w:outlineLvl w:val="0"/>
              <w:rPr>
                <w:rFonts w:asciiTheme="majorHAnsi" w:hAnsiTheme="majorHAnsi"/>
              </w:rPr>
            </w:pPr>
            <w:r w:rsidRPr="0047225E">
              <w:rPr>
                <w:rFonts w:asciiTheme="majorHAnsi" w:hAnsiTheme="majorHAnsi"/>
              </w:rPr>
              <w:t>Week 3</w:t>
            </w:r>
          </w:p>
        </w:tc>
        <w:tc>
          <w:tcPr>
            <w:tcW w:w="2383" w:type="dxa"/>
          </w:tcPr>
          <w:p w:rsidR="00440761" w:rsidRPr="0047225E" w:rsidP="00B0553B">
            <w:pPr>
              <w:outlineLvl w:val="0"/>
              <w:rPr>
                <w:rFonts w:asciiTheme="majorHAnsi" w:hAnsiTheme="majorHAnsi"/>
              </w:rPr>
            </w:pPr>
            <w:r w:rsidRPr="0047225E">
              <w:rPr>
                <w:rFonts w:asciiTheme="majorHAnsi" w:hAnsiTheme="majorHAnsi"/>
              </w:rPr>
              <w:t>Due Diligence to Identify Environmental Liabilities</w:t>
            </w:r>
          </w:p>
        </w:tc>
        <w:tc>
          <w:tcPr>
            <w:tcW w:w="2934" w:type="dxa"/>
          </w:tcPr>
          <w:p w:rsidR="00440761" w:rsidRPr="0047225E" w:rsidP="00936E50">
            <w:pPr>
              <w:rPr>
                <w:rFonts w:asciiTheme="majorHAnsi" w:hAnsiTheme="majorHAnsi"/>
              </w:rPr>
            </w:pPr>
            <w:r w:rsidRPr="0047225E">
              <w:rPr>
                <w:rFonts w:asciiTheme="majorHAnsi" w:hAnsiTheme="majorHAnsi"/>
                <w:i/>
              </w:rPr>
              <w:t>Reading</w:t>
            </w:r>
            <w:r w:rsidRPr="0047225E">
              <w:rPr>
                <w:rFonts w:asciiTheme="majorHAnsi" w:hAnsiTheme="majorHAnsi"/>
              </w:rPr>
              <w:t xml:space="preserve">:   </w:t>
            </w:r>
          </w:p>
          <w:p w:rsidR="00440761" w:rsidRPr="0047225E" w:rsidP="00936E50">
            <w:pPr>
              <w:pStyle w:val="ListBullet"/>
              <w:rPr>
                <w:rFonts w:asciiTheme="majorHAnsi" w:hAnsiTheme="majorHAnsi"/>
                <w:sz w:val="22"/>
                <w:szCs w:val="22"/>
              </w:rPr>
            </w:pPr>
            <w:r>
              <w:rPr>
                <w:rFonts w:asciiTheme="majorHAnsi" w:hAnsiTheme="majorHAnsi"/>
                <w:sz w:val="22"/>
                <w:szCs w:val="22"/>
              </w:rPr>
              <w:t xml:space="preserve">Witkin, Chapter 7 - The Due Diligence Dilemma: How Much is Enough? </w:t>
            </w:r>
          </w:p>
          <w:p w:rsidR="00440761" w:rsidRPr="00B62B67" w:rsidP="00FB2FC5">
            <w:pPr>
              <w:pStyle w:val="ListBullet"/>
              <w:rPr>
                <w:rFonts w:asciiTheme="majorHAnsi" w:hAnsiTheme="majorHAnsi"/>
                <w:sz w:val="22"/>
                <w:szCs w:val="22"/>
              </w:rPr>
            </w:pPr>
            <w:r w:rsidRPr="00B62B67" w:rsidR="001D4187">
              <w:rPr>
                <w:rFonts w:asciiTheme="majorHAnsi" w:hAnsiTheme="majorHAnsi"/>
                <w:sz w:val="22"/>
                <w:szCs w:val="22"/>
              </w:rPr>
              <w:t>Miller M&amp;A, Chapter 2 - The Acquisition Process</w:t>
            </w:r>
          </w:p>
          <w:p w:rsidR="00B62B67" w:rsidRPr="00B21B1E" w:rsidP="00B21B1E">
            <w:pPr>
              <w:pStyle w:val="ListBullet"/>
              <w:rPr>
                <w:rFonts w:asciiTheme="majorHAnsi" w:hAnsiTheme="majorHAnsi"/>
                <w:sz w:val="22"/>
                <w:szCs w:val="22"/>
              </w:rPr>
            </w:pPr>
            <w:r w:rsidRPr="00B62B67">
              <w:rPr>
                <w:rFonts w:asciiTheme="majorHAnsi" w:hAnsiTheme="majorHAnsi"/>
                <w:sz w:val="22"/>
                <w:szCs w:val="22"/>
              </w:rPr>
              <w:t>Articles re Invista v. Dupont.</w:t>
            </w:r>
          </w:p>
        </w:tc>
        <w:tc>
          <w:tcPr>
            <w:tcW w:w="2984" w:type="dxa"/>
          </w:tcPr>
          <w:p w:rsidR="005C59E8" w:rsidP="005C59E8">
            <w:pPr>
              <w:pStyle w:val="ListBullet"/>
              <w:rPr>
                <w:rFonts w:asciiTheme="majorHAnsi" w:hAnsiTheme="majorHAnsi"/>
                <w:sz w:val="22"/>
                <w:szCs w:val="22"/>
              </w:rPr>
            </w:pPr>
            <w:r>
              <w:rPr>
                <w:rFonts w:asciiTheme="majorHAnsi" w:hAnsiTheme="majorHAnsi"/>
                <w:sz w:val="22"/>
                <w:szCs w:val="22"/>
              </w:rPr>
              <w:t>Demonstrate an understanding of the key steps in the transactional due diligence process</w:t>
            </w:r>
          </w:p>
          <w:p w:rsidR="00440761" w:rsidP="005C59E8">
            <w:pPr>
              <w:pStyle w:val="ListBullet"/>
              <w:rPr>
                <w:rFonts w:asciiTheme="majorHAnsi" w:hAnsiTheme="majorHAnsi"/>
                <w:sz w:val="22"/>
                <w:szCs w:val="22"/>
              </w:rPr>
            </w:pPr>
            <w:r w:rsidRPr="005C59E8">
              <w:rPr>
                <w:rFonts w:asciiTheme="majorHAnsi" w:hAnsiTheme="majorHAnsi"/>
                <w:sz w:val="22"/>
                <w:szCs w:val="22"/>
              </w:rPr>
              <w:t>Identify and evaluate key methods of due diligence to identify environmental liabilities and risks</w:t>
            </w:r>
          </w:p>
          <w:p w:rsidR="00F40CD9" w:rsidP="00F40CD9">
            <w:pPr>
              <w:pStyle w:val="ListBullet"/>
              <w:rPr>
                <w:rFonts w:asciiTheme="majorHAnsi" w:hAnsiTheme="majorHAnsi"/>
                <w:sz w:val="22"/>
                <w:szCs w:val="22"/>
              </w:rPr>
            </w:pPr>
            <w:r>
              <w:rPr>
                <w:rFonts w:asciiTheme="majorHAnsi" w:hAnsiTheme="majorHAnsi"/>
                <w:sz w:val="22"/>
                <w:szCs w:val="22"/>
              </w:rPr>
              <w:t>Scope out an appropriate environmental due diligence review</w:t>
            </w:r>
          </w:p>
          <w:p w:rsidR="00F40CD9" w:rsidRPr="00F40CD9" w:rsidP="00F40CD9">
            <w:pPr>
              <w:pStyle w:val="ListBullet"/>
              <w:numPr>
                <w:ilvl w:val="0"/>
                <w:numId w:val="0"/>
              </w:numPr>
              <w:ind w:left="360"/>
              <w:rPr>
                <w:rFonts w:asciiTheme="majorHAnsi" w:hAnsiTheme="majorHAnsi"/>
                <w:sz w:val="22"/>
                <w:szCs w:val="22"/>
              </w:rPr>
            </w:pPr>
          </w:p>
        </w:tc>
      </w:tr>
      <w:tr w:rsidTr="009873A7">
        <w:tblPrEx>
          <w:tblW w:w="0" w:type="auto"/>
          <w:tblLook w:val="04A0"/>
        </w:tblPrEx>
        <w:tc>
          <w:tcPr>
            <w:tcW w:w="1455" w:type="dxa"/>
          </w:tcPr>
          <w:p w:rsidR="00440761" w:rsidRPr="0047225E" w:rsidP="00B0553B">
            <w:pPr>
              <w:outlineLvl w:val="0"/>
              <w:rPr>
                <w:rFonts w:asciiTheme="majorHAnsi" w:hAnsiTheme="majorHAnsi"/>
              </w:rPr>
            </w:pPr>
            <w:r w:rsidRPr="0047225E">
              <w:rPr>
                <w:rFonts w:asciiTheme="majorHAnsi" w:hAnsiTheme="majorHAnsi"/>
              </w:rPr>
              <w:t>Week 4</w:t>
            </w:r>
          </w:p>
        </w:tc>
        <w:tc>
          <w:tcPr>
            <w:tcW w:w="2433" w:type="dxa"/>
          </w:tcPr>
          <w:p w:rsidR="00440761" w:rsidRPr="0047225E" w:rsidP="00B0553B">
            <w:pPr>
              <w:outlineLvl w:val="0"/>
              <w:rPr>
                <w:rFonts w:asciiTheme="majorHAnsi" w:hAnsiTheme="majorHAnsi"/>
              </w:rPr>
            </w:pPr>
            <w:r w:rsidRPr="0047225E">
              <w:rPr>
                <w:rFonts w:asciiTheme="majorHAnsi" w:hAnsiTheme="majorHAnsi"/>
              </w:rPr>
              <w:t>Working with Technical Environmental Experts</w:t>
            </w:r>
          </w:p>
        </w:tc>
        <w:tc>
          <w:tcPr>
            <w:tcW w:w="2997" w:type="dxa"/>
          </w:tcPr>
          <w:p w:rsidR="00440761" w:rsidP="00936E50">
            <w:pPr>
              <w:rPr>
                <w:rFonts w:asciiTheme="majorHAnsi" w:hAnsiTheme="majorHAnsi"/>
              </w:rPr>
            </w:pPr>
            <w:r>
              <w:rPr>
                <w:rFonts w:asciiTheme="majorHAnsi" w:hAnsiTheme="majorHAnsi"/>
                <w:i/>
              </w:rPr>
              <w:t xml:space="preserve">Assignment: </w:t>
            </w:r>
            <w:r>
              <w:rPr>
                <w:rFonts w:asciiTheme="majorHAnsi" w:hAnsiTheme="majorHAnsi"/>
              </w:rPr>
              <w:t>Prepare diligence request list based on contents of data room.</w:t>
            </w:r>
          </w:p>
          <w:p w:rsidR="00440761" w:rsidP="00936E50">
            <w:pPr>
              <w:rPr>
                <w:rFonts w:asciiTheme="majorHAnsi" w:hAnsiTheme="majorHAnsi"/>
              </w:rPr>
            </w:pPr>
          </w:p>
          <w:p w:rsidR="00440761" w:rsidRPr="0047225E" w:rsidP="00936E50">
            <w:pPr>
              <w:rPr>
                <w:rFonts w:asciiTheme="majorHAnsi" w:hAnsiTheme="majorHAnsi"/>
              </w:rPr>
            </w:pPr>
            <w:r w:rsidRPr="0047225E">
              <w:rPr>
                <w:rFonts w:asciiTheme="majorHAnsi" w:hAnsiTheme="majorHAnsi"/>
                <w:i/>
              </w:rPr>
              <w:t>Reading</w:t>
            </w:r>
            <w:r w:rsidRPr="0047225E">
              <w:rPr>
                <w:rFonts w:asciiTheme="majorHAnsi" w:hAnsiTheme="majorHAnsi"/>
              </w:rPr>
              <w:t xml:space="preserve">:  </w:t>
            </w:r>
          </w:p>
          <w:p w:rsidR="00CD72B0" w:rsidP="00936E50">
            <w:pPr>
              <w:pStyle w:val="ListBullet"/>
              <w:rPr>
                <w:rFonts w:asciiTheme="majorHAnsi" w:hAnsiTheme="majorHAnsi"/>
                <w:sz w:val="22"/>
                <w:szCs w:val="22"/>
              </w:rPr>
            </w:pPr>
            <w:r w:rsidRPr="0047225E">
              <w:rPr>
                <w:rFonts w:asciiTheme="majorHAnsi" w:hAnsiTheme="majorHAnsi"/>
                <w:sz w:val="22"/>
                <w:szCs w:val="22"/>
              </w:rPr>
              <w:t>Witkin, Chapter 8 - Environmental Consultants</w:t>
            </w:r>
          </w:p>
          <w:p w:rsidR="00440761" w:rsidRPr="0047225E" w:rsidP="00936E50">
            <w:pPr>
              <w:pStyle w:val="ListBullet"/>
              <w:rPr>
                <w:rFonts w:asciiTheme="majorHAnsi" w:hAnsiTheme="majorHAnsi"/>
                <w:sz w:val="22"/>
                <w:szCs w:val="22"/>
              </w:rPr>
            </w:pPr>
            <w:r w:rsidRPr="0047225E" w:rsidR="001D4187">
              <w:rPr>
                <w:rFonts w:asciiTheme="majorHAnsi" w:hAnsiTheme="majorHAnsi"/>
                <w:sz w:val="22"/>
                <w:szCs w:val="22"/>
              </w:rPr>
              <w:t>Ramboll Environ Standard Phase I Terms and Conditions</w:t>
            </w:r>
          </w:p>
          <w:p w:rsidR="00440761" w:rsidP="00936E50">
            <w:pPr>
              <w:pStyle w:val="ListBullet"/>
              <w:rPr>
                <w:rFonts w:asciiTheme="majorHAnsi" w:hAnsiTheme="majorHAnsi"/>
                <w:sz w:val="22"/>
                <w:szCs w:val="22"/>
              </w:rPr>
            </w:pPr>
            <w:r w:rsidRPr="0047225E">
              <w:rPr>
                <w:rFonts w:asciiTheme="majorHAnsi" w:hAnsiTheme="majorHAnsi"/>
                <w:sz w:val="22"/>
                <w:szCs w:val="22"/>
              </w:rPr>
              <w:t>EPA All Appropriate Inquiry Rule</w:t>
            </w:r>
          </w:p>
          <w:p w:rsidR="00440761" w:rsidRPr="00440761" w:rsidP="00440761">
            <w:pPr>
              <w:pStyle w:val="ListBullet"/>
              <w:rPr>
                <w:rFonts w:asciiTheme="majorHAnsi" w:hAnsiTheme="majorHAnsi"/>
                <w:sz w:val="22"/>
                <w:szCs w:val="22"/>
              </w:rPr>
            </w:pPr>
            <w:r w:rsidRPr="00440761">
              <w:rPr>
                <w:rFonts w:asciiTheme="majorHAnsi" w:hAnsiTheme="majorHAnsi"/>
                <w:sz w:val="22"/>
                <w:szCs w:val="22"/>
              </w:rPr>
              <w:t>Sample Phase I/LECR Report</w:t>
            </w:r>
          </w:p>
        </w:tc>
        <w:tc>
          <w:tcPr>
            <w:tcW w:w="3051" w:type="dxa"/>
          </w:tcPr>
          <w:p w:rsidR="00440761" w:rsidP="005C59E8">
            <w:pPr>
              <w:pStyle w:val="ListBullet"/>
              <w:rPr>
                <w:rFonts w:asciiTheme="majorHAnsi" w:hAnsiTheme="majorHAnsi"/>
                <w:sz w:val="22"/>
                <w:szCs w:val="22"/>
              </w:rPr>
            </w:pPr>
            <w:r w:rsidRPr="005C59E8">
              <w:rPr>
                <w:rFonts w:asciiTheme="majorHAnsi" w:hAnsiTheme="majorHAnsi"/>
                <w:sz w:val="22"/>
                <w:szCs w:val="22"/>
              </w:rPr>
              <w:t>Describe and define the role that technical environmental experts play in the environmental due diligence process and the legal implications of their services</w:t>
            </w:r>
          </w:p>
          <w:p w:rsidR="005C59E8" w:rsidRPr="005C59E8" w:rsidP="00BD316A">
            <w:pPr>
              <w:pStyle w:val="ListBullet"/>
              <w:rPr>
                <w:rFonts w:asciiTheme="majorHAnsi" w:hAnsiTheme="majorHAnsi"/>
                <w:sz w:val="22"/>
                <w:szCs w:val="22"/>
              </w:rPr>
            </w:pPr>
            <w:r>
              <w:rPr>
                <w:rFonts w:asciiTheme="majorHAnsi" w:hAnsiTheme="majorHAnsi"/>
                <w:sz w:val="22"/>
                <w:szCs w:val="22"/>
              </w:rPr>
              <w:t>Evaluate and explain the considerations in retaining and working with environmental consultants and experts</w:t>
            </w:r>
          </w:p>
        </w:tc>
      </w:tr>
      <w:tr w:rsidTr="009873A7">
        <w:tblPrEx>
          <w:tblW w:w="0" w:type="auto"/>
          <w:tblLook w:val="04A0"/>
        </w:tblPrEx>
        <w:tc>
          <w:tcPr>
            <w:tcW w:w="1455" w:type="dxa"/>
          </w:tcPr>
          <w:p w:rsidR="00440761" w:rsidRPr="0047225E" w:rsidP="00B0553B">
            <w:pPr>
              <w:outlineLvl w:val="0"/>
              <w:rPr>
                <w:rFonts w:asciiTheme="majorHAnsi" w:hAnsiTheme="majorHAnsi"/>
              </w:rPr>
            </w:pPr>
            <w:r w:rsidRPr="0047225E">
              <w:rPr>
                <w:rFonts w:asciiTheme="majorHAnsi" w:hAnsiTheme="majorHAnsi"/>
              </w:rPr>
              <w:t>Week 5</w:t>
            </w:r>
          </w:p>
        </w:tc>
        <w:tc>
          <w:tcPr>
            <w:tcW w:w="2433" w:type="dxa"/>
          </w:tcPr>
          <w:p w:rsidR="00440761" w:rsidRPr="0047225E" w:rsidP="00B0553B">
            <w:pPr>
              <w:outlineLvl w:val="0"/>
              <w:rPr>
                <w:rFonts w:asciiTheme="majorHAnsi" w:hAnsiTheme="majorHAnsi"/>
              </w:rPr>
            </w:pPr>
            <w:r w:rsidRPr="0047225E">
              <w:rPr>
                <w:rFonts w:asciiTheme="majorHAnsi" w:hAnsiTheme="majorHAnsi"/>
              </w:rPr>
              <w:t>Phase I Environmental Site Assessment Site and Limited Environmental Compliance Review Visits</w:t>
            </w:r>
          </w:p>
        </w:tc>
        <w:tc>
          <w:tcPr>
            <w:tcW w:w="2997" w:type="dxa"/>
          </w:tcPr>
          <w:p w:rsidR="00440761" w:rsidP="00936E50">
            <w:pPr>
              <w:rPr>
                <w:rFonts w:asciiTheme="majorHAnsi" w:hAnsiTheme="majorHAnsi"/>
              </w:rPr>
            </w:pPr>
            <w:r>
              <w:rPr>
                <w:rFonts w:asciiTheme="majorHAnsi" w:hAnsiTheme="majorHAnsi"/>
                <w:i/>
              </w:rPr>
              <w:t>Reading</w:t>
            </w:r>
            <w:r>
              <w:rPr>
                <w:rFonts w:asciiTheme="majorHAnsi" w:hAnsiTheme="majorHAnsi"/>
              </w:rPr>
              <w:t>:</w:t>
            </w:r>
          </w:p>
          <w:p w:rsidR="00440761" w:rsidP="00CD72B0">
            <w:pPr>
              <w:pStyle w:val="ListBullet"/>
              <w:rPr>
                <w:rFonts w:asciiTheme="majorHAnsi" w:hAnsiTheme="majorHAnsi"/>
                <w:sz w:val="22"/>
                <w:szCs w:val="22"/>
              </w:rPr>
            </w:pPr>
            <w:r w:rsidRPr="0047225E">
              <w:rPr>
                <w:rFonts w:asciiTheme="majorHAnsi" w:hAnsiTheme="majorHAnsi"/>
                <w:sz w:val="22"/>
                <w:szCs w:val="22"/>
              </w:rPr>
              <w:t>Witkin, Chapter 9 - Understanding Environmental Reports and Risk-Based Cleanups</w:t>
            </w:r>
          </w:p>
          <w:p w:rsidR="00500ACE" w:rsidRPr="00500ACE" w:rsidP="00500ACE">
            <w:pPr>
              <w:pStyle w:val="ListBullet"/>
              <w:rPr>
                <w:rFonts w:asciiTheme="majorHAnsi" w:hAnsiTheme="majorHAnsi"/>
                <w:sz w:val="22"/>
                <w:szCs w:val="22"/>
              </w:rPr>
            </w:pPr>
            <w:r>
              <w:rPr>
                <w:rFonts w:asciiTheme="majorHAnsi" w:hAnsiTheme="majorHAnsi"/>
                <w:sz w:val="22"/>
                <w:szCs w:val="22"/>
              </w:rPr>
              <w:t>Kirkland Form Retention Letters</w:t>
            </w:r>
          </w:p>
        </w:tc>
        <w:tc>
          <w:tcPr>
            <w:tcW w:w="3051" w:type="dxa"/>
          </w:tcPr>
          <w:p w:rsidR="00440761" w:rsidRPr="005C59E8" w:rsidP="005C59E8">
            <w:pPr>
              <w:pStyle w:val="ListBullet"/>
              <w:rPr>
                <w:rFonts w:asciiTheme="majorHAnsi" w:hAnsiTheme="majorHAnsi"/>
              </w:rPr>
            </w:pPr>
            <w:r w:rsidR="00F63251">
              <w:rPr>
                <w:rFonts w:asciiTheme="majorHAnsi" w:hAnsiTheme="majorHAnsi"/>
                <w:sz w:val="22"/>
                <w:szCs w:val="22"/>
              </w:rPr>
              <w:t>Demonstrate an understanding and describe the basic components of a Phase I Environmental Site Assessment and Limited Environmental Compliance Review</w:t>
            </w:r>
          </w:p>
          <w:p w:rsidR="005C59E8" w:rsidRPr="0047225E" w:rsidP="00B108C0">
            <w:pPr>
              <w:pStyle w:val="ListBullet"/>
              <w:numPr>
                <w:ilvl w:val="0"/>
                <w:numId w:val="0"/>
              </w:numPr>
              <w:ind w:left="360"/>
              <w:rPr>
                <w:rFonts w:asciiTheme="majorHAnsi" w:hAnsiTheme="majorHAnsi"/>
              </w:rPr>
            </w:pPr>
          </w:p>
        </w:tc>
      </w:tr>
      <w:tr w:rsidTr="009873A7">
        <w:tblPrEx>
          <w:tblW w:w="0" w:type="auto"/>
          <w:tblLook w:val="04A0"/>
        </w:tblPrEx>
        <w:tc>
          <w:tcPr>
            <w:tcW w:w="1455" w:type="dxa"/>
          </w:tcPr>
          <w:p w:rsidR="00440761" w:rsidRPr="0047225E" w:rsidP="00B0553B">
            <w:pPr>
              <w:outlineLvl w:val="0"/>
              <w:rPr>
                <w:rFonts w:asciiTheme="majorHAnsi" w:hAnsiTheme="majorHAnsi"/>
              </w:rPr>
            </w:pPr>
            <w:r w:rsidRPr="0047225E">
              <w:rPr>
                <w:rFonts w:asciiTheme="majorHAnsi" w:hAnsiTheme="majorHAnsi"/>
              </w:rPr>
              <w:t>Week 6</w:t>
            </w:r>
          </w:p>
        </w:tc>
        <w:tc>
          <w:tcPr>
            <w:tcW w:w="2433" w:type="dxa"/>
          </w:tcPr>
          <w:p w:rsidR="00440761" w:rsidRPr="0047225E" w:rsidP="00B0553B">
            <w:pPr>
              <w:outlineLvl w:val="0"/>
              <w:rPr>
                <w:rFonts w:asciiTheme="majorHAnsi" w:hAnsiTheme="majorHAnsi"/>
              </w:rPr>
            </w:pPr>
            <w:r w:rsidR="001F2DF2">
              <w:rPr>
                <w:rFonts w:asciiTheme="majorHAnsi" w:hAnsiTheme="majorHAnsi"/>
              </w:rPr>
              <w:t>Attorney-Client Relationship Management; Conflicts of Interest</w:t>
            </w:r>
          </w:p>
        </w:tc>
        <w:tc>
          <w:tcPr>
            <w:tcW w:w="2997" w:type="dxa"/>
          </w:tcPr>
          <w:p w:rsidR="00440761" w:rsidRPr="00613F5A" w:rsidP="00936E50">
            <w:pPr>
              <w:outlineLvl w:val="0"/>
              <w:rPr>
                <w:rFonts w:asciiTheme="majorHAnsi" w:hAnsiTheme="majorHAnsi" w:cstheme="minorHAnsi"/>
              </w:rPr>
            </w:pPr>
            <w:r w:rsidRPr="00613F5A">
              <w:rPr>
                <w:rFonts w:asciiTheme="majorHAnsi" w:hAnsiTheme="majorHAnsi" w:cstheme="minorHAnsi"/>
                <w:i/>
              </w:rPr>
              <w:t xml:space="preserve">Assignment:  </w:t>
            </w:r>
            <w:r w:rsidRPr="00613F5A">
              <w:rPr>
                <w:rFonts w:asciiTheme="majorHAnsi" w:hAnsiTheme="majorHAnsi" w:cstheme="minorHAnsi"/>
              </w:rPr>
              <w:t>Prepare due diligence memorandum insert for practice transaction.</w:t>
            </w:r>
          </w:p>
          <w:p w:rsidR="00440761" w:rsidRPr="00613F5A" w:rsidP="00936E50">
            <w:pPr>
              <w:outlineLvl w:val="0"/>
              <w:rPr>
                <w:rFonts w:asciiTheme="majorHAnsi" w:hAnsiTheme="majorHAnsi" w:cstheme="minorHAnsi"/>
              </w:rPr>
            </w:pPr>
          </w:p>
          <w:p w:rsidR="00440761" w:rsidRPr="00613F5A" w:rsidP="00B0553B">
            <w:pPr>
              <w:outlineLvl w:val="0"/>
              <w:rPr>
                <w:rFonts w:asciiTheme="majorHAnsi" w:hAnsiTheme="majorHAnsi" w:cstheme="minorHAnsi"/>
                <w:i/>
              </w:rPr>
            </w:pPr>
            <w:r w:rsidRPr="00613F5A">
              <w:rPr>
                <w:rFonts w:asciiTheme="majorHAnsi" w:hAnsiTheme="majorHAnsi" w:cstheme="minorHAnsi"/>
                <w:i/>
              </w:rPr>
              <w:t>Reading:</w:t>
            </w:r>
          </w:p>
          <w:p w:rsidR="00613F5A" w:rsidRPr="00613F5A" w:rsidP="00613F5A">
            <w:pPr>
              <w:pStyle w:val="ListBullet"/>
              <w:rPr>
                <w:rFonts w:asciiTheme="majorHAnsi" w:hAnsiTheme="majorHAnsi"/>
                <w:sz w:val="22"/>
                <w:szCs w:val="22"/>
              </w:rPr>
            </w:pPr>
            <w:r>
              <w:rPr>
                <w:rFonts w:asciiTheme="majorHAnsi" w:hAnsiTheme="majorHAnsi"/>
                <w:sz w:val="22"/>
                <w:szCs w:val="22"/>
              </w:rPr>
              <w:t>Raymond L. Sweigart, Attorney-Client Privilege: Pitfalls and Pointers for Transactional Attorneys (ABA Business Law Today, Volume 17, Number 4, March/April 2008)</w:t>
            </w:r>
          </w:p>
        </w:tc>
        <w:tc>
          <w:tcPr>
            <w:tcW w:w="3051" w:type="dxa"/>
          </w:tcPr>
          <w:p w:rsidR="005C59E8" w:rsidP="005C59E8">
            <w:pPr>
              <w:pStyle w:val="ListBullet"/>
              <w:rPr>
                <w:rFonts w:asciiTheme="majorHAnsi" w:hAnsiTheme="majorHAnsi"/>
                <w:sz w:val="22"/>
                <w:szCs w:val="22"/>
              </w:rPr>
            </w:pPr>
            <w:r w:rsidRPr="005C59E8">
              <w:rPr>
                <w:rFonts w:asciiTheme="majorHAnsi" w:hAnsiTheme="majorHAnsi"/>
                <w:sz w:val="22"/>
                <w:szCs w:val="22"/>
              </w:rPr>
              <w:t>Identify the unique aspects of attorney-client relationships in the transactional context for different types of clients</w:t>
            </w:r>
          </w:p>
          <w:p w:rsidR="00440761" w:rsidRPr="005C59E8" w:rsidP="005C59E8">
            <w:pPr>
              <w:pStyle w:val="ListBullet"/>
              <w:rPr>
                <w:rFonts w:asciiTheme="majorHAnsi" w:hAnsiTheme="majorHAnsi"/>
                <w:sz w:val="22"/>
                <w:szCs w:val="22"/>
              </w:rPr>
            </w:pPr>
            <w:r>
              <w:rPr>
                <w:rFonts w:asciiTheme="majorHAnsi" w:hAnsiTheme="majorHAnsi"/>
                <w:sz w:val="22"/>
                <w:szCs w:val="22"/>
              </w:rPr>
              <w:t>Explain how such relationships may differ from those in other types of legal work</w:t>
            </w:r>
          </w:p>
          <w:p w:rsidR="00440761" w:rsidRPr="0047225E" w:rsidP="00B0553B">
            <w:pPr>
              <w:outlineLvl w:val="0"/>
              <w:rPr>
                <w:rFonts w:asciiTheme="majorHAnsi" w:hAnsiTheme="majorHAnsi"/>
                <w:highlight w:val="yellow"/>
              </w:rPr>
            </w:pPr>
          </w:p>
        </w:tc>
      </w:tr>
      <w:tr w:rsidTr="009873A7">
        <w:tblPrEx>
          <w:tblW w:w="0" w:type="auto"/>
          <w:tblLook w:val="04A0"/>
        </w:tblPrEx>
        <w:tc>
          <w:tcPr>
            <w:tcW w:w="1455" w:type="dxa"/>
          </w:tcPr>
          <w:p w:rsidR="00440761" w:rsidRPr="0047225E" w:rsidP="00B0553B">
            <w:pPr>
              <w:outlineLvl w:val="0"/>
              <w:rPr>
                <w:rFonts w:asciiTheme="majorHAnsi" w:hAnsiTheme="majorHAnsi"/>
              </w:rPr>
            </w:pPr>
            <w:r w:rsidRPr="0047225E">
              <w:rPr>
                <w:rFonts w:asciiTheme="majorHAnsi" w:hAnsiTheme="majorHAnsi"/>
              </w:rPr>
              <w:t>Week 7</w:t>
            </w:r>
          </w:p>
        </w:tc>
        <w:tc>
          <w:tcPr>
            <w:tcW w:w="2433" w:type="dxa"/>
          </w:tcPr>
          <w:p w:rsidR="00440761" w:rsidRPr="0047225E" w:rsidP="00B0553B">
            <w:pPr>
              <w:outlineLvl w:val="0"/>
              <w:rPr>
                <w:rFonts w:asciiTheme="majorHAnsi" w:hAnsiTheme="majorHAnsi"/>
              </w:rPr>
            </w:pPr>
            <w:r w:rsidRPr="0047225E">
              <w:rPr>
                <w:rFonts w:asciiTheme="majorHAnsi" w:hAnsiTheme="majorHAnsi"/>
              </w:rPr>
              <w:t>Environmental Considerations in Stock Purchase Agreements</w:t>
            </w:r>
          </w:p>
        </w:tc>
        <w:tc>
          <w:tcPr>
            <w:tcW w:w="2997" w:type="dxa"/>
          </w:tcPr>
          <w:p w:rsidR="00440761" w:rsidRPr="00613F5A" w:rsidP="00936E50">
            <w:pPr>
              <w:outlineLvl w:val="0"/>
              <w:rPr>
                <w:rFonts w:asciiTheme="majorHAnsi" w:hAnsiTheme="majorHAnsi" w:cstheme="minorHAnsi"/>
              </w:rPr>
            </w:pPr>
            <w:r w:rsidRPr="00613F5A">
              <w:rPr>
                <w:rFonts w:asciiTheme="majorHAnsi" w:hAnsiTheme="majorHAnsi" w:cstheme="minorHAnsi"/>
                <w:i/>
              </w:rPr>
              <w:t>Assignment:</w:t>
            </w:r>
            <w:r w:rsidRPr="00613F5A">
              <w:rPr>
                <w:rFonts w:asciiTheme="majorHAnsi" w:hAnsiTheme="majorHAnsi" w:cstheme="minorHAnsi"/>
              </w:rPr>
              <w:t xml:space="preserve">  Prepare for and participate in due diligence download teleconference with client regarding practice transaction.</w:t>
            </w:r>
          </w:p>
          <w:p w:rsidR="00440761" w:rsidRPr="00613F5A" w:rsidP="00936E50">
            <w:pPr>
              <w:outlineLvl w:val="0"/>
              <w:rPr>
                <w:rFonts w:asciiTheme="majorHAnsi" w:hAnsiTheme="majorHAnsi" w:cstheme="minorHAnsi"/>
              </w:rPr>
            </w:pPr>
          </w:p>
          <w:p w:rsidR="00440761" w:rsidRPr="00613F5A" w:rsidP="00B0553B">
            <w:pPr>
              <w:outlineLvl w:val="0"/>
              <w:rPr>
                <w:rFonts w:asciiTheme="majorHAnsi" w:hAnsiTheme="majorHAnsi" w:cstheme="minorHAnsi"/>
                <w:i/>
              </w:rPr>
            </w:pPr>
            <w:r w:rsidRPr="00613F5A">
              <w:rPr>
                <w:rFonts w:asciiTheme="majorHAnsi" w:hAnsiTheme="majorHAnsi" w:cstheme="minorHAnsi"/>
                <w:i/>
              </w:rPr>
              <w:t>Reading:</w:t>
            </w:r>
          </w:p>
          <w:p w:rsidR="00440761" w:rsidP="00FB2FC5">
            <w:pPr>
              <w:pStyle w:val="ListBullet"/>
              <w:rPr>
                <w:rFonts w:asciiTheme="majorHAnsi" w:hAnsiTheme="majorHAnsi"/>
                <w:sz w:val="22"/>
                <w:szCs w:val="22"/>
              </w:rPr>
            </w:pPr>
            <w:r w:rsidRPr="00613F5A">
              <w:rPr>
                <w:rFonts w:asciiTheme="majorHAnsi" w:hAnsiTheme="majorHAnsi"/>
                <w:sz w:val="22"/>
                <w:szCs w:val="22"/>
              </w:rPr>
              <w:t>Witkin, Chapter 10 - Structuring the Transaction to Allocate Environmental Liability</w:t>
            </w:r>
          </w:p>
          <w:p w:rsidR="00B108C0" w:rsidRPr="00613F5A" w:rsidP="00B108C0">
            <w:pPr>
              <w:pStyle w:val="ListBullet"/>
              <w:numPr>
                <w:ilvl w:val="0"/>
                <w:numId w:val="0"/>
              </w:numPr>
              <w:ind w:left="360"/>
              <w:rPr>
                <w:rFonts w:asciiTheme="majorHAnsi" w:hAnsiTheme="majorHAnsi"/>
                <w:sz w:val="22"/>
                <w:szCs w:val="22"/>
              </w:rPr>
            </w:pPr>
          </w:p>
        </w:tc>
        <w:tc>
          <w:tcPr>
            <w:tcW w:w="3051" w:type="dxa"/>
          </w:tcPr>
          <w:p w:rsidR="005C59E8" w:rsidP="005C59E8">
            <w:pPr>
              <w:pStyle w:val="ListBullet"/>
              <w:rPr>
                <w:rFonts w:asciiTheme="majorHAnsi" w:hAnsiTheme="majorHAnsi"/>
                <w:sz w:val="22"/>
                <w:szCs w:val="22"/>
              </w:rPr>
            </w:pPr>
            <w:r>
              <w:rPr>
                <w:rFonts w:asciiTheme="majorHAnsi" w:hAnsiTheme="majorHAnsi"/>
                <w:sz w:val="22"/>
                <w:szCs w:val="22"/>
              </w:rPr>
              <w:t>Identify the key risk-allocation components of a stock purchase agreement from an environmental perspective</w:t>
            </w:r>
          </w:p>
          <w:p w:rsidR="00440761" w:rsidRPr="005C59E8" w:rsidP="005C59E8">
            <w:pPr>
              <w:pStyle w:val="ListBullet"/>
              <w:rPr>
                <w:rFonts w:asciiTheme="majorHAnsi" w:hAnsiTheme="majorHAnsi"/>
                <w:sz w:val="22"/>
                <w:szCs w:val="22"/>
              </w:rPr>
            </w:pPr>
            <w:r>
              <w:rPr>
                <w:rFonts w:asciiTheme="majorHAnsi" w:hAnsiTheme="majorHAnsi"/>
                <w:sz w:val="22"/>
                <w:szCs w:val="22"/>
              </w:rPr>
              <w:t>Review and comment on such provisions from a pro-buyer and pro-seller perspective</w:t>
            </w:r>
          </w:p>
          <w:p w:rsidR="00440761" w:rsidRPr="0047225E" w:rsidP="00B0553B">
            <w:pPr>
              <w:outlineLvl w:val="0"/>
              <w:rPr>
                <w:rFonts w:asciiTheme="majorHAnsi" w:hAnsiTheme="majorHAnsi"/>
                <w:highlight w:val="yellow"/>
              </w:rPr>
            </w:pPr>
          </w:p>
        </w:tc>
      </w:tr>
      <w:tr w:rsidTr="009873A7">
        <w:tblPrEx>
          <w:tblW w:w="0" w:type="auto"/>
          <w:tblLook w:val="04A0"/>
        </w:tblPrEx>
        <w:tc>
          <w:tcPr>
            <w:tcW w:w="1455" w:type="dxa"/>
          </w:tcPr>
          <w:p w:rsidR="00440761" w:rsidRPr="0047225E" w:rsidP="00B0553B">
            <w:pPr>
              <w:outlineLvl w:val="0"/>
              <w:rPr>
                <w:rFonts w:asciiTheme="majorHAnsi" w:hAnsiTheme="majorHAnsi"/>
              </w:rPr>
            </w:pPr>
            <w:r w:rsidRPr="0047225E">
              <w:rPr>
                <w:rFonts w:asciiTheme="majorHAnsi" w:hAnsiTheme="majorHAnsi"/>
              </w:rPr>
              <w:t>Week 8</w:t>
            </w:r>
          </w:p>
        </w:tc>
        <w:tc>
          <w:tcPr>
            <w:tcW w:w="2433" w:type="dxa"/>
          </w:tcPr>
          <w:p w:rsidR="00440761" w:rsidRPr="0047225E" w:rsidP="00B0553B">
            <w:pPr>
              <w:outlineLvl w:val="0"/>
              <w:rPr>
                <w:rFonts w:asciiTheme="majorHAnsi" w:hAnsiTheme="majorHAnsi"/>
              </w:rPr>
            </w:pPr>
            <w:r w:rsidRPr="0047225E">
              <w:rPr>
                <w:rFonts w:asciiTheme="majorHAnsi" w:hAnsiTheme="majorHAnsi"/>
              </w:rPr>
              <w:t>Environmental Considerations in Asset Purchase Agreements</w:t>
            </w:r>
          </w:p>
        </w:tc>
        <w:tc>
          <w:tcPr>
            <w:tcW w:w="2997" w:type="dxa"/>
          </w:tcPr>
          <w:p w:rsidR="00440761" w:rsidP="00936E50">
            <w:pPr>
              <w:outlineLvl w:val="0"/>
              <w:rPr>
                <w:rFonts w:asciiTheme="majorHAnsi" w:hAnsiTheme="majorHAnsi" w:cstheme="minorHAnsi"/>
              </w:rPr>
            </w:pPr>
            <w:r w:rsidRPr="0047225E">
              <w:rPr>
                <w:rFonts w:asciiTheme="majorHAnsi" w:hAnsiTheme="majorHAnsi" w:cstheme="minorHAnsi"/>
                <w:i/>
              </w:rPr>
              <w:t xml:space="preserve">Assignment:  </w:t>
            </w:r>
            <w:r>
              <w:rPr>
                <w:rFonts w:asciiTheme="majorHAnsi" w:hAnsiTheme="majorHAnsi" w:cstheme="minorHAnsi"/>
              </w:rPr>
              <w:t>Prepare markup of a stock purchase agreement related to practice transaction.</w:t>
            </w:r>
          </w:p>
          <w:p w:rsidR="00D56C20" w:rsidRPr="0047225E" w:rsidP="00DE47B1">
            <w:pPr>
              <w:outlineLvl w:val="0"/>
              <w:rPr>
                <w:rFonts w:asciiTheme="majorHAnsi" w:hAnsiTheme="majorHAnsi"/>
                <w:highlight w:val="yellow"/>
              </w:rPr>
            </w:pPr>
          </w:p>
        </w:tc>
        <w:tc>
          <w:tcPr>
            <w:tcW w:w="3051" w:type="dxa"/>
          </w:tcPr>
          <w:p w:rsidR="009E654E" w:rsidP="009E654E">
            <w:pPr>
              <w:pStyle w:val="ListBullet"/>
              <w:rPr>
                <w:rFonts w:asciiTheme="majorHAnsi" w:hAnsiTheme="majorHAnsi"/>
                <w:sz w:val="22"/>
                <w:szCs w:val="22"/>
              </w:rPr>
            </w:pPr>
            <w:r>
              <w:rPr>
                <w:rFonts w:asciiTheme="majorHAnsi" w:hAnsiTheme="majorHAnsi"/>
                <w:sz w:val="22"/>
                <w:szCs w:val="22"/>
              </w:rPr>
              <w:t>Identify the key differences between an asset purchase agreement and stock purchase agreement from an environmental risk-allocation perspective</w:t>
            </w:r>
          </w:p>
          <w:p w:rsidR="00440761" w:rsidRPr="009E654E" w:rsidP="009E654E">
            <w:pPr>
              <w:pStyle w:val="ListBullet"/>
              <w:rPr>
                <w:rFonts w:asciiTheme="majorHAnsi" w:hAnsiTheme="majorHAnsi"/>
                <w:sz w:val="22"/>
                <w:szCs w:val="22"/>
              </w:rPr>
            </w:pPr>
            <w:r>
              <w:rPr>
                <w:rFonts w:asciiTheme="majorHAnsi" w:hAnsiTheme="majorHAnsi"/>
                <w:sz w:val="22"/>
                <w:szCs w:val="22"/>
              </w:rPr>
              <w:t>Review and comment on environmental provisions in an asset purchase agreement from a pro-buyer and pro-seller perspective</w:t>
            </w:r>
          </w:p>
          <w:p w:rsidR="00440761" w:rsidRPr="0047225E" w:rsidP="00B0553B">
            <w:pPr>
              <w:outlineLvl w:val="0"/>
              <w:rPr>
                <w:rFonts w:asciiTheme="majorHAnsi" w:hAnsiTheme="majorHAnsi"/>
                <w:highlight w:val="yellow"/>
              </w:rPr>
            </w:pPr>
          </w:p>
        </w:tc>
      </w:tr>
      <w:tr w:rsidTr="009873A7">
        <w:tblPrEx>
          <w:tblW w:w="0" w:type="auto"/>
          <w:tblLook w:val="04A0"/>
        </w:tblPrEx>
        <w:tc>
          <w:tcPr>
            <w:tcW w:w="1455" w:type="dxa"/>
          </w:tcPr>
          <w:p w:rsidR="001F2DF2" w:rsidRPr="0047225E" w:rsidP="001F2DF2">
            <w:pPr>
              <w:outlineLvl w:val="0"/>
              <w:rPr>
                <w:rFonts w:asciiTheme="majorHAnsi" w:hAnsiTheme="majorHAnsi"/>
              </w:rPr>
            </w:pPr>
            <w:r w:rsidRPr="0047225E">
              <w:rPr>
                <w:rFonts w:asciiTheme="majorHAnsi" w:hAnsiTheme="majorHAnsi"/>
              </w:rPr>
              <w:t>Week 9</w:t>
            </w:r>
          </w:p>
        </w:tc>
        <w:tc>
          <w:tcPr>
            <w:tcW w:w="2433" w:type="dxa"/>
          </w:tcPr>
          <w:p w:rsidR="001F2DF2" w:rsidRPr="0047225E" w:rsidP="001F2DF2">
            <w:pPr>
              <w:outlineLvl w:val="0"/>
              <w:rPr>
                <w:rFonts w:asciiTheme="majorHAnsi" w:hAnsiTheme="majorHAnsi"/>
              </w:rPr>
            </w:pPr>
            <w:r w:rsidRPr="0047225E">
              <w:rPr>
                <w:rFonts w:asciiTheme="majorHAnsi" w:hAnsiTheme="majorHAnsi"/>
              </w:rPr>
              <w:t>Indemnification Claims and Procedures</w:t>
            </w:r>
          </w:p>
        </w:tc>
        <w:tc>
          <w:tcPr>
            <w:tcW w:w="2997" w:type="dxa"/>
          </w:tcPr>
          <w:p w:rsidR="00476E40" w:rsidRPr="009571E5" w:rsidP="00476E40">
            <w:pPr>
              <w:outlineLvl w:val="0"/>
              <w:rPr>
                <w:rFonts w:asciiTheme="majorHAnsi" w:hAnsiTheme="majorHAnsi" w:cstheme="minorHAnsi"/>
              </w:rPr>
            </w:pPr>
            <w:r w:rsidRPr="009571E5">
              <w:rPr>
                <w:rFonts w:asciiTheme="majorHAnsi" w:hAnsiTheme="majorHAnsi" w:cstheme="minorHAnsi"/>
                <w:i/>
              </w:rPr>
              <w:t xml:space="preserve">Assignment:  </w:t>
            </w:r>
            <w:r>
              <w:rPr>
                <w:rFonts w:asciiTheme="majorHAnsi" w:hAnsiTheme="majorHAnsi" w:cstheme="minorHAnsi"/>
              </w:rPr>
              <w:t>Prepare markup of asset purchase agreement related to practice Transaction</w:t>
            </w:r>
          </w:p>
          <w:p w:rsidR="00476E40" w:rsidP="001F2DF2">
            <w:pPr>
              <w:outlineLvl w:val="0"/>
              <w:rPr>
                <w:rFonts w:asciiTheme="majorHAnsi" w:hAnsiTheme="majorHAnsi"/>
                <w:i/>
              </w:rPr>
            </w:pPr>
          </w:p>
          <w:p w:rsidR="001F2DF2" w:rsidP="001F2DF2">
            <w:pPr>
              <w:outlineLvl w:val="0"/>
              <w:rPr>
                <w:rFonts w:asciiTheme="majorHAnsi" w:hAnsiTheme="majorHAnsi"/>
              </w:rPr>
            </w:pPr>
            <w:r w:rsidRPr="000C5DB6">
              <w:rPr>
                <w:rFonts w:asciiTheme="majorHAnsi" w:hAnsiTheme="majorHAnsi"/>
                <w:i/>
              </w:rPr>
              <w:t>Reading:</w:t>
            </w:r>
            <w:r w:rsidRPr="000C5DB6">
              <w:rPr>
                <w:rFonts w:asciiTheme="majorHAnsi" w:hAnsiTheme="majorHAnsi"/>
              </w:rPr>
              <w:t xml:space="preserve">  </w:t>
            </w:r>
          </w:p>
          <w:p w:rsidR="001F2DF2" w:rsidRPr="000C5DB6" w:rsidP="001F2DF2">
            <w:pPr>
              <w:pStyle w:val="ListBullet"/>
              <w:rPr>
                <w:rFonts w:asciiTheme="majorHAnsi" w:hAnsiTheme="majorHAnsi"/>
                <w:sz w:val="22"/>
                <w:szCs w:val="22"/>
              </w:rPr>
            </w:pPr>
            <w:r w:rsidRPr="000C5DB6">
              <w:rPr>
                <w:rFonts w:asciiTheme="majorHAnsi" w:hAnsiTheme="majorHAnsi"/>
                <w:sz w:val="22"/>
                <w:szCs w:val="22"/>
              </w:rPr>
              <w:t xml:space="preserve">Select materials on environmental indemnification claims and procedures </w:t>
            </w:r>
          </w:p>
        </w:tc>
        <w:tc>
          <w:tcPr>
            <w:tcW w:w="3051" w:type="dxa"/>
          </w:tcPr>
          <w:p w:rsidR="001F2DF2" w:rsidRPr="000C5DB6" w:rsidP="001F2DF2">
            <w:pPr>
              <w:pStyle w:val="ListBullet"/>
              <w:rPr>
                <w:rFonts w:asciiTheme="majorHAnsi" w:hAnsiTheme="majorHAnsi"/>
                <w:sz w:val="22"/>
                <w:szCs w:val="22"/>
              </w:rPr>
            </w:pPr>
            <w:r w:rsidRPr="000C5DB6">
              <w:rPr>
                <w:rFonts w:asciiTheme="majorHAnsi" w:hAnsiTheme="majorHAnsi"/>
                <w:sz w:val="22"/>
                <w:szCs w:val="22"/>
              </w:rPr>
              <w:t>Evaluate and analyze the applicability of environmental indemnity claims depending on timing, process and limitations</w:t>
            </w:r>
          </w:p>
          <w:p w:rsidR="001F2DF2" w:rsidRPr="000C5DB6" w:rsidP="001F2DF2">
            <w:pPr>
              <w:pStyle w:val="ListBullet"/>
              <w:rPr>
                <w:rFonts w:asciiTheme="majorHAnsi" w:hAnsiTheme="majorHAnsi"/>
                <w:sz w:val="22"/>
                <w:szCs w:val="22"/>
              </w:rPr>
            </w:pPr>
            <w:r w:rsidRPr="000C5DB6">
              <w:rPr>
                <w:rFonts w:asciiTheme="majorHAnsi" w:hAnsiTheme="majorHAnsi"/>
                <w:sz w:val="22"/>
                <w:szCs w:val="22"/>
              </w:rPr>
              <w:t>Demonstrate an understanding of the typical indemnification claim process</w:t>
            </w:r>
          </w:p>
        </w:tc>
      </w:tr>
      <w:tr w:rsidTr="001F2DF2">
        <w:tblPrEx>
          <w:tblW w:w="0" w:type="auto"/>
          <w:tblLook w:val="04A0"/>
        </w:tblPrEx>
        <w:tc>
          <w:tcPr>
            <w:tcW w:w="1409" w:type="dxa"/>
          </w:tcPr>
          <w:p w:rsidR="001F2DF2" w:rsidRPr="0047225E" w:rsidP="001F2DF2">
            <w:pPr>
              <w:outlineLvl w:val="0"/>
              <w:rPr>
                <w:rFonts w:asciiTheme="majorHAnsi" w:hAnsiTheme="majorHAnsi"/>
              </w:rPr>
            </w:pPr>
            <w:r>
              <w:rPr>
                <w:rFonts w:asciiTheme="majorHAnsi" w:hAnsiTheme="majorHAnsi"/>
              </w:rPr>
              <w:t>Week 10</w:t>
            </w:r>
          </w:p>
        </w:tc>
        <w:tc>
          <w:tcPr>
            <w:tcW w:w="2383" w:type="dxa"/>
          </w:tcPr>
          <w:p w:rsidR="001F2DF2" w:rsidRPr="0047225E" w:rsidP="001F2DF2">
            <w:pPr>
              <w:outlineLvl w:val="0"/>
              <w:rPr>
                <w:rFonts w:asciiTheme="majorHAnsi" w:hAnsiTheme="majorHAnsi"/>
              </w:rPr>
            </w:pPr>
            <w:r w:rsidRPr="0047225E">
              <w:rPr>
                <w:rFonts w:asciiTheme="majorHAnsi" w:hAnsiTheme="majorHAnsi"/>
              </w:rPr>
              <w:t>Environmental Risk Management</w:t>
            </w:r>
          </w:p>
        </w:tc>
        <w:tc>
          <w:tcPr>
            <w:tcW w:w="2934" w:type="dxa"/>
          </w:tcPr>
          <w:p w:rsidR="001F2DF2" w:rsidRPr="00A16A88" w:rsidP="001F2DF2">
            <w:pPr>
              <w:outlineLvl w:val="0"/>
              <w:rPr>
                <w:rFonts w:asciiTheme="majorHAnsi" w:hAnsiTheme="majorHAnsi"/>
                <w:i/>
              </w:rPr>
            </w:pPr>
            <w:r w:rsidRPr="00A16A88">
              <w:rPr>
                <w:rFonts w:asciiTheme="majorHAnsi" w:hAnsiTheme="majorHAnsi"/>
                <w:i/>
              </w:rPr>
              <w:t>Reading:</w:t>
            </w:r>
          </w:p>
          <w:p w:rsidR="001F2DF2" w:rsidRPr="00B869DD" w:rsidP="001F2DF2">
            <w:pPr>
              <w:pStyle w:val="ListBullet"/>
            </w:pPr>
            <w:r>
              <w:rPr>
                <w:rFonts w:asciiTheme="majorHAnsi" w:hAnsiTheme="majorHAnsi"/>
                <w:sz w:val="22"/>
                <w:szCs w:val="22"/>
              </w:rPr>
              <w:t>Witkin, Chapter 17 - Current Insurance Policies for Insuring against Environmental Risk</w:t>
            </w:r>
          </w:p>
          <w:p w:rsidR="001F2DF2" w:rsidRPr="00A16A88" w:rsidP="001F2DF2">
            <w:pPr>
              <w:pStyle w:val="ListBullet"/>
            </w:pPr>
            <w:r>
              <w:rPr>
                <w:rFonts w:asciiTheme="majorHAnsi" w:hAnsiTheme="majorHAnsi"/>
                <w:sz w:val="22"/>
                <w:szCs w:val="22"/>
              </w:rPr>
              <w:t>CDC ELT Case Studies</w:t>
            </w:r>
          </w:p>
        </w:tc>
        <w:tc>
          <w:tcPr>
            <w:tcW w:w="2984" w:type="dxa"/>
          </w:tcPr>
          <w:p w:rsidR="001F2DF2" w:rsidRPr="009E654E" w:rsidP="001F2DF2">
            <w:pPr>
              <w:pStyle w:val="ListBullet"/>
              <w:rPr>
                <w:rFonts w:asciiTheme="majorHAnsi" w:hAnsiTheme="majorHAnsi"/>
                <w:sz w:val="22"/>
                <w:szCs w:val="22"/>
              </w:rPr>
            </w:pPr>
            <w:r w:rsidRPr="009E654E">
              <w:rPr>
                <w:rFonts w:asciiTheme="majorHAnsi" w:hAnsiTheme="majorHAnsi"/>
                <w:sz w:val="22"/>
                <w:szCs w:val="22"/>
              </w:rPr>
              <w:t>Evaluate and determine the applicability of key risk management tools that can mitigate risks of environmental liabilities in connection with transactions</w:t>
            </w:r>
          </w:p>
          <w:p w:rsidR="001F2DF2" w:rsidRPr="009E654E" w:rsidP="001F2DF2">
            <w:pPr>
              <w:pStyle w:val="ListBullet"/>
              <w:rPr>
                <w:rFonts w:asciiTheme="majorHAnsi" w:hAnsiTheme="majorHAnsi"/>
                <w:sz w:val="22"/>
                <w:szCs w:val="22"/>
              </w:rPr>
            </w:pPr>
            <w:r w:rsidRPr="009E654E">
              <w:rPr>
                <w:rFonts w:asciiTheme="majorHAnsi" w:hAnsiTheme="majorHAnsi"/>
                <w:sz w:val="22"/>
                <w:szCs w:val="22"/>
              </w:rPr>
              <w:t>Identify issues associated with environmental policy coverage and language and negotiate appropriate environmental insurance coverage</w:t>
            </w:r>
          </w:p>
          <w:p w:rsidR="001F2DF2" w:rsidRPr="009E654E" w:rsidP="001F2DF2">
            <w:pPr>
              <w:pStyle w:val="ListBullet"/>
              <w:rPr>
                <w:rFonts w:asciiTheme="majorHAnsi" w:hAnsiTheme="majorHAnsi"/>
                <w:sz w:val="22"/>
                <w:szCs w:val="22"/>
              </w:rPr>
            </w:pPr>
            <w:r w:rsidRPr="009E654E">
              <w:rPr>
                <w:rFonts w:asciiTheme="majorHAnsi" w:hAnsiTheme="majorHAnsi"/>
                <w:sz w:val="22"/>
                <w:szCs w:val="22"/>
              </w:rPr>
              <w:t>Respond to inquiries and diligence requests from third-party insurance underwriters or government with respect to underlying environmental risks.</w:t>
            </w:r>
          </w:p>
        </w:tc>
      </w:tr>
      <w:tr w:rsidTr="001F2DF2">
        <w:tblPrEx>
          <w:tblW w:w="0" w:type="auto"/>
          <w:tblLook w:val="04A0"/>
        </w:tblPrEx>
        <w:tc>
          <w:tcPr>
            <w:tcW w:w="1409" w:type="dxa"/>
          </w:tcPr>
          <w:p w:rsidR="001F2DF2" w:rsidRPr="0047225E" w:rsidP="001F2DF2">
            <w:pPr>
              <w:outlineLvl w:val="0"/>
              <w:rPr>
                <w:rFonts w:asciiTheme="majorHAnsi" w:hAnsiTheme="majorHAnsi"/>
              </w:rPr>
            </w:pPr>
            <w:r>
              <w:rPr>
                <w:rFonts w:asciiTheme="majorHAnsi" w:hAnsiTheme="majorHAnsi"/>
              </w:rPr>
              <w:t>Week 11</w:t>
            </w:r>
          </w:p>
        </w:tc>
        <w:tc>
          <w:tcPr>
            <w:tcW w:w="2383" w:type="dxa"/>
          </w:tcPr>
          <w:p w:rsidR="001F2DF2" w:rsidRPr="009571E5" w:rsidP="001F2DF2">
            <w:pPr>
              <w:outlineLvl w:val="0"/>
              <w:rPr>
                <w:rFonts w:asciiTheme="majorHAnsi" w:hAnsiTheme="majorHAnsi"/>
              </w:rPr>
            </w:pPr>
            <w:r w:rsidRPr="009571E5">
              <w:rPr>
                <w:rFonts w:asciiTheme="majorHAnsi" w:hAnsiTheme="majorHAnsi"/>
              </w:rPr>
              <w:t>Environmental Considerations in Credit and Lease Agreements</w:t>
            </w:r>
          </w:p>
        </w:tc>
        <w:tc>
          <w:tcPr>
            <w:tcW w:w="2934" w:type="dxa"/>
          </w:tcPr>
          <w:p w:rsidR="00476E40" w:rsidRPr="00476E40" w:rsidP="001F2DF2">
            <w:pPr>
              <w:outlineLvl w:val="0"/>
              <w:rPr>
                <w:rFonts w:asciiTheme="majorHAnsi" w:hAnsiTheme="majorHAnsi"/>
              </w:rPr>
            </w:pPr>
            <w:r w:rsidRPr="006F4A49">
              <w:rPr>
                <w:rFonts w:asciiTheme="majorHAnsi" w:hAnsiTheme="majorHAnsi"/>
                <w:i/>
              </w:rPr>
              <w:t>Assignment:</w:t>
            </w:r>
            <w:r>
              <w:rPr>
                <w:rFonts w:asciiTheme="majorHAnsi" w:hAnsiTheme="majorHAnsi"/>
              </w:rPr>
              <w:t xml:space="preserve">  Prepare written responses to insurance underwriter due diligence requests related to practice transaction.</w:t>
            </w:r>
          </w:p>
          <w:p w:rsidR="00476E40" w:rsidP="001F2DF2">
            <w:pPr>
              <w:outlineLvl w:val="0"/>
              <w:rPr>
                <w:rFonts w:asciiTheme="majorHAnsi" w:hAnsiTheme="majorHAnsi" w:cstheme="minorHAnsi"/>
                <w:i/>
              </w:rPr>
            </w:pPr>
          </w:p>
          <w:p w:rsidR="001F2DF2" w:rsidRPr="009571E5" w:rsidP="001F2DF2">
            <w:pPr>
              <w:outlineLvl w:val="0"/>
              <w:rPr>
                <w:rFonts w:asciiTheme="majorHAnsi" w:hAnsiTheme="majorHAnsi" w:cstheme="minorHAnsi"/>
                <w:i/>
              </w:rPr>
            </w:pPr>
            <w:r w:rsidRPr="009571E5">
              <w:rPr>
                <w:rFonts w:asciiTheme="majorHAnsi" w:hAnsiTheme="majorHAnsi" w:cstheme="minorHAnsi"/>
                <w:i/>
              </w:rPr>
              <w:t>Reading:</w:t>
            </w:r>
          </w:p>
          <w:p w:rsidR="001F2DF2" w:rsidRPr="009571E5" w:rsidP="001F2DF2">
            <w:pPr>
              <w:pStyle w:val="ListBullet"/>
            </w:pPr>
            <w:r>
              <w:rPr>
                <w:rFonts w:asciiTheme="majorHAnsi" w:hAnsiTheme="majorHAnsi"/>
                <w:sz w:val="22"/>
                <w:szCs w:val="22"/>
              </w:rPr>
              <w:t>Witkin, Chapter 4 - Lender and Fiduciary Liability Issues (pgs. 75-95 only) and Chapter 16 - Environmental Issues in the Landlord-Tenant Context</w:t>
            </w:r>
          </w:p>
        </w:tc>
        <w:tc>
          <w:tcPr>
            <w:tcW w:w="2984" w:type="dxa"/>
          </w:tcPr>
          <w:p w:rsidR="001F2DF2" w:rsidP="001F2DF2">
            <w:pPr>
              <w:pStyle w:val="ListBullet"/>
              <w:rPr>
                <w:rFonts w:asciiTheme="majorHAnsi" w:hAnsiTheme="majorHAnsi"/>
                <w:sz w:val="22"/>
                <w:szCs w:val="22"/>
              </w:rPr>
            </w:pPr>
            <w:r>
              <w:rPr>
                <w:rFonts w:asciiTheme="majorHAnsi" w:hAnsiTheme="majorHAnsi"/>
                <w:sz w:val="22"/>
                <w:szCs w:val="22"/>
              </w:rPr>
              <w:t>Identify the key risk-allocation components of credit agreements and lease agreements from an environmental perspective</w:t>
            </w:r>
          </w:p>
          <w:p w:rsidR="001F2DF2" w:rsidRPr="009E654E" w:rsidP="001F2DF2">
            <w:pPr>
              <w:pStyle w:val="ListBullet"/>
              <w:rPr>
                <w:rFonts w:asciiTheme="majorHAnsi" w:hAnsiTheme="majorHAnsi"/>
                <w:sz w:val="22"/>
                <w:szCs w:val="22"/>
              </w:rPr>
            </w:pPr>
            <w:r w:rsidRPr="009E654E">
              <w:rPr>
                <w:rFonts w:asciiTheme="majorHAnsi" w:hAnsiTheme="majorHAnsi"/>
                <w:sz w:val="22"/>
                <w:szCs w:val="22"/>
              </w:rPr>
              <w:t>Review and comment on such provisions from differing perspectives</w:t>
            </w:r>
          </w:p>
        </w:tc>
      </w:tr>
      <w:tr w:rsidTr="001F2DF2">
        <w:tblPrEx>
          <w:tblW w:w="0" w:type="auto"/>
          <w:tblLook w:val="04A0"/>
        </w:tblPrEx>
        <w:tc>
          <w:tcPr>
            <w:tcW w:w="1409" w:type="dxa"/>
          </w:tcPr>
          <w:p w:rsidR="001F2DF2" w:rsidRPr="0047225E" w:rsidP="001F2DF2">
            <w:pPr>
              <w:outlineLvl w:val="0"/>
              <w:rPr>
                <w:rFonts w:asciiTheme="majorHAnsi" w:hAnsiTheme="majorHAnsi"/>
              </w:rPr>
            </w:pPr>
            <w:r>
              <w:rPr>
                <w:rFonts w:asciiTheme="majorHAnsi" w:hAnsiTheme="majorHAnsi"/>
              </w:rPr>
              <w:t>Week 12</w:t>
            </w:r>
          </w:p>
        </w:tc>
        <w:tc>
          <w:tcPr>
            <w:tcW w:w="2383" w:type="dxa"/>
          </w:tcPr>
          <w:p w:rsidR="001F2DF2" w:rsidRPr="0047225E" w:rsidP="001F2DF2">
            <w:pPr>
              <w:outlineLvl w:val="0"/>
              <w:rPr>
                <w:rFonts w:asciiTheme="majorHAnsi" w:hAnsiTheme="majorHAnsi"/>
              </w:rPr>
            </w:pPr>
            <w:r w:rsidRPr="0047225E">
              <w:rPr>
                <w:rFonts w:asciiTheme="majorHAnsi" w:hAnsiTheme="majorHAnsi"/>
              </w:rPr>
              <w:t>Negotiating Environmental Aspects of Transactions</w:t>
            </w:r>
          </w:p>
        </w:tc>
        <w:tc>
          <w:tcPr>
            <w:tcW w:w="2934" w:type="dxa"/>
          </w:tcPr>
          <w:p w:rsidR="001F2DF2" w:rsidP="001F2DF2">
            <w:pPr>
              <w:outlineLvl w:val="0"/>
              <w:rPr>
                <w:rFonts w:asciiTheme="majorHAnsi" w:hAnsiTheme="majorHAnsi" w:cstheme="minorHAnsi"/>
              </w:rPr>
            </w:pPr>
            <w:r w:rsidRPr="0047225E">
              <w:rPr>
                <w:rFonts w:asciiTheme="majorHAnsi" w:hAnsiTheme="majorHAnsi" w:cstheme="minorHAnsi"/>
                <w:i/>
              </w:rPr>
              <w:t xml:space="preserve">Assignment:  </w:t>
            </w:r>
            <w:r>
              <w:rPr>
                <w:rFonts w:asciiTheme="majorHAnsi" w:hAnsiTheme="majorHAnsi" w:cstheme="minorHAnsi"/>
              </w:rPr>
              <w:t>Prepare markup of credit agreement related to practice transaction.</w:t>
            </w:r>
          </w:p>
          <w:p w:rsidR="001F2DF2" w:rsidP="001F2DF2">
            <w:pPr>
              <w:outlineLvl w:val="0"/>
              <w:rPr>
                <w:rFonts w:asciiTheme="majorHAnsi" w:hAnsiTheme="majorHAnsi" w:cstheme="minorHAnsi"/>
              </w:rPr>
            </w:pPr>
          </w:p>
          <w:p w:rsidR="001F2DF2" w:rsidRPr="0047225E" w:rsidP="001F2DF2">
            <w:pPr>
              <w:outlineLvl w:val="0"/>
              <w:rPr>
                <w:rFonts w:asciiTheme="majorHAnsi" w:hAnsiTheme="majorHAnsi"/>
                <w:highlight w:val="yellow"/>
              </w:rPr>
            </w:pPr>
            <w:r w:rsidRPr="00A16A88">
              <w:rPr>
                <w:rFonts w:asciiTheme="majorHAnsi" w:hAnsiTheme="majorHAnsi" w:cstheme="minorHAnsi"/>
                <w:i/>
              </w:rPr>
              <w:t>In-Class Exercise:</w:t>
            </w:r>
            <w:r>
              <w:rPr>
                <w:rFonts w:asciiTheme="majorHAnsi" w:hAnsiTheme="majorHAnsi" w:cstheme="minorHAnsi"/>
              </w:rPr>
              <w:t xml:space="preserve">  Issue Spotting and Negotiation of Disputed Contract Language.</w:t>
            </w:r>
          </w:p>
        </w:tc>
        <w:tc>
          <w:tcPr>
            <w:tcW w:w="2984" w:type="dxa"/>
          </w:tcPr>
          <w:p w:rsidR="001F2DF2" w:rsidRPr="00A16A88" w:rsidP="001F2DF2">
            <w:pPr>
              <w:pStyle w:val="ListBullet"/>
              <w:rPr>
                <w:rFonts w:asciiTheme="majorHAnsi" w:hAnsiTheme="majorHAnsi"/>
                <w:sz w:val="22"/>
                <w:szCs w:val="22"/>
              </w:rPr>
            </w:pPr>
            <w:r w:rsidRPr="00A16A88">
              <w:rPr>
                <w:rFonts w:asciiTheme="majorHAnsi" w:hAnsiTheme="majorHAnsi"/>
                <w:sz w:val="22"/>
                <w:szCs w:val="22"/>
              </w:rPr>
              <w:t>Spot and analyze issues arising in a markup by opposing counsel of purchase or credit agreements</w:t>
            </w:r>
          </w:p>
          <w:p w:rsidR="001F2DF2" w:rsidRPr="00A16A88" w:rsidP="001F2DF2">
            <w:pPr>
              <w:pStyle w:val="ListBullet"/>
              <w:rPr>
                <w:rFonts w:asciiTheme="majorHAnsi" w:hAnsiTheme="majorHAnsi"/>
                <w:sz w:val="22"/>
                <w:szCs w:val="22"/>
              </w:rPr>
            </w:pPr>
            <w:r w:rsidRPr="00A16A88">
              <w:rPr>
                <w:rFonts w:asciiTheme="majorHAnsi" w:hAnsiTheme="majorHAnsi"/>
                <w:sz w:val="22"/>
                <w:szCs w:val="22"/>
              </w:rPr>
              <w:t>Negotiate in person with a counterparty to reach a commercial resolution</w:t>
            </w:r>
          </w:p>
          <w:p w:rsidR="001F2DF2" w:rsidRPr="00A16A88" w:rsidP="001F2DF2">
            <w:pPr>
              <w:pStyle w:val="ListBullet"/>
              <w:rPr>
                <w:rFonts w:asciiTheme="majorHAnsi" w:hAnsiTheme="majorHAnsi"/>
                <w:sz w:val="22"/>
                <w:szCs w:val="22"/>
              </w:rPr>
            </w:pPr>
            <w:r w:rsidRPr="00A16A88">
              <w:rPr>
                <w:rFonts w:asciiTheme="majorHAnsi" w:hAnsiTheme="majorHAnsi"/>
                <w:sz w:val="22"/>
                <w:szCs w:val="22"/>
              </w:rPr>
              <w:t>Memorialize an agreement in writing for the client or deal team</w:t>
            </w:r>
          </w:p>
        </w:tc>
      </w:tr>
      <w:tr w:rsidTr="001F2DF2">
        <w:tblPrEx>
          <w:tblW w:w="0" w:type="auto"/>
          <w:tblLook w:val="04A0"/>
        </w:tblPrEx>
        <w:tc>
          <w:tcPr>
            <w:tcW w:w="1409" w:type="dxa"/>
          </w:tcPr>
          <w:p w:rsidR="001F2DF2" w:rsidRPr="0047225E" w:rsidP="001F2DF2">
            <w:pPr>
              <w:outlineLvl w:val="0"/>
              <w:rPr>
                <w:rFonts w:asciiTheme="majorHAnsi" w:hAnsiTheme="majorHAnsi"/>
              </w:rPr>
            </w:pPr>
            <w:r w:rsidR="00476E40">
              <w:rPr>
                <w:rFonts w:asciiTheme="majorHAnsi" w:hAnsiTheme="majorHAnsi"/>
              </w:rPr>
              <w:t>Week 13</w:t>
            </w:r>
          </w:p>
        </w:tc>
        <w:tc>
          <w:tcPr>
            <w:tcW w:w="2383" w:type="dxa"/>
          </w:tcPr>
          <w:p w:rsidR="001F2DF2" w:rsidRPr="0047225E" w:rsidP="001F2DF2">
            <w:pPr>
              <w:outlineLvl w:val="0"/>
              <w:rPr>
                <w:rFonts w:asciiTheme="majorHAnsi" w:hAnsiTheme="majorHAnsi"/>
              </w:rPr>
            </w:pPr>
            <w:r w:rsidR="00476E40">
              <w:rPr>
                <w:rFonts w:asciiTheme="majorHAnsi" w:hAnsiTheme="majorHAnsi"/>
              </w:rPr>
              <w:t>Post-Closing Action Items and Permit Transfers</w:t>
            </w:r>
          </w:p>
        </w:tc>
        <w:tc>
          <w:tcPr>
            <w:tcW w:w="2934" w:type="dxa"/>
          </w:tcPr>
          <w:p w:rsidR="001F2DF2" w:rsidP="001F2DF2">
            <w:pPr>
              <w:outlineLvl w:val="0"/>
              <w:rPr>
                <w:rFonts w:asciiTheme="majorHAnsi" w:hAnsiTheme="majorHAnsi"/>
              </w:rPr>
            </w:pPr>
            <w:r w:rsidRPr="006F4A49">
              <w:rPr>
                <w:rFonts w:asciiTheme="majorHAnsi" w:hAnsiTheme="majorHAnsi"/>
                <w:i/>
              </w:rPr>
              <w:t>Reading:</w:t>
            </w:r>
            <w:r w:rsidRPr="006F4A49">
              <w:rPr>
                <w:rFonts w:asciiTheme="majorHAnsi" w:hAnsiTheme="majorHAnsi"/>
              </w:rPr>
              <w:t xml:space="preserve"> </w:t>
            </w:r>
          </w:p>
          <w:p w:rsidR="001F2DF2" w:rsidP="001F2DF2">
            <w:pPr>
              <w:pStyle w:val="ListBullet"/>
              <w:rPr>
                <w:rFonts w:asciiTheme="majorHAnsi" w:hAnsiTheme="majorHAnsi"/>
                <w:sz w:val="22"/>
                <w:szCs w:val="22"/>
              </w:rPr>
            </w:pPr>
            <w:r w:rsidRPr="000C5DB6">
              <w:rPr>
                <w:rFonts w:asciiTheme="majorHAnsi" w:hAnsiTheme="majorHAnsi"/>
                <w:sz w:val="22"/>
                <w:szCs w:val="22"/>
              </w:rPr>
              <w:t>Select materials on environmental permit transfer requirements</w:t>
            </w:r>
          </w:p>
          <w:p w:rsidR="001F2DF2" w:rsidRPr="00733923" w:rsidP="001F2DF2">
            <w:pPr>
              <w:pStyle w:val="ListBullet"/>
            </w:pPr>
            <w:r w:rsidRPr="00733923">
              <w:rPr>
                <w:rFonts w:asciiTheme="majorHAnsi" w:hAnsiTheme="majorHAnsi"/>
                <w:sz w:val="22"/>
                <w:szCs w:val="22"/>
              </w:rPr>
              <w:t xml:space="preserve">Select materials on EPA’s Interim Approach to Applying the Audit Policy to New Owners  </w:t>
            </w:r>
          </w:p>
        </w:tc>
        <w:tc>
          <w:tcPr>
            <w:tcW w:w="2984" w:type="dxa"/>
          </w:tcPr>
          <w:p w:rsidR="001F2DF2" w:rsidRPr="006F4A49" w:rsidP="001F2DF2">
            <w:pPr>
              <w:pStyle w:val="ListBullet"/>
              <w:rPr>
                <w:rFonts w:asciiTheme="majorHAnsi" w:hAnsiTheme="majorHAnsi"/>
                <w:sz w:val="22"/>
                <w:szCs w:val="22"/>
              </w:rPr>
            </w:pPr>
            <w:r w:rsidRPr="006F4A49">
              <w:rPr>
                <w:rFonts w:asciiTheme="majorHAnsi" w:hAnsiTheme="majorHAnsi"/>
                <w:sz w:val="22"/>
                <w:szCs w:val="22"/>
              </w:rPr>
              <w:t>Describe the competing considerations in investigating and addressing environmental issues identified in due diligence after closing of a transaction</w:t>
            </w:r>
          </w:p>
          <w:p w:rsidR="001F2DF2" w:rsidRPr="006F4A49" w:rsidP="001F2DF2">
            <w:pPr>
              <w:pStyle w:val="ListBullet"/>
              <w:rPr>
                <w:rFonts w:asciiTheme="majorHAnsi" w:hAnsiTheme="majorHAnsi"/>
                <w:sz w:val="22"/>
                <w:szCs w:val="22"/>
              </w:rPr>
            </w:pPr>
            <w:r w:rsidRPr="006F4A49">
              <w:rPr>
                <w:rFonts w:asciiTheme="majorHAnsi" w:hAnsiTheme="majorHAnsi"/>
                <w:sz w:val="22"/>
                <w:szCs w:val="22"/>
              </w:rPr>
              <w:t>Demonstrate an understanding of issues and timing involved with transferring environmental permits</w:t>
            </w:r>
          </w:p>
          <w:p w:rsidR="001F2DF2" w:rsidRPr="006F4A49" w:rsidP="001F2DF2">
            <w:pPr>
              <w:pStyle w:val="ListBullet"/>
              <w:rPr>
                <w:rFonts w:asciiTheme="majorHAnsi" w:hAnsiTheme="majorHAnsi"/>
                <w:sz w:val="22"/>
                <w:szCs w:val="22"/>
              </w:rPr>
            </w:pPr>
            <w:r w:rsidRPr="006F4A49">
              <w:rPr>
                <w:rFonts w:asciiTheme="majorHAnsi" w:hAnsiTheme="majorHAnsi"/>
                <w:sz w:val="22"/>
                <w:szCs w:val="22"/>
              </w:rPr>
              <w:t>Evaluate and analyze the most effective methods and processes to set up a client for a successful exit and sale</w:t>
            </w:r>
          </w:p>
        </w:tc>
      </w:tr>
      <w:tr w:rsidTr="001F2DF2">
        <w:tblPrEx>
          <w:tblW w:w="0" w:type="auto"/>
          <w:tblLook w:val="04A0"/>
        </w:tblPrEx>
        <w:tc>
          <w:tcPr>
            <w:tcW w:w="1409" w:type="dxa"/>
          </w:tcPr>
          <w:p w:rsidR="001F2DF2" w:rsidRPr="0047225E" w:rsidP="001F2DF2">
            <w:pPr>
              <w:outlineLvl w:val="0"/>
              <w:rPr>
                <w:rFonts w:asciiTheme="majorHAnsi" w:hAnsiTheme="majorHAnsi"/>
              </w:rPr>
            </w:pPr>
            <w:r w:rsidRPr="0047225E">
              <w:rPr>
                <w:rFonts w:asciiTheme="majorHAnsi" w:hAnsiTheme="majorHAnsi"/>
              </w:rPr>
              <w:t>Week 14</w:t>
            </w:r>
          </w:p>
        </w:tc>
        <w:tc>
          <w:tcPr>
            <w:tcW w:w="2383" w:type="dxa"/>
          </w:tcPr>
          <w:p w:rsidR="001F2DF2" w:rsidRPr="0047225E" w:rsidP="001F2DF2">
            <w:pPr>
              <w:outlineLvl w:val="0"/>
              <w:rPr>
                <w:rFonts w:asciiTheme="majorHAnsi" w:hAnsiTheme="majorHAnsi"/>
              </w:rPr>
            </w:pPr>
            <w:r w:rsidRPr="0047225E">
              <w:rPr>
                <w:rFonts w:asciiTheme="majorHAnsi" w:hAnsiTheme="majorHAnsi"/>
              </w:rPr>
              <w:t>Other Special Environmental Issues</w:t>
            </w:r>
          </w:p>
        </w:tc>
        <w:tc>
          <w:tcPr>
            <w:tcW w:w="2934" w:type="dxa"/>
          </w:tcPr>
          <w:p w:rsidR="003B286E" w:rsidRPr="00D56C20" w:rsidP="003B286E">
            <w:pPr>
              <w:outlineLvl w:val="0"/>
              <w:rPr>
                <w:rFonts w:asciiTheme="majorHAnsi" w:hAnsiTheme="majorHAnsi"/>
              </w:rPr>
            </w:pPr>
            <w:r w:rsidRPr="00D56C20">
              <w:rPr>
                <w:rFonts w:asciiTheme="majorHAnsi" w:hAnsiTheme="majorHAnsi"/>
                <w:i/>
              </w:rPr>
              <w:t xml:space="preserve">Assignment: </w:t>
            </w:r>
            <w:r>
              <w:rPr>
                <w:rFonts w:asciiTheme="majorHAnsi" w:hAnsiTheme="majorHAnsi"/>
              </w:rPr>
              <w:t>Draft environmental indemnity claim letter.</w:t>
            </w:r>
          </w:p>
          <w:p w:rsidR="003B286E" w:rsidP="001F2DF2">
            <w:pPr>
              <w:outlineLvl w:val="0"/>
              <w:rPr>
                <w:rFonts w:asciiTheme="majorHAnsi" w:hAnsiTheme="majorHAnsi"/>
                <w:i/>
              </w:rPr>
            </w:pPr>
          </w:p>
          <w:p w:rsidR="001F2DF2" w:rsidRPr="00D56C20" w:rsidP="001F2DF2">
            <w:pPr>
              <w:outlineLvl w:val="0"/>
              <w:rPr>
                <w:rFonts w:asciiTheme="majorHAnsi" w:hAnsiTheme="majorHAnsi"/>
                <w:i/>
              </w:rPr>
            </w:pPr>
            <w:r w:rsidRPr="00D56C20">
              <w:rPr>
                <w:rFonts w:asciiTheme="majorHAnsi" w:hAnsiTheme="majorHAnsi"/>
                <w:i/>
              </w:rPr>
              <w:t xml:space="preserve">Reading:  </w:t>
            </w:r>
          </w:p>
          <w:p w:rsidR="001F2DF2" w:rsidRPr="00D56C20" w:rsidP="001F2DF2">
            <w:pPr>
              <w:pStyle w:val="ListBullet"/>
            </w:pPr>
            <w:r w:rsidRPr="00D56C20">
              <w:rPr>
                <w:rFonts w:asciiTheme="majorHAnsi" w:hAnsiTheme="majorHAnsi"/>
                <w:sz w:val="22"/>
                <w:szCs w:val="22"/>
              </w:rPr>
              <w:t xml:space="preserve">Witkin, Chapter 3 - Transaction-Triggered Environmental Laws </w:t>
            </w:r>
          </w:p>
          <w:p w:rsidR="001F2DF2" w:rsidRPr="00D56C20" w:rsidP="001F2DF2">
            <w:pPr>
              <w:pStyle w:val="ListBullet"/>
            </w:pPr>
            <w:r>
              <w:rPr>
                <w:rFonts w:asciiTheme="majorHAnsi" w:hAnsiTheme="majorHAnsi"/>
                <w:sz w:val="22"/>
                <w:szCs w:val="22"/>
              </w:rPr>
              <w:t xml:space="preserve">Select materials on environmental, social and corporate governance </w:t>
            </w:r>
          </w:p>
          <w:p w:rsidR="001F2DF2" w:rsidRPr="00D56C20" w:rsidP="001F2DF2">
            <w:pPr>
              <w:outlineLvl w:val="0"/>
              <w:rPr>
                <w:rFonts w:asciiTheme="majorHAnsi" w:hAnsiTheme="majorHAnsi"/>
                <w:i/>
              </w:rPr>
            </w:pPr>
          </w:p>
        </w:tc>
        <w:tc>
          <w:tcPr>
            <w:tcW w:w="2984" w:type="dxa"/>
          </w:tcPr>
          <w:p w:rsidR="001F2DF2" w:rsidRPr="00D56C20" w:rsidP="001F2DF2">
            <w:pPr>
              <w:pStyle w:val="ListBullet"/>
              <w:rPr>
                <w:rFonts w:asciiTheme="majorHAnsi" w:hAnsiTheme="majorHAnsi"/>
                <w:sz w:val="22"/>
                <w:szCs w:val="22"/>
              </w:rPr>
            </w:pPr>
            <w:r w:rsidRPr="00D56C20">
              <w:rPr>
                <w:rFonts w:asciiTheme="majorHAnsi" w:hAnsiTheme="majorHAnsi"/>
                <w:sz w:val="22"/>
                <w:szCs w:val="22"/>
              </w:rPr>
              <w:t>Determine the applicability of transaction-triggered environmental laws in connection with different types of transactions</w:t>
            </w:r>
          </w:p>
          <w:p w:rsidR="001F2DF2" w:rsidRPr="00D56C20" w:rsidP="001F2DF2">
            <w:pPr>
              <w:pStyle w:val="ListBullet"/>
              <w:rPr>
                <w:rFonts w:asciiTheme="majorHAnsi" w:hAnsiTheme="majorHAnsi"/>
                <w:sz w:val="22"/>
                <w:szCs w:val="22"/>
              </w:rPr>
            </w:pPr>
            <w:r w:rsidRPr="00D56C20">
              <w:rPr>
                <w:rFonts w:asciiTheme="majorHAnsi" w:hAnsiTheme="majorHAnsi"/>
                <w:sz w:val="22"/>
                <w:szCs w:val="22"/>
              </w:rPr>
              <w:t>Explain the reasoning behind the growing trend for increased environmental, social and corporate governance due diligence</w:t>
            </w:r>
          </w:p>
          <w:p w:rsidR="001F2DF2" w:rsidRPr="00D56C20" w:rsidP="001F2DF2">
            <w:pPr>
              <w:pStyle w:val="ListBullet"/>
              <w:rPr>
                <w:rFonts w:asciiTheme="majorHAnsi" w:hAnsiTheme="majorHAnsi"/>
                <w:sz w:val="22"/>
                <w:szCs w:val="22"/>
              </w:rPr>
            </w:pPr>
            <w:r w:rsidRPr="00D56C20">
              <w:rPr>
                <w:rFonts w:asciiTheme="majorHAnsi" w:hAnsiTheme="majorHAnsi"/>
                <w:sz w:val="22"/>
                <w:szCs w:val="22"/>
              </w:rPr>
              <w:t>Demonstrate a basic understanding of the importance of climate change and other emerging environmental issues</w:t>
            </w:r>
          </w:p>
        </w:tc>
      </w:tr>
    </w:tbl>
    <w:p w:rsidR="00A62198" w:rsidRPr="0047225E" w:rsidP="00135D6B">
      <w:pPr>
        <w:rPr>
          <w:rFonts w:asciiTheme="majorHAnsi" w:hAnsiTheme="majorHAnsi"/>
          <w:color w:val="008000"/>
        </w:rPr>
      </w:pPr>
    </w:p>
    <w:p w:rsidR="00233118" w:rsidP="00233118">
      <w:pPr>
        <w:jc w:val="center"/>
        <w:rPr>
          <w:rFonts w:asciiTheme="majorHAnsi" w:hAnsiTheme="majorHAnsi"/>
          <w:color w:val="008000"/>
        </w:rPr>
      </w:pPr>
    </w:p>
    <w:sectPr w:rsidSect="005C2044">
      <w:footerReference w:type="even" r:id="rId4"/>
      <w:footerReference w:type="default" r:id="rId5"/>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118" w:rsidP="00135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3118" w:rsidP="00135D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118" w:rsidP="00135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86E">
      <w:rPr>
        <w:rStyle w:val="PageNumber"/>
        <w:noProof/>
      </w:rPr>
      <w:t>3</w:t>
    </w:r>
    <w:r>
      <w:rPr>
        <w:rStyle w:val="PageNumber"/>
      </w:rPr>
      <w:fldChar w:fldCharType="end"/>
    </w:r>
  </w:p>
  <w:p w:rsidR="00233118" w:rsidP="00135D6B">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36280E9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15B2B730"/>
    <w:lvl w:ilvl="0">
      <w:start w:val="1"/>
      <w:numFmt w:val="decimal"/>
      <w:pStyle w:val="ListNumber"/>
      <w:lvlText w:val="%1."/>
      <w:lvlJc w:val="left"/>
      <w:pPr>
        <w:tabs>
          <w:tab w:val="num" w:pos="360"/>
        </w:tabs>
        <w:ind w:left="360" w:hanging="360"/>
      </w:pPr>
    </w:lvl>
  </w:abstractNum>
  <w:abstractNum w:abstractNumId="2">
    <w:nsid w:val="FFFFFF89"/>
    <w:multiLevelType w:val="singleLevel"/>
    <w:tmpl w:val="464C35A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nsid w:val="03B306EF"/>
    <w:multiLevelType w:val="hybridMultilevel"/>
    <w:tmpl w:val="83DCFBB6"/>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DE71AAF"/>
    <w:multiLevelType w:val="hybridMultilevel"/>
    <w:tmpl w:val="DC568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A528CA"/>
    <w:multiLevelType w:val="hybridMultilevel"/>
    <w:tmpl w:val="177C674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15C675BE"/>
    <w:multiLevelType w:val="hybridMultilevel"/>
    <w:tmpl w:val="AC62AE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C353A8"/>
    <w:multiLevelType w:val="hybridMultilevel"/>
    <w:tmpl w:val="572CB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EA38BE"/>
    <w:multiLevelType w:val="hybridMultilevel"/>
    <w:tmpl w:val="236A22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535959"/>
    <w:multiLevelType w:val="hybridMultilevel"/>
    <w:tmpl w:val="C6CE46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673885"/>
    <w:multiLevelType w:val="hybridMultilevel"/>
    <w:tmpl w:val="26DC1D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98647B"/>
    <w:multiLevelType w:val="multilevel"/>
    <w:tmpl w:val="0914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6466B"/>
    <w:multiLevelType w:val="hybridMultilevel"/>
    <w:tmpl w:val="073A8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1F04CA"/>
    <w:multiLevelType w:val="hybridMultilevel"/>
    <w:tmpl w:val="F65E0F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FD548B"/>
    <w:multiLevelType w:val="hybridMultilevel"/>
    <w:tmpl w:val="46CECAC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29F00AB"/>
    <w:multiLevelType w:val="hybridMultilevel"/>
    <w:tmpl w:val="FA08C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BD85EB0"/>
    <w:multiLevelType w:val="hybridMultilevel"/>
    <w:tmpl w:val="B70CFC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6866DD"/>
    <w:multiLevelType w:val="multilevel"/>
    <w:tmpl w:val="F9F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6930CE"/>
    <w:multiLevelType w:val="multilevel"/>
    <w:tmpl w:val="0EB6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F7C36"/>
    <w:multiLevelType w:val="hybridMultilevel"/>
    <w:tmpl w:val="016611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F5B6D41"/>
    <w:multiLevelType w:val="multilevel"/>
    <w:tmpl w:val="68CA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FC0B2E"/>
    <w:multiLevelType w:val="hybridMultilevel"/>
    <w:tmpl w:val="080C39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A6D214C"/>
    <w:multiLevelType w:val="hybridMultilevel"/>
    <w:tmpl w:val="2DEAD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1C572C6"/>
    <w:multiLevelType w:val="hybridMultilevel"/>
    <w:tmpl w:val="BD50188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360" w:hanging="360"/>
      </w:pPr>
      <w:rPr>
        <w:rFonts w:ascii="Wingdings" w:hAnsi="Wingdings" w:hint="default"/>
      </w:rPr>
    </w:lvl>
    <w:lvl w:ilvl="3" w:tentative="1">
      <w:start w:val="1"/>
      <w:numFmt w:val="bullet"/>
      <w:lvlText w:val=""/>
      <w:lvlJc w:val="left"/>
      <w:pPr>
        <w:ind w:left="1080" w:hanging="360"/>
      </w:pPr>
      <w:rPr>
        <w:rFonts w:ascii="Symbol" w:hAnsi="Symbol" w:hint="default"/>
      </w:rPr>
    </w:lvl>
    <w:lvl w:ilvl="4" w:tentative="1">
      <w:start w:val="1"/>
      <w:numFmt w:val="bullet"/>
      <w:lvlText w:val="o"/>
      <w:lvlJc w:val="left"/>
      <w:pPr>
        <w:ind w:left="1800" w:hanging="360"/>
      </w:pPr>
      <w:rPr>
        <w:rFonts w:ascii="Courier New" w:hAnsi="Courier New" w:cs="Courier New" w:hint="default"/>
      </w:rPr>
    </w:lvl>
    <w:lvl w:ilvl="5" w:tentative="1">
      <w:start w:val="1"/>
      <w:numFmt w:val="bullet"/>
      <w:lvlText w:val=""/>
      <w:lvlJc w:val="left"/>
      <w:pPr>
        <w:ind w:left="2520" w:hanging="360"/>
      </w:pPr>
      <w:rPr>
        <w:rFonts w:ascii="Wingdings" w:hAnsi="Wingdings" w:hint="default"/>
      </w:rPr>
    </w:lvl>
    <w:lvl w:ilvl="6" w:tentative="1">
      <w:start w:val="1"/>
      <w:numFmt w:val="bullet"/>
      <w:lvlText w:val=""/>
      <w:lvlJc w:val="left"/>
      <w:pPr>
        <w:ind w:left="3240" w:hanging="360"/>
      </w:pPr>
      <w:rPr>
        <w:rFonts w:ascii="Symbol" w:hAnsi="Symbol" w:hint="default"/>
      </w:rPr>
    </w:lvl>
    <w:lvl w:ilvl="7" w:tentative="1">
      <w:start w:val="1"/>
      <w:numFmt w:val="bullet"/>
      <w:lvlText w:val="o"/>
      <w:lvlJc w:val="left"/>
      <w:pPr>
        <w:ind w:left="3960" w:hanging="360"/>
      </w:pPr>
      <w:rPr>
        <w:rFonts w:ascii="Courier New" w:hAnsi="Courier New" w:cs="Courier New" w:hint="default"/>
      </w:rPr>
    </w:lvl>
    <w:lvl w:ilvl="8" w:tentative="1">
      <w:start w:val="1"/>
      <w:numFmt w:val="bullet"/>
      <w:lvlText w:val=""/>
      <w:lvlJc w:val="left"/>
      <w:pPr>
        <w:ind w:left="4680" w:hanging="360"/>
      </w:pPr>
      <w:rPr>
        <w:rFonts w:ascii="Wingdings" w:hAnsi="Wingdings" w:hint="default"/>
      </w:rPr>
    </w:lvl>
  </w:abstractNum>
  <w:abstractNum w:abstractNumId="24">
    <w:nsid w:val="74510F67"/>
    <w:multiLevelType w:val="hybridMultilevel"/>
    <w:tmpl w:val="4732CA1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75A87A6E"/>
    <w:multiLevelType w:val="hybridMultilevel"/>
    <w:tmpl w:val="25D027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8BD3128"/>
    <w:multiLevelType w:val="hybridMultilevel"/>
    <w:tmpl w:val="067C1A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A7229EB"/>
    <w:multiLevelType w:val="multilevel"/>
    <w:tmpl w:val="B1D4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B40F00"/>
    <w:multiLevelType w:val="hybridMultilevel"/>
    <w:tmpl w:val="EEA4AF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5"/>
  </w:num>
  <w:num w:numId="5">
    <w:abstractNumId w:val="25"/>
  </w:num>
  <w:num w:numId="6">
    <w:abstractNumId w:val="10"/>
  </w:num>
  <w:num w:numId="7">
    <w:abstractNumId w:val="15"/>
  </w:num>
  <w:num w:numId="8">
    <w:abstractNumId w:val="18"/>
  </w:num>
  <w:num w:numId="9">
    <w:abstractNumId w:val="22"/>
  </w:num>
  <w:num w:numId="10">
    <w:abstractNumId w:val="28"/>
  </w:num>
  <w:num w:numId="11">
    <w:abstractNumId w:val="9"/>
  </w:num>
  <w:num w:numId="12">
    <w:abstractNumId w:val="27"/>
  </w:num>
  <w:num w:numId="13">
    <w:abstractNumId w:val="13"/>
  </w:num>
  <w:num w:numId="14">
    <w:abstractNumId w:val="6"/>
  </w:num>
  <w:num w:numId="15">
    <w:abstractNumId w:val="7"/>
  </w:num>
  <w:num w:numId="16">
    <w:abstractNumId w:val="20"/>
  </w:num>
  <w:num w:numId="17">
    <w:abstractNumId w:val="17"/>
  </w:num>
  <w:num w:numId="18">
    <w:abstractNumId w:val="2"/>
  </w:num>
  <w:num w:numId="19">
    <w:abstractNumId w:val="23"/>
  </w:num>
  <w:num w:numId="20">
    <w:abstractNumId w:val="4"/>
  </w:num>
  <w:num w:numId="21">
    <w:abstractNumId w:val="2"/>
  </w:num>
  <w:num w:numId="22">
    <w:abstractNumId w:val="0"/>
  </w:num>
  <w:num w:numId="23">
    <w:abstractNumId w:val="19"/>
  </w:num>
  <w:num w:numId="24">
    <w:abstractNumId w:val="16"/>
  </w:num>
  <w:num w:numId="25">
    <w:abstractNumId w:val="26"/>
  </w:num>
  <w:num w:numId="26">
    <w:abstractNumId w:val="1"/>
  </w:num>
  <w:num w:numId="27">
    <w:abstractNumId w:val="24"/>
  </w:num>
  <w:num w:numId="28">
    <w:abstractNumId w:val="3"/>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EOutsideDoc" w:val="True"/>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B40"/>
    <w:rPr>
      <w:rFonts w:ascii="Calibri" w:eastAsia="Calibri" w:hAnsi="Calibri" w:cs="Times New Roman"/>
      <w:sz w:val="22"/>
      <w:szCs w:val="22"/>
    </w:rPr>
  </w:style>
  <w:style w:type="paragraph" w:styleId="Heading1">
    <w:name w:val="heading 1"/>
    <w:basedOn w:val="Normal"/>
    <w:next w:val="Normal"/>
    <w:link w:val="Heading1Char"/>
    <w:uiPriority w:val="9"/>
    <w:qFormat/>
    <w:rsid w:val="00103D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A62198"/>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A62198"/>
    <w:pPr>
      <w:keepNext/>
      <w:keepLines/>
      <w:spacing w:before="200"/>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2974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72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40"/>
    <w:rPr>
      <w:rFonts w:ascii="Lucida Grande" w:hAnsi="Lucida Grande" w:eastAsiaTheme="minorEastAsia" w:cs="Lucida Grande"/>
      <w:sz w:val="18"/>
      <w:szCs w:val="18"/>
    </w:rPr>
  </w:style>
  <w:style w:type="character" w:customStyle="1" w:styleId="BalloonTextChar">
    <w:name w:val="Balloon Text Char"/>
    <w:basedOn w:val="DefaultParagraphFont"/>
    <w:link w:val="BalloonText"/>
    <w:uiPriority w:val="99"/>
    <w:semiHidden/>
    <w:rsid w:val="00B30B40"/>
    <w:rPr>
      <w:rFonts w:ascii="Lucida Grande" w:hAnsi="Lucida Grande" w:cs="Lucida Grande"/>
      <w:sz w:val="18"/>
      <w:szCs w:val="18"/>
    </w:rPr>
  </w:style>
  <w:style w:type="character" w:customStyle="1" w:styleId="Heading2Char">
    <w:name w:val="Heading 2 Char"/>
    <w:basedOn w:val="DefaultParagraphFont"/>
    <w:link w:val="Heading2"/>
    <w:uiPriority w:val="9"/>
    <w:rsid w:val="00A6219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62198"/>
    <w:rPr>
      <w:rFonts w:ascii="Cambria" w:eastAsia="Times New Roman" w:hAnsi="Cambria" w:cs="Times New Roman"/>
      <w:b/>
      <w:bCs/>
      <w:sz w:val="20"/>
      <w:szCs w:val="20"/>
    </w:rPr>
  </w:style>
  <w:style w:type="character" w:styleId="Hyperlink">
    <w:name w:val="Hyperlink"/>
    <w:uiPriority w:val="99"/>
    <w:unhideWhenUsed/>
    <w:rsid w:val="00C17516"/>
    <w:rPr>
      <w:color w:val="0000FF"/>
      <w:u w:val="single"/>
    </w:rPr>
  </w:style>
  <w:style w:type="character" w:customStyle="1" w:styleId="Heading1Char">
    <w:name w:val="Heading 1 Char"/>
    <w:basedOn w:val="DefaultParagraphFont"/>
    <w:link w:val="Heading1"/>
    <w:uiPriority w:val="9"/>
    <w:rsid w:val="00103D8E"/>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355A1B"/>
    <w:rPr>
      <w:sz w:val="18"/>
      <w:szCs w:val="18"/>
    </w:rPr>
  </w:style>
  <w:style w:type="paragraph" w:styleId="CommentText">
    <w:name w:val="annotation text"/>
    <w:basedOn w:val="Normal"/>
    <w:link w:val="CommentTextChar"/>
    <w:uiPriority w:val="99"/>
    <w:semiHidden/>
    <w:unhideWhenUsed/>
    <w:rsid w:val="00355A1B"/>
    <w:rPr>
      <w:sz w:val="24"/>
      <w:szCs w:val="24"/>
    </w:rPr>
  </w:style>
  <w:style w:type="character" w:customStyle="1" w:styleId="CommentTextChar">
    <w:name w:val="Comment Text Char"/>
    <w:basedOn w:val="DefaultParagraphFont"/>
    <w:link w:val="CommentText"/>
    <w:uiPriority w:val="99"/>
    <w:semiHidden/>
    <w:rsid w:val="00355A1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55A1B"/>
    <w:rPr>
      <w:b/>
      <w:bCs/>
      <w:sz w:val="20"/>
      <w:szCs w:val="20"/>
    </w:rPr>
  </w:style>
  <w:style w:type="character" w:customStyle="1" w:styleId="CommentSubjectChar">
    <w:name w:val="Comment Subject Char"/>
    <w:basedOn w:val="CommentTextChar"/>
    <w:link w:val="CommentSubject"/>
    <w:uiPriority w:val="99"/>
    <w:semiHidden/>
    <w:rsid w:val="00355A1B"/>
    <w:rPr>
      <w:rFonts w:ascii="Calibri" w:eastAsia="Calibri" w:hAnsi="Calibri" w:cs="Times New Roman"/>
      <w:b/>
      <w:bCs/>
      <w:sz w:val="20"/>
      <w:szCs w:val="20"/>
    </w:rPr>
  </w:style>
  <w:style w:type="paragraph" w:styleId="NormalWeb">
    <w:name w:val="Normal (Web)"/>
    <w:basedOn w:val="Normal"/>
    <w:uiPriority w:val="99"/>
    <w:semiHidden/>
    <w:unhideWhenUsed/>
    <w:rsid w:val="00922422"/>
    <w:pPr>
      <w:spacing w:before="100" w:beforeAutospacing="1" w:after="100" w:afterAutospacing="1"/>
    </w:pPr>
    <w:rPr>
      <w:rFonts w:ascii="Times" w:hAnsi="Times" w:eastAsiaTheme="minorEastAsia"/>
      <w:sz w:val="20"/>
      <w:szCs w:val="20"/>
    </w:rPr>
  </w:style>
  <w:style w:type="character" w:styleId="FollowedHyperlink">
    <w:name w:val="FollowedHyperlink"/>
    <w:basedOn w:val="DefaultParagraphFont"/>
    <w:uiPriority w:val="99"/>
    <w:semiHidden/>
    <w:unhideWhenUsed/>
    <w:rsid w:val="00D6194A"/>
    <w:rPr>
      <w:color w:val="800080" w:themeColor="followedHyperlink"/>
      <w:u w:val="single"/>
    </w:rPr>
  </w:style>
  <w:style w:type="paragraph" w:styleId="Footer">
    <w:name w:val="footer"/>
    <w:basedOn w:val="Normal"/>
    <w:link w:val="FooterChar"/>
    <w:uiPriority w:val="99"/>
    <w:unhideWhenUsed/>
    <w:rsid w:val="00135D6B"/>
    <w:pPr>
      <w:tabs>
        <w:tab w:val="center" w:pos="4320"/>
        <w:tab w:val="right" w:pos="8640"/>
      </w:tabs>
    </w:pPr>
  </w:style>
  <w:style w:type="character" w:customStyle="1" w:styleId="FooterChar">
    <w:name w:val="Footer Char"/>
    <w:basedOn w:val="DefaultParagraphFont"/>
    <w:link w:val="Footer"/>
    <w:uiPriority w:val="99"/>
    <w:rsid w:val="00135D6B"/>
    <w:rPr>
      <w:rFonts w:ascii="Calibri" w:eastAsia="Calibri" w:hAnsi="Calibri" w:cs="Times New Roman"/>
      <w:sz w:val="22"/>
      <w:szCs w:val="22"/>
    </w:rPr>
  </w:style>
  <w:style w:type="character" w:styleId="PageNumber">
    <w:name w:val="page number"/>
    <w:basedOn w:val="DefaultParagraphFont"/>
    <w:uiPriority w:val="99"/>
    <w:semiHidden/>
    <w:unhideWhenUsed/>
    <w:rsid w:val="00135D6B"/>
  </w:style>
  <w:style w:type="paragraph" w:styleId="ListParagraph">
    <w:name w:val="List Paragraph"/>
    <w:basedOn w:val="Normal"/>
    <w:uiPriority w:val="34"/>
    <w:qFormat/>
    <w:rsid w:val="00520301"/>
    <w:pPr>
      <w:ind w:left="720"/>
      <w:contextualSpacing/>
    </w:pPr>
  </w:style>
  <w:style w:type="character" w:customStyle="1" w:styleId="apple-converted-space">
    <w:name w:val="apple-converted-space"/>
    <w:basedOn w:val="DefaultParagraphFont"/>
    <w:rsid w:val="009969C9"/>
  </w:style>
  <w:style w:type="character" w:customStyle="1" w:styleId="Heading5Char">
    <w:name w:val="Heading 5 Char"/>
    <w:basedOn w:val="DefaultParagraphFont"/>
    <w:link w:val="Heading5"/>
    <w:uiPriority w:val="9"/>
    <w:semiHidden/>
    <w:rsid w:val="00707263"/>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707263"/>
    <w:rPr>
      <w:b/>
      <w:bCs/>
    </w:rPr>
  </w:style>
  <w:style w:type="paragraph" w:styleId="Revision">
    <w:name w:val="Revision"/>
    <w:hidden/>
    <w:uiPriority w:val="99"/>
    <w:semiHidden/>
    <w:rsid w:val="004E322B"/>
    <w:rPr>
      <w:rFonts w:ascii="Calibri" w:eastAsia="Calibri" w:hAnsi="Calibri" w:cs="Times New Roman"/>
      <w:sz w:val="22"/>
      <w:szCs w:val="22"/>
    </w:rPr>
  </w:style>
  <w:style w:type="paragraph" w:styleId="NoSpacing">
    <w:name w:val="No Spacing"/>
    <w:uiPriority w:val="1"/>
    <w:qFormat/>
    <w:rsid w:val="002C73BB"/>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2974B9"/>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2974B9"/>
    <w:rPr>
      <w:i/>
      <w:iCs/>
    </w:rPr>
  </w:style>
  <w:style w:type="character" w:customStyle="1" w:styleId="style1">
    <w:name w:val="style1"/>
    <w:basedOn w:val="DefaultParagraphFont"/>
    <w:rsid w:val="002974B9"/>
  </w:style>
  <w:style w:type="character" w:customStyle="1" w:styleId="instructurefilelinkholder">
    <w:name w:val="instructure_file_link_holder"/>
    <w:basedOn w:val="DefaultParagraphFont"/>
    <w:rsid w:val="00366EAC"/>
  </w:style>
  <w:style w:type="character" w:customStyle="1" w:styleId="instructurescribdfileholder">
    <w:name w:val="instructure_scribd_file_holder"/>
    <w:basedOn w:val="DefaultParagraphFont"/>
    <w:rsid w:val="00366EAC"/>
  </w:style>
  <w:style w:type="paragraph" w:styleId="ListBullet">
    <w:name w:val="List Bullet"/>
    <w:aliases w:val="ListBul 1"/>
    <w:basedOn w:val="Normal"/>
    <w:uiPriority w:val="31"/>
    <w:qFormat/>
    <w:rsid w:val="009A070B"/>
    <w:pPr>
      <w:numPr>
        <w:numId w:val="18"/>
      </w:numPr>
      <w:spacing w:after="240"/>
    </w:pPr>
    <w:rPr>
      <w:rFonts w:ascii="Times New Roman" w:hAnsi="Times New Roman" w:eastAsiaTheme="minorHAnsi"/>
      <w:sz w:val="24"/>
      <w:szCs w:val="24"/>
    </w:rPr>
  </w:style>
  <w:style w:type="paragraph" w:customStyle="1" w:styleId="None">
    <w:name w:val="None"/>
    <w:basedOn w:val="ListBullet"/>
    <w:rsid w:val="009A070B"/>
  </w:style>
  <w:style w:type="paragraph" w:styleId="BodyText">
    <w:name w:val="Body Text"/>
    <w:aliases w:val="Body ss"/>
    <w:basedOn w:val="Normal"/>
    <w:link w:val="BodyTextChar"/>
    <w:uiPriority w:val="9"/>
    <w:qFormat/>
    <w:rsid w:val="0047225E"/>
    <w:pPr>
      <w:spacing w:after="240"/>
    </w:pPr>
    <w:rPr>
      <w:rFonts w:ascii="Times New Roman" w:hAnsi="Times New Roman" w:eastAsiaTheme="minorHAnsi"/>
      <w:sz w:val="24"/>
      <w:szCs w:val="24"/>
    </w:rPr>
  </w:style>
  <w:style w:type="character" w:customStyle="1" w:styleId="BodyTextChar">
    <w:name w:val="Body Text Char"/>
    <w:aliases w:val="Body ss Char"/>
    <w:basedOn w:val="DefaultParagraphFont"/>
    <w:link w:val="BodyText"/>
    <w:uiPriority w:val="9"/>
    <w:rsid w:val="0047225E"/>
    <w:rPr>
      <w:rFonts w:ascii="Times New Roman" w:hAnsi="Times New Roman" w:eastAsiaTheme="minorHAnsi" w:cs="Times New Roman"/>
    </w:rPr>
  </w:style>
  <w:style w:type="paragraph" w:styleId="ListBullet2">
    <w:name w:val="List Bullet 2"/>
    <w:basedOn w:val="Normal"/>
    <w:uiPriority w:val="99"/>
    <w:semiHidden/>
    <w:unhideWhenUsed/>
    <w:rsid w:val="006B1A6A"/>
    <w:pPr>
      <w:numPr>
        <w:numId w:val="22"/>
      </w:numPr>
      <w:contextualSpacing/>
    </w:pPr>
    <w:rPr>
      <w:rFonts w:eastAsiaTheme="minorHAnsi"/>
    </w:rPr>
  </w:style>
  <w:style w:type="paragraph" w:styleId="Header">
    <w:name w:val="header"/>
    <w:basedOn w:val="Normal"/>
    <w:link w:val="HeaderChar"/>
    <w:uiPriority w:val="99"/>
    <w:unhideWhenUsed/>
    <w:rsid w:val="00DE47B1"/>
    <w:pPr>
      <w:tabs>
        <w:tab w:val="center" w:pos="4680"/>
        <w:tab w:val="right" w:pos="9360"/>
      </w:tabs>
    </w:pPr>
  </w:style>
  <w:style w:type="character" w:customStyle="1" w:styleId="HeaderChar">
    <w:name w:val="Header Char"/>
    <w:basedOn w:val="DefaultParagraphFont"/>
    <w:link w:val="Header"/>
    <w:uiPriority w:val="99"/>
    <w:rsid w:val="00DE47B1"/>
    <w:rPr>
      <w:rFonts w:ascii="Calibri" w:eastAsia="Calibri" w:hAnsi="Calibri" w:cs="Times New Roman"/>
      <w:sz w:val="22"/>
      <w:szCs w:val="22"/>
    </w:rPr>
  </w:style>
  <w:style w:type="paragraph" w:styleId="ListNumber">
    <w:name w:val="List Number"/>
    <w:basedOn w:val="Normal"/>
    <w:uiPriority w:val="99"/>
    <w:unhideWhenUsed/>
    <w:rsid w:val="00F40CD9"/>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2172</Words>
  <Characters>13310</Characters>
  <Application>Microsoft Office Word</Application>
  <DocSecurity>0</DocSecurity>
  <Lines>110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