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79" w:rsidRDefault="00A54943" w:rsidP="00EA738D">
      <w:pPr>
        <w:spacing w:line="480" w:lineRule="auto"/>
      </w:pPr>
      <w:r>
        <w:t xml:space="preserve">Detroit Looks </w:t>
      </w:r>
      <w:r w:rsidR="00AD1288">
        <w:t>Toward a Massive Blight Condemnation</w:t>
      </w:r>
      <w:r w:rsidR="000F1BBE">
        <w:t>:  The O</w:t>
      </w:r>
      <w:r w:rsidR="002A0D30">
        <w:t xml:space="preserve">ptics of Eminent Domain </w:t>
      </w:r>
      <w:r w:rsidR="000F1BBE">
        <w:t>in Motor City</w:t>
      </w:r>
    </w:p>
    <w:p w:rsidR="00C84FFB" w:rsidRDefault="009241AA" w:rsidP="00EA738D">
      <w:pPr>
        <w:spacing w:line="480" w:lineRule="auto"/>
        <w:jc w:val="center"/>
      </w:pPr>
      <w:r>
        <w:t>Yxta Maya Murray</w:t>
      </w:r>
      <w:r w:rsidR="001161F8">
        <w:t>*</w:t>
      </w:r>
    </w:p>
    <w:p w:rsidR="00A0236C" w:rsidRDefault="00A0236C" w:rsidP="00EA738D">
      <w:pPr>
        <w:spacing w:line="480" w:lineRule="auto"/>
        <w:jc w:val="center"/>
      </w:pPr>
    </w:p>
    <w:p w:rsidR="007363E3" w:rsidRDefault="007363E3" w:rsidP="00EA738D">
      <w:pPr>
        <w:spacing w:line="480" w:lineRule="auto"/>
        <w:jc w:val="center"/>
      </w:pPr>
    </w:p>
    <w:p w:rsidR="007363E3" w:rsidRDefault="007363E3" w:rsidP="00EA738D">
      <w:pPr>
        <w:spacing w:line="480" w:lineRule="auto"/>
        <w:rPr>
          <w:i/>
        </w:rPr>
      </w:pPr>
      <w:r>
        <w:rPr>
          <w:i/>
        </w:rPr>
        <w:tab/>
        <w:t>Abstract</w:t>
      </w:r>
    </w:p>
    <w:p w:rsidR="007363E3" w:rsidRPr="007363E3" w:rsidRDefault="007363E3" w:rsidP="00EA738D">
      <w:pPr>
        <w:spacing w:line="480" w:lineRule="auto"/>
        <w:ind w:firstLine="720"/>
        <w:rPr>
          <w:i/>
        </w:rPr>
      </w:pPr>
      <w:r>
        <w:rPr>
          <w:i/>
        </w:rPr>
        <w:t xml:space="preserve">The </w:t>
      </w:r>
      <w:r w:rsidRPr="007363E3">
        <w:rPr>
          <w:i/>
        </w:rPr>
        <w:t xml:space="preserve">Detroit </w:t>
      </w:r>
      <w:r>
        <w:rPr>
          <w:i/>
        </w:rPr>
        <w:t>Blight Removal Task Force prepares</w:t>
      </w:r>
      <w:r w:rsidRPr="007363E3">
        <w:rPr>
          <w:i/>
        </w:rPr>
        <w:t xml:space="preserve"> </w:t>
      </w:r>
      <w:r w:rsidR="00151609">
        <w:rPr>
          <w:i/>
        </w:rPr>
        <w:t>the city to engage in</w:t>
      </w:r>
      <w:r w:rsidR="001810D7">
        <w:rPr>
          <w:i/>
        </w:rPr>
        <w:t xml:space="preserve"> an </w:t>
      </w:r>
      <w:r w:rsidR="00E0531B">
        <w:rPr>
          <w:i/>
        </w:rPr>
        <w:t>unconstitutional</w:t>
      </w:r>
      <w:r w:rsidRPr="007363E3">
        <w:rPr>
          <w:i/>
        </w:rPr>
        <w:t xml:space="preserve"> taking of up to 72 thousand structures</w:t>
      </w:r>
      <w:r>
        <w:rPr>
          <w:i/>
        </w:rPr>
        <w:t xml:space="preserve"> in the city</w:t>
      </w:r>
      <w:r w:rsidRPr="007363E3">
        <w:rPr>
          <w:i/>
        </w:rPr>
        <w:t>,</w:t>
      </w:r>
      <w:r w:rsidR="00F93193">
        <w:rPr>
          <w:i/>
        </w:rPr>
        <w:t xml:space="preserve"> but its members</w:t>
      </w:r>
      <w:r w:rsidRPr="007363E3">
        <w:rPr>
          <w:i/>
        </w:rPr>
        <w:t xml:space="preserve"> pretend </w:t>
      </w:r>
      <w:r w:rsidR="00B01024">
        <w:rPr>
          <w:i/>
        </w:rPr>
        <w:t>otherwise</w:t>
      </w:r>
      <w:r w:rsidRPr="007363E3">
        <w:rPr>
          <w:i/>
        </w:rPr>
        <w:t>.</w:t>
      </w:r>
      <w:r>
        <w:rPr>
          <w:i/>
          <w:vertAlign w:val="superscript"/>
        </w:rPr>
        <w:t xml:space="preserve"> </w:t>
      </w:r>
      <w:r w:rsidR="00F93193">
        <w:rPr>
          <w:i/>
        </w:rPr>
        <w:t xml:space="preserve">  Task Force Chairs</w:t>
      </w:r>
      <w:r w:rsidR="00151609">
        <w:rPr>
          <w:i/>
        </w:rPr>
        <w:t xml:space="preserve"> </w:t>
      </w:r>
      <w:r w:rsidRPr="007363E3">
        <w:rPr>
          <w:i/>
        </w:rPr>
        <w:t xml:space="preserve">intimate that this </w:t>
      </w:r>
      <w:r w:rsidR="00AB1CFF">
        <w:rPr>
          <w:i/>
        </w:rPr>
        <w:t xml:space="preserve">clearance will operate </w:t>
      </w:r>
      <w:r w:rsidRPr="007363E3">
        <w:rPr>
          <w:i/>
        </w:rPr>
        <w:t xml:space="preserve">under Michigan’s police powers, not its </w:t>
      </w:r>
      <w:r w:rsidR="001810D7">
        <w:rPr>
          <w:i/>
        </w:rPr>
        <w:t>powers of eminent domain</w:t>
      </w:r>
      <w:r>
        <w:rPr>
          <w:i/>
        </w:rPr>
        <w:t xml:space="preserve">, </w:t>
      </w:r>
      <w:r w:rsidR="001810D7">
        <w:rPr>
          <w:i/>
        </w:rPr>
        <w:t xml:space="preserve">as the Michigan Constitution </w:t>
      </w:r>
      <w:r>
        <w:rPr>
          <w:i/>
        </w:rPr>
        <w:t>erects profound barriers to blight takings</w:t>
      </w:r>
      <w:r w:rsidRPr="007363E3">
        <w:rPr>
          <w:i/>
        </w:rPr>
        <w:t>.  Blight condemnations historically exploit low-income communities and people of color, but these same officials also pretend that this danger does not exist</w:t>
      </w:r>
      <w:r>
        <w:rPr>
          <w:i/>
        </w:rPr>
        <w:t xml:space="preserve"> when it comes to Motor City</w:t>
      </w:r>
      <w:r w:rsidRPr="007363E3">
        <w:rPr>
          <w:i/>
        </w:rPr>
        <w:t>.</w:t>
      </w:r>
    </w:p>
    <w:p w:rsidR="007363E3" w:rsidRDefault="007363E3" w:rsidP="00EA738D">
      <w:pPr>
        <w:spacing w:line="480" w:lineRule="auto"/>
        <w:ind w:firstLine="720"/>
        <w:rPr>
          <w:i/>
        </w:rPr>
      </w:pPr>
      <w:r w:rsidRPr="007363E3">
        <w:t xml:space="preserve"> </w:t>
      </w:r>
      <w:r w:rsidRPr="007363E3">
        <w:rPr>
          <w:i/>
        </w:rPr>
        <w:t>The reasons for this indirection prove exigent:  Detroit is the most dilapidated city in the nation,</w:t>
      </w:r>
      <w:r w:rsidRPr="007363E3">
        <w:rPr>
          <w:i/>
          <w:vertAlign w:val="superscript"/>
        </w:rPr>
        <w:t xml:space="preserve"> </w:t>
      </w:r>
      <w:r w:rsidRPr="007363E3">
        <w:rPr>
          <w:i/>
        </w:rPr>
        <w:t>and desperately needs to repair or remo</w:t>
      </w:r>
      <w:r>
        <w:rPr>
          <w:i/>
        </w:rPr>
        <w:t>ve its</w:t>
      </w:r>
      <w:r w:rsidRPr="007363E3">
        <w:rPr>
          <w:i/>
        </w:rPr>
        <w:t xml:space="preserve"> unsound housing.  Constitutional dramas and troublesome objections about the city’s very poor would only protract this process if not vanquish it altogether.  Yet the Task Force perform</w:t>
      </w:r>
      <w:r>
        <w:rPr>
          <w:i/>
        </w:rPr>
        <w:t>s</w:t>
      </w:r>
      <w:r w:rsidRPr="007363E3">
        <w:rPr>
          <w:i/>
        </w:rPr>
        <w:t xml:space="preserve"> a great </w:t>
      </w:r>
      <w:r>
        <w:rPr>
          <w:i/>
        </w:rPr>
        <w:t xml:space="preserve">feat in obscuring these problems.  How does it </w:t>
      </w:r>
      <w:r w:rsidR="00CC38D0">
        <w:rPr>
          <w:i/>
        </w:rPr>
        <w:t>do it</w:t>
      </w:r>
      <w:r>
        <w:rPr>
          <w:i/>
        </w:rPr>
        <w:t xml:space="preserve">?  </w:t>
      </w:r>
    </w:p>
    <w:p w:rsidR="007363E3" w:rsidRDefault="007363E3" w:rsidP="00EA738D">
      <w:pPr>
        <w:spacing w:line="480" w:lineRule="auto"/>
        <w:rPr>
          <w:i/>
        </w:rPr>
      </w:pPr>
      <w:r>
        <w:rPr>
          <w:i/>
        </w:rPr>
        <w:tab/>
      </w:r>
      <w:r w:rsidRPr="007363E3">
        <w:rPr>
          <w:i/>
        </w:rPr>
        <w:t>T</w:t>
      </w:r>
      <w:r>
        <w:rPr>
          <w:i/>
        </w:rPr>
        <w:t>he Task Force succeeds by luring</w:t>
      </w:r>
      <w:r w:rsidRPr="007363E3">
        <w:rPr>
          <w:i/>
        </w:rPr>
        <w:t xml:space="preserve"> the public’s focus – specifically, its gaze – away from the Constitution and the problem of poverty toward mesmerizing scenes that speak to Detroiters’ greatest fears and desires.  That is, officials use optics to </w:t>
      </w:r>
      <w:r w:rsidR="00AC70EF" w:rsidRPr="00AC70EF">
        <w:rPr>
          <w:i/>
        </w:rPr>
        <w:t>persuade politicians and the citizenry that they can confiscate thousands of pr</w:t>
      </w:r>
      <w:r w:rsidR="00AC70EF">
        <w:rPr>
          <w:i/>
        </w:rPr>
        <w:t>operties with</w:t>
      </w:r>
      <w:r w:rsidR="001810D7">
        <w:rPr>
          <w:i/>
        </w:rPr>
        <w:t>out compensation</w:t>
      </w:r>
      <w:r w:rsidRPr="007363E3">
        <w:rPr>
          <w:i/>
        </w:rPr>
        <w:t xml:space="preserve">.  </w:t>
      </w:r>
      <w:r>
        <w:rPr>
          <w:i/>
        </w:rPr>
        <w:t>In previous wor</w:t>
      </w:r>
      <w:r w:rsidR="003054FE">
        <w:rPr>
          <w:i/>
        </w:rPr>
        <w:t xml:space="preserve">k, I have named these optics </w:t>
      </w:r>
      <w:r>
        <w:rPr>
          <w:i/>
        </w:rPr>
        <w:t xml:space="preserve">a </w:t>
      </w:r>
      <w:r w:rsidR="00AB1CFF">
        <w:rPr>
          <w:i/>
        </w:rPr>
        <w:t xml:space="preserve">specious </w:t>
      </w:r>
      <w:r>
        <w:rPr>
          <w:i/>
        </w:rPr>
        <w:t xml:space="preserve">brand of official and judicial gazing practice:  I call it “peering.” </w:t>
      </w:r>
    </w:p>
    <w:p w:rsidR="007363E3" w:rsidRPr="007363E3" w:rsidRDefault="004E15DC" w:rsidP="00EA738D">
      <w:pPr>
        <w:spacing w:line="480" w:lineRule="auto"/>
        <w:rPr>
          <w:i/>
        </w:rPr>
      </w:pPr>
      <w:r>
        <w:rPr>
          <w:i/>
        </w:rPr>
        <w:lastRenderedPageBreak/>
        <w:tab/>
        <w:t xml:space="preserve">In this paper, I </w:t>
      </w:r>
      <w:r w:rsidR="007363E3">
        <w:rPr>
          <w:i/>
        </w:rPr>
        <w:t xml:space="preserve">study how optics now work in Detroit to occlude the legal and social problems that lurk in the Task Force’s recommendations.  </w:t>
      </w:r>
      <w:r>
        <w:rPr>
          <w:i/>
        </w:rPr>
        <w:t xml:space="preserve">I </w:t>
      </w:r>
      <w:r w:rsidR="004A1DA4">
        <w:rPr>
          <w:i/>
        </w:rPr>
        <w:t xml:space="preserve">then offer a different public purpose under </w:t>
      </w:r>
      <w:r w:rsidR="00CC38D0">
        <w:rPr>
          <w:i/>
        </w:rPr>
        <w:t xml:space="preserve">which </w:t>
      </w:r>
      <w:r w:rsidR="001810D7">
        <w:rPr>
          <w:i/>
        </w:rPr>
        <w:t xml:space="preserve">eminent domain exercises </w:t>
      </w:r>
      <w:r w:rsidR="00CC38D0">
        <w:rPr>
          <w:i/>
        </w:rPr>
        <w:t>could progress</w:t>
      </w:r>
      <w:r w:rsidR="004A1DA4">
        <w:rPr>
          <w:i/>
        </w:rPr>
        <w:t xml:space="preserve"> unh</w:t>
      </w:r>
      <w:r w:rsidR="00CC38D0">
        <w:rPr>
          <w:i/>
        </w:rPr>
        <w:t>ampered by the</w:t>
      </w:r>
      <w:r w:rsidR="00132A90">
        <w:rPr>
          <w:i/>
        </w:rPr>
        <w:t xml:space="preserve"> C</w:t>
      </w:r>
      <w:r w:rsidR="00E0531B">
        <w:rPr>
          <w:i/>
        </w:rPr>
        <w:t>onstitutional</w:t>
      </w:r>
      <w:r w:rsidR="00CC38D0">
        <w:rPr>
          <w:i/>
        </w:rPr>
        <w:t xml:space="preserve"> </w:t>
      </w:r>
      <w:r w:rsidR="004A1DA4">
        <w:rPr>
          <w:i/>
        </w:rPr>
        <w:t xml:space="preserve">barriers </w:t>
      </w:r>
      <w:r w:rsidR="00E0531B">
        <w:rPr>
          <w:i/>
        </w:rPr>
        <w:t>facing</w:t>
      </w:r>
      <w:r w:rsidR="004A1DA4">
        <w:rPr>
          <w:i/>
        </w:rPr>
        <w:t xml:space="preserve"> Michigan blight condemnations:  The alleviation of poverty.  In my development of an anti-poverty agenda that would support Detroit blight clearance, I advance a helpful optical practice that would deflect many of the hazards of peering:  I call this practice </w:t>
      </w:r>
      <w:r w:rsidR="003E54D9">
        <w:rPr>
          <w:i/>
        </w:rPr>
        <w:t>“</w:t>
      </w:r>
      <w:r w:rsidR="004A1DA4">
        <w:rPr>
          <w:i/>
        </w:rPr>
        <w:t>seeing.</w:t>
      </w:r>
      <w:r w:rsidR="003E54D9">
        <w:rPr>
          <w:i/>
        </w:rPr>
        <w:t>”</w:t>
      </w:r>
      <w:r w:rsidR="004A1DA4">
        <w:rPr>
          <w:i/>
        </w:rPr>
        <w:t xml:space="preserve">  </w:t>
      </w:r>
    </w:p>
    <w:p w:rsidR="007363E3" w:rsidRPr="007363E3" w:rsidRDefault="007363E3" w:rsidP="00EA738D">
      <w:pPr>
        <w:spacing w:line="480" w:lineRule="auto"/>
        <w:rPr>
          <w:i/>
        </w:rPr>
      </w:pPr>
    </w:p>
    <w:p w:rsidR="0056572A" w:rsidRPr="00E108AF" w:rsidRDefault="00D51539" w:rsidP="00EA738D">
      <w:pPr>
        <w:pStyle w:val="ListParagraph"/>
        <w:numPr>
          <w:ilvl w:val="0"/>
          <w:numId w:val="16"/>
        </w:numPr>
        <w:spacing w:line="480" w:lineRule="auto"/>
      </w:pPr>
      <w:r w:rsidRPr="00E108AF">
        <w:t>Introduction</w:t>
      </w:r>
    </w:p>
    <w:p w:rsidR="00083EDB" w:rsidRDefault="00083EDB" w:rsidP="00EA738D">
      <w:pPr>
        <w:spacing w:line="480" w:lineRule="auto"/>
        <w:ind w:firstLine="720"/>
      </w:pPr>
      <w:r>
        <w:tab/>
      </w:r>
      <w:r>
        <w:tab/>
      </w:r>
      <w:r>
        <w:tab/>
      </w:r>
      <w:r>
        <w:tab/>
      </w:r>
      <w:r>
        <w:tab/>
      </w:r>
    </w:p>
    <w:p w:rsidR="006F6421" w:rsidRDefault="00151609" w:rsidP="00EA738D">
      <w:pPr>
        <w:spacing w:line="480" w:lineRule="auto"/>
        <w:ind w:firstLine="720"/>
      </w:pPr>
      <w:r>
        <w:t xml:space="preserve">The </w:t>
      </w:r>
      <w:r w:rsidR="00A6604D">
        <w:t xml:space="preserve">Detroit </w:t>
      </w:r>
      <w:r>
        <w:t xml:space="preserve">Blight Removal Task Force </w:t>
      </w:r>
      <w:r w:rsidR="00840A73">
        <w:t>prepare</w:t>
      </w:r>
      <w:r>
        <w:t>s</w:t>
      </w:r>
      <w:r w:rsidR="001450D3">
        <w:t xml:space="preserve"> </w:t>
      </w:r>
      <w:r>
        <w:t xml:space="preserve">the city </w:t>
      </w:r>
      <w:r w:rsidR="00A6604D">
        <w:t xml:space="preserve">for </w:t>
      </w:r>
      <w:r w:rsidR="001810D7">
        <w:t>an</w:t>
      </w:r>
      <w:r w:rsidR="00A6604D">
        <w:t xml:space="preserve"> </w:t>
      </w:r>
      <w:r w:rsidR="00E0531B">
        <w:t xml:space="preserve">unconstitutional </w:t>
      </w:r>
      <w:r w:rsidR="001450D3">
        <w:t>taking</w:t>
      </w:r>
      <w:r w:rsidR="00A6604D">
        <w:t xml:space="preserve"> </w:t>
      </w:r>
      <w:r w:rsidR="0083774F">
        <w:t>of up to 72 thousand structures</w:t>
      </w:r>
      <w:r w:rsidR="001450D3">
        <w:t>,</w:t>
      </w:r>
      <w:r w:rsidR="002E598C">
        <w:t xml:space="preserve"> but </w:t>
      </w:r>
      <w:r w:rsidR="00A6604D">
        <w:t>pretend</w:t>
      </w:r>
      <w:r>
        <w:t>s</w:t>
      </w:r>
      <w:r w:rsidR="00A6604D">
        <w:t xml:space="preserve"> </w:t>
      </w:r>
      <w:r w:rsidR="0078671F">
        <w:t>otherwise</w:t>
      </w:r>
      <w:r w:rsidR="001B195F">
        <w:t>.</w:t>
      </w:r>
      <w:r w:rsidR="00553240" w:rsidRPr="00553240">
        <w:rPr>
          <w:vertAlign w:val="superscript"/>
        </w:rPr>
        <w:footnoteReference w:id="1"/>
      </w:r>
      <w:r w:rsidR="00A6604D">
        <w:t xml:space="preserve">  </w:t>
      </w:r>
      <w:r>
        <w:t>Its members</w:t>
      </w:r>
      <w:r w:rsidR="001450D3">
        <w:t xml:space="preserve"> intimate that this enormous </w:t>
      </w:r>
      <w:r w:rsidR="00121805">
        <w:t xml:space="preserve">acquisition of title </w:t>
      </w:r>
      <w:r w:rsidR="00AC70EF">
        <w:t xml:space="preserve">and clearance </w:t>
      </w:r>
      <w:r w:rsidR="00E0531B">
        <w:t xml:space="preserve">will operate </w:t>
      </w:r>
      <w:r w:rsidR="001450D3">
        <w:t>under Michigan’s police powers</w:t>
      </w:r>
      <w:r w:rsidR="00980CDA">
        <w:t xml:space="preserve"> authorizing its Nuisance Abatement Program [NAP]</w:t>
      </w:r>
      <w:r w:rsidR="00435E6E">
        <w:t>, not its C</w:t>
      </w:r>
      <w:r w:rsidR="001810D7">
        <w:t>onstitution’s T</w:t>
      </w:r>
      <w:r w:rsidR="001450D3">
        <w:t>aking</w:t>
      </w:r>
      <w:r w:rsidR="001810D7">
        <w:t>s</w:t>
      </w:r>
      <w:r w:rsidR="001450D3">
        <w:t xml:space="preserve"> clause.</w:t>
      </w:r>
      <w:r w:rsidR="001450D3">
        <w:rPr>
          <w:rStyle w:val="FootnoteReference"/>
        </w:rPr>
        <w:footnoteReference w:id="2"/>
      </w:r>
      <w:r w:rsidR="001450D3">
        <w:t xml:space="preserve">  </w:t>
      </w:r>
      <w:r w:rsidR="00A6604D">
        <w:t>Blight condemnations historically exploit low-income communities and people of color,</w:t>
      </w:r>
      <w:r w:rsidR="00AD1288">
        <w:rPr>
          <w:rStyle w:val="FootnoteReference"/>
        </w:rPr>
        <w:footnoteReference w:id="3"/>
      </w:r>
      <w:r w:rsidR="00A6604D">
        <w:t xml:space="preserve"> but these same o</w:t>
      </w:r>
      <w:r w:rsidR="00DC6966">
        <w:t>fficials also pretend that this danger</w:t>
      </w:r>
      <w:r w:rsidR="00A6604D">
        <w:t xml:space="preserve"> do</w:t>
      </w:r>
      <w:r w:rsidR="00DC6966">
        <w:t>es</w:t>
      </w:r>
      <w:r w:rsidR="00A6604D">
        <w:t xml:space="preserve"> not exist.</w:t>
      </w:r>
      <w:r w:rsidR="002A7614">
        <w:t xml:space="preserve"> </w:t>
      </w:r>
      <w:r w:rsidR="00A6604D">
        <w:t xml:space="preserve"> “T</w:t>
      </w:r>
      <w:r w:rsidR="00A6604D" w:rsidRPr="00A6604D">
        <w:t>he “c</w:t>
      </w:r>
      <w:r w:rsidR="00A6604D">
        <w:t>ity’s best days are ahead of it,</w:t>
      </w:r>
      <w:r w:rsidR="00A6604D" w:rsidRPr="00A6604D">
        <w:t>”</w:t>
      </w:r>
      <w:r w:rsidR="00A6604D" w:rsidRPr="00A6604D">
        <w:rPr>
          <w:vertAlign w:val="superscript"/>
        </w:rPr>
        <w:footnoteReference w:id="4"/>
      </w:r>
      <w:r w:rsidR="001450D3">
        <w:t xml:space="preserve"> </w:t>
      </w:r>
      <w:r w:rsidR="00A6604D">
        <w:t>promise</w:t>
      </w:r>
      <w:r w:rsidR="001450D3">
        <w:t xml:space="preserve"> the chairs </w:t>
      </w:r>
      <w:r w:rsidR="00D55AF9">
        <w:t xml:space="preserve">of </w:t>
      </w:r>
      <w:r w:rsidR="001450D3" w:rsidRPr="001450D3">
        <w:t>the De</w:t>
      </w:r>
      <w:r w:rsidR="001450D3">
        <w:t>troit Blight Removal Task Force</w:t>
      </w:r>
      <w:r w:rsidR="00D55AF9">
        <w:t>.</w:t>
      </w:r>
      <w:r w:rsidR="001450D3" w:rsidRPr="001450D3">
        <w:rPr>
          <w:vertAlign w:val="superscript"/>
        </w:rPr>
        <w:footnoteReference w:id="5"/>
      </w:r>
      <w:r w:rsidR="00A6604D">
        <w:t xml:space="preserve">  </w:t>
      </w:r>
      <w:r w:rsidR="00E865C1">
        <w:t>As one of the Task Force’s leaders</w:t>
      </w:r>
      <w:r w:rsidR="00784ED1">
        <w:t xml:space="preserve">, Quicken Loans billionaire Dan Gilbert, </w:t>
      </w:r>
      <w:r w:rsidR="009D180E">
        <w:t>enthused</w:t>
      </w:r>
      <w:r w:rsidR="00784ED1">
        <w:t xml:space="preserve"> to the </w:t>
      </w:r>
      <w:r w:rsidR="00784ED1">
        <w:rPr>
          <w:smallCaps/>
        </w:rPr>
        <w:lastRenderedPageBreak/>
        <w:t>Detroit Free Press</w:t>
      </w:r>
      <w:r w:rsidR="00784ED1">
        <w:t xml:space="preserve">:  </w:t>
      </w:r>
      <w:r w:rsidR="0083774F">
        <w:t>“W</w:t>
      </w:r>
      <w:r w:rsidR="0083774F" w:rsidRPr="0083774F">
        <w:t xml:space="preserve">e can have an incredible turnaround success story that maybe has never been experienced before, at least in the last 50 years in America. </w:t>
      </w:r>
      <w:r w:rsidR="001810D7">
        <w:t xml:space="preserve"> </w:t>
      </w:r>
      <w:r w:rsidR="0083774F" w:rsidRPr="0083774F">
        <w:t>It’s going to happen.”</w:t>
      </w:r>
      <w:r w:rsidR="0083774F" w:rsidRPr="0083774F">
        <w:rPr>
          <w:vertAlign w:val="superscript"/>
        </w:rPr>
        <w:footnoteReference w:id="6"/>
      </w:r>
      <w:r w:rsidR="0083774F" w:rsidRPr="0083774F">
        <w:t xml:space="preserve">  </w:t>
      </w:r>
    </w:p>
    <w:p w:rsidR="00E865C1" w:rsidRDefault="0083774F" w:rsidP="00EA738D">
      <w:pPr>
        <w:spacing w:line="480" w:lineRule="auto"/>
        <w:ind w:firstLine="720"/>
      </w:pPr>
      <w:r>
        <w:t xml:space="preserve">These </w:t>
      </w:r>
      <w:r w:rsidR="009C4EEC">
        <w:t xml:space="preserve">functionaries do not admit </w:t>
      </w:r>
      <w:r w:rsidR="00E865C1">
        <w:t xml:space="preserve">that their recommendations </w:t>
      </w:r>
      <w:r>
        <w:t xml:space="preserve">would </w:t>
      </w:r>
      <w:r w:rsidR="00E865C1">
        <w:t xml:space="preserve">result in a mass </w:t>
      </w:r>
      <w:r w:rsidR="00121805">
        <w:t>land confiscation</w:t>
      </w:r>
      <w:r w:rsidR="00E865C1">
        <w:t xml:space="preserve"> in violation of the U.S. Constitution’s Fifth Amendment’s prohibition on takings of property without compensation.</w:t>
      </w:r>
      <w:r w:rsidR="00E865C1">
        <w:rPr>
          <w:rStyle w:val="FootnoteReference"/>
        </w:rPr>
        <w:footnoteReference w:id="7"/>
      </w:r>
      <w:r w:rsidR="00E865C1">
        <w:t xml:space="preserve"> </w:t>
      </w:r>
      <w:r w:rsidR="005573A3">
        <w:t xml:space="preserve"> </w:t>
      </w:r>
      <w:r w:rsidR="00E865C1">
        <w:t xml:space="preserve">And they do not recommend that this clearance proceed under the power of eminent </w:t>
      </w:r>
      <w:r w:rsidR="001810D7">
        <w:t>domain, since such acquisit</w:t>
      </w:r>
      <w:r w:rsidR="00E865C1">
        <w:t xml:space="preserve">ion would prove </w:t>
      </w:r>
      <w:r w:rsidR="00DC6966">
        <w:t>unlikely-to-</w:t>
      </w:r>
      <w:r>
        <w:t xml:space="preserve">impossible if </w:t>
      </w:r>
      <w:r w:rsidR="00DC6966">
        <w:t>scrutinized</w:t>
      </w:r>
      <w:r w:rsidR="006F6421">
        <w:t xml:space="preserve"> under the Michigan C</w:t>
      </w:r>
      <w:r>
        <w:t>onstitution, whose 2006 amendment</w:t>
      </w:r>
      <w:r w:rsidR="00AD1288">
        <w:rPr>
          <w:rStyle w:val="FootnoteReference"/>
        </w:rPr>
        <w:footnoteReference w:id="8"/>
      </w:r>
      <w:r>
        <w:t xml:space="preserve"> rejected </w:t>
      </w:r>
      <w:r w:rsidRPr="0083774F">
        <w:t>the U.S. Supreme Court’s</w:t>
      </w:r>
      <w:r w:rsidRPr="0083774F">
        <w:rPr>
          <w:i/>
        </w:rPr>
        <w:t xml:space="preserve"> </w:t>
      </w:r>
      <w:r w:rsidRPr="0083774F">
        <w:t xml:space="preserve">permissive </w:t>
      </w:r>
      <w:r w:rsidRPr="0083774F">
        <w:rPr>
          <w:i/>
        </w:rPr>
        <w:t>Kelo v. City of New London,</w:t>
      </w:r>
      <w:r w:rsidRPr="0083774F">
        <w:rPr>
          <w:i/>
          <w:vertAlign w:val="superscript"/>
        </w:rPr>
        <w:footnoteReference w:id="9"/>
      </w:r>
      <w:r w:rsidRPr="0083774F">
        <w:t xml:space="preserve"> </w:t>
      </w:r>
      <w:r w:rsidR="006F6421">
        <w:t>and now creates high obstacles for</w:t>
      </w:r>
      <w:r>
        <w:t xml:space="preserve"> blight condemnations.  They </w:t>
      </w:r>
      <w:r w:rsidR="006F6421">
        <w:t xml:space="preserve">also do not </w:t>
      </w:r>
      <w:r w:rsidR="00AD1288">
        <w:t>acknowledge</w:t>
      </w:r>
      <w:r w:rsidR="006F6421">
        <w:t xml:space="preserve"> that </w:t>
      </w:r>
      <w:r w:rsidR="009765EA">
        <w:t>the history of blight condemnations predict</w:t>
      </w:r>
      <w:r w:rsidR="002A7614">
        <w:t>s</w:t>
      </w:r>
      <w:r w:rsidR="009765EA">
        <w:t xml:space="preserve"> that </w:t>
      </w:r>
      <w:r w:rsidR="006F6421">
        <w:t xml:space="preserve">their </w:t>
      </w:r>
      <w:r>
        <w:t>“success story” may well leave a trail of want, poverty, and exclusion in its wake.</w:t>
      </w:r>
      <w:r w:rsidR="00932C2E">
        <w:rPr>
          <w:rStyle w:val="FootnoteReference"/>
        </w:rPr>
        <w:footnoteReference w:id="10"/>
      </w:r>
      <w:r w:rsidR="00A6604D">
        <w:t xml:space="preserve"> </w:t>
      </w:r>
      <w:r w:rsidR="00AD1288">
        <w:t xml:space="preserve"> </w:t>
      </w:r>
    </w:p>
    <w:p w:rsidR="00A6604D" w:rsidRPr="00224D79" w:rsidRDefault="00A6604D" w:rsidP="00EA738D">
      <w:pPr>
        <w:spacing w:line="480" w:lineRule="auto"/>
        <w:ind w:firstLine="720"/>
      </w:pPr>
      <w:r>
        <w:t>The reasons for this indirection</w:t>
      </w:r>
      <w:r w:rsidR="0083774F">
        <w:t xml:space="preserve"> prove exigent:  Detroit is the most dilapidated city in the nation,</w:t>
      </w:r>
      <w:r w:rsidR="00677F40" w:rsidRPr="00360CD6">
        <w:rPr>
          <w:vertAlign w:val="superscript"/>
        </w:rPr>
        <w:footnoteReference w:id="11"/>
      </w:r>
      <w:r w:rsidR="0083774F">
        <w:t xml:space="preserve"> and desperately needs to repair or remo</w:t>
      </w:r>
      <w:r w:rsidR="00AD1288">
        <w:t xml:space="preserve">ve the unsound housing that </w:t>
      </w:r>
      <w:r w:rsidR="0083774F">
        <w:t>clutters its many neighborhoods.</w:t>
      </w:r>
      <w:r w:rsidR="00AD1288">
        <w:rPr>
          <w:rStyle w:val="FootnoteReference"/>
        </w:rPr>
        <w:footnoteReference w:id="12"/>
      </w:r>
      <w:r w:rsidR="0083774F">
        <w:t xml:space="preserve">  Constitutional dramas and troublesome objections about the city’s</w:t>
      </w:r>
      <w:r w:rsidR="009D180E">
        <w:t xml:space="preserve"> very poor would only protract this process </w:t>
      </w:r>
      <w:r w:rsidR="00224D79">
        <w:t>if not vanquish it altogether</w:t>
      </w:r>
      <w:r w:rsidR="009D180E">
        <w:t>.  Yet Mr. Gilbert and the Task Force</w:t>
      </w:r>
      <w:r w:rsidR="0083774F">
        <w:t xml:space="preserve"> perform a great </w:t>
      </w:r>
      <w:r w:rsidR="009765EA">
        <w:t>legerdemain</w:t>
      </w:r>
      <w:r w:rsidR="0083774F">
        <w:t xml:space="preserve"> in </w:t>
      </w:r>
      <w:r w:rsidR="009765EA">
        <w:t xml:space="preserve">vaporizing </w:t>
      </w:r>
      <w:r w:rsidR="0083774F">
        <w:t xml:space="preserve">these </w:t>
      </w:r>
      <w:r w:rsidR="009765EA">
        <w:t>elephantine</w:t>
      </w:r>
      <w:r w:rsidR="00805270">
        <w:t xml:space="preserve"> legal and social problems.  How did they do it?  </w:t>
      </w:r>
      <w:r w:rsidR="009765EA">
        <w:t>T</w:t>
      </w:r>
      <w:r w:rsidR="009D180E">
        <w:t>hey</w:t>
      </w:r>
      <w:r w:rsidR="006F6421">
        <w:t xml:space="preserve"> lure</w:t>
      </w:r>
      <w:r w:rsidR="00224D79">
        <w:t xml:space="preserve"> </w:t>
      </w:r>
      <w:r w:rsidR="00AD1288">
        <w:t>the public’s focus</w:t>
      </w:r>
      <w:r w:rsidR="00224D79">
        <w:t xml:space="preserve"> – specifically, its gaze –</w:t>
      </w:r>
      <w:r w:rsidR="00AD1288">
        <w:t xml:space="preserve"> away from the C</w:t>
      </w:r>
      <w:r w:rsidR="00224D79">
        <w:t>onstitution and the problem of poverty toward mesmerizing scenes that speak to Detroiters</w:t>
      </w:r>
      <w:r w:rsidR="00AD1288">
        <w:t>’</w:t>
      </w:r>
      <w:r w:rsidR="00224D79">
        <w:t xml:space="preserve"> greatest fears and desires.  That is, officials use </w:t>
      </w:r>
      <w:r w:rsidR="00224D79">
        <w:rPr>
          <w:i/>
        </w:rPr>
        <w:lastRenderedPageBreak/>
        <w:t>optics</w:t>
      </w:r>
      <w:r w:rsidR="00AD1288">
        <w:t xml:space="preserve"> to </w:t>
      </w:r>
      <w:r w:rsidR="00DE4A1B">
        <w:t>persuade politicians and th</w:t>
      </w:r>
      <w:r w:rsidR="009765EA">
        <w:t xml:space="preserve">e citizenry that </w:t>
      </w:r>
      <w:r w:rsidR="00E0531B">
        <w:t>they can confiscate thousands of properties with</w:t>
      </w:r>
      <w:r w:rsidR="001810D7">
        <w:t>out compensation</w:t>
      </w:r>
      <w:r w:rsidR="00E0531B">
        <w:t xml:space="preserve">.  </w:t>
      </w:r>
    </w:p>
    <w:p w:rsidR="00666E5B" w:rsidRDefault="00224D79" w:rsidP="00EA738D">
      <w:pPr>
        <w:spacing w:line="480" w:lineRule="auto"/>
        <w:ind w:firstLine="720"/>
      </w:pPr>
      <w:r>
        <w:t>This is not my first foray into a legal theory</w:t>
      </w:r>
      <w:r w:rsidR="006F6421">
        <w:t xml:space="preserve"> that struggles with looking, class, </w:t>
      </w:r>
      <w:r w:rsidR="002D0364">
        <w:t>and eminent domain</w:t>
      </w:r>
      <w:r>
        <w:t xml:space="preserve">.  </w:t>
      </w:r>
      <w:r w:rsidR="00666E5B" w:rsidRPr="00666E5B">
        <w:t>I</w:t>
      </w:r>
      <w:r w:rsidR="002D0364">
        <w:t xml:space="preserve">n a 2015 </w:t>
      </w:r>
      <w:r>
        <w:rPr>
          <w:smallCaps/>
        </w:rPr>
        <w:t>Georgetown Journal on Poverty Law and Policy (GJPLP)</w:t>
      </w:r>
      <w:r w:rsidR="006F6421">
        <w:rPr>
          <w:smallCaps/>
        </w:rPr>
        <w:t xml:space="preserve"> </w:t>
      </w:r>
      <w:r w:rsidR="006F6421">
        <w:t>article</w:t>
      </w:r>
      <w:r>
        <w:rPr>
          <w:smallCaps/>
        </w:rPr>
        <w:t xml:space="preserve">, </w:t>
      </w:r>
      <w:r>
        <w:t>titled</w:t>
      </w:r>
      <w:r w:rsidR="00666E5B" w:rsidRPr="00666E5B">
        <w:t xml:space="preserve"> </w:t>
      </w:r>
      <w:r w:rsidR="00666E5B" w:rsidRPr="00666E5B">
        <w:rPr>
          <w:i/>
        </w:rPr>
        <w:t>Peering</w:t>
      </w:r>
      <w:r w:rsidR="006F6421">
        <w:t>,</w:t>
      </w:r>
      <w:r w:rsidR="00DE4A1B">
        <w:rPr>
          <w:rStyle w:val="FootnoteReference"/>
        </w:rPr>
        <w:footnoteReference w:id="13"/>
      </w:r>
      <w:r w:rsidR="006F6421">
        <w:t xml:space="preserve"> I observe</w:t>
      </w:r>
      <w:r w:rsidR="00DC6966">
        <w:t>d</w:t>
      </w:r>
      <w:r w:rsidR="00666E5B" w:rsidRPr="00666E5B">
        <w:t xml:space="preserve"> how optics and class privilege help determine when a state can reap a community under the Fifth Amendment, which requires that takings exist f</w:t>
      </w:r>
      <w:r w:rsidR="002D0364">
        <w:t>or a public use or purpose and that</w:t>
      </w:r>
      <w:r w:rsidR="00666E5B" w:rsidRPr="00666E5B">
        <w:t xml:space="preserve"> residents see adequate compensation.</w:t>
      </w:r>
      <w:r w:rsidR="00666E5B" w:rsidRPr="00666E5B">
        <w:rPr>
          <w:vertAlign w:val="superscript"/>
        </w:rPr>
        <w:footnoteReference w:id="14"/>
      </w:r>
      <w:r w:rsidR="006F6421">
        <w:t xml:space="preserve">  I argue</w:t>
      </w:r>
      <w:r w:rsidR="00DC6966">
        <w:t>d</w:t>
      </w:r>
      <w:r w:rsidR="00666E5B" w:rsidRPr="00666E5B">
        <w:t xml:space="preserve"> that this apprehension</w:t>
      </w:r>
      <w:r w:rsidR="006F6421">
        <w:t xml:space="preserve"> depends</w:t>
      </w:r>
      <w:r w:rsidR="00666E5B" w:rsidRPr="00666E5B">
        <w:t xml:space="preserve"> on official an</w:t>
      </w:r>
      <w:r w:rsidR="006F6421">
        <w:t>d judicial gazes, what I call</w:t>
      </w:r>
      <w:r w:rsidR="00666E5B" w:rsidRPr="00666E5B">
        <w:t xml:space="preserve"> acts of peering.  By </w:t>
      </w:r>
      <w:r w:rsidR="006F6421">
        <w:t>studying eminent domain’s history</w:t>
      </w:r>
      <w:r w:rsidR="00666E5B" w:rsidRPr="00666E5B">
        <w:t xml:space="preserve">, I learned that when elites regarded (or, peered at) </w:t>
      </w:r>
      <w:r w:rsidR="008A4240">
        <w:t>a community</w:t>
      </w:r>
      <w:r w:rsidR="00666E5B" w:rsidRPr="00666E5B">
        <w:t xml:space="preserve"> and decided that its residents did not qualify as their peers, this race and class vulnerability </w:t>
      </w:r>
      <w:r w:rsidR="002D0364">
        <w:t>rendered</w:t>
      </w:r>
      <w:r w:rsidR="00DC6966">
        <w:t xml:space="preserve"> the communities</w:t>
      </w:r>
      <w:r w:rsidR="00AC70EF">
        <w:t xml:space="preserve"> defenseless to exercises of eminent domain</w:t>
      </w:r>
      <w:r w:rsidR="00666E5B" w:rsidRPr="00666E5B">
        <w:t>.</w:t>
      </w:r>
      <w:r w:rsidR="00666E5B" w:rsidRPr="00666E5B">
        <w:rPr>
          <w:vertAlign w:val="superscript"/>
        </w:rPr>
        <w:footnoteReference w:id="15"/>
      </w:r>
      <w:r w:rsidR="00666E5B" w:rsidRPr="00666E5B">
        <w:t xml:space="preserve">  I also listed the damage that takings </w:t>
      </w:r>
      <w:r w:rsidR="006F6421">
        <w:t>impose</w:t>
      </w:r>
      <w:r w:rsidR="00666E5B" w:rsidRPr="00666E5B">
        <w:t xml:space="preserve"> on low-income people and people of color, which include exile, oust</w:t>
      </w:r>
      <w:r w:rsidR="006F6421">
        <w:t>er, family dislocation, and community network disintegration</w:t>
      </w:r>
      <w:r w:rsidR="00666E5B" w:rsidRPr="00666E5B">
        <w:t>.</w:t>
      </w:r>
      <w:r w:rsidR="00DC6966">
        <w:rPr>
          <w:rStyle w:val="FootnoteReference"/>
        </w:rPr>
        <w:footnoteReference w:id="16"/>
      </w:r>
      <w:r w:rsidR="00666E5B" w:rsidRPr="00666E5B">
        <w:t xml:space="preserve">  I found these dangers particularly acute in the case of blight condemnations, and lambasted them as racist and colonial conquests.</w:t>
      </w:r>
      <w:r w:rsidR="00666E5B" w:rsidRPr="00666E5B">
        <w:rPr>
          <w:vertAlign w:val="superscript"/>
        </w:rPr>
        <w:footnoteReference w:id="17"/>
      </w:r>
      <w:r w:rsidR="00666E5B" w:rsidRPr="00666E5B">
        <w:t xml:space="preserve">  </w:t>
      </w:r>
      <w:r w:rsidR="00A6604D" w:rsidRPr="00A6604D">
        <w:t xml:space="preserve">At the end of </w:t>
      </w:r>
      <w:r w:rsidR="00A6604D" w:rsidRPr="00A6604D">
        <w:rPr>
          <w:i/>
        </w:rPr>
        <w:t>Peering</w:t>
      </w:r>
      <w:r w:rsidR="00A6604D" w:rsidRPr="00A6604D">
        <w:t xml:space="preserve">, I promised that I would try to forge a way of </w:t>
      </w:r>
      <w:r w:rsidR="00A6604D" w:rsidRPr="00A6604D">
        <w:rPr>
          <w:i/>
        </w:rPr>
        <w:t>seeing</w:t>
      </w:r>
      <w:r w:rsidR="00A6604D" w:rsidRPr="00A6604D">
        <w:t xml:space="preserve">, rather than peering, to invest eminent domain </w:t>
      </w:r>
      <w:r w:rsidR="00AC70EF">
        <w:t>jurisprudence</w:t>
      </w:r>
      <w:r w:rsidR="00A6604D" w:rsidRPr="00A6604D">
        <w:t xml:space="preserve"> with anti-subordination optics that might leverage egalitarian land </w:t>
      </w:r>
      <w:r w:rsidR="00677F40">
        <w:t>appropriations</w:t>
      </w:r>
      <w:r w:rsidR="00A6604D" w:rsidRPr="00A6604D">
        <w:t xml:space="preserve"> and uses.</w:t>
      </w:r>
      <w:r w:rsidR="00A6604D" w:rsidRPr="00A6604D">
        <w:rPr>
          <w:vertAlign w:val="superscript"/>
        </w:rPr>
        <w:footnoteReference w:id="18"/>
      </w:r>
    </w:p>
    <w:p w:rsidR="006F6421" w:rsidRDefault="00666E5B" w:rsidP="00EA738D">
      <w:pPr>
        <w:spacing w:line="480" w:lineRule="auto"/>
        <w:ind w:firstLine="720"/>
      </w:pPr>
      <w:r w:rsidRPr="00666E5B">
        <w:t>Peering now ope</w:t>
      </w:r>
      <w:r w:rsidR="006F6421">
        <w:t xml:space="preserve">rates in Detroit, in a </w:t>
      </w:r>
      <w:r w:rsidR="00D55AF9">
        <w:t xml:space="preserve">different but </w:t>
      </w:r>
      <w:r w:rsidRPr="00666E5B">
        <w:t xml:space="preserve">dangerous way.  </w:t>
      </w:r>
      <w:r w:rsidR="006F6421">
        <w:t>Peering here does not</w:t>
      </w:r>
      <w:r w:rsidR="00677F40">
        <w:t xml:space="preserve"> yet</w:t>
      </w:r>
      <w:r w:rsidR="006F6421">
        <w:t xml:space="preserve"> distract the </w:t>
      </w:r>
      <w:r w:rsidR="00D55AF9">
        <w:t xml:space="preserve">judiciary:  It diverts </w:t>
      </w:r>
      <w:r w:rsidR="00F460B6">
        <w:t>authorities</w:t>
      </w:r>
      <w:r w:rsidR="006F6421">
        <w:t xml:space="preserve"> and residents.  F</w:t>
      </w:r>
      <w:r w:rsidR="00AC70EF">
        <w:t>ew objectors</w:t>
      </w:r>
      <w:r w:rsidR="00980CDA">
        <w:t xml:space="preserve"> </w:t>
      </w:r>
      <w:r w:rsidR="00E0531B">
        <w:t>critique</w:t>
      </w:r>
      <w:r w:rsidR="00980CDA">
        <w:t xml:space="preserve"> the Task Force’s </w:t>
      </w:r>
      <w:bookmarkStart w:id="0" w:name="_GoBack"/>
      <w:r w:rsidR="00980CDA">
        <w:t>proposal that tens of thousands of properties be transferred to the Detroit Land Bank Authority</w:t>
      </w:r>
      <w:r w:rsidR="00C841B1">
        <w:t xml:space="preserve"> </w:t>
      </w:r>
      <w:r w:rsidR="00121805">
        <w:t xml:space="preserve">under </w:t>
      </w:r>
      <w:bookmarkEnd w:id="0"/>
      <w:r w:rsidR="00121805">
        <w:lastRenderedPageBreak/>
        <w:t xml:space="preserve">the </w:t>
      </w:r>
      <w:r w:rsidR="00AC70EF">
        <w:t xml:space="preserve">city’s </w:t>
      </w:r>
      <w:r w:rsidR="00121805">
        <w:t xml:space="preserve">nuisance abatement program </w:t>
      </w:r>
      <w:r w:rsidR="00087BD5">
        <w:t xml:space="preserve">because of the powerful peering tactics that now energize </w:t>
      </w:r>
      <w:r w:rsidR="00121805">
        <w:t>the Task Force’s</w:t>
      </w:r>
      <w:r w:rsidR="00087BD5">
        <w:t xml:space="preserve"> rhetoric and advocacy.</w:t>
      </w:r>
      <w:r w:rsidR="00677F40">
        <w:rPr>
          <w:rStyle w:val="FootnoteReference"/>
        </w:rPr>
        <w:footnoteReference w:id="19"/>
      </w:r>
      <w:r w:rsidR="00D55AF9">
        <w:t xml:space="preserve">  These peering campaigns</w:t>
      </w:r>
      <w:r w:rsidR="00087BD5">
        <w:t xml:space="preserve"> frighten and seduce Detroit’s citizenr</w:t>
      </w:r>
      <w:r w:rsidR="00E0531B">
        <w:t xml:space="preserve">y with repulsive, opulent, and </w:t>
      </w:r>
      <w:r w:rsidR="00087BD5">
        <w:t xml:space="preserve">manipulative imagery that </w:t>
      </w:r>
      <w:r w:rsidR="00D55AF9">
        <w:t>divert them from the</w:t>
      </w:r>
      <w:r w:rsidR="00677F40">
        <w:t xml:space="preserve"> legal and social problems </w:t>
      </w:r>
      <w:r w:rsidR="00087BD5">
        <w:t xml:space="preserve">the Task Force’s plans </w:t>
      </w:r>
      <w:r w:rsidR="00677F40">
        <w:t>hazard</w:t>
      </w:r>
      <w:r w:rsidR="00087BD5">
        <w:t xml:space="preserve">.  </w:t>
      </w:r>
      <w:r w:rsidR="000B14E5">
        <w:t>But these problems should</w:t>
      </w:r>
      <w:r w:rsidR="00C841B1">
        <w:t xml:space="preserve"> not be </w:t>
      </w:r>
      <w:r w:rsidR="006F6421">
        <w:t>overlooked</w:t>
      </w:r>
      <w:r w:rsidR="00E865C1">
        <w:t xml:space="preserve">.  First, the </w:t>
      </w:r>
      <w:r w:rsidR="00AC70EF">
        <w:t>confiscations</w:t>
      </w:r>
      <w:r w:rsidR="00E865C1">
        <w:t xml:space="preserve"> recommended</w:t>
      </w:r>
      <w:r w:rsidR="00C841B1">
        <w:t xml:space="preserve"> by the Task Force promise to </w:t>
      </w:r>
      <w:r w:rsidR="00E865C1">
        <w:t>take land from property owners in violat</w:t>
      </w:r>
      <w:r w:rsidR="00121805">
        <w:t>ion of the Fifth Amendment.  Second, i</w:t>
      </w:r>
      <w:r w:rsidR="00E865C1">
        <w:t xml:space="preserve">f the </w:t>
      </w:r>
      <w:r w:rsidR="00121805">
        <w:t xml:space="preserve">government undertook </w:t>
      </w:r>
      <w:r w:rsidR="00E865C1">
        <w:t xml:space="preserve">blight condemnations under the power of eminent domain, then this would </w:t>
      </w:r>
      <w:r w:rsidR="00121805">
        <w:t xml:space="preserve">then </w:t>
      </w:r>
      <w:r w:rsidR="00C841B1">
        <w:t xml:space="preserve">run afoul of the will of the Michigan voters, who </w:t>
      </w:r>
      <w:r w:rsidR="00203E80">
        <w:t xml:space="preserve">in 2006 prohibited eminent domain confiscations for the purposes of economic development and </w:t>
      </w:r>
      <w:r w:rsidR="00C841B1">
        <w:t xml:space="preserve">authorized significant restraints on </w:t>
      </w:r>
      <w:r w:rsidR="00203E80">
        <w:t>blight condemnations</w:t>
      </w:r>
      <w:r w:rsidR="00C841B1">
        <w:t>.</w:t>
      </w:r>
      <w:r w:rsidR="00677F40">
        <w:rPr>
          <w:rStyle w:val="FootnoteReference"/>
        </w:rPr>
        <w:footnoteReference w:id="20"/>
      </w:r>
      <w:r w:rsidR="000B14E5">
        <w:t xml:space="preserve"> </w:t>
      </w:r>
      <w:r w:rsidR="00C841B1">
        <w:t xml:space="preserve"> </w:t>
      </w:r>
      <w:r w:rsidR="00607C75">
        <w:t>Third</w:t>
      </w:r>
      <w:r w:rsidR="00C841B1">
        <w:t xml:space="preserve">, </w:t>
      </w:r>
      <w:r w:rsidR="000B14E5">
        <w:t xml:space="preserve">my past work in eminent domain and optics </w:t>
      </w:r>
      <w:r w:rsidR="006F6421">
        <w:t xml:space="preserve">teach us that the peering </w:t>
      </w:r>
      <w:r w:rsidR="00C841B1">
        <w:t>practices that now dazzle Detroiters serve as warnings</w:t>
      </w:r>
      <w:r w:rsidR="000B14E5">
        <w:t xml:space="preserve"> that poor and other vulnerable people will </w:t>
      </w:r>
      <w:r w:rsidR="00121805">
        <w:t xml:space="preserve">be left behind in the </w:t>
      </w:r>
      <w:r w:rsidR="00AC70EF">
        <w:t>seized</w:t>
      </w:r>
      <w:r w:rsidR="00121805">
        <w:t xml:space="preserve"> and cleaned-up</w:t>
      </w:r>
      <w:r w:rsidR="006F6421">
        <w:t xml:space="preserve"> Motor City</w:t>
      </w:r>
      <w:r w:rsidR="000B14E5">
        <w:t>.</w:t>
      </w:r>
      <w:r w:rsidR="00677F40">
        <w:rPr>
          <w:rStyle w:val="FootnoteReference"/>
        </w:rPr>
        <w:footnoteReference w:id="21"/>
      </w:r>
      <w:r w:rsidR="000B14E5">
        <w:t xml:space="preserve">  </w:t>
      </w:r>
    </w:p>
    <w:p w:rsidR="00872D3D" w:rsidRPr="001575E4" w:rsidRDefault="001D4E4C" w:rsidP="00EA738D">
      <w:pPr>
        <w:spacing w:line="480" w:lineRule="auto"/>
        <w:ind w:firstLine="720"/>
      </w:pPr>
      <w:r>
        <w:t>In response</w:t>
      </w:r>
      <w:r w:rsidR="00BA28AD">
        <w:t>, we must acknowledge</w:t>
      </w:r>
      <w:r w:rsidR="000B14E5">
        <w:t xml:space="preserve"> the Task Force </w:t>
      </w:r>
      <w:r w:rsidR="00E0531B">
        <w:t>urges the city to make</w:t>
      </w:r>
      <w:r w:rsidR="000B14E5">
        <w:t xml:space="preserve"> a </w:t>
      </w:r>
      <w:r w:rsidR="00BA28AD">
        <w:t>massive taking, recognize</w:t>
      </w:r>
      <w:r w:rsidR="000B14E5">
        <w:t xml:space="preserve"> the constitutional</w:t>
      </w:r>
      <w:r w:rsidR="00BA28AD">
        <w:t>, racial, and class</w:t>
      </w:r>
      <w:r>
        <w:t xml:space="preserve"> problems </w:t>
      </w:r>
      <w:r w:rsidR="000B14E5">
        <w:t xml:space="preserve">this </w:t>
      </w:r>
      <w:r w:rsidR="00BA28AD">
        <w:t xml:space="preserve">will </w:t>
      </w:r>
      <w:r w:rsidR="00677F40">
        <w:t>raise</w:t>
      </w:r>
      <w:r w:rsidR="000B14E5">
        <w:t xml:space="preserve">, and </w:t>
      </w:r>
      <w:r w:rsidR="00BA28AD">
        <w:t>identify</w:t>
      </w:r>
      <w:r w:rsidR="000B14E5">
        <w:t xml:space="preserve"> the pe</w:t>
      </w:r>
      <w:r w:rsidR="00BA28AD">
        <w:t>ering gestures that occlude t</w:t>
      </w:r>
      <w:r>
        <w:t xml:space="preserve">hese </w:t>
      </w:r>
      <w:r w:rsidR="00BA28AD">
        <w:t>quandaries</w:t>
      </w:r>
      <w:r w:rsidR="000B14E5">
        <w:t xml:space="preserve">.  </w:t>
      </w:r>
      <w:r w:rsidR="002D0364">
        <w:t>To resolve the</w:t>
      </w:r>
      <w:r w:rsidR="00677F40">
        <w:t xml:space="preserve"> legal and social dilemmas</w:t>
      </w:r>
      <w:r w:rsidR="002D0364">
        <w:t xml:space="preserve"> hazarded by the planned-for blight condemnations, </w:t>
      </w:r>
      <w:r w:rsidR="002D0364" w:rsidRPr="00775ECE">
        <w:rPr>
          <w:i/>
        </w:rPr>
        <w:t xml:space="preserve">I propose </w:t>
      </w:r>
      <w:r w:rsidR="00E3668F" w:rsidRPr="00775ECE">
        <w:rPr>
          <w:i/>
        </w:rPr>
        <w:t xml:space="preserve">the </w:t>
      </w:r>
      <w:r w:rsidR="00121805">
        <w:rPr>
          <w:i/>
        </w:rPr>
        <w:t xml:space="preserve">city </w:t>
      </w:r>
      <w:r w:rsidR="005326EB">
        <w:rPr>
          <w:i/>
        </w:rPr>
        <w:t xml:space="preserve">confiscate </w:t>
      </w:r>
      <w:r w:rsidR="00607C75">
        <w:rPr>
          <w:i/>
        </w:rPr>
        <w:t xml:space="preserve">and condemn </w:t>
      </w:r>
      <w:r w:rsidR="005326EB">
        <w:rPr>
          <w:i/>
        </w:rPr>
        <w:t xml:space="preserve">dilapidated properties under the power of eminent domain, </w:t>
      </w:r>
      <w:r w:rsidR="00577FC1">
        <w:rPr>
          <w:i/>
        </w:rPr>
        <w:t xml:space="preserve">and do this </w:t>
      </w:r>
      <w:r w:rsidR="005326EB">
        <w:rPr>
          <w:i/>
        </w:rPr>
        <w:t>for the public purpose of</w:t>
      </w:r>
      <w:r w:rsidR="00E3668F" w:rsidRPr="00775ECE">
        <w:rPr>
          <w:i/>
        </w:rPr>
        <w:t xml:space="preserve"> </w:t>
      </w:r>
      <w:r w:rsidR="005326EB">
        <w:rPr>
          <w:i/>
        </w:rPr>
        <w:t xml:space="preserve">alleviating poverty.  </w:t>
      </w:r>
      <w:r w:rsidR="005326EB">
        <w:t xml:space="preserve">This heady goal </w:t>
      </w:r>
      <w:r w:rsidR="00E3668F">
        <w:t xml:space="preserve">will require a </w:t>
      </w:r>
      <w:r>
        <w:t xml:space="preserve">tailored agenda </w:t>
      </w:r>
      <w:r w:rsidR="002D0364">
        <w:t>and</w:t>
      </w:r>
      <w:r>
        <w:t xml:space="preserve"> a rigorous method</w:t>
      </w:r>
      <w:r w:rsidR="00E3668F">
        <w:t xml:space="preserve"> of seeing Detroit and its residents.</w:t>
      </w:r>
    </w:p>
    <w:p w:rsidR="00BD3D61" w:rsidRDefault="00E3668F" w:rsidP="00EA738D">
      <w:pPr>
        <w:spacing w:line="480" w:lineRule="auto"/>
        <w:ind w:firstLine="720"/>
      </w:pPr>
      <w:r>
        <w:t>In this article, my</w:t>
      </w:r>
      <w:r w:rsidR="00BD3D61">
        <w:t xml:space="preserve"> objects are to </w:t>
      </w:r>
      <w:r w:rsidR="00FE56FE">
        <w:t>1) describe the Task Force’s</w:t>
      </w:r>
      <w:r w:rsidR="007714C5">
        <w:t xml:space="preserve"> </w:t>
      </w:r>
      <w:r w:rsidR="002D0364">
        <w:t xml:space="preserve">Detroit </w:t>
      </w:r>
      <w:r w:rsidR="00852DFC">
        <w:t>blight clearance project</w:t>
      </w:r>
      <w:r w:rsidR="00980CDA">
        <w:t>, emphasizing its plans to condemn dilapidated properties and transfer their titles to the Detroit Land Bank Authority under the city’s Nuisance Abatement Program</w:t>
      </w:r>
      <w:r w:rsidR="00BD3D61">
        <w:t>;</w:t>
      </w:r>
      <w:r w:rsidR="00FE56FE">
        <w:t xml:space="preserve"> 2</w:t>
      </w:r>
      <w:r w:rsidR="00980CDA">
        <w:t xml:space="preserve">) </w:t>
      </w:r>
      <w:r w:rsidR="00607C75">
        <w:t>consider the legal problem</w:t>
      </w:r>
      <w:r w:rsidR="00FA159A">
        <w:t xml:space="preserve"> created by this project, that is, that </w:t>
      </w:r>
      <w:r w:rsidR="00980CDA">
        <w:t>these forced transfers of title</w:t>
      </w:r>
      <w:r w:rsidR="00BD3D61">
        <w:t xml:space="preserve"> </w:t>
      </w:r>
      <w:r w:rsidR="002D0364">
        <w:t>would prove</w:t>
      </w:r>
      <w:r w:rsidR="00980CDA">
        <w:t xml:space="preserve"> </w:t>
      </w:r>
      <w:r w:rsidR="00BD3D61">
        <w:t>taking</w:t>
      </w:r>
      <w:r w:rsidR="00980CDA">
        <w:t>s</w:t>
      </w:r>
      <w:r w:rsidR="00BD3D61">
        <w:t xml:space="preserve"> under constitutional law</w:t>
      </w:r>
      <w:r w:rsidR="00FE56FE">
        <w:t>; 3</w:t>
      </w:r>
      <w:r w:rsidR="00BD3D61">
        <w:t xml:space="preserve">) </w:t>
      </w:r>
      <w:r w:rsidR="00FA159A">
        <w:t xml:space="preserve">consider the social problems of this project, that is, that blight condemnations traditionally </w:t>
      </w:r>
      <w:r w:rsidR="00083EDB">
        <w:t xml:space="preserve">predate </w:t>
      </w:r>
      <w:r w:rsidR="00083EDB">
        <w:lastRenderedPageBreak/>
        <w:t>upon low-in</w:t>
      </w:r>
      <w:r w:rsidR="00FA159A">
        <w:t>come people and people of color; 4)</w:t>
      </w:r>
      <w:r w:rsidR="00BD1909">
        <w:t xml:space="preserve"> </w:t>
      </w:r>
      <w:r w:rsidR="00FA159A">
        <w:t xml:space="preserve">describe why </w:t>
      </w:r>
      <w:r w:rsidR="00CA0328">
        <w:t>Michigan C</w:t>
      </w:r>
      <w:r w:rsidR="00D364CB">
        <w:t xml:space="preserve">onstitutional reforms explain why </w:t>
      </w:r>
      <w:r w:rsidR="00FA159A">
        <w:t xml:space="preserve">the Task Force does not recommend that the </w:t>
      </w:r>
      <w:r w:rsidR="00D364CB">
        <w:t>blight clearance</w:t>
      </w:r>
      <w:r w:rsidR="00FA159A">
        <w:t xml:space="preserve"> proceed under the powers of eminent domain</w:t>
      </w:r>
      <w:r w:rsidR="00775ECE">
        <w:t>;</w:t>
      </w:r>
      <w:r w:rsidR="00BD1909">
        <w:t xml:space="preserve"> </w:t>
      </w:r>
      <w:r w:rsidR="00FE56FE">
        <w:t xml:space="preserve">4) consider why </w:t>
      </w:r>
      <w:r w:rsidR="001D4E4C">
        <w:t>objections to these legal and social problems have</w:t>
      </w:r>
      <w:r w:rsidR="00FE56FE">
        <w:t xml:space="preserve"> not received more </w:t>
      </w:r>
      <w:r w:rsidR="006546AE">
        <w:t xml:space="preserve">airing, </w:t>
      </w:r>
      <w:r w:rsidR="00083EDB">
        <w:t xml:space="preserve">and </w:t>
      </w:r>
      <w:r w:rsidR="00677F40">
        <w:t>hypothesize</w:t>
      </w:r>
      <w:r w:rsidR="002D0364">
        <w:t xml:space="preserve"> </w:t>
      </w:r>
      <w:r w:rsidR="00AC70EF">
        <w:t xml:space="preserve">that </w:t>
      </w:r>
      <w:r w:rsidR="00083EDB" w:rsidRPr="00775ECE">
        <w:t>peering</w:t>
      </w:r>
      <w:r w:rsidR="00083EDB">
        <w:rPr>
          <w:i/>
        </w:rPr>
        <w:t xml:space="preserve"> </w:t>
      </w:r>
      <w:r w:rsidR="00083EDB">
        <w:t xml:space="preserve">practices explain this lacuna; </w:t>
      </w:r>
      <w:r w:rsidR="00852DFC">
        <w:t xml:space="preserve">5) </w:t>
      </w:r>
      <w:r w:rsidR="00083EDB">
        <w:t xml:space="preserve">explain peering and </w:t>
      </w:r>
      <w:r w:rsidR="001D4E4C">
        <w:t>its operation</w:t>
      </w:r>
      <w:r w:rsidR="00083EDB">
        <w:t xml:space="preserve"> in Detr</w:t>
      </w:r>
      <w:r w:rsidR="00AC70EF">
        <w:t>oit’s blight removal</w:t>
      </w:r>
      <w:r w:rsidR="00083EDB">
        <w:t xml:space="preserve">; 6) </w:t>
      </w:r>
      <w:r w:rsidR="00852DFC">
        <w:t>off</w:t>
      </w:r>
      <w:r w:rsidR="002A0D30">
        <w:t>er</w:t>
      </w:r>
      <w:r w:rsidR="00852DFC">
        <w:t xml:space="preserve"> the alleviation of poverty, not blight </w:t>
      </w:r>
      <w:r w:rsidR="00D364CB">
        <w:t>clearance</w:t>
      </w:r>
      <w:r w:rsidR="00852DFC">
        <w:t>, as a p</w:t>
      </w:r>
      <w:r w:rsidR="00AC70EF">
        <w:t>ublic purpose under which eminent domain</w:t>
      </w:r>
      <w:r w:rsidR="00083EDB">
        <w:t xml:space="preserve"> could proceed, and 7</w:t>
      </w:r>
      <w:r w:rsidR="00852DFC">
        <w:t xml:space="preserve">) </w:t>
      </w:r>
      <w:r w:rsidR="00BD1909">
        <w:t>describe how the crea</w:t>
      </w:r>
      <w:r w:rsidR="00AC70EF">
        <w:t xml:space="preserve">tion of an anti-poverty eminent domain </w:t>
      </w:r>
      <w:r w:rsidR="00BD1909">
        <w:t xml:space="preserve">agenda </w:t>
      </w:r>
      <w:r w:rsidR="00852DFC">
        <w:t>requires a new kind of seeing, hearing, and thinking about the city</w:t>
      </w:r>
      <w:r w:rsidR="006C1E23">
        <w:t xml:space="preserve"> and its specific “poverty traps.”  </w:t>
      </w:r>
      <w:r w:rsidR="001D4E4C">
        <w:t>Interviews with residents who work for a better Detroit</w:t>
      </w:r>
      <w:r w:rsidR="002D0364">
        <w:t xml:space="preserve">, </w:t>
      </w:r>
      <w:r w:rsidR="001D4E4C">
        <w:t xml:space="preserve">which I </w:t>
      </w:r>
      <w:r w:rsidR="00677F40">
        <w:t xml:space="preserve">conducted </w:t>
      </w:r>
      <w:r w:rsidR="00775ECE">
        <w:t>i</w:t>
      </w:r>
      <w:r w:rsidR="00677F40">
        <w:t xml:space="preserve">n the city in </w:t>
      </w:r>
      <w:r w:rsidR="001D4E4C">
        <w:t xml:space="preserve">August of 2014, will aid me in this last effort.  </w:t>
      </w:r>
      <w:r w:rsidR="00922555">
        <w:t xml:space="preserve">  </w:t>
      </w:r>
    </w:p>
    <w:p w:rsidR="003F192D" w:rsidRDefault="0055153B" w:rsidP="00EA738D">
      <w:pPr>
        <w:spacing w:line="480" w:lineRule="auto"/>
        <w:ind w:firstLine="720"/>
      </w:pPr>
      <w:r>
        <w:t>II) The Law of Eminent Domain</w:t>
      </w:r>
      <w:r w:rsidR="003F192D">
        <w:t xml:space="preserve"> </w:t>
      </w:r>
    </w:p>
    <w:p w:rsidR="00666E5B" w:rsidRDefault="00666E5B" w:rsidP="00EA738D">
      <w:pPr>
        <w:spacing w:line="480" w:lineRule="auto"/>
        <w:ind w:firstLine="720"/>
      </w:pPr>
      <w:r>
        <w:t xml:space="preserve">“I think that the blight clearance the Task Force’s calling for isn’t legal,” I tell Josh Bassett </w:t>
      </w:r>
      <w:r w:rsidR="00596E54">
        <w:t xml:space="preserve">in September of 2014 </w:t>
      </w:r>
      <w:r>
        <w:t>as he drives me through the Cass Corridor, near Midtown.</w:t>
      </w:r>
      <w:r w:rsidR="00596E54">
        <w:rPr>
          <w:rStyle w:val="FootnoteReference"/>
        </w:rPr>
        <w:footnoteReference w:id="22"/>
      </w:r>
      <w:r>
        <w:t xml:space="preserve">  Josh, a sixty-year old Anglo Detroit native with warm brown eyes and a talent for talking in complete paragraphs, directs the Institute for Social Progress at Wayne County Community College.  </w:t>
      </w:r>
      <w:r w:rsidRPr="00083EDB">
        <w:t>I’ve</w:t>
      </w:r>
      <w:r>
        <w:t xml:space="preserve"> sought him out</w:t>
      </w:r>
      <w:r w:rsidR="00677F40">
        <w:t xml:space="preserve"> </w:t>
      </w:r>
      <w:r w:rsidR="00CC38D0">
        <w:t xml:space="preserve">to tutor me on the city’s distress </w:t>
      </w:r>
      <w:r w:rsidR="00677F40">
        <w:t>because Detroit operates as</w:t>
      </w:r>
      <w:r w:rsidRPr="00083EDB">
        <w:t xml:space="preserve"> the current site of the U.S.’s highest-profile blight removal </w:t>
      </w:r>
      <w:r w:rsidR="00596E54">
        <w:t>enterprise</w:t>
      </w:r>
      <w:r w:rsidRPr="00083EDB">
        <w:t>.</w:t>
      </w:r>
      <w:r w:rsidRPr="00083EDB">
        <w:rPr>
          <w:vertAlign w:val="superscript"/>
        </w:rPr>
        <w:footnoteReference w:id="23"/>
      </w:r>
      <w:r w:rsidRPr="00083EDB">
        <w:t xml:space="preserve">  </w:t>
      </w:r>
      <w:r w:rsidR="0062675C">
        <w:t>In 2013</w:t>
      </w:r>
      <w:r>
        <w:t>, the White House created the</w:t>
      </w:r>
      <w:r w:rsidRPr="00981FE8">
        <w:t xml:space="preserve"> Detroit Blight Removal Task Force (the “Task Force”),</w:t>
      </w:r>
      <w:r w:rsidR="0062675C" w:rsidRPr="0062675C">
        <w:rPr>
          <w:vertAlign w:val="superscript"/>
        </w:rPr>
        <w:t xml:space="preserve"> </w:t>
      </w:r>
      <w:r w:rsidR="0062675C" w:rsidRPr="0062675C">
        <w:rPr>
          <w:vertAlign w:val="superscript"/>
        </w:rPr>
        <w:footnoteReference w:id="24"/>
      </w:r>
      <w:r w:rsidRPr="00981FE8">
        <w:t xml:space="preserve"> </w:t>
      </w:r>
      <w:r>
        <w:t xml:space="preserve">whose chair, Quicken </w:t>
      </w:r>
      <w:r w:rsidR="00784ED1">
        <w:t>Loans’</w:t>
      </w:r>
      <w:r>
        <w:t xml:space="preserve"> Dan Gilbert,</w:t>
      </w:r>
      <w:r w:rsidRPr="00981FE8">
        <w:t xml:space="preserve"> aims to raze between 40,000 to </w:t>
      </w:r>
      <w:r w:rsidR="00922555">
        <w:t>72,000</w:t>
      </w:r>
      <w:r w:rsidRPr="00981FE8">
        <w:rPr>
          <w:vertAlign w:val="superscript"/>
        </w:rPr>
        <w:footnoteReference w:id="25"/>
      </w:r>
      <w:r w:rsidRPr="00981FE8">
        <w:t xml:space="preserve"> structures</w:t>
      </w:r>
      <w:r>
        <w:t xml:space="preserve"> even while he buys up vast tracts of Detroit real estate such as the Chase Tower</w:t>
      </w:r>
      <w:r w:rsidRPr="00981FE8">
        <w:t>.</w:t>
      </w:r>
      <w:r>
        <w:rPr>
          <w:rStyle w:val="FootnoteReference"/>
        </w:rPr>
        <w:footnoteReference w:id="26"/>
      </w:r>
      <w:r w:rsidRPr="00981FE8">
        <w:t xml:space="preserve">  </w:t>
      </w:r>
    </w:p>
    <w:p w:rsidR="00666E5B" w:rsidRDefault="00666E5B" w:rsidP="00EA738D">
      <w:pPr>
        <w:spacing w:line="480" w:lineRule="auto"/>
        <w:ind w:firstLine="720"/>
      </w:pPr>
      <w:r w:rsidRPr="00981FE8">
        <w:lastRenderedPageBreak/>
        <w:t xml:space="preserve">“Legal – what – no, what you’re dealing with here isn’t law per se, it’s </w:t>
      </w:r>
      <w:r>
        <w:t>the politics of desperation,” Josh</w:t>
      </w:r>
      <w:r w:rsidRPr="00981FE8">
        <w:t xml:space="preserve"> answers.</w:t>
      </w:r>
      <w:r>
        <w:t xml:space="preserve">  As we caree</w:t>
      </w:r>
      <w:r w:rsidR="00D04079">
        <w:t>n down Detroit’s avenues, I glance</w:t>
      </w:r>
      <w:r>
        <w:t xml:space="preserve"> at crushed-looking apartment buildings and moth-eaten offices and try to understand what I’m looking at.  I understand that I have to train my eye so that I can actually </w:t>
      </w:r>
      <w:r>
        <w:rPr>
          <w:i/>
        </w:rPr>
        <w:t>see</w:t>
      </w:r>
      <w:r>
        <w:t xml:space="preserve"> the neighborhoods instead of just gawk at poverty</w:t>
      </w:r>
      <w:r w:rsidR="00784ED1">
        <w:t>.</w:t>
      </w:r>
      <w:r w:rsidR="00677F40">
        <w:t xml:space="preserve"> </w:t>
      </w:r>
      <w:r>
        <w:t>One of the reasons I’m here with Josh is so that he can help me to do that.</w:t>
      </w:r>
    </w:p>
    <w:p w:rsidR="00666E5B" w:rsidRPr="00EB7AE5" w:rsidRDefault="00677F40" w:rsidP="00EA738D">
      <w:pPr>
        <w:spacing w:line="480" w:lineRule="auto"/>
        <w:ind w:firstLine="720"/>
      </w:pPr>
      <w:r>
        <w:t>Based on my previous work in blight condemnations,</w:t>
      </w:r>
      <w:r>
        <w:rPr>
          <w:rStyle w:val="FootnoteReference"/>
        </w:rPr>
        <w:footnoteReference w:id="27"/>
      </w:r>
      <w:r>
        <w:t xml:space="preserve"> </w:t>
      </w:r>
      <w:r w:rsidR="00666E5B">
        <w:t xml:space="preserve">I’m particularly concerned about blight removal in Detroit because gentrification will affect a community that is </w:t>
      </w:r>
      <w:r w:rsidR="00784ED1" w:rsidRPr="00784ED1">
        <w:t>82 percent African-American,</w:t>
      </w:r>
      <w:r w:rsidR="00784ED1" w:rsidRPr="00784ED1">
        <w:rPr>
          <w:vertAlign w:val="superscript"/>
        </w:rPr>
        <w:t xml:space="preserve"> </w:t>
      </w:r>
      <w:r w:rsidR="00784ED1" w:rsidRPr="00784ED1">
        <w:rPr>
          <w:vertAlign w:val="superscript"/>
        </w:rPr>
        <w:footnoteReference w:id="28"/>
      </w:r>
      <w:r w:rsidR="00596E54">
        <w:t xml:space="preserve"> and whose</w:t>
      </w:r>
      <w:r w:rsidR="00784ED1" w:rsidRPr="00784ED1">
        <w:t xml:space="preserve"> residents suffer a 38 percent poverty rate;</w:t>
      </w:r>
      <w:r w:rsidR="00784ED1" w:rsidRPr="00784ED1">
        <w:rPr>
          <w:iCs/>
        </w:rPr>
        <w:t xml:space="preserve"> another 31 percent of its citizens live just above the poverty line.</w:t>
      </w:r>
      <w:r w:rsidR="00784ED1" w:rsidRPr="00784ED1">
        <w:rPr>
          <w:iCs/>
          <w:vertAlign w:val="superscript"/>
        </w:rPr>
        <w:footnoteReference w:id="29"/>
      </w:r>
      <w:r w:rsidR="00784ED1" w:rsidRPr="00784ED1">
        <w:rPr>
          <w:iCs/>
        </w:rPr>
        <w:t xml:space="preserve">  </w:t>
      </w:r>
      <w:r w:rsidR="00596E54">
        <w:rPr>
          <w:iCs/>
        </w:rPr>
        <w:t xml:space="preserve">In order that I develop a greater understanding of these figures, </w:t>
      </w:r>
      <w:r w:rsidR="00666E5B">
        <w:t>Josh</w:t>
      </w:r>
      <w:r w:rsidR="00666E5B" w:rsidRPr="00EB7AE5">
        <w:t xml:space="preserve"> </w:t>
      </w:r>
      <w:r w:rsidR="00596E54">
        <w:t xml:space="preserve">drives </w:t>
      </w:r>
      <w:r w:rsidR="00666E5B" w:rsidRPr="00EB7AE5">
        <w:t>me around Detroit to compare its neighborhoods with its Starbucks-bejeweled downtown.</w:t>
      </w:r>
      <w:r w:rsidR="00784ED1">
        <w:rPr>
          <w:rStyle w:val="FootnoteReference"/>
        </w:rPr>
        <w:footnoteReference w:id="30"/>
      </w:r>
      <w:r w:rsidR="00666E5B" w:rsidRPr="00EB7AE5">
        <w:t xml:space="preserve">  One of the first lessons I le</w:t>
      </w:r>
      <w:r w:rsidR="00AC70EF">
        <w:t>arn</w:t>
      </w:r>
      <w:r w:rsidR="00666E5B">
        <w:t xml:space="preserve"> </w:t>
      </w:r>
      <w:r w:rsidR="00784ED1">
        <w:t>in Detroit</w:t>
      </w:r>
      <w:r w:rsidR="00666E5B">
        <w:t xml:space="preserve"> </w:t>
      </w:r>
      <w:r w:rsidR="00D04079">
        <w:t xml:space="preserve">is </w:t>
      </w:r>
      <w:r w:rsidR="00666E5B">
        <w:t>its posh</w:t>
      </w:r>
      <w:r w:rsidR="00CC38D0">
        <w:t xml:space="preserve"> downtown</w:t>
      </w:r>
      <w:r w:rsidR="00666E5B" w:rsidRPr="00EB7AE5">
        <w:t xml:space="preserve"> separates, class-wise, from </w:t>
      </w:r>
      <w:r w:rsidR="00784ED1">
        <w:t>its</w:t>
      </w:r>
      <w:r w:rsidR="00CC38D0">
        <w:t xml:space="preserve"> other neighborhoods,</w:t>
      </w:r>
      <w:r w:rsidR="00666E5B" w:rsidRPr="00EB7AE5">
        <w:t xml:space="preserve"> which number up to</w:t>
      </w:r>
      <w:r w:rsidR="00666E5B">
        <w:t xml:space="preserve"> 105 according to a recent map.</w:t>
      </w:r>
      <w:r w:rsidR="00666E5B" w:rsidRPr="00EB7AE5">
        <w:rPr>
          <w:vertAlign w:val="superscript"/>
        </w:rPr>
        <w:footnoteReference w:id="31"/>
      </w:r>
      <w:r w:rsidR="00784ED1">
        <w:t xml:space="preserve">  As I witness</w:t>
      </w:r>
      <w:r w:rsidR="00666E5B">
        <w:t xml:space="preserve"> the class </w:t>
      </w:r>
      <w:r w:rsidR="00784ED1">
        <w:t>divide now severing the city</w:t>
      </w:r>
      <w:r w:rsidR="00666E5B">
        <w:t xml:space="preserve">, I tell Josh that I </w:t>
      </w:r>
      <w:r w:rsidR="00666E5B" w:rsidRPr="00981FE8">
        <w:t xml:space="preserve">worry </w:t>
      </w:r>
      <w:r w:rsidR="00666E5B">
        <w:t>that an upper</w:t>
      </w:r>
      <w:r w:rsidR="00DC6071">
        <w:t xml:space="preserve"> </w:t>
      </w:r>
      <w:r w:rsidR="00666E5B">
        <w:t xml:space="preserve">class </w:t>
      </w:r>
      <w:r w:rsidR="00784ED1">
        <w:t xml:space="preserve">fortress will fill the </w:t>
      </w:r>
      <w:r w:rsidR="00D45CEA">
        <w:t>confiscated and emptied</w:t>
      </w:r>
      <w:r w:rsidR="00784ED1">
        <w:t xml:space="preserve"> </w:t>
      </w:r>
      <w:r w:rsidR="00666E5B" w:rsidRPr="00981FE8">
        <w:t>space, one that exiles low-income people.</w:t>
      </w:r>
      <w:r w:rsidR="00666E5B" w:rsidRPr="00981FE8">
        <w:rPr>
          <w:vertAlign w:val="superscript"/>
        </w:rPr>
        <w:footnoteReference w:id="32"/>
      </w:r>
      <w:r w:rsidR="00666E5B" w:rsidRPr="00981FE8">
        <w:t xml:space="preserve">  </w:t>
      </w:r>
    </w:p>
    <w:p w:rsidR="00666E5B" w:rsidRDefault="00666E5B" w:rsidP="00EA738D">
      <w:pPr>
        <w:spacing w:line="480" w:lineRule="auto"/>
        <w:ind w:firstLine="720"/>
      </w:pPr>
      <w:r>
        <w:lastRenderedPageBreak/>
        <w:t>“But this city doesn’t have the luxury to turn away resources [being</w:t>
      </w:r>
      <w:r w:rsidR="00784ED1">
        <w:t xml:space="preserve"> imported by this] Dan Gilbert R</w:t>
      </w:r>
      <w:r>
        <w:t>epublican dude,” he tells me.  “Here’s this guy that broug</w:t>
      </w:r>
      <w:r w:rsidR="007E1397">
        <w:t>ht 3,000 White people out here,</w:t>
      </w:r>
      <w:r>
        <w:t xml:space="preserve"> along with capital, revitalization of the city</w:t>
      </w:r>
      <w:r w:rsidR="00CD0EE1" w:rsidRPr="00CD0EE1">
        <w:rPr>
          <w:vertAlign w:val="superscript"/>
        </w:rPr>
        <w:footnoteReference w:id="33"/>
      </w:r>
      <w:r>
        <w:t xml:space="preserve">. </w:t>
      </w:r>
      <w:r w:rsidR="007E1397">
        <w:t xml:space="preserve">. . . </w:t>
      </w:r>
      <w:r>
        <w:t>I mean, look, I’m a leftist radical.  But we’re dealing with such serious issues you can’t apply the same leftist framework.  I would push back where I see [the blight removal plan] harming the community, but it’s just a different framework.  It’s a framework of desperation.”  Josh grips the steering wheel tighter.  “I agree that sometimes Gilbert’s buying spree</w:t>
      </w:r>
      <w:r w:rsidR="007E1397">
        <w:rPr>
          <w:rStyle w:val="FootnoteReference"/>
        </w:rPr>
        <w:footnoteReference w:id="34"/>
      </w:r>
      <w:r>
        <w:t xml:space="preserve"> and blight removal can seem undemocratic. </w:t>
      </w:r>
      <w:r w:rsidR="007E1397">
        <w:t xml:space="preserve"> </w:t>
      </w:r>
      <w:r>
        <w:t xml:space="preserve">But for me, the most important question is how do you generate revenue?  I’m dealing with what’s viable, and what’s not.” </w:t>
      </w:r>
    </w:p>
    <w:p w:rsidR="00666E5B" w:rsidRDefault="00666E5B" w:rsidP="00EA738D">
      <w:pPr>
        <w:spacing w:line="480" w:lineRule="auto"/>
        <w:ind w:firstLine="720"/>
      </w:pPr>
      <w:r>
        <w:t>We mane</w:t>
      </w:r>
      <w:r w:rsidR="00360CD6">
        <w:t>uver down the Corridor.  T</w:t>
      </w:r>
      <w:r>
        <w:t xml:space="preserve">his area is the home of </w:t>
      </w:r>
      <w:r w:rsidR="00360CD6">
        <w:t>the Coalition on Temporary Shelter (</w:t>
      </w:r>
      <w:r>
        <w:t>COTS</w:t>
      </w:r>
      <w:r w:rsidR="00360CD6">
        <w:t>)</w:t>
      </w:r>
      <w:r>
        <w:t>,</w:t>
      </w:r>
      <w:r w:rsidR="00360CD6" w:rsidRPr="00360CD6">
        <w:rPr>
          <w:vertAlign w:val="superscript"/>
        </w:rPr>
        <w:t xml:space="preserve"> </w:t>
      </w:r>
      <w:r w:rsidR="00360CD6" w:rsidRPr="00360CD6">
        <w:rPr>
          <w:vertAlign w:val="superscript"/>
        </w:rPr>
        <w:footnoteReference w:id="35"/>
      </w:r>
      <w:r>
        <w:t xml:space="preserve"> as well as manifold blasted-out-looking buildings, along with a sprinkling of brightly painted structures and inhabited office buildings.  “[Little Caesar’s billionaire] Mike Ilitch </w:t>
      </w:r>
      <w:r w:rsidR="00596E54">
        <w:t>has bought up most of this area,” Josh says.</w:t>
      </w:r>
      <w:r>
        <w:t xml:space="preserve">  </w:t>
      </w:r>
      <w:r w:rsidR="00596E54">
        <w:t>“</w:t>
      </w:r>
      <w:r>
        <w:t>It wasn’t really revealed until maybe six months ago that the purpose of that was to locate this new [Red Wings, th</w:t>
      </w:r>
      <w:r w:rsidR="00CD0EE1">
        <w:t>e Detroit hockey team] stadium.</w:t>
      </w:r>
      <w:r w:rsidR="00360CD6" w:rsidRPr="00360CD6">
        <w:rPr>
          <w:vertAlign w:val="superscript"/>
        </w:rPr>
        <w:footnoteReference w:id="36"/>
      </w:r>
      <w:r>
        <w:t xml:space="preserve">  And now, it’s really changing.  In </w:t>
      </w:r>
      <w:r w:rsidR="00CD0EE1">
        <w:t xml:space="preserve">the </w:t>
      </w:r>
      <w:r>
        <w:t xml:space="preserve">60s, 70s you could not walk through this unless you were a motherfucker, you would get punked.  People have tried to revitalize it but nothing’s ever really worked.  So now Ilitch has bought all this land.  It’s controversial.”  </w:t>
      </w:r>
    </w:p>
    <w:p w:rsidR="00666E5B" w:rsidRDefault="00666E5B" w:rsidP="00EA738D">
      <w:pPr>
        <w:tabs>
          <w:tab w:val="left" w:pos="1260"/>
        </w:tabs>
        <w:spacing w:line="480" w:lineRule="auto"/>
        <w:ind w:firstLine="720"/>
      </w:pPr>
      <w:r>
        <w:t xml:space="preserve">I’m staring at a building that looks disintegrated by acid.  The sun cascades onto wide, nearly empty streets.  </w:t>
      </w:r>
      <w:r w:rsidR="00922555">
        <w:t xml:space="preserve">I am trying to see the city in a way that’s unoccluded by my own solipsism </w:t>
      </w:r>
      <w:r w:rsidR="00CD0EE1">
        <w:t xml:space="preserve">and infant-like </w:t>
      </w:r>
      <w:r w:rsidR="00CD0EE1">
        <w:lastRenderedPageBreak/>
        <w:t>requirements</w:t>
      </w:r>
      <w:r w:rsidR="00922555">
        <w:t xml:space="preserve"> for constant creature comforts.  But it’s hard, because I’m from </w:t>
      </w:r>
      <w:r w:rsidR="00922555" w:rsidRPr="00922555">
        <w:t>Studio City, California, and I’m ignorant.</w:t>
      </w:r>
      <w:r w:rsidR="00922555" w:rsidRPr="00922555">
        <w:rPr>
          <w:vertAlign w:val="superscript"/>
        </w:rPr>
        <w:footnoteReference w:id="37"/>
      </w:r>
      <w:r w:rsidR="00922555" w:rsidRPr="00922555">
        <w:t xml:space="preserve"> </w:t>
      </w:r>
      <w:r w:rsidR="0062675C">
        <w:t xml:space="preserve"> </w:t>
      </w:r>
      <w:r>
        <w:t>“Why’s that controversial?”</w:t>
      </w:r>
    </w:p>
    <w:p w:rsidR="00666E5B" w:rsidRDefault="00666E5B" w:rsidP="00EA738D">
      <w:pPr>
        <w:spacing w:line="480" w:lineRule="auto"/>
        <w:ind w:firstLine="720"/>
      </w:pPr>
      <w:r>
        <w:t xml:space="preserve">“There are lots of people who used to live </w:t>
      </w:r>
      <w:r w:rsidR="005976A7">
        <w:t>in</w:t>
      </w:r>
      <w:r>
        <w:t xml:space="preserve"> these low income housing hotels</w:t>
      </w:r>
      <w:r w:rsidR="00D45CEA">
        <w:t xml:space="preserve"> --</w:t>
      </w:r>
      <w:r>
        <w:t xml:space="preserve"> drug houses</w:t>
      </w:r>
      <w:r w:rsidR="00D45CEA">
        <w:t>,</w:t>
      </w:r>
      <w:r>
        <w:t xml:space="preserve"> I mean.  It was dangerous stuff, but this is where they used to live.  Just a few years ago these areas were areas where people used to set up tent cities.  Now they’ve all been moved out, displaced. I’m not sure what’s happened to them.   It’s still thick here, though.”</w:t>
      </w:r>
    </w:p>
    <w:p w:rsidR="00666E5B" w:rsidRDefault="00666E5B" w:rsidP="00EA738D">
      <w:pPr>
        <w:spacing w:line="480" w:lineRule="auto"/>
        <w:ind w:firstLine="720"/>
      </w:pPr>
      <w:r>
        <w:t xml:space="preserve">“What’s </w:t>
      </w:r>
      <w:r w:rsidR="00AC70EF">
        <w:t>‘</w:t>
      </w:r>
      <w:r>
        <w:t>thick?</w:t>
      </w:r>
      <w:r w:rsidR="00AC70EF">
        <w:t>’</w:t>
      </w:r>
      <w:r>
        <w:t>”</w:t>
      </w:r>
    </w:p>
    <w:p w:rsidR="00666E5B" w:rsidRDefault="00666E5B" w:rsidP="00EA738D">
      <w:pPr>
        <w:spacing w:line="480" w:lineRule="auto"/>
        <w:ind w:firstLine="720"/>
      </w:pPr>
      <w:r>
        <w:t xml:space="preserve"> “Thick means East L.A.  Thick means watch your ass.  But you’re not going to have a Cass Corridor any more like you used to -- which is a good thing.</w:t>
      </w:r>
      <w:r w:rsidR="0062675C" w:rsidRPr="0062675C">
        <w:rPr>
          <w:vertAlign w:val="superscript"/>
        </w:rPr>
        <w:footnoteReference w:id="38"/>
      </w:r>
      <w:r w:rsidR="0062675C">
        <w:t xml:space="preserve">   </w:t>
      </w:r>
      <w:r>
        <w:t>The issue is, though, what are you going to do about the low income population?  So many have been displaced</w:t>
      </w:r>
      <w:r w:rsidR="00CD73AD">
        <w:t>,</w:t>
      </w:r>
      <w:r>
        <w:t xml:space="preserve"> obviously.  It’s been a social clearing.  We don’t know where they go.</w:t>
      </w:r>
      <w:r w:rsidR="0062675C" w:rsidRPr="0062675C">
        <w:t xml:space="preserve"> </w:t>
      </w:r>
      <w:r w:rsidR="0062675C">
        <w:t xml:space="preserve"> T</w:t>
      </w:r>
      <w:r w:rsidR="0062675C" w:rsidRPr="0062675C">
        <w:t>hey bulldozed the Brewster projects, the low income projects.”</w:t>
      </w:r>
      <w:r w:rsidR="0062675C" w:rsidRPr="0062675C">
        <w:rPr>
          <w:vertAlign w:val="superscript"/>
        </w:rPr>
        <w:footnoteReference w:id="39"/>
      </w:r>
      <w:r>
        <w:t xml:space="preserve">  </w:t>
      </w:r>
    </w:p>
    <w:p w:rsidR="00666E5B" w:rsidRDefault="00666E5B" w:rsidP="00EA738D">
      <w:pPr>
        <w:spacing w:line="480" w:lineRule="auto"/>
        <w:ind w:firstLine="720"/>
      </w:pPr>
      <w:r>
        <w:t xml:space="preserve">Josh makes a few turns and brings us onto a thoroughfare that hosts even more battered housing.  The buildings </w:t>
      </w:r>
      <w:r w:rsidR="00CD0EE1">
        <w:t>crumble to the ground</w:t>
      </w:r>
      <w:r>
        <w:t>, except for iso</w:t>
      </w:r>
      <w:r w:rsidR="00D45CEA">
        <w:t xml:space="preserve">lated homes that evidence </w:t>
      </w:r>
      <w:r>
        <w:t>care in the forms of baby buggies and laundry out on the porches.  “This is Grand River, away from downtown.  The neighborhoods are one of the major keys to the ci</w:t>
      </w:r>
      <w:r w:rsidR="002E78E2">
        <w:t>ty.  Downtown is doing great – d</w:t>
      </w:r>
      <w:r>
        <w:t xml:space="preserve">owntown, midtown, and all the way up to Grand Boulevard.  So you have 20, 30 blocks of density and vibrant urban growth.  </w:t>
      </w:r>
      <w:r>
        <w:lastRenderedPageBreak/>
        <w:t>But the neighborhoods themselves are still – there’s no other word --  they’re devastated.  This is as fucked as it gets.  This is the real real.</w:t>
      </w:r>
    </w:p>
    <w:p w:rsidR="00666E5B" w:rsidRDefault="00666E5B" w:rsidP="00EA738D">
      <w:pPr>
        <w:spacing w:line="480" w:lineRule="auto"/>
        <w:ind w:firstLine="720"/>
      </w:pPr>
      <w:r>
        <w:t>“The neighborhoods grew into a population of 2 million, within 168 square miles.  And now we have a population of 8 to 9 hundred thousand.  So you have huge tracts of empty land.   They’re tal</w:t>
      </w:r>
      <w:r w:rsidR="00596E54">
        <w:t xml:space="preserve">king about resizing it, but </w:t>
      </w:r>
      <w:r>
        <w:t>what do you do with the people who don’t want to move?  And also you’re dealing with the consistent problems of racial segregation.”</w:t>
      </w:r>
    </w:p>
    <w:p w:rsidR="00666E5B" w:rsidRDefault="00666E5B" w:rsidP="00EA738D">
      <w:pPr>
        <w:spacing w:line="480" w:lineRule="auto"/>
        <w:ind w:firstLine="720"/>
      </w:pPr>
      <w:r>
        <w:t xml:space="preserve">I’m trying to film Grand River with my iPhone.  “What’s causing poverty in Detroit?” </w:t>
      </w:r>
    </w:p>
    <w:p w:rsidR="00666E5B" w:rsidRDefault="00666E5B" w:rsidP="00EA738D">
      <w:pPr>
        <w:spacing w:line="480" w:lineRule="auto"/>
        <w:ind w:firstLine="720"/>
      </w:pPr>
      <w:r>
        <w:t>“It’s education.  The rosiest picture is we graduate 58, 59 percent of our high school kids, but everyone thinks it’s actually much lower than that.</w:t>
      </w:r>
      <w:r w:rsidR="0062675C" w:rsidRPr="0062675C">
        <w:rPr>
          <w:vertAlign w:val="superscript"/>
        </w:rPr>
        <w:t xml:space="preserve"> </w:t>
      </w:r>
      <w:r w:rsidR="0062675C" w:rsidRPr="0062675C">
        <w:rPr>
          <w:vertAlign w:val="superscript"/>
        </w:rPr>
        <w:footnoteReference w:id="40"/>
      </w:r>
      <w:r>
        <w:t xml:space="preserve">   I don’t know what the exact figures are.  Some are gruesome.  Some people say we have a 70 percent illiteracy rate, but some cut it to fifty percent.</w:t>
      </w:r>
      <w:r w:rsidR="005976A7" w:rsidRPr="005976A7">
        <w:rPr>
          <w:vertAlign w:val="superscript"/>
        </w:rPr>
        <w:footnoteReference w:id="41"/>
      </w:r>
      <w:r>
        <w:t xml:space="preserve">   We have one third less funding than suburban students.  There are many teachers, people work their asses off.  But there has to be support.  So when you mention Dan Gilbert, and he’s bringing in all these White people – I mean, White people aren’t magic but there has to be capital.  It’s money.  It’s economics.”</w:t>
      </w:r>
    </w:p>
    <w:p w:rsidR="00666E5B" w:rsidRDefault="00666E5B" w:rsidP="00EA738D">
      <w:pPr>
        <w:spacing w:line="480" w:lineRule="auto"/>
        <w:ind w:firstLine="720"/>
      </w:pPr>
      <w:r>
        <w:t xml:space="preserve">I </w:t>
      </w:r>
      <w:r w:rsidR="00A76C71">
        <w:t>first begin to describe how these non-magic people may be getting set to occupy land that will be unconstitutionally taken by the city.</w:t>
      </w:r>
      <w:r w:rsidR="00A76C71">
        <w:rPr>
          <w:rStyle w:val="FootnoteReference"/>
        </w:rPr>
        <w:footnoteReference w:id="42"/>
      </w:r>
      <w:r w:rsidR="00A76C71">
        <w:t xml:space="preserve">  I then</w:t>
      </w:r>
      <w:r>
        <w:t xml:space="preserve"> wax </w:t>
      </w:r>
      <w:r w:rsidR="00A76C71">
        <w:t xml:space="preserve">prolix about how officials in other cities </w:t>
      </w:r>
      <w:r w:rsidR="009A4683">
        <w:t>employed</w:t>
      </w:r>
      <w:r w:rsidR="002E78E2">
        <w:t xml:space="preserve"> eminent domain </w:t>
      </w:r>
      <w:r>
        <w:t xml:space="preserve">to </w:t>
      </w:r>
      <w:r w:rsidR="00A76C71">
        <w:t xml:space="preserve">try to </w:t>
      </w:r>
      <w:r>
        <w:t>turn Poletown,</w:t>
      </w:r>
      <w:r w:rsidR="00922555">
        <w:rPr>
          <w:rStyle w:val="FootnoteReference"/>
        </w:rPr>
        <w:footnoteReference w:id="43"/>
      </w:r>
      <w:r>
        <w:t xml:space="preserve"> Atlantic Yards,</w:t>
      </w:r>
      <w:r w:rsidR="00922555">
        <w:rPr>
          <w:rStyle w:val="FootnoteReference"/>
        </w:rPr>
        <w:footnoteReference w:id="44"/>
      </w:r>
      <w:r>
        <w:t xml:space="preserve"> Manhattanville,</w:t>
      </w:r>
      <w:r w:rsidR="00922555">
        <w:rPr>
          <w:rStyle w:val="FootnoteReference"/>
        </w:rPr>
        <w:footnoteReference w:id="45"/>
      </w:r>
      <w:r>
        <w:t xml:space="preserve"> and New London</w:t>
      </w:r>
      <w:r w:rsidR="00922555">
        <w:rPr>
          <w:rStyle w:val="FootnoteReference"/>
        </w:rPr>
        <w:footnoteReference w:id="46"/>
      </w:r>
      <w:r>
        <w:t xml:space="preserve"> into exclusive, money-making metropolises, and the harm that did</w:t>
      </w:r>
      <w:r w:rsidR="005976A7">
        <w:t xml:space="preserve"> to poor residents of color.  “But h</w:t>
      </w:r>
      <w:r>
        <w:t>ow do you avoid downtown getting turned into a mall?”</w:t>
      </w:r>
    </w:p>
    <w:p w:rsidR="00666E5B" w:rsidRDefault="00666E5B" w:rsidP="00EA738D">
      <w:pPr>
        <w:spacing w:line="480" w:lineRule="auto"/>
        <w:ind w:firstLine="720"/>
      </w:pPr>
      <w:r>
        <w:lastRenderedPageBreak/>
        <w:t>At first, Josh seems unperturbed by this prospect.  “I’m not worried it’s going to turn into something that’s unfair.”  But then, he starts to lament racism and its already visible effects on Detroit.  “It’s just that, Whites still don’t want to live and integrate with Blacks.  And they won’t tolerate Blacks in any kind of viable numbers.  And White people are not moving out to the neighborh</w:t>
      </w:r>
      <w:r w:rsidR="007F44D6">
        <w:t>oods, they’re moving downtown</w:t>
      </w:r>
      <w:r>
        <w:t>.”</w:t>
      </w:r>
    </w:p>
    <w:p w:rsidR="00666E5B" w:rsidRDefault="00666E5B" w:rsidP="00EA738D">
      <w:pPr>
        <w:spacing w:line="480" w:lineRule="auto"/>
        <w:ind w:firstLine="720"/>
      </w:pPr>
      <w:r>
        <w:t>“Aren’t you guys stressed that there are no guarantees for what’s going to happen to poor people and</w:t>
      </w:r>
      <w:r w:rsidR="005976A7">
        <w:t xml:space="preserve"> people of color once all this </w:t>
      </w:r>
      <w:r>
        <w:t>is underway?” I persist.  “There are all these plans for bulldozing, but no one’s talking exactly about what’s going to come after.  And that’s where I think the law has to come in.”</w:t>
      </w:r>
    </w:p>
    <w:p w:rsidR="00666E5B" w:rsidRDefault="00CD73AD" w:rsidP="00EA738D">
      <w:pPr>
        <w:spacing w:line="480" w:lineRule="auto"/>
        <w:ind w:firstLine="720"/>
      </w:pPr>
      <w:r>
        <w:t>Josh drives past vacant lots and</w:t>
      </w:r>
      <w:r w:rsidR="00666E5B">
        <w:t xml:space="preserve"> deliquesced apartment buildings.  He nods.  “The future, it gi</w:t>
      </w:r>
      <w:r w:rsidR="00596E54">
        <w:t xml:space="preserve">ves people pause.”  He purses </w:t>
      </w:r>
      <w:r w:rsidR="00666E5B">
        <w:t xml:space="preserve">his mouth.  “I shouldn’t say ‘pause.’  That ameliorates it.  They’re more worried than that. . . .  But – I don’t know about the law, exactly.” </w:t>
      </w:r>
    </w:p>
    <w:p w:rsidR="003F192D" w:rsidRDefault="007F44D6" w:rsidP="00EA738D">
      <w:pPr>
        <w:spacing w:line="480" w:lineRule="auto"/>
        <w:ind w:firstLine="720"/>
      </w:pPr>
      <w:r>
        <w:tab/>
      </w:r>
      <w:r>
        <w:tab/>
      </w:r>
      <w:r>
        <w:tab/>
      </w:r>
      <w:r>
        <w:tab/>
      </w:r>
      <w:r>
        <w:tab/>
        <w:t>*</w:t>
      </w:r>
    </w:p>
    <w:p w:rsidR="00433DAE" w:rsidRDefault="003F192D" w:rsidP="00EA738D">
      <w:pPr>
        <w:spacing w:line="480" w:lineRule="auto"/>
        <w:ind w:firstLine="720"/>
      </w:pPr>
      <w:r w:rsidRPr="003F192D">
        <w:t>In 2006, the Mic</w:t>
      </w:r>
      <w:r w:rsidR="009A4683">
        <w:t>higan voters amended the state C</w:t>
      </w:r>
      <w:r w:rsidRPr="003F192D">
        <w:t>onstitution’s taking clause, being article 10 section 2.</w:t>
      </w:r>
      <w:r w:rsidRPr="003F192D">
        <w:rPr>
          <w:vertAlign w:val="superscript"/>
        </w:rPr>
        <w:footnoteReference w:id="47"/>
      </w:r>
      <w:r w:rsidRPr="003F192D">
        <w:t xml:space="preserve">  </w:t>
      </w:r>
      <w:r w:rsidR="00B46ADC">
        <w:t xml:space="preserve">It now requires that in blight condemnation </w:t>
      </w:r>
      <w:r w:rsidR="00CD73AD">
        <w:t>cases</w:t>
      </w:r>
      <w:r w:rsidR="00B46ADC">
        <w:t>, public use or purpose be proved by clear and convincing evidence, and that property owners enjoy 125% of fair market value (FMV).</w:t>
      </w:r>
      <w:r w:rsidR="00B46ADC">
        <w:rPr>
          <w:rStyle w:val="FootnoteReference"/>
        </w:rPr>
        <w:footnoteReference w:id="48"/>
      </w:r>
      <w:r w:rsidR="00B46ADC">
        <w:t xml:space="preserve">   </w:t>
      </w:r>
      <w:r w:rsidR="00CD73AD">
        <w:t>For other exercises of eminent domain</w:t>
      </w:r>
      <w:r w:rsidR="00433DAE">
        <w:t>, public concern must be proven by a preponderance of the evidence.</w:t>
      </w:r>
      <w:r w:rsidR="00433DAE">
        <w:rPr>
          <w:rStyle w:val="FootnoteReference"/>
        </w:rPr>
        <w:footnoteReference w:id="49"/>
      </w:r>
      <w:r w:rsidR="00433DAE">
        <w:t xml:space="preserve">  The Michigan takings clause now</w:t>
      </w:r>
      <w:r w:rsidR="00A60D11">
        <w:t xml:space="preserve"> also prohibits </w:t>
      </w:r>
      <w:r w:rsidR="009A4683">
        <w:t>the use of eminent domain for economic development</w:t>
      </w:r>
      <w:r w:rsidR="00A60D11">
        <w:t>.</w:t>
      </w:r>
      <w:r w:rsidR="00A60D11">
        <w:rPr>
          <w:rStyle w:val="FootnoteReference"/>
        </w:rPr>
        <w:footnoteReference w:id="50"/>
      </w:r>
      <w:r w:rsidR="00A60D11">
        <w:t xml:space="preserve">  </w:t>
      </w:r>
    </w:p>
    <w:p w:rsidR="003F192D" w:rsidRPr="003F192D" w:rsidRDefault="003F192D" w:rsidP="00EA738D">
      <w:pPr>
        <w:spacing w:line="480" w:lineRule="auto"/>
        <w:ind w:firstLine="720"/>
      </w:pPr>
      <w:r w:rsidRPr="003F192D">
        <w:t xml:space="preserve">Previous to the amendment, Michigan takings law had already jumped the U.S.’s Fifth Amendment track, which </w:t>
      </w:r>
      <w:r w:rsidR="0055153B">
        <w:t>under cases from</w:t>
      </w:r>
      <w:r w:rsidR="00CD73AD">
        <w:t xml:space="preserve"> the U.S. Supreme Court’s 1954</w:t>
      </w:r>
      <w:r w:rsidR="0055153B">
        <w:t xml:space="preserve"> </w:t>
      </w:r>
      <w:r w:rsidR="0055153B">
        <w:rPr>
          <w:i/>
        </w:rPr>
        <w:t>Be</w:t>
      </w:r>
      <w:r w:rsidR="00E93BBA">
        <w:rPr>
          <w:i/>
        </w:rPr>
        <w:t>r</w:t>
      </w:r>
      <w:r w:rsidR="0055153B">
        <w:rPr>
          <w:i/>
        </w:rPr>
        <w:t xml:space="preserve">man v. </w:t>
      </w:r>
      <w:r w:rsidR="0055153B" w:rsidRPr="0055153B">
        <w:t>Parker</w:t>
      </w:r>
      <w:r w:rsidR="00CD73AD">
        <w:t>,</w:t>
      </w:r>
      <w:r w:rsidR="0055153B">
        <w:t xml:space="preserve"> to 1984’s </w:t>
      </w:r>
      <w:r w:rsidR="0055153B" w:rsidRPr="0055153B">
        <w:rPr>
          <w:i/>
          <w:iCs/>
        </w:rPr>
        <w:lastRenderedPageBreak/>
        <w:t>Hawa</w:t>
      </w:r>
      <w:r w:rsidR="0055153B">
        <w:rPr>
          <w:i/>
          <w:iCs/>
        </w:rPr>
        <w:t>ii Housing Authority v. Midkiff,</w:t>
      </w:r>
      <w:r w:rsidR="0055153B" w:rsidRPr="0055153B">
        <w:rPr>
          <w:i/>
          <w:iCs/>
          <w:vertAlign w:val="superscript"/>
        </w:rPr>
        <w:footnoteReference w:id="51"/>
      </w:r>
      <w:r w:rsidR="0055153B">
        <w:rPr>
          <w:i/>
        </w:rPr>
        <w:t xml:space="preserve"> </w:t>
      </w:r>
      <w:r w:rsidR="0055153B">
        <w:t xml:space="preserve">to 2005’s </w:t>
      </w:r>
      <w:r w:rsidR="0055153B">
        <w:rPr>
          <w:i/>
        </w:rPr>
        <w:t xml:space="preserve">Kelo </w:t>
      </w:r>
      <w:r w:rsidRPr="0055153B">
        <w:t>allows</w:t>
      </w:r>
      <w:r w:rsidRPr="003F192D">
        <w:t xml:space="preserve"> </w:t>
      </w:r>
      <w:r w:rsidR="0055153B">
        <w:t>the bench</w:t>
      </w:r>
      <w:r w:rsidRPr="003F192D">
        <w:t xml:space="preserve"> to rubberstamp legislatu</w:t>
      </w:r>
      <w:r w:rsidR="00070DA2">
        <w:t>res’ determinations that exercises of eminent domain</w:t>
      </w:r>
      <w:r w:rsidRPr="003F192D">
        <w:t xml:space="preserve"> fulfill a public use or purpose.</w:t>
      </w:r>
      <w:r w:rsidRPr="003F192D">
        <w:rPr>
          <w:vertAlign w:val="superscript"/>
        </w:rPr>
        <w:footnoteReference w:id="52"/>
      </w:r>
      <w:r w:rsidRPr="003F192D">
        <w:t xml:space="preserve">  In </w:t>
      </w:r>
      <w:r w:rsidR="003F13A3">
        <w:t xml:space="preserve">2004’s </w:t>
      </w:r>
      <w:r w:rsidRPr="003F192D">
        <w:rPr>
          <w:i/>
        </w:rPr>
        <w:t>County of Wayne v. Hathcock,</w:t>
      </w:r>
      <w:r w:rsidRPr="003F192D">
        <w:t xml:space="preserve"> the Michigan Supreme Court held a “generalized economic benefit” did </w:t>
      </w:r>
      <w:r w:rsidRPr="00CD73AD">
        <w:rPr>
          <w:i/>
        </w:rPr>
        <w:t>not</w:t>
      </w:r>
      <w:r w:rsidRPr="003F192D">
        <w:t xml:space="preserve"> </w:t>
      </w:r>
      <w:r w:rsidR="003F13A3">
        <w:t>constitute</w:t>
      </w:r>
      <w:r w:rsidRPr="003F192D">
        <w:t xml:space="preserve"> a public use or benefit</w:t>
      </w:r>
      <w:r w:rsidR="005976A7">
        <w:t>; this proved a</w:t>
      </w:r>
      <w:r w:rsidR="0055153B">
        <w:t xml:space="preserve"> direct response to </w:t>
      </w:r>
      <w:r w:rsidR="0055153B">
        <w:rPr>
          <w:i/>
        </w:rPr>
        <w:t xml:space="preserve">Kelo, </w:t>
      </w:r>
      <w:r w:rsidR="0055153B">
        <w:t xml:space="preserve">which allowed New London, Connecticut, to </w:t>
      </w:r>
      <w:r w:rsidR="003F13A3">
        <w:t xml:space="preserve">give </w:t>
      </w:r>
      <w:r w:rsidR="0055153B">
        <w:t>a bedroom</w:t>
      </w:r>
      <w:r w:rsidR="005976A7">
        <w:t xml:space="preserve"> community </w:t>
      </w:r>
      <w:r w:rsidR="0055153B">
        <w:t>to Pfizer</w:t>
      </w:r>
      <w:r w:rsidRPr="003F192D">
        <w:t>.</w:t>
      </w:r>
      <w:r w:rsidRPr="003F192D">
        <w:rPr>
          <w:vertAlign w:val="superscript"/>
        </w:rPr>
        <w:footnoteReference w:id="53"/>
      </w:r>
      <w:r w:rsidRPr="003F192D">
        <w:t xml:space="preserve">  The </w:t>
      </w:r>
      <w:r w:rsidRPr="003F192D">
        <w:rPr>
          <w:i/>
        </w:rPr>
        <w:t xml:space="preserve">Hathcock </w:t>
      </w:r>
      <w:r w:rsidRPr="003F192D">
        <w:t>court identified three constitutional public purposes:  First, land could be transferred to a private individual for public benefits dependent on the use of land that can be assembled only by means unavailable to the central government – such as in the case of giving over land to private enterprise to construct a railway.</w:t>
      </w:r>
      <w:r w:rsidRPr="003F192D">
        <w:rPr>
          <w:vertAlign w:val="superscript"/>
        </w:rPr>
        <w:footnoteReference w:id="54"/>
      </w:r>
      <w:r w:rsidRPr="003F192D">
        <w:t xml:space="preserve">  Second, officials may transfer property where the private entity remained accountable to the public in the use of that property.</w:t>
      </w:r>
      <w:r w:rsidRPr="003F192D">
        <w:rPr>
          <w:vertAlign w:val="superscript"/>
        </w:rPr>
        <w:footnoteReference w:id="55"/>
      </w:r>
      <w:r w:rsidRPr="003F192D">
        <w:t xml:space="preserve">  Third, property could be transferred on the basis of “facts of independent public significance,</w:t>
      </w:r>
      <w:r w:rsidR="00CD73AD">
        <w:t>”</w:t>
      </w:r>
      <w:r w:rsidRPr="003F192D">
        <w:t xml:space="preserve"> such as blight.</w:t>
      </w:r>
      <w:r w:rsidRPr="003F192D">
        <w:rPr>
          <w:vertAlign w:val="superscript"/>
        </w:rPr>
        <w:footnoteReference w:id="56"/>
      </w:r>
      <w:r w:rsidRPr="003F192D">
        <w:t xml:space="preserve">  After </w:t>
      </w:r>
      <w:r w:rsidRPr="003F192D">
        <w:rPr>
          <w:i/>
        </w:rPr>
        <w:t xml:space="preserve">Kelo, </w:t>
      </w:r>
      <w:r w:rsidRPr="003F192D">
        <w:t xml:space="preserve">Michigan voters amended their constitution to secure </w:t>
      </w:r>
      <w:r w:rsidRPr="003F192D">
        <w:rPr>
          <w:i/>
        </w:rPr>
        <w:t xml:space="preserve">Hathcock’s </w:t>
      </w:r>
      <w:r w:rsidRPr="003F192D">
        <w:t>guarantees against perceived Federal constitutional overreaching.</w:t>
      </w:r>
      <w:r w:rsidRPr="003F192D">
        <w:rPr>
          <w:vertAlign w:val="superscript"/>
        </w:rPr>
        <w:footnoteReference w:id="57"/>
      </w:r>
      <w:r w:rsidRPr="003F192D">
        <w:t xml:space="preserve">  </w:t>
      </w:r>
      <w:r w:rsidR="00282E38">
        <w:t>As noted, a</w:t>
      </w:r>
      <w:r w:rsidRPr="003F192D">
        <w:t>rticle 10, section 2 also requires that officials prove public concern by a preponderance of the evidence.</w:t>
      </w:r>
      <w:r w:rsidRPr="003F192D">
        <w:rPr>
          <w:vertAlign w:val="superscript"/>
        </w:rPr>
        <w:footnoteReference w:id="58"/>
      </w:r>
      <w:r w:rsidRPr="003F192D">
        <w:t xml:space="preserve">  However, in blight takings cases clear and convincing evidence is required.</w:t>
      </w:r>
      <w:r w:rsidRPr="003F192D">
        <w:rPr>
          <w:vertAlign w:val="superscript"/>
        </w:rPr>
        <w:footnoteReference w:id="59"/>
      </w:r>
      <w:r w:rsidRPr="003F192D">
        <w:t xml:space="preserve">  </w:t>
      </w:r>
    </w:p>
    <w:p w:rsidR="003F192D" w:rsidRPr="003F192D" w:rsidRDefault="003F192D" w:rsidP="00EA738D">
      <w:pPr>
        <w:spacing w:line="480" w:lineRule="auto"/>
        <w:ind w:firstLine="720"/>
      </w:pPr>
      <w:r w:rsidRPr="003F192D">
        <w:lastRenderedPageBreak/>
        <w:t>In 2006, the Michigan legislature also amended the Uniform Condemnation Procedures Act.</w:t>
      </w:r>
      <w:r w:rsidRPr="003F192D">
        <w:rPr>
          <w:vertAlign w:val="superscript"/>
        </w:rPr>
        <w:footnoteReference w:id="60"/>
      </w:r>
      <w:r w:rsidRPr="003F192D">
        <w:t xml:space="preserve">  These changes raised the statutory cap for individuals’ moving expenses and</w:t>
      </w:r>
      <w:r w:rsidR="007B01AF">
        <w:t xml:space="preserve"> provided attorney</w:t>
      </w:r>
      <w:r w:rsidRPr="003F192D">
        <w:t>s</w:t>
      </w:r>
      <w:r w:rsidR="007B01AF">
        <w:t>’</w:t>
      </w:r>
      <w:r w:rsidRPr="003F192D">
        <w:t xml:space="preserve"> fees for low-income individuals who made unsuccessful challenges</w:t>
      </w:r>
      <w:r w:rsidR="00E33386">
        <w:t xml:space="preserve"> to the government’s </w:t>
      </w:r>
      <w:r w:rsidR="00D45CEA">
        <w:t>exercises of eminent domain.</w:t>
      </w:r>
      <w:r w:rsidRPr="003F192D">
        <w:rPr>
          <w:vertAlign w:val="superscript"/>
        </w:rPr>
        <w:footnoteReference w:id="61"/>
      </w:r>
      <w:r w:rsidRPr="003F192D">
        <w:t xml:space="preserve">  The Michigan legislature also enacted Senate Bill 693, which defines “public use” to exist in the three situations identified by </w:t>
      </w:r>
      <w:r w:rsidRPr="003F192D">
        <w:rPr>
          <w:i/>
        </w:rPr>
        <w:t>Hathcock</w:t>
      </w:r>
      <w:r w:rsidRPr="003F192D">
        <w:t>.</w:t>
      </w:r>
      <w:r w:rsidRPr="003F192D">
        <w:rPr>
          <w:vertAlign w:val="superscript"/>
        </w:rPr>
        <w:footnoteReference w:id="62"/>
      </w:r>
      <w:r w:rsidRPr="003F192D">
        <w:t xml:space="preserve">  SB 693 specifies that economic development is not a public use. </w:t>
      </w:r>
      <w:r w:rsidRPr="003F192D">
        <w:rPr>
          <w:vertAlign w:val="superscript"/>
        </w:rPr>
        <w:footnoteReference w:id="63"/>
      </w:r>
    </w:p>
    <w:p w:rsidR="006260AC" w:rsidRDefault="00D45CEA" w:rsidP="00EA738D">
      <w:pPr>
        <w:spacing w:line="480" w:lineRule="auto"/>
        <w:ind w:firstLine="720"/>
      </w:pPr>
      <w:r>
        <w:t>W</w:t>
      </w:r>
      <w:r w:rsidR="00A76C71">
        <w:t>here the government</w:t>
      </w:r>
      <w:r w:rsidR="00E33386">
        <w:t xml:space="preserve"> does not invoke the </w:t>
      </w:r>
      <w:r w:rsidR="00A76C71">
        <w:t xml:space="preserve">shaky Michigan </w:t>
      </w:r>
      <w:r w:rsidR="00E33386">
        <w:t xml:space="preserve">powers of eminent domain, its regulations on property can constitute takings that violate the </w:t>
      </w:r>
      <w:r w:rsidR="00A76C71">
        <w:t xml:space="preserve">U.S. Constitution’s </w:t>
      </w:r>
      <w:r w:rsidR="00E33386">
        <w:t xml:space="preserve">Fifth Amendment </w:t>
      </w:r>
      <w:r w:rsidR="00A76C71">
        <w:t>and require payment of</w:t>
      </w:r>
      <w:r w:rsidR="00E33386">
        <w:t xml:space="preserve"> fair market value to the property owner</w:t>
      </w:r>
      <w:r w:rsidR="00731650">
        <w:t xml:space="preserve">.  </w:t>
      </w:r>
      <w:r w:rsidR="00117578">
        <w:t>The F</w:t>
      </w:r>
      <w:r w:rsidR="00E079CE" w:rsidRPr="00E079CE">
        <w:t xml:space="preserve">ederal Takings Clause initially applied to physical </w:t>
      </w:r>
      <w:r w:rsidR="003F13A3">
        <w:t>grabs</w:t>
      </w:r>
      <w:r w:rsidR="00E079CE" w:rsidRPr="00E079CE">
        <w:t xml:space="preserve"> of private property for the public’s benefit,</w:t>
      </w:r>
      <w:r w:rsidR="00E079CE" w:rsidRPr="00E079CE">
        <w:rPr>
          <w:vertAlign w:val="superscript"/>
        </w:rPr>
        <w:footnoteReference w:id="64"/>
      </w:r>
      <w:r w:rsidR="00E079CE" w:rsidRPr="00E079CE">
        <w:t xml:space="preserve"> and in 1922, the U.S. Supreme Court extended the Clause to regulatory actions that had the same effect of a physical taking.</w:t>
      </w:r>
      <w:r w:rsidR="00E079CE" w:rsidRPr="00E079CE">
        <w:rPr>
          <w:vertAlign w:val="superscript"/>
        </w:rPr>
        <w:footnoteReference w:id="65"/>
      </w:r>
      <w:r w:rsidR="00E079CE" w:rsidRPr="00E079CE">
        <w:t xml:space="preserve">  </w:t>
      </w:r>
      <w:r w:rsidR="00B34AF2" w:rsidRPr="00B34AF2">
        <w:t>Some regulations</w:t>
      </w:r>
      <w:r w:rsidR="00B34AF2">
        <w:t xml:space="preserve"> </w:t>
      </w:r>
      <w:r w:rsidR="00B34AF2" w:rsidRPr="00B34AF2">
        <w:t>constitute categorical or per se takings, such as regulations that deny all economically beneficial uses of land,</w:t>
      </w:r>
      <w:r w:rsidR="00B34AF2" w:rsidRPr="00B34AF2">
        <w:rPr>
          <w:vertAlign w:val="superscript"/>
        </w:rPr>
        <w:footnoteReference w:id="66"/>
      </w:r>
      <w:r w:rsidR="00B34AF2" w:rsidRPr="00B34AF2">
        <w:t xml:space="preserve"> or involve direct physical invasion or occupation of the property by the government.</w:t>
      </w:r>
      <w:r w:rsidR="00B34AF2" w:rsidRPr="00B34AF2">
        <w:rPr>
          <w:vertAlign w:val="superscript"/>
        </w:rPr>
        <w:footnoteReference w:id="67"/>
      </w:r>
      <w:r w:rsidR="00B34AF2" w:rsidRPr="00B34AF2">
        <w:t xml:space="preserve">   Judicial definitions of private property may also implicate the Takings Clause.</w:t>
      </w:r>
      <w:r w:rsidR="00B34AF2" w:rsidRPr="00B34AF2">
        <w:rPr>
          <w:vertAlign w:val="superscript"/>
        </w:rPr>
        <w:footnoteReference w:id="68"/>
      </w:r>
      <w:r w:rsidR="00B34AF2">
        <w:t xml:space="preserve">  </w:t>
      </w:r>
      <w:r w:rsidR="00E079CE" w:rsidRPr="00E079CE">
        <w:t xml:space="preserve">The Supreme Court analyzes </w:t>
      </w:r>
      <w:r w:rsidR="00B34AF2">
        <w:t xml:space="preserve">other </w:t>
      </w:r>
      <w:r w:rsidR="00E079CE" w:rsidRPr="00E079CE">
        <w:t>regulatory takings on a case-by-case balancing test.</w:t>
      </w:r>
      <w:r w:rsidR="00E079CE" w:rsidRPr="00E079CE">
        <w:rPr>
          <w:vertAlign w:val="superscript"/>
        </w:rPr>
        <w:footnoteReference w:id="69"/>
      </w:r>
      <w:r w:rsidR="00E079CE" w:rsidRPr="00E079CE">
        <w:t xml:space="preserve">  </w:t>
      </w:r>
    </w:p>
    <w:p w:rsidR="00B34AF2" w:rsidRDefault="00D34F5B" w:rsidP="00EA738D">
      <w:pPr>
        <w:spacing w:line="480" w:lineRule="auto"/>
        <w:ind w:firstLine="720"/>
      </w:pPr>
      <w:r>
        <w:lastRenderedPageBreak/>
        <w:t xml:space="preserve">Regulations that prohibit dangerous and illegal uses of property, such as nuisance laws, do not traditionally constitute takings.  </w:t>
      </w:r>
      <w:r w:rsidR="006260AC">
        <w:t>L</w:t>
      </w:r>
      <w:r w:rsidR="006260AC" w:rsidRPr="006260AC">
        <w:t xml:space="preserve">ongstanding federal court authority supports restraints on or even destructions of property under nuisance ordinances as exercises of the police power.  As the Supreme Court said in </w:t>
      </w:r>
      <w:r w:rsidR="006260AC" w:rsidRPr="006260AC">
        <w:rPr>
          <w:i/>
        </w:rPr>
        <w:t>K</w:t>
      </w:r>
      <w:hyperlink r:id="rId9" w:history="1">
        <w:r w:rsidR="006260AC" w:rsidRPr="00D42A51">
          <w:rPr>
            <w:rStyle w:val="Hyperlink"/>
            <w:i/>
            <w:iCs/>
            <w:color w:val="auto"/>
            <w:u w:val="none"/>
          </w:rPr>
          <w:t>eystone Bituminous Coal Ass'n v. DeBenedictis,</w:t>
        </w:r>
      </w:hyperlink>
      <w:r w:rsidR="006260AC" w:rsidRPr="00D42A51">
        <w:t xml:space="preserve"> </w:t>
      </w:r>
      <w:r w:rsidR="006260AC" w:rsidRPr="006260AC">
        <w:t>“[c]ourts have consistently held that a State need not provide compensation when it diminishes or destroys the value of property by stopping illegal activity or abating a public nuisance.”</w:t>
      </w:r>
      <w:r w:rsidR="006260AC" w:rsidRPr="006260AC">
        <w:rPr>
          <w:vertAlign w:val="superscript"/>
        </w:rPr>
        <w:footnoteReference w:id="70"/>
      </w:r>
      <w:r w:rsidR="006260AC" w:rsidRPr="006260AC">
        <w:t xml:space="preserve">  And in 1992’s </w:t>
      </w:r>
      <w:r w:rsidR="006260AC" w:rsidRPr="006260AC">
        <w:rPr>
          <w:i/>
        </w:rPr>
        <w:t>Lucas v. South Carolina Coastal Council</w:t>
      </w:r>
      <w:r w:rsidR="006260AC" w:rsidRPr="006260AC">
        <w:t>,</w:t>
      </w:r>
      <w:r w:rsidR="006260AC" w:rsidRPr="006260AC">
        <w:rPr>
          <w:vertAlign w:val="superscript"/>
        </w:rPr>
        <w:footnoteReference w:id="71"/>
      </w:r>
      <w:r w:rsidR="006260AC" w:rsidRPr="006260AC">
        <w:t xml:space="preserve"> the U.S. Supreme Court explained that regulations that prohibit all economically beneficial use of land can (without compensation) only “inhere in the title itself, in the restrictions that background principles of the State’s law of property and nuisance already place upon land ownership.”</w:t>
      </w:r>
      <w:r w:rsidR="006260AC" w:rsidRPr="006260AC">
        <w:rPr>
          <w:vertAlign w:val="superscript"/>
        </w:rPr>
        <w:footnoteReference w:id="72"/>
      </w:r>
      <w:r w:rsidR="006260AC" w:rsidRPr="006260AC">
        <w:t xml:space="preserve">  Courts interpret </w:t>
      </w:r>
      <w:r w:rsidR="006260AC" w:rsidRPr="006260AC">
        <w:rPr>
          <w:i/>
        </w:rPr>
        <w:t>Lucas</w:t>
      </w:r>
      <w:r w:rsidR="006260AC" w:rsidRPr="006260AC">
        <w:t xml:space="preserve"> to support </w:t>
      </w:r>
      <w:r w:rsidR="00A76C71">
        <w:t xml:space="preserve">findings that </w:t>
      </w:r>
      <w:r w:rsidR="006260AC" w:rsidRPr="006260AC">
        <w:t>destructions of nuisance properties</w:t>
      </w:r>
      <w:r w:rsidR="00A76C71">
        <w:t xml:space="preserve"> do not constitute takings</w:t>
      </w:r>
      <w:r w:rsidR="006260AC" w:rsidRPr="006260AC">
        <w:t>, since illegal uses of property do not “inhere in the title itself.”</w:t>
      </w:r>
      <w:r w:rsidR="006260AC" w:rsidRPr="006260AC">
        <w:rPr>
          <w:vertAlign w:val="superscript"/>
        </w:rPr>
        <w:footnoteReference w:id="73"/>
      </w:r>
    </w:p>
    <w:p w:rsidR="006260AC" w:rsidRDefault="00D42A51" w:rsidP="00EA738D">
      <w:pPr>
        <w:spacing w:line="480" w:lineRule="auto"/>
        <w:ind w:firstLine="720"/>
      </w:pPr>
      <w:r>
        <w:t xml:space="preserve">As </w:t>
      </w:r>
      <w:r w:rsidRPr="00D42A51">
        <w:rPr>
          <w:i/>
        </w:rPr>
        <w:t>Keystone Bituminous</w:t>
      </w:r>
      <w:r>
        <w:t xml:space="preserve"> indicates, federal courts</w:t>
      </w:r>
      <w:r w:rsidRPr="00D42A51">
        <w:t xml:space="preserve"> </w:t>
      </w:r>
      <w:r>
        <w:rPr>
          <w:i/>
        </w:rPr>
        <w:t>do</w:t>
      </w:r>
      <w:r w:rsidRPr="00D42A51">
        <w:t xml:space="preserve"> permit seizure of pro</w:t>
      </w:r>
      <w:r>
        <w:t>perty used in the commission of crimes.</w:t>
      </w:r>
      <w:r w:rsidRPr="00D42A51">
        <w:rPr>
          <w:vertAlign w:val="superscript"/>
        </w:rPr>
        <w:footnoteReference w:id="74"/>
      </w:r>
      <w:r w:rsidR="009D7532">
        <w:t xml:space="preserve">  This rule reaches</w:t>
      </w:r>
      <w:r w:rsidRPr="00D42A51">
        <w:t xml:space="preserve"> all the way back to 1882’s </w:t>
      </w:r>
      <w:r w:rsidRPr="00D42A51">
        <w:rPr>
          <w:i/>
        </w:rPr>
        <w:t xml:space="preserve">Mugler v. Kansas, </w:t>
      </w:r>
      <w:r w:rsidRPr="00D42A51">
        <w:t>a case involving defendants convicted of manufacturing spirits in violation of Prohibition.</w:t>
      </w:r>
      <w:r w:rsidRPr="00D42A51">
        <w:rPr>
          <w:vertAlign w:val="superscript"/>
        </w:rPr>
        <w:footnoteReference w:id="75"/>
      </w:r>
      <w:r w:rsidRPr="00D42A51">
        <w:t xml:space="preserve">  The Supreme Court held that the seizure of the defendants’ personal property and the closing of their prohibited brewery for one year did not require compensation since it constituted an abatement of a nuisance under the police power.</w:t>
      </w:r>
      <w:r w:rsidRPr="00D42A51">
        <w:rPr>
          <w:vertAlign w:val="superscript"/>
        </w:rPr>
        <w:footnoteReference w:id="76"/>
      </w:r>
      <w:r w:rsidRPr="00D42A51">
        <w:t xml:space="preserve">  Similarly, in 1996’s </w:t>
      </w:r>
      <w:r w:rsidRPr="00D42A51">
        <w:rPr>
          <w:i/>
        </w:rPr>
        <w:t>Bennis v. United States</w:t>
      </w:r>
      <w:r w:rsidRPr="00D42A51">
        <w:t>, the U.S. Supreme Court u</w:t>
      </w:r>
      <w:r w:rsidR="003D4CE1">
        <w:t xml:space="preserve">pheld the </w:t>
      </w:r>
      <w:r w:rsidR="009A4683">
        <w:t xml:space="preserve">judicial </w:t>
      </w:r>
      <w:r w:rsidR="003D4CE1">
        <w:t>sale of a car used to facilitate</w:t>
      </w:r>
      <w:r w:rsidRPr="00D42A51">
        <w:t xml:space="preserve"> prostitution under the Fourteenth and Fifth Amendments, after the vehicle was confiscated under the Michigan nuisance abatement statute.</w:t>
      </w:r>
      <w:r w:rsidRPr="00D42A51">
        <w:rPr>
          <w:vertAlign w:val="superscript"/>
        </w:rPr>
        <w:footnoteReference w:id="77"/>
      </w:r>
      <w:r w:rsidRPr="00D42A51">
        <w:t xml:space="preserve">  The </w:t>
      </w:r>
      <w:r w:rsidRPr="00D42A51">
        <w:rPr>
          <w:i/>
        </w:rPr>
        <w:t xml:space="preserve">Bennis </w:t>
      </w:r>
      <w:r w:rsidRPr="00D42A51">
        <w:t xml:space="preserve">Court recognized a long line </w:t>
      </w:r>
      <w:r w:rsidRPr="00D42A51">
        <w:lastRenderedPageBreak/>
        <w:t>of cases permitting forfeiture when properties were used in connection with crimes ranging from privateering</w:t>
      </w:r>
      <w:r w:rsidRPr="00D42A51">
        <w:rPr>
          <w:vertAlign w:val="superscript"/>
        </w:rPr>
        <w:footnoteReference w:id="78"/>
      </w:r>
      <w:r w:rsidRPr="00D42A51">
        <w:t xml:space="preserve"> to liquor smuggling.</w:t>
      </w:r>
      <w:r w:rsidRPr="00D42A51">
        <w:rPr>
          <w:vertAlign w:val="superscript"/>
        </w:rPr>
        <w:footnoteReference w:id="79"/>
      </w:r>
      <w:r w:rsidRPr="00D42A51">
        <w:t xml:space="preserve">   </w:t>
      </w:r>
    </w:p>
    <w:p w:rsidR="00E079CE" w:rsidRDefault="00D42A51" w:rsidP="00EA738D">
      <w:pPr>
        <w:spacing w:line="480" w:lineRule="auto"/>
        <w:ind w:firstLine="720"/>
      </w:pPr>
      <w:r>
        <w:t xml:space="preserve">However, as I will show in the next section, </w:t>
      </w:r>
      <w:r w:rsidR="009A4683">
        <w:t xml:space="preserve">little to </w:t>
      </w:r>
      <w:r>
        <w:t xml:space="preserve">no authority exists allowing for the seizure of titles to </w:t>
      </w:r>
      <w:r w:rsidR="00D45CEA">
        <w:t xml:space="preserve">real </w:t>
      </w:r>
      <w:r>
        <w:t xml:space="preserve">property </w:t>
      </w:r>
      <w:r w:rsidR="00D45CEA">
        <w:t>under nuisance laws where the property</w:t>
      </w:r>
      <w:r>
        <w:t xml:space="preserve"> has not been used in the commission of </w:t>
      </w:r>
      <w:r w:rsidR="00D45CEA">
        <w:t>crimes</w:t>
      </w:r>
      <w:r>
        <w:t>.</w:t>
      </w:r>
      <w:r>
        <w:rPr>
          <w:rStyle w:val="FootnoteReference"/>
        </w:rPr>
        <w:footnoteReference w:id="80"/>
      </w:r>
      <w:r>
        <w:t xml:space="preserve">  This threatens a Constitutional crisis in present and future Detroit, as the Task Force recommends not only demolition of blighted or blight-indicated properties, but also their titles’ transfer to the Detroit Land Bank Authority, so that they can be purchased by wealthier people.</w:t>
      </w:r>
      <w:r>
        <w:rPr>
          <w:rStyle w:val="FootnoteReference"/>
        </w:rPr>
        <w:footnoteReference w:id="81"/>
      </w:r>
      <w:r>
        <w:t xml:space="preserve"> </w:t>
      </w:r>
      <w:r w:rsidR="00E079CE">
        <w:t xml:space="preserve">This brings their proposal into direct confrontation with </w:t>
      </w:r>
      <w:r>
        <w:t>Fifth Amendment jurisprudence prohibiting takings without the payment of adequate compensation.</w:t>
      </w:r>
      <w:r w:rsidR="00987B13">
        <w:t xml:space="preserve"> </w:t>
      </w:r>
      <w:r w:rsidR="009D7532">
        <w:t xml:space="preserve"> And yet, as I will also discuss, if the city proceeded to condemn blighted properties under the power of eminent domain, </w:t>
      </w:r>
      <w:r w:rsidR="00A76C71">
        <w:t xml:space="preserve">this exercise would confront tremendous, possibly fatal, legal obstacles on account of the high bar set by </w:t>
      </w:r>
      <w:r w:rsidR="009D7532">
        <w:t>the 20</w:t>
      </w:r>
      <w:r w:rsidR="00A76C71">
        <w:t>06 Michigan Constitutional reforms</w:t>
      </w:r>
      <w:r w:rsidR="009D7532">
        <w:t>.</w:t>
      </w:r>
    </w:p>
    <w:p w:rsidR="00E079CE" w:rsidRPr="00E079CE" w:rsidRDefault="00E079CE" w:rsidP="00EA738D">
      <w:pPr>
        <w:spacing w:line="480" w:lineRule="auto"/>
        <w:ind w:firstLine="720"/>
      </w:pPr>
    </w:p>
    <w:p w:rsidR="00BD3D61" w:rsidRPr="008735B4" w:rsidRDefault="00B07F06" w:rsidP="00EA738D">
      <w:pPr>
        <w:spacing w:line="480" w:lineRule="auto"/>
        <w:ind w:firstLine="720"/>
        <w:rPr>
          <w:i/>
        </w:rPr>
      </w:pPr>
      <w:r w:rsidRPr="008735B4">
        <w:rPr>
          <w:i/>
        </w:rPr>
        <w:t>III</w:t>
      </w:r>
      <w:r w:rsidR="00A72D88" w:rsidRPr="008735B4">
        <w:rPr>
          <w:i/>
        </w:rPr>
        <w:t xml:space="preserve">. </w:t>
      </w:r>
      <w:r w:rsidR="00861914" w:rsidRPr="008735B4">
        <w:rPr>
          <w:i/>
        </w:rPr>
        <w:t xml:space="preserve"> The Blight Removal Task Force</w:t>
      </w:r>
      <w:r w:rsidR="00A72D88" w:rsidRPr="008735B4">
        <w:rPr>
          <w:i/>
        </w:rPr>
        <w:t xml:space="preserve"> and its plans</w:t>
      </w:r>
    </w:p>
    <w:p w:rsidR="00B07F06" w:rsidRPr="00B07F06" w:rsidRDefault="00616B46" w:rsidP="00EA738D">
      <w:pPr>
        <w:spacing w:line="480" w:lineRule="auto"/>
        <w:ind w:firstLine="720"/>
      </w:pPr>
      <w:r>
        <w:t>“You can’t be a city full of</w:t>
      </w:r>
      <w:r w:rsidR="00B07F06" w:rsidRPr="00B07F06">
        <w:t xml:space="preserve"> poor people forever,” photographer Noah Stephens explains to me as we sit in the downtown Detroit Starbucks.</w:t>
      </w:r>
      <w:r w:rsidR="00B07F06" w:rsidRPr="00B07F06">
        <w:rPr>
          <w:vertAlign w:val="superscript"/>
        </w:rPr>
        <w:footnoteReference w:id="82"/>
      </w:r>
      <w:r w:rsidR="00B07F06" w:rsidRPr="00B07F06">
        <w:t xml:space="preserve">  The coffee shop glows with warm wood, and offers a fragrant cornucopia of baked treats; inoffensive jazz lilts away over the franchise’s speakers.  This Starbucks offers but one proof of Detroit’s storied, if still precarious, comeback:  It opened at One Kennedy Square in April of 2014 to much fanfare, and the </w:t>
      </w:r>
      <w:r w:rsidR="00B07F06" w:rsidRPr="00553100">
        <w:rPr>
          <w:smallCaps/>
        </w:rPr>
        <w:t>Detroit Free Press</w:t>
      </w:r>
      <w:r w:rsidR="00B07F06" w:rsidRPr="00B07F06">
        <w:t xml:space="preserve"> predicted it augured “a momentum of growth in the district once left for dead just five or six years ago as General Motors and </w:t>
      </w:r>
      <w:r w:rsidR="00B07F06" w:rsidRPr="00B07F06">
        <w:lastRenderedPageBreak/>
        <w:t>Chrysler declared bankruptcy during the Great Recession.”</w:t>
      </w:r>
      <w:r w:rsidR="00B07F06" w:rsidRPr="00B07F06">
        <w:rPr>
          <w:vertAlign w:val="superscript"/>
        </w:rPr>
        <w:footnoteReference w:id="83"/>
      </w:r>
      <w:r w:rsidR="00B07F06" w:rsidRPr="00B07F06">
        <w:t xml:space="preserve">  Noah likes to work on his projects at the coffee shop.  One of these enterprises is his blog, </w:t>
      </w:r>
      <w:r w:rsidR="00B07F06" w:rsidRPr="00F0101E">
        <w:rPr>
          <w:smallCaps/>
        </w:rPr>
        <w:t>The People of Detroit</w:t>
      </w:r>
      <w:r w:rsidR="00B07F06" w:rsidRPr="00B07F06">
        <w:t>, which features images of the vibrant Detroiters whom Noah finds unheralded in the typically doomful news reportage about his city.</w:t>
      </w:r>
      <w:r w:rsidR="00B07F06" w:rsidRPr="00B07F06">
        <w:rPr>
          <w:vertAlign w:val="superscript"/>
        </w:rPr>
        <w:footnoteReference w:id="84"/>
      </w:r>
      <w:r w:rsidR="00B07F06" w:rsidRPr="00B07F06">
        <w:t xml:space="preserve">  </w:t>
      </w:r>
    </w:p>
    <w:p w:rsidR="00B07F06" w:rsidRPr="00B07F06" w:rsidRDefault="00B07F06" w:rsidP="00EA738D">
      <w:pPr>
        <w:spacing w:line="480" w:lineRule="auto"/>
        <w:ind w:firstLine="720"/>
      </w:pPr>
      <w:r>
        <w:t xml:space="preserve">Noah is an African-American photographer and social critic </w:t>
      </w:r>
      <w:r w:rsidRPr="00B07F06">
        <w:t xml:space="preserve">who regards </w:t>
      </w:r>
      <w:r>
        <w:t xml:space="preserve">reformers like me with </w:t>
      </w:r>
      <w:r w:rsidRPr="00B07F06">
        <w:t xml:space="preserve">skepticism.  He tilts his head at me as if detecting a vexing fragrance </w:t>
      </w:r>
      <w:r>
        <w:t>as I tell him my theory that Detroit’s about to be turned into a fortress.</w:t>
      </w:r>
      <w:r w:rsidRPr="00B07F06">
        <w:t xml:space="preserve">  “But we </w:t>
      </w:r>
      <w:r w:rsidRPr="00B07F06">
        <w:rPr>
          <w:i/>
        </w:rPr>
        <w:t>need</w:t>
      </w:r>
      <w:r w:rsidRPr="00B07F06">
        <w:t xml:space="preserve"> a tax base,” </w:t>
      </w:r>
      <w:r>
        <w:t>he says in a</w:t>
      </w:r>
      <w:r w:rsidRPr="00B07F06">
        <w:t xml:space="preserve"> deep staccato while sipping his coffee.  He smiles often, despite his prickliness.  “So these new people who are moving in, hopefully they’re paying taxes, hopefully they’re buying property and that’s going to increase tax bases and lead to increased city coffers that will lead to </w:t>
      </w:r>
      <w:r w:rsidR="00F0101E">
        <w:t>improved services for everybody</w:t>
      </w:r>
      <w:r w:rsidRPr="00B07F06">
        <w:t xml:space="preserve">.”  </w:t>
      </w:r>
    </w:p>
    <w:p w:rsidR="00B07F06" w:rsidRPr="00B07F06" w:rsidRDefault="00B07F06" w:rsidP="00EA738D">
      <w:pPr>
        <w:spacing w:line="480" w:lineRule="auto"/>
        <w:ind w:firstLine="720"/>
      </w:pPr>
      <w:r w:rsidRPr="00B07F06">
        <w:t>Noah shrugs</w:t>
      </w:r>
      <w:r w:rsidR="005976A7">
        <w:t xml:space="preserve"> as I mumble </w:t>
      </w:r>
      <w:r w:rsidR="007422AF">
        <w:t>that poor people are likely to be left behind in Brave New Detroit.  “</w:t>
      </w:r>
      <w:r w:rsidR="00282E38">
        <w:t xml:space="preserve">Look.  </w:t>
      </w:r>
      <w:r w:rsidRPr="00B07F06">
        <w:t xml:space="preserve">There’s this guy I used to be Facebook friends with.  Everything for him is an evil conspiracy by ‘them’ and ‘they’ and it just drives me insane.  I unfriended him.  Everything is a post-apocalyptic [nightmare] for this guy.  I’m like, look, it’s </w:t>
      </w:r>
      <w:r w:rsidRPr="00B07F06">
        <w:rPr>
          <w:i/>
        </w:rPr>
        <w:t>good</w:t>
      </w:r>
      <w:r w:rsidRPr="00B07F06">
        <w:t xml:space="preserve"> to have private security, police, in a neighborhood.  That’s a good thing because it helps tamp down on people who would take advantage of people otherwise -- as long as they’re not being abusive.  It’s </w:t>
      </w:r>
      <w:r w:rsidRPr="00B07F06">
        <w:rPr>
          <w:i/>
        </w:rPr>
        <w:t>good</w:t>
      </w:r>
      <w:r w:rsidRPr="00B07F06">
        <w:t xml:space="preserve"> to have a security presence -- that’s what makes a developed place different than a place where anarchy reigns then you just have whoever has the biggest gun wins.”</w:t>
      </w:r>
    </w:p>
    <w:p w:rsidR="00B07F06" w:rsidRPr="00B07F06" w:rsidRDefault="00B07F06" w:rsidP="00EA738D">
      <w:pPr>
        <w:spacing w:line="480" w:lineRule="auto"/>
        <w:ind w:firstLine="720"/>
      </w:pPr>
      <w:r w:rsidRPr="00B07F06">
        <w:t xml:space="preserve">I understand that I am being lumped in with paranoiacs who believe in black helicopters and New World Order cabals.  But </w:t>
      </w:r>
      <w:r>
        <w:t xml:space="preserve">despite my conviction to see things from other people’s perspectives </w:t>
      </w:r>
      <w:r w:rsidRPr="00B07F06">
        <w:t xml:space="preserve">I </w:t>
      </w:r>
      <w:r w:rsidR="007422AF">
        <w:t>continue badgering Noah</w:t>
      </w:r>
      <w:r>
        <w:t xml:space="preserve"> until he</w:t>
      </w:r>
      <w:r w:rsidRPr="00B07F06">
        <w:t xml:space="preserve"> admits that he “does feel sorry for people who are old and who are handicapped.”  He doesn’t wish them exiled by the Camelot that might grow in the supposed “blank </w:t>
      </w:r>
      <w:r w:rsidRPr="00B07F06">
        <w:lastRenderedPageBreak/>
        <w:t>slate”</w:t>
      </w:r>
      <w:r w:rsidRPr="00B07F06">
        <w:rPr>
          <w:vertAlign w:val="superscript"/>
        </w:rPr>
        <w:footnoteReference w:id="85"/>
      </w:r>
      <w:r w:rsidRPr="00B07F06">
        <w:t xml:space="preserve"> </w:t>
      </w:r>
      <w:r w:rsidR="00F0101E">
        <w:t xml:space="preserve">seized and </w:t>
      </w:r>
      <w:r w:rsidRPr="00B07F06">
        <w:t xml:space="preserve">cleared by </w:t>
      </w:r>
      <w:r w:rsidR="003D4CE1">
        <w:t xml:space="preserve">city officials who follow </w:t>
      </w:r>
      <w:r w:rsidRPr="00B07F06">
        <w:t>the Task Force</w:t>
      </w:r>
      <w:r w:rsidR="003D4CE1">
        <w:t>’s recommendations</w:t>
      </w:r>
      <w:r w:rsidRPr="00B07F06">
        <w:t xml:space="preserve">.  But he also explains that he’s not losing much sleep over the futures of “young people,” who he thinks </w:t>
      </w:r>
      <w:r w:rsidR="005976A7">
        <w:t>should find their own way in the refurbished city</w:t>
      </w:r>
      <w:r w:rsidRPr="00B07F06">
        <w:t xml:space="preserve">. </w:t>
      </w:r>
    </w:p>
    <w:p w:rsidR="00B07F06" w:rsidRPr="00B07F06" w:rsidRDefault="00B07F06" w:rsidP="00EA738D">
      <w:pPr>
        <w:spacing w:line="480" w:lineRule="auto"/>
        <w:ind w:firstLine="720"/>
      </w:pPr>
      <w:r w:rsidRPr="00B07F06">
        <w:t xml:space="preserve">“You can’t discount the </w:t>
      </w:r>
      <w:r w:rsidRPr="00B07F06">
        <w:rPr>
          <w:i/>
        </w:rPr>
        <w:t>agency</w:t>
      </w:r>
      <w:r w:rsidRPr="00B07F06">
        <w:t xml:space="preserve"> of people,” he emphasizes.  “I feel like there’s a certain paternalistic condescending perspective, usually from the left, that says:  ‘Oh no, these poor Black people, they’re just hapless victims of circumstance.’  Well, no, sometimes poor Black people, just like rich White people, make bad decisions.  So let’s try to encourage people to make the right decisions, and that’s how I think you’ll see change.”  </w:t>
      </w:r>
    </w:p>
    <w:p w:rsidR="00B07F06" w:rsidRPr="00B07F06" w:rsidRDefault="00B07F06" w:rsidP="00EA738D">
      <w:pPr>
        <w:spacing w:line="480" w:lineRule="auto"/>
        <w:ind w:firstLine="720"/>
      </w:pPr>
      <w:r w:rsidRPr="00B07F06">
        <w:t xml:space="preserve">The biggest change Noah hankers for concerns </w:t>
      </w:r>
      <w:r w:rsidR="00E471EC">
        <w:t>deterring early parenthood</w:t>
      </w:r>
      <w:r w:rsidR="007422AF">
        <w:t>, which he believes constitutes the city’s greatest cause of poverty</w:t>
      </w:r>
      <w:r w:rsidR="00282E38">
        <w:t>.  I ask him which</w:t>
      </w:r>
      <w:r w:rsidRPr="00B07F06">
        <w:t xml:space="preserve"> </w:t>
      </w:r>
      <w:r w:rsidR="005976A7">
        <w:t>reforms</w:t>
      </w:r>
      <w:r w:rsidRPr="00B07F06">
        <w:t xml:space="preserve"> he would make if given the reins, and his eyes widen with glee.  “Oh, </w:t>
      </w:r>
      <w:r w:rsidRPr="00B07F06">
        <w:rPr>
          <w:i/>
        </w:rPr>
        <w:t>all</w:t>
      </w:r>
      <w:r w:rsidRPr="00B07F06">
        <w:t xml:space="preserve"> the liquor stores and churches would be replaced by planned parenthoods.</w:t>
      </w:r>
      <w:r w:rsidRPr="00B07F06">
        <w:rPr>
          <w:vertAlign w:val="superscript"/>
        </w:rPr>
        <w:footnoteReference w:id="86"/>
      </w:r>
      <w:r w:rsidRPr="00B07F06">
        <w:t xml:space="preserve">  </w:t>
      </w:r>
      <w:r w:rsidRPr="00B07F06">
        <w:rPr>
          <w:i/>
        </w:rPr>
        <w:t>And</w:t>
      </w:r>
      <w:r w:rsidRPr="00B07F06">
        <w:t xml:space="preserve"> education would be funded not based on local tax bases but federally.  So all schools would have equal resources and zero-to-three parenting classes would be standard everywhere.”</w:t>
      </w:r>
    </w:p>
    <w:p w:rsidR="00B07F06" w:rsidRPr="00B07F06" w:rsidRDefault="00B07F06" w:rsidP="00EA738D">
      <w:pPr>
        <w:spacing w:line="480" w:lineRule="auto"/>
        <w:ind w:firstLine="720"/>
      </w:pPr>
      <w:r w:rsidRPr="00B07F06">
        <w:lastRenderedPageBreak/>
        <w:t>“You’re sounding a little more communitarian on the education front</w:t>
      </w:r>
      <w:r w:rsidR="00E471EC">
        <w:t xml:space="preserve"> than on family planning</w:t>
      </w:r>
      <w:r w:rsidRPr="00B07F06">
        <w:t>,” I offer</w:t>
      </w:r>
      <w:r w:rsidR="00E471EC">
        <w:t xml:space="preserve"> as an understatement.  </w:t>
      </w:r>
    </w:p>
    <w:p w:rsidR="00B07F06" w:rsidRPr="00B07F06" w:rsidRDefault="00B07F06" w:rsidP="00EA738D">
      <w:pPr>
        <w:spacing w:line="480" w:lineRule="auto"/>
        <w:ind w:firstLine="720"/>
      </w:pPr>
      <w:r w:rsidRPr="00B07F06">
        <w:t>Noah laughs. “It’s possible that we don’t see things in a completely different way.”  I confess as much as well, particularly as I’ve found his photogra</w:t>
      </w:r>
      <w:r w:rsidR="00F0101E">
        <w:t xml:space="preserve">phy so compelling.  Noah began </w:t>
      </w:r>
      <w:r w:rsidR="00F0101E" w:rsidRPr="00F0101E">
        <w:rPr>
          <w:smallCaps/>
        </w:rPr>
        <w:t>T</w:t>
      </w:r>
      <w:r w:rsidRPr="00F0101E">
        <w:rPr>
          <w:smallCaps/>
        </w:rPr>
        <w:t>he People of Detroit</w:t>
      </w:r>
      <w:r w:rsidRPr="00B07F06">
        <w:t xml:space="preserve"> in 2010</w:t>
      </w:r>
      <w:r w:rsidRPr="00B07F06">
        <w:rPr>
          <w:vertAlign w:val="superscript"/>
        </w:rPr>
        <w:footnoteReference w:id="87"/>
      </w:r>
      <w:r w:rsidRPr="00B07F06">
        <w:t xml:space="preserve"> as a response to “ruin porn,” that is, the </w:t>
      </w:r>
      <w:r w:rsidR="001764D8">
        <w:t>images</w:t>
      </w:r>
      <w:r w:rsidRPr="00B07F06">
        <w:t xml:space="preserve"> that pass as Detroit photojournalism</w:t>
      </w:r>
      <w:r w:rsidRPr="00B07F06">
        <w:rPr>
          <w:vertAlign w:val="superscript"/>
        </w:rPr>
        <w:footnoteReference w:id="88"/>
      </w:r>
      <w:r w:rsidRPr="00B07F06">
        <w:t xml:space="preserve"> in their displays of filth and abjection.</w:t>
      </w:r>
      <w:r w:rsidRPr="00B07F06">
        <w:rPr>
          <w:vertAlign w:val="superscript"/>
        </w:rPr>
        <w:footnoteReference w:id="89"/>
      </w:r>
      <w:r w:rsidRPr="00B07F06">
        <w:t xml:space="preserve">  A</w:t>
      </w:r>
      <w:r w:rsidR="007422AF">
        <w:t xml:space="preserve">s a riposte to these </w:t>
      </w:r>
      <w:r w:rsidR="001764D8">
        <w:t>spectacles</w:t>
      </w:r>
      <w:r w:rsidRPr="00B07F06">
        <w:t>, Noah works with humanizing portraiture.  I’ve been thinking a lot about one particular image on his blog:  This portrait is of Dezey, a gay teen whom Noah photographed during a stay at the Ruth Ellis Center, a social service agency that gives shelter to LGBT homeless youth.</w:t>
      </w:r>
      <w:r w:rsidRPr="00B07F06">
        <w:rPr>
          <w:vertAlign w:val="superscript"/>
        </w:rPr>
        <w:footnoteReference w:id="90"/>
      </w:r>
    </w:p>
    <w:p w:rsidR="00B07F06" w:rsidRPr="00B07F06" w:rsidRDefault="00B07F06" w:rsidP="00EA738D">
      <w:pPr>
        <w:spacing w:line="480" w:lineRule="auto"/>
        <w:ind w:firstLine="720"/>
      </w:pPr>
    </w:p>
    <w:p w:rsidR="00B07F06" w:rsidRPr="00B07F06" w:rsidRDefault="00B07F06" w:rsidP="00EA738D">
      <w:pPr>
        <w:spacing w:line="480" w:lineRule="auto"/>
        <w:ind w:firstLine="720"/>
      </w:pPr>
    </w:p>
    <w:p w:rsidR="00B07F06" w:rsidRPr="00B07F06" w:rsidRDefault="00B07F06" w:rsidP="00EA738D">
      <w:pPr>
        <w:spacing w:line="480" w:lineRule="auto"/>
        <w:ind w:firstLine="720"/>
      </w:pPr>
    </w:p>
    <w:p w:rsidR="00B07F06" w:rsidRPr="00B07F06" w:rsidRDefault="00B07F06" w:rsidP="00EA738D">
      <w:pPr>
        <w:spacing w:line="480" w:lineRule="auto"/>
        <w:ind w:firstLine="720"/>
      </w:pPr>
    </w:p>
    <w:p w:rsidR="00B07F06" w:rsidRPr="00B07F06" w:rsidRDefault="00B07F06" w:rsidP="00EA738D">
      <w:pPr>
        <w:spacing w:line="480" w:lineRule="auto"/>
        <w:ind w:firstLine="720"/>
      </w:pPr>
    </w:p>
    <w:p w:rsidR="00B07F06" w:rsidRPr="00B07F06" w:rsidRDefault="00B07F06" w:rsidP="00EA738D">
      <w:pPr>
        <w:spacing w:line="480" w:lineRule="auto"/>
        <w:ind w:firstLine="720"/>
      </w:pPr>
    </w:p>
    <w:p w:rsidR="00B07F06" w:rsidRPr="00B07F06" w:rsidRDefault="00B07F06" w:rsidP="00EA738D">
      <w:pPr>
        <w:spacing w:line="480" w:lineRule="auto"/>
        <w:ind w:firstLine="720"/>
        <w:rPr>
          <w:i/>
        </w:rPr>
      </w:pPr>
    </w:p>
    <w:p w:rsidR="00B07F06" w:rsidRPr="00B07F06" w:rsidRDefault="00B07F06" w:rsidP="00EA738D">
      <w:pPr>
        <w:spacing w:line="480" w:lineRule="auto"/>
        <w:ind w:firstLine="720"/>
      </w:pPr>
      <w:r w:rsidRPr="00B07F06">
        <w:rPr>
          <w:noProof/>
        </w:rPr>
        <w:lastRenderedPageBreak/>
        <w:drawing>
          <wp:inline distT="0" distB="0" distL="0" distR="0" wp14:anchorId="49C2BA09" wp14:editId="4E67CF00">
            <wp:extent cx="5943600" cy="5943600"/>
            <wp:effectExtent l="0" t="0" r="0" b="0"/>
            <wp:docPr id="9" name="Picture 9" descr="http://1.bp.blogspot.com/-aV54ab0UDkg/T4ixDrwVEuI/AAAAAAAABD8/oAIWAbGfEGI/s640/ruthellis2_final_crop_2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aV54ab0UDkg/T4ixDrwVEuI/AAAAAAAABD8/oAIWAbGfEGI/s640/ruthellis2_final_crop_2_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B07F06">
        <w:rPr>
          <w:vertAlign w:val="superscript"/>
        </w:rPr>
        <w:footnoteReference w:id="91"/>
      </w:r>
    </w:p>
    <w:p w:rsidR="00B07F06" w:rsidRPr="00B07F06" w:rsidRDefault="00B07F06" w:rsidP="00EA738D">
      <w:pPr>
        <w:spacing w:line="480" w:lineRule="auto"/>
        <w:ind w:firstLine="720"/>
      </w:pPr>
      <w:r w:rsidRPr="00B07F06">
        <w:t xml:space="preserve">Noah tells me the little he knows about Dezey – </w:t>
      </w:r>
      <w:r w:rsidR="007422AF">
        <w:t>that he</w:t>
      </w:r>
      <w:r w:rsidR="001764D8">
        <w:t xml:space="preserve"> </w:t>
      </w:r>
      <w:r w:rsidRPr="00B07F06">
        <w:t xml:space="preserve">probably sought shelter at Ruth Ellis because “in the Black community there’s a lot of religiosity and as a consequence there’s a lot of regressive thinking about homosexuality,” and sometimes kids get kicked out of their homes.  </w:t>
      </w:r>
    </w:p>
    <w:p w:rsidR="00B07F06" w:rsidRPr="00B07F06" w:rsidRDefault="00B07F06" w:rsidP="00EA738D">
      <w:pPr>
        <w:spacing w:line="480" w:lineRule="auto"/>
        <w:ind w:firstLine="720"/>
      </w:pPr>
      <w:r w:rsidRPr="00B07F06">
        <w:lastRenderedPageBreak/>
        <w:t xml:space="preserve">Dezey’s story makes both Noah and me feel bad, and silence falls between us.  “I’ve written that blight is a racist construct that shouldn’t be used as a justification for condemnations,” I </w:t>
      </w:r>
      <w:r w:rsidR="007422AF">
        <w:t>finally pipe up</w:t>
      </w:r>
      <w:r w:rsidRPr="00B07F06">
        <w:t>.  All of a sudden, I sound like a law professor</w:t>
      </w:r>
      <w:r w:rsidR="00E471EC">
        <w:t>.  T</w:t>
      </w:r>
      <w:r w:rsidRPr="00B07F06">
        <w:t xml:space="preserve">he word “construct” </w:t>
      </w:r>
      <w:r w:rsidR="00E471EC">
        <w:t xml:space="preserve">doesn’t belong </w:t>
      </w:r>
      <w:r w:rsidRPr="00B07F06">
        <w:t xml:space="preserve">in ordinary conversation and I worry my legal training has </w:t>
      </w:r>
      <w:r w:rsidR="00E471EC">
        <w:t xml:space="preserve">dented my </w:t>
      </w:r>
      <w:r w:rsidR="001764D8">
        <w:t>ability to connect with people</w:t>
      </w:r>
      <w:r w:rsidRPr="00B07F06">
        <w:t>.  Among other problems, that</w:t>
      </w:r>
      <w:r w:rsidR="001764D8">
        <w:t xml:space="preserve"> would defeat my jurisprudential goals</w:t>
      </w:r>
      <w:r w:rsidRPr="00B07F06">
        <w:t xml:space="preserve">.  “In the 2000’s, ‘blight’ was used to evict people in Manhattanville, New York, which was a perfectly fine neighborhood until Columbia University </w:t>
      </w:r>
      <w:r w:rsidR="00D53DA9">
        <w:t>dropped</w:t>
      </w:r>
      <w:r w:rsidRPr="00B07F06">
        <w:t xml:space="preserve"> a satellite campus there.</w:t>
      </w:r>
      <w:r w:rsidR="007422AF">
        <w:rPr>
          <w:rStyle w:val="FootnoteReference"/>
        </w:rPr>
        <w:footnoteReference w:id="92"/>
      </w:r>
      <w:r w:rsidRPr="00B07F06">
        <w:t xml:space="preserve">  ‘Blight’ was an excuse for a land grab.  And not only in Manhattanville – there’ve been similar problems in Atlantic Yards,</w:t>
      </w:r>
      <w:r w:rsidR="007422AF">
        <w:rPr>
          <w:rStyle w:val="FootnoteReference"/>
        </w:rPr>
        <w:footnoteReference w:id="93"/>
      </w:r>
      <w:r w:rsidRPr="00B07F06">
        <w:t xml:space="preserve"> and the Lower East Side,</w:t>
      </w:r>
      <w:r w:rsidR="007422AF">
        <w:rPr>
          <w:rStyle w:val="FootnoteReference"/>
        </w:rPr>
        <w:footnoteReference w:id="94"/>
      </w:r>
      <w:r w:rsidRPr="00B07F06">
        <w:t xml:space="preserve"> and Poletown, Detroit,</w:t>
      </w:r>
      <w:r w:rsidR="007422AF">
        <w:rPr>
          <w:rStyle w:val="FootnoteReference"/>
        </w:rPr>
        <w:footnoteReference w:id="95"/>
      </w:r>
      <w:r w:rsidRPr="00B07F06">
        <w:t xml:space="preserve"> and D.C.</w:t>
      </w:r>
      <w:r w:rsidR="007422AF">
        <w:rPr>
          <w:rStyle w:val="FootnoteReference"/>
        </w:rPr>
        <w:footnoteReference w:id="96"/>
      </w:r>
      <w:r w:rsidRPr="00B07F06">
        <w:t xml:space="preserve">  In all of those cases, I don’t really think ‘blight’ existed except in the fantasies of developers.”</w:t>
      </w:r>
    </w:p>
    <w:p w:rsidR="00B07F06" w:rsidRPr="00B07F06" w:rsidRDefault="00B07F06" w:rsidP="00EA738D">
      <w:pPr>
        <w:spacing w:line="480" w:lineRule="auto"/>
        <w:ind w:firstLine="720"/>
      </w:pPr>
      <w:r w:rsidRPr="00B07F06">
        <w:t xml:space="preserve">Noah fixes me with a long look.  He’s a good listener, and is fine with my language, but not with my meaning. “But you don’t think that’s happening here, right?”  </w:t>
      </w:r>
    </w:p>
    <w:p w:rsidR="00B07F06" w:rsidRPr="00B07F06" w:rsidRDefault="00B07F06" w:rsidP="00EA738D">
      <w:pPr>
        <w:spacing w:line="480" w:lineRule="auto"/>
        <w:ind w:firstLine="720"/>
      </w:pPr>
      <w:r w:rsidRPr="00B07F06">
        <w:t>I think again about the trashed homes and destroyed streets just a few blocks away from the pretty park.</w:t>
      </w:r>
    </w:p>
    <w:p w:rsidR="00B07F06" w:rsidRPr="00B07F06" w:rsidRDefault="00B07F06" w:rsidP="00EA738D">
      <w:pPr>
        <w:spacing w:line="480" w:lineRule="auto"/>
        <w:ind w:firstLine="720"/>
      </w:pPr>
      <w:r w:rsidRPr="00B07F06">
        <w:t>“Detroit is different,” I say.</w:t>
      </w:r>
    </w:p>
    <w:p w:rsidR="00B07F06" w:rsidRPr="00B07F06" w:rsidRDefault="00B07F06" w:rsidP="00EA738D">
      <w:pPr>
        <w:spacing w:line="480" w:lineRule="auto"/>
        <w:ind w:firstLine="720"/>
      </w:pPr>
      <w:r w:rsidRPr="00B07F06">
        <w:t>“Yes it is,</w:t>
      </w:r>
      <w:r w:rsidR="007422AF">
        <w:t xml:space="preserve"> Yxta,</w:t>
      </w:r>
      <w:r w:rsidRPr="00B07F06">
        <w:t>” he replies.   “Here, it’s happening for real.”</w:t>
      </w:r>
    </w:p>
    <w:p w:rsidR="00B07F06" w:rsidRDefault="00B07F06" w:rsidP="00EA738D">
      <w:pPr>
        <w:spacing w:line="480" w:lineRule="auto"/>
        <w:ind w:firstLine="720"/>
      </w:pPr>
    </w:p>
    <w:p w:rsidR="00B07F06" w:rsidRDefault="00282E38" w:rsidP="00EA738D">
      <w:pPr>
        <w:spacing w:line="480" w:lineRule="auto"/>
        <w:ind w:firstLine="720"/>
      </w:pPr>
      <w:r>
        <w:tab/>
      </w:r>
      <w:r>
        <w:tab/>
      </w:r>
      <w:r>
        <w:tab/>
      </w:r>
      <w:r>
        <w:tab/>
      </w:r>
      <w:r>
        <w:tab/>
        <w:t>*</w:t>
      </w:r>
    </w:p>
    <w:p w:rsidR="00282E38" w:rsidRDefault="00282E38" w:rsidP="00EA738D">
      <w:pPr>
        <w:spacing w:line="480" w:lineRule="auto"/>
        <w:ind w:firstLine="720"/>
      </w:pPr>
    </w:p>
    <w:p w:rsidR="00A530CA" w:rsidRPr="00A530CA" w:rsidRDefault="009A4683" w:rsidP="00EA738D">
      <w:pPr>
        <w:spacing w:line="480" w:lineRule="auto"/>
        <w:ind w:firstLine="720"/>
      </w:pPr>
      <w:r>
        <w:lastRenderedPageBreak/>
        <w:t xml:space="preserve">In response to the problems Noah describes, in 2013 </w:t>
      </w:r>
      <w:r w:rsidR="00A72D88" w:rsidRPr="00A72D88">
        <w:t xml:space="preserve">the White House assembled the Detroit Blight Removal Task Force (the “Task Force”), appointing as </w:t>
      </w:r>
      <w:r>
        <w:t xml:space="preserve">its </w:t>
      </w:r>
      <w:r w:rsidR="00A72D88" w:rsidRPr="00A72D88">
        <w:t>chairs billionaire Dan Gilbert, U-Snap-Bac president Linda Smith, and Glenda Price, former Marygrove College president.</w:t>
      </w:r>
      <w:r w:rsidR="00A72D88" w:rsidRPr="00A72D88">
        <w:rPr>
          <w:vertAlign w:val="superscript"/>
        </w:rPr>
        <w:footnoteReference w:id="97"/>
      </w:r>
      <w:r w:rsidR="00A72D88" w:rsidRPr="00A72D88">
        <w:t xml:space="preserve">  </w:t>
      </w:r>
      <w:r w:rsidR="00A530CA" w:rsidRPr="00A530CA">
        <w:t xml:space="preserve">The Task Force possesses no state authority, </w:t>
      </w:r>
      <w:r w:rsidR="00294AE3">
        <w:t>but city officials such as Mayor Mike Duggan warmly embrace its recommendations, par</w:t>
      </w:r>
      <w:r w:rsidR="00E52EFE">
        <w:t xml:space="preserve">ticularly since they </w:t>
      </w:r>
      <w:r w:rsidR="00294AE3">
        <w:t xml:space="preserve">amount to an enhanced version of the condemnation processes </w:t>
      </w:r>
      <w:r w:rsidR="007B01AF">
        <w:t>the DLBA has</w:t>
      </w:r>
      <w:r w:rsidR="00294AE3">
        <w:t xml:space="preserve"> </w:t>
      </w:r>
      <w:r>
        <w:t>used</w:t>
      </w:r>
      <w:r w:rsidR="00294AE3">
        <w:t xml:space="preserve"> to clean up the city for more than a decade already.</w:t>
      </w:r>
      <w:r w:rsidR="00294AE3">
        <w:rPr>
          <w:rStyle w:val="FootnoteReference"/>
        </w:rPr>
        <w:footnoteReference w:id="98"/>
      </w:r>
      <w:r w:rsidR="003D4CE1">
        <w:t xml:space="preserve">  </w:t>
      </w:r>
    </w:p>
    <w:p w:rsidR="00861914" w:rsidRDefault="00A72D88" w:rsidP="00EA738D">
      <w:pPr>
        <w:spacing w:line="480" w:lineRule="auto"/>
        <w:ind w:firstLine="720"/>
      </w:pPr>
      <w:r w:rsidRPr="00A72D88">
        <w:t>The Task Force cherishes the goals of “helping citizens” and “focusing on the people who live and work in Detroit,”</w:t>
      </w:r>
      <w:r w:rsidRPr="00A72D88">
        <w:rPr>
          <w:vertAlign w:val="superscript"/>
        </w:rPr>
        <w:footnoteReference w:id="99"/>
      </w:r>
      <w:r w:rsidRPr="00A72D88">
        <w:t xml:space="preserve"> and sets as its primary objective the razing of forty thousand blighted properties in the city, and possibly </w:t>
      </w:r>
      <w:r w:rsidR="009031F4">
        <w:t>upwards of seventy-two thousand,</w:t>
      </w:r>
      <w:r w:rsidRPr="00A72D88">
        <w:rPr>
          <w:vertAlign w:val="superscript"/>
        </w:rPr>
        <w:footnoteReference w:id="100"/>
      </w:r>
      <w:r w:rsidR="009D7532">
        <w:t xml:space="preserve"> </w:t>
      </w:r>
      <w:r w:rsidR="009031F4">
        <w:t>in under five years.</w:t>
      </w:r>
      <w:r w:rsidR="009031F4">
        <w:rPr>
          <w:rStyle w:val="FootnoteReference"/>
        </w:rPr>
        <w:footnoteReference w:id="101"/>
      </w:r>
      <w:r w:rsidR="009D7532">
        <w:t xml:space="preserve"> </w:t>
      </w:r>
      <w:r w:rsidR="009031F4">
        <w:t xml:space="preserve"> </w:t>
      </w:r>
      <w:r w:rsidRPr="00A72D88">
        <w:t xml:space="preserve">These resolutions irradiate </w:t>
      </w:r>
      <w:r w:rsidRPr="00F0101E">
        <w:rPr>
          <w:smallCaps/>
        </w:rPr>
        <w:t>Time to End</w:t>
      </w:r>
      <w:r w:rsidRPr="00A72D88">
        <w:t xml:space="preserve"> </w:t>
      </w:r>
      <w:r w:rsidRPr="00F0101E">
        <w:rPr>
          <w:smallCaps/>
        </w:rPr>
        <w:t>Blight</w:t>
      </w:r>
      <w:r w:rsidRPr="00A72D88">
        <w:t xml:space="preserve"> (TtEB), the report published by the Task Force on May 27, 2014.</w:t>
      </w:r>
      <w:r w:rsidRPr="00A72D88">
        <w:rPr>
          <w:vertAlign w:val="superscript"/>
        </w:rPr>
        <w:footnoteReference w:id="102"/>
      </w:r>
      <w:r w:rsidRPr="00A72D88">
        <w:t xml:space="preserve">  TtEB synthesizes a research and policy recommendation effort undertaken with Data Driven Detroit and Loveland Technologies.</w:t>
      </w:r>
      <w:r w:rsidRPr="00A72D88">
        <w:rPr>
          <w:vertAlign w:val="superscript"/>
        </w:rPr>
        <w:footnoteReference w:id="103"/>
      </w:r>
      <w:r w:rsidRPr="00A72D88">
        <w:t xml:space="preserve">  These are, respectively, an information-gathering affiliate of the Michigan Nonprofit Association, and a Detroit-based technology company that develops interactive property </w:t>
      </w:r>
      <w:r w:rsidRPr="00A72D88">
        <w:lastRenderedPageBreak/>
        <w:t>mapping systems.</w:t>
      </w:r>
      <w:r w:rsidRPr="00A72D88">
        <w:rPr>
          <w:vertAlign w:val="superscript"/>
        </w:rPr>
        <w:footnoteReference w:id="104"/>
      </w:r>
      <w:r w:rsidRPr="00A72D88">
        <w:t xml:space="preserve">  Data Driven Detroit and Loveland instituted the Motor City Mapping Project (MCM),</w:t>
      </w:r>
      <w:r w:rsidRPr="00A72D88">
        <w:rPr>
          <w:vertAlign w:val="superscript"/>
        </w:rPr>
        <w:footnoteReference w:id="105"/>
      </w:r>
      <w:r w:rsidRPr="00A72D88">
        <w:t xml:space="preserve"> which charted Detroit blight by surveying 380,000 parcels in the city.</w:t>
      </w:r>
      <w:r w:rsidRPr="00A72D88">
        <w:rPr>
          <w:vertAlign w:val="superscript"/>
        </w:rPr>
        <w:footnoteReference w:id="106"/>
      </w:r>
      <w:r w:rsidR="00861914">
        <w:t xml:space="preserve"> </w:t>
      </w:r>
      <w:r w:rsidR="00FB170E" w:rsidRPr="00FB170E">
        <w:t>Blighted properties are those that: 1) are a public nuisance; 2) are an attractive nuisance; 3) are a fire hazard; 4) are dangerous; 6) have had utilities, plumbing, heating or sewage disconnected, destroyed, removed, or rendered ineffective; 6) have been tax-reverted; 7) are owned or under the control of a land bank; 8) have been vacant for five consecutive years and not maintained to code; and 9) have code violations posing a severe and immediate health or safety threat.</w:t>
      </w:r>
      <w:r w:rsidR="00FB170E" w:rsidRPr="00FB170E">
        <w:rPr>
          <w:vertAlign w:val="superscript"/>
        </w:rPr>
        <w:footnoteReference w:id="107"/>
      </w:r>
      <w:r w:rsidR="00FB170E" w:rsidRPr="00FB170E">
        <w:t xml:space="preserve">  Properties posses</w:t>
      </w:r>
      <w:r w:rsidR="002E78E2">
        <w:t>sing blight indications are unoccupied or abandoned and either state-</w:t>
      </w:r>
      <w:r w:rsidR="00FB170E" w:rsidRPr="00FB170E">
        <w:t xml:space="preserve">owned </w:t>
      </w:r>
      <w:r w:rsidR="002E78E2">
        <w:t xml:space="preserve">or </w:t>
      </w:r>
      <w:r w:rsidR="00FB170E" w:rsidRPr="00FB170E">
        <w:t>owned by government sponsored entities such as Fannie Mae and Freddie Mae.</w:t>
      </w:r>
      <w:r w:rsidR="00FB170E" w:rsidRPr="00FB170E">
        <w:rPr>
          <w:vertAlign w:val="superscript"/>
        </w:rPr>
        <w:footnoteReference w:id="108"/>
      </w:r>
      <w:r w:rsidR="00FB170E" w:rsidRPr="00FB170E">
        <w:t xml:space="preserve">  </w:t>
      </w:r>
    </w:p>
    <w:p w:rsidR="004E2397" w:rsidRDefault="00FB170E" w:rsidP="00EA738D">
      <w:pPr>
        <w:spacing w:line="480" w:lineRule="auto"/>
        <w:ind w:firstLine="720"/>
      </w:pPr>
      <w:r w:rsidRPr="00FB170E">
        <w:t>MCM sent out 130 surveyors</w:t>
      </w:r>
      <w:r w:rsidRPr="00FB170E">
        <w:rPr>
          <w:vertAlign w:val="superscript"/>
        </w:rPr>
        <w:footnoteReference w:id="109"/>
      </w:r>
      <w:r w:rsidRPr="00FB170E">
        <w:t xml:space="preserve"> throughout the city, arming them with cameras and questions.  Inquiries included “What is this site used for?” -- the answers including residential, commercial, and industrial.</w:t>
      </w:r>
      <w:r w:rsidRPr="00FB170E">
        <w:rPr>
          <w:vertAlign w:val="superscript"/>
        </w:rPr>
        <w:footnoteReference w:id="110"/>
      </w:r>
      <w:r w:rsidRPr="00FB170E">
        <w:t xml:space="preserve">  Also, “what is the condition of the structure?” – possible answers covered good, fair, poor, and “suggest demolition.”</w:t>
      </w:r>
      <w:r w:rsidRPr="00FB170E">
        <w:rPr>
          <w:vertAlign w:val="superscript"/>
        </w:rPr>
        <w:t xml:space="preserve"> </w:t>
      </w:r>
      <w:r w:rsidRPr="00FB170E">
        <w:rPr>
          <w:vertAlign w:val="superscript"/>
        </w:rPr>
        <w:footnoteReference w:id="111"/>
      </w:r>
      <w:r w:rsidRPr="00FB170E">
        <w:t xml:space="preserve">  MCM also instructed </w:t>
      </w:r>
      <w:r w:rsidR="0053005B">
        <w:t>these “</w:t>
      </w:r>
      <w:r w:rsidRPr="00FB170E">
        <w:t>blexters</w:t>
      </w:r>
      <w:r w:rsidR="0053005B">
        <w:t>” (blight texters)</w:t>
      </w:r>
      <w:r w:rsidRPr="00FB170E">
        <w:t xml:space="preserve"> to identify properties as occupied, unoccupied, or possibly occupied, and to indicate whether structures needed boarding, or suffered fire damaged or looked maintained.</w:t>
      </w:r>
      <w:r w:rsidRPr="00FB170E">
        <w:rPr>
          <w:vertAlign w:val="superscript"/>
        </w:rPr>
        <w:footnoteReference w:id="112"/>
      </w:r>
      <w:r w:rsidRPr="00FB170E">
        <w:t xml:space="preserve">  “Windshield” photographs of structures accompanied findings;</w:t>
      </w:r>
      <w:r w:rsidRPr="00FB170E">
        <w:rPr>
          <w:vertAlign w:val="superscript"/>
        </w:rPr>
        <w:footnoteReference w:id="113"/>
      </w:r>
      <w:r w:rsidRPr="00FB170E">
        <w:t xml:space="preserve"> this term deriv</w:t>
      </w:r>
      <w:r w:rsidR="0053005B">
        <w:t xml:space="preserve">es from the pictures’ </w:t>
      </w:r>
      <w:r w:rsidRPr="00FB170E">
        <w:t xml:space="preserve">curbside orientation. </w:t>
      </w:r>
    </w:p>
    <w:p w:rsidR="00FB170E" w:rsidRPr="00FB170E" w:rsidRDefault="004E2397" w:rsidP="00EA738D">
      <w:pPr>
        <w:spacing w:line="480" w:lineRule="auto"/>
        <w:ind w:firstLine="720"/>
      </w:pPr>
      <w:r>
        <w:lastRenderedPageBreak/>
        <w:t>Interestingly, t</w:t>
      </w:r>
      <w:r w:rsidR="00FB170E" w:rsidRPr="00FB170E">
        <w:t>he blexters appear to harbor hidden but deep disagreements with the Task Force’s conclusions of blight</w:t>
      </w:r>
      <w:r w:rsidR="00282E38">
        <w:t>, or at least how to address it</w:t>
      </w:r>
      <w:r w:rsidR="00FB170E" w:rsidRPr="00FB170E">
        <w:t>.  MCM allows researchers to search within its raw data to discover how many edifices blexters identified as being in poor or “suggested demolition” condition:</w:t>
      </w:r>
      <w:r w:rsidR="00FB170E" w:rsidRPr="00FB170E">
        <w:rPr>
          <w:vertAlign w:val="superscript"/>
        </w:rPr>
        <w:footnoteReference w:id="114"/>
      </w:r>
      <w:r w:rsidR="00FB170E" w:rsidRPr="00FB170E">
        <w:t xml:space="preserve">  Out of the 379,549 surveyed parcels, </w:t>
      </w:r>
      <w:r w:rsidR="00F0101E">
        <w:t xml:space="preserve">blexters </w:t>
      </w:r>
      <w:r w:rsidR="00FB170E" w:rsidRPr="00FB170E">
        <w:t>identified 12,849 as being in poor condition or ripe for demolition.</w:t>
      </w:r>
      <w:r w:rsidR="00FB170E" w:rsidRPr="00FB170E">
        <w:rPr>
          <w:vertAlign w:val="superscript"/>
        </w:rPr>
        <w:footnoteReference w:id="115"/>
      </w:r>
      <w:r w:rsidR="00FB170E" w:rsidRPr="00FB170E">
        <w:t xml:space="preserve">  They suggested 24 occupied residences for demolition,</w:t>
      </w:r>
      <w:r w:rsidR="00FB170E" w:rsidRPr="00FB170E">
        <w:rPr>
          <w:vertAlign w:val="superscript"/>
        </w:rPr>
        <w:footnoteReference w:id="116"/>
      </w:r>
      <w:r w:rsidR="00FB170E" w:rsidRPr="00FB170E">
        <w:t xml:space="preserve"> and identified 440 occupied residences as “poor.”</w:t>
      </w:r>
      <w:r w:rsidR="00FB170E" w:rsidRPr="00FB170E">
        <w:rPr>
          <w:vertAlign w:val="superscript"/>
        </w:rPr>
        <w:footnoteReference w:id="117"/>
      </w:r>
      <w:r w:rsidR="00FB170E" w:rsidRPr="00FB170E">
        <w:t xml:space="preserve">  4,002 unoccupied residences were suggested for demolition,</w:t>
      </w:r>
      <w:r w:rsidR="00FB170E" w:rsidRPr="00FB170E">
        <w:rPr>
          <w:vertAlign w:val="superscript"/>
        </w:rPr>
        <w:footnoteReference w:id="118"/>
      </w:r>
      <w:r w:rsidR="00FB170E" w:rsidRPr="00FB170E">
        <w:t xml:space="preserve"> and 7,439 unoccupied residences were identified as “poor.”</w:t>
      </w:r>
      <w:r w:rsidR="00FB170E" w:rsidRPr="00FB170E">
        <w:rPr>
          <w:vertAlign w:val="superscript"/>
        </w:rPr>
        <w:footnoteReference w:id="119"/>
      </w:r>
      <w:r w:rsidR="00FB170E" w:rsidRPr="00FB170E">
        <w:t xml:space="preserve">  Another important number:  Blexters suggested for demolition only 4,314 structures, whether occupied or unoccupied, residential or commercial.</w:t>
      </w:r>
      <w:r w:rsidR="00FB170E" w:rsidRPr="00FB170E">
        <w:rPr>
          <w:vertAlign w:val="superscript"/>
        </w:rPr>
        <w:footnoteReference w:id="120"/>
      </w:r>
      <w:r w:rsidR="00FB170E" w:rsidRPr="00FB170E">
        <w:t xml:space="preserve">  This low number clashes with the 40,077 structures Blight Reporters tag as ripe for demolition, and the 38,428 structures that bear “indicators of future blight,”</w:t>
      </w:r>
      <w:r w:rsidR="00FB170E" w:rsidRPr="00FB170E">
        <w:rPr>
          <w:vertAlign w:val="superscript"/>
        </w:rPr>
        <w:footnoteReference w:id="121"/>
      </w:r>
    </w:p>
    <w:p w:rsidR="00861914" w:rsidRDefault="00861914" w:rsidP="00EA738D">
      <w:pPr>
        <w:spacing w:line="480" w:lineRule="auto"/>
        <w:ind w:firstLine="720"/>
      </w:pPr>
      <w:r w:rsidRPr="00861914">
        <w:t xml:space="preserve">What accounts for the gap between 4,314 structures blexters wanted demolished and the </w:t>
      </w:r>
      <w:r w:rsidR="00282E38">
        <w:t xml:space="preserve">potentially </w:t>
      </w:r>
      <w:r w:rsidRPr="00861914">
        <w:t>over 72K structures that the Task Force has within its sights?  The survey amounted to only the first stage of analysis.  In the press conference</w:t>
      </w:r>
      <w:r w:rsidR="00FB170E">
        <w:t xml:space="preserve"> that celebrated the publication of T</w:t>
      </w:r>
      <w:r w:rsidR="00FB170E">
        <w:rPr>
          <w:smallCaps/>
        </w:rPr>
        <w:t>tEB</w:t>
      </w:r>
      <w:r w:rsidRPr="00861914">
        <w:t xml:space="preserve">, </w:t>
      </w:r>
      <w:r w:rsidR="00F160F5">
        <w:t xml:space="preserve">Mr. </w:t>
      </w:r>
      <w:r w:rsidRPr="00861914">
        <w:t xml:space="preserve">Gilbert explained that </w:t>
      </w:r>
      <w:r w:rsidR="00FB170E">
        <w:t>MCM</w:t>
      </w:r>
      <w:r w:rsidRPr="00861914">
        <w:t xml:space="preserve"> “merged” blexters’ raw data with 24 other “data sets,”</w:t>
      </w:r>
      <w:r w:rsidRPr="00861914">
        <w:rPr>
          <w:vertAlign w:val="superscript"/>
        </w:rPr>
        <w:footnoteReference w:id="122"/>
      </w:r>
      <w:r w:rsidRPr="00861914">
        <w:t xml:space="preserve"> and the Blight Report clarifies that 16 of these sets helped define blight:  These triggers include factors extracted from the </w:t>
      </w:r>
      <w:r w:rsidRPr="00861914">
        <w:lastRenderedPageBreak/>
        <w:t>2009 Detroit Residential Parcel Survey, the Wayne County Register of Deeds, Detroit’s Dangerous Building list, and the Fannie Mae and Freddie Mac REO Inventories.</w:t>
      </w:r>
      <w:r w:rsidRPr="00861914">
        <w:rPr>
          <w:vertAlign w:val="superscript"/>
        </w:rPr>
        <w:footnoteReference w:id="123"/>
      </w:r>
      <w:r w:rsidRPr="00861914">
        <w:t xml:space="preserve">   </w:t>
      </w:r>
    </w:p>
    <w:p w:rsidR="00F160F5" w:rsidRPr="00A72D88" w:rsidRDefault="00861914" w:rsidP="00EA738D">
      <w:pPr>
        <w:spacing w:line="480" w:lineRule="auto"/>
        <w:ind w:firstLine="720"/>
      </w:pPr>
      <w:r>
        <w:t xml:space="preserve"> </w:t>
      </w:r>
      <w:r w:rsidR="00FB170E">
        <w:t xml:space="preserve">Upon this merging, </w:t>
      </w:r>
      <w:r w:rsidR="00A72D88" w:rsidRPr="00A72D88">
        <w:t xml:space="preserve">TtEB recommends “intervention” in these </w:t>
      </w:r>
      <w:r w:rsidR="00FB170E">
        <w:t xml:space="preserve">up to </w:t>
      </w:r>
      <w:r w:rsidR="00282E38">
        <w:t xml:space="preserve">or more than </w:t>
      </w:r>
      <w:r w:rsidR="00FB170E">
        <w:t xml:space="preserve">72 thousand </w:t>
      </w:r>
      <w:r w:rsidR="00A72D88" w:rsidRPr="00A72D88">
        <w:t>buildings.</w:t>
      </w:r>
      <w:r w:rsidR="00A72D88" w:rsidRPr="00A72D88">
        <w:rPr>
          <w:vertAlign w:val="superscript"/>
        </w:rPr>
        <w:footnoteReference w:id="124"/>
      </w:r>
      <w:r w:rsidR="00A72D88" w:rsidRPr="00A72D88">
        <w:t xml:space="preserve">  </w:t>
      </w:r>
      <w:r w:rsidRPr="00861914">
        <w:t>Intervention may take the form of demolition, restoration, or securing and maintaining the property.</w:t>
      </w:r>
      <w:r w:rsidRPr="00861914">
        <w:rPr>
          <w:vertAlign w:val="superscript"/>
        </w:rPr>
        <w:footnoteReference w:id="125"/>
      </w:r>
      <w:r w:rsidR="003D4CE1">
        <w:t xml:space="preserve">  However, acquisition of title</w:t>
      </w:r>
      <w:r w:rsidR="003D4CE1">
        <w:rPr>
          <w:rStyle w:val="FootnoteReference"/>
        </w:rPr>
        <w:footnoteReference w:id="126"/>
      </w:r>
      <w:r w:rsidR="003D4CE1">
        <w:t xml:space="preserve"> and then demolition </w:t>
      </w:r>
      <w:r w:rsidRPr="00861914">
        <w:t>appears to be the main cure the Task Force imagines for the buildings, as Mr. Gilbert told reporters in September of 2013 that “[w]e have to get it all down.”</w:t>
      </w:r>
      <w:r w:rsidRPr="00861914">
        <w:rPr>
          <w:vertAlign w:val="superscript"/>
        </w:rPr>
        <w:footnoteReference w:id="127"/>
      </w:r>
      <w:r w:rsidRPr="00861914">
        <w:t xml:space="preserve">  </w:t>
      </w:r>
      <w:r w:rsidR="00A72D88" w:rsidRPr="00A72D88">
        <w:t>TtEB allows that 98 percent of blighted properties are “neighborhood structures,” indicating this wholesale</w:t>
      </w:r>
      <w:r w:rsidR="007B01AF">
        <w:t xml:space="preserve"> acquisition and</w:t>
      </w:r>
      <w:r w:rsidR="00A72D88" w:rsidRPr="00A72D88">
        <w:t xml:space="preserve"> removal could have significant community impact.</w:t>
      </w:r>
      <w:r w:rsidR="003D4CE1">
        <w:t xml:space="preserve">  </w:t>
      </w:r>
    </w:p>
    <w:p w:rsidR="0058374F" w:rsidRDefault="00A72D88" w:rsidP="00EA738D">
      <w:pPr>
        <w:spacing w:line="480" w:lineRule="auto"/>
        <w:ind w:firstLine="720"/>
      </w:pPr>
      <w:r w:rsidRPr="00A72D88">
        <w:t xml:space="preserve">The Task Force </w:t>
      </w:r>
      <w:r w:rsidR="00A830CB">
        <w:t xml:space="preserve">does not recommend that the government confiscate this property through the exercise of eminent domain.  Instead, it </w:t>
      </w:r>
      <w:r w:rsidR="0058374F">
        <w:t>submits that it will</w:t>
      </w:r>
      <w:r w:rsidR="003D4CE1">
        <w:t xml:space="preserve"> not only demolish the buildings, but also</w:t>
      </w:r>
      <w:r w:rsidR="0058374F">
        <w:t xml:space="preserve"> </w:t>
      </w:r>
      <w:r w:rsidR="003D4CE1">
        <w:t xml:space="preserve">(I emphasize) </w:t>
      </w:r>
      <w:r w:rsidR="0058374F" w:rsidRPr="003D4CE1">
        <w:rPr>
          <w:i/>
        </w:rPr>
        <w:t>seize titles</w:t>
      </w:r>
      <w:r w:rsidR="0058374F">
        <w:t xml:space="preserve"> to</w:t>
      </w:r>
      <w:r w:rsidRPr="00A72D88">
        <w:t xml:space="preserve"> blighted and blight-indicated properties under </w:t>
      </w:r>
      <w:r w:rsidR="0058374F">
        <w:t>its nuisance abatement program</w:t>
      </w:r>
      <w:r w:rsidR="004928F5">
        <w:t xml:space="preserve"> [NAP]</w:t>
      </w:r>
      <w:r w:rsidR="00F0101E">
        <w:t xml:space="preserve"> and transfer them to the</w:t>
      </w:r>
      <w:r w:rsidR="00133E4E">
        <w:t xml:space="preserve"> Detroit Land Bank Authority (D</w:t>
      </w:r>
      <w:r w:rsidR="00F0101E">
        <w:t>L</w:t>
      </w:r>
      <w:r w:rsidR="00133E4E">
        <w:t>B</w:t>
      </w:r>
      <w:r w:rsidR="00F0101E">
        <w:t>A).</w:t>
      </w:r>
      <w:r w:rsidR="0058374F">
        <w:rPr>
          <w:rStyle w:val="FootnoteReference"/>
        </w:rPr>
        <w:footnoteReference w:id="128"/>
      </w:r>
      <w:r w:rsidR="00F0101E">
        <w:t xml:space="preserve">  While it notes that the DLBA</w:t>
      </w:r>
      <w:r w:rsidR="0058374F">
        <w:t xml:space="preserve"> will also acquire title through gifts,</w:t>
      </w:r>
      <w:r w:rsidR="0058374F" w:rsidRPr="0058374F">
        <w:rPr>
          <w:vertAlign w:val="superscript"/>
        </w:rPr>
        <w:t xml:space="preserve"> </w:t>
      </w:r>
      <w:r w:rsidR="0058374F" w:rsidRPr="0058374F">
        <w:rPr>
          <w:vertAlign w:val="superscript"/>
        </w:rPr>
        <w:footnoteReference w:id="129"/>
      </w:r>
      <w:r w:rsidR="0058374F">
        <w:rPr>
          <w:vertAlign w:val="superscript"/>
        </w:rPr>
        <w:t xml:space="preserve"> </w:t>
      </w:r>
      <w:r w:rsidR="0058374F">
        <w:t xml:space="preserve"> seizure pursuant to demolition liens,</w:t>
      </w:r>
      <w:r w:rsidR="0058374F" w:rsidRPr="0058374F">
        <w:rPr>
          <w:vertAlign w:val="superscript"/>
        </w:rPr>
        <w:footnoteReference w:id="130"/>
      </w:r>
      <w:r w:rsidR="0058374F">
        <w:rPr>
          <w:vertAlign w:val="superscript"/>
        </w:rPr>
        <w:t xml:space="preserve"> </w:t>
      </w:r>
      <w:r w:rsidR="0058374F">
        <w:t>and tax foreclosures,</w:t>
      </w:r>
      <w:r w:rsidR="0058374F" w:rsidRPr="0058374F">
        <w:rPr>
          <w:vertAlign w:val="superscript"/>
        </w:rPr>
        <w:footnoteReference w:id="131"/>
      </w:r>
      <w:r w:rsidR="0058374F">
        <w:t xml:space="preserve"> the Task Force </w:t>
      </w:r>
      <w:r w:rsidR="004E388E">
        <w:t>indicates</w:t>
      </w:r>
      <w:r w:rsidR="004928F5">
        <w:t xml:space="preserve"> that </w:t>
      </w:r>
      <w:r w:rsidR="00133E4E">
        <w:t>the D</w:t>
      </w:r>
      <w:r w:rsidR="00F0101E">
        <w:t>L</w:t>
      </w:r>
      <w:r w:rsidR="00133E4E">
        <w:t>B</w:t>
      </w:r>
      <w:r w:rsidR="00F0101E">
        <w:t>A</w:t>
      </w:r>
      <w:r w:rsidR="004928F5">
        <w:t xml:space="preserve"> should </w:t>
      </w:r>
      <w:r w:rsidR="0058374F">
        <w:t xml:space="preserve">rely first upon </w:t>
      </w:r>
      <w:r w:rsidR="00F0101E">
        <w:t>NAP</w:t>
      </w:r>
      <w:r w:rsidR="0058374F">
        <w:t>.</w:t>
      </w:r>
      <w:r w:rsidR="0058374F">
        <w:rPr>
          <w:rStyle w:val="FootnoteReference"/>
        </w:rPr>
        <w:footnoteReference w:id="132"/>
      </w:r>
      <w:r w:rsidR="0058374F">
        <w:t xml:space="preserve"> </w:t>
      </w:r>
      <w:r w:rsidR="004928F5">
        <w:t xml:space="preserve"> This </w:t>
      </w:r>
      <w:r w:rsidR="004928F5">
        <w:lastRenderedPageBreak/>
        <w:t xml:space="preserve">recommendation seems likely to be adopted in earnest, since Detroit has already been </w:t>
      </w:r>
      <w:r w:rsidR="005C3357">
        <w:t xml:space="preserve">seizing and </w:t>
      </w:r>
      <w:r w:rsidR="004928F5">
        <w:t>condemning blighted properties through NAP for more than a decade.</w:t>
      </w:r>
      <w:r w:rsidR="004928F5">
        <w:rPr>
          <w:rStyle w:val="FootnoteReference"/>
        </w:rPr>
        <w:footnoteReference w:id="133"/>
      </w:r>
      <w:r w:rsidR="004928F5">
        <w:t xml:space="preserve"> </w:t>
      </w:r>
      <w:r w:rsidR="0058374F">
        <w:t xml:space="preserve"> As such, I will focus my critique on the constitutionality of seizing titles through Detroit’s </w:t>
      </w:r>
      <w:r w:rsidR="004928F5">
        <w:t>NAP</w:t>
      </w:r>
      <w:r w:rsidR="0058374F">
        <w:t>.</w:t>
      </w:r>
      <w:r w:rsidR="006260AC">
        <w:t xml:space="preserve">  In the following section I will argue that the Task Force’s recommendation </w:t>
      </w:r>
      <w:r w:rsidR="005C3357">
        <w:t xml:space="preserve">that </w:t>
      </w:r>
      <w:r w:rsidR="00F0101E">
        <w:t>the DLBA</w:t>
      </w:r>
      <w:r w:rsidR="005C3357">
        <w:t xml:space="preserve"> use</w:t>
      </w:r>
      <w:r w:rsidR="006260AC">
        <w:t xml:space="preserve"> NAP to seize title </w:t>
      </w:r>
      <w:r w:rsidR="005C3357">
        <w:t xml:space="preserve">and then demolish </w:t>
      </w:r>
      <w:r w:rsidR="006260AC">
        <w:t xml:space="preserve">the bulk of the 72 thousand buildings it </w:t>
      </w:r>
      <w:r w:rsidR="00F0101E">
        <w:t>deems</w:t>
      </w:r>
      <w:r w:rsidR="006260AC">
        <w:t xml:space="preserve"> b</w:t>
      </w:r>
      <w:r w:rsidR="00133E4E">
        <w:t>lighted or blight-indicated calls for conduct that will</w:t>
      </w:r>
      <w:r w:rsidR="006260AC">
        <w:t xml:space="preserve"> qualify as an unconstitutional taking under Federal constitutional law.</w:t>
      </w:r>
    </w:p>
    <w:p w:rsidR="00F160F5" w:rsidRPr="00A72D88" w:rsidRDefault="00F160F5" w:rsidP="00EA738D">
      <w:pPr>
        <w:spacing w:line="480" w:lineRule="auto"/>
        <w:ind w:firstLine="720"/>
      </w:pPr>
      <w:r w:rsidRPr="00F160F5">
        <w:t xml:space="preserve">IV.  Will the Task Force’s recommended </w:t>
      </w:r>
      <w:r w:rsidR="0058374F">
        <w:t>seizures of title under the nuisance</w:t>
      </w:r>
      <w:r w:rsidR="00133E4E">
        <w:t xml:space="preserve"> abatement program qualify as </w:t>
      </w:r>
      <w:r w:rsidR="0058374F">
        <w:t>taking</w:t>
      </w:r>
      <w:r w:rsidR="00133E4E">
        <w:t>s</w:t>
      </w:r>
      <w:r w:rsidR="0058374F">
        <w:t>?</w:t>
      </w:r>
    </w:p>
    <w:p w:rsidR="004E388E" w:rsidRDefault="004E388E" w:rsidP="00EA738D">
      <w:pPr>
        <w:spacing w:line="480" w:lineRule="auto"/>
        <w:ind w:firstLine="720"/>
      </w:pPr>
      <w:r>
        <w:t>T</w:t>
      </w:r>
      <w:r w:rsidR="0058374F">
        <w:t>he Task Force’</w:t>
      </w:r>
      <w:r>
        <w:t>s r</w:t>
      </w:r>
      <w:r w:rsidR="00F0101E">
        <w:t>ecommendation that the D</w:t>
      </w:r>
      <w:r w:rsidR="0058374F">
        <w:t>L</w:t>
      </w:r>
      <w:r w:rsidR="00F0101E">
        <w:t>B</w:t>
      </w:r>
      <w:r w:rsidR="0058374F">
        <w:t xml:space="preserve">A </w:t>
      </w:r>
      <w:r>
        <w:t xml:space="preserve">seize title to dilapidated properties via NAP does not find support in Fifth Amendment jurisprudence.  In this section I will first describe how NAP works, how it is being used and perceived in Detroit as of this writing, </w:t>
      </w:r>
      <w:r w:rsidR="00B31AC5">
        <w:t xml:space="preserve">and make the case </w:t>
      </w:r>
      <w:r>
        <w:t>against its constitutionality.</w:t>
      </w:r>
    </w:p>
    <w:p w:rsidR="004928F5" w:rsidRDefault="004928F5" w:rsidP="00EA738D">
      <w:pPr>
        <w:pStyle w:val="ListParagraph"/>
        <w:numPr>
          <w:ilvl w:val="0"/>
          <w:numId w:val="23"/>
        </w:numPr>
        <w:spacing w:line="480" w:lineRule="auto"/>
      </w:pPr>
      <w:r>
        <w:t>How NAP works.</w:t>
      </w:r>
    </w:p>
    <w:p w:rsidR="004E388E" w:rsidRDefault="004E388E" w:rsidP="00EA738D">
      <w:pPr>
        <w:spacing w:line="480" w:lineRule="auto"/>
        <w:ind w:firstLine="720"/>
      </w:pPr>
      <w:r w:rsidRPr="004E388E">
        <w:t xml:space="preserve">Detroit’s </w:t>
      </w:r>
      <w:r w:rsidR="00F0101E">
        <w:t>NAP</w:t>
      </w:r>
      <w:r w:rsidRPr="004E388E">
        <w:t xml:space="preserve"> operates under City Ordinance 556-H, and allows for an </w:t>
      </w:r>
      <w:r w:rsidR="00F0101E">
        <w:t>appropriation of title by the D</w:t>
      </w:r>
      <w:r w:rsidRPr="004E388E">
        <w:t>L</w:t>
      </w:r>
      <w:r w:rsidR="00F0101E">
        <w:t>B</w:t>
      </w:r>
      <w:r w:rsidRPr="004E388E">
        <w:t>A after a prosecution for nuisance that does not involve criminal activity.</w:t>
      </w:r>
      <w:r w:rsidRPr="004E388E">
        <w:rPr>
          <w:vertAlign w:val="superscript"/>
        </w:rPr>
        <w:footnoteReference w:id="134"/>
      </w:r>
      <w:r w:rsidRPr="004E388E">
        <w:t xml:space="preserve">  Instead, nuisance exists under 556-H where a dwelling is “vacant, dilapidated, accessible to trespassers, dangerous, and when there exist outstanding property taxes on the property.”</w:t>
      </w:r>
      <w:r w:rsidRPr="004E388E">
        <w:rPr>
          <w:vertAlign w:val="superscript"/>
        </w:rPr>
        <w:footnoteReference w:id="135"/>
      </w:r>
      <w:r w:rsidRPr="004E388E">
        <w:t xml:space="preserve">  </w:t>
      </w:r>
      <w:r w:rsidR="00D42A51">
        <w:t xml:space="preserve">In its </w:t>
      </w:r>
      <w:r w:rsidR="006C152E">
        <w:t xml:space="preserve">legislative findings section, </w:t>
      </w:r>
      <w:r w:rsidR="00D42A51">
        <w:t xml:space="preserve">556-H </w:t>
      </w:r>
      <w:r w:rsidR="00D42A51">
        <w:lastRenderedPageBreak/>
        <w:t xml:space="preserve">provides that such properties should be put in the hands </w:t>
      </w:r>
      <w:r w:rsidR="005C3357">
        <w:t>of</w:t>
      </w:r>
      <w:r w:rsidR="006C152E">
        <w:t xml:space="preserve"> “families” who can repair the properties.</w:t>
      </w:r>
      <w:r w:rsidR="006C152E">
        <w:rPr>
          <w:rStyle w:val="FootnoteReference"/>
        </w:rPr>
        <w:footnoteReference w:id="136"/>
      </w:r>
      <w:r w:rsidR="006C152E">
        <w:t xml:space="preserve">  </w:t>
      </w:r>
      <w:r w:rsidRPr="004E388E">
        <w:t>In 1987, the Michigan Court of Appeal determined that 556-H proved a constitutional exercise of</w:t>
      </w:r>
      <w:r w:rsidR="00703B16">
        <w:t xml:space="preserve"> the police power</w:t>
      </w:r>
      <w:r w:rsidRPr="004E388E">
        <w:t>.</w:t>
      </w:r>
      <w:r w:rsidRPr="004E388E">
        <w:rPr>
          <w:vertAlign w:val="superscript"/>
        </w:rPr>
        <w:footnoteReference w:id="137"/>
      </w:r>
      <w:r w:rsidRPr="004E388E">
        <w:t xml:space="preserve"> </w:t>
      </w:r>
      <w:r w:rsidR="005C3357">
        <w:t xml:space="preserve"> </w:t>
      </w:r>
      <w:r w:rsidR="000F3BB9">
        <w:t>While 556-H creates a presumption that the owner intends title to revert to the city where the dwelling is vacant, dangerous, and is delinquent in taxes,</w:t>
      </w:r>
      <w:r w:rsidR="000F3BB9">
        <w:rPr>
          <w:rStyle w:val="FootnoteReference"/>
        </w:rPr>
        <w:footnoteReference w:id="138"/>
      </w:r>
      <w:r w:rsidR="000F3BB9">
        <w:t xml:space="preserve"> t</w:t>
      </w:r>
      <w:r w:rsidRPr="004E388E">
        <w:t>itle does not transfer under 556-H, but rather under Michigan’s quiet title provision.</w:t>
      </w:r>
      <w:r w:rsidRPr="004E388E">
        <w:rPr>
          <w:vertAlign w:val="superscript"/>
        </w:rPr>
        <w:footnoteReference w:id="139"/>
      </w:r>
      <w:r w:rsidRPr="004E388E">
        <w:t xml:space="preserve">  In 2004, then-Governor Jennifer Granholm</w:t>
      </w:r>
      <w:r w:rsidRPr="004E388E">
        <w:rPr>
          <w:vertAlign w:val="superscript"/>
        </w:rPr>
        <w:footnoteReference w:id="140"/>
      </w:r>
      <w:r w:rsidRPr="004E388E">
        <w:t xml:space="preserve"> signed into law the Land Bank Fast Track Legislation, Public Act (PA) 258, which permits a hearing on an action for quiet title initiated by the Land Bank within 90 days of the Land Bank’s filing a notice of an expedited quiet title and foreclosure action.</w:t>
      </w:r>
      <w:r w:rsidRPr="004E388E">
        <w:rPr>
          <w:vertAlign w:val="superscript"/>
        </w:rPr>
        <w:footnoteReference w:id="141"/>
      </w:r>
      <w:r w:rsidRPr="004E388E">
        <w:t xml:space="preserve">  News reports and articles relay that prosecutions f</w:t>
      </w:r>
      <w:r w:rsidR="005C3357">
        <w:t>or nuisance in Detroit “force</w:t>
      </w:r>
      <w:r w:rsidRPr="004E388E">
        <w:t xml:space="preserve"> negligent property owners to fix up houses or lose them to the city.”</w:t>
      </w:r>
      <w:r w:rsidRPr="004E388E">
        <w:rPr>
          <w:vertAlign w:val="superscript"/>
        </w:rPr>
        <w:footnoteReference w:id="142"/>
      </w:r>
      <w:r w:rsidRPr="004E388E">
        <w:t xml:space="preserve">  This loss of title occurs “without compensation.”</w:t>
      </w:r>
      <w:r w:rsidRPr="004E388E">
        <w:rPr>
          <w:vertAlign w:val="superscript"/>
        </w:rPr>
        <w:footnoteReference w:id="143"/>
      </w:r>
    </w:p>
    <w:p w:rsidR="004928F5" w:rsidRDefault="004928F5" w:rsidP="00EA738D">
      <w:pPr>
        <w:pStyle w:val="ListParagraph"/>
        <w:numPr>
          <w:ilvl w:val="0"/>
          <w:numId w:val="23"/>
        </w:numPr>
        <w:spacing w:line="480" w:lineRule="auto"/>
      </w:pPr>
      <w:r>
        <w:lastRenderedPageBreak/>
        <w:t xml:space="preserve"> NAP’s use in Detroit and how Detroiters perceive it.</w:t>
      </w:r>
    </w:p>
    <w:p w:rsidR="00DD2A4B" w:rsidRPr="00DD2A4B" w:rsidRDefault="004E388E" w:rsidP="00EA738D">
      <w:pPr>
        <w:spacing w:line="480" w:lineRule="auto"/>
        <w:ind w:firstLine="720"/>
      </w:pPr>
      <w:r>
        <w:t>NAP title seizures have been taking</w:t>
      </w:r>
      <w:r w:rsidR="00DD2A4B">
        <w:t xml:space="preserve"> place in Detroit </w:t>
      </w:r>
      <w:r>
        <w:t xml:space="preserve">already </w:t>
      </w:r>
      <w:r w:rsidR="00DD2A4B">
        <w:t xml:space="preserve">for more than a decade – and it appears that </w:t>
      </w:r>
      <w:r w:rsidR="00DD2A4B" w:rsidRPr="00DD2A4B">
        <w:t xml:space="preserve">have </w:t>
      </w:r>
      <w:r w:rsidR="00DD2A4B" w:rsidRPr="004E388E">
        <w:rPr>
          <w:i/>
        </w:rPr>
        <w:t>not</w:t>
      </w:r>
      <w:r w:rsidR="00DD2A4B" w:rsidRPr="00DD2A4B">
        <w:t xml:space="preserve"> been regarded by the people of Detroit as creating a takings problem.  Mr. Mike Brady of the Detroit Land Bank Authority informed me in a phone conversation that nuisance abatements resulting in </w:t>
      </w:r>
      <w:r w:rsidR="00703B16">
        <w:t xml:space="preserve">seizures and </w:t>
      </w:r>
      <w:r w:rsidR="00DD2A4B" w:rsidRPr="00DD2A4B">
        <w:t>condemnations have occurred apace in Detroit for the past twelve years.</w:t>
      </w:r>
      <w:r w:rsidR="00DD2A4B" w:rsidRPr="00DD2A4B">
        <w:rPr>
          <w:vertAlign w:val="superscript"/>
        </w:rPr>
        <w:footnoteReference w:id="144"/>
      </w:r>
      <w:r w:rsidR="00DD2A4B" w:rsidRPr="00DD2A4B">
        <w:t xml:space="preserve"> </w:t>
      </w:r>
      <w:r w:rsidR="00703B16">
        <w:t xml:space="preserve"> Mr. Brady estimated that the D</w:t>
      </w:r>
      <w:r w:rsidR="00DD2A4B" w:rsidRPr="00DD2A4B">
        <w:t>L</w:t>
      </w:r>
      <w:r w:rsidR="00703B16">
        <w:t>B</w:t>
      </w:r>
      <w:r w:rsidR="00DD2A4B" w:rsidRPr="00DD2A4B">
        <w:t>A files fifty nuisance abatement suits a week, and that the community is “thrilled” by their use of this tool.</w:t>
      </w:r>
      <w:r w:rsidR="00DD2A4B" w:rsidRPr="00DD2A4B">
        <w:rPr>
          <w:vertAlign w:val="superscript"/>
        </w:rPr>
        <w:footnoteReference w:id="145"/>
      </w:r>
      <w:r w:rsidR="00703B16">
        <w:t xml:space="preserve">  He also estimated that the D</w:t>
      </w:r>
      <w:r w:rsidR="00DD2A4B" w:rsidRPr="00DD2A4B">
        <w:t>L</w:t>
      </w:r>
      <w:r w:rsidR="00703B16">
        <w:t>B</w:t>
      </w:r>
      <w:r w:rsidR="00DD2A4B" w:rsidRPr="00DD2A4B">
        <w:t>A had filed “thousands” of nuisance abatement suits since 2002, and that not one successful taking claim had derailed the abatements.</w:t>
      </w:r>
      <w:r w:rsidR="00DD2A4B" w:rsidRPr="00DD2A4B">
        <w:rPr>
          <w:vertAlign w:val="superscript"/>
        </w:rPr>
        <w:footnoteReference w:id="146"/>
      </w:r>
      <w:r w:rsidR="00703B16">
        <w:t xml:space="preserve">  In addition, if the D</w:t>
      </w:r>
      <w:r w:rsidR="00DD2A4B" w:rsidRPr="00DD2A4B">
        <w:t>L</w:t>
      </w:r>
      <w:r w:rsidR="00703B16">
        <w:t>B</w:t>
      </w:r>
      <w:r w:rsidR="00DD2A4B" w:rsidRPr="00DD2A4B">
        <w:t>A’s nuis</w:t>
      </w:r>
      <w:r w:rsidR="00703B16">
        <w:t>ance abatements had been exercises of eminent domain</w:t>
      </w:r>
      <w:r w:rsidR="00DD2A4B" w:rsidRPr="00DD2A4B">
        <w:t xml:space="preserve">, Mr. Brady explained, that would have been impermissible, as Land Banks in Michigan are prohibited from exercising </w:t>
      </w:r>
      <w:r w:rsidR="00703B16">
        <w:t>that power</w:t>
      </w:r>
      <w:r w:rsidR="00DD2A4B" w:rsidRPr="00DD2A4B">
        <w:t>.</w:t>
      </w:r>
      <w:r w:rsidR="00DD2A4B" w:rsidRPr="00DD2A4B">
        <w:rPr>
          <w:vertAlign w:val="superscript"/>
        </w:rPr>
        <w:footnoteReference w:id="147"/>
      </w:r>
    </w:p>
    <w:p w:rsidR="004928F5" w:rsidRDefault="004928F5" w:rsidP="00EA738D">
      <w:pPr>
        <w:pStyle w:val="ListParagraph"/>
        <w:numPr>
          <w:ilvl w:val="0"/>
          <w:numId w:val="23"/>
        </w:numPr>
        <w:spacing w:line="480" w:lineRule="auto"/>
      </w:pPr>
      <w:r>
        <w:t>The unconstitutionality of forced transfers of title under NAP.</w:t>
      </w:r>
    </w:p>
    <w:p w:rsidR="00B02381" w:rsidRDefault="004928F5" w:rsidP="00EA738D">
      <w:pPr>
        <w:spacing w:line="480" w:lineRule="auto"/>
        <w:ind w:firstLine="720"/>
      </w:pPr>
      <w:r>
        <w:t>While Fifth Amendment jurisprudence recognizes the state’s ability to diminish, destroy, or sometimes seize property under nuisance</w:t>
      </w:r>
      <w:r w:rsidR="005C3357">
        <w:t xml:space="preserve"> laws without compensation, NAP</w:t>
      </w:r>
      <w:r>
        <w:t xml:space="preserve">’s </w:t>
      </w:r>
      <w:r w:rsidR="00B31AC5">
        <w:t xml:space="preserve">transfer of title </w:t>
      </w:r>
      <w:r>
        <w:t>prove distinguishable</w:t>
      </w:r>
      <w:r w:rsidR="00B31AC5">
        <w:t xml:space="preserve"> from cases such as </w:t>
      </w:r>
      <w:r w:rsidR="00B31AC5" w:rsidRPr="004928F5">
        <w:rPr>
          <w:i/>
        </w:rPr>
        <w:t xml:space="preserve">Keystone Bituminous, </w:t>
      </w:r>
      <w:r w:rsidR="00B31AC5">
        <w:t xml:space="preserve">which </w:t>
      </w:r>
      <w:r w:rsidR="005C3357">
        <w:t>upheld regulations disallowing</w:t>
      </w:r>
      <w:r w:rsidR="00B31AC5">
        <w:t xml:space="preserve"> mining </w:t>
      </w:r>
      <w:r w:rsidR="005C3357">
        <w:t xml:space="preserve">of </w:t>
      </w:r>
      <w:r w:rsidR="00B31AC5">
        <w:t>certain seams of coal beneath a property’s surface,</w:t>
      </w:r>
      <w:r>
        <w:t xml:space="preserve"> rather than a complete seizure of underlying </w:t>
      </w:r>
      <w:r>
        <w:lastRenderedPageBreak/>
        <w:t>property,</w:t>
      </w:r>
      <w:r w:rsidR="00B31AC5" w:rsidRPr="004928F5">
        <w:rPr>
          <w:vertAlign w:val="superscript"/>
        </w:rPr>
        <w:t xml:space="preserve"> </w:t>
      </w:r>
      <w:r w:rsidR="00B31AC5" w:rsidRPr="00B31AC5">
        <w:rPr>
          <w:vertAlign w:val="superscript"/>
        </w:rPr>
        <w:footnoteReference w:id="148"/>
      </w:r>
      <w:r w:rsidR="00B31AC5">
        <w:t xml:space="preserve"> and </w:t>
      </w:r>
      <w:r w:rsidR="00B31AC5" w:rsidRPr="004928F5">
        <w:rPr>
          <w:i/>
        </w:rPr>
        <w:t xml:space="preserve">Lucas, </w:t>
      </w:r>
      <w:r w:rsidR="00B31AC5">
        <w:t>which involved the regulatory prohibition of an owner building structures on his land.</w:t>
      </w:r>
      <w:r w:rsidR="00B31AC5">
        <w:rPr>
          <w:rStyle w:val="FootnoteReference"/>
        </w:rPr>
        <w:footnoteReference w:id="149"/>
      </w:r>
      <w:r w:rsidR="00B31AC5">
        <w:t xml:space="preserve">  </w:t>
      </w:r>
      <w:r w:rsidR="00B02381" w:rsidRPr="004928F5">
        <w:rPr>
          <w:i/>
        </w:rPr>
        <w:t>Lucas</w:t>
      </w:r>
      <w:r w:rsidR="00B31AC5">
        <w:t>, in fact,</w:t>
      </w:r>
      <w:r w:rsidR="00B02381" w:rsidRPr="004928F5">
        <w:rPr>
          <w:i/>
        </w:rPr>
        <w:t xml:space="preserve"> </w:t>
      </w:r>
      <w:r w:rsidR="00B02381">
        <w:t>highlights tantalizing questions about Detroit’s nuisance abatements, since blexters’ profound disagreements with the Task Force about property conditions</w:t>
      </w:r>
      <w:r w:rsidR="008C160B">
        <w:rPr>
          <w:rStyle w:val="FootnoteReference"/>
        </w:rPr>
        <w:footnoteReference w:id="150"/>
      </w:r>
      <w:r w:rsidR="00B02381">
        <w:t xml:space="preserve"> </w:t>
      </w:r>
      <w:r w:rsidR="008C160B">
        <w:t>raise</w:t>
      </w:r>
      <w:r w:rsidR="00B02381">
        <w:t xml:space="preserve"> issues about whether the properties targeted </w:t>
      </w:r>
      <w:r w:rsidR="00F3525C">
        <w:t xml:space="preserve">by the Task Force do indeed evidence </w:t>
      </w:r>
      <w:r w:rsidR="008C160B">
        <w:t>uses that veer</w:t>
      </w:r>
      <w:r w:rsidR="00F3525C">
        <w:t xml:space="preserve"> outside of “the title itself.”</w:t>
      </w:r>
      <w:r w:rsidR="00F3525C">
        <w:rPr>
          <w:rStyle w:val="FootnoteReference"/>
        </w:rPr>
        <w:footnoteReference w:id="151"/>
      </w:r>
      <w:r w:rsidR="00F3525C">
        <w:t xml:space="preserve">  But more pressing problems regarding the constitutionality of these seizures exist</w:t>
      </w:r>
      <w:r w:rsidR="005C3357">
        <w:t xml:space="preserve"> than that</w:t>
      </w:r>
      <w:r w:rsidR="00F3525C">
        <w:t>.</w:t>
      </w:r>
    </w:p>
    <w:p w:rsidR="002F58FC" w:rsidRPr="000426E1" w:rsidRDefault="00DD2A4B" w:rsidP="00EA738D">
      <w:pPr>
        <w:spacing w:line="480" w:lineRule="auto"/>
        <w:ind w:firstLine="720"/>
      </w:pPr>
      <w:r>
        <w:t xml:space="preserve">Regardless of </w:t>
      </w:r>
      <w:r w:rsidR="00F3525C">
        <w:t xml:space="preserve">the </w:t>
      </w:r>
      <w:r>
        <w:t>public</w:t>
      </w:r>
      <w:r w:rsidR="00F3525C">
        <w:t>’s supposed</w:t>
      </w:r>
      <w:r>
        <w:t xml:space="preserve"> </w:t>
      </w:r>
      <w:r w:rsidR="00F3525C">
        <w:t xml:space="preserve">“thrilled” </w:t>
      </w:r>
      <w:r>
        <w:t>support</w:t>
      </w:r>
      <w:r w:rsidR="00F3525C">
        <w:t xml:space="preserve"> for nuisance confiscations,</w:t>
      </w:r>
      <w:r>
        <w:t xml:space="preserve"> </w:t>
      </w:r>
      <w:r w:rsidR="00F3525C">
        <w:t>no legal</w:t>
      </w:r>
      <w:r w:rsidR="009D7438">
        <w:t xml:space="preserve"> authority </w:t>
      </w:r>
      <w:r w:rsidR="00F3525C">
        <w:t xml:space="preserve">that I could find </w:t>
      </w:r>
      <w:r w:rsidR="009D7438">
        <w:t>immunizes n</w:t>
      </w:r>
      <w:r w:rsidR="00A72D88" w:rsidRPr="00A72D88">
        <w:t xml:space="preserve">uisance </w:t>
      </w:r>
      <w:r w:rsidR="00A72D88" w:rsidRPr="0070581E">
        <w:t>abatements</w:t>
      </w:r>
      <w:r w:rsidR="0021129C">
        <w:t xml:space="preserve"> that result in seizures of property</w:t>
      </w:r>
      <w:r w:rsidR="009D7438">
        <w:t xml:space="preserve"> from Fifth Amendment challenges where the property has not been used for illegal ends.  </w:t>
      </w:r>
      <w:r w:rsidR="007F7E8E">
        <w:t>As</w:t>
      </w:r>
      <w:r w:rsidR="004928F5">
        <w:t xml:space="preserve"> Professor</w:t>
      </w:r>
      <w:r w:rsidR="007F7E8E">
        <w:t xml:space="preserve"> Mary Spector notes, “public nuisance statutes may produce results identical to [criminal] forfeiture statutes, including seizure of a home,”</w:t>
      </w:r>
      <w:r w:rsidR="007F7E8E">
        <w:rPr>
          <w:rStyle w:val="FootnoteReference"/>
        </w:rPr>
        <w:footnoteReference w:id="152"/>
      </w:r>
      <w:r w:rsidR="005C3357">
        <w:t xml:space="preserve"> but “</w:t>
      </w:r>
      <w:r w:rsidR="007F7E8E">
        <w:t>the . . . .</w:t>
      </w:r>
      <w:r w:rsidR="00B31AC5">
        <w:t xml:space="preserve"> </w:t>
      </w:r>
      <w:r w:rsidR="007F7E8E">
        <w:t>availability of criminal prosecution and penalties [have traditionally [been] highly relevant to a court’s decision to permit equitable abatement on behalf of the state.”</w:t>
      </w:r>
      <w:r w:rsidR="007F7E8E">
        <w:rPr>
          <w:rStyle w:val="FootnoteReference"/>
        </w:rPr>
        <w:footnoteReference w:id="153"/>
      </w:r>
      <w:r w:rsidR="008F1B10">
        <w:t xml:space="preserve">  </w:t>
      </w:r>
      <w:r w:rsidR="008F1B10">
        <w:rPr>
          <w:i/>
        </w:rPr>
        <w:t xml:space="preserve">Bennis, </w:t>
      </w:r>
      <w:r w:rsidR="005C3357">
        <w:t>involving the car used to shelter</w:t>
      </w:r>
      <w:r w:rsidR="008F1B10">
        <w:t xml:space="preserve"> prostitution, provides one example of the criminal underpinnings of a forfeiture that proceeds under nuisance law.</w:t>
      </w:r>
      <w:r w:rsidR="008F1B10">
        <w:rPr>
          <w:rStyle w:val="FootnoteReference"/>
        </w:rPr>
        <w:footnoteReference w:id="154"/>
      </w:r>
      <w:r w:rsidR="008F1B10">
        <w:t xml:space="preserve">  The </w:t>
      </w:r>
      <w:r w:rsidR="008F1B10">
        <w:rPr>
          <w:i/>
        </w:rPr>
        <w:t>Bennis</w:t>
      </w:r>
      <w:r w:rsidR="008F1B10">
        <w:t xml:space="preserve"> court specifically referred to the objectives of the criminal justice system in affirming this nuisance abatement, namely deterrence and rendering illegal behavior unprofitable.</w:t>
      </w:r>
      <w:r w:rsidR="008F1B10">
        <w:rPr>
          <w:rStyle w:val="FootnoteReference"/>
        </w:rPr>
        <w:footnoteReference w:id="155"/>
      </w:r>
      <w:r w:rsidR="008F1B10">
        <w:t xml:space="preserve">  Similarly, in </w:t>
      </w:r>
      <w:r w:rsidR="00EB4BF7">
        <w:t xml:space="preserve">2004, the Sixth Circuit </w:t>
      </w:r>
      <w:r w:rsidR="00FE5E31">
        <w:t xml:space="preserve">in </w:t>
      </w:r>
      <w:r w:rsidR="00FE5E31">
        <w:rPr>
          <w:i/>
        </w:rPr>
        <w:t xml:space="preserve">Ross v. Duggan </w:t>
      </w:r>
      <w:r w:rsidR="00EB4BF7">
        <w:t xml:space="preserve">upheld a Detroit city </w:t>
      </w:r>
      <w:r w:rsidR="009938B4">
        <w:t xml:space="preserve">seizure of a car used in “sex crime[s]” (there, </w:t>
      </w:r>
      <w:r w:rsidR="005C3357">
        <w:t xml:space="preserve">again, </w:t>
      </w:r>
      <w:r w:rsidR="009938B4">
        <w:t>prostitution)</w:t>
      </w:r>
      <w:r w:rsidR="009938B4">
        <w:rPr>
          <w:rStyle w:val="FootnoteReference"/>
        </w:rPr>
        <w:footnoteReference w:id="156"/>
      </w:r>
      <w:r w:rsidR="009938B4">
        <w:t xml:space="preserve"> under the </w:t>
      </w:r>
      <w:r w:rsidR="009938B4">
        <w:lastRenderedPageBreak/>
        <w:t xml:space="preserve">authority of Michigan’s nuisance law, </w:t>
      </w:r>
      <w:r w:rsidR="005C3357">
        <w:t>which prohib</w:t>
      </w:r>
      <w:r w:rsidR="00703B16">
        <w:t>it</w:t>
      </w:r>
      <w:r w:rsidR="005C3357">
        <w:t>s</w:t>
      </w:r>
      <w:r w:rsidR="009938B4">
        <w:t xml:space="preserve"> lewdness, assignations, and trafficking;</w:t>
      </w:r>
      <w:r w:rsidR="009938B4">
        <w:rPr>
          <w:rStyle w:val="FootnoteReference"/>
        </w:rPr>
        <w:footnoteReference w:id="157"/>
      </w:r>
      <w:r w:rsidR="009938B4">
        <w:t xml:space="preserve"> the court observed that such forfeiture proved constitutional under both due process and the Fifth Amendment because its deterred “future uses of similar property for similar illegal uses.”</w:t>
      </w:r>
      <w:r w:rsidR="009938B4">
        <w:rPr>
          <w:rStyle w:val="FootnoteReference"/>
        </w:rPr>
        <w:footnoteReference w:id="158"/>
      </w:r>
      <w:r w:rsidR="009938B4">
        <w:t xml:space="preserve">  And, as just one other example of the criminal f</w:t>
      </w:r>
      <w:r w:rsidR="00ED17D0">
        <w:t xml:space="preserve">oundation of these seizures, note </w:t>
      </w:r>
      <w:r w:rsidR="005C3357">
        <w:t xml:space="preserve">similar legislation and jurisprudence in </w:t>
      </w:r>
      <w:r w:rsidR="00ED17D0">
        <w:t>Colorado:  There,</w:t>
      </w:r>
      <w:r w:rsidR="00BD57E2">
        <w:t xml:space="preserve"> real property may be seized</w:t>
      </w:r>
      <w:r w:rsidR="00021C52">
        <w:rPr>
          <w:rStyle w:val="FootnoteReference"/>
        </w:rPr>
        <w:footnoteReference w:id="159"/>
      </w:r>
      <w:r w:rsidR="00BD57E2">
        <w:t xml:space="preserve"> if used in the commission of a class 1 nuisance, which requires a finding that the property was used in connection with crimes such as prostitution, theft, drug de</w:t>
      </w:r>
      <w:r w:rsidR="005C3357">
        <w:t>aling, child abuse, or gambling.</w:t>
      </w:r>
      <w:r w:rsidR="00BD57E2">
        <w:rPr>
          <w:rStyle w:val="FootnoteReference"/>
        </w:rPr>
        <w:footnoteReference w:id="160"/>
      </w:r>
      <w:r w:rsidR="00BD57E2">
        <w:t xml:space="preserve"> </w:t>
      </w:r>
      <w:r w:rsidR="007B01AF">
        <w:t xml:space="preserve"> </w:t>
      </w:r>
      <w:r w:rsidR="005C3357">
        <w:t>T</w:t>
      </w:r>
      <w:r w:rsidR="00021C52">
        <w:t xml:space="preserve">he Colorado Supreme Court, sitting </w:t>
      </w:r>
      <w:r w:rsidR="00021C52" w:rsidRPr="005C3357">
        <w:rPr>
          <w:i/>
        </w:rPr>
        <w:t>en banc,</w:t>
      </w:r>
      <w:r w:rsidR="00021C52">
        <w:t xml:space="preserve"> noted </w:t>
      </w:r>
      <w:r w:rsidR="00FE5E31">
        <w:t xml:space="preserve">in </w:t>
      </w:r>
      <w:r w:rsidR="00FE5E31">
        <w:rPr>
          <w:i/>
        </w:rPr>
        <w:t xml:space="preserve">People v. Milton </w:t>
      </w:r>
      <w:r w:rsidR="00021C52">
        <w:t>that “[t]</w:t>
      </w:r>
      <w:r w:rsidR="00021C52" w:rsidRPr="00021C52">
        <w:t>he legislature may properly impose a civil sanction with respect to conduct that may also be punishable as a crime</w:t>
      </w:r>
      <w:r w:rsidR="00021C52">
        <w:t>.”</w:t>
      </w:r>
      <w:r w:rsidR="00021C52">
        <w:rPr>
          <w:rStyle w:val="FootnoteReference"/>
        </w:rPr>
        <w:footnoteReference w:id="161"/>
      </w:r>
      <w:r w:rsidR="000426E1">
        <w:t xml:space="preserve">  </w:t>
      </w:r>
    </w:p>
    <w:p w:rsidR="00BC5BC9" w:rsidRPr="00BC5BC9" w:rsidRDefault="008C160B" w:rsidP="00EA738D">
      <w:pPr>
        <w:spacing w:line="480" w:lineRule="auto"/>
        <w:ind w:firstLine="720"/>
      </w:pPr>
      <w:r>
        <w:t>Where, as here, no</w:t>
      </w:r>
      <w:r w:rsidR="00ED17D0">
        <w:t xml:space="preserve"> criminal activity exists, these confiscations violate the</w:t>
      </w:r>
      <w:r w:rsidR="009A77F3">
        <w:t xml:space="preserve"> takings</w:t>
      </w:r>
      <w:r w:rsidR="00ED17D0">
        <w:t xml:space="preserve"> principle articulated by Justice Holmes in </w:t>
      </w:r>
      <w:r w:rsidR="00ED17D0">
        <w:rPr>
          <w:i/>
        </w:rPr>
        <w:t>Pennsylvania Coal v. Mahon,</w:t>
      </w:r>
      <w:r w:rsidR="00703B16">
        <w:rPr>
          <w:rStyle w:val="FootnoteReference"/>
          <w:i/>
        </w:rPr>
        <w:footnoteReference w:id="162"/>
      </w:r>
      <w:r w:rsidR="00ED17D0">
        <w:t xml:space="preserve"> </w:t>
      </w:r>
      <w:r w:rsidR="00703B16">
        <w:t xml:space="preserve">finding that </w:t>
      </w:r>
      <w:r w:rsidR="00ED17D0">
        <w:t>“while property may be regulated to a certain extent, if regulation goes too far it will be recognized as a taking.”</w:t>
      </w:r>
      <w:r w:rsidR="00ED17D0">
        <w:rPr>
          <w:rStyle w:val="FootnoteReference"/>
        </w:rPr>
        <w:footnoteReference w:id="163"/>
      </w:r>
      <w:r w:rsidR="009A77F3">
        <w:t xml:space="preserve">  This is not even a regulation – this is an out and out confiscation.</w:t>
      </w:r>
      <w:r w:rsidR="00DE49F6">
        <w:rPr>
          <w:rStyle w:val="FootnoteReference"/>
        </w:rPr>
        <w:footnoteReference w:id="164"/>
      </w:r>
      <w:r w:rsidR="009A77F3">
        <w:t xml:space="preserve">  </w:t>
      </w:r>
      <w:r w:rsidR="00BC5BC9">
        <w:t>While 556-H only creates a presumption</w:t>
      </w:r>
      <w:r w:rsidR="00A84662">
        <w:t xml:space="preserve"> that the owner intends the property to revert to the state</w:t>
      </w:r>
      <w:r w:rsidR="00BC5BC9">
        <w:t>,</w:t>
      </w:r>
      <w:r w:rsidR="00A84662">
        <w:t xml:space="preserve"> available news reports</w:t>
      </w:r>
      <w:r w:rsidR="00D604F3">
        <w:rPr>
          <w:rStyle w:val="FootnoteReference"/>
        </w:rPr>
        <w:footnoteReference w:id="165"/>
      </w:r>
      <w:r w:rsidR="00A84662">
        <w:t xml:space="preserve"> plus </w:t>
      </w:r>
      <w:r w:rsidR="00BC5BC9">
        <w:t xml:space="preserve">various forces indicate that this presumption will be </w:t>
      </w:r>
      <w:r w:rsidR="00BC5BC9">
        <w:rPr>
          <w:i/>
        </w:rPr>
        <w:t>very strong</w:t>
      </w:r>
      <w:r w:rsidR="00BC5BC9">
        <w:t xml:space="preserve"> if Detroit uses it to confiscate tens of thousands of properties in under five years:</w:t>
      </w:r>
      <w:r w:rsidR="009031F4">
        <w:rPr>
          <w:rStyle w:val="FootnoteReference"/>
        </w:rPr>
        <w:footnoteReference w:id="166"/>
      </w:r>
      <w:r w:rsidR="00BC5BC9">
        <w:t xml:space="preserve">  </w:t>
      </w:r>
      <w:r w:rsidR="00A84662">
        <w:t>This expedited schedule</w:t>
      </w:r>
      <w:r w:rsidR="00A84662">
        <w:rPr>
          <w:rStyle w:val="FootnoteReference"/>
        </w:rPr>
        <w:footnoteReference w:id="167"/>
      </w:r>
      <w:r w:rsidR="00A84662">
        <w:t xml:space="preserve"> plus the politics of desperation</w:t>
      </w:r>
      <w:r w:rsidR="009031F4">
        <w:rPr>
          <w:rStyle w:val="FootnoteReference"/>
        </w:rPr>
        <w:footnoteReference w:id="168"/>
      </w:r>
      <w:r w:rsidR="00A84662">
        <w:t xml:space="preserve"> do not create the incentives for a loving review of the property owner’s rights.</w:t>
      </w:r>
    </w:p>
    <w:p w:rsidR="00ED17D0" w:rsidRPr="006D71E3" w:rsidRDefault="00BC5BC9" w:rsidP="00EA738D">
      <w:pPr>
        <w:spacing w:line="480" w:lineRule="auto"/>
        <w:ind w:firstLine="720"/>
      </w:pPr>
      <w:r>
        <w:lastRenderedPageBreak/>
        <w:t xml:space="preserve"> </w:t>
      </w:r>
      <w:r w:rsidR="009A77F3">
        <w:t xml:space="preserve">While I can find no cases striking down – or upholding – the seizure of </w:t>
      </w:r>
      <w:r w:rsidR="00DE49F6">
        <w:t>titles</w:t>
      </w:r>
      <w:r w:rsidR="009A77F3">
        <w:t xml:space="preserve"> under nuisance statutes</w:t>
      </w:r>
      <w:r w:rsidR="00DE49F6">
        <w:t xml:space="preserve"> not involving criminal uses of property</w:t>
      </w:r>
      <w:r w:rsidR="009A77F3">
        <w:t xml:space="preserve"> – other cases support drawing the line </w:t>
      </w:r>
      <w:r w:rsidR="00DE49F6">
        <w:t>here</w:t>
      </w:r>
      <w:r w:rsidR="009A77F3">
        <w:t xml:space="preserve">.  In </w:t>
      </w:r>
      <w:r w:rsidR="009A77F3">
        <w:rPr>
          <w:i/>
        </w:rPr>
        <w:t xml:space="preserve">Wyss v. v. City of Joquiam, </w:t>
      </w:r>
      <w:r w:rsidR="009A77F3" w:rsidRPr="009A77F3">
        <w:t xml:space="preserve">the Ninth Circuit upheld the demolishment of </w:t>
      </w:r>
      <w:r w:rsidR="007B01AF">
        <w:t xml:space="preserve">a </w:t>
      </w:r>
      <w:r w:rsidR="009A77F3" w:rsidRPr="009A77F3">
        <w:t xml:space="preserve">home </w:t>
      </w:r>
      <w:r w:rsidR="009A77F3">
        <w:t xml:space="preserve">under a nuisance statute because it was </w:t>
      </w:r>
      <w:r w:rsidR="009A77F3" w:rsidRPr="009A77F3">
        <w:t>“likely to seriously injure oc</w:t>
      </w:r>
      <w:r w:rsidR="009A77F3">
        <w:t>c</w:t>
      </w:r>
      <w:r w:rsidR="009A77F3" w:rsidRPr="009A77F3">
        <w:t>upants or visitors</w:t>
      </w:r>
      <w:r w:rsidR="00934D20">
        <w:t>;</w:t>
      </w:r>
      <w:r w:rsidR="009A77F3" w:rsidRPr="009A77F3">
        <w:t>”</w:t>
      </w:r>
      <w:r w:rsidR="009A77F3">
        <w:rPr>
          <w:rStyle w:val="FootnoteReference"/>
        </w:rPr>
        <w:footnoteReference w:id="169"/>
      </w:r>
      <w:r w:rsidR="00934D20">
        <w:t xml:space="preserve"> it determined the takings clause proved unoffended because </w:t>
      </w:r>
      <w:r w:rsidR="00934D20" w:rsidRPr="00934D20">
        <w:t>Wyss's </w:t>
      </w:r>
      <w:r w:rsidR="00934D20" w:rsidRPr="00934D20">
        <w:rPr>
          <w:bCs/>
        </w:rPr>
        <w:t>home</w:t>
      </w:r>
      <w:r w:rsidR="00934D20" w:rsidRPr="00934D20">
        <w:t xml:space="preserve"> was </w:t>
      </w:r>
      <w:r w:rsidR="00934D20">
        <w:t>“</w:t>
      </w:r>
      <w:r w:rsidR="00934D20" w:rsidRPr="00934D20">
        <w:t>ordered vacated and demolished, but the use of his land was not otherwise restricted</w:t>
      </w:r>
      <w:r w:rsidR="00934D20">
        <w:t>. . . . a</w:t>
      </w:r>
      <w:r w:rsidR="00934D20" w:rsidRPr="00934D20">
        <w:t>nd his land remains usable regardless of the demolition of his </w:t>
      </w:r>
      <w:r w:rsidR="00934D20" w:rsidRPr="00934D20">
        <w:rPr>
          <w:bCs/>
        </w:rPr>
        <w:t>home</w:t>
      </w:r>
      <w:r w:rsidR="00934D20" w:rsidRPr="00934D20">
        <w:t xml:space="preserve">. </w:t>
      </w:r>
      <w:r w:rsidR="00934D20">
        <w:t>“</w:t>
      </w:r>
      <w:r w:rsidR="00934D20">
        <w:rPr>
          <w:rStyle w:val="FootnoteReference"/>
        </w:rPr>
        <w:footnoteReference w:id="170"/>
      </w:r>
      <w:r w:rsidR="006D71E3">
        <w:t xml:space="preserve">  In </w:t>
      </w:r>
      <w:r w:rsidR="006D71E3">
        <w:rPr>
          <w:i/>
        </w:rPr>
        <w:t>Brown v. State of California</w:t>
      </w:r>
      <w:r w:rsidR="006D71E3">
        <w:t>, the California Court of Appeal refused to find a taking where the government occupied private property for ten years in order to clear hazardous waste; the court, however, observed that “[o]</w:t>
      </w:r>
      <w:r w:rsidR="006D71E3" w:rsidRPr="006D71E3">
        <w:t>nce accomplished, neutralization of the extant danger will render the property usable by its owners.</w:t>
      </w:r>
      <w:r w:rsidR="006D71E3">
        <w:t>”</w:t>
      </w:r>
      <w:r w:rsidR="006D71E3">
        <w:rPr>
          <w:rStyle w:val="FootnoteReference"/>
        </w:rPr>
        <w:footnoteReference w:id="171"/>
      </w:r>
      <w:r w:rsidR="006D71E3">
        <w:t xml:space="preserve"> Further, in 2002 </w:t>
      </w:r>
      <w:r w:rsidR="006D71E3">
        <w:rPr>
          <w:i/>
        </w:rPr>
        <w:t>Brown</w:t>
      </w:r>
      <w:r w:rsidR="006D71E3">
        <w:t xml:space="preserve"> was restricted to apply only to emergency conditions.</w:t>
      </w:r>
      <w:r w:rsidR="006D71E3">
        <w:rPr>
          <w:rStyle w:val="FootnoteReference"/>
        </w:rPr>
        <w:footnoteReference w:id="172"/>
      </w:r>
      <w:r w:rsidR="006D71E3">
        <w:t xml:space="preserve">  Other important state court cases interpreting nuisance’s interactions with eminent domain all permit destruction of buildings or personal property within the buildings, but do not go so far as to permit the forced transfer of the underlying property itself.</w:t>
      </w:r>
      <w:r w:rsidR="006D71E3">
        <w:rPr>
          <w:rStyle w:val="FootnoteReference"/>
        </w:rPr>
        <w:footnoteReference w:id="173"/>
      </w:r>
    </w:p>
    <w:p w:rsidR="009A77F3" w:rsidRPr="00FE5E31" w:rsidRDefault="006941A9" w:rsidP="00EA738D">
      <w:pPr>
        <w:spacing w:line="480" w:lineRule="auto"/>
        <w:ind w:firstLine="720"/>
      </w:pPr>
      <w:r>
        <w:t>One can see why case law does not support expanding the government’s right to seize properties under nuisance law where no crime has</w:t>
      </w:r>
      <w:r w:rsidR="00297B08">
        <w:t xml:space="preserve"> been committed. </w:t>
      </w:r>
      <w:r w:rsidR="0048018E">
        <w:t xml:space="preserve"> </w:t>
      </w:r>
      <w:r w:rsidR="00297B08">
        <w:t>First, such s</w:t>
      </w:r>
      <w:r>
        <w:t>eizure</w:t>
      </w:r>
      <w:r w:rsidR="00297B08">
        <w:t>s</w:t>
      </w:r>
      <w:r>
        <w:t xml:space="preserve"> will not deter </w:t>
      </w:r>
      <w:r>
        <w:lastRenderedPageBreak/>
        <w:t xml:space="preserve">the people of Detroit from </w:t>
      </w:r>
      <w:r w:rsidR="00703B16">
        <w:t>engaging in</w:t>
      </w:r>
      <w:r>
        <w:t xml:space="preserve"> </w:t>
      </w:r>
      <w:r w:rsidR="00297B08">
        <w:t xml:space="preserve">the types of </w:t>
      </w:r>
      <w:r>
        <w:t>crimes</w:t>
      </w:r>
      <w:r w:rsidR="00703B16">
        <w:t xml:space="preserve"> described in </w:t>
      </w:r>
      <w:r w:rsidR="00297B08">
        <w:rPr>
          <w:i/>
        </w:rPr>
        <w:t xml:space="preserve">Bennis, Ross, </w:t>
      </w:r>
      <w:r w:rsidR="00297B08">
        <w:t xml:space="preserve">and </w:t>
      </w:r>
      <w:r w:rsidR="00703B16">
        <w:rPr>
          <w:i/>
        </w:rPr>
        <w:t>Milton</w:t>
      </w:r>
      <w:r>
        <w:t>,</w:t>
      </w:r>
      <w:r w:rsidR="00FE5E31">
        <w:rPr>
          <w:rStyle w:val="FootnoteReference"/>
        </w:rPr>
        <w:footnoteReference w:id="174"/>
      </w:r>
      <w:r>
        <w:t xml:space="preserve"> and </w:t>
      </w:r>
      <w:r w:rsidR="009D01D4">
        <w:t xml:space="preserve">will </w:t>
      </w:r>
      <w:r>
        <w:t>not further the policy of rendering similar offenses unprofitable</w:t>
      </w:r>
      <w:r w:rsidR="00FE5E31">
        <w:t>.</w:t>
      </w:r>
      <w:r w:rsidR="00FE5E31">
        <w:rPr>
          <w:rStyle w:val="FootnoteReference"/>
        </w:rPr>
        <w:footnoteReference w:id="175"/>
      </w:r>
      <w:r w:rsidR="00FE5E31">
        <w:t xml:space="preserve">  Second, expanding the rational of </w:t>
      </w:r>
      <w:r w:rsidR="00FE5E31">
        <w:rPr>
          <w:i/>
        </w:rPr>
        <w:t>Bennis</w:t>
      </w:r>
      <w:r w:rsidR="00FE5E31">
        <w:t xml:space="preserve">, </w:t>
      </w:r>
      <w:r w:rsidR="00297B08">
        <w:rPr>
          <w:i/>
        </w:rPr>
        <w:t>Ross</w:t>
      </w:r>
      <w:r w:rsidR="00FE5E31">
        <w:rPr>
          <w:i/>
        </w:rPr>
        <w:t xml:space="preserve">, </w:t>
      </w:r>
      <w:r w:rsidR="00FE5E31">
        <w:t xml:space="preserve">and </w:t>
      </w:r>
      <w:r w:rsidR="00FE5E31">
        <w:rPr>
          <w:i/>
        </w:rPr>
        <w:t>Milton</w:t>
      </w:r>
      <w:r w:rsidR="00FE5E31">
        <w:t xml:space="preserve"> to poor people who cannot </w:t>
      </w:r>
      <w:r w:rsidR="00821756">
        <w:t>pay taxes and keep</w:t>
      </w:r>
      <w:r w:rsidR="00FE5E31">
        <w:t xml:space="preserve"> their houses</w:t>
      </w:r>
      <w:r w:rsidR="000F3BB9">
        <w:t xml:space="preserve"> from becoming dangerous</w:t>
      </w:r>
      <w:r w:rsidR="000F3BB9">
        <w:rPr>
          <w:rStyle w:val="FootnoteReference"/>
        </w:rPr>
        <w:footnoteReference w:id="176"/>
      </w:r>
      <w:r w:rsidR="00FE5E31">
        <w:t xml:space="preserve"> analogizes them to patrons of prostitutes, child abusers, thieves, drug dealers, and other felons.</w:t>
      </w:r>
      <w:r w:rsidR="00FE5E31">
        <w:rPr>
          <w:rStyle w:val="FootnoteReference"/>
        </w:rPr>
        <w:footnoteReference w:id="177"/>
      </w:r>
      <w:r w:rsidR="00FE5E31">
        <w:t xml:space="preserve">  While my other work has demonstrated that Fifth Amendment jurisprudence suffers from a lack of race and class consciousness,</w:t>
      </w:r>
      <w:r w:rsidR="00FE5E31">
        <w:rPr>
          <w:rStyle w:val="FootnoteReference"/>
        </w:rPr>
        <w:footnoteReference w:id="178"/>
      </w:r>
      <w:r w:rsidR="0048018E">
        <w:t xml:space="preserve"> hopefully the judiciary possesses the vision to see that this goes</w:t>
      </w:r>
      <w:r w:rsidR="00FE5E31">
        <w:t xml:space="preserve"> “too far.”</w:t>
      </w:r>
      <w:r w:rsidR="00FE5E31">
        <w:rPr>
          <w:rStyle w:val="FootnoteReference"/>
        </w:rPr>
        <w:footnoteReference w:id="179"/>
      </w:r>
      <w:r w:rsidR="0048018E">
        <w:t xml:space="preserve">  Professor David A. Dana recognizes</w:t>
      </w:r>
      <w:r w:rsidR="00FE5E31">
        <w:t xml:space="preserve"> that eminent domain law (specifically, reform) bears racist and classist “expressive meaning” in the way it parcels out permissions and denials of condemnations.</w:t>
      </w:r>
      <w:r w:rsidR="00FE5E31">
        <w:rPr>
          <w:rStyle w:val="FootnoteReference"/>
        </w:rPr>
        <w:footnoteReference w:id="180"/>
      </w:r>
      <w:r w:rsidR="0048018E">
        <w:t xml:space="preserve">  Similarly, i</w:t>
      </w:r>
      <w:r w:rsidR="00FE5E31">
        <w:t xml:space="preserve">f </w:t>
      </w:r>
      <w:r w:rsidR="0048018E">
        <w:t xml:space="preserve">courts allow </w:t>
      </w:r>
      <w:r w:rsidR="00703B16">
        <w:t>the D</w:t>
      </w:r>
      <w:r w:rsidR="00297B08">
        <w:t>L</w:t>
      </w:r>
      <w:r w:rsidR="00703B16">
        <w:t>B</w:t>
      </w:r>
      <w:r w:rsidR="00297B08">
        <w:t xml:space="preserve">A to acquire title to the </w:t>
      </w:r>
      <w:r w:rsidR="00FE5E31">
        <w:t xml:space="preserve">bulk of the 72 thousand properties the Task Force has in its sights </w:t>
      </w:r>
      <w:r w:rsidR="0048018E">
        <w:t xml:space="preserve">under the rationale of </w:t>
      </w:r>
      <w:r w:rsidR="0048018E">
        <w:rPr>
          <w:i/>
        </w:rPr>
        <w:t xml:space="preserve">Bennis, </w:t>
      </w:r>
      <w:r w:rsidR="0048018E">
        <w:t>et al</w:t>
      </w:r>
      <w:r w:rsidR="00FE5E31">
        <w:t>, this would express racist and classist meaning of the lowest order.</w:t>
      </w:r>
    </w:p>
    <w:p w:rsidR="009D01D4" w:rsidRPr="009D01D4" w:rsidRDefault="0048018E" w:rsidP="00EA738D">
      <w:pPr>
        <w:spacing w:line="480" w:lineRule="auto"/>
        <w:ind w:firstLine="720"/>
      </w:pPr>
      <w:r>
        <w:t>This is all quite bad, but</w:t>
      </w:r>
      <w:r w:rsidR="009D01D4" w:rsidRPr="009D01D4">
        <w:t xml:space="preserve"> legal dilemmas do not exhaust the list of problems raised by the Task Force’s recommendations:  A study of the history of blight condemnations r</w:t>
      </w:r>
      <w:r>
        <w:t>esembling those the Task Force urges</w:t>
      </w:r>
      <w:r w:rsidR="009D01D4" w:rsidRPr="009D01D4">
        <w:t xml:space="preserve"> counsels that these demolitions hazard social and economic perils for Detroit’s most vulnerable people.</w:t>
      </w:r>
    </w:p>
    <w:p w:rsidR="009D01D4" w:rsidRDefault="009D01D4" w:rsidP="00EA738D">
      <w:pPr>
        <w:spacing w:line="480" w:lineRule="auto"/>
        <w:ind w:firstLine="720"/>
      </w:pPr>
    </w:p>
    <w:p w:rsidR="00EC2C79" w:rsidRDefault="00EC2C79" w:rsidP="00EA738D">
      <w:pPr>
        <w:spacing w:line="480" w:lineRule="auto"/>
        <w:ind w:firstLine="720"/>
      </w:pPr>
      <w:r>
        <w:t xml:space="preserve">V.  Will the Task Force’s proposed razings hurt poor people?  </w:t>
      </w:r>
    </w:p>
    <w:p w:rsidR="00EC2C79" w:rsidRDefault="00457A61" w:rsidP="00EA738D">
      <w:pPr>
        <w:spacing w:line="480" w:lineRule="auto"/>
        <w:ind w:firstLine="720"/>
      </w:pPr>
      <w:r>
        <w:lastRenderedPageBreak/>
        <w:t>The Task Force recommends that Detroit government engage in bli</w:t>
      </w:r>
      <w:r w:rsidR="00F4349E">
        <w:t>ght condemnations under NAP in order to “help citizens.”</w:t>
      </w:r>
      <w:r w:rsidR="00F4349E">
        <w:rPr>
          <w:rStyle w:val="FootnoteReference"/>
        </w:rPr>
        <w:footnoteReference w:id="181"/>
      </w:r>
      <w:r w:rsidR="00F4349E">
        <w:t xml:space="preserve"> However,</w:t>
      </w:r>
      <w:r w:rsidR="00494A72">
        <w:t xml:space="preserve"> the long history of U.S. eminent domain law shows, blight condemnations hurt poor people.  I detail this problem in </w:t>
      </w:r>
      <w:r w:rsidR="00494A72">
        <w:rPr>
          <w:i/>
        </w:rPr>
        <w:t xml:space="preserve">Peering:  </w:t>
      </w:r>
      <w:r w:rsidR="00494A72">
        <w:t xml:space="preserve">In 1936’s </w:t>
      </w:r>
      <w:r w:rsidR="00494A72" w:rsidRPr="00494A72">
        <w:rPr>
          <w:i/>
        </w:rPr>
        <w:t>New York City Housing Authority v. Muller</w:t>
      </w:r>
      <w:r w:rsidR="00494A72" w:rsidRPr="00494A72">
        <w:t>,</w:t>
      </w:r>
      <w:r w:rsidR="00494A72">
        <w:rPr>
          <w:rStyle w:val="FootnoteReference"/>
        </w:rPr>
        <w:footnoteReference w:id="182"/>
      </w:r>
      <w:r w:rsidR="00494A72" w:rsidRPr="00494A72">
        <w:t xml:space="preserve"> </w:t>
      </w:r>
      <w:r w:rsidR="00D413DD">
        <w:t>the New York Court of A</w:t>
      </w:r>
      <w:r w:rsidR="00494A72">
        <w:t>ppeal allowed a blight condemnation that degraded and expelled poor immigrants in the Lower East Side.</w:t>
      </w:r>
      <w:r w:rsidR="00494A72">
        <w:rPr>
          <w:rStyle w:val="FootnoteReference"/>
        </w:rPr>
        <w:footnoteReference w:id="183"/>
      </w:r>
      <w:r w:rsidR="00494A72">
        <w:t xml:space="preserve">  In 1954’s </w:t>
      </w:r>
      <w:r w:rsidR="00494A72">
        <w:rPr>
          <w:i/>
        </w:rPr>
        <w:t>Berman v. Parker,</w:t>
      </w:r>
      <w:r w:rsidR="00494A72">
        <w:t xml:space="preserve"> the U.S. Supreme Court </w:t>
      </w:r>
      <w:r w:rsidR="00D413DD">
        <w:t>permitted</w:t>
      </w:r>
      <w:r w:rsidR="00494A72">
        <w:t xml:space="preserve"> a “Negr</w:t>
      </w:r>
      <w:r w:rsidR="00703B16">
        <w:t>o removal</w:t>
      </w:r>
      <w:r w:rsidR="00494A72">
        <w:t>”</w:t>
      </w:r>
      <w:r w:rsidR="008E1C81">
        <w:rPr>
          <w:rStyle w:val="FootnoteReference"/>
        </w:rPr>
        <w:footnoteReference w:id="184"/>
      </w:r>
      <w:r w:rsidR="00494A72">
        <w:t xml:space="preserve"> that</w:t>
      </w:r>
      <w:r w:rsidR="00A442E8">
        <w:t xml:space="preserve"> </w:t>
      </w:r>
      <w:r w:rsidR="00703B16">
        <w:t xml:space="preserve">dislocated </w:t>
      </w:r>
      <w:r w:rsidR="00A442E8">
        <w:t>97</w:t>
      </w:r>
      <w:r w:rsidR="00494A72">
        <w:t xml:space="preserve"> percent African American community.</w:t>
      </w:r>
      <w:r w:rsidR="00494A72">
        <w:rPr>
          <w:rStyle w:val="FootnoteReference"/>
        </w:rPr>
        <w:footnoteReference w:id="185"/>
      </w:r>
      <w:r w:rsidR="008E1C81">
        <w:t xml:space="preserve">  In 1981, the Florida Supreme Court approved of a tax increment revenue pledge that would service slum redevelopment</w:t>
      </w:r>
      <w:r w:rsidR="00FD7049">
        <w:t xml:space="preserve"> clearance that </w:t>
      </w:r>
      <w:r w:rsidR="008E1C81">
        <w:t>evict</w:t>
      </w:r>
      <w:r w:rsidR="00FD7049">
        <w:t>ed</w:t>
      </w:r>
      <w:r w:rsidR="008E1C81">
        <w:t xml:space="preserve"> a community of color,</w:t>
      </w:r>
      <w:r w:rsidR="008E1C81">
        <w:rPr>
          <w:rStyle w:val="FootnoteReference"/>
        </w:rPr>
        <w:footnoteReference w:id="186"/>
      </w:r>
      <w:r w:rsidR="008E1C81">
        <w:t xml:space="preserve"> </w:t>
      </w:r>
      <w:r w:rsidR="00EC2C79">
        <w:t xml:space="preserve">and </w:t>
      </w:r>
      <w:r w:rsidR="008E1C81">
        <w:t>in 1985 a Florida appeals court approved of slum condemnations in a largely minority area, which might have exacerbated homelessness.</w:t>
      </w:r>
      <w:r w:rsidR="008E1C81">
        <w:rPr>
          <w:rStyle w:val="FootnoteReference"/>
        </w:rPr>
        <w:footnoteReference w:id="187"/>
      </w:r>
      <w:r w:rsidR="00FD7049">
        <w:t xml:space="preserve">  Moreover, i</w:t>
      </w:r>
      <w:r w:rsidR="008E1C81">
        <w:t xml:space="preserve">n </w:t>
      </w:r>
      <w:r w:rsidR="008E1C81">
        <w:rPr>
          <w:i/>
        </w:rPr>
        <w:t>Peering,</w:t>
      </w:r>
      <w:r w:rsidR="008E1C81">
        <w:t xml:space="preserve"> I focus</w:t>
      </w:r>
      <w:r w:rsidR="002B36A7">
        <w:t>ed</w:t>
      </w:r>
      <w:r w:rsidR="008E1C81">
        <w:t xml:space="preserve"> </w:t>
      </w:r>
      <w:r w:rsidR="0007457A">
        <w:t xml:space="preserve">particularly </w:t>
      </w:r>
      <w:r w:rsidR="000E2C33">
        <w:t>on</w:t>
      </w:r>
      <w:r w:rsidR="008E1C81">
        <w:t xml:space="preserve"> </w:t>
      </w:r>
      <w:r w:rsidR="00D413DD">
        <w:t>a New York court’s</w:t>
      </w:r>
      <w:r w:rsidR="000E2C33">
        <w:t xml:space="preserve"> authorization of </w:t>
      </w:r>
      <w:r w:rsidR="008E1C81">
        <w:t xml:space="preserve">Columbia </w:t>
      </w:r>
      <w:r w:rsidR="000E2C33">
        <w:t xml:space="preserve">University’s 2000’s takeover of </w:t>
      </w:r>
      <w:r w:rsidR="002E78E2">
        <w:t xml:space="preserve">“blighted” Manhattanville and the resulting damage </w:t>
      </w:r>
      <w:r w:rsidR="008E1C81">
        <w:t xml:space="preserve">wrought on low-income, minority </w:t>
      </w:r>
      <w:r w:rsidR="002E78E2">
        <w:t>people</w:t>
      </w:r>
      <w:r w:rsidR="008E1C81">
        <w:t>.</w:t>
      </w:r>
      <w:r w:rsidR="008E1C81">
        <w:rPr>
          <w:rStyle w:val="FootnoteReference"/>
        </w:rPr>
        <w:footnoteReference w:id="188"/>
      </w:r>
      <w:r w:rsidR="008E1C81">
        <w:t xml:space="preserve"> </w:t>
      </w:r>
      <w:r w:rsidR="002B36A7">
        <w:t xml:space="preserve"> </w:t>
      </w:r>
    </w:p>
    <w:p w:rsidR="00EC2C79" w:rsidRDefault="00EC2C79" w:rsidP="00EA738D">
      <w:pPr>
        <w:spacing w:line="480" w:lineRule="auto"/>
        <w:ind w:firstLine="720"/>
      </w:pPr>
      <w:r>
        <w:t>For these</w:t>
      </w:r>
      <w:r w:rsidR="002B36A7">
        <w:t xml:space="preserve"> reason</w:t>
      </w:r>
      <w:r>
        <w:t>s</w:t>
      </w:r>
      <w:r w:rsidR="002B36A7">
        <w:t xml:space="preserve">, in </w:t>
      </w:r>
      <w:r w:rsidR="002B36A7">
        <w:rPr>
          <w:i/>
        </w:rPr>
        <w:t>Peering</w:t>
      </w:r>
      <w:r w:rsidR="002B36A7">
        <w:t xml:space="preserve"> </w:t>
      </w:r>
      <w:r w:rsidR="002B36A7" w:rsidRPr="002B36A7">
        <w:t>I reject</w:t>
      </w:r>
      <w:r w:rsidR="002B36A7">
        <w:t>ed</w:t>
      </w:r>
      <w:r w:rsidR="002B36A7" w:rsidRPr="002B36A7">
        <w:t xml:space="preserve"> blight condemnations </w:t>
      </w:r>
      <w:r w:rsidR="00F4349E">
        <w:t xml:space="preserve">(there, undertaken under the powers of eminent domain) </w:t>
      </w:r>
      <w:r w:rsidR="002B36A7" w:rsidRPr="002B36A7">
        <w:t>as</w:t>
      </w:r>
      <w:r w:rsidR="00D413DD">
        <w:t xml:space="preserve"> socially beneficial because they create</w:t>
      </w:r>
      <w:r w:rsidR="002B36A7" w:rsidRPr="002B36A7">
        <w:t xml:space="preserve"> </w:t>
      </w:r>
      <w:r w:rsidR="00D413DD">
        <w:t>human wreckage</w:t>
      </w:r>
      <w:r w:rsidR="002B36A7" w:rsidRPr="002B36A7">
        <w:t>.</w:t>
      </w:r>
      <w:r w:rsidR="002B36A7" w:rsidRPr="002B36A7">
        <w:rPr>
          <w:vertAlign w:val="superscript"/>
        </w:rPr>
        <w:footnoteReference w:id="189"/>
      </w:r>
      <w:r w:rsidR="002B36A7" w:rsidRPr="002B36A7">
        <w:t xml:space="preserve">  I am not alone:  A wide range of scholars</w:t>
      </w:r>
      <w:r>
        <w:t xml:space="preserve"> including David A. Dana, Rick Hills, and Audrey MacFarlane</w:t>
      </w:r>
      <w:r w:rsidR="002B36A7" w:rsidRPr="002B36A7">
        <w:t xml:space="preserve"> argue either for a severe restriction of blight’s definition,</w:t>
      </w:r>
      <w:r w:rsidR="002B36A7" w:rsidRPr="002B36A7">
        <w:rPr>
          <w:vertAlign w:val="superscript"/>
        </w:rPr>
        <w:footnoteReference w:id="190"/>
      </w:r>
      <w:r w:rsidR="002B36A7" w:rsidRPr="002B36A7">
        <w:t xml:space="preserve"> or make the case that condemnations must accompany </w:t>
      </w:r>
      <w:r w:rsidR="002B36A7" w:rsidRPr="002B36A7">
        <w:lastRenderedPageBreak/>
        <w:t>low–income housing provisions.</w:t>
      </w:r>
      <w:r w:rsidR="002B36A7" w:rsidRPr="002B36A7">
        <w:rPr>
          <w:vertAlign w:val="superscript"/>
        </w:rPr>
        <w:footnoteReference w:id="191"/>
      </w:r>
      <w:r w:rsidR="002B36A7" w:rsidRPr="002B36A7">
        <w:t xml:space="preserve">  Other</w:t>
      </w:r>
      <w:r>
        <w:t>s, like Ilya Somin,</w:t>
      </w:r>
      <w:r w:rsidR="002B36A7" w:rsidRPr="002B36A7">
        <w:t xml:space="preserve"> reject blight removal as qualifying as a public use under the 5</w:t>
      </w:r>
      <w:r w:rsidR="002B36A7" w:rsidRPr="002B36A7">
        <w:rPr>
          <w:vertAlign w:val="superscript"/>
        </w:rPr>
        <w:t>th</w:t>
      </w:r>
      <w:r w:rsidR="002B36A7" w:rsidRPr="002B36A7">
        <w:t xml:space="preserve"> Amendment in most or all situations.</w:t>
      </w:r>
      <w:r w:rsidR="002B36A7" w:rsidRPr="002B36A7">
        <w:rPr>
          <w:vertAlign w:val="superscript"/>
        </w:rPr>
        <w:footnoteReference w:id="192"/>
      </w:r>
    </w:p>
    <w:p w:rsidR="00F4349E" w:rsidRDefault="00F4349E" w:rsidP="00EA738D">
      <w:pPr>
        <w:spacing w:line="480" w:lineRule="auto"/>
        <w:ind w:firstLine="720"/>
      </w:pPr>
      <w:r>
        <w:t>While the Task Force recommends that Detroit engage these blight condemnations under nuisance laws</w:t>
      </w:r>
      <w:r w:rsidR="004977D6">
        <w:t xml:space="preserve"> </w:t>
      </w:r>
      <w:r>
        <w:t>rather than the powers of eminent domain</w:t>
      </w:r>
      <w:r w:rsidR="004977D6">
        <w:t>, the same dangers still manifest</w:t>
      </w:r>
      <w:r>
        <w:t xml:space="preserve">.  Early evidence of the social </w:t>
      </w:r>
      <w:r w:rsidR="00703B16">
        <w:t>damage</w:t>
      </w:r>
      <w:r>
        <w:t xml:space="preserve"> that occurs in the wake of Detroit bligh</w:t>
      </w:r>
      <w:r w:rsidR="006D440A">
        <w:t xml:space="preserve">t clearance through NAP as well as gentrification already exists:  </w:t>
      </w:r>
      <w:r w:rsidR="006E018F">
        <w:t>A r</w:t>
      </w:r>
      <w:r w:rsidR="00D413DD">
        <w:t>ecent r</w:t>
      </w:r>
      <w:r w:rsidR="006E018F">
        <w:t>eport by CBS Detroi</w:t>
      </w:r>
      <w:r w:rsidR="005A39AF">
        <w:t xml:space="preserve">t described </w:t>
      </w:r>
      <w:r w:rsidR="007B01AF">
        <w:t xml:space="preserve">how </w:t>
      </w:r>
      <w:r w:rsidR="00D413DD">
        <w:t xml:space="preserve">DLBA’s demolitions threaten </w:t>
      </w:r>
      <w:r w:rsidR="005A39AF">
        <w:t>homeless people with dislocation;</w:t>
      </w:r>
      <w:r w:rsidR="005A39AF">
        <w:rPr>
          <w:rStyle w:val="FootnoteReference"/>
        </w:rPr>
        <w:footnoteReference w:id="193"/>
      </w:r>
      <w:r w:rsidR="005A39AF">
        <w:t xml:space="preserve"> </w:t>
      </w:r>
      <w:r w:rsidR="004977D6">
        <w:t xml:space="preserve">further, recall Josh Bassett’s description of Mike Ilitch’s clearance of </w:t>
      </w:r>
      <w:r w:rsidR="00BA73F8">
        <w:t>the Cass Corridor and its effects on the people who once lived there.</w:t>
      </w:r>
      <w:r w:rsidR="00BA73F8">
        <w:rPr>
          <w:rStyle w:val="FootnoteReference"/>
        </w:rPr>
        <w:footnoteReference w:id="194"/>
      </w:r>
    </w:p>
    <w:p w:rsidR="00EC2C79" w:rsidRDefault="005E46A8" w:rsidP="00EA738D">
      <w:pPr>
        <w:spacing w:line="480" w:lineRule="auto"/>
        <w:ind w:firstLine="720"/>
      </w:pPr>
      <w:r>
        <w:t>So, i</w:t>
      </w:r>
      <w:r w:rsidR="00EC2C79">
        <w:t>f these legal and social hazards lurk in the Task Force’s plans, then, why are so few people complaining?</w:t>
      </w:r>
      <w:r w:rsidR="002B36A7" w:rsidRPr="002B36A7">
        <w:t xml:space="preserve">  </w:t>
      </w:r>
    </w:p>
    <w:p w:rsidR="005E46A8" w:rsidRPr="00703B16" w:rsidRDefault="005E46A8" w:rsidP="00EA738D">
      <w:pPr>
        <w:spacing w:line="480" w:lineRule="auto"/>
        <w:ind w:firstLine="720"/>
      </w:pPr>
      <w:r w:rsidRPr="00703B16">
        <w:t>VI)  Peering explains why so few people are complaining</w:t>
      </w:r>
      <w:r w:rsidR="00703B16">
        <w:t>.</w:t>
      </w:r>
    </w:p>
    <w:p w:rsidR="00EC2C79" w:rsidRDefault="00EC2C79" w:rsidP="00EA738D">
      <w:pPr>
        <w:spacing w:line="480" w:lineRule="auto"/>
        <w:ind w:firstLine="720"/>
      </w:pPr>
      <w:r>
        <w:t>A</w:t>
      </w:r>
      <w:r w:rsidR="004816E3">
        <w:t xml:space="preserve"> </w:t>
      </w:r>
      <w:r w:rsidR="00BA73F8">
        <w:t>few</w:t>
      </w:r>
      <w:r w:rsidR="004816E3">
        <w:t xml:space="preserve"> people </w:t>
      </w:r>
      <w:r>
        <w:t xml:space="preserve">in the press </w:t>
      </w:r>
      <w:r w:rsidR="004816E3">
        <w:t xml:space="preserve">have complained that the </w:t>
      </w:r>
      <w:r w:rsidR="003A121C">
        <w:t xml:space="preserve">proposed </w:t>
      </w:r>
      <w:r w:rsidR="004816E3">
        <w:t>blight clearance is nothing more than a “land grab,”</w:t>
      </w:r>
      <w:r w:rsidR="004816E3" w:rsidRPr="004816E3">
        <w:rPr>
          <w:vertAlign w:val="superscript"/>
        </w:rPr>
        <w:footnoteReference w:id="195"/>
      </w:r>
      <w:r w:rsidR="004816E3">
        <w:t xml:space="preserve"> </w:t>
      </w:r>
      <w:r>
        <w:t xml:space="preserve">and when </w:t>
      </w:r>
      <w:r w:rsidR="00703B16">
        <w:t xml:space="preserve">I </w:t>
      </w:r>
      <w:r w:rsidR="00BA73F8">
        <w:t>talked</w:t>
      </w:r>
      <w:r>
        <w:t xml:space="preserve"> about blight condemna</w:t>
      </w:r>
      <w:r w:rsidR="004E7484">
        <w:t>tions at Wayne County</w:t>
      </w:r>
      <w:r>
        <w:t xml:space="preserve"> Community College</w:t>
      </w:r>
      <w:r w:rsidR="004E7484">
        <w:t xml:space="preserve"> in </w:t>
      </w:r>
      <w:r w:rsidR="003A121C">
        <w:t>September</w:t>
      </w:r>
      <w:r w:rsidR="004E7484">
        <w:t xml:space="preserve"> of 2014</w:t>
      </w:r>
      <w:r>
        <w:t xml:space="preserve">, several </w:t>
      </w:r>
      <w:r w:rsidR="000A2584">
        <w:t>Detroiters in the audience</w:t>
      </w:r>
      <w:r>
        <w:t xml:space="preserve"> </w:t>
      </w:r>
      <w:r w:rsidR="004B6047">
        <w:t xml:space="preserve">described </w:t>
      </w:r>
      <w:r>
        <w:t xml:space="preserve">getting “left behind” </w:t>
      </w:r>
      <w:r w:rsidR="00BA73F8">
        <w:t>by</w:t>
      </w:r>
      <w:r w:rsidR="004E7484">
        <w:t xml:space="preserve"> the city</w:t>
      </w:r>
      <w:r w:rsidR="000A2584">
        <w:t>’s accelerating gentrification</w:t>
      </w:r>
      <w:r w:rsidR="004E7484">
        <w:t>.</w:t>
      </w:r>
      <w:r w:rsidR="004E7484">
        <w:rPr>
          <w:rStyle w:val="FootnoteReference"/>
        </w:rPr>
        <w:footnoteReference w:id="196"/>
      </w:r>
      <w:r w:rsidR="000A2584">
        <w:t xml:space="preserve">  In January 2015</w:t>
      </w:r>
      <w:r w:rsidR="004E7484">
        <w:t xml:space="preserve">, the World Socialist Web Site </w:t>
      </w:r>
      <w:r w:rsidR="000A2584">
        <w:t>lamented</w:t>
      </w:r>
      <w:r w:rsidR="00E8150A">
        <w:t xml:space="preserve"> that</w:t>
      </w:r>
      <w:r w:rsidR="004E7484">
        <w:t xml:space="preserve"> more </w:t>
      </w:r>
      <w:r w:rsidR="007B01AF">
        <w:lastRenderedPageBreak/>
        <w:t>than 100</w:t>
      </w:r>
      <w:r w:rsidR="004E7484">
        <w:t xml:space="preserve">,000 </w:t>
      </w:r>
      <w:r w:rsidR="00E8150A">
        <w:t>Detroiters are</w:t>
      </w:r>
      <w:r w:rsidR="004E7484">
        <w:t xml:space="preserve"> likely to </w:t>
      </w:r>
      <w:r w:rsidR="00E8150A">
        <w:t>face eviction</w:t>
      </w:r>
      <w:r w:rsidR="004E7484">
        <w:t xml:space="preserve"> in a “wave of home</w:t>
      </w:r>
      <w:r w:rsidR="005E46A8">
        <w:t xml:space="preserve"> </w:t>
      </w:r>
      <w:r w:rsidR="004E7484">
        <w:t>[tax] foreclosures.”</w:t>
      </w:r>
      <w:r w:rsidR="004E7484">
        <w:rPr>
          <w:rStyle w:val="FootnoteReference"/>
        </w:rPr>
        <w:footnoteReference w:id="197"/>
      </w:r>
      <w:r w:rsidR="004E7484">
        <w:t xml:space="preserve"> </w:t>
      </w:r>
      <w:r w:rsidR="00E8150A">
        <w:t xml:space="preserve"> </w:t>
      </w:r>
      <w:r w:rsidR="007B01AF">
        <w:t xml:space="preserve">But </w:t>
      </w:r>
      <w:r w:rsidR="00703B16">
        <w:t>Wayne</w:t>
      </w:r>
      <w:r w:rsidR="000A2584">
        <w:t xml:space="preserve"> State University Law Professor</w:t>
      </w:r>
      <w:r w:rsidR="00C365A8">
        <w:t xml:space="preserve"> </w:t>
      </w:r>
      <w:r w:rsidR="00703B16">
        <w:t xml:space="preserve">John </w:t>
      </w:r>
      <w:r w:rsidR="000A2584">
        <w:t xml:space="preserve">Mogk proves the most prominent </w:t>
      </w:r>
      <w:r w:rsidR="007B01AF">
        <w:t xml:space="preserve">of these </w:t>
      </w:r>
      <w:r w:rsidR="000A2584">
        <w:t>critic</w:t>
      </w:r>
      <w:r w:rsidR="007B01AF">
        <w:t>s</w:t>
      </w:r>
      <w:r w:rsidR="000A2584">
        <w:t>.</w:t>
      </w:r>
      <w:r w:rsidR="000A2584">
        <w:rPr>
          <w:rStyle w:val="FootnoteReference"/>
        </w:rPr>
        <w:footnoteReference w:id="198"/>
      </w:r>
      <w:r w:rsidR="000A2584">
        <w:t xml:space="preserve">   He has </w:t>
      </w:r>
      <w:r w:rsidR="00C365A8">
        <w:t>written that Michigan should amend its constitution to allow the government to use eminent domain for economic development,</w:t>
      </w:r>
      <w:r w:rsidR="00C365A8">
        <w:rPr>
          <w:rStyle w:val="FootnoteReference"/>
        </w:rPr>
        <w:footnoteReference w:id="199"/>
      </w:r>
      <w:r w:rsidR="00C365A8">
        <w:t xml:space="preserve"> and that Detroit needs to abolish residential property taxes to prevent mass home foreclosures, </w:t>
      </w:r>
      <w:r w:rsidR="00BA73F8">
        <w:t>which primarily affect</w:t>
      </w:r>
      <w:r w:rsidR="00C365A8">
        <w:t xml:space="preserve"> the poor.</w:t>
      </w:r>
      <w:r w:rsidR="00C365A8">
        <w:rPr>
          <w:rStyle w:val="FootnoteReference"/>
        </w:rPr>
        <w:footnoteReference w:id="200"/>
      </w:r>
      <w:r w:rsidR="00C365A8">
        <w:t xml:space="preserve">  </w:t>
      </w:r>
      <w:r w:rsidR="000A2584">
        <w:t xml:space="preserve">In 2006, </w:t>
      </w:r>
      <w:r w:rsidR="00C365A8">
        <w:t xml:space="preserve">Professor Mogk also worried in print that the </w:t>
      </w:r>
      <w:r w:rsidR="00EE3FE9">
        <w:t>NAP</w:t>
      </w:r>
      <w:r w:rsidR="00C365A8">
        <w:t xml:space="preserve"> </w:t>
      </w:r>
      <w:r w:rsidR="00BA73F8">
        <w:t>constitutes</w:t>
      </w:r>
      <w:r w:rsidR="000B6850">
        <w:t xml:space="preserve"> a “forced transfer” that exists in an “unclear constitutional area.”</w:t>
      </w:r>
      <w:r w:rsidR="000B6850">
        <w:rPr>
          <w:rStyle w:val="FootnoteReference"/>
        </w:rPr>
        <w:footnoteReference w:id="201"/>
      </w:r>
    </w:p>
    <w:p w:rsidR="002B36A7" w:rsidRPr="002B36A7" w:rsidRDefault="007B01AF" w:rsidP="00EA738D">
      <w:pPr>
        <w:spacing w:line="480" w:lineRule="auto"/>
        <w:ind w:firstLine="720"/>
      </w:pPr>
      <w:r>
        <w:t>Yet</w:t>
      </w:r>
      <w:r w:rsidR="000B6850">
        <w:t xml:space="preserve"> w</w:t>
      </w:r>
      <w:r w:rsidR="004816E3">
        <w:t xml:space="preserve">hy have </w:t>
      </w:r>
      <w:r w:rsidR="002B36A7">
        <w:t xml:space="preserve">these problems not been raised by </w:t>
      </w:r>
      <w:r w:rsidR="000B6850">
        <w:t xml:space="preserve">more </w:t>
      </w:r>
      <w:r w:rsidR="002B36A7">
        <w:t xml:space="preserve">vociferous constitutionalists or </w:t>
      </w:r>
      <w:r w:rsidR="005E46A8">
        <w:t xml:space="preserve">higher-profile </w:t>
      </w:r>
      <w:r w:rsidR="002B36A7">
        <w:t>advocates for low-income people?  This question connects with confusion over why nuisance</w:t>
      </w:r>
      <w:r w:rsidR="002B36A7" w:rsidRPr="002B36A7">
        <w:t xml:space="preserve"> abatements </w:t>
      </w:r>
      <w:r w:rsidR="005E46A8">
        <w:t xml:space="preserve">have </w:t>
      </w:r>
      <w:r w:rsidR="002B36A7" w:rsidRPr="002B36A7">
        <w:t>not been derailed by takings claims alr</w:t>
      </w:r>
      <w:r w:rsidR="00DD1341">
        <w:t>eady, as Mike Brady informed me.</w:t>
      </w:r>
      <w:r w:rsidR="004816E3">
        <w:rPr>
          <w:rStyle w:val="FootnoteReference"/>
        </w:rPr>
        <w:footnoteReference w:id="202"/>
      </w:r>
      <w:r w:rsidR="002B36A7" w:rsidRPr="002B36A7">
        <w:t xml:space="preserve">  </w:t>
      </w:r>
      <w:r w:rsidR="00DD1341">
        <w:t>Josh explains this omission as a product of the politics of desperation,</w:t>
      </w:r>
      <w:r w:rsidR="004816E3">
        <w:rPr>
          <w:rStyle w:val="FootnoteReference"/>
        </w:rPr>
        <w:footnoteReference w:id="203"/>
      </w:r>
      <w:r w:rsidR="00DD1341">
        <w:t xml:space="preserve"> and his take on the problem is a most sympathetic one.  But more disturbing explanations also exist:  </w:t>
      </w:r>
      <w:r w:rsidR="002B36A7">
        <w:t xml:space="preserve">A study of the peering practices that the Task Force and Mr. Gilbert express so powerfully </w:t>
      </w:r>
      <w:r w:rsidR="00DD1341">
        <w:t xml:space="preserve">helps </w:t>
      </w:r>
      <w:r w:rsidR="00BA73F8">
        <w:t>illuminate</w:t>
      </w:r>
      <w:r w:rsidR="002B36A7">
        <w:t xml:space="preserve"> why</w:t>
      </w:r>
      <w:r w:rsidR="00DD1341">
        <w:t xml:space="preserve"> there exists a paucity of push-back to the </w:t>
      </w:r>
      <w:r w:rsidR="00EE3FE9">
        <w:t xml:space="preserve">seizure and </w:t>
      </w:r>
      <w:r w:rsidR="00DD1341">
        <w:t>clearance project</w:t>
      </w:r>
      <w:r w:rsidR="002B36A7">
        <w:t xml:space="preserve">.  </w:t>
      </w:r>
      <w:r w:rsidR="004816E3">
        <w:t>These optics</w:t>
      </w:r>
      <w:r w:rsidR="002B36A7" w:rsidRPr="002B36A7">
        <w:t xml:space="preserve"> have </w:t>
      </w:r>
      <w:r w:rsidR="00974B2A">
        <w:t xml:space="preserve">frightened the citizenry with threats of illness and contagion, and seduced them with promises of fresh wealth, which </w:t>
      </w:r>
      <w:r w:rsidR="002B36A7" w:rsidRPr="002B36A7">
        <w:t>encourages a scorched earth approach that overlooks constitutional and social dilemmas.</w:t>
      </w:r>
    </w:p>
    <w:p w:rsidR="00494A72" w:rsidRDefault="005E46A8" w:rsidP="00EA738D">
      <w:pPr>
        <w:spacing w:line="480" w:lineRule="auto"/>
        <w:ind w:firstLine="720"/>
      </w:pPr>
      <w:r>
        <w:lastRenderedPageBreak/>
        <w:t>In the following sections</w:t>
      </w:r>
      <w:r w:rsidR="004816E3">
        <w:t xml:space="preserve"> I will explain my theory of peering and show how it now operates in Detroit.</w:t>
      </w:r>
    </w:p>
    <w:p w:rsidR="008B66F1" w:rsidRDefault="008B66F1" w:rsidP="00EA738D">
      <w:pPr>
        <w:spacing w:line="480" w:lineRule="auto"/>
        <w:ind w:firstLine="720"/>
      </w:pPr>
    </w:p>
    <w:p w:rsidR="00355A34" w:rsidRDefault="00852DFC" w:rsidP="00EA738D">
      <w:pPr>
        <w:pStyle w:val="ListParagraph"/>
        <w:numPr>
          <w:ilvl w:val="0"/>
          <w:numId w:val="17"/>
        </w:numPr>
        <w:spacing w:line="480" w:lineRule="auto"/>
      </w:pPr>
      <w:r>
        <w:t>Peering, explained</w:t>
      </w:r>
    </w:p>
    <w:p w:rsidR="003C5072" w:rsidRPr="00B105FE" w:rsidRDefault="003C5072" w:rsidP="00EA738D">
      <w:pPr>
        <w:pStyle w:val="ListParagraph"/>
        <w:spacing w:line="480" w:lineRule="auto"/>
        <w:ind w:left="1800"/>
      </w:pPr>
    </w:p>
    <w:p w:rsidR="003C5072" w:rsidRDefault="003C5072" w:rsidP="00EA738D">
      <w:pPr>
        <w:spacing w:line="480" w:lineRule="auto"/>
        <w:ind w:firstLine="720"/>
      </w:pPr>
      <w:r>
        <w:t>Here, I describe where my theory comes from, how it works in eminent domain cases, and how it constitutes a form of violence.</w:t>
      </w:r>
    </w:p>
    <w:p w:rsidR="003C5072" w:rsidRDefault="003C5072" w:rsidP="00E924CD">
      <w:pPr>
        <w:pStyle w:val="ListParagraph"/>
        <w:numPr>
          <w:ilvl w:val="0"/>
          <w:numId w:val="26"/>
        </w:numPr>
        <w:spacing w:line="480" w:lineRule="auto"/>
      </w:pPr>
      <w:r>
        <w:t xml:space="preserve"> Where “peering” comes from and how it works.</w:t>
      </w:r>
    </w:p>
    <w:p w:rsidR="00EF347C" w:rsidRDefault="00FB7732" w:rsidP="00EA738D">
      <w:pPr>
        <w:spacing w:line="480" w:lineRule="auto"/>
        <w:ind w:firstLine="720"/>
      </w:pPr>
      <w:r>
        <w:t>Government officials and judges</w:t>
      </w:r>
      <w:r w:rsidR="00226335">
        <w:t xml:space="preserve"> </w:t>
      </w:r>
      <w:r w:rsidR="00325B55">
        <w:t>invent legal optics when describing communities during condemnation proceedings</w:t>
      </w:r>
      <w:r w:rsidR="00355A34">
        <w:t xml:space="preserve">.  </w:t>
      </w:r>
      <w:r w:rsidR="00EE3E6B">
        <w:t xml:space="preserve">I borrow </w:t>
      </w:r>
      <w:r w:rsidR="00325B55">
        <w:t>part of this revelation</w:t>
      </w:r>
      <w:r w:rsidR="00EE3E6B">
        <w:t xml:space="preserve"> from film </w:t>
      </w:r>
      <w:r w:rsidR="00523492">
        <w:t>and race criticism, which examines the “male gaze,”</w:t>
      </w:r>
      <w:r w:rsidR="00523492" w:rsidRPr="003C5072">
        <w:rPr>
          <w:vertAlign w:val="superscript"/>
        </w:rPr>
        <w:t xml:space="preserve"> </w:t>
      </w:r>
      <w:r w:rsidR="00523492" w:rsidRPr="00523492">
        <w:rPr>
          <w:vertAlign w:val="superscript"/>
        </w:rPr>
        <w:footnoteReference w:id="204"/>
      </w:r>
      <w:r w:rsidR="00523492" w:rsidRPr="00523492">
        <w:t xml:space="preserve"> </w:t>
      </w:r>
      <w:r w:rsidR="00523492">
        <w:t xml:space="preserve"> and the “white gaze”</w:t>
      </w:r>
      <w:r w:rsidR="00EE3E6B">
        <w:rPr>
          <w:rStyle w:val="FootnoteReference"/>
        </w:rPr>
        <w:footnoteReference w:id="205"/>
      </w:r>
      <w:r w:rsidR="00EE3E6B">
        <w:t xml:space="preserve"> </w:t>
      </w:r>
      <w:r w:rsidR="00523492">
        <w:t>that objectify women and people of color.</w:t>
      </w:r>
      <w:r w:rsidR="009B64B4">
        <w:t xml:space="preserve"> </w:t>
      </w:r>
      <w:r w:rsidR="00EE3E6B">
        <w:t xml:space="preserve"> </w:t>
      </w:r>
      <w:r w:rsidR="00EE3E6B" w:rsidRPr="00EE3E6B">
        <w:t>I</w:t>
      </w:r>
      <w:r w:rsidR="00E5445C">
        <w:t xml:space="preserve">n </w:t>
      </w:r>
      <w:r w:rsidR="00E5445C" w:rsidRPr="003C5072">
        <w:rPr>
          <w:i/>
        </w:rPr>
        <w:t xml:space="preserve">Peering, </w:t>
      </w:r>
      <w:r w:rsidR="00E5445C">
        <w:t>I</w:t>
      </w:r>
      <w:r w:rsidR="00EE3E6B">
        <w:t xml:space="preserve"> </w:t>
      </w:r>
      <w:r>
        <w:t>identified</w:t>
      </w:r>
      <w:r w:rsidR="00EE3E6B">
        <w:t xml:space="preserve"> a </w:t>
      </w:r>
      <w:r w:rsidR="00325B55">
        <w:t xml:space="preserve">judicial and official </w:t>
      </w:r>
      <w:r w:rsidR="00EE3E6B">
        <w:t xml:space="preserve">classed gaze that </w:t>
      </w:r>
      <w:r w:rsidR="00C515DE">
        <w:t>appraises</w:t>
      </w:r>
      <w:r w:rsidR="00EE3E6B">
        <w:t xml:space="preserve"> poor people.</w:t>
      </w:r>
      <w:r w:rsidR="009B64B4">
        <w:rPr>
          <w:rStyle w:val="FootnoteReference"/>
        </w:rPr>
        <w:footnoteReference w:id="206"/>
      </w:r>
      <w:r w:rsidR="00EE3E6B">
        <w:t xml:space="preserve"> </w:t>
      </w:r>
      <w:r w:rsidR="00C515DE">
        <w:t xml:space="preserve"> </w:t>
      </w:r>
      <w:r w:rsidR="00EE3E6B">
        <w:t xml:space="preserve">I call this gaze peering, because this look is more than a noun – the gaze. </w:t>
      </w:r>
      <w:r w:rsidR="006C1E23">
        <w:t xml:space="preserve"> </w:t>
      </w:r>
      <w:r w:rsidR="00EE3E6B">
        <w:t xml:space="preserve">It is a verb – to peer. </w:t>
      </w:r>
      <w:r w:rsidR="006C1E23">
        <w:t xml:space="preserve"> </w:t>
      </w:r>
      <w:r w:rsidR="00EE3E6B">
        <w:t xml:space="preserve">When courts peer, they regard the poor (and the rich) in light of their class (or their aspirations to class), and also fix poor people into their </w:t>
      </w:r>
      <w:r w:rsidR="00C515DE">
        <w:t xml:space="preserve">proper </w:t>
      </w:r>
      <w:r w:rsidR="00EE3E6B">
        <w:t xml:space="preserve">positions.  </w:t>
      </w:r>
      <w:r w:rsidR="009733D3">
        <w:t>I</w:t>
      </w:r>
      <w:r w:rsidR="00E5445C">
        <w:t xml:space="preserve">n my study of the bench’s visual habits in eminent domain cases, I found that judges not only peer at these communities, but </w:t>
      </w:r>
      <w:r w:rsidR="00FD571C">
        <w:t xml:space="preserve">also </w:t>
      </w:r>
      <w:r w:rsidR="00E5445C">
        <w:t xml:space="preserve">ask whether those communities </w:t>
      </w:r>
      <w:r w:rsidR="001A65A5">
        <w:t>sufficed</w:t>
      </w:r>
      <w:r w:rsidR="00E5445C">
        <w:t xml:space="preserve"> as the court’s peers.</w:t>
      </w:r>
      <w:r w:rsidR="00A2705C">
        <w:rPr>
          <w:rStyle w:val="FootnoteReference"/>
        </w:rPr>
        <w:footnoteReference w:id="207"/>
      </w:r>
      <w:r w:rsidR="00E5445C">
        <w:t xml:space="preserve">  This gesture took the forms of what I call the </w:t>
      </w:r>
      <w:r w:rsidR="00E5445C" w:rsidRPr="003C5072">
        <w:rPr>
          <w:i/>
        </w:rPr>
        <w:t>downward</w:t>
      </w:r>
      <w:r w:rsidR="00A2705C">
        <w:rPr>
          <w:rStyle w:val="FootnoteReference"/>
          <w:i/>
        </w:rPr>
        <w:footnoteReference w:id="208"/>
      </w:r>
      <w:r w:rsidR="00E5445C">
        <w:t xml:space="preserve"> and </w:t>
      </w:r>
      <w:r w:rsidR="00E5445C" w:rsidRPr="003C5072">
        <w:rPr>
          <w:i/>
        </w:rPr>
        <w:t>upward</w:t>
      </w:r>
      <w:r w:rsidR="00E5445C">
        <w:t xml:space="preserve"> or </w:t>
      </w:r>
      <w:r w:rsidR="00E5445C" w:rsidRPr="003C5072">
        <w:rPr>
          <w:i/>
        </w:rPr>
        <w:t xml:space="preserve">aspirational </w:t>
      </w:r>
      <w:r w:rsidR="00E5445C">
        <w:lastRenderedPageBreak/>
        <w:t>gazes,</w:t>
      </w:r>
      <w:r w:rsidR="00A2705C">
        <w:rPr>
          <w:rStyle w:val="FootnoteReference"/>
        </w:rPr>
        <w:footnoteReference w:id="209"/>
      </w:r>
      <w:r w:rsidR="003C5072">
        <w:t xml:space="preserve"> and I discovered </w:t>
      </w:r>
      <w:r w:rsidR="00E5445C">
        <w:t>these optics bore ghastly</w:t>
      </w:r>
      <w:r w:rsidR="00EE3E6B">
        <w:t xml:space="preserve"> consequences</w:t>
      </w:r>
      <w:r w:rsidR="00C515DE">
        <w:t xml:space="preserve"> that </w:t>
      </w:r>
      <w:r w:rsidR="001A65A5">
        <w:t>haunt</w:t>
      </w:r>
      <w:r w:rsidR="00C515DE">
        <w:t xml:space="preserve"> the law of eminent domain</w:t>
      </w:r>
      <w:r w:rsidR="00EE3E6B">
        <w:t>.</w:t>
      </w:r>
      <w:r w:rsidR="00EF347C">
        <w:t xml:space="preserve">  </w:t>
      </w:r>
    </w:p>
    <w:p w:rsidR="00523492" w:rsidRDefault="00523492" w:rsidP="00EA738D">
      <w:pPr>
        <w:spacing w:line="480" w:lineRule="auto"/>
        <w:ind w:firstLine="720"/>
      </w:pPr>
      <w:r>
        <w:t>The downward gaze looks “down” on poor communities and describes them as contagious and monstrous.  This pract</w:t>
      </w:r>
      <w:r w:rsidR="00562C9E">
        <w:t xml:space="preserve">ice proves not exclusive to law; it can be found in “ruin porn” photojournalism that depicts Detroit itself. </w:t>
      </w:r>
      <w:r w:rsidR="009733D3">
        <w:t xml:space="preserve"> </w:t>
      </w:r>
      <w:r w:rsidR="00562C9E">
        <w:t>This</w:t>
      </w:r>
      <w:r w:rsidR="00562C9E" w:rsidRPr="00562C9E">
        <w:t xml:space="preserve"> </w:t>
      </w:r>
      <w:r w:rsidR="00562C9E">
        <w:t xml:space="preserve">genre of photography </w:t>
      </w:r>
      <w:r w:rsidR="00562C9E" w:rsidRPr="00562C9E">
        <w:t>traffi</w:t>
      </w:r>
      <w:r w:rsidR="009733D3">
        <w:t>cs in Motown’s devoured housing,</w:t>
      </w:r>
      <w:r w:rsidR="00562C9E" w:rsidRPr="00562C9E">
        <w:rPr>
          <w:vertAlign w:val="superscript"/>
        </w:rPr>
        <w:footnoteReference w:id="210"/>
      </w:r>
      <w:r w:rsidR="009733D3">
        <w:t xml:space="preserve"> and s</w:t>
      </w:r>
      <w:r w:rsidR="00562C9E" w:rsidRPr="00562C9E">
        <w:t>ome of the most controversial images spring from the lenses of Yves Marchand and Romaine Meffre.  When making their book</w:t>
      </w:r>
      <w:r w:rsidR="00562C9E" w:rsidRPr="009B64B4">
        <w:rPr>
          <w:i/>
        </w:rPr>
        <w:t xml:space="preserve">, </w:t>
      </w:r>
      <w:r w:rsidR="00562C9E" w:rsidRPr="009B64B4">
        <w:rPr>
          <w:smallCaps/>
        </w:rPr>
        <w:t>The Ruins of Detroit (</w:t>
      </w:r>
      <w:r w:rsidR="00562C9E" w:rsidRPr="00562C9E">
        <w:t>2011), they relied on the monstrous downward gaze, and also consistently eliminated human beings in their landscapes.</w:t>
      </w:r>
      <w:r w:rsidR="00562C9E" w:rsidRPr="00562C9E">
        <w:rPr>
          <w:vertAlign w:val="superscript"/>
        </w:rPr>
        <w:footnoteReference w:id="211"/>
      </w:r>
      <w:r w:rsidR="00562C9E" w:rsidRPr="00562C9E">
        <w:t xml:space="preserve">  In their pictures, poverty spreads a mesmerizing, contagious disease.</w:t>
      </w:r>
      <w:r w:rsidR="00562C9E" w:rsidRPr="00562C9E">
        <w:rPr>
          <w:vertAlign w:val="superscript"/>
        </w:rPr>
        <w:footnoteReference w:id="212"/>
      </w:r>
      <w:r w:rsidR="00562C9E" w:rsidRPr="00562C9E">
        <w:t xml:space="preserve">  The absence of people proves </w:t>
      </w:r>
      <w:r w:rsidR="009733D3">
        <w:t>t</w:t>
      </w:r>
      <w:r w:rsidR="00562C9E" w:rsidRPr="00562C9E">
        <w:t xml:space="preserve">roubling:  While erased from the scene, residents’ absence itself offers a racial referent.  One can read in these winnowed photographs silent accusations that </w:t>
      </w:r>
      <w:r w:rsidR="009733D3">
        <w:t xml:space="preserve">slothful </w:t>
      </w:r>
      <w:r w:rsidR="00562C9E" w:rsidRPr="00562C9E">
        <w:t>Detroiters caused this catastrophe.</w:t>
      </w:r>
      <w:r w:rsidR="00562C9E" w:rsidRPr="00562C9E">
        <w:rPr>
          <w:vertAlign w:val="superscript"/>
        </w:rPr>
        <w:footnoteReference w:id="213"/>
      </w:r>
      <w:r w:rsidR="00562C9E" w:rsidRPr="00562C9E">
        <w:t xml:space="preserve">  </w:t>
      </w:r>
    </w:p>
    <w:p w:rsidR="00523492" w:rsidRDefault="00562C9E" w:rsidP="00EA738D">
      <w:pPr>
        <w:spacing w:line="480" w:lineRule="auto"/>
        <w:ind w:firstLine="720"/>
      </w:pPr>
      <w:r>
        <w:t>This downward gaze also directs</w:t>
      </w:r>
      <w:r w:rsidR="00523492">
        <w:t xml:space="preserve"> </w:t>
      </w:r>
      <w:r>
        <w:t xml:space="preserve">government </w:t>
      </w:r>
      <w:r w:rsidR="00523492">
        <w:t>slum clearance</w:t>
      </w:r>
      <w:r>
        <w:t xml:space="preserve"> efforts</w:t>
      </w:r>
      <w:r w:rsidR="00523492">
        <w:t xml:space="preserve"> </w:t>
      </w:r>
      <w:r>
        <w:t xml:space="preserve">that courts </w:t>
      </w:r>
      <w:r w:rsidR="00523492">
        <w:t xml:space="preserve">usually </w:t>
      </w:r>
      <w:r>
        <w:t>uphold</w:t>
      </w:r>
      <w:r w:rsidR="00523492">
        <w:t xml:space="preserve">.  </w:t>
      </w:r>
      <w:r w:rsidR="00523492" w:rsidRPr="00523492">
        <w:t xml:space="preserve">When courts and officials look down on communities in </w:t>
      </w:r>
      <w:r w:rsidR="00523492">
        <w:t xml:space="preserve">these </w:t>
      </w:r>
      <w:r w:rsidR="00523492" w:rsidRPr="00523492">
        <w:t xml:space="preserve">eminent domain decisions, they discover there </w:t>
      </w:r>
      <w:r w:rsidR="005D4B02">
        <w:t xml:space="preserve">horrific, </w:t>
      </w:r>
      <w:r w:rsidR="00523492" w:rsidRPr="00523492">
        <w:t xml:space="preserve">unclean </w:t>
      </w:r>
      <w:r w:rsidR="009B64B4">
        <w:t>subhumans</w:t>
      </w:r>
      <w:r w:rsidR="00523492" w:rsidRPr="00523492">
        <w:t>.  This revelation helps them discover that these communities cannot hope to be the bench’s peers, and facilitates condemnations.</w:t>
      </w:r>
      <w:r w:rsidR="00523492" w:rsidRPr="00523492">
        <w:rPr>
          <w:vertAlign w:val="superscript"/>
        </w:rPr>
        <w:footnoteReference w:id="214"/>
      </w:r>
      <w:r w:rsidR="00523492" w:rsidRPr="00523492">
        <w:t xml:space="preserve"> </w:t>
      </w:r>
      <w:r w:rsidR="009B64B4">
        <w:t xml:space="preserve"> </w:t>
      </w:r>
      <w:r w:rsidR="00523492">
        <w:t>Such a practice can be found, for example, in the</w:t>
      </w:r>
      <w:r w:rsidR="00523492" w:rsidRPr="00523492">
        <w:t xml:space="preserve"> 1954 U.S. Supreme Court decision </w:t>
      </w:r>
      <w:r w:rsidR="00523492" w:rsidRPr="00523492">
        <w:rPr>
          <w:i/>
        </w:rPr>
        <w:t>Berman v. Parker</w:t>
      </w:r>
      <w:r w:rsidR="00523492">
        <w:rPr>
          <w:i/>
        </w:rPr>
        <w:t>.</w:t>
      </w:r>
      <w:r w:rsidR="00523492" w:rsidRPr="00523492">
        <w:rPr>
          <w:i/>
          <w:vertAlign w:val="superscript"/>
        </w:rPr>
        <w:footnoteReference w:id="215"/>
      </w:r>
      <w:r w:rsidR="00523492" w:rsidRPr="00523492">
        <w:t xml:space="preserve">  </w:t>
      </w:r>
      <w:r w:rsidR="00523492" w:rsidRPr="00523492">
        <w:rPr>
          <w:i/>
        </w:rPr>
        <w:t>Berman</w:t>
      </w:r>
      <w:r w:rsidR="00523492" w:rsidRPr="00523492">
        <w:t xml:space="preserve"> allowed Washington </w:t>
      </w:r>
      <w:r w:rsidR="00523492" w:rsidRPr="00523492">
        <w:lastRenderedPageBreak/>
        <w:t xml:space="preserve">D.C. authorities to condemn blighted territories, removing 5,012 people </w:t>
      </w:r>
      <w:r w:rsidR="00E924CD">
        <w:t xml:space="preserve">(mostly African-American) </w:t>
      </w:r>
      <w:r w:rsidR="00523492" w:rsidRPr="00523492">
        <w:t xml:space="preserve">from their homes.  </w:t>
      </w:r>
      <w:r w:rsidR="00523492">
        <w:t>The</w:t>
      </w:r>
      <w:r w:rsidR="00523492" w:rsidRPr="00523492">
        <w:t xml:space="preserve"> area could be condemned, and people cast adrift, because the region</w:t>
      </w:r>
      <w:r w:rsidR="009733D3">
        <w:t>’s blight</w:t>
      </w:r>
      <w:r w:rsidR="00523492" w:rsidRPr="00523492">
        <w:t xml:space="preserve"> “spread disease and crime and immorality[,] . . .  reducing the people who live there to the status of cattle. . . . The misery of housing may despoil a community as an open sewer may ruin a river.</w:t>
      </w:r>
      <w:r w:rsidR="00523492" w:rsidRPr="00523492">
        <w:rPr>
          <w:vertAlign w:val="superscript"/>
        </w:rPr>
        <w:footnoteReference w:id="216"/>
      </w:r>
      <w:r w:rsidR="00523492" w:rsidRPr="00523492">
        <w:t xml:space="preserve"> </w:t>
      </w:r>
      <w:r w:rsidR="009B64B4">
        <w:t xml:space="preserve"> </w:t>
      </w:r>
      <w:r w:rsidR="00523492">
        <w:t>Cases</w:t>
      </w:r>
      <w:r w:rsidR="00523492" w:rsidRPr="00523492">
        <w:t xml:space="preserve"> in New York, Florida, Ohio, and New Jersey </w:t>
      </w:r>
      <w:r w:rsidR="00523492">
        <w:t>have followed</w:t>
      </w:r>
      <w:r w:rsidR="00523492" w:rsidRPr="00523492">
        <w:t xml:space="preserve"> this same pathology.</w:t>
      </w:r>
      <w:r w:rsidR="00523492" w:rsidRPr="00523492">
        <w:rPr>
          <w:vertAlign w:val="superscript"/>
        </w:rPr>
        <w:footnoteReference w:id="217"/>
      </w:r>
      <w:r w:rsidR="00523492" w:rsidRPr="00523492">
        <w:t xml:space="preserve">  </w:t>
      </w:r>
      <w:r w:rsidR="00523492">
        <w:t>There</w:t>
      </w:r>
      <w:r w:rsidR="00523492" w:rsidRPr="00523492">
        <w:t>, communities cited for b</w:t>
      </w:r>
      <w:r w:rsidR="009B64B4">
        <w:t>light were described monstrous, animalistic,</w:t>
      </w:r>
      <w:r w:rsidR="00523492" w:rsidRPr="00523492">
        <w:t xml:space="preserve"> or referred to as dangerously contagious.</w:t>
      </w:r>
      <w:r w:rsidR="00523492" w:rsidRPr="00523492">
        <w:rPr>
          <w:vertAlign w:val="superscript"/>
        </w:rPr>
        <w:footnoteReference w:id="218"/>
      </w:r>
      <w:r w:rsidR="00523492" w:rsidRPr="00523492">
        <w:t xml:space="preserve">  </w:t>
      </w:r>
      <w:r w:rsidR="00523492">
        <w:t>The</w:t>
      </w:r>
      <w:r w:rsidR="00523492" w:rsidRPr="00523492">
        <w:t xml:space="preserve"> resulting findings of blight then led to low-income people and people of color’s eviction, exclusion, and, possibly, homelessness.</w:t>
      </w:r>
      <w:r w:rsidR="00523492">
        <w:rPr>
          <w:rStyle w:val="FootnoteReference"/>
        </w:rPr>
        <w:footnoteReference w:id="219"/>
      </w:r>
      <w:r w:rsidR="00523492" w:rsidRPr="00523492">
        <w:t xml:space="preserve">  </w:t>
      </w:r>
    </w:p>
    <w:p w:rsidR="00562C9E" w:rsidRPr="00562C9E" w:rsidRDefault="00562C9E" w:rsidP="00EA738D">
      <w:pPr>
        <w:spacing w:line="480" w:lineRule="auto"/>
        <w:ind w:firstLine="720"/>
      </w:pPr>
      <w:r>
        <w:t>The upward or aspirational gaze proves another peering gesture</w:t>
      </w:r>
      <w:r w:rsidRPr="00562C9E">
        <w:t>.</w:t>
      </w:r>
      <w:r w:rsidRPr="00562C9E">
        <w:rPr>
          <w:vertAlign w:val="superscript"/>
        </w:rPr>
        <w:footnoteReference w:id="220"/>
      </w:r>
      <w:r w:rsidRPr="00562C9E">
        <w:t xml:space="preserve">  </w:t>
      </w:r>
      <w:r>
        <w:t>It</w:t>
      </w:r>
      <w:r w:rsidRPr="00562C9E">
        <w:t xml:space="preserve"> occupies a special place in economic development takings cases, where states give properties to wealthy franchises whose owners promise to enrich the territory.</w:t>
      </w:r>
      <w:r w:rsidRPr="00562C9E">
        <w:rPr>
          <w:vertAlign w:val="superscript"/>
        </w:rPr>
        <w:footnoteReference w:id="221"/>
      </w:r>
      <w:r w:rsidRPr="00562C9E">
        <w:t xml:space="preserve"> </w:t>
      </w:r>
      <w:r w:rsidR="009B64B4">
        <w:t xml:space="preserve"> </w:t>
      </w:r>
      <w:r w:rsidRPr="00562C9E">
        <w:t xml:space="preserve">Cases featuring </w:t>
      </w:r>
      <w:r w:rsidR="009B64B4">
        <w:t>this optic</w:t>
      </w:r>
      <w:r w:rsidRPr="00562C9E">
        <w:t xml:space="preserve"> </w:t>
      </w:r>
      <w:r>
        <w:t>include t</w:t>
      </w:r>
      <w:r w:rsidRPr="00562C9E">
        <w:t xml:space="preserve">he Michigan Supreme Court’s 1981 </w:t>
      </w:r>
      <w:r w:rsidRPr="00562C9E">
        <w:rPr>
          <w:i/>
        </w:rPr>
        <w:t>Poletown Neighborhood Council v. City of Detroit</w:t>
      </w:r>
      <w:r w:rsidRPr="00562C9E">
        <w:t>,</w:t>
      </w:r>
      <w:r w:rsidRPr="00562C9E">
        <w:rPr>
          <w:vertAlign w:val="superscript"/>
        </w:rPr>
        <w:footnoteReference w:id="222"/>
      </w:r>
      <w:r w:rsidRPr="00562C9E">
        <w:t xml:space="preserve"> which approved of the demolitions of a largely African-American working class community to house a GM plant, and the United States Supreme Court’s 2005 </w:t>
      </w:r>
      <w:r w:rsidRPr="00562C9E">
        <w:rPr>
          <w:i/>
        </w:rPr>
        <w:t>Kelo v. City of New London,</w:t>
      </w:r>
      <w:r w:rsidRPr="00562C9E">
        <w:rPr>
          <w:i/>
          <w:vertAlign w:val="superscript"/>
        </w:rPr>
        <w:footnoteReference w:id="223"/>
      </w:r>
      <w:r w:rsidRPr="00562C9E">
        <w:rPr>
          <w:i/>
        </w:rPr>
        <w:t xml:space="preserve"> </w:t>
      </w:r>
      <w:r>
        <w:t>allowing New London to give a community to Pfizer</w:t>
      </w:r>
      <w:r w:rsidRPr="00562C9E">
        <w:t xml:space="preserve">.  New York cases involving urban renewal, such as 2009’s </w:t>
      </w:r>
      <w:r w:rsidRPr="00562C9E">
        <w:rPr>
          <w:i/>
        </w:rPr>
        <w:t>Goldstein v. New York State Urban Dev. Corp.</w:t>
      </w:r>
      <w:r w:rsidRPr="00562C9E">
        <w:t>,</w:t>
      </w:r>
      <w:r w:rsidRPr="00562C9E">
        <w:rPr>
          <w:vertAlign w:val="superscript"/>
        </w:rPr>
        <w:footnoteReference w:id="224"/>
      </w:r>
      <w:r w:rsidRPr="00562C9E">
        <w:t xml:space="preserve"> which upheld the razing of twenty-two acres of Brooklyn for Bruce Ratner’s Atlantic Yards project, and 2010’s </w:t>
      </w:r>
      <w:r w:rsidRPr="00562C9E">
        <w:rPr>
          <w:i/>
          <w:iCs/>
        </w:rPr>
        <w:t xml:space="preserve">Matter </w:t>
      </w:r>
      <w:r w:rsidRPr="00562C9E">
        <w:rPr>
          <w:i/>
          <w:iCs/>
        </w:rPr>
        <w:lastRenderedPageBreak/>
        <w:t>of Kaur v. New York State Urban Development Corporation,</w:t>
      </w:r>
      <w:r w:rsidRPr="00562C9E">
        <w:rPr>
          <w:vertAlign w:val="superscript"/>
        </w:rPr>
        <w:footnoteReference w:id="225"/>
      </w:r>
      <w:r w:rsidRPr="00562C9E">
        <w:t xml:space="preserve"> which concerned the Columbia overtaking of “blighted” Manhattanville</w:t>
      </w:r>
      <w:r>
        <w:t>,</w:t>
      </w:r>
      <w:r w:rsidRPr="00562C9E">
        <w:rPr>
          <w:vertAlign w:val="superscript"/>
        </w:rPr>
        <w:footnoteReference w:id="226"/>
      </w:r>
      <w:r w:rsidRPr="00562C9E">
        <w:t xml:space="preserve"> also employ the aspirational gaze. </w:t>
      </w:r>
    </w:p>
    <w:p w:rsidR="00562C9E" w:rsidRDefault="00562C9E" w:rsidP="00EA738D">
      <w:pPr>
        <w:spacing w:line="480" w:lineRule="auto"/>
        <w:ind w:firstLine="720"/>
      </w:pPr>
      <w:r w:rsidRPr="00562C9E">
        <w:t>In these cases, the upward or aspirational gaze prompted courts</w:t>
      </w:r>
      <w:r>
        <w:t>’</w:t>
      </w:r>
      <w:r w:rsidRPr="00562C9E">
        <w:t xml:space="preserve"> and politicians’ approvals of </w:t>
      </w:r>
      <w:r w:rsidR="00B91540">
        <w:t>exercises of eminent domain</w:t>
      </w:r>
      <w:r w:rsidRPr="00562C9E">
        <w:t xml:space="preserve"> that gratified GM, Pfizer, Ratner, and Columbia.</w:t>
      </w:r>
      <w:r w:rsidRPr="00562C9E">
        <w:rPr>
          <w:vertAlign w:val="superscript"/>
        </w:rPr>
        <w:footnoteReference w:id="227"/>
      </w:r>
      <w:r w:rsidR="009733D3">
        <w:t xml:space="preserve">  T</w:t>
      </w:r>
      <w:r w:rsidRPr="00562C9E">
        <w:t>hese titans seduced the State by pledging to fill its coffers with the jobs and money that would flow from their “world class,” “state of the art” and “cutting edge” projects.</w:t>
      </w:r>
      <w:r w:rsidRPr="00562C9E">
        <w:rPr>
          <w:vertAlign w:val="superscript"/>
        </w:rPr>
        <w:footnoteReference w:id="228"/>
      </w:r>
      <w:r w:rsidRPr="00562C9E">
        <w:t xml:space="preserve"> </w:t>
      </w:r>
      <w:r w:rsidR="009B64B4">
        <w:t xml:space="preserve"> These clichés prove the signatures of the aspirational gaze when taken up by courts and officials</w:t>
      </w:r>
      <w:r w:rsidR="00F53779">
        <w:t xml:space="preserve"> to help explain the public purpose of the relevant exercises of eminent domain</w:t>
      </w:r>
      <w:r w:rsidR="009B64B4">
        <w:t>;</w:t>
      </w:r>
      <w:r w:rsidR="009B64B4">
        <w:rPr>
          <w:rStyle w:val="FootnoteReference"/>
        </w:rPr>
        <w:footnoteReference w:id="229"/>
      </w:r>
      <w:r w:rsidR="00F53779">
        <w:t xml:space="preserve"> their use constitutes a form</w:t>
      </w:r>
      <w:r w:rsidR="009E3AF8">
        <w:t xml:space="preserve"> of </w:t>
      </w:r>
      <w:r w:rsidR="009B64B4" w:rsidRPr="009B64B4">
        <w:t>drinking the corporate Kool-Aid, if you will</w:t>
      </w:r>
      <w:r w:rsidR="009E3AF8">
        <w:t>.</w:t>
      </w:r>
      <w:r w:rsidR="009B64B4">
        <w:t xml:space="preserve"> </w:t>
      </w:r>
      <w:r w:rsidR="009E3AF8">
        <w:t xml:space="preserve"> </w:t>
      </w:r>
      <w:r w:rsidR="00F53779">
        <w:t xml:space="preserve">Other evidence of the upward look exists in political boosters’ grandiose talk that put the speakers at the heroic level of big-business Goliaths:  </w:t>
      </w:r>
      <w:r w:rsidR="00B91540">
        <w:t>During</w:t>
      </w:r>
      <w:r w:rsidR="00B91540" w:rsidRPr="00B91540">
        <w:t xml:space="preserve"> </w:t>
      </w:r>
      <w:r w:rsidR="00B91540">
        <w:t>the Poletown controversy</w:t>
      </w:r>
      <w:r w:rsidR="00B91540" w:rsidRPr="00B91540">
        <w:t>, Detroit Economic Growth Corporat</w:t>
      </w:r>
      <w:r w:rsidR="009E3AF8">
        <w:t>ion vice president James Schafer</w:t>
      </w:r>
      <w:r w:rsidR="00B91540">
        <w:t xml:space="preserve"> ululated:</w:t>
      </w:r>
      <w:r w:rsidR="00B91540" w:rsidRPr="00B91540">
        <w:t xml:space="preserve">  “[This] is] the biggest thing in history t</w:t>
      </w:r>
      <w:r w:rsidR="009E3AF8">
        <w:t>o happen to any U.S. urban area.</w:t>
      </w:r>
      <w:r w:rsidR="00B91540" w:rsidRPr="00B91540">
        <w:t>”</w:t>
      </w:r>
      <w:r w:rsidR="00B91540" w:rsidRPr="00B91540">
        <w:rPr>
          <w:vertAlign w:val="superscript"/>
        </w:rPr>
        <w:footnoteReference w:id="230"/>
      </w:r>
      <w:r w:rsidR="00B91540">
        <w:t xml:space="preserve"> </w:t>
      </w:r>
      <w:r w:rsidR="009E3AF8">
        <w:t xml:space="preserve"> </w:t>
      </w:r>
      <w:r w:rsidR="00B91540">
        <w:t>And b</w:t>
      </w:r>
      <w:r w:rsidR="00B91540" w:rsidRPr="00B91540">
        <w:t xml:space="preserve">efore the litigation, Detroit’s Mayor Coleman Young </w:t>
      </w:r>
      <w:r w:rsidR="00B91540">
        <w:t xml:space="preserve">boasted </w:t>
      </w:r>
      <w:r w:rsidR="00B91540" w:rsidRPr="00B91540">
        <w:t>“I’m attempting to do something that has not happened anywhere in this country, to rebuild an industrial city within the boundaries.”</w:t>
      </w:r>
      <w:r w:rsidR="00B91540" w:rsidRPr="00B91540">
        <w:rPr>
          <w:vertAlign w:val="superscript"/>
        </w:rPr>
        <w:footnoteReference w:id="231"/>
      </w:r>
      <w:r w:rsidR="00B91540" w:rsidRPr="00B91540">
        <w:t xml:space="preserve"> Aspirational peering, like the use of the downward gaze, is dangerous, since it renders poor people invisible</w:t>
      </w:r>
      <w:r w:rsidR="00B91540" w:rsidRPr="00B91540">
        <w:rPr>
          <w:vertAlign w:val="superscript"/>
        </w:rPr>
        <w:footnoteReference w:id="232"/>
      </w:r>
      <w:r w:rsidR="00B91540" w:rsidRPr="00B91540">
        <w:t xml:space="preserve"> and also secures the most gossamer of vows:  </w:t>
      </w:r>
      <w:r w:rsidR="00B91540">
        <w:t xml:space="preserve">As I detail in </w:t>
      </w:r>
      <w:r w:rsidR="00B91540">
        <w:rPr>
          <w:i/>
        </w:rPr>
        <w:t xml:space="preserve">Peering, </w:t>
      </w:r>
      <w:r w:rsidR="00B91540">
        <w:t>t</w:t>
      </w:r>
      <w:r w:rsidR="00B91540" w:rsidRPr="00B91540">
        <w:t>hese projects either did not fulfill their economic promise or injured low income people.</w:t>
      </w:r>
      <w:r w:rsidR="00B91540">
        <w:rPr>
          <w:rStyle w:val="FootnoteReference"/>
        </w:rPr>
        <w:footnoteReference w:id="233"/>
      </w:r>
      <w:r w:rsidR="00B91540" w:rsidRPr="00B91540">
        <w:t xml:space="preserve">  </w:t>
      </w:r>
    </w:p>
    <w:p w:rsidR="003C5072" w:rsidRDefault="003C5072" w:rsidP="00E924CD">
      <w:pPr>
        <w:pStyle w:val="ListParagraph"/>
        <w:numPr>
          <w:ilvl w:val="0"/>
          <w:numId w:val="26"/>
        </w:numPr>
        <w:spacing w:line="480" w:lineRule="auto"/>
      </w:pPr>
      <w:r>
        <w:lastRenderedPageBreak/>
        <w:t xml:space="preserve"> Peering is a form of violence</w:t>
      </w:r>
      <w:r w:rsidR="00E924CD">
        <w:t>.</w:t>
      </w:r>
    </w:p>
    <w:p w:rsidR="000C0E4E" w:rsidRDefault="00F53779" w:rsidP="00EA738D">
      <w:pPr>
        <w:spacing w:line="480" w:lineRule="auto"/>
        <w:ind w:firstLine="720"/>
      </w:pPr>
      <w:r>
        <w:t>Beyond these mechanisms, a</w:t>
      </w:r>
      <w:r w:rsidR="00B91540">
        <w:t xml:space="preserve">nother </w:t>
      </w:r>
      <w:r w:rsidR="00E5445C">
        <w:t xml:space="preserve">important facet of peering must be named:  I describe </w:t>
      </w:r>
      <w:r w:rsidR="00C515DE">
        <w:t>peering as an instrument of violence</w:t>
      </w:r>
      <w:r w:rsidR="00EF347C">
        <w:t>.</w:t>
      </w:r>
      <w:r w:rsidR="00EF347C">
        <w:rPr>
          <w:rStyle w:val="FootnoteReference"/>
        </w:rPr>
        <w:footnoteReference w:id="234"/>
      </w:r>
      <w:r w:rsidR="00EF347C">
        <w:t xml:space="preserve">  </w:t>
      </w:r>
      <w:r w:rsidR="00C515DE">
        <w:t>My large</w:t>
      </w:r>
      <w:r w:rsidR="007714C5">
        <w:t>r</w:t>
      </w:r>
      <w:r w:rsidR="00C515DE">
        <w:t xml:space="preserve"> </w:t>
      </w:r>
      <w:r w:rsidR="00B024FC">
        <w:t xml:space="preserve">scholarly </w:t>
      </w:r>
      <w:r w:rsidR="00C515DE">
        <w:t xml:space="preserve">project discovers </w:t>
      </w:r>
      <w:r w:rsidR="00EF347C">
        <w:t>law</w:t>
      </w:r>
      <w:r w:rsidR="00C515DE">
        <w:t>’</w:t>
      </w:r>
      <w:r w:rsidR="003D4571">
        <w:t>s taciturn</w:t>
      </w:r>
      <w:r w:rsidR="00C515DE">
        <w:t xml:space="preserve"> savagery, and </w:t>
      </w:r>
      <w:r w:rsidR="003D4571">
        <w:t>sometimes offers alternatives</w:t>
      </w:r>
      <w:r w:rsidR="00EF347C">
        <w:t>.</w:t>
      </w:r>
      <w:r w:rsidR="006B7AC9">
        <w:rPr>
          <w:rStyle w:val="FootnoteReference"/>
        </w:rPr>
        <w:footnoteReference w:id="235"/>
      </w:r>
      <w:r w:rsidR="003D4571">
        <w:t xml:space="preserve">  I struggle </w:t>
      </w:r>
      <w:r w:rsidR="00EF347C">
        <w:t xml:space="preserve">with </w:t>
      </w:r>
      <w:r w:rsidR="00145E85">
        <w:t xml:space="preserve">the legal variations of what </w:t>
      </w:r>
      <w:r w:rsidR="00EF347C">
        <w:t>peace theorist Joseph Galtung</w:t>
      </w:r>
      <w:r w:rsidR="00145E85">
        <w:t xml:space="preserve"> describes as</w:t>
      </w:r>
      <w:r w:rsidR="00EF347C">
        <w:t xml:space="preserve"> “cultural violence,”</w:t>
      </w:r>
      <w:r w:rsidR="001A65A5">
        <w:t xml:space="preserve"> which emanates from</w:t>
      </w:r>
      <w:r w:rsidR="003D4571">
        <w:t xml:space="preserve"> </w:t>
      </w:r>
      <w:r w:rsidR="001A65A5">
        <w:t xml:space="preserve">social </w:t>
      </w:r>
      <w:r w:rsidR="003D4571">
        <w:t xml:space="preserve">propaganda that </w:t>
      </w:r>
      <w:r w:rsidR="00EF347C">
        <w:t>makes violence “</w:t>
      </w:r>
      <w:r w:rsidR="003D4571">
        <w:t>look and feel right.</w:t>
      </w:r>
      <w:r w:rsidR="00EF347C">
        <w:t>”</w:t>
      </w:r>
      <w:r w:rsidR="003D4571">
        <w:rPr>
          <w:rStyle w:val="FootnoteReference"/>
        </w:rPr>
        <w:footnoteReference w:id="236"/>
      </w:r>
      <w:r w:rsidR="003D4571">
        <w:t xml:space="preserve">  C</w:t>
      </w:r>
      <w:r w:rsidR="006C1E23">
        <w:t>ultural violenc</w:t>
      </w:r>
      <w:r w:rsidR="003D4571">
        <w:t xml:space="preserve">e </w:t>
      </w:r>
      <w:r w:rsidR="006C1E23">
        <w:t>disguises</w:t>
      </w:r>
      <w:r w:rsidR="00EF347C">
        <w:t xml:space="preserve"> </w:t>
      </w:r>
      <w:r w:rsidR="003D4571">
        <w:t xml:space="preserve">the </w:t>
      </w:r>
      <w:r w:rsidR="00EF347C">
        <w:t>“</w:t>
      </w:r>
      <w:r w:rsidR="003D4571">
        <w:t>structural violence” existing in the maldistributions of</w:t>
      </w:r>
      <w:r w:rsidR="00EF347C">
        <w:t xml:space="preserve"> illness, pain, suffering, death and other harms to the underclass.</w:t>
      </w:r>
      <w:r w:rsidR="00EF347C">
        <w:rPr>
          <w:rStyle w:val="FootnoteReference"/>
        </w:rPr>
        <w:footnoteReference w:id="237"/>
      </w:r>
      <w:r w:rsidR="00145E85">
        <w:t xml:space="preserve">  Peering creates</w:t>
      </w:r>
      <w:r w:rsidR="00EF347C">
        <w:t xml:space="preserve"> cultural violence that makes the structural violence of eviction and dislocation </w:t>
      </w:r>
      <w:r w:rsidR="002A0D30">
        <w:t xml:space="preserve">caused by eminent domain </w:t>
      </w:r>
      <w:r w:rsidR="00EF347C">
        <w:t>“look and</w:t>
      </w:r>
      <w:r w:rsidR="00B91540">
        <w:t xml:space="preserve"> feel right:</w:t>
      </w:r>
      <w:r w:rsidR="00EF347C">
        <w:t>”</w:t>
      </w:r>
      <w:r w:rsidR="003D4571">
        <w:t xml:space="preserve"> </w:t>
      </w:r>
      <w:r w:rsidR="00B91540">
        <w:t xml:space="preserve">In the case of the downward gaze, it seems “right” to cleanse </w:t>
      </w:r>
      <w:r w:rsidR="003C5072">
        <w:t>subhumans</w:t>
      </w:r>
      <w:r w:rsidR="00B91540">
        <w:t xml:space="preserve"> and contagion from the community;</w:t>
      </w:r>
      <w:r w:rsidR="00B91540">
        <w:rPr>
          <w:rStyle w:val="FootnoteReference"/>
        </w:rPr>
        <w:footnoteReference w:id="238"/>
      </w:r>
      <w:r w:rsidR="00B91540">
        <w:t xml:space="preserve"> in the case of the upward gaze, it feels not only right but also really good to align oneself </w:t>
      </w:r>
      <w:r w:rsidR="005809FE">
        <w:t xml:space="preserve">with the </w:t>
      </w:r>
      <w:r w:rsidR="00B91540">
        <w:t>corporate titans</w:t>
      </w:r>
      <w:r w:rsidR="005809FE">
        <w:t xml:space="preserve"> who want to kick people out of their proper</w:t>
      </w:r>
      <w:r w:rsidR="009E3AF8">
        <w:t>ties to build magnificent enterprises</w:t>
      </w:r>
      <w:r w:rsidR="00B91540">
        <w:t>.</w:t>
      </w:r>
      <w:r w:rsidR="00B91540">
        <w:rPr>
          <w:rStyle w:val="FootnoteReference"/>
        </w:rPr>
        <w:footnoteReference w:id="239"/>
      </w:r>
    </w:p>
    <w:p w:rsidR="00562C9E" w:rsidRDefault="0031323A" w:rsidP="00EA738D">
      <w:pPr>
        <w:spacing w:line="480" w:lineRule="auto"/>
        <w:ind w:firstLine="720"/>
      </w:pPr>
      <w:r>
        <w:t xml:space="preserve">In so </w:t>
      </w:r>
      <w:r w:rsidR="00E5445C">
        <w:t>branding</w:t>
      </w:r>
      <w:r>
        <w:t xml:space="preserve"> peering </w:t>
      </w:r>
      <w:r w:rsidR="00EB7D77">
        <w:t>as a</w:t>
      </w:r>
      <w:r w:rsidR="009027D7">
        <w:t>n</w:t>
      </w:r>
      <w:r w:rsidR="00EB7D77">
        <w:t xml:space="preserve"> instrument </w:t>
      </w:r>
      <w:r>
        <w:t>cultural violence</w:t>
      </w:r>
      <w:r w:rsidR="000C0E4E">
        <w:t xml:space="preserve"> </w:t>
      </w:r>
      <w:r w:rsidR="00EB7D77">
        <w:t>leading</w:t>
      </w:r>
      <w:r w:rsidR="000C0E4E">
        <w:t xml:space="preserve"> to structural violence</w:t>
      </w:r>
      <w:r>
        <w:t xml:space="preserve">, my work relates </w:t>
      </w:r>
      <w:r w:rsidR="00D32A1D">
        <w:t xml:space="preserve">to </w:t>
      </w:r>
      <w:r w:rsidR="003C5072">
        <w:t xml:space="preserve">that of </w:t>
      </w:r>
      <w:r w:rsidR="00822A43">
        <w:t xml:space="preserve">eminent domain </w:t>
      </w:r>
      <w:r>
        <w:t xml:space="preserve">scholars </w:t>
      </w:r>
      <w:r w:rsidR="00822A43">
        <w:t xml:space="preserve">who </w:t>
      </w:r>
      <w:r w:rsidR="003C5072">
        <w:t>target</w:t>
      </w:r>
      <w:r w:rsidR="00822A43">
        <w:t xml:space="preserve"> cultural and structural violence without naming it as such.  </w:t>
      </w:r>
      <w:r w:rsidR="009E3AF8">
        <w:t>As mentioned above</w:t>
      </w:r>
      <w:r w:rsidR="00822A43">
        <w:t xml:space="preserve">, David A. Dana </w:t>
      </w:r>
      <w:r>
        <w:t xml:space="preserve">studies the “expressive meaning” of </w:t>
      </w:r>
      <w:r w:rsidR="00A60D11">
        <w:t>post-</w:t>
      </w:r>
      <w:r w:rsidR="00A60D11">
        <w:rPr>
          <w:i/>
        </w:rPr>
        <w:t xml:space="preserve">Kelo </w:t>
      </w:r>
      <w:r w:rsidR="00EC0E9F">
        <w:t xml:space="preserve">eminent domain reforms </w:t>
      </w:r>
      <w:r>
        <w:t>allow</w:t>
      </w:r>
      <w:r w:rsidR="00EC0E9F">
        <w:t>ing</w:t>
      </w:r>
      <w:r>
        <w:t xml:space="preserve"> blight condemnations but forbid</w:t>
      </w:r>
      <w:r w:rsidR="00EC0E9F">
        <w:t>ding</w:t>
      </w:r>
      <w:r>
        <w:t xml:space="preserve"> takings for economic </w:t>
      </w:r>
      <w:r w:rsidR="00A60D11">
        <w:t>development --</w:t>
      </w:r>
      <w:r w:rsidR="004B6047">
        <w:t xml:space="preserve"> </w:t>
      </w:r>
      <w:r>
        <w:lastRenderedPageBreak/>
        <w:t>such</w:t>
      </w:r>
      <w:r w:rsidR="00A60D11">
        <w:t xml:space="preserve"> as is the case in Michigan</w:t>
      </w:r>
      <w:r>
        <w:t>.</w:t>
      </w:r>
      <w:r w:rsidR="00EC0E9F">
        <w:rPr>
          <w:rStyle w:val="FootnoteReference"/>
        </w:rPr>
        <w:footnoteReference w:id="240"/>
      </w:r>
      <w:r w:rsidR="00EC0E9F">
        <w:t xml:space="preserve">  Dana argues that </w:t>
      </w:r>
      <w:r w:rsidR="00195E1D">
        <w:t xml:space="preserve">the permission of blight condemnations, usually found in poor neighborhoods, and </w:t>
      </w:r>
      <w:r w:rsidR="004B6047">
        <w:t xml:space="preserve">the </w:t>
      </w:r>
      <w:r w:rsidR="00195E1D">
        <w:t xml:space="preserve">blocking of </w:t>
      </w:r>
      <w:r w:rsidR="00D32A1D">
        <w:t xml:space="preserve">middle-class </w:t>
      </w:r>
      <w:r w:rsidR="00195E1D">
        <w:t>development takings “</w:t>
      </w:r>
      <w:r w:rsidR="000C0E4E">
        <w:t>sends the message that these two types of households are fundamentally unequal in importance.”</w:t>
      </w:r>
      <w:r w:rsidR="000C0E4E">
        <w:rPr>
          <w:rStyle w:val="FootnoteReference"/>
        </w:rPr>
        <w:footnoteReference w:id="241"/>
      </w:r>
      <w:r>
        <w:t xml:space="preserve"> </w:t>
      </w:r>
      <w:r w:rsidR="000C0E4E">
        <w:t xml:space="preserve">Dana’s anti-poverty property jurisprudence </w:t>
      </w:r>
      <w:r w:rsidR="00590E7F">
        <w:t>frets over</w:t>
      </w:r>
      <w:r w:rsidR="000C0E4E">
        <w:t xml:space="preserve"> how post-</w:t>
      </w:r>
      <w:r w:rsidR="000C0E4E">
        <w:rPr>
          <w:i/>
        </w:rPr>
        <w:t xml:space="preserve">Kelo </w:t>
      </w:r>
      <w:r w:rsidR="000C0E4E">
        <w:t xml:space="preserve">reform hosts a culturally violent “message,” and how its resulting social injustice </w:t>
      </w:r>
      <w:r w:rsidR="00AE5A1B">
        <w:t xml:space="preserve">operates on the ground </w:t>
      </w:r>
      <w:r w:rsidR="000C0E4E">
        <w:t>– that is, in Galtung’s view, performs violence on the people.</w:t>
      </w:r>
      <w:r w:rsidR="000C0E4E">
        <w:rPr>
          <w:rStyle w:val="FootnoteReference"/>
        </w:rPr>
        <w:footnoteReference w:id="242"/>
      </w:r>
      <w:r w:rsidR="00EB7D77">
        <w:t xml:space="preserve">  </w:t>
      </w:r>
      <w:r w:rsidR="00D20889">
        <w:t xml:space="preserve">Ilya Somin, who disagrees that the poor </w:t>
      </w:r>
      <w:r w:rsidR="00590E7F">
        <w:t>abhor</w:t>
      </w:r>
      <w:r w:rsidR="00D20889">
        <w:t xml:space="preserve"> post-</w:t>
      </w:r>
      <w:r w:rsidR="00D20889">
        <w:rPr>
          <w:i/>
        </w:rPr>
        <w:t xml:space="preserve">Kelo </w:t>
      </w:r>
      <w:r w:rsidR="00D20889">
        <w:t xml:space="preserve">reforms </w:t>
      </w:r>
      <w:r w:rsidR="00590E7F">
        <w:t>and claims they</w:t>
      </w:r>
      <w:r w:rsidR="00D20889">
        <w:t xml:space="preserve"> hate economic development takin</w:t>
      </w:r>
      <w:r w:rsidR="00D32A1D">
        <w:t>gs as much as the middle class, debates with Dana</w:t>
      </w:r>
      <w:r w:rsidR="00D20889">
        <w:t xml:space="preserve"> </w:t>
      </w:r>
      <w:r w:rsidR="00D32A1D">
        <w:t>about what constitutes cultural and structural violence in eminent domain.</w:t>
      </w:r>
      <w:r w:rsidR="00D20889">
        <w:rPr>
          <w:rStyle w:val="FootnoteReference"/>
        </w:rPr>
        <w:footnoteReference w:id="243"/>
      </w:r>
      <w:r w:rsidR="00D20889">
        <w:t xml:space="preserve">  </w:t>
      </w:r>
      <w:r w:rsidR="009027D7">
        <w:t xml:space="preserve">Michael Heller </w:t>
      </w:r>
      <w:r w:rsidR="00550815">
        <w:t>and Rick Hills</w:t>
      </w:r>
      <w:r w:rsidR="00D20889">
        <w:t xml:space="preserve"> </w:t>
      </w:r>
      <w:r w:rsidR="00D32A1D">
        <w:t>resist a culturally v</w:t>
      </w:r>
      <w:r w:rsidR="00590E7F">
        <w:t xml:space="preserve">iolent dependence </w:t>
      </w:r>
      <w:r w:rsidR="0082243C">
        <w:t>on Big Government’s, or the “</w:t>
      </w:r>
      <w:r w:rsidR="00E93BBA">
        <w:t>Leviathan’s</w:t>
      </w:r>
      <w:r w:rsidR="0082243C">
        <w:t>,</w:t>
      </w:r>
      <w:r w:rsidR="00590E7F">
        <w:t>” powers of eminent domain</w:t>
      </w:r>
      <w:r w:rsidR="00D32A1D">
        <w:t xml:space="preserve"> </w:t>
      </w:r>
      <w:r w:rsidR="00C05F75">
        <w:t>that leads to the structural violence of “</w:t>
      </w:r>
      <w:r w:rsidR="00C05F75" w:rsidRPr="00C05F75">
        <w:t xml:space="preserve">poor and vulnerable” </w:t>
      </w:r>
      <w:r w:rsidR="00C05F75">
        <w:t xml:space="preserve">people’s </w:t>
      </w:r>
      <w:r w:rsidR="00C05F75" w:rsidRPr="00C05F75">
        <w:t>exploitation</w:t>
      </w:r>
      <w:r w:rsidR="0082243C">
        <w:t xml:space="preserve">; in response, they </w:t>
      </w:r>
      <w:r w:rsidR="00550815">
        <w:t>reco</w:t>
      </w:r>
      <w:r w:rsidR="0082243C">
        <w:t>mmend</w:t>
      </w:r>
      <w:r w:rsidR="00822A43">
        <w:t xml:space="preserve"> </w:t>
      </w:r>
      <w:r w:rsidR="009027D7">
        <w:t>co</w:t>
      </w:r>
      <w:r w:rsidR="00822A43">
        <w:t>llective action – that is, Land Assembly Districts</w:t>
      </w:r>
      <w:r w:rsidR="00C05F75">
        <w:t>.</w:t>
      </w:r>
      <w:r w:rsidR="009027D7">
        <w:rPr>
          <w:rStyle w:val="FootnoteReference"/>
        </w:rPr>
        <w:footnoteReference w:id="244"/>
      </w:r>
      <w:r w:rsidR="009027D7">
        <w:t xml:space="preserve"> </w:t>
      </w:r>
      <w:r w:rsidR="000C0E4E">
        <w:t xml:space="preserve"> </w:t>
      </w:r>
      <w:r w:rsidR="00590E7F" w:rsidRPr="00590E7F">
        <w:t>Similarly, structurally violent “trauma”</w:t>
      </w:r>
      <w:r w:rsidR="00590E7F" w:rsidRPr="00590E7F">
        <w:rPr>
          <w:vertAlign w:val="superscript"/>
        </w:rPr>
        <w:t xml:space="preserve"> </w:t>
      </w:r>
      <w:r w:rsidR="00590E7F" w:rsidRPr="00590E7F">
        <w:rPr>
          <w:vertAlign w:val="superscript"/>
        </w:rPr>
        <w:footnoteReference w:id="245"/>
      </w:r>
      <w:r w:rsidR="00590E7F" w:rsidRPr="00590E7F">
        <w:t xml:space="preserve"> caused by eviction inspired </w:t>
      </w:r>
      <w:r w:rsidR="00590E7F">
        <w:t>Robert Hockett’s case</w:t>
      </w:r>
      <w:r w:rsidR="00590E7F" w:rsidRPr="00590E7F">
        <w:t xml:space="preserve"> that governments should use eminent domain to secure underwater mortgages; Hockett also acknowledges </w:t>
      </w:r>
      <w:r w:rsidR="00875870">
        <w:t xml:space="preserve">that </w:t>
      </w:r>
      <w:r w:rsidR="00590E7F" w:rsidRPr="00590E7F">
        <w:t>a culturally violent practice of “blam[ing]” the “irrationality” of investors in real estate bubbles creates a psychological obstacle for governments to come to the</w:t>
      </w:r>
      <w:r w:rsidR="00590E7F">
        <w:t>ir aid</w:t>
      </w:r>
      <w:r w:rsidR="00590E7F" w:rsidRPr="00590E7F">
        <w:t xml:space="preserve"> now.</w:t>
      </w:r>
      <w:r w:rsidR="00590E7F" w:rsidRPr="00590E7F">
        <w:rPr>
          <w:vertAlign w:val="superscript"/>
        </w:rPr>
        <w:footnoteReference w:id="246"/>
      </w:r>
      <w:r w:rsidR="00590E7F" w:rsidRPr="00590E7F">
        <w:t xml:space="preserve">  </w:t>
      </w:r>
      <w:r w:rsidR="00590E7F">
        <w:t>My citation of Galtung, then, maps onto the jurisprudence of eminent domain’s leading scholarly lights</w:t>
      </w:r>
      <w:r w:rsidR="00822A43">
        <w:t>, who all describe cultural tendencies that aid eminent domain abuses</w:t>
      </w:r>
      <w:r w:rsidR="00590E7F">
        <w:t>.  I add to this conversation in my description of culturally violent peering that promotes</w:t>
      </w:r>
      <w:r w:rsidR="00C655E6">
        <w:t xml:space="preserve"> structural</w:t>
      </w:r>
      <w:r w:rsidR="00590E7F">
        <w:t xml:space="preserve">ly violent </w:t>
      </w:r>
      <w:r w:rsidR="009E3AF8">
        <w:t xml:space="preserve">seizures, </w:t>
      </w:r>
      <w:r w:rsidR="00590E7F">
        <w:t>evictions</w:t>
      </w:r>
      <w:r w:rsidR="009E3AF8">
        <w:t>, and gentrifications</w:t>
      </w:r>
      <w:r w:rsidR="00C655E6">
        <w:t xml:space="preserve">.  </w:t>
      </w:r>
    </w:p>
    <w:p w:rsidR="00B71E0D" w:rsidRDefault="00B71E0D" w:rsidP="00EA738D">
      <w:pPr>
        <w:spacing w:line="480" w:lineRule="auto"/>
        <w:ind w:firstLine="720"/>
      </w:pPr>
      <w:r>
        <w:lastRenderedPageBreak/>
        <w:t xml:space="preserve">In </w:t>
      </w:r>
      <w:r>
        <w:rPr>
          <w:i/>
        </w:rPr>
        <w:t xml:space="preserve">Peering, </w:t>
      </w:r>
      <w:r>
        <w:t xml:space="preserve">I promised to forge an alternative to peering, which I called </w:t>
      </w:r>
      <w:r>
        <w:rPr>
          <w:i/>
        </w:rPr>
        <w:t>seeing.</w:t>
      </w:r>
      <w:r>
        <w:rPr>
          <w:rStyle w:val="FootnoteReference"/>
          <w:i/>
        </w:rPr>
        <w:footnoteReference w:id="247"/>
      </w:r>
      <w:r>
        <w:rPr>
          <w:i/>
        </w:rPr>
        <w:t xml:space="preserve">  </w:t>
      </w:r>
      <w:r w:rsidR="00E0388B">
        <w:t>After describing</w:t>
      </w:r>
      <w:r w:rsidR="00744BFF">
        <w:t xml:space="preserve"> in the remainder of this section</w:t>
      </w:r>
      <w:r w:rsidR="00E0388B">
        <w:t xml:space="preserve"> how </w:t>
      </w:r>
      <w:r w:rsidR="00662CE7">
        <w:t xml:space="preserve">Detroit </w:t>
      </w:r>
      <w:r w:rsidR="00E0388B">
        <w:t>peering</w:t>
      </w:r>
      <w:r w:rsidR="0030636F">
        <w:t xml:space="preserve"> encourages</w:t>
      </w:r>
      <w:r w:rsidR="00744BFF">
        <w:t xml:space="preserve"> people to ignore the legal and social problems inherent in the Task Force’s proposals, in section VII</w:t>
      </w:r>
      <w:r>
        <w:t>,</w:t>
      </w:r>
      <w:r w:rsidR="00744BFF">
        <w:t xml:space="preserve"> </w:t>
      </w:r>
      <w:r>
        <w:t xml:space="preserve">I will </w:t>
      </w:r>
      <w:r w:rsidR="0030636F">
        <w:t>argue</w:t>
      </w:r>
      <w:r w:rsidR="00FB7732">
        <w:t xml:space="preserve"> that Detroit should abandon the plan of unconstitutional NAP takings and instead exercise eminent domain.  This undertaking should</w:t>
      </w:r>
      <w:r w:rsidR="00363AFA">
        <w:t xml:space="preserve"> </w:t>
      </w:r>
      <w:r w:rsidR="0030636F">
        <w:t>advance</w:t>
      </w:r>
      <w:r w:rsidR="00363AFA">
        <w:t xml:space="preserve"> </w:t>
      </w:r>
      <w:r w:rsidR="00363AFA">
        <w:rPr>
          <w:i/>
        </w:rPr>
        <w:t xml:space="preserve">not </w:t>
      </w:r>
      <w:r w:rsidR="00363AFA">
        <w:t>as blight condemnations</w:t>
      </w:r>
      <w:r w:rsidR="0030636F">
        <w:t xml:space="preserve"> (which, again, will prove nearly impossible)</w:t>
      </w:r>
      <w:r w:rsidR="00FB7732">
        <w:t>, but as confiscations</w:t>
      </w:r>
      <w:r w:rsidR="00363AFA">
        <w:t xml:space="preserve"> designed to alleviate</w:t>
      </w:r>
      <w:r w:rsidR="00662CE7">
        <w:t xml:space="preserve"> poverty</w:t>
      </w:r>
      <w:r w:rsidR="00FB7732">
        <w:t>.  Justifying eminent domain on poverty alleviation will</w:t>
      </w:r>
      <w:r w:rsidR="00433DAE">
        <w:t xml:space="preserve"> avoid the subordinating harms of blight condemnations and may be proven by a </w:t>
      </w:r>
      <w:r w:rsidR="00AD2884">
        <w:t xml:space="preserve">lower </w:t>
      </w:r>
      <w:r w:rsidR="00433DAE">
        <w:t>preponderance of the evidence</w:t>
      </w:r>
      <w:r w:rsidR="00662CE7">
        <w:t>.</w:t>
      </w:r>
      <w:r w:rsidR="00433DAE">
        <w:rPr>
          <w:rStyle w:val="FootnoteReference"/>
        </w:rPr>
        <w:footnoteReference w:id="248"/>
      </w:r>
      <w:r w:rsidR="00662CE7">
        <w:t xml:space="preserve">  Developing an anti-poverty agenda for </w:t>
      </w:r>
      <w:r w:rsidR="00363AFA">
        <w:t xml:space="preserve">a </w:t>
      </w:r>
      <w:r w:rsidR="00662CE7">
        <w:t>Det</w:t>
      </w:r>
      <w:r w:rsidR="00363AFA">
        <w:t>roit land use program</w:t>
      </w:r>
      <w:r w:rsidR="00F430CB">
        <w:t>, I will maintain,</w:t>
      </w:r>
      <w:r w:rsidR="00662CE7">
        <w:t xml:space="preserve"> require</w:t>
      </w:r>
      <w:r w:rsidR="00F430CB">
        <w:t>s</w:t>
      </w:r>
      <w:r w:rsidR="00662CE7">
        <w:t xml:space="preserve"> a clear-eyed vision of the city and its people – that is, it will require policymakers to see instead of peer.  In Section VII, I will </w:t>
      </w:r>
      <w:r>
        <w:t xml:space="preserve">describe </w:t>
      </w:r>
      <w:r w:rsidR="00363AFA">
        <w:t xml:space="preserve">this seeing, which is a </w:t>
      </w:r>
      <w:r w:rsidRPr="00B71E0D">
        <w:t>difficult practice of looking, learning, listening, and fighting one’s own vanity when engaging with communities at risk for condemnation.</w:t>
      </w:r>
      <w:r w:rsidRPr="00B71E0D">
        <w:rPr>
          <w:vertAlign w:val="superscript"/>
        </w:rPr>
        <w:footnoteReference w:id="249"/>
      </w:r>
      <w:r w:rsidRPr="00B71E0D">
        <w:t xml:space="preserve">  I hope that this harsh regard reveals</w:t>
      </w:r>
      <w:r w:rsidR="009E6EAE">
        <w:t xml:space="preserve"> the </w:t>
      </w:r>
      <w:r w:rsidR="00363AFA">
        <w:t>reforms needed to alleviate the poverty Detroiters endure, and so</w:t>
      </w:r>
      <w:r w:rsidRPr="00B71E0D">
        <w:t xml:space="preserve"> promotes “positive peace,” which Galtung identifies as social justice.</w:t>
      </w:r>
      <w:r w:rsidRPr="00B71E0D">
        <w:rPr>
          <w:vertAlign w:val="superscript"/>
        </w:rPr>
        <w:footnoteReference w:id="250"/>
      </w:r>
    </w:p>
    <w:p w:rsidR="00B71E0D" w:rsidRPr="00B71E0D" w:rsidRDefault="00B71E0D" w:rsidP="00EA738D">
      <w:pPr>
        <w:spacing w:line="480" w:lineRule="auto"/>
        <w:ind w:firstLine="720"/>
        <w:rPr>
          <w:i/>
        </w:rPr>
      </w:pPr>
    </w:p>
    <w:p w:rsidR="001C4C01" w:rsidRPr="009E3AF8" w:rsidRDefault="001D7C91" w:rsidP="00E924CD">
      <w:pPr>
        <w:pStyle w:val="ListParagraph"/>
        <w:numPr>
          <w:ilvl w:val="0"/>
          <w:numId w:val="26"/>
        </w:numPr>
        <w:spacing w:line="480" w:lineRule="auto"/>
      </w:pPr>
      <w:r w:rsidRPr="009E3AF8">
        <w:t xml:space="preserve">Applying the theory of Peering to </w:t>
      </w:r>
      <w:r w:rsidR="001C4C01" w:rsidRPr="009E3AF8">
        <w:t>Detroit</w:t>
      </w:r>
      <w:r w:rsidR="009E3AF8">
        <w:t>.</w:t>
      </w:r>
    </w:p>
    <w:p w:rsidR="0010585C" w:rsidRDefault="00AD2884" w:rsidP="00EA738D">
      <w:pPr>
        <w:spacing w:line="480" w:lineRule="auto"/>
        <w:ind w:firstLine="720"/>
      </w:pPr>
      <w:r>
        <w:t>T</w:t>
      </w:r>
      <w:r w:rsidR="009E3AF8">
        <w:t xml:space="preserve">he Task Force’s recommendations urge </w:t>
      </w:r>
      <w:r w:rsidR="00744BFF">
        <w:t xml:space="preserve">unconstitutional </w:t>
      </w:r>
      <w:r w:rsidR="009E3AF8">
        <w:t xml:space="preserve">takings </w:t>
      </w:r>
      <w:r w:rsidR="00744BFF">
        <w:t xml:space="preserve">and also hazard the welfares of Detroit’s low-income and </w:t>
      </w:r>
      <w:r w:rsidR="00FE052D">
        <w:t xml:space="preserve">vulnerable populations, who </w:t>
      </w:r>
      <w:r w:rsidR="00744BFF">
        <w:t>face the traditional fates of dislocation and worse when the city is cleansed.  Yet few object.</w:t>
      </w:r>
      <w:r w:rsidR="009E3AF8">
        <w:rPr>
          <w:rStyle w:val="FootnoteReference"/>
        </w:rPr>
        <w:footnoteReference w:id="251"/>
      </w:r>
      <w:r w:rsidR="00744BFF">
        <w:t xml:space="preserve">  The reason for this silence rests in the powerful peering tactics that already rivet the city when it comes to t</w:t>
      </w:r>
      <w:r>
        <w:t>he Task Force, which has</w:t>
      </w:r>
      <w:r w:rsidR="00744BFF">
        <w:t xml:space="preserve"> manipulated both the downward and upward gaze.  This peering diverts the citizenry with the fear of contagion and the </w:t>
      </w:r>
      <w:r w:rsidR="00744BFF">
        <w:lastRenderedPageBreak/>
        <w:t>excitement of coming wealth, and will also make the forthcoming structural violence that awaits Detroit’s poor population look and feel right.</w:t>
      </w:r>
    </w:p>
    <w:p w:rsidR="0010585C" w:rsidRPr="009E3AF8" w:rsidRDefault="0010585C" w:rsidP="00EA738D">
      <w:pPr>
        <w:pStyle w:val="ListParagraph"/>
        <w:numPr>
          <w:ilvl w:val="0"/>
          <w:numId w:val="18"/>
        </w:numPr>
        <w:spacing w:line="480" w:lineRule="auto"/>
      </w:pPr>
      <w:r w:rsidRPr="009E3AF8">
        <w:t>The Down</w:t>
      </w:r>
      <w:r w:rsidR="00830AAA" w:rsidRPr="009E3AF8">
        <w:t>w</w:t>
      </w:r>
      <w:r w:rsidRPr="009E3AF8">
        <w:t>ard Gaze:  Horror imagery an</w:t>
      </w:r>
      <w:r w:rsidR="00897C5E" w:rsidRPr="009E3AF8">
        <w:t>d ruin porn in Detroit</w:t>
      </w:r>
      <w:r w:rsidR="009E3AF8">
        <w:t>.</w:t>
      </w:r>
    </w:p>
    <w:p w:rsidR="0010585C" w:rsidRDefault="005557AC" w:rsidP="00EA738D">
      <w:pPr>
        <w:spacing w:line="480" w:lineRule="auto"/>
        <w:ind w:firstLine="720"/>
      </w:pPr>
      <w:r>
        <w:t>The</w:t>
      </w:r>
      <w:r w:rsidR="006B7AC9">
        <w:t xml:space="preserve"> </w:t>
      </w:r>
      <w:r w:rsidR="00E70DCF">
        <w:rPr>
          <w:smallCaps/>
        </w:rPr>
        <w:t>TtEB</w:t>
      </w:r>
      <w:r w:rsidR="0010585C">
        <w:rPr>
          <w:smallCaps/>
        </w:rPr>
        <w:t xml:space="preserve"> </w:t>
      </w:r>
      <w:r w:rsidR="007D711D">
        <w:t>report, its introductory</w:t>
      </w:r>
      <w:r w:rsidR="0010585C">
        <w:t xml:space="preserve"> press conference, and Motor City Mapping </w:t>
      </w:r>
      <w:r w:rsidR="007D711D">
        <w:t>imagery of</w:t>
      </w:r>
      <w:r>
        <w:t xml:space="preserve"> “bli</w:t>
      </w:r>
      <w:r w:rsidR="007D711D">
        <w:t>ghted” properties reveal city officials and a responsive media peering at city resi</w:t>
      </w:r>
      <w:r w:rsidR="00897C5E">
        <w:t>dents and real estate with the downward</w:t>
      </w:r>
      <w:r w:rsidR="007D711D">
        <w:t xml:space="preserve"> gaze.</w:t>
      </w:r>
      <w:r w:rsidR="0011676E">
        <w:t xml:space="preserve">  T</w:t>
      </w:r>
      <w:r w:rsidR="003F76DF">
        <w:t>he report, the p</w:t>
      </w:r>
      <w:r w:rsidR="00AC7F95">
        <w:t>r</w:t>
      </w:r>
      <w:r w:rsidR="009A262D">
        <w:t>ess, and the mapping effort run</w:t>
      </w:r>
      <w:r w:rsidR="003F76DF">
        <w:t xml:space="preserve"> amok with </w:t>
      </w:r>
      <w:r w:rsidR="0097286F">
        <w:t>horror images and ruin porn th</w:t>
      </w:r>
      <w:r w:rsidR="00E75325">
        <w:t xml:space="preserve">at </w:t>
      </w:r>
      <w:r w:rsidR="009E3AF8">
        <w:t xml:space="preserve">exceed the degradations seen in </w:t>
      </w:r>
      <w:r w:rsidR="009E3AF8">
        <w:rPr>
          <w:i/>
        </w:rPr>
        <w:t>Berman</w:t>
      </w:r>
      <w:r w:rsidR="009E3AF8">
        <w:t xml:space="preserve"> and its ilk</w:t>
      </w:r>
      <w:r w:rsidR="009E3AF8" w:rsidRPr="00175536">
        <w:rPr>
          <w:rStyle w:val="FootnoteReference"/>
        </w:rPr>
        <w:footnoteReference w:id="252"/>
      </w:r>
      <w:r w:rsidR="009E3AF8">
        <w:rPr>
          <w:i/>
        </w:rPr>
        <w:t xml:space="preserve"> </w:t>
      </w:r>
      <w:r w:rsidR="009E3AF8">
        <w:t>and qualify as cultural violence.</w:t>
      </w:r>
      <w:r w:rsidR="0097286F">
        <w:rPr>
          <w:rStyle w:val="FootnoteReference"/>
        </w:rPr>
        <w:footnoteReference w:id="253"/>
      </w:r>
      <w:r w:rsidR="009E3AF8">
        <w:t xml:space="preserve"> The downward gaze</w:t>
      </w:r>
      <w:r w:rsidR="00E75325">
        <w:t xml:space="preserve"> makes it easy to ignore legal dilemmas and forthcoming social problems as collateral damage incurred because of the politics of desperation.</w:t>
      </w:r>
    </w:p>
    <w:p w:rsidR="005A6553" w:rsidRDefault="00E70DCF" w:rsidP="00EA738D">
      <w:pPr>
        <w:spacing w:line="480" w:lineRule="auto"/>
        <w:ind w:firstLine="720"/>
      </w:pPr>
      <w:r>
        <w:rPr>
          <w:smallCaps/>
        </w:rPr>
        <w:t xml:space="preserve">TtEB </w:t>
      </w:r>
      <w:r w:rsidR="005A6553">
        <w:t xml:space="preserve">opens with </w:t>
      </w:r>
      <w:r w:rsidR="005A6553">
        <w:rPr>
          <w:i/>
        </w:rPr>
        <w:t>A Message from the Chairs</w:t>
      </w:r>
      <w:r w:rsidR="005A6553">
        <w:t>,</w:t>
      </w:r>
      <w:r w:rsidR="008C5FC7">
        <w:rPr>
          <w:rStyle w:val="FootnoteReference"/>
        </w:rPr>
        <w:footnoteReference w:id="254"/>
      </w:r>
      <w:r w:rsidR="005A6553">
        <w:t xml:space="preserve"> authored by Glenda D. Price, </w:t>
      </w:r>
      <w:r w:rsidR="009A262D">
        <w:t xml:space="preserve">Linda Smith, and Dan Gilbert.  Here, </w:t>
      </w:r>
      <w:r w:rsidR="005A6553">
        <w:t>Price, Smith and Gilbert describe Detroit using languag</w:t>
      </w:r>
      <w:r w:rsidR="009E3AF8">
        <w:t>e that expands</w:t>
      </w:r>
      <w:r w:rsidR="003A622D">
        <w:t xml:space="preserve"> </w:t>
      </w:r>
      <w:r w:rsidR="005A6553">
        <w:rPr>
          <w:i/>
        </w:rPr>
        <w:t>Berman</w:t>
      </w:r>
      <w:r w:rsidR="009A262D">
        <w:rPr>
          <w:i/>
        </w:rPr>
        <w:t>’s</w:t>
      </w:r>
      <w:r w:rsidR="009A262D">
        <w:t xml:space="preserve"> </w:t>
      </w:r>
      <w:r w:rsidR="009E3AF8">
        <w:t xml:space="preserve">tactics </w:t>
      </w:r>
      <w:r w:rsidR="00FC460C">
        <w:t>with a relentless emphasis on contagion, disease, and monsters</w:t>
      </w:r>
      <w:r w:rsidR="00FC460C">
        <w:rPr>
          <w:i/>
        </w:rPr>
        <w:t xml:space="preserve">. </w:t>
      </w:r>
      <w:r w:rsidR="00FC460C">
        <w:t xml:space="preserve"> They </w:t>
      </w:r>
      <w:r w:rsidR="005A6553">
        <w:t>also explicitly align themselves with</w:t>
      </w:r>
      <w:r w:rsidR="00897C5E">
        <w:t xml:space="preserve"> the </w:t>
      </w:r>
      <w:r w:rsidR="009A262D">
        <w:t xml:space="preserve">ruin-porn </w:t>
      </w:r>
      <w:r w:rsidR="00897C5E">
        <w:t>gaz</w:t>
      </w:r>
      <w:r w:rsidR="009A262D">
        <w:t>e</w:t>
      </w:r>
      <w:r w:rsidR="00897C5E">
        <w:t>.</w:t>
      </w:r>
      <w:r w:rsidR="008C5FC7">
        <w:rPr>
          <w:rStyle w:val="FootnoteReference"/>
        </w:rPr>
        <w:footnoteReference w:id="255"/>
      </w:r>
    </w:p>
    <w:p w:rsidR="005A6553" w:rsidRDefault="005A6553" w:rsidP="00EA738D">
      <w:pPr>
        <w:spacing w:line="480" w:lineRule="auto"/>
      </w:pPr>
      <w:r>
        <w:tab/>
      </w:r>
      <w:r w:rsidR="008C5FC7">
        <w:t>In the letter</w:t>
      </w:r>
      <w:r w:rsidR="009A262D">
        <w:t>’s first paragraph</w:t>
      </w:r>
      <w:r w:rsidR="008C5FC7">
        <w:t xml:space="preserve">, the Chairs describe the “malignant disease of blight” that will </w:t>
      </w:r>
      <w:r w:rsidR="00D8717E">
        <w:t>render</w:t>
      </w:r>
      <w:r w:rsidR="008C5FC7">
        <w:t xml:space="preserve"> it “near impossible” to make “serious progress” on Detroit’s “large-scale difficult challenges . . . . [concerning] [e</w:t>
      </w:r>
      <w:r w:rsidR="0010585C">
        <w:t>]</w:t>
      </w:r>
      <w:r w:rsidR="008C5FC7">
        <w:t>ducation, crime and jobs.”</w:t>
      </w:r>
      <w:r>
        <w:t xml:space="preserve"> </w:t>
      </w:r>
      <w:r w:rsidR="008C5FC7">
        <w:rPr>
          <w:rStyle w:val="FootnoteReference"/>
        </w:rPr>
        <w:footnoteReference w:id="256"/>
      </w:r>
      <w:r w:rsidR="003A622D">
        <w:t xml:space="preserve">  “Blight is a cancer,” they explain.</w:t>
      </w:r>
      <w:r w:rsidR="003A622D">
        <w:rPr>
          <w:rStyle w:val="FootnoteReference"/>
        </w:rPr>
        <w:footnoteReference w:id="257"/>
      </w:r>
      <w:r w:rsidR="008C5FC7">
        <w:t xml:space="preserve">  </w:t>
      </w:r>
      <w:r w:rsidR="003A622D">
        <w:t>“</w:t>
      </w:r>
      <w:r w:rsidR="008C5FC7">
        <w:t>Blight sucks the soul out of anyone who gets near it, let along those who are unfortunate enough to live with it all around them.  Blight is radioactive.  It is contagious.”</w:t>
      </w:r>
      <w:r w:rsidR="0010585C">
        <w:rPr>
          <w:rStyle w:val="FootnoteReference"/>
        </w:rPr>
        <w:footnoteReference w:id="258"/>
      </w:r>
      <w:r w:rsidR="0010585C">
        <w:t xml:space="preserve">  </w:t>
      </w:r>
      <w:r w:rsidR="003A622D">
        <w:t>Such an epidemic requires radical surgery:</w:t>
      </w:r>
      <w:r w:rsidR="0010585C">
        <w:t xml:space="preserve">  “Just like removing only part of a malignant cancerous tumor is no real solution, removing only part or </w:t>
      </w:r>
      <w:r w:rsidR="0010585C">
        <w:lastRenderedPageBreak/>
        <w:t>incremental amounts of blight from neighborhoods and the city as a whole is also no real solution.  Because, like cancer, unless you remove the entire tumor, blight grows back.”</w:t>
      </w:r>
      <w:r w:rsidR="0010585C">
        <w:rPr>
          <w:rStyle w:val="FootnoteReference"/>
        </w:rPr>
        <w:footnoteReference w:id="259"/>
      </w:r>
      <w:r w:rsidR="00D8717E">
        <w:t xml:space="preserve">  The Chairs </w:t>
      </w:r>
      <w:r w:rsidR="00942C05">
        <w:t xml:space="preserve">devote the middle part of their </w:t>
      </w:r>
      <w:r w:rsidR="00D8717E">
        <w:t>letter to MCM mapping effort</w:t>
      </w:r>
      <w:r w:rsidR="003A622D">
        <w:t xml:space="preserve">. </w:t>
      </w:r>
      <w:r w:rsidR="0010585C">
        <w:t xml:space="preserve"> </w:t>
      </w:r>
      <w:r w:rsidR="00D8717E">
        <w:t xml:space="preserve">Then </w:t>
      </w:r>
      <w:r w:rsidR="00942C05">
        <w:t>they circ</w:t>
      </w:r>
      <w:r w:rsidR="000A2736">
        <w:t>le back to the cancer motif:  “</w:t>
      </w:r>
      <w:r w:rsidR="00942C05">
        <w:t>The first major step on the path to . . . [Detroit’s renewal] is the removal of the cancer of blight from our city. . . . Failure is not an option.”</w:t>
      </w:r>
      <w:r w:rsidR="00942C05">
        <w:rPr>
          <w:rStyle w:val="FootnoteReference"/>
        </w:rPr>
        <w:footnoteReference w:id="260"/>
      </w:r>
      <w:r w:rsidR="003A622D">
        <w:t xml:space="preserve">  We need not strain to discover horror motifs in the Chairs’ invocations of contagious</w:t>
      </w:r>
      <w:r w:rsidR="00D51539">
        <w:t>, spreading</w:t>
      </w:r>
      <w:r w:rsidR="003A622D">
        <w:t xml:space="preserve"> cancer, Chernobyl-like radioactivity, as well as a succubus (“soul-sucking”</w:t>
      </w:r>
      <w:r w:rsidR="005F4F69">
        <w:rPr>
          <w:rStyle w:val="FootnoteReference"/>
        </w:rPr>
        <w:footnoteReference w:id="261"/>
      </w:r>
      <w:r w:rsidR="003A622D">
        <w:t xml:space="preserve">).  </w:t>
      </w:r>
    </w:p>
    <w:p w:rsidR="001111BA" w:rsidRDefault="00D8717E" w:rsidP="00EA738D">
      <w:pPr>
        <w:spacing w:line="480" w:lineRule="auto"/>
      </w:pPr>
      <w:r>
        <w:tab/>
        <w:t>H</w:t>
      </w:r>
      <w:r w:rsidR="001111BA">
        <w:t xml:space="preserve">orror and cancer imagery also </w:t>
      </w:r>
      <w:r w:rsidR="000A2736">
        <w:t>bedecked</w:t>
      </w:r>
      <w:r w:rsidR="001111BA">
        <w:t xml:space="preserve"> the press conference </w:t>
      </w:r>
      <w:r>
        <w:t>announcing</w:t>
      </w:r>
      <w:r w:rsidR="001111BA">
        <w:t xml:space="preserve"> the blight report.  </w:t>
      </w:r>
      <w:r>
        <w:t>Taking</w:t>
      </w:r>
      <w:r w:rsidR="001111BA">
        <w:t xml:space="preserve"> place at Detroit’s Focus Hope</w:t>
      </w:r>
      <w:r w:rsidR="001111BA">
        <w:rPr>
          <w:rStyle w:val="FootnoteReference"/>
        </w:rPr>
        <w:footnoteReference w:id="262"/>
      </w:r>
      <w:r w:rsidR="001111BA">
        <w:t xml:space="preserve"> on May 27</w:t>
      </w:r>
      <w:r w:rsidR="00FE0077">
        <w:t xml:space="preserve">, 2014, </w:t>
      </w:r>
      <w:r>
        <w:t xml:space="preserve">the conference opened with one Matt </w:t>
      </w:r>
      <w:r w:rsidR="00F33F4E">
        <w:t>Cohen’s speech</w:t>
      </w:r>
      <w:r>
        <w:t xml:space="preserve"> about “blight’s</w:t>
      </w:r>
      <w:r w:rsidR="000A2736">
        <w:t>”</w:t>
      </w:r>
      <w:r w:rsidR="00FE0077">
        <w:t xml:space="preserve"> entomo</w:t>
      </w:r>
      <w:r>
        <w:t>logical roots</w:t>
      </w:r>
      <w:r w:rsidR="00FE0077">
        <w:t>, making its horrific and catastroph</w:t>
      </w:r>
      <w:r>
        <w:t>ic implications plain.  Mr. Cohen</w:t>
      </w:r>
      <w:r w:rsidR="005C1615">
        <w:t xml:space="preserve"> cited</w:t>
      </w:r>
      <w:r w:rsidR="00FE0077">
        <w:t xml:space="preserve"> the </w:t>
      </w:r>
      <w:r w:rsidR="00FE0077">
        <w:rPr>
          <w:smallCaps/>
        </w:rPr>
        <w:t xml:space="preserve">Webster’s Dictionary </w:t>
      </w:r>
      <w:r w:rsidR="00FE0077">
        <w:t>definition of blight as a “destructive force</w:t>
      </w:r>
      <w:r w:rsidR="00A94C49">
        <w:t>, something that spo</w:t>
      </w:r>
      <w:r w:rsidR="006B7AC9">
        <w:t>ils or damages things severely.</w:t>
      </w:r>
      <w:r w:rsidR="00A94C49">
        <w:t>“</w:t>
      </w:r>
      <w:r w:rsidR="00A94C49">
        <w:rPr>
          <w:rStyle w:val="FootnoteReference"/>
        </w:rPr>
        <w:footnoteReference w:id="263"/>
      </w:r>
      <w:r w:rsidR="005C1615">
        <w:t xml:space="preserve">  Cohen </w:t>
      </w:r>
      <w:r>
        <w:t xml:space="preserve">added, </w:t>
      </w:r>
      <w:r w:rsidR="00A94C49">
        <w:t>“I think we’ve now come to understand that blight is an active disease in our city, a cancer that unless totally eliminated will continue to spread and choke the very life out of our community.”</w:t>
      </w:r>
      <w:r w:rsidR="00A94C49">
        <w:rPr>
          <w:rStyle w:val="FootnoteReference"/>
        </w:rPr>
        <w:footnoteReference w:id="264"/>
      </w:r>
      <w:r w:rsidR="00FE0077">
        <w:t xml:space="preserve"> </w:t>
      </w:r>
    </w:p>
    <w:p w:rsidR="00424916" w:rsidRDefault="00424916" w:rsidP="00EA738D">
      <w:pPr>
        <w:spacing w:line="480" w:lineRule="auto"/>
      </w:pPr>
      <w:r>
        <w:tab/>
        <w:t xml:space="preserve">Not long after Cohen gave his introduction, Dan Gilbert took the floor.  </w:t>
      </w:r>
      <w:r w:rsidR="006B7AC9">
        <w:t>Mr. Gilbert, who is Anglo,</w:t>
      </w:r>
      <w:r>
        <w:t xml:space="preserve"> appears to have directly read out the </w:t>
      </w:r>
      <w:r>
        <w:rPr>
          <w:i/>
        </w:rPr>
        <w:t>Message from the Chairs</w:t>
      </w:r>
      <w:r>
        <w:t xml:space="preserve"> document, describing blight as a </w:t>
      </w:r>
      <w:r>
        <w:lastRenderedPageBreak/>
        <w:t>“malignant disease,” “a cancer” that is “contagious” and “radioactive” as well a</w:t>
      </w:r>
      <w:r w:rsidR="00897C5E">
        <w:t xml:space="preserve">s a “calamity.”  He also </w:t>
      </w:r>
      <w:r w:rsidR="00D8717E">
        <w:t>spoke excitedly about removing</w:t>
      </w:r>
      <w:r>
        <w:t xml:space="preserve"> “cancerous tumor[s]” in a sick host’s body in order to prevent the “</w:t>
      </w:r>
      <w:r w:rsidRPr="00424916">
        <w:t xml:space="preserve">blight </w:t>
      </w:r>
      <w:r>
        <w:t xml:space="preserve">[from] grow[ing] </w:t>
      </w:r>
      <w:r w:rsidRPr="00424916">
        <w:t>back</w:t>
      </w:r>
      <w:r>
        <w:t>.”</w:t>
      </w:r>
      <w:r>
        <w:rPr>
          <w:rStyle w:val="FootnoteReference"/>
        </w:rPr>
        <w:footnoteReference w:id="265"/>
      </w:r>
      <w:r>
        <w:t xml:space="preserve">  </w:t>
      </w:r>
    </w:p>
    <w:p w:rsidR="00D51539" w:rsidRDefault="00D8717E" w:rsidP="00EA738D">
      <w:pPr>
        <w:spacing w:line="480" w:lineRule="auto"/>
      </w:pPr>
      <w:r>
        <w:tab/>
        <w:t>T</w:t>
      </w:r>
      <w:r w:rsidR="005C1615">
        <w:t xml:space="preserve">he press seized upon </w:t>
      </w:r>
      <w:r>
        <w:t xml:space="preserve">these </w:t>
      </w:r>
      <w:r w:rsidR="005D4B02">
        <w:t>ghoulish specters</w:t>
      </w:r>
      <w:r w:rsidR="000F260F">
        <w:t xml:space="preserve">.  </w:t>
      </w:r>
      <w:r w:rsidR="000F260F">
        <w:rPr>
          <w:i/>
        </w:rPr>
        <w:t>The New York Times</w:t>
      </w:r>
      <w:r w:rsidR="000F260F">
        <w:t xml:space="preserve"> quoted Gilbert’s cancer and soul-sucking</w:t>
      </w:r>
      <w:r w:rsidR="006F0F23">
        <w:t xml:space="preserve"> </w:t>
      </w:r>
      <w:r w:rsidR="004C0749">
        <w:t>perorations</w:t>
      </w:r>
      <w:r w:rsidR="000F260F">
        <w:t>,</w:t>
      </w:r>
      <w:r w:rsidR="000F260F">
        <w:rPr>
          <w:rStyle w:val="FootnoteReference"/>
        </w:rPr>
        <w:footnoteReference w:id="266"/>
      </w:r>
      <w:r w:rsidR="006F0F23">
        <w:t xml:space="preserve"> and </w:t>
      </w:r>
      <w:r w:rsidR="000F260F">
        <w:t xml:space="preserve">cancer </w:t>
      </w:r>
      <w:r w:rsidR="00FC460C">
        <w:t xml:space="preserve">and succubus descriptions </w:t>
      </w:r>
      <w:r w:rsidR="00897C5E">
        <w:t>decorated</w:t>
      </w:r>
      <w:r w:rsidR="005C1615">
        <w:t xml:space="preserve"> reports published by</w:t>
      </w:r>
      <w:r w:rsidR="000F260F">
        <w:t xml:space="preserve"> </w:t>
      </w:r>
      <w:r w:rsidR="000F260F" w:rsidRPr="00D51539">
        <w:t>Deadline Detroit,</w:t>
      </w:r>
      <w:r w:rsidR="000F260F" w:rsidRPr="00D51539">
        <w:rPr>
          <w:rStyle w:val="FootnoteReference"/>
        </w:rPr>
        <w:footnoteReference w:id="267"/>
      </w:r>
      <w:r w:rsidR="00CF0E55" w:rsidRPr="00D51539">
        <w:t xml:space="preserve"> Watchdog Wire,</w:t>
      </w:r>
      <w:r w:rsidR="00CF0E55" w:rsidRPr="00D51539">
        <w:rPr>
          <w:rStyle w:val="FootnoteReference"/>
        </w:rPr>
        <w:footnoteReference w:id="268"/>
      </w:r>
      <w:r w:rsidR="00217D95" w:rsidRPr="00D51539">
        <w:t>the Huffington Post</w:t>
      </w:r>
      <w:r w:rsidR="00217D95">
        <w:rPr>
          <w:i/>
        </w:rPr>
        <w:t xml:space="preserve"> </w:t>
      </w:r>
      <w:r w:rsidR="00217D95">
        <w:t>(which proved one of the very few publications to critique this language),</w:t>
      </w:r>
      <w:r w:rsidR="00217D95">
        <w:rPr>
          <w:rStyle w:val="FootnoteReference"/>
        </w:rPr>
        <w:footnoteReference w:id="269"/>
      </w:r>
      <w:r w:rsidR="00756D12">
        <w:t xml:space="preserve"> the Detroit Free Press,</w:t>
      </w:r>
      <w:r w:rsidR="00756D12">
        <w:rPr>
          <w:rStyle w:val="FootnoteReference"/>
        </w:rPr>
        <w:footnoteReference w:id="270"/>
      </w:r>
      <w:r w:rsidR="002D0D5E">
        <w:t xml:space="preserve"> the Michigan Daily,</w:t>
      </w:r>
      <w:r w:rsidR="002D0D5E">
        <w:rPr>
          <w:rStyle w:val="FootnoteReference"/>
        </w:rPr>
        <w:footnoteReference w:id="271"/>
      </w:r>
      <w:r w:rsidR="002D0D5E">
        <w:t xml:space="preserve"> </w:t>
      </w:r>
      <w:r w:rsidR="00A74416">
        <w:t>the Florida Times-Union,</w:t>
      </w:r>
      <w:r w:rsidR="00A74416">
        <w:rPr>
          <w:rStyle w:val="FootnoteReference"/>
        </w:rPr>
        <w:footnoteReference w:id="272"/>
      </w:r>
      <w:r w:rsidR="00A74416">
        <w:t xml:space="preserve"> the Cleveland Plain-Dealer,</w:t>
      </w:r>
      <w:r w:rsidR="00A74416">
        <w:rPr>
          <w:rStyle w:val="FootnoteReference"/>
        </w:rPr>
        <w:footnoteReference w:id="273"/>
      </w:r>
      <w:r w:rsidR="00A74416">
        <w:t xml:space="preserve"> </w:t>
      </w:r>
      <w:r w:rsidR="00CA0CA8">
        <w:t>and The Week</w:t>
      </w:r>
      <w:r w:rsidR="005C1615">
        <w:t>.</w:t>
      </w:r>
      <w:r w:rsidR="00A74416">
        <w:rPr>
          <w:rStyle w:val="FootnoteReference"/>
        </w:rPr>
        <w:footnoteReference w:id="274"/>
      </w:r>
      <w:r w:rsidR="005C1615">
        <w:t xml:space="preserve">  </w:t>
      </w:r>
    </w:p>
    <w:p w:rsidR="000F260F" w:rsidRPr="00494873" w:rsidRDefault="005C1615" w:rsidP="00EA738D">
      <w:pPr>
        <w:spacing w:line="480" w:lineRule="auto"/>
        <w:ind w:firstLine="720"/>
      </w:pPr>
      <w:r>
        <w:lastRenderedPageBreak/>
        <w:t>Other c</w:t>
      </w:r>
      <w:r w:rsidR="00D10459">
        <w:t>lass</w:t>
      </w:r>
      <w:r w:rsidR="00897C5E">
        <w:t xml:space="preserve">ic peering patterns </w:t>
      </w:r>
      <w:r w:rsidR="004C0749">
        <w:t xml:space="preserve">infiltrated </w:t>
      </w:r>
      <w:r w:rsidR="00FE052D">
        <w:t>the news</w:t>
      </w:r>
      <w:r w:rsidR="004C0749">
        <w:t xml:space="preserve">, as </w:t>
      </w:r>
      <w:r w:rsidR="00FE052D">
        <w:t xml:space="preserve">reporters paired </w:t>
      </w:r>
      <w:r w:rsidR="00D10459">
        <w:t xml:space="preserve">invocation of </w:t>
      </w:r>
      <w:r w:rsidR="00FE052D">
        <w:t>monstrous contagion</w:t>
      </w:r>
      <w:r w:rsidR="00D10459">
        <w:t xml:space="preserve"> with </w:t>
      </w:r>
      <w:r w:rsidR="004C0749">
        <w:t>traditional “blight” visuals</w:t>
      </w:r>
      <w:r w:rsidR="00D10459">
        <w:t>:  At</w:t>
      </w:r>
      <w:r w:rsidR="00494873">
        <w:t xml:space="preserve"> least five of the newspapers </w:t>
      </w:r>
      <w:r w:rsidR="004C0749">
        <w:t xml:space="preserve">carrying </w:t>
      </w:r>
      <w:r w:rsidR="00494873">
        <w:t>Gilbert</w:t>
      </w:r>
      <w:r w:rsidR="004C0749">
        <w:t>’s</w:t>
      </w:r>
      <w:r w:rsidR="00494873">
        <w:t xml:space="preserve"> “cancer” story i</w:t>
      </w:r>
      <w:r w:rsidR="00897C5E">
        <w:t>llustrated their articles with ruin porn</w:t>
      </w:r>
      <w:r w:rsidR="00494873">
        <w:t xml:space="preserve">, that is, images of </w:t>
      </w:r>
      <w:r w:rsidR="001103FF">
        <w:t xml:space="preserve">distressed </w:t>
      </w:r>
      <w:r w:rsidR="00494873">
        <w:t>edifices that are empty of people:</w:t>
      </w:r>
    </w:p>
    <w:p w:rsidR="00494873" w:rsidRDefault="00494873" w:rsidP="00EA738D">
      <w:pPr>
        <w:spacing w:line="480" w:lineRule="auto"/>
      </w:pPr>
      <w:r>
        <w:rPr>
          <w:i/>
        </w:rPr>
        <w:tab/>
      </w:r>
      <w:r w:rsidR="00FF4D44">
        <w:t>For example, consider this image from the New York Times’ report on the press conference</w:t>
      </w:r>
      <w:r w:rsidR="001C084A">
        <w:rPr>
          <w:rStyle w:val="FootnoteReference"/>
        </w:rPr>
        <w:footnoteReference w:id="275"/>
      </w:r>
    </w:p>
    <w:p w:rsidR="00494873" w:rsidRDefault="00494873" w:rsidP="00EA738D">
      <w:pPr>
        <w:spacing w:line="480" w:lineRule="auto"/>
      </w:pPr>
      <w:r>
        <w:tab/>
      </w:r>
      <w:r>
        <w:rPr>
          <w:noProof/>
        </w:rPr>
        <w:drawing>
          <wp:inline distT="0" distB="0" distL="0" distR="0" wp14:anchorId="7F7D03C5" wp14:editId="7A06956C">
            <wp:extent cx="5943600" cy="3856736"/>
            <wp:effectExtent l="0" t="0" r="0" b="0"/>
            <wp:docPr id="1" name="Picture 1" descr="http://static01.nyt.com/images/2014/05/28/us/DETROIT2/DETROIT2-master675-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4/05/28/us/DETROIT2/DETROIT2-master675-v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56736"/>
                    </a:xfrm>
                    <a:prstGeom prst="rect">
                      <a:avLst/>
                    </a:prstGeom>
                    <a:noFill/>
                    <a:ln>
                      <a:noFill/>
                    </a:ln>
                  </pic:spPr>
                </pic:pic>
              </a:graphicData>
            </a:graphic>
          </wp:inline>
        </w:drawing>
      </w:r>
    </w:p>
    <w:p w:rsidR="00494873" w:rsidRDefault="00494873" w:rsidP="00EA738D">
      <w:pPr>
        <w:spacing w:line="480" w:lineRule="auto"/>
      </w:pPr>
    </w:p>
    <w:p w:rsidR="001103FF" w:rsidRPr="001103FF" w:rsidRDefault="00494873" w:rsidP="00EA738D">
      <w:pPr>
        <w:spacing w:line="480" w:lineRule="auto"/>
      </w:pPr>
      <w:r>
        <w:t>Deadl</w:t>
      </w:r>
      <w:r w:rsidR="00FF4D44">
        <w:t>ine Detroit,</w:t>
      </w:r>
      <w:r w:rsidR="001C084A">
        <w:rPr>
          <w:rStyle w:val="FootnoteReference"/>
        </w:rPr>
        <w:footnoteReference w:id="276"/>
      </w:r>
      <w:r w:rsidR="00FF4D44">
        <w:t xml:space="preserve"> the Michigan Daily,</w:t>
      </w:r>
      <w:r w:rsidR="001C084A">
        <w:rPr>
          <w:rStyle w:val="FootnoteReference"/>
        </w:rPr>
        <w:footnoteReference w:id="277"/>
      </w:r>
      <w:r w:rsidR="00FF4D44">
        <w:t xml:space="preserve"> the Cleveland Plain Dealer,</w:t>
      </w:r>
      <w:r w:rsidR="001C084A">
        <w:rPr>
          <w:rStyle w:val="FootnoteReference"/>
        </w:rPr>
        <w:footnoteReference w:id="278"/>
      </w:r>
      <w:r w:rsidR="00FF4D44">
        <w:t xml:space="preserve"> and</w:t>
      </w:r>
      <w:r w:rsidR="001103FF">
        <w:t xml:space="preserve"> the British publication, </w:t>
      </w:r>
      <w:r w:rsidR="00FF4D44">
        <w:rPr>
          <w:smallCaps/>
        </w:rPr>
        <w:t>The Week’s</w:t>
      </w:r>
      <w:r w:rsidR="001C084A">
        <w:rPr>
          <w:rStyle w:val="FootnoteReference"/>
          <w:smallCaps/>
        </w:rPr>
        <w:footnoteReference w:id="279"/>
      </w:r>
      <w:r w:rsidR="00FF4D44">
        <w:rPr>
          <w:smallCaps/>
        </w:rPr>
        <w:t xml:space="preserve"> </w:t>
      </w:r>
      <w:r w:rsidR="00FF4D44">
        <w:t>reports all included nearly identical images.</w:t>
      </w:r>
    </w:p>
    <w:p w:rsidR="004774E6" w:rsidRDefault="00494873" w:rsidP="00EA738D">
      <w:pPr>
        <w:spacing w:line="480" w:lineRule="auto"/>
      </w:pPr>
      <w:r>
        <w:rPr>
          <w:i/>
        </w:rPr>
        <w:lastRenderedPageBreak/>
        <w:tab/>
      </w:r>
      <w:r w:rsidR="004C0749">
        <w:t>I</w:t>
      </w:r>
      <w:r w:rsidR="00D10459">
        <w:t xml:space="preserve">n </w:t>
      </w:r>
      <w:r w:rsidR="00D10459">
        <w:rPr>
          <w:i/>
        </w:rPr>
        <w:t xml:space="preserve">Peering </w:t>
      </w:r>
      <w:r w:rsidR="00D10459">
        <w:t xml:space="preserve">I observed </w:t>
      </w:r>
      <w:r w:rsidR="004C0749">
        <w:t xml:space="preserve">that official </w:t>
      </w:r>
      <w:r w:rsidR="00D42CBF">
        <w:t xml:space="preserve">horror-talk and </w:t>
      </w:r>
      <w:r w:rsidR="00D10459">
        <w:t xml:space="preserve">ruin porn </w:t>
      </w:r>
      <w:r w:rsidR="00D42CBF">
        <w:t>make “blight” findings pleasurable</w:t>
      </w:r>
      <w:r w:rsidR="0097286F">
        <w:t>, culturally violent</w:t>
      </w:r>
      <w:r w:rsidR="00D42CBF">
        <w:t xml:space="preserve"> exercises in </w:t>
      </w:r>
      <w:r w:rsidR="001324B8">
        <w:t>voyeurism</w:t>
      </w:r>
      <w:r w:rsidR="00D42CBF">
        <w:t xml:space="preserve"> and banishment.</w:t>
      </w:r>
      <w:r w:rsidR="00D42CBF">
        <w:rPr>
          <w:rStyle w:val="FootnoteReference"/>
        </w:rPr>
        <w:footnoteReference w:id="280"/>
      </w:r>
      <w:r w:rsidR="0025410D">
        <w:t xml:space="preserve">  </w:t>
      </w:r>
      <w:r w:rsidR="004C0749">
        <w:t>The press photos depict a spreading</w:t>
      </w:r>
      <w:r w:rsidR="00FF4D44">
        <w:t>, overgrown</w:t>
      </w:r>
      <w:r w:rsidR="004C0749">
        <w:t xml:space="preserve"> </w:t>
      </w:r>
      <w:r w:rsidR="001103FF">
        <w:t xml:space="preserve">encroachment </w:t>
      </w:r>
      <w:r w:rsidR="004C0749">
        <w:t>mirroring</w:t>
      </w:r>
      <w:r w:rsidR="001103FF">
        <w:t xml:space="preserve"> Gilbert’s fantastical description of con</w:t>
      </w:r>
      <w:r w:rsidR="004C0749">
        <w:t>tagious cancer (</w:t>
      </w:r>
      <w:r w:rsidR="001103FF">
        <w:t>cancer is not contagious)</w:t>
      </w:r>
      <w:r w:rsidR="004C0749">
        <w:t>.  T</w:t>
      </w:r>
      <w:r w:rsidR="00D42CBF">
        <w:t xml:space="preserve">hey inspire </w:t>
      </w:r>
      <w:r w:rsidR="00FF4D44">
        <w:t xml:space="preserve">a kind of </w:t>
      </w:r>
      <w:r w:rsidR="005D4B02">
        <w:t>titillation.  The thrills</w:t>
      </w:r>
      <w:r w:rsidR="001103FF">
        <w:t xml:space="preserve"> of </w:t>
      </w:r>
      <w:r w:rsidR="006E4DAF">
        <w:t>slumming</w:t>
      </w:r>
      <w:r w:rsidR="001103FF">
        <w:t>,</w:t>
      </w:r>
      <w:r w:rsidR="006E4DAF">
        <w:rPr>
          <w:rStyle w:val="FootnoteReference"/>
        </w:rPr>
        <w:footnoteReference w:id="281"/>
      </w:r>
      <w:r w:rsidR="001103FF">
        <w:t xml:space="preserve"> also, hold in these pictures, creating t</w:t>
      </w:r>
      <w:r w:rsidR="004C0749">
        <w:t xml:space="preserve">heir own </w:t>
      </w:r>
      <w:r w:rsidR="001103FF">
        <w:t xml:space="preserve">problems – for if these </w:t>
      </w:r>
      <w:r w:rsidR="001324B8">
        <w:t>photographs</w:t>
      </w:r>
      <w:r w:rsidR="001103FF">
        <w:t xml:space="preserve"> </w:t>
      </w:r>
      <w:r w:rsidR="005D4B02">
        <w:t>excite</w:t>
      </w:r>
      <w:r w:rsidR="001103FF">
        <w:t xml:space="preserve"> s</w:t>
      </w:r>
      <w:r w:rsidR="004C0749">
        <w:t>ome observers with disgust while congratulating</w:t>
      </w:r>
      <w:r w:rsidR="004774E6">
        <w:t xml:space="preserve"> them on t</w:t>
      </w:r>
      <w:r w:rsidR="004C0749">
        <w:t xml:space="preserve">heir </w:t>
      </w:r>
      <w:r w:rsidR="00C17556">
        <w:t>bourgeois health</w:t>
      </w:r>
      <w:r w:rsidR="00947814">
        <w:t xml:space="preserve">, </w:t>
      </w:r>
      <w:r w:rsidR="004774E6">
        <w:t xml:space="preserve">then that very </w:t>
      </w:r>
      <w:r w:rsidR="001324B8">
        <w:t>hedonism</w:t>
      </w:r>
      <w:r w:rsidR="004774E6">
        <w:t xml:space="preserve"> </w:t>
      </w:r>
      <w:r w:rsidR="001324B8">
        <w:t>makes</w:t>
      </w:r>
      <w:r w:rsidR="004774E6">
        <w:t xml:space="preserve"> the state’s </w:t>
      </w:r>
      <w:r w:rsidR="006B7AC9">
        <w:t xml:space="preserve">potentially </w:t>
      </w:r>
      <w:r w:rsidR="0097286F">
        <w:t>structurally violent</w:t>
      </w:r>
      <w:r w:rsidR="0097286F">
        <w:rPr>
          <w:rStyle w:val="FootnoteReference"/>
        </w:rPr>
        <w:footnoteReference w:id="282"/>
      </w:r>
      <w:r w:rsidR="0097286F">
        <w:t xml:space="preserve"> </w:t>
      </w:r>
      <w:r w:rsidR="004774E6">
        <w:t>“cleansing” action all the more immune from criticism.</w:t>
      </w:r>
    </w:p>
    <w:p w:rsidR="00DF6395" w:rsidRDefault="004C0749" w:rsidP="00EA738D">
      <w:pPr>
        <w:spacing w:line="480" w:lineRule="auto"/>
      </w:pPr>
      <w:r>
        <w:tab/>
        <w:t>What’s worse, t</w:t>
      </w:r>
      <w:r w:rsidR="004774E6">
        <w:t xml:space="preserve">he Task Force’s chairs </w:t>
      </w:r>
      <w:r w:rsidR="004774E6">
        <w:rPr>
          <w:i/>
        </w:rPr>
        <w:t xml:space="preserve">explicitly </w:t>
      </w:r>
      <w:r w:rsidR="004774E6">
        <w:t xml:space="preserve">endorse </w:t>
      </w:r>
      <w:r>
        <w:t xml:space="preserve">the </w:t>
      </w:r>
      <w:r w:rsidR="004774E6">
        <w:t>ruin porn</w:t>
      </w:r>
      <w:r>
        <w:t xml:space="preserve"> gaze</w:t>
      </w:r>
      <w:r w:rsidR="004774E6">
        <w:t xml:space="preserve">.  In </w:t>
      </w:r>
      <w:r w:rsidR="004774E6">
        <w:rPr>
          <w:i/>
        </w:rPr>
        <w:t>Message from the Chairs</w:t>
      </w:r>
      <w:r w:rsidR="004774E6">
        <w:t xml:space="preserve">, after describing blight as a </w:t>
      </w:r>
      <w:r>
        <w:t xml:space="preserve">radioactive </w:t>
      </w:r>
      <w:r w:rsidR="004774E6">
        <w:t xml:space="preserve">cancer, </w:t>
      </w:r>
      <w:r w:rsidR="00DF6395">
        <w:t xml:space="preserve">Price, Smith </w:t>
      </w:r>
      <w:r w:rsidR="004774E6">
        <w:t xml:space="preserve">and Gilbert also </w:t>
      </w:r>
      <w:r>
        <w:t>that “[t]</w:t>
      </w:r>
      <w:r w:rsidR="00C17556">
        <w:t xml:space="preserve">he phrase ‘ruin porn’ </w:t>
      </w:r>
      <w:r w:rsidR="00DF6395">
        <w:t>did not emerge accidentally.  It emerged because it is rooted in the truth that tens of thousands of well-built homes, commercial buildings and clean vacant lots have morphed into an unprecedented amount of ugly blight.”</w:t>
      </w:r>
      <w:r w:rsidR="00DF6395">
        <w:rPr>
          <w:rStyle w:val="FootnoteReference"/>
        </w:rPr>
        <w:footnoteReference w:id="283"/>
      </w:r>
    </w:p>
    <w:p w:rsidR="00925FF1" w:rsidRDefault="004774E6" w:rsidP="00EA738D">
      <w:pPr>
        <w:spacing w:line="480" w:lineRule="auto"/>
      </w:pPr>
      <w:r>
        <w:tab/>
      </w:r>
      <w:r w:rsidR="00596E31">
        <w:t xml:space="preserve">Ruin porn also </w:t>
      </w:r>
      <w:r w:rsidR="00FF15E2">
        <w:t>dramatizes the Motor</w:t>
      </w:r>
      <w:r w:rsidR="00A539CD">
        <w:t xml:space="preserve"> City Mapping </w:t>
      </w:r>
      <w:r w:rsidR="00FF15E2">
        <w:t xml:space="preserve">(MCM) </w:t>
      </w:r>
      <w:r w:rsidR="00A539CD">
        <w:t xml:space="preserve">study </w:t>
      </w:r>
      <w:r w:rsidR="00C63ACD">
        <w:t xml:space="preserve">of </w:t>
      </w:r>
      <w:r w:rsidR="00FF15E2">
        <w:t>Detroit b</w:t>
      </w:r>
      <w:r w:rsidR="00A539CD">
        <w:t>light.</w:t>
      </w:r>
      <w:r w:rsidR="00FF15E2">
        <w:rPr>
          <w:rStyle w:val="FootnoteReference"/>
        </w:rPr>
        <w:footnoteReference w:id="284"/>
      </w:r>
      <w:r w:rsidR="009E7B02">
        <w:t xml:space="preserve">  Recall that MCM uses “windshield” pictures to illustrate </w:t>
      </w:r>
      <w:r w:rsidR="000530D0">
        <w:t>Detroit dilapidation.</w:t>
      </w:r>
      <w:r w:rsidR="000530D0">
        <w:rPr>
          <w:rStyle w:val="FootnoteReference"/>
        </w:rPr>
        <w:footnoteReference w:id="285"/>
      </w:r>
      <w:r w:rsidR="000530D0">
        <w:t xml:space="preserve">  </w:t>
      </w:r>
      <w:r w:rsidR="00587680">
        <w:t>While the</w:t>
      </w:r>
      <w:r w:rsidR="00FD4EE5">
        <w:t xml:space="preserve"> mapping task’s</w:t>
      </w:r>
      <w:r w:rsidR="00587680">
        <w:t xml:space="preserve"> enormity </w:t>
      </w:r>
      <w:r w:rsidR="008015DF">
        <w:t xml:space="preserve">explains </w:t>
      </w:r>
      <w:r w:rsidR="00FD4EE5">
        <w:t xml:space="preserve">the necessity of </w:t>
      </w:r>
      <w:r w:rsidR="000530D0">
        <w:t xml:space="preserve">these </w:t>
      </w:r>
      <w:r w:rsidR="00587680">
        <w:t>windshield pictures –</w:t>
      </w:r>
      <w:r w:rsidR="009257AD">
        <w:t xml:space="preserve"> </w:t>
      </w:r>
      <w:r w:rsidR="00587680">
        <w:t xml:space="preserve">an elaborate photography project </w:t>
      </w:r>
      <w:r w:rsidR="00FD4EE5">
        <w:t>would have</w:t>
      </w:r>
      <w:r w:rsidR="00587680">
        <w:t xml:space="preserve"> slowe</w:t>
      </w:r>
      <w:r w:rsidR="00FF15E2">
        <w:t xml:space="preserve">d down progress – the images </w:t>
      </w:r>
      <w:r w:rsidR="00587680">
        <w:t xml:space="preserve">nevertheless </w:t>
      </w:r>
      <w:r w:rsidR="00FD4EE5">
        <w:t xml:space="preserve">replicate </w:t>
      </w:r>
      <w:r w:rsidR="00587680">
        <w:t xml:space="preserve">ruin porn, particularly as seen </w:t>
      </w:r>
      <w:r w:rsidR="00947814">
        <w:t xml:space="preserve">in </w:t>
      </w:r>
      <w:r w:rsidR="00947814">
        <w:rPr>
          <w:smallCaps/>
        </w:rPr>
        <w:t xml:space="preserve">The Ruins of </w:t>
      </w:r>
      <w:r w:rsidR="00947814" w:rsidRPr="00947814">
        <w:rPr>
          <w:smallCaps/>
        </w:rPr>
        <w:lastRenderedPageBreak/>
        <w:t>Detroit</w:t>
      </w:r>
      <w:r w:rsidR="00FD4EE5">
        <w:t xml:space="preserve"> and the</w:t>
      </w:r>
      <w:r w:rsidR="00947814">
        <w:rPr>
          <w:i/>
          <w:smallCaps/>
        </w:rPr>
        <w:t xml:space="preserve"> </w:t>
      </w:r>
      <w:r w:rsidR="00FF15E2" w:rsidRPr="00947814">
        <w:t>Manhattanville</w:t>
      </w:r>
      <w:r w:rsidR="00587680">
        <w:t xml:space="preserve"> blight reports.</w:t>
      </w:r>
      <w:r w:rsidR="009257AD">
        <w:rPr>
          <w:rStyle w:val="FootnoteReference"/>
        </w:rPr>
        <w:footnoteReference w:id="286"/>
      </w:r>
      <w:r w:rsidR="00FD4EE5">
        <w:t xml:space="preserve">  Like ruin porn</w:t>
      </w:r>
      <w:r w:rsidR="00587680">
        <w:t xml:space="preserve">, they show </w:t>
      </w:r>
      <w:r w:rsidR="00D51539">
        <w:t>destroyed</w:t>
      </w:r>
      <w:r w:rsidR="00587680">
        <w:t xml:space="preserve"> housing without any ima</w:t>
      </w:r>
      <w:r w:rsidR="00FD4EE5">
        <w:t>ges of human beings</w:t>
      </w:r>
      <w:r w:rsidR="00587680">
        <w:t xml:space="preserve">.  </w:t>
      </w:r>
    </w:p>
    <w:p w:rsidR="00925FF1" w:rsidRDefault="00925FF1" w:rsidP="00EA738D">
      <w:pPr>
        <w:spacing w:line="480" w:lineRule="auto"/>
      </w:pPr>
      <w:r>
        <w:tab/>
        <w:t>Here are some images from the Motor City Mapping project featuring residences that blexters suggested for demolition:</w:t>
      </w:r>
    </w:p>
    <w:p w:rsidR="00925FF1" w:rsidRDefault="009C3C44" w:rsidP="00EA738D">
      <w:pPr>
        <w:spacing w:line="480" w:lineRule="auto"/>
      </w:pPr>
      <w:r>
        <w:t xml:space="preserve">This is 8271 Brush Street, Detroit, 48202: </w:t>
      </w:r>
      <w:r w:rsidR="00925FF1">
        <w:tab/>
      </w:r>
      <w:r w:rsidR="00925FF1" w:rsidRPr="00925FF1">
        <w:rPr>
          <w:noProof/>
        </w:rPr>
        <w:drawing>
          <wp:inline distT="0" distB="0" distL="0" distR="0" wp14:anchorId="699F4FFC" wp14:editId="1FCC6B36">
            <wp:extent cx="5943600" cy="4455620"/>
            <wp:effectExtent l="0" t="0" r="0" b="2540"/>
            <wp:docPr id="6" name="Picture 6" descr="https://www.motorcitymapping.org/uploads/blexts/000/056/789/blext-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otorcitymapping.org/uploads/blexts/000/056/789/blext-origin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5620"/>
                    </a:xfrm>
                    <a:prstGeom prst="rect">
                      <a:avLst/>
                    </a:prstGeom>
                    <a:noFill/>
                    <a:ln>
                      <a:noFill/>
                    </a:ln>
                  </pic:spPr>
                </pic:pic>
              </a:graphicData>
            </a:graphic>
          </wp:inline>
        </w:drawing>
      </w:r>
      <w:r>
        <w:rPr>
          <w:rStyle w:val="FootnoteReference"/>
        </w:rPr>
        <w:footnoteReference w:id="287"/>
      </w:r>
    </w:p>
    <w:p w:rsidR="00587680" w:rsidRDefault="009C3C44" w:rsidP="00EA738D">
      <w:pPr>
        <w:spacing w:line="480" w:lineRule="auto"/>
      </w:pPr>
      <w:r>
        <w:t xml:space="preserve">This is </w:t>
      </w:r>
      <w:r w:rsidR="00C656A0">
        <w:t xml:space="preserve">19220 </w:t>
      </w:r>
      <w:r>
        <w:t xml:space="preserve">Albany Street, Detroit, </w:t>
      </w:r>
      <w:r w:rsidRPr="009C3C44">
        <w:t>48234</w:t>
      </w:r>
      <w:r w:rsidR="00C656A0">
        <w:t>:</w:t>
      </w:r>
    </w:p>
    <w:p w:rsidR="00C656A0" w:rsidRDefault="00C656A0" w:rsidP="00EA738D">
      <w:pPr>
        <w:spacing w:line="480" w:lineRule="auto"/>
      </w:pPr>
      <w:r w:rsidRPr="00C656A0">
        <w:rPr>
          <w:noProof/>
        </w:rPr>
        <w:lastRenderedPageBreak/>
        <w:drawing>
          <wp:inline distT="0" distB="0" distL="0" distR="0" wp14:anchorId="0039C958" wp14:editId="43EDD676">
            <wp:extent cx="5943600" cy="7928500"/>
            <wp:effectExtent l="0" t="0" r="0" b="0"/>
            <wp:docPr id="7" name="Picture 7" descr="https://www.motorcitymapping.org/uploads/blexts/000/230/591/blext-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otorcitymapping.org/uploads/blexts/000/230/591/blext-orig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928500"/>
                    </a:xfrm>
                    <a:prstGeom prst="rect">
                      <a:avLst/>
                    </a:prstGeom>
                    <a:noFill/>
                    <a:ln>
                      <a:noFill/>
                    </a:ln>
                  </pic:spPr>
                </pic:pic>
              </a:graphicData>
            </a:graphic>
          </wp:inline>
        </w:drawing>
      </w:r>
      <w:r>
        <w:rPr>
          <w:rStyle w:val="FootnoteReference"/>
        </w:rPr>
        <w:lastRenderedPageBreak/>
        <w:footnoteReference w:id="288"/>
      </w:r>
    </w:p>
    <w:p w:rsidR="00A539CD" w:rsidRDefault="00F0374D" w:rsidP="00EA738D">
      <w:pPr>
        <w:spacing w:line="480" w:lineRule="auto"/>
      </w:pPr>
      <w:r>
        <w:t>And this is of 7822 Pitt Street, zipcode 48209, showing an occupied house that blexters recommended for demolition:</w:t>
      </w:r>
      <w:r>
        <w:rPr>
          <w:rStyle w:val="FootnoteReference"/>
        </w:rPr>
        <w:footnoteReference w:id="289"/>
      </w:r>
    </w:p>
    <w:p w:rsidR="00F0374D" w:rsidRDefault="00F0374D" w:rsidP="00EA738D">
      <w:pPr>
        <w:spacing w:line="480" w:lineRule="auto"/>
      </w:pPr>
      <w:r w:rsidRPr="00F0374D">
        <w:rPr>
          <w:noProof/>
        </w:rPr>
        <w:lastRenderedPageBreak/>
        <w:drawing>
          <wp:inline distT="0" distB="0" distL="0" distR="0" wp14:anchorId="16494E21" wp14:editId="15470103">
            <wp:extent cx="5943600" cy="7928500"/>
            <wp:effectExtent l="0" t="0" r="0" b="0"/>
            <wp:docPr id="8" name="Picture 8" descr="https://www.motorcitymapping.org/uploads/blexts/000/022/446/blext20131210-13046-1dh7as-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otorcitymapping.org/uploads/blexts/000/022/446/blext20131210-13046-1dh7as-origin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928500"/>
                    </a:xfrm>
                    <a:prstGeom prst="rect">
                      <a:avLst/>
                    </a:prstGeom>
                    <a:noFill/>
                    <a:ln>
                      <a:noFill/>
                    </a:ln>
                  </pic:spPr>
                </pic:pic>
              </a:graphicData>
            </a:graphic>
          </wp:inline>
        </w:drawing>
      </w:r>
    </w:p>
    <w:p w:rsidR="00F0374D" w:rsidRDefault="00F0374D" w:rsidP="00EA738D">
      <w:pPr>
        <w:spacing w:line="480" w:lineRule="auto"/>
      </w:pPr>
    </w:p>
    <w:p w:rsidR="002A75E9" w:rsidRDefault="00FF4D44" w:rsidP="00EA738D">
      <w:pPr>
        <w:spacing w:line="480" w:lineRule="auto"/>
        <w:ind w:firstLine="720"/>
      </w:pPr>
      <w:r>
        <w:t>One strong objection to my analysis concerns the photographers’ native statuses.  These were no Parisians descending upon Motor City</w:t>
      </w:r>
      <w:r w:rsidR="003454C0">
        <w:t>:  D</w:t>
      </w:r>
      <w:r w:rsidR="00D51539">
        <w:t>ata Driven Detroit</w:t>
      </w:r>
      <w:r w:rsidR="003454C0">
        <w:t xml:space="preserve">’s </w:t>
      </w:r>
      <w:r w:rsidR="00575159">
        <w:t xml:space="preserve">Director </w:t>
      </w:r>
      <w:r w:rsidR="003454C0">
        <w:t>Erica Raleigh explained to me that</w:t>
      </w:r>
      <w:r w:rsidR="00D51539">
        <w:t xml:space="preserve"> </w:t>
      </w:r>
      <w:r w:rsidR="0072668E">
        <w:t>MCM</w:t>
      </w:r>
      <w:r w:rsidR="00D03A29">
        <w:t xml:space="preserve"> endeavored to have </w:t>
      </w:r>
      <w:r w:rsidR="006C503F">
        <w:t xml:space="preserve">many of </w:t>
      </w:r>
      <w:r w:rsidR="00D03A29">
        <w:t xml:space="preserve">its </w:t>
      </w:r>
      <w:r w:rsidR="006C503F">
        <w:t xml:space="preserve">130 </w:t>
      </w:r>
      <w:r w:rsidR="00D03A29">
        <w:t>surveyors come from the community</w:t>
      </w:r>
      <w:r w:rsidR="0019436C">
        <w:t xml:space="preserve">, and </w:t>
      </w:r>
      <w:r w:rsidR="0072668E">
        <w:t xml:space="preserve">trained </w:t>
      </w:r>
      <w:r w:rsidR="0019436C">
        <w:t>them in how to use MCM technology to visually document the properties</w:t>
      </w:r>
      <w:r w:rsidR="006C503F">
        <w:t>.</w:t>
      </w:r>
      <w:r w:rsidR="006C503F">
        <w:rPr>
          <w:rStyle w:val="FootnoteReference"/>
        </w:rPr>
        <w:footnoteReference w:id="290"/>
      </w:r>
      <w:r w:rsidR="008F3332">
        <w:t xml:space="preserve">  T</w:t>
      </w:r>
      <w:r w:rsidR="006C503F">
        <w:t xml:space="preserve">he “gaze” here, </w:t>
      </w:r>
      <w:r w:rsidR="008F3332">
        <w:t>then, appears to be</w:t>
      </w:r>
      <w:r w:rsidR="006C503F">
        <w:t xml:space="preserve"> a local one.  </w:t>
      </w:r>
    </w:p>
    <w:p w:rsidR="00651731" w:rsidRDefault="002A75E9" w:rsidP="00EA738D">
      <w:pPr>
        <w:spacing w:line="480" w:lineRule="auto"/>
        <w:ind w:firstLine="720"/>
      </w:pPr>
      <w:r>
        <w:t>So, d</w:t>
      </w:r>
      <w:r w:rsidR="00575159">
        <w:t>o</w:t>
      </w:r>
      <w:r>
        <w:t xml:space="preserve"> the </w:t>
      </w:r>
      <w:r w:rsidR="00575159">
        <w:t>surveyors’ local identities</w:t>
      </w:r>
      <w:r>
        <w:t xml:space="preserve"> </w:t>
      </w:r>
      <w:r w:rsidR="00575159">
        <w:t xml:space="preserve">make their pictures good </w:t>
      </w:r>
      <w:r>
        <w:t>proofs of blight?  Not necessarily:  T</w:t>
      </w:r>
      <w:r w:rsidR="00575159">
        <w:t xml:space="preserve">he images </w:t>
      </w:r>
      <w:r w:rsidR="006C503F">
        <w:t>bear all the hallmarks of classic ruin porn, whatever the surveyors’</w:t>
      </w:r>
      <w:r>
        <w:t xml:space="preserve"> intentions.  And, more </w:t>
      </w:r>
      <w:r w:rsidR="008015DF">
        <w:t>distressingly</w:t>
      </w:r>
      <w:r>
        <w:t>,</w:t>
      </w:r>
      <w:r w:rsidR="006C503F">
        <w:t xml:space="preserve"> the </w:t>
      </w:r>
      <w:r w:rsidR="00575159">
        <w:t xml:space="preserve">photographers’ </w:t>
      </w:r>
      <w:r w:rsidR="006C503F">
        <w:t xml:space="preserve">“authenticity” can </w:t>
      </w:r>
      <w:r w:rsidR="00575159">
        <w:t xml:space="preserve">create an excuse to enjoy </w:t>
      </w:r>
      <w:r w:rsidR="006C503F">
        <w:t>the images as ruin po</w:t>
      </w:r>
      <w:r w:rsidR="008015DF">
        <w:t>rn while denying this practice</w:t>
      </w:r>
      <w:r w:rsidR="006C503F">
        <w:t xml:space="preserve">. </w:t>
      </w:r>
    </w:p>
    <w:p w:rsidR="009874EB" w:rsidRDefault="002A75E9" w:rsidP="00EA738D">
      <w:pPr>
        <w:spacing w:line="480" w:lineRule="auto"/>
        <w:ind w:firstLine="720"/>
      </w:pPr>
      <w:r>
        <w:t xml:space="preserve">But even </w:t>
      </w:r>
      <w:r w:rsidR="0072668E">
        <w:t xml:space="preserve">more </w:t>
      </w:r>
      <w:r w:rsidR="008015DF">
        <w:t>hazards lurk</w:t>
      </w:r>
      <w:r w:rsidR="0072668E">
        <w:t xml:space="preserve"> in the MCM images</w:t>
      </w:r>
      <w:r>
        <w:t xml:space="preserve">:  </w:t>
      </w:r>
      <w:r w:rsidR="00861914">
        <w:t xml:space="preserve">Recall that while </w:t>
      </w:r>
      <w:r w:rsidR="004A4355">
        <w:t xml:space="preserve">Mr. </w:t>
      </w:r>
      <w:r w:rsidR="004D088D">
        <w:t xml:space="preserve">Gilbert would like to demolish </w:t>
      </w:r>
      <w:r w:rsidR="00861914">
        <w:t xml:space="preserve">up to 72 thousand structures </w:t>
      </w:r>
      <w:r w:rsidR="004D088D">
        <w:t>based on his color</w:t>
      </w:r>
      <w:r w:rsidR="0063468F">
        <w:t>ful</w:t>
      </w:r>
      <w:r w:rsidR="00861914">
        <w:t xml:space="preserve"> “tumor excision” rhetoric, considerable disagreement exists between the blexters and the Task Force concerning how many structures need demolishing, or are even </w:t>
      </w:r>
      <w:r w:rsidR="000530D0">
        <w:t xml:space="preserve">in </w:t>
      </w:r>
      <w:r w:rsidR="00861914">
        <w:t>poor</w:t>
      </w:r>
      <w:r w:rsidR="000530D0">
        <w:t xml:space="preserve"> condition</w:t>
      </w:r>
      <w:r w:rsidR="00FC460C">
        <w:t xml:space="preserve">:  </w:t>
      </w:r>
      <w:r w:rsidR="005D4B02">
        <w:t xml:space="preserve">Again, </w:t>
      </w:r>
      <w:r w:rsidR="00FC460C">
        <w:t xml:space="preserve">Blexters recommended only </w:t>
      </w:r>
      <w:r w:rsidR="00FC460C" w:rsidRPr="00FC460C">
        <w:t>4,314</w:t>
      </w:r>
      <w:r w:rsidR="00FC460C">
        <w:t xml:space="preserve"> structures for demolition.</w:t>
      </w:r>
      <w:r w:rsidR="00FC460C">
        <w:rPr>
          <w:rStyle w:val="FootnoteReference"/>
        </w:rPr>
        <w:footnoteReference w:id="291"/>
      </w:r>
      <w:r w:rsidR="00FC460C">
        <w:t xml:space="preserve">  </w:t>
      </w:r>
      <w:r w:rsidR="00575159">
        <w:t xml:space="preserve">So </w:t>
      </w:r>
      <w:r w:rsidR="008F3332">
        <w:t>t</w:t>
      </w:r>
      <w:r w:rsidR="00575159">
        <w:t xml:space="preserve">he local gaze </w:t>
      </w:r>
      <w:r w:rsidR="009874EB">
        <w:t xml:space="preserve">accounted for a very small number of properties that now </w:t>
      </w:r>
      <w:r w:rsidR="008015DF">
        <w:t xml:space="preserve">prove </w:t>
      </w:r>
      <w:r w:rsidR="009874EB">
        <w:t>vul</w:t>
      </w:r>
      <w:r w:rsidR="0097286F">
        <w:t xml:space="preserve">nerable for </w:t>
      </w:r>
      <w:r w:rsidR="00875870">
        <w:t xml:space="preserve">confiscation and </w:t>
      </w:r>
      <w:r w:rsidR="0097286F">
        <w:t xml:space="preserve">demolition – but, in a fascinating feat of cultural violence, the blexters’ authentic “Detroit” gaze can </w:t>
      </w:r>
      <w:r w:rsidR="00575159">
        <w:t xml:space="preserve">shield </w:t>
      </w:r>
      <w:r w:rsidR="0097286F">
        <w:t xml:space="preserve">the determination that so many homes now need to be </w:t>
      </w:r>
      <w:r w:rsidR="00875870">
        <w:t>seized</w:t>
      </w:r>
      <w:r w:rsidR="0097286F">
        <w:t>.</w:t>
      </w:r>
    </w:p>
    <w:p w:rsidR="004D088D" w:rsidRDefault="009874EB" w:rsidP="00EA738D">
      <w:pPr>
        <w:spacing w:line="480" w:lineRule="auto"/>
      </w:pPr>
      <w:r>
        <w:tab/>
      </w:r>
      <w:r w:rsidR="00B133C6">
        <w:t xml:space="preserve">Motor City Mapping, however, seems alert to the problems of overbreadth.  </w:t>
      </w:r>
      <w:r w:rsidR="00575159">
        <w:t>I</w:t>
      </w:r>
      <w:r w:rsidR="00B133C6">
        <w:t xml:space="preserve">t </w:t>
      </w:r>
      <w:r w:rsidR="00575159">
        <w:t>promises</w:t>
      </w:r>
      <w:r w:rsidR="00B133C6">
        <w:t xml:space="preserve"> a tool called the “People’s Property Dashboard,” which will “enable residents to update information about </w:t>
      </w:r>
      <w:r w:rsidR="00B133C6">
        <w:lastRenderedPageBreak/>
        <w:t>property in their neighborhood.”</w:t>
      </w:r>
      <w:r w:rsidR="00B133C6">
        <w:rPr>
          <w:rStyle w:val="FootnoteReference"/>
        </w:rPr>
        <w:footnoteReference w:id="292"/>
      </w:r>
      <w:r>
        <w:t xml:space="preserve"> </w:t>
      </w:r>
      <w:r w:rsidR="00D51539">
        <w:t xml:space="preserve"> </w:t>
      </w:r>
      <w:r w:rsidR="00B133C6">
        <w:t xml:space="preserve">This </w:t>
      </w:r>
      <w:r w:rsidR="008015DF">
        <w:t>would amount to a</w:t>
      </w:r>
      <w:r w:rsidR="00B133C6">
        <w:t xml:space="preserve"> critical part of the MCM project, since it will allow </w:t>
      </w:r>
      <w:r w:rsidR="00575159">
        <w:t>for contested gazes</w:t>
      </w:r>
      <w:r w:rsidR="00B133C6">
        <w:t>.  The dashboard is not yet up, however.</w:t>
      </w:r>
      <w:r w:rsidR="00EA7D6B">
        <w:rPr>
          <w:rStyle w:val="FootnoteReference"/>
        </w:rPr>
        <w:footnoteReference w:id="293"/>
      </w:r>
      <w:r w:rsidR="002A75E9">
        <w:t xml:space="preserve">  If it is used well by the community, then it could </w:t>
      </w:r>
      <w:r w:rsidR="008015DF">
        <w:t>create</w:t>
      </w:r>
      <w:r w:rsidR="002A75E9">
        <w:t xml:space="preserve"> a very valuable tool in defining Detroit blight, and for determining Detroit’s future.</w:t>
      </w:r>
    </w:p>
    <w:p w:rsidR="00A269BC" w:rsidRDefault="00A269BC" w:rsidP="00EA738D">
      <w:pPr>
        <w:spacing w:line="480" w:lineRule="auto"/>
      </w:pPr>
      <w:r>
        <w:tab/>
        <w:t>The Blight Task Force’s report, rhetoric, and tools, then, partake of the downward gaze.  In the report and Gilbert’s use of alarming “cancer,” “radioactive,” “succubus,” and “contagion” language, we find the same panic-inducing an</w:t>
      </w:r>
      <w:r w:rsidR="008015DF">
        <w:t>d dehumanizing imagery that traditionally energizes</w:t>
      </w:r>
      <w:r>
        <w:t xml:space="preserve"> blight condemnations.  </w:t>
      </w:r>
      <w:r w:rsidR="00AC2971">
        <w:t>Further, we find ruin porn</w:t>
      </w:r>
      <w:r>
        <w:t xml:space="preserve"> in the Chairs’ Report </w:t>
      </w:r>
      <w:r>
        <w:rPr>
          <w:i/>
        </w:rPr>
        <w:t>Message</w:t>
      </w:r>
      <w:r w:rsidR="00AC2971">
        <w:t xml:space="preserve">, </w:t>
      </w:r>
      <w:r>
        <w:t>news reports of the Blight Report, and</w:t>
      </w:r>
      <w:r w:rsidR="00AC2971">
        <w:t xml:space="preserve"> the blexters’ photographs</w:t>
      </w:r>
      <w:r>
        <w:t>.</w:t>
      </w:r>
    </w:p>
    <w:p w:rsidR="00A269BC" w:rsidRDefault="00A269BC" w:rsidP="00EA738D">
      <w:pPr>
        <w:spacing w:line="480" w:lineRule="auto"/>
      </w:pPr>
      <w:r>
        <w:tab/>
        <w:t>My previous work counsels that peering forms a warning sign that poor, working class</w:t>
      </w:r>
      <w:r w:rsidR="00AC2971">
        <w:t xml:space="preserve">, minority, and </w:t>
      </w:r>
      <w:r w:rsidR="0063468F">
        <w:t>vulnerable populations</w:t>
      </w:r>
      <w:r>
        <w:t xml:space="preserve"> may be over</w:t>
      </w:r>
      <w:r w:rsidR="008015DF">
        <w:t>looked in the redevelopment push.</w:t>
      </w:r>
      <w:r w:rsidR="00161025">
        <w:rPr>
          <w:rStyle w:val="FootnoteReference"/>
        </w:rPr>
        <w:footnoteReference w:id="294"/>
      </w:r>
      <w:r w:rsidR="008015DF">
        <w:t xml:space="preserve">  The downward gaze creates </w:t>
      </w:r>
      <w:r w:rsidR="0097286F">
        <w:t>cultural violence that will make the structur</w:t>
      </w:r>
      <w:r w:rsidR="00575159">
        <w:t xml:space="preserve">al violence of eviction and </w:t>
      </w:r>
      <w:r w:rsidR="0097286F">
        <w:t>dislocation look and feel right.</w:t>
      </w:r>
      <w:r w:rsidR="00161025">
        <w:rPr>
          <w:rStyle w:val="FootnoteReference"/>
        </w:rPr>
        <w:footnoteReference w:id="295"/>
      </w:r>
      <w:r w:rsidR="00161025">
        <w:t xml:space="preserve">  My study of Detroit adds another gloss to the power of downward gaze as well:  It pr</w:t>
      </w:r>
      <w:r w:rsidR="00C17556">
        <w:t xml:space="preserve">oves so influential that it </w:t>
      </w:r>
      <w:r w:rsidR="00161025">
        <w:t>help</w:t>
      </w:r>
      <w:r w:rsidR="00C17556">
        <w:t>s</w:t>
      </w:r>
      <w:r w:rsidR="00161025">
        <w:t xml:space="preserve"> explain not only why few people sound the alarm about the proposed blight condemnation’s threat to low income and vulnerable people.  The “desperate”</w:t>
      </w:r>
      <w:r w:rsidR="004A4355">
        <w:rPr>
          <w:rStyle w:val="FootnoteReference"/>
        </w:rPr>
        <w:footnoteReference w:id="296"/>
      </w:r>
      <w:r w:rsidR="00161025">
        <w:t xml:space="preserve"> and scared atmosphere cultivated by Mr. Gilbert’s scaremongering – and that likely existed before Mr. Gilbert became a prominent mouthpiece for blight removal –</w:t>
      </w:r>
      <w:r w:rsidR="00FC460C">
        <w:t xml:space="preserve"> </w:t>
      </w:r>
      <w:r w:rsidR="00161025">
        <w:t xml:space="preserve">also </w:t>
      </w:r>
      <w:r w:rsidR="00C17556">
        <w:t>illustrates</w:t>
      </w:r>
      <w:r w:rsidR="00161025">
        <w:t xml:space="preserve"> why few complain about the </w:t>
      </w:r>
      <w:r w:rsidR="0085460E">
        <w:t xml:space="preserve">unconstitutional </w:t>
      </w:r>
      <w:r w:rsidR="00792951">
        <w:t xml:space="preserve">takings that the </w:t>
      </w:r>
      <w:r w:rsidR="00161025">
        <w:t xml:space="preserve">Task </w:t>
      </w:r>
      <w:r w:rsidR="00792951">
        <w:t>Force characterizes as NAP exercises of police powers</w:t>
      </w:r>
      <w:r w:rsidR="00161025">
        <w:t xml:space="preserve">, and even why residents were so “thrilled” at </w:t>
      </w:r>
      <w:r w:rsidR="00792951">
        <w:t>demolitions and confiscations the</w:t>
      </w:r>
      <w:r w:rsidR="00161025">
        <w:t xml:space="preserve"> decade previous.</w:t>
      </w:r>
      <w:r w:rsidR="00161025">
        <w:rPr>
          <w:rStyle w:val="FootnoteReference"/>
        </w:rPr>
        <w:footnoteReference w:id="297"/>
      </w:r>
      <w:r w:rsidR="00161025">
        <w:t xml:space="preserve"> </w:t>
      </w:r>
    </w:p>
    <w:p w:rsidR="00A269BC" w:rsidRPr="00A269BC" w:rsidRDefault="00A269BC" w:rsidP="00EA738D">
      <w:pPr>
        <w:spacing w:line="480" w:lineRule="auto"/>
      </w:pPr>
      <w:r>
        <w:lastRenderedPageBreak/>
        <w:tab/>
        <w:t xml:space="preserve">As it so happens, that other </w:t>
      </w:r>
      <w:r w:rsidR="00575159">
        <w:t xml:space="preserve">dangerous </w:t>
      </w:r>
      <w:r w:rsidR="00FC460C">
        <w:t>look</w:t>
      </w:r>
      <w:r>
        <w:t xml:space="preserve">, </w:t>
      </w:r>
      <w:r w:rsidR="00FC460C">
        <w:t xml:space="preserve">being </w:t>
      </w:r>
      <w:r>
        <w:t xml:space="preserve">the aspirational or upward gaze, also </w:t>
      </w:r>
      <w:r w:rsidR="008015DF">
        <w:t>drives</w:t>
      </w:r>
      <w:r>
        <w:t xml:space="preserve"> </w:t>
      </w:r>
      <w:r w:rsidR="0088749E">
        <w:t>Detroit’s blight removal effort and shapes the conversation about the social and legal implications of the Task Force’s recommendations.</w:t>
      </w:r>
    </w:p>
    <w:p w:rsidR="00F579FA" w:rsidRDefault="00B133C6" w:rsidP="00EA738D">
      <w:pPr>
        <w:spacing w:line="480" w:lineRule="auto"/>
      </w:pPr>
      <w:r>
        <w:tab/>
      </w:r>
      <w:r w:rsidR="00F579FA">
        <w:tab/>
      </w:r>
      <w:r w:rsidR="00F579FA">
        <w:tab/>
      </w:r>
      <w:r w:rsidR="00F579FA">
        <w:tab/>
      </w:r>
      <w:r w:rsidR="00F579FA">
        <w:tab/>
      </w:r>
      <w:r w:rsidR="00F579FA">
        <w:tab/>
      </w:r>
    </w:p>
    <w:p w:rsidR="00F579FA" w:rsidRPr="005D4B02" w:rsidRDefault="00D51539" w:rsidP="00EA738D">
      <w:pPr>
        <w:pStyle w:val="ListParagraph"/>
        <w:numPr>
          <w:ilvl w:val="0"/>
          <w:numId w:val="18"/>
        </w:numPr>
        <w:spacing w:line="480" w:lineRule="auto"/>
      </w:pPr>
      <w:r w:rsidRPr="005D4B02">
        <w:t>The aspirational gaze: Pioneers, frontiers, and blank slates</w:t>
      </w:r>
      <w:r w:rsidR="005D4B02">
        <w:t>.</w:t>
      </w:r>
    </w:p>
    <w:p w:rsidR="00A269BC" w:rsidRDefault="006B152F" w:rsidP="00EA738D">
      <w:pPr>
        <w:spacing w:line="480" w:lineRule="auto"/>
      </w:pPr>
      <w:r>
        <w:tab/>
        <w:t>“A lot of people seem to want to move to Detroit right now,” I tell Delphia Simmons, the Quality Improvement Director at Detroit’</w:t>
      </w:r>
      <w:r w:rsidR="00A269BC">
        <w:t>s Coalition on Temporary Shelter (COTS).</w:t>
      </w:r>
      <w:r w:rsidR="00A269BC">
        <w:rPr>
          <w:rStyle w:val="FootnoteReference"/>
        </w:rPr>
        <w:footnoteReference w:id="298"/>
      </w:r>
      <w:r w:rsidR="00A269BC">
        <w:t xml:space="preserve">  COTS sits </w:t>
      </w:r>
      <w:r>
        <w:t xml:space="preserve">off of the Cass Corridor, </w:t>
      </w:r>
      <w:r w:rsidR="003F0A07">
        <w:t>and provides emergency and</w:t>
      </w:r>
      <w:r>
        <w:t xml:space="preserve"> transitional housing, a</w:t>
      </w:r>
      <w:r w:rsidR="003F0A07">
        <w:t>s well as</w:t>
      </w:r>
      <w:r>
        <w:t xml:space="preserve"> comprehensive support services to the cit</w:t>
      </w:r>
      <w:r w:rsidR="00A269BC">
        <w:t>y’s homeless population.</w:t>
      </w:r>
      <w:r>
        <w:rPr>
          <w:rStyle w:val="FootnoteReference"/>
        </w:rPr>
        <w:footnoteReference w:id="299"/>
      </w:r>
      <w:r w:rsidR="009E6B8D">
        <w:t xml:space="preserve">  </w:t>
      </w:r>
      <w:r w:rsidR="003F0A07">
        <w:t xml:space="preserve">The Corridor achieved notoriety years back for </w:t>
      </w:r>
      <w:r w:rsidR="003F0A07" w:rsidRPr="003F0A07">
        <w:t xml:space="preserve">its </w:t>
      </w:r>
      <w:r w:rsidR="00646FDD">
        <w:t>poverty and violence</w:t>
      </w:r>
      <w:r w:rsidR="003F0A07">
        <w:t xml:space="preserve"> but now lurches</w:t>
      </w:r>
      <w:r w:rsidR="003F0A07" w:rsidRPr="003F0A07">
        <w:t xml:space="preserve"> toward gentrification.</w:t>
      </w:r>
      <w:r w:rsidR="003F0A07">
        <w:rPr>
          <w:rStyle w:val="FootnoteReference"/>
        </w:rPr>
        <w:footnoteReference w:id="300"/>
      </w:r>
      <w:r w:rsidR="003F0A07">
        <w:t xml:space="preserve">  </w:t>
      </w:r>
      <w:r w:rsidR="00D2203A">
        <w:t xml:space="preserve">Delphia </w:t>
      </w:r>
      <w:r w:rsidR="007F6F61">
        <w:t>has a full schedule because of the Corridor’s c</w:t>
      </w:r>
      <w:r w:rsidR="00D44A55">
        <w:t>itizenry’s continued deep need.</w:t>
      </w:r>
      <w:r w:rsidR="007F6F61">
        <w:t xml:space="preserve"> </w:t>
      </w:r>
      <w:r w:rsidR="00D44A55">
        <w:t xml:space="preserve"> </w:t>
      </w:r>
      <w:r w:rsidR="007F6F61">
        <w:t>She</w:t>
      </w:r>
      <w:r w:rsidR="00A269BC">
        <w:t xml:space="preserve"> </w:t>
      </w:r>
      <w:r w:rsidR="006B7AC9">
        <w:t xml:space="preserve">is African-American, </w:t>
      </w:r>
      <w:r w:rsidR="003F0A07">
        <w:t xml:space="preserve">possesses a warm voice, </w:t>
      </w:r>
      <w:r w:rsidR="006B7AC9">
        <w:t>a soft, dark aura</w:t>
      </w:r>
      <w:r w:rsidR="009E6B8D">
        <w:t xml:space="preserve"> of hair</w:t>
      </w:r>
      <w:r w:rsidR="003F0A07">
        <w:t>,</w:t>
      </w:r>
      <w:r w:rsidR="009E6B8D">
        <w:t xml:space="preserve"> and </w:t>
      </w:r>
      <w:r w:rsidR="003F0A07">
        <w:t xml:space="preserve">wears </w:t>
      </w:r>
      <w:r w:rsidR="009E6B8D">
        <w:t>large</w:t>
      </w:r>
      <w:r w:rsidR="003F0A07">
        <w:t xml:space="preserve"> glasses.  She</w:t>
      </w:r>
      <w:r w:rsidR="00A269BC">
        <w:t xml:space="preserve"> agreed to talk with me</w:t>
      </w:r>
      <w:r w:rsidR="009E6B8D">
        <w:t xml:space="preserve"> with </w:t>
      </w:r>
      <w:r w:rsidR="007B4DD4">
        <w:t xml:space="preserve">between </w:t>
      </w:r>
      <w:r w:rsidR="0063468F">
        <w:t>two of today’s</w:t>
      </w:r>
      <w:r w:rsidR="003F0A07">
        <w:t xml:space="preserve"> many </w:t>
      </w:r>
      <w:r w:rsidR="007B4DD4">
        <w:t>meetings</w:t>
      </w:r>
      <w:r w:rsidR="003F0A07">
        <w:t xml:space="preserve"> but does not appear rushed</w:t>
      </w:r>
      <w:r w:rsidR="009E6B8D">
        <w:t xml:space="preserve">.  </w:t>
      </w:r>
    </w:p>
    <w:p w:rsidR="006B152F" w:rsidRDefault="00A269BC" w:rsidP="00EA738D">
      <w:pPr>
        <w:spacing w:line="480" w:lineRule="auto"/>
        <w:ind w:firstLine="720"/>
      </w:pPr>
      <w:r>
        <w:t>“I’ve heard Detroit</w:t>
      </w:r>
      <w:r w:rsidR="009E6B8D">
        <w:t xml:space="preserve"> described in some pretty</w:t>
      </w:r>
      <w:r>
        <w:t xml:space="preserve"> attractive ways,” I say. </w:t>
      </w:r>
      <w:r w:rsidR="00D51539">
        <w:t xml:space="preserve"> </w:t>
      </w:r>
      <w:r>
        <w:t>“</w:t>
      </w:r>
      <w:r w:rsidR="009E6B8D">
        <w:t>I keep heari</w:t>
      </w:r>
      <w:r>
        <w:t xml:space="preserve">ng the phrase, ‘blank slate.’ </w:t>
      </w:r>
      <w:r w:rsidR="0063468F">
        <w:t xml:space="preserve"> </w:t>
      </w:r>
      <w:r>
        <w:t xml:space="preserve">It’s as if Detroit is </w:t>
      </w:r>
      <w:r w:rsidR="009E6B8D">
        <w:t xml:space="preserve">a place where you </w:t>
      </w:r>
      <w:r w:rsidR="007F6F61">
        <w:t xml:space="preserve">can do anything, build anything --  or </w:t>
      </w:r>
      <w:r w:rsidR="009E6B8D">
        <w:t>buy a big house for cheap in an auction.”</w:t>
      </w:r>
    </w:p>
    <w:p w:rsidR="009E6B8D" w:rsidRDefault="009E6B8D" w:rsidP="00EA738D">
      <w:pPr>
        <w:spacing w:line="480" w:lineRule="auto"/>
      </w:pPr>
      <w:r>
        <w:tab/>
        <w:t>Delphia looks at me.</w:t>
      </w:r>
      <w:r w:rsidR="00A269BC">
        <w:t xml:space="preserve">  Like Noah, she experience</w:t>
      </w:r>
      <w:r w:rsidR="00646FDD">
        <w:t>s</w:t>
      </w:r>
      <w:r w:rsidR="00A269BC">
        <w:t xml:space="preserve"> a </w:t>
      </w:r>
      <w:r w:rsidR="003F0A07">
        <w:t xml:space="preserve">cerebral </w:t>
      </w:r>
      <w:r w:rsidR="00A269BC">
        <w:t xml:space="preserve">weight of skepticism that makes her head tilt </w:t>
      </w:r>
      <w:r w:rsidR="00980EE0">
        <w:t>when I am talking</w:t>
      </w:r>
      <w:r>
        <w:t>.  “Blank slate.  Fr</w:t>
      </w:r>
      <w:r w:rsidR="00A269BC">
        <w:t>ontier.  We hate that,” she finally offers</w:t>
      </w:r>
      <w:r>
        <w:t>.</w:t>
      </w:r>
    </w:p>
    <w:p w:rsidR="009E6B8D" w:rsidRPr="006B152F" w:rsidRDefault="009E6B8D" w:rsidP="00EA738D">
      <w:pPr>
        <w:spacing w:line="480" w:lineRule="auto"/>
      </w:pPr>
      <w:r>
        <w:tab/>
        <w:t>“Why?”</w:t>
      </w:r>
    </w:p>
    <w:p w:rsidR="00265A9B" w:rsidRDefault="009E6B8D" w:rsidP="00EA738D">
      <w:pPr>
        <w:spacing w:line="480" w:lineRule="auto"/>
        <w:ind w:firstLine="720"/>
      </w:pPr>
      <w:r>
        <w:lastRenderedPageBreak/>
        <w:t>“</w:t>
      </w:r>
      <w:r w:rsidR="006B152F" w:rsidRPr="006B152F">
        <w:t xml:space="preserve">People in Detroit don’t like that because </w:t>
      </w:r>
      <w:r w:rsidR="007F6F61">
        <w:t>. . . they mean</w:t>
      </w:r>
      <w:r w:rsidR="006B152F" w:rsidRPr="006B152F">
        <w:t xml:space="preserve"> there’s nothing here</w:t>
      </w:r>
      <w:r w:rsidR="00265A9B">
        <w:t>.  I mean,</w:t>
      </w:r>
      <w:r w:rsidR="006B152F" w:rsidRPr="006B152F">
        <w:t xml:space="preserve"> I don’t know how anyone could come to Detroit and say there’s nothing here unless they’re very selective in what they look for</w:t>
      </w:r>
      <w:r w:rsidR="00265A9B">
        <w:t>.”</w:t>
      </w:r>
    </w:p>
    <w:p w:rsidR="00265A9B" w:rsidRDefault="00265A9B" w:rsidP="00EA738D">
      <w:pPr>
        <w:spacing w:line="480" w:lineRule="auto"/>
        <w:ind w:firstLine="720"/>
      </w:pPr>
      <w:r>
        <w:t xml:space="preserve">“What should people look for when they look at Detroit?” I press.  </w:t>
      </w:r>
      <w:r w:rsidR="006B152F" w:rsidRPr="006B152F">
        <w:t xml:space="preserve"> </w:t>
      </w:r>
    </w:p>
    <w:p w:rsidR="00265A9B" w:rsidRDefault="00265A9B" w:rsidP="00EA738D">
      <w:pPr>
        <w:spacing w:line="480" w:lineRule="auto"/>
        <w:ind w:firstLine="720"/>
      </w:pPr>
      <w:r>
        <w:t>“</w:t>
      </w:r>
      <w:r w:rsidR="006B152F" w:rsidRPr="006B152F">
        <w:t>I don’t like the idea that it’s all here for the taking.  We</w:t>
      </w:r>
      <w:r>
        <w:t xml:space="preserve"> need to understand that the city</w:t>
      </w:r>
      <w:r w:rsidR="006B152F" w:rsidRPr="006B152F">
        <w:t xml:space="preserve"> alr</w:t>
      </w:r>
      <w:r>
        <w:t xml:space="preserve">eady has a rich culture.  </w:t>
      </w:r>
      <w:r w:rsidR="004A39ED">
        <w:t xml:space="preserve">[The people who come here, and want to] plant [their] </w:t>
      </w:r>
      <w:r w:rsidR="006B152F" w:rsidRPr="006B152F">
        <w:t>stake</w:t>
      </w:r>
      <w:r w:rsidR="004A39ED">
        <w:t xml:space="preserve">, so to speak . . .   </w:t>
      </w:r>
      <w:r w:rsidR="006B152F" w:rsidRPr="006B152F">
        <w:t>need to do it out of a place of knowledge and compassion for the people that are here</w:t>
      </w:r>
      <w:r>
        <w:t>.”</w:t>
      </w:r>
    </w:p>
    <w:p w:rsidR="00265A9B" w:rsidRDefault="00265A9B" w:rsidP="00EA738D">
      <w:pPr>
        <w:spacing w:line="480" w:lineRule="auto"/>
      </w:pPr>
      <w:r>
        <w:tab/>
        <w:t>“Dan Gilbert is set on fixing the city,” I observe.</w:t>
      </w:r>
    </w:p>
    <w:p w:rsidR="00F579FA" w:rsidRDefault="00265A9B" w:rsidP="00EA738D">
      <w:pPr>
        <w:spacing w:line="480" w:lineRule="auto"/>
      </w:pPr>
      <w:r>
        <w:tab/>
        <w:t>“Dan Gilbert is</w:t>
      </w:r>
      <w:r w:rsidR="00F579FA">
        <w:t xml:space="preserve"> often called a</w:t>
      </w:r>
      <w:r>
        <w:t xml:space="preserve"> </w:t>
      </w:r>
      <w:r w:rsidR="00F579FA">
        <w:t>philanthropist, but he’s a businessman.  We can benefit from that if</w:t>
      </w:r>
      <w:r>
        <w:t xml:space="preserve"> we have a conversation that </w:t>
      </w:r>
      <w:r w:rsidR="00F579FA">
        <w:t xml:space="preserve">puts on the table how his business affects us.  I don’t know if that conversation has happened.  </w:t>
      </w:r>
      <w:r>
        <w:t xml:space="preserve">When it comes to how we look at things -- </w:t>
      </w:r>
      <w:r w:rsidR="00F579FA">
        <w:t xml:space="preserve">I think that when we </w:t>
      </w:r>
      <w:r>
        <w:t xml:space="preserve">[at COTS] </w:t>
      </w:r>
      <w:r w:rsidR="00F579FA">
        <w:t xml:space="preserve">look at buildings we think of potential homes.  Whereas a business person might look at a building </w:t>
      </w:r>
      <w:r w:rsidR="009C7C26">
        <w:t xml:space="preserve">. . . </w:t>
      </w:r>
      <w:r>
        <w:t xml:space="preserve">see something [to bulldoze.]  </w:t>
      </w:r>
      <w:r w:rsidR="00F579FA">
        <w:t>Somewhere in the middle we ought to be able to meet, so instead of tearing down one hundred percent of the houses that are targeted, maybe there are some of those houses that we can pull out, and make them mixed use homes or group homes or single family homes.  And one of the things that we’re very aware of is that when you put all low income people int</w:t>
      </w:r>
      <w:r>
        <w:t>o one place that doesn’t work.”</w:t>
      </w:r>
    </w:p>
    <w:p w:rsidR="00F579FA" w:rsidRDefault="007B4DD4" w:rsidP="00EA738D">
      <w:pPr>
        <w:spacing w:line="480" w:lineRule="auto"/>
        <w:ind w:firstLine="720"/>
      </w:pPr>
      <w:r>
        <w:t>I think about the shiny</w:t>
      </w:r>
      <w:r w:rsidR="003F0A07">
        <w:t xml:space="preserve"> Starbucks where I met Noah,</w:t>
      </w:r>
      <w:r w:rsidR="003F3D4C">
        <w:t xml:space="preserve"> the pretty Campus Martius park across </w:t>
      </w:r>
      <w:r>
        <w:t>from One Kennedy Square</w:t>
      </w:r>
      <w:r w:rsidR="00FD5B9B">
        <w:t>, and how these spaces</w:t>
      </w:r>
      <w:r w:rsidR="00980EE0">
        <w:t xml:space="preserve"> seemed a world apart from the disintegrated houses </w:t>
      </w:r>
      <w:r w:rsidR="00FD5B9B">
        <w:t xml:space="preserve">I </w:t>
      </w:r>
      <w:r w:rsidR="00646FDD">
        <w:t>drove by e</w:t>
      </w:r>
      <w:r w:rsidR="00FD5B9B">
        <w:t>n route to this</w:t>
      </w:r>
      <w:r w:rsidR="00980EE0">
        <w:t xml:space="preserve"> meeting</w:t>
      </w:r>
      <w:r>
        <w:t>.  “</w:t>
      </w:r>
      <w:r w:rsidR="00F579FA">
        <w:t>Right.  That’s segregation.</w:t>
      </w:r>
      <w:r>
        <w:t>”</w:t>
      </w:r>
    </w:p>
    <w:p w:rsidR="00F579FA" w:rsidRDefault="00646FDD" w:rsidP="00EA738D">
      <w:pPr>
        <w:spacing w:line="480" w:lineRule="auto"/>
        <w:ind w:firstLine="720"/>
      </w:pPr>
      <w:r>
        <w:lastRenderedPageBreak/>
        <w:t>“E</w:t>
      </w:r>
      <w:r w:rsidR="007B4DD4">
        <w:t>xactly,” Delphia replies.  “W</w:t>
      </w:r>
      <w:r w:rsidR="00F579FA">
        <w:t>e’re looking to integrate into the existing landscape</w:t>
      </w:r>
      <w:r w:rsidR="007B4DD4">
        <w:t>,</w:t>
      </w:r>
      <w:r w:rsidR="00F579FA">
        <w:t xml:space="preserve"> and not so much have these pods of </w:t>
      </w:r>
      <w:r w:rsidR="007B4DD4">
        <w:t>p</w:t>
      </w:r>
      <w:r w:rsidR="009C7C26">
        <w:t xml:space="preserve">eople that are all in poverty. . . . </w:t>
      </w:r>
      <w:r w:rsidR="00F579FA">
        <w:t>And Detroit has a 40 percent poverty rate.</w:t>
      </w:r>
      <w:r w:rsidR="00C315CB">
        <w:rPr>
          <w:rStyle w:val="FootnoteReference"/>
        </w:rPr>
        <w:footnoteReference w:id="301"/>
      </w:r>
      <w:r w:rsidR="00F579FA">
        <w:t xml:space="preserve">  So anything that we do that we call </w:t>
      </w:r>
      <w:r w:rsidR="007B4DD4">
        <w:t>‘</w:t>
      </w:r>
      <w:r w:rsidR="00F579FA">
        <w:t>opportunity</w:t>
      </w:r>
      <w:r w:rsidR="007B4DD4">
        <w:t>’</w:t>
      </w:r>
      <w:r w:rsidR="00F579FA">
        <w:t xml:space="preserve"> or </w:t>
      </w:r>
      <w:r w:rsidR="007B4DD4">
        <w:t>‘</w:t>
      </w:r>
      <w:r w:rsidR="00F579FA">
        <w:t>change</w:t>
      </w:r>
      <w:r w:rsidR="007B4DD4">
        <w:t>’</w:t>
      </w:r>
      <w:r w:rsidR="00F579FA">
        <w:t xml:space="preserve"> or </w:t>
      </w:r>
      <w:r w:rsidR="007B4DD4">
        <w:t>‘</w:t>
      </w:r>
      <w:r w:rsidR="00F579FA">
        <w:t>growth</w:t>
      </w:r>
      <w:r w:rsidR="007B4DD4">
        <w:t>’ has to have that 40</w:t>
      </w:r>
      <w:r w:rsidR="00F579FA">
        <w:t xml:space="preserve"> percent involved.  Otherwise</w:t>
      </w:r>
      <w:r w:rsidR="007B4DD4">
        <w:t>,</w:t>
      </w:r>
      <w:r w:rsidR="00F579FA">
        <w:t xml:space="preserve"> what you’re saying is that you’re doing something for the </w:t>
      </w:r>
      <w:r w:rsidR="007B4DD4">
        <w:t xml:space="preserve">sixty percent.”  </w:t>
      </w:r>
      <w:r w:rsidR="00F579FA">
        <w:t xml:space="preserve"> </w:t>
      </w:r>
    </w:p>
    <w:p w:rsidR="007B4DD4" w:rsidRDefault="007B4DD4" w:rsidP="00EA738D">
      <w:pPr>
        <w:spacing w:line="480" w:lineRule="auto"/>
        <w:ind w:firstLine="720"/>
      </w:pPr>
      <w:r>
        <w:t xml:space="preserve">I check my iPhone, </w:t>
      </w:r>
      <w:r w:rsidR="003F3D4C">
        <w:t>so excited</w:t>
      </w:r>
      <w:r w:rsidR="00646FDD">
        <w:t xml:space="preserve"> by</w:t>
      </w:r>
      <w:r w:rsidR="003F3D4C">
        <w:t xml:space="preserve"> Delphia</w:t>
      </w:r>
      <w:r w:rsidR="00646FDD">
        <w:t xml:space="preserve">’s explanations </w:t>
      </w:r>
      <w:r w:rsidR="003F3D4C">
        <w:t xml:space="preserve">that I’m </w:t>
      </w:r>
      <w:r>
        <w:t>scared that I’m not tapin</w:t>
      </w:r>
      <w:r w:rsidR="003F3D4C">
        <w:t xml:space="preserve">g </w:t>
      </w:r>
      <w:r w:rsidR="00D51539">
        <w:t xml:space="preserve">or even understanding </w:t>
      </w:r>
      <w:r w:rsidR="003F3D4C">
        <w:t>everything.</w:t>
      </w:r>
      <w:r>
        <w:t xml:space="preserve">  “How do you get something done for the 40 percent?” </w:t>
      </w:r>
    </w:p>
    <w:p w:rsidR="00F579FA" w:rsidRDefault="007B4DD4" w:rsidP="00EA738D">
      <w:pPr>
        <w:spacing w:line="480" w:lineRule="auto"/>
        <w:ind w:firstLine="720"/>
      </w:pPr>
      <w:r>
        <w:t xml:space="preserve">“It </w:t>
      </w:r>
      <w:r w:rsidR="00F579FA" w:rsidRPr="00F579FA">
        <w:t>would start with o</w:t>
      </w:r>
      <w:r>
        <w:t>ur city hall</w:t>
      </w:r>
      <w:r w:rsidR="009C7C26">
        <w:t xml:space="preserve">. . . . </w:t>
      </w:r>
      <w:r w:rsidR="00F579FA" w:rsidRPr="00F579FA">
        <w:t xml:space="preserve">I’m hoping that somewhere </w:t>
      </w:r>
      <w:r>
        <w:t xml:space="preserve">in </w:t>
      </w:r>
      <w:r w:rsidR="00F579FA" w:rsidRPr="00F579FA">
        <w:t>the near future there will be more political will for homelessness</w:t>
      </w:r>
      <w:r>
        <w:t xml:space="preserve">.  </w:t>
      </w:r>
      <w:r w:rsidR="00F579FA" w:rsidRPr="00F579FA">
        <w:t xml:space="preserve"> </w:t>
      </w:r>
      <w:r>
        <w:t>T</w:t>
      </w:r>
      <w:r w:rsidR="00F579FA" w:rsidRPr="00F579FA">
        <w:t>here’s 60 some odd h</w:t>
      </w:r>
      <w:r>
        <w:t>omeless organization under the Homeless Action Ne</w:t>
      </w:r>
      <w:r w:rsidR="00F579FA" w:rsidRPr="00F579FA">
        <w:t xml:space="preserve">twork of Detroit </w:t>
      </w:r>
      <w:r>
        <w:t>[HAND],</w:t>
      </w:r>
      <w:r w:rsidR="003F3D4C">
        <w:rPr>
          <w:rStyle w:val="FootnoteReference"/>
        </w:rPr>
        <w:footnoteReference w:id="302"/>
      </w:r>
      <w:r>
        <w:t xml:space="preserve"> </w:t>
      </w:r>
      <w:r w:rsidR="00F579FA" w:rsidRPr="00F579FA">
        <w:t xml:space="preserve">but there’s still not a seat at the table in the city.  There’s not a task force in city government that says I want to know what’s going on with homelessness in this city.  We need a homelessness task force.  In the city.  </w:t>
      </w:r>
      <w:r>
        <w:t xml:space="preserve"> </w:t>
      </w:r>
      <w:r w:rsidR="00F579FA" w:rsidRPr="00F579FA">
        <w:t>At the table.  Talking to the city council members abou</w:t>
      </w:r>
      <w:r w:rsidR="00CE79D8">
        <w:t>t</w:t>
      </w:r>
      <w:r w:rsidR="00FD5B9B">
        <w:t xml:space="preserve"> the homelessness number</w:t>
      </w:r>
      <w:r w:rsidR="00F579FA" w:rsidRPr="00F579FA">
        <w:t>s in their district.  And I think that will influence the business decisions in the city.</w:t>
      </w:r>
      <w:r>
        <w:t>”</w:t>
      </w:r>
    </w:p>
    <w:p w:rsidR="00CE79D8" w:rsidRDefault="00CE79D8" w:rsidP="00EA738D">
      <w:pPr>
        <w:spacing w:line="480" w:lineRule="auto"/>
        <w:ind w:firstLine="720"/>
      </w:pPr>
      <w:r>
        <w:t>“What does business and government need to do to address the poverty that leads folks into being homeless?”</w:t>
      </w:r>
    </w:p>
    <w:p w:rsidR="00F579FA" w:rsidRPr="00F579FA" w:rsidRDefault="00CE79D8" w:rsidP="00EA738D">
      <w:pPr>
        <w:spacing w:line="480" w:lineRule="auto"/>
        <w:ind w:firstLine="720"/>
      </w:pPr>
      <w:r>
        <w:t xml:space="preserve">Delphia doesn’t </w:t>
      </w:r>
      <w:r w:rsidR="00646FDD">
        <w:t>hesitate</w:t>
      </w:r>
      <w:r>
        <w:t>.  “</w:t>
      </w:r>
      <w:r w:rsidR="00F579FA" w:rsidRPr="00F579FA">
        <w:t xml:space="preserve">A big poverty trap is insurance rates.  Believe it or not a </w:t>
      </w:r>
      <w:r>
        <w:t xml:space="preserve">person can end up in jail with </w:t>
      </w:r>
      <w:r w:rsidR="00F579FA" w:rsidRPr="00F579FA">
        <w:t xml:space="preserve">thousands of </w:t>
      </w:r>
      <w:r w:rsidR="000947A7" w:rsidRPr="00F579FA">
        <w:t>dollars’ worth</w:t>
      </w:r>
      <w:r w:rsidR="00F579FA" w:rsidRPr="00F579FA">
        <w:t xml:space="preserve"> of fines because they don’t have automobile insurance.  But insurance rates in the </w:t>
      </w:r>
      <w:r>
        <w:t xml:space="preserve">city </w:t>
      </w:r>
      <w:r w:rsidR="00F579FA" w:rsidRPr="00F579FA">
        <w:t xml:space="preserve">are </w:t>
      </w:r>
      <w:r>
        <w:t xml:space="preserve">-- </w:t>
      </w:r>
      <w:r w:rsidR="00F579FA" w:rsidRPr="00F579FA">
        <w:t xml:space="preserve">what </w:t>
      </w:r>
      <w:r>
        <w:t xml:space="preserve">-- </w:t>
      </w:r>
      <w:r w:rsidR="00F579FA" w:rsidRPr="00F579FA">
        <w:t xml:space="preserve">I think I heard a report that they were 165 percent higher </w:t>
      </w:r>
      <w:r w:rsidR="00F579FA" w:rsidRPr="00F579FA">
        <w:lastRenderedPageBreak/>
        <w:t>than the rest of the nation?</w:t>
      </w:r>
      <w:r>
        <w:rPr>
          <w:rStyle w:val="FootnoteReference"/>
        </w:rPr>
        <w:footnoteReference w:id="303"/>
      </w:r>
      <w:r w:rsidR="00F579FA" w:rsidRPr="00F579FA">
        <w:t xml:space="preserve">  </w:t>
      </w:r>
      <w:r w:rsidR="0058575A">
        <w:t xml:space="preserve">. . . </w:t>
      </w:r>
      <w:r>
        <w:t xml:space="preserve">  What it results in is, a driver gets cited for not having insurance.  They’re poor, and they don’t pay the fine.  So, then the authorities </w:t>
      </w:r>
      <w:r w:rsidR="0058575A">
        <w:t>get a warrant for their arrest,</w:t>
      </w:r>
      <w:r w:rsidR="00A145D3">
        <w:rPr>
          <w:rStyle w:val="FootnoteReference"/>
        </w:rPr>
        <w:footnoteReference w:id="304"/>
      </w:r>
      <w:r w:rsidR="0058575A">
        <w:t xml:space="preserve"> </w:t>
      </w:r>
      <w:r>
        <w:t>and the</w:t>
      </w:r>
      <w:r w:rsidR="00A145D3">
        <w:t>n</w:t>
      </w:r>
      <w:r>
        <w:t xml:space="preserve"> </w:t>
      </w:r>
      <w:r w:rsidR="00F579FA" w:rsidRPr="00F579FA">
        <w:t>they</w:t>
      </w:r>
      <w:r>
        <w:t xml:space="preserve"> get driver responsibility fees on top of the fine.  </w:t>
      </w:r>
      <w:r w:rsidR="00F579FA" w:rsidRPr="00F579FA">
        <w:t>You’d get the ticket and then you’d get a driver responsibility fee on top of for a two year period</w:t>
      </w:r>
      <w:r w:rsidR="00A145D3">
        <w:t xml:space="preserve">.  </w:t>
      </w:r>
      <w:r w:rsidR="002864A6">
        <w:t>They’re getting rid of it, but it’s still operative now.</w:t>
      </w:r>
      <w:r w:rsidR="002864A6">
        <w:rPr>
          <w:rStyle w:val="FootnoteReference"/>
        </w:rPr>
        <w:footnoteReference w:id="305"/>
      </w:r>
      <w:r w:rsidR="002864A6">
        <w:t xml:space="preserve">  </w:t>
      </w:r>
      <w:r w:rsidR="0058575A">
        <w:t xml:space="preserve">. . . . </w:t>
      </w:r>
      <w:r w:rsidR="00A145D3">
        <w:t xml:space="preserve">So, then, not only do they owe a lot of money but if they </w:t>
      </w:r>
      <w:r w:rsidR="001D57BC">
        <w:t xml:space="preserve">are caught, they </w:t>
      </w:r>
      <w:r w:rsidR="00A145D3">
        <w:t xml:space="preserve">can go to jail. </w:t>
      </w:r>
      <w:r w:rsidR="002864A6">
        <w:t xml:space="preserve"> </w:t>
      </w:r>
      <w:r w:rsidR="00A145D3">
        <w:t>And incarceration is one of the causes that pushes people into homelessness.”</w:t>
      </w:r>
      <w:r w:rsidR="002864A6">
        <w:rPr>
          <w:rStyle w:val="FootnoteReference"/>
        </w:rPr>
        <w:footnoteReference w:id="306"/>
      </w:r>
    </w:p>
    <w:p w:rsidR="00F579FA" w:rsidRDefault="00646FDD" w:rsidP="00EA738D">
      <w:pPr>
        <w:spacing w:line="480" w:lineRule="auto"/>
      </w:pPr>
      <w:r>
        <w:tab/>
        <w:t xml:space="preserve">Delphia </w:t>
      </w:r>
      <w:r w:rsidR="00980EE0">
        <w:t>goes</w:t>
      </w:r>
      <w:r w:rsidR="002864A6">
        <w:t xml:space="preserve"> on to criticize caps on public assistance,</w:t>
      </w:r>
      <w:r w:rsidR="00B87987">
        <w:rPr>
          <w:rStyle w:val="FootnoteReference"/>
        </w:rPr>
        <w:footnoteReference w:id="307"/>
      </w:r>
      <w:r>
        <w:t xml:space="preserve"> landlords who</w:t>
      </w:r>
      <w:r w:rsidR="002864A6">
        <w:t xml:space="preserve"> </w:t>
      </w:r>
      <w:r>
        <w:t>don’t provide storm windows and so increase utilities</w:t>
      </w:r>
      <w:r w:rsidR="002864A6">
        <w:t>,</w:t>
      </w:r>
      <w:r w:rsidR="001705E0">
        <w:rPr>
          <w:rStyle w:val="FootnoteReference"/>
        </w:rPr>
        <w:footnoteReference w:id="308"/>
      </w:r>
      <w:r w:rsidR="002864A6">
        <w:t xml:space="preserve"> and the high cost of food.</w:t>
      </w:r>
      <w:r w:rsidR="001705E0">
        <w:rPr>
          <w:rStyle w:val="FootnoteReference"/>
        </w:rPr>
        <w:footnoteReference w:id="309"/>
      </w:r>
      <w:r w:rsidR="002864A6">
        <w:t xml:space="preserve">  </w:t>
      </w:r>
      <w:r w:rsidR="009B7767">
        <w:t xml:space="preserve">“People say it all the time, but it’s true.  At the heart of poverty is just – it’s just inequality.  So, that’s what I think people need to see when they </w:t>
      </w:r>
      <w:r w:rsidR="009B7767">
        <w:lastRenderedPageBreak/>
        <w:t>look at Detroit.  This blank slate thing, and people coming here for that -- y</w:t>
      </w:r>
      <w:r w:rsidR="00F579FA" w:rsidRPr="00F579FA">
        <w:t xml:space="preserve">ou know how when new people come to the country and they have an orientation?  There </w:t>
      </w:r>
      <w:r w:rsidR="009B7767">
        <w:t>needs to be an orientation.  Le</w:t>
      </w:r>
      <w:r w:rsidR="00F579FA" w:rsidRPr="00F579FA">
        <w:t xml:space="preserve">t’s sit down and talk.  That should probably be at city hall. </w:t>
      </w:r>
      <w:r w:rsidR="009B7767">
        <w:t xml:space="preserve"> </w:t>
      </w:r>
      <w:r w:rsidR="00F579FA" w:rsidRPr="00F579FA">
        <w:t>Come on</w:t>
      </w:r>
      <w:r w:rsidR="006B7AC9">
        <w:t>,</w:t>
      </w:r>
      <w:r w:rsidR="00F579FA" w:rsidRPr="00F579FA">
        <w:t xml:space="preserve"> let’s talk</w:t>
      </w:r>
      <w:r w:rsidR="006B7AC9">
        <w:t>,</w:t>
      </w:r>
      <w:r w:rsidR="00F579FA" w:rsidRPr="00F579FA">
        <w:t xml:space="preserve"> we’ll bring</w:t>
      </w:r>
      <w:r w:rsidR="009B7767">
        <w:t xml:space="preserve"> </w:t>
      </w:r>
      <w:r w:rsidR="00F579FA" w:rsidRPr="00F579FA">
        <w:t xml:space="preserve">some people who’ve </w:t>
      </w:r>
      <w:r w:rsidR="009B7767">
        <w:t>b</w:t>
      </w:r>
      <w:r w:rsidR="00F579FA" w:rsidRPr="00F579FA">
        <w:t>een here and we can teach each other.</w:t>
      </w:r>
      <w:r w:rsidR="009B7767">
        <w:t>”</w:t>
      </w:r>
      <w:r w:rsidR="00E328B6">
        <w:t xml:space="preserve">  </w:t>
      </w:r>
    </w:p>
    <w:p w:rsidR="00F579FA" w:rsidRDefault="00F579FA" w:rsidP="00EA738D">
      <w:pPr>
        <w:spacing w:line="480" w:lineRule="auto"/>
      </w:pPr>
      <w:r>
        <w:tab/>
      </w:r>
      <w:r w:rsidR="00610724">
        <w:tab/>
      </w:r>
      <w:r w:rsidR="00610724">
        <w:tab/>
      </w:r>
      <w:r w:rsidR="00610724">
        <w:tab/>
      </w:r>
      <w:r w:rsidR="00E328B6">
        <w:tab/>
      </w:r>
      <w:r w:rsidR="00E328B6">
        <w:tab/>
      </w:r>
      <w:r w:rsidR="00E328B6">
        <w:tab/>
        <w:t>*</w:t>
      </w:r>
    </w:p>
    <w:p w:rsidR="002A75E9" w:rsidRDefault="002A75E9" w:rsidP="00EA738D">
      <w:pPr>
        <w:spacing w:line="480" w:lineRule="auto"/>
        <w:ind w:firstLine="720"/>
      </w:pPr>
      <w:r>
        <w:t xml:space="preserve">In </w:t>
      </w:r>
      <w:r>
        <w:rPr>
          <w:i/>
        </w:rPr>
        <w:t>Peering</w:t>
      </w:r>
      <w:r>
        <w:t xml:space="preserve">, I noted how an aspirational gaze also </w:t>
      </w:r>
      <w:r w:rsidR="00646FDD">
        <w:t>drove optics</w:t>
      </w:r>
      <w:r>
        <w:t xml:space="preserve"> in Fifth Amendment cases.  </w:t>
      </w:r>
      <w:r w:rsidR="00E00CC2">
        <w:t xml:space="preserve">Politicians, blight report authors, and the judiciary justified condemnations based on </w:t>
      </w:r>
      <w:r w:rsidR="007F7831">
        <w:t>forthcoming wealth</w:t>
      </w:r>
      <w:r w:rsidR="00E00CC2">
        <w:t>.  Three</w:t>
      </w:r>
      <w:r w:rsidR="00FD6C3E">
        <w:t xml:space="preserve"> clichés, in particular, stupefied</w:t>
      </w:r>
      <w:r w:rsidR="004A39ED">
        <w:t xml:space="preserve"> </w:t>
      </w:r>
      <w:r w:rsidR="00B647D4">
        <w:t>these</w:t>
      </w:r>
      <w:r w:rsidR="00E00CC2">
        <w:t xml:space="preserve"> authorities</w:t>
      </w:r>
      <w:r w:rsidR="007F7831">
        <w:t>’ audiences</w:t>
      </w:r>
      <w:r w:rsidR="00E00CC2">
        <w:t xml:space="preserve">: </w:t>
      </w:r>
      <w:r w:rsidR="00FD5B9B">
        <w:t xml:space="preserve"> </w:t>
      </w:r>
      <w:r w:rsidR="007F7831">
        <w:t>Officials</w:t>
      </w:r>
      <w:r w:rsidR="00E00CC2">
        <w:t xml:space="preserve"> </w:t>
      </w:r>
      <w:r w:rsidR="007F7831" w:rsidRPr="007F7831">
        <w:t>describe</w:t>
      </w:r>
      <w:r w:rsidR="007F7831">
        <w:t>d</w:t>
      </w:r>
      <w:r w:rsidR="007F7831" w:rsidRPr="007F7831">
        <w:t xml:space="preserve"> the firms that would endenizen Poletown, Manhattanville, Atlantic Yards, and New London </w:t>
      </w:r>
      <w:r w:rsidR="00B63F59">
        <w:t>as “state</w:t>
      </w:r>
      <w:r w:rsidR="00E00CC2">
        <w:t>-of-the-art,” “cutting edge,” and “world class</w:t>
      </w:r>
      <w:r w:rsidR="007F7831">
        <w:t>.”</w:t>
      </w:r>
      <w:r w:rsidR="00B647D4">
        <w:rPr>
          <w:rStyle w:val="FootnoteReference"/>
        </w:rPr>
        <w:footnoteReference w:id="310"/>
      </w:r>
      <w:r w:rsidR="00D16308">
        <w:t xml:space="preserve">  While some may </w:t>
      </w:r>
      <w:r w:rsidR="007F7831">
        <w:t>dismiss this</w:t>
      </w:r>
      <w:r w:rsidR="00D16308">
        <w:t xml:space="preserve"> la</w:t>
      </w:r>
      <w:r w:rsidR="007F7831">
        <w:t xml:space="preserve">nguage </w:t>
      </w:r>
      <w:r w:rsidR="00D16308">
        <w:t xml:space="preserve">as </w:t>
      </w:r>
      <w:r w:rsidR="00AB57E4">
        <w:t>puffery</w:t>
      </w:r>
      <w:r w:rsidR="00D16308">
        <w:t>,</w:t>
      </w:r>
      <w:r w:rsidR="00AB57E4">
        <w:t xml:space="preserve"> in </w:t>
      </w:r>
      <w:r w:rsidR="00AB57E4">
        <w:rPr>
          <w:i/>
        </w:rPr>
        <w:t>Peering</w:t>
      </w:r>
      <w:r w:rsidR="00AB57E4">
        <w:t xml:space="preserve"> I</w:t>
      </w:r>
      <w:r w:rsidR="007F7831">
        <w:t xml:space="preserve"> show how it</w:t>
      </w:r>
      <w:r w:rsidR="00AB57E4">
        <w:t xml:space="preserve"> </w:t>
      </w:r>
      <w:r w:rsidR="00F466EE">
        <w:t>occlude</w:t>
      </w:r>
      <w:r w:rsidR="007F7831">
        <w:t>d indigents’ suffering</w:t>
      </w:r>
      <w:r w:rsidR="00DF5D4C">
        <w:t>:  It</w:t>
      </w:r>
      <w:r w:rsidR="007F7831">
        <w:t xml:space="preserve">s cultural violence </w:t>
      </w:r>
      <w:r w:rsidR="00DF5D4C">
        <w:t>justified the structural violence of condemnation and eviction</w:t>
      </w:r>
      <w:r w:rsidR="00AB57E4">
        <w:t>.</w:t>
      </w:r>
      <w:r w:rsidR="00DF5D4C">
        <w:rPr>
          <w:rStyle w:val="FootnoteReference"/>
        </w:rPr>
        <w:footnoteReference w:id="311"/>
      </w:r>
      <w:r w:rsidR="00AB57E4">
        <w:t xml:space="preserve">  Judg</w:t>
      </w:r>
      <w:r w:rsidR="00D16308">
        <w:t xml:space="preserve">es and politicians so fixated on </w:t>
      </w:r>
      <w:r w:rsidR="00AB57E4">
        <w:t>the sky-high, “wor</w:t>
      </w:r>
      <w:r w:rsidR="00D16308">
        <w:t>ld-class” promises of Pfizer, Bruce Ratner, GM, and</w:t>
      </w:r>
      <w:r w:rsidR="00AB57E4">
        <w:t xml:space="preserve"> Columbia that the</w:t>
      </w:r>
      <w:r w:rsidR="00E328B6">
        <w:t>y ignored</w:t>
      </w:r>
      <w:r w:rsidR="00AB57E4">
        <w:t xml:space="preserve"> </w:t>
      </w:r>
      <w:r w:rsidR="00F466EE">
        <w:t xml:space="preserve">the </w:t>
      </w:r>
      <w:r w:rsidR="004E552F">
        <w:t>plights</w:t>
      </w:r>
      <w:r w:rsidR="00AB57E4">
        <w:t xml:space="preserve"> of </w:t>
      </w:r>
      <w:r w:rsidR="00D16308">
        <w:t>low-income people</w:t>
      </w:r>
      <w:r w:rsidR="004E552F">
        <w:t xml:space="preserve"> who would be affected by the takings</w:t>
      </w:r>
      <w:r w:rsidR="00AB57E4">
        <w:t>.</w:t>
      </w:r>
      <w:r w:rsidR="00AB57E4">
        <w:rPr>
          <w:rStyle w:val="FootnoteReference"/>
        </w:rPr>
        <w:footnoteReference w:id="312"/>
      </w:r>
      <w:r w:rsidR="00AB57E4">
        <w:t xml:space="preserve">  </w:t>
      </w:r>
    </w:p>
    <w:p w:rsidR="00AB57E4" w:rsidRPr="00AB57E4" w:rsidRDefault="00AB57E4" w:rsidP="00EA738D">
      <w:pPr>
        <w:spacing w:line="480" w:lineRule="auto"/>
      </w:pPr>
      <w:r>
        <w:tab/>
        <w:t xml:space="preserve">In Detroit, </w:t>
      </w:r>
      <w:r w:rsidR="007F7831">
        <w:t xml:space="preserve">officials and observers already deploy </w:t>
      </w:r>
      <w:r>
        <w:t>the aspirational gaze</w:t>
      </w:r>
      <w:r w:rsidR="007F7831">
        <w:t xml:space="preserve"> to support development.  In</w:t>
      </w:r>
      <w:r>
        <w:t xml:space="preserve"> </w:t>
      </w:r>
      <w:r w:rsidR="00E70DCF">
        <w:rPr>
          <w:smallCaps/>
        </w:rPr>
        <w:t>TtEB</w:t>
      </w:r>
      <w:r w:rsidR="007F7831">
        <w:rPr>
          <w:smallCaps/>
        </w:rPr>
        <w:t>’s</w:t>
      </w:r>
      <w:r>
        <w:rPr>
          <w:smallCaps/>
        </w:rPr>
        <w:t xml:space="preserve"> </w:t>
      </w:r>
      <w:r>
        <w:rPr>
          <w:i/>
        </w:rPr>
        <w:t>Message from the Chairs</w:t>
      </w:r>
      <w:r w:rsidR="00E70DCF">
        <w:t xml:space="preserve">, the authors mourn </w:t>
      </w:r>
      <w:r>
        <w:t>that Detroit was once a “world-class city,”</w:t>
      </w:r>
      <w:r w:rsidR="00FE3BF8">
        <w:rPr>
          <w:rStyle w:val="FootnoteReference"/>
        </w:rPr>
        <w:footnoteReference w:id="313"/>
      </w:r>
      <w:r w:rsidR="00E70DCF">
        <w:t xml:space="preserve"> and </w:t>
      </w:r>
      <w:r>
        <w:t xml:space="preserve">end their letter with the </w:t>
      </w:r>
      <w:r w:rsidR="00FE3BF8">
        <w:t>exhortation that “the “city’s best days are ahead of it.”</w:t>
      </w:r>
      <w:r w:rsidR="00FE3BF8">
        <w:rPr>
          <w:rStyle w:val="FootnoteReference"/>
        </w:rPr>
        <w:footnoteReference w:id="314"/>
      </w:r>
    </w:p>
    <w:p w:rsidR="007C69C4" w:rsidRDefault="00FE3BF8" w:rsidP="00EA738D">
      <w:pPr>
        <w:spacing w:line="480" w:lineRule="auto"/>
      </w:pPr>
      <w:r>
        <w:tab/>
        <w:t xml:space="preserve">Interestingly, </w:t>
      </w:r>
      <w:r w:rsidR="007C69C4">
        <w:t>Dan Gilbert did not opine on De</w:t>
      </w:r>
      <w:r w:rsidR="0015648F">
        <w:t>troit’s glittering future at TtEB’s</w:t>
      </w:r>
      <w:r w:rsidR="007C69C4">
        <w:t xml:space="preserve"> press conference</w:t>
      </w:r>
      <w:r w:rsidR="0015648F">
        <w:t>.  He</w:t>
      </w:r>
      <w:r w:rsidR="007C69C4">
        <w:t xml:space="preserve"> deflect</w:t>
      </w:r>
      <w:r w:rsidR="0015648F">
        <w:t>ed</w:t>
      </w:r>
      <w:r w:rsidR="007C69C4">
        <w:t xml:space="preserve"> any inquiries about what Detroit might look like after blight</w:t>
      </w:r>
      <w:r w:rsidR="0015648F">
        <w:t xml:space="preserve"> clearance</w:t>
      </w:r>
      <w:r w:rsidR="007C69C4">
        <w:t>:</w:t>
      </w:r>
      <w:r w:rsidR="006D17B3">
        <w:t xml:space="preserve">  “</w:t>
      </w:r>
      <w:r w:rsidR="007C69C4">
        <w:t xml:space="preserve">Probably the main </w:t>
      </w:r>
      <w:r w:rsidR="007C69C4">
        <w:lastRenderedPageBreak/>
        <w:t xml:space="preserve">question that we received </w:t>
      </w:r>
      <w:r w:rsidR="0015648F">
        <w:t xml:space="preserve">. . . </w:t>
      </w:r>
      <w:r w:rsidR="007C69C4">
        <w:t xml:space="preserve"> from </w:t>
      </w:r>
      <w:r w:rsidR="000947A7">
        <w:t>communities</w:t>
      </w:r>
      <w:r w:rsidR="007C69C4">
        <w:t xml:space="preserve">. . .   was . .  so what happens to the land after it’s all cleared? . . . . </w:t>
      </w:r>
      <w:r w:rsidR="00FD6C3E">
        <w:t>[But] n</w:t>
      </w:r>
      <w:r w:rsidR="007C69C4">
        <w:t>othing will be ever attempted if all possible objections must first be overcome</w:t>
      </w:r>
      <w:r w:rsidR="00C5748B">
        <w:t>.</w:t>
      </w:r>
      <w:r w:rsidR="00C5748B">
        <w:rPr>
          <w:rStyle w:val="FootnoteReference"/>
        </w:rPr>
        <w:footnoteReference w:id="315"/>
      </w:r>
    </w:p>
    <w:p w:rsidR="002A75E9" w:rsidRPr="00C5748B" w:rsidRDefault="00C5748B" w:rsidP="00EA738D">
      <w:pPr>
        <w:spacing w:line="480" w:lineRule="auto"/>
      </w:pPr>
      <w:r>
        <w:tab/>
        <w:t xml:space="preserve">When interviewed by the </w:t>
      </w:r>
      <w:r>
        <w:rPr>
          <w:i/>
        </w:rPr>
        <w:t>New York Times</w:t>
      </w:r>
      <w:r w:rsidR="000C2F80">
        <w:rPr>
          <w:i/>
        </w:rPr>
        <w:t xml:space="preserve"> </w:t>
      </w:r>
      <w:r w:rsidR="00D16308">
        <w:t>in July of 2014, though, Mr. Gilbert</w:t>
      </w:r>
      <w:r w:rsidR="00536B52">
        <w:t xml:space="preserve"> </w:t>
      </w:r>
      <w:r w:rsidR="000C2F80">
        <w:t>wax</w:t>
      </w:r>
      <w:r w:rsidR="00536B52">
        <w:t>ed</w:t>
      </w:r>
      <w:r w:rsidR="000C2F80">
        <w:t xml:space="preserve"> </w:t>
      </w:r>
      <w:r w:rsidR="0015648F">
        <w:t>effusive</w:t>
      </w:r>
      <w:r w:rsidR="00670073">
        <w:t>:  “Here, man, oh</w:t>
      </w:r>
      <w:r w:rsidR="000C2F80">
        <w:t>, man, it’s a dream.  Anything can be created in Detroit.  Down here, like in basketball, you can create your own shot.”</w:t>
      </w:r>
      <w:r w:rsidR="000C2F80">
        <w:rPr>
          <w:rStyle w:val="FootnoteReference"/>
        </w:rPr>
        <w:footnoteReference w:id="316"/>
      </w:r>
    </w:p>
    <w:p w:rsidR="00D03A29" w:rsidRDefault="000C2F80" w:rsidP="00EA738D">
      <w:pPr>
        <w:spacing w:line="480" w:lineRule="auto"/>
      </w:pPr>
      <w:r>
        <w:tab/>
      </w:r>
      <w:r w:rsidR="000B6290">
        <w:t>This</w:t>
      </w:r>
      <w:r w:rsidR="00FD5B9B">
        <w:t xml:space="preserve"> aspirational</w:t>
      </w:r>
      <w:r w:rsidR="000B6290">
        <w:t xml:space="preserve"> rhetoric resembles the “</w:t>
      </w:r>
      <w:r w:rsidR="00670073">
        <w:t>biggest thing</w:t>
      </w:r>
      <w:r w:rsidR="000B6290">
        <w:t>”</w:t>
      </w:r>
      <w:r w:rsidR="00670073">
        <w:t xml:space="preserve"> speech DEGC chief James Schafer gave during the Poletown controversy,</w:t>
      </w:r>
      <w:r w:rsidR="00D16308">
        <w:rPr>
          <w:rStyle w:val="FootnoteReference"/>
        </w:rPr>
        <w:footnoteReference w:id="317"/>
      </w:r>
      <w:r w:rsidR="00670073">
        <w:t xml:space="preserve"> with its heroic sportsman </w:t>
      </w:r>
      <w:r w:rsidR="00536B52">
        <w:t>symbolism</w:t>
      </w:r>
      <w:r w:rsidR="00670073">
        <w:t xml:space="preserve"> and promises of economic limitlessness.  </w:t>
      </w:r>
      <w:r w:rsidR="00D16308">
        <w:t xml:space="preserve">Does </w:t>
      </w:r>
      <w:r w:rsidR="00DC6D2A">
        <w:t xml:space="preserve">Gilbert’s </w:t>
      </w:r>
      <w:r w:rsidR="00D16308">
        <w:t>“</w:t>
      </w:r>
      <w:r w:rsidR="00DC6D2A">
        <w:t>[a]</w:t>
      </w:r>
      <w:r w:rsidR="00D16308">
        <w:t xml:space="preserve">nything” include plentiful affordable </w:t>
      </w:r>
      <w:r w:rsidR="0015648F">
        <w:t>housing and homelessness support</w:t>
      </w:r>
      <w:r w:rsidR="00D16308">
        <w:t xml:space="preserve"> that Delphia Simmons calls for?  These possibilities </w:t>
      </w:r>
      <w:r w:rsidR="0015648F">
        <w:t>seem</w:t>
      </w:r>
      <w:r w:rsidR="00670073">
        <w:t xml:space="preserve"> threatened by </w:t>
      </w:r>
      <w:r w:rsidR="00D16308">
        <w:t xml:space="preserve">Mr. </w:t>
      </w:r>
      <w:r w:rsidR="00670073">
        <w:t xml:space="preserve">Gilbert’s own, possibly conflict-of-interest-creating investments in the city. </w:t>
      </w:r>
      <w:r w:rsidR="00D16308">
        <w:t xml:space="preserve"> </w:t>
      </w:r>
      <w:r w:rsidR="00670073">
        <w:t>T</w:t>
      </w:r>
      <w:r>
        <w:t xml:space="preserve">he same </w:t>
      </w:r>
      <w:r w:rsidR="00536B52">
        <w:t xml:space="preserve">NYT </w:t>
      </w:r>
      <w:r>
        <w:t xml:space="preserve">article notes that </w:t>
      </w:r>
      <w:r w:rsidR="0015648F">
        <w:t>Mr. Gilbert</w:t>
      </w:r>
      <w:r w:rsidR="00D16308">
        <w:t xml:space="preserve"> </w:t>
      </w:r>
      <w:r>
        <w:t xml:space="preserve">purchased nine million square feet </w:t>
      </w:r>
      <w:r w:rsidR="0015648F">
        <w:t>of</w:t>
      </w:r>
      <w:r>
        <w:t xml:space="preserve"> </w:t>
      </w:r>
      <w:r w:rsidR="00670073">
        <w:t>Detroit</w:t>
      </w:r>
      <w:r w:rsidR="0015648F">
        <w:t xml:space="preserve"> real estate</w:t>
      </w:r>
      <w:r>
        <w:t>, including “many” of its “20</w:t>
      </w:r>
      <w:r w:rsidRPr="000C2F80">
        <w:rPr>
          <w:vertAlign w:val="superscript"/>
        </w:rPr>
        <w:t>th</w:t>
      </w:r>
      <w:r>
        <w:t xml:space="preserve"> </w:t>
      </w:r>
      <w:r w:rsidR="0015648F">
        <w:t>century architectural treasures</w:t>
      </w:r>
      <w:r>
        <w:t>” and the Chase Tower.</w:t>
      </w:r>
      <w:r>
        <w:rPr>
          <w:rStyle w:val="FootnoteReference"/>
        </w:rPr>
        <w:footnoteReference w:id="318"/>
      </w:r>
      <w:r>
        <w:t xml:space="preserve">  </w:t>
      </w:r>
      <w:r w:rsidR="0015648F">
        <w:t>So t</w:t>
      </w:r>
      <w:r>
        <w:t xml:space="preserve">he “world class” vision that overtook New London and Manhattanville </w:t>
      </w:r>
      <w:r w:rsidR="00D16308">
        <w:t xml:space="preserve">– and excluded low-income people -- </w:t>
      </w:r>
      <w:r w:rsidR="0015648F">
        <w:t>may</w:t>
      </w:r>
      <w:r>
        <w:t xml:space="preserve"> also find its way into the </w:t>
      </w:r>
      <w:r w:rsidR="00FD5B9B">
        <w:t xml:space="preserve">“dream[y]” </w:t>
      </w:r>
      <w:r>
        <w:t>urban planning schemes that shape Detroit’s future.</w:t>
      </w:r>
    </w:p>
    <w:p w:rsidR="00666975" w:rsidRPr="00666975" w:rsidRDefault="00670073" w:rsidP="00EA738D">
      <w:pPr>
        <w:spacing w:line="480" w:lineRule="auto"/>
        <w:ind w:firstLine="720"/>
      </w:pPr>
      <w:r>
        <w:t xml:space="preserve">But </w:t>
      </w:r>
      <w:r w:rsidR="00FD5B9B">
        <w:t xml:space="preserve">the classic upward-gazing </w:t>
      </w:r>
      <w:r>
        <w:t xml:space="preserve">“world class” and “cutting edge” clichés do not </w:t>
      </w:r>
      <w:r w:rsidR="00DC6D2A">
        <w:t xml:space="preserve">yet </w:t>
      </w:r>
      <w:r>
        <w:t>overflow in Detroit.</w:t>
      </w:r>
      <w:r w:rsidR="0015648F">
        <w:t xml:space="preserve">  Instead, the aspirational has</w:t>
      </w:r>
      <w:r>
        <w:t xml:space="preserve"> taken a different, even possibly more </w:t>
      </w:r>
      <w:r w:rsidR="0015648F">
        <w:t>culturally violent</w:t>
      </w:r>
      <w:r w:rsidR="00DF5D4C">
        <w:rPr>
          <w:rStyle w:val="FootnoteReference"/>
        </w:rPr>
        <w:footnoteReference w:id="319"/>
      </w:r>
      <w:r>
        <w:t xml:space="preserve"> turn.  </w:t>
      </w:r>
      <w:r w:rsidR="00D16308">
        <w:t xml:space="preserve">During his press tour publicizing </w:t>
      </w:r>
      <w:r w:rsidR="0015648F">
        <w:t>TtEB</w:t>
      </w:r>
      <w:r w:rsidR="00D16308">
        <w:t xml:space="preserve">, Mr. </w:t>
      </w:r>
      <w:r w:rsidR="00536B52">
        <w:t xml:space="preserve">Gilbert </w:t>
      </w:r>
      <w:r w:rsidR="00666975">
        <w:t xml:space="preserve">told the </w:t>
      </w:r>
      <w:r w:rsidR="00666975" w:rsidRPr="006D17B3">
        <w:rPr>
          <w:smallCaps/>
        </w:rPr>
        <w:t>Detroit Free Press</w:t>
      </w:r>
      <w:r w:rsidR="00666975">
        <w:t xml:space="preserve"> that “</w:t>
      </w:r>
      <w:r w:rsidR="00666975" w:rsidRPr="00666975">
        <w:t>Detroit’s a bit different, more gritty, a littl</w:t>
      </w:r>
      <w:r>
        <w:t>e bit more pioneerish.”</w:t>
      </w:r>
      <w:r w:rsidR="00720B8D">
        <w:rPr>
          <w:rStyle w:val="FootnoteReference"/>
        </w:rPr>
        <w:footnoteReference w:id="320"/>
      </w:r>
      <w:r w:rsidR="0015648F">
        <w:t xml:space="preserve">  M</w:t>
      </w:r>
      <w:r w:rsidR="00666975">
        <w:t xml:space="preserve">uch in the same style as Coleman Young back in </w:t>
      </w:r>
      <w:r w:rsidR="00666975">
        <w:lastRenderedPageBreak/>
        <w:t xml:space="preserve">the </w:t>
      </w:r>
      <w:r w:rsidR="00666975">
        <w:rPr>
          <w:i/>
        </w:rPr>
        <w:t>Poletown</w:t>
      </w:r>
      <w:r w:rsidR="00666975">
        <w:t xml:space="preserve"> days,</w:t>
      </w:r>
      <w:r w:rsidR="00720B8D">
        <w:rPr>
          <w:rStyle w:val="FootnoteReference"/>
        </w:rPr>
        <w:footnoteReference w:id="321"/>
      </w:r>
      <w:r w:rsidR="00666975">
        <w:t xml:space="preserve"> he enthuse</w:t>
      </w:r>
      <w:r w:rsidR="0015648F">
        <w:t>d</w:t>
      </w:r>
      <w:r w:rsidR="00666975">
        <w:t xml:space="preserve">:  “[W]e carry that sort of hard work, can-do, make-it attitude. </w:t>
      </w:r>
      <w:r w:rsidR="006D17B3">
        <w:t>. . . [W]</w:t>
      </w:r>
      <w:r w:rsidR="00666975">
        <w:t>e can have an incredible turnaround success story that maybe has never been experienced before.”</w:t>
      </w:r>
      <w:r w:rsidR="00666975">
        <w:rPr>
          <w:rStyle w:val="FootnoteReference"/>
        </w:rPr>
        <w:footnoteReference w:id="322"/>
      </w:r>
      <w:r w:rsidR="00DF5D4C">
        <w:t xml:space="preserve">  The </w:t>
      </w:r>
      <w:r w:rsidR="00536B52">
        <w:t xml:space="preserve">potentially </w:t>
      </w:r>
      <w:r w:rsidR="00DF5D4C">
        <w:t xml:space="preserve">culturally violent </w:t>
      </w:r>
      <w:r w:rsidR="00FD5B9B">
        <w:t>meanings of this speech are</w:t>
      </w:r>
      <w:r w:rsidR="00DF5D4C">
        <w:t xml:space="preserve"> not hard to </w:t>
      </w:r>
      <w:r w:rsidR="0015648F">
        <w:t xml:space="preserve">unwrap:  The heroic pioneer </w:t>
      </w:r>
      <w:r w:rsidR="00DF5D4C">
        <w:t>is justified in whatever colonizing</w:t>
      </w:r>
      <w:r w:rsidR="00FD5B9B">
        <w:t>, “make your own shot”</w:t>
      </w:r>
      <w:r w:rsidR="00DF5D4C">
        <w:t xml:space="preserve"> behavior she will engage in – as she usually is.</w:t>
      </w:r>
      <w:r w:rsidR="00DF5D4C">
        <w:rPr>
          <w:rStyle w:val="FootnoteReference"/>
        </w:rPr>
        <w:footnoteReference w:id="323"/>
      </w:r>
    </w:p>
    <w:p w:rsidR="000C0B1A" w:rsidRDefault="0015648F" w:rsidP="00EA738D">
      <w:pPr>
        <w:spacing w:line="480" w:lineRule="auto"/>
        <w:ind w:firstLine="720"/>
      </w:pPr>
      <w:r>
        <w:t>Gilbert is not the only colonial booster</w:t>
      </w:r>
      <w:r w:rsidR="00ED2548">
        <w:t xml:space="preserve">.  Consider Bradford Frost, </w:t>
      </w:r>
      <w:r w:rsidR="00F27FFC">
        <w:t>the</w:t>
      </w:r>
      <w:r w:rsidR="00FA2F4A">
        <w:t xml:space="preserve"> impetus behind </w:t>
      </w:r>
      <w:r w:rsidR="00842512" w:rsidRPr="004A39ED">
        <w:rPr>
          <w:smallCaps/>
        </w:rPr>
        <w:t>The Detroit Opportunity Project</w:t>
      </w:r>
      <w:r w:rsidR="00FA2F4A">
        <w:t xml:space="preserve"> blog,</w:t>
      </w:r>
      <w:r w:rsidR="00842512">
        <w:rPr>
          <w:rStyle w:val="FootnoteReference"/>
        </w:rPr>
        <w:footnoteReference w:id="324"/>
      </w:r>
      <w:r w:rsidR="004906D9">
        <w:t xml:space="preserve"> which describes Detroit’</w:t>
      </w:r>
      <w:r w:rsidR="00FA2F4A">
        <w:t xml:space="preserve">s </w:t>
      </w:r>
      <w:r w:rsidR="00842512">
        <w:t>“Mill</w:t>
      </w:r>
      <w:r w:rsidR="00FA2F4A">
        <w:t>ennial Frontier.”</w:t>
      </w:r>
      <w:r w:rsidR="00720B8D">
        <w:rPr>
          <w:rStyle w:val="FootnoteReference"/>
        </w:rPr>
        <w:footnoteReference w:id="325"/>
      </w:r>
      <w:r w:rsidR="00720B8D">
        <w:t xml:space="preserve"> </w:t>
      </w:r>
      <w:r w:rsidR="00842512">
        <w:t xml:space="preserve">  Instead of “going west,” Frost urges America’s youth to move to the city in order </w:t>
      </w:r>
      <w:r w:rsidR="00D51539">
        <w:t xml:space="preserve">to </w:t>
      </w:r>
      <w:r w:rsidR="00842512">
        <w:t>find “meaningful work” and “authentic community.”</w:t>
      </w:r>
      <w:r w:rsidR="00842512">
        <w:rPr>
          <w:rStyle w:val="FootnoteReference"/>
        </w:rPr>
        <w:footnoteReference w:id="326"/>
      </w:r>
      <w:r w:rsidR="00842512">
        <w:t xml:space="preserve">  </w:t>
      </w:r>
      <w:r w:rsidR="000F046A">
        <w:t xml:space="preserve">Aaron M. Renn, in </w:t>
      </w:r>
      <w:r w:rsidR="000F046A">
        <w:rPr>
          <w:smallCaps/>
        </w:rPr>
        <w:t>new geography</w:t>
      </w:r>
      <w:r w:rsidR="000F046A">
        <w:rPr>
          <w:i/>
          <w:smallCaps/>
        </w:rPr>
        <w:t xml:space="preserve">, </w:t>
      </w:r>
      <w:r w:rsidR="000F046A" w:rsidRPr="000F046A">
        <w:t>writes that Detroit is a “b</w:t>
      </w:r>
      <w:r w:rsidR="000F046A">
        <w:t>l</w:t>
      </w:r>
      <w:r w:rsidR="000F046A" w:rsidRPr="000F046A">
        <w:t>ank slate,”</w:t>
      </w:r>
      <w:r w:rsidR="000F046A">
        <w:rPr>
          <w:rStyle w:val="FootnoteReference"/>
        </w:rPr>
        <w:footnoteReference w:id="327"/>
      </w:r>
      <w:r w:rsidR="000F046A">
        <w:t xml:space="preserve"> </w:t>
      </w:r>
      <w:r w:rsidR="00F27FFC">
        <w:t>a “frontier,”</w:t>
      </w:r>
      <w:r w:rsidR="00F27FFC" w:rsidRPr="00F27FFC">
        <w:rPr>
          <w:vertAlign w:val="superscript"/>
        </w:rPr>
        <w:footnoteReference w:id="328"/>
      </w:r>
      <w:r w:rsidR="00F27FFC">
        <w:t xml:space="preserve"> and </w:t>
      </w:r>
      <w:r w:rsidR="00536B52">
        <w:t>enthusiastically</w:t>
      </w:r>
      <w:r w:rsidR="000F046A">
        <w:t xml:space="preserve"> describes poor people hunting raccoon </w:t>
      </w:r>
      <w:r w:rsidR="00F27FFC">
        <w:t>and pheasant for pelts and food.</w:t>
      </w:r>
      <w:r w:rsidR="000F046A">
        <w:rPr>
          <w:rStyle w:val="FootnoteReference"/>
        </w:rPr>
        <w:footnoteReference w:id="329"/>
      </w:r>
      <w:r w:rsidR="000F046A">
        <w:t xml:space="preserve"> </w:t>
      </w:r>
      <w:r w:rsidR="00F27FFC">
        <w:t xml:space="preserve"> </w:t>
      </w:r>
      <w:r w:rsidR="000F046A">
        <w:t xml:space="preserve">Gerald Celente, Publisher of </w:t>
      </w:r>
      <w:r w:rsidR="000F046A">
        <w:rPr>
          <w:smallCaps/>
        </w:rPr>
        <w:t>Trends Journal</w:t>
      </w:r>
      <w:r w:rsidR="000F046A">
        <w:rPr>
          <w:i/>
          <w:smallCaps/>
        </w:rPr>
        <w:t xml:space="preserve">, </w:t>
      </w:r>
      <w:r w:rsidR="000F046A">
        <w:t xml:space="preserve">offers:  “The new frontiers are going to be the burnt out urban centers, so it might be the </w:t>
      </w:r>
      <w:r w:rsidR="00720B8D">
        <w:t>Millennials</w:t>
      </w:r>
      <w:r w:rsidR="000F046A">
        <w:t xml:space="preserve"> who become the homesteaders, farmers, and gardeners of Detroit.”</w:t>
      </w:r>
      <w:r w:rsidR="000F046A">
        <w:rPr>
          <w:rStyle w:val="FootnoteReference"/>
        </w:rPr>
        <w:footnoteReference w:id="330"/>
      </w:r>
      <w:r w:rsidR="00FA2F4A">
        <w:t xml:space="preserve">  This branding also </w:t>
      </w:r>
      <w:r w:rsidR="00F86736">
        <w:t>in</w:t>
      </w:r>
      <w:r w:rsidR="00FA2F4A">
        <w:t>spirits</w:t>
      </w:r>
      <w:r w:rsidR="00F86736">
        <w:t xml:space="preserve"> the Michigan Historic Preservation Network’s </w:t>
      </w:r>
      <w:r w:rsidR="00536B52">
        <w:t>(MHPN)</w:t>
      </w:r>
      <w:r w:rsidR="00F86736">
        <w:t xml:space="preserve"> video, </w:t>
      </w:r>
      <w:r w:rsidR="00F86736">
        <w:rPr>
          <w:i/>
        </w:rPr>
        <w:t>Vacant Not Blighted:  Revitalizing Detroit</w:t>
      </w:r>
      <w:r w:rsidR="00F86736">
        <w:t>, which</w:t>
      </w:r>
      <w:r w:rsidR="00720B8D">
        <w:t xml:space="preserve"> offers an aspirational alternative to </w:t>
      </w:r>
      <w:r w:rsidR="00FA2F4A">
        <w:t xml:space="preserve">Gilbert’s </w:t>
      </w:r>
      <w:r w:rsidR="00720B8D">
        <w:t>“cancer-blight” narrative</w:t>
      </w:r>
      <w:r w:rsidR="00F86736">
        <w:t xml:space="preserve">.  </w:t>
      </w:r>
      <w:r w:rsidR="004906D9">
        <w:t>To</w:t>
      </w:r>
      <w:r w:rsidR="00F86736">
        <w:t xml:space="preserve"> draw outlanders with “a little bit of money” and a “do it yourself”</w:t>
      </w:r>
      <w:r w:rsidR="008A4A8D">
        <w:t xml:space="preserve"> </w:t>
      </w:r>
      <w:r w:rsidR="008A4A8D">
        <w:lastRenderedPageBreak/>
        <w:t>ethic</w:t>
      </w:r>
      <w:r w:rsidR="00D51539">
        <w:t>,</w:t>
      </w:r>
      <w:r w:rsidR="00720B8D">
        <w:t xml:space="preserve"> the MHPN</w:t>
      </w:r>
      <w:r w:rsidR="00F86736">
        <w:t xml:space="preserve"> </w:t>
      </w:r>
      <w:r w:rsidR="00720B8D">
        <w:t xml:space="preserve">courts pilgrims </w:t>
      </w:r>
      <w:r w:rsidR="00FA2F4A">
        <w:t>willing to purchase cheap run-</w:t>
      </w:r>
      <w:r w:rsidR="00F86736">
        <w:t xml:space="preserve">down homes </w:t>
      </w:r>
      <w:r w:rsidR="00FA2F4A">
        <w:t>and</w:t>
      </w:r>
      <w:r w:rsidR="00F86736">
        <w:t xml:space="preserve"> put “sweat equity”</w:t>
      </w:r>
      <w:r w:rsidR="008A4A8D">
        <w:t xml:space="preserve"> into them.</w:t>
      </w:r>
      <w:r w:rsidR="008A4A8D">
        <w:rPr>
          <w:rStyle w:val="FootnoteReference"/>
        </w:rPr>
        <w:footnoteReference w:id="331"/>
      </w:r>
      <w:r w:rsidR="00FA2F4A">
        <w:t xml:space="preserve">  T</w:t>
      </w:r>
      <w:r w:rsidR="00F86736">
        <w:t xml:space="preserve">his </w:t>
      </w:r>
      <w:r w:rsidR="00720B8D">
        <w:t>merry</w:t>
      </w:r>
      <w:r w:rsidR="00FA2F4A">
        <w:t xml:space="preserve"> video features</w:t>
      </w:r>
      <w:r w:rsidR="008A4A8D">
        <w:t xml:space="preserve"> </w:t>
      </w:r>
      <w:r w:rsidR="00FA2F4A">
        <w:t xml:space="preserve">seven White women, fifteen White men, and three Black men </w:t>
      </w:r>
      <w:r w:rsidR="008A4A8D">
        <w:t xml:space="preserve">holding signs </w:t>
      </w:r>
      <w:r w:rsidR="004906D9">
        <w:t>saying</w:t>
      </w:r>
      <w:r w:rsidR="008A4A8D">
        <w:t xml:space="preserve"> “architecture matters” and “peop</w:t>
      </w:r>
      <w:r w:rsidR="00FA2F4A">
        <w:t xml:space="preserve">le matter” while celebrating Detroit’s facelift.  </w:t>
      </w:r>
    </w:p>
    <w:p w:rsidR="000C0B1A" w:rsidRPr="008F3E37" w:rsidRDefault="008A4A8D" w:rsidP="00EA738D">
      <w:pPr>
        <w:spacing w:line="480" w:lineRule="auto"/>
        <w:ind w:firstLine="720"/>
      </w:pPr>
      <w:r>
        <w:t xml:space="preserve">As this last description shows, </w:t>
      </w:r>
      <w:r w:rsidR="00720B8D" w:rsidRPr="00DC6D2A">
        <w:rPr>
          <w:i/>
        </w:rPr>
        <w:t>race</w:t>
      </w:r>
      <w:r w:rsidR="00720B8D">
        <w:t xml:space="preserve"> matters in </w:t>
      </w:r>
      <w:r>
        <w:t>this aspirational gaze.  Whereas New York’s and Connecti</w:t>
      </w:r>
      <w:r w:rsidR="00B91535">
        <w:t>cut’s ascendant optics focused o</w:t>
      </w:r>
      <w:r w:rsidR="00945B03">
        <w:t>n extreme wealth,</w:t>
      </w:r>
      <w:r w:rsidR="004A39ED">
        <w:rPr>
          <w:rStyle w:val="FootnoteReference"/>
        </w:rPr>
        <w:footnoteReference w:id="332"/>
      </w:r>
      <w:r w:rsidR="00945B03">
        <w:t xml:space="preserve"> MHPN’s</w:t>
      </w:r>
      <w:r>
        <w:t xml:space="preserve"> vision describes an Anglo-majority pioneer investment in a blank slate of a city.  </w:t>
      </w:r>
      <w:r w:rsidR="000C0B1A">
        <w:t>The “pioneer</w:t>
      </w:r>
      <w:r w:rsidR="00D7537A">
        <w:t xml:space="preserve">” and “frontier” rhetoric </w:t>
      </w:r>
      <w:r w:rsidR="000C0B1A">
        <w:t xml:space="preserve">also bears racial meaning, </w:t>
      </w:r>
      <w:r w:rsidR="00945B03">
        <w:t xml:space="preserve">casting Detroiters </w:t>
      </w:r>
      <w:r w:rsidR="008F3E37">
        <w:t>as primitives to be saved</w:t>
      </w:r>
      <w:r w:rsidR="00D7537A">
        <w:t>, conquered, or ignored</w:t>
      </w:r>
      <w:r w:rsidR="008F3E37">
        <w:t>.</w:t>
      </w:r>
      <w:r w:rsidR="00D7537A">
        <w:t xml:space="preserve">  “Pioneer” </w:t>
      </w:r>
      <w:r w:rsidR="008F3E37">
        <w:t>d</w:t>
      </w:r>
      <w:r w:rsidR="000C0B1A">
        <w:t xml:space="preserve">erives from the Middle French for </w:t>
      </w:r>
      <w:r w:rsidR="000C0B1A">
        <w:rPr>
          <w:i/>
        </w:rPr>
        <w:t>pionnier</w:t>
      </w:r>
      <w:r w:rsidR="000C0B1A">
        <w:t xml:space="preserve">, meaning </w:t>
      </w:r>
      <w:r w:rsidR="00D7537A">
        <w:t xml:space="preserve">the </w:t>
      </w:r>
      <w:r w:rsidR="000C0B1A">
        <w:t>“foo</w:t>
      </w:r>
      <w:r w:rsidR="008F3E37">
        <w:t>t</w:t>
      </w:r>
      <w:r w:rsidR="00D7537A">
        <w:t>-soldier</w:t>
      </w:r>
      <w:r w:rsidR="000C0B1A">
        <w:t>” who</w:t>
      </w:r>
      <w:r w:rsidR="00B91535">
        <w:t xml:space="preserve"> “prepares the way for the army.</w:t>
      </w:r>
      <w:r w:rsidR="000C0B1A">
        <w:t>”</w:t>
      </w:r>
      <w:r w:rsidR="00B91535">
        <w:rPr>
          <w:rStyle w:val="FootnoteReference"/>
        </w:rPr>
        <w:footnoteReference w:id="333"/>
      </w:r>
      <w:r w:rsidR="00D7537A">
        <w:t xml:space="preserve">  I</w:t>
      </w:r>
      <w:r w:rsidR="000C0B1A">
        <w:t>n the 1600s the word derived its present meaning of a “person who goes first or does something first.”</w:t>
      </w:r>
      <w:r w:rsidR="000C0B1A">
        <w:rPr>
          <w:rStyle w:val="FootnoteReference"/>
        </w:rPr>
        <w:footnoteReference w:id="334"/>
      </w:r>
      <w:r w:rsidR="00B91535">
        <w:t xml:space="preserve"> </w:t>
      </w:r>
      <w:r w:rsidR="00B17344">
        <w:t xml:space="preserve"> </w:t>
      </w:r>
      <w:r w:rsidR="00B91535">
        <w:t>The pioneer has long existed only in relation to the savage:  I</w:t>
      </w:r>
      <w:r w:rsidR="000C0B1A">
        <w:t xml:space="preserve">n Frederick Jackson Turner’s classic 1920 book </w:t>
      </w:r>
      <w:r w:rsidR="000C0B1A" w:rsidRPr="008F3E37">
        <w:rPr>
          <w:smallCaps/>
        </w:rPr>
        <w:t>The Frontier in American History</w:t>
      </w:r>
      <w:r w:rsidR="000C0B1A">
        <w:rPr>
          <w:i/>
          <w:smallCaps/>
        </w:rPr>
        <w:t xml:space="preserve">, </w:t>
      </w:r>
      <w:r w:rsidR="008F3E37">
        <w:t xml:space="preserve">we learn that </w:t>
      </w:r>
      <w:r w:rsidR="008F3E37" w:rsidRPr="008F3E37">
        <w:t xml:space="preserve">American </w:t>
      </w:r>
      <w:r w:rsidR="00D7537A">
        <w:t>continually</w:t>
      </w:r>
      <w:r w:rsidR="008F3E37" w:rsidRPr="008F3E37">
        <w:t xml:space="preserve"> </w:t>
      </w:r>
      <w:r w:rsidR="00FD5B9B">
        <w:t>“</w:t>
      </w:r>
      <w:r w:rsidR="00D7537A">
        <w:t>begin[s]</w:t>
      </w:r>
      <w:r w:rsidR="008F3E37" w:rsidRPr="008F3E37">
        <w:t xml:space="preserve"> over again on the frontier. . . .</w:t>
      </w:r>
      <w:r w:rsidR="008F3E37">
        <w:rPr>
          <w:i/>
          <w:smallCaps/>
        </w:rPr>
        <w:t xml:space="preserve"> </w:t>
      </w:r>
      <w:r w:rsidR="008F3E37">
        <w:rPr>
          <w:smallCaps/>
        </w:rPr>
        <w:t>[</w:t>
      </w:r>
      <w:r w:rsidR="008F3E37">
        <w:t>a development created by] this expansion westward with its new opportunities, its continuous touch with the simplicity of primitive society, [which] furnish the forces dominating American character.”</w:t>
      </w:r>
      <w:r w:rsidR="008F3E37">
        <w:rPr>
          <w:rStyle w:val="FootnoteReference"/>
        </w:rPr>
        <w:footnoteReference w:id="335"/>
      </w:r>
    </w:p>
    <w:p w:rsidR="004906D9" w:rsidRDefault="00B63F59" w:rsidP="00EA738D">
      <w:pPr>
        <w:spacing w:line="480" w:lineRule="auto"/>
        <w:ind w:firstLine="720"/>
      </w:pPr>
      <w:r>
        <w:t>R</w:t>
      </w:r>
      <w:r w:rsidR="00B91535">
        <w:t xml:space="preserve">ace inequality concerns </w:t>
      </w:r>
      <w:r w:rsidR="00B91535" w:rsidRPr="00D7537A">
        <w:rPr>
          <w:i/>
        </w:rPr>
        <w:t>have</w:t>
      </w:r>
      <w:r w:rsidR="00D7537A">
        <w:t xml:space="preserve"> </w:t>
      </w:r>
      <w:r w:rsidR="00B91535">
        <w:t xml:space="preserve">surfaced </w:t>
      </w:r>
      <w:r w:rsidR="00D7537A">
        <w:t>Detroit</w:t>
      </w:r>
      <w:r w:rsidR="00B91535">
        <w:t xml:space="preserve"> debates</w:t>
      </w:r>
      <w:r w:rsidR="00D7537A">
        <w:t>, however</w:t>
      </w:r>
      <w:r w:rsidR="00B91535">
        <w:t xml:space="preserve">:  </w:t>
      </w:r>
      <w:r w:rsidR="00BB4EC2">
        <w:t>Bradford Frost mention</w:t>
      </w:r>
      <w:r w:rsidR="00D7537A">
        <w:t>s</w:t>
      </w:r>
      <w:r w:rsidR="00BB4EC2">
        <w:t xml:space="preserve"> that Detroit can be a new frontier for “surmounting egregious inequality [] and for consciously nurturing interracial community”</w:t>
      </w:r>
      <w:r w:rsidR="00BB4EC2">
        <w:rPr>
          <w:rStyle w:val="FootnoteReference"/>
        </w:rPr>
        <w:footnoteReference w:id="336"/>
      </w:r>
      <w:r w:rsidR="00BB4EC2">
        <w:t xml:space="preserve"> and</w:t>
      </w:r>
      <w:r w:rsidR="004906D9">
        <w:t>, again,</w:t>
      </w:r>
      <w:r w:rsidR="00BB4EC2">
        <w:t xml:space="preserve"> some Detroit residents </w:t>
      </w:r>
      <w:r w:rsidR="00D7537A">
        <w:t>complain</w:t>
      </w:r>
      <w:r w:rsidR="00BB4EC2">
        <w:t xml:space="preserve"> that </w:t>
      </w:r>
      <w:r w:rsidR="00D7537A">
        <w:t>“blight removal” obscures</w:t>
      </w:r>
      <w:r w:rsidR="00BB4EC2">
        <w:t xml:space="preserve"> “land grab</w:t>
      </w:r>
      <w:r w:rsidR="00D7537A">
        <w:t>[s]</w:t>
      </w:r>
      <w:r w:rsidR="00BB4EC2">
        <w:t>.”</w:t>
      </w:r>
      <w:r w:rsidR="00BB4EC2">
        <w:rPr>
          <w:rStyle w:val="FootnoteReference"/>
        </w:rPr>
        <w:footnoteReference w:id="337"/>
      </w:r>
      <w:r w:rsidR="0003210D">
        <w:t xml:space="preserve">  </w:t>
      </w:r>
    </w:p>
    <w:p w:rsidR="009D01D4" w:rsidRDefault="0003210D" w:rsidP="00EA738D">
      <w:pPr>
        <w:spacing w:line="480" w:lineRule="auto"/>
        <w:ind w:firstLine="720"/>
      </w:pPr>
      <w:r>
        <w:lastRenderedPageBreak/>
        <w:t xml:space="preserve">Nevertheless, </w:t>
      </w:r>
      <w:r w:rsidR="00BB4EC2">
        <w:t xml:space="preserve">at this stage there </w:t>
      </w:r>
      <w:r w:rsidR="00D7537A">
        <w:t>remains</w:t>
      </w:r>
      <w:r w:rsidR="00BB4EC2">
        <w:t xml:space="preserve"> little mention of </w:t>
      </w:r>
      <w:r w:rsidR="00D7537A">
        <w:t xml:space="preserve">how </w:t>
      </w:r>
      <w:r w:rsidR="00CD2B5C">
        <w:t>the Task Force’s initiatives are likely to</w:t>
      </w:r>
      <w:r w:rsidR="00D7537A">
        <w:t xml:space="preserve"> result in the </w:t>
      </w:r>
      <w:r w:rsidR="00BB4EC2">
        <w:t>dislocation of the poor</w:t>
      </w:r>
      <w:r w:rsidR="00CD2B5C">
        <w:t>, since the upward gaze pushes indigents</w:t>
      </w:r>
      <w:r w:rsidR="004906D9">
        <w:t xml:space="preserve"> out of</w:t>
      </w:r>
      <w:r w:rsidR="00CD2B5C">
        <w:t xml:space="preserve"> the</w:t>
      </w:r>
      <w:r w:rsidR="004906D9">
        <w:t xml:space="preserve"> frame</w:t>
      </w:r>
      <w:r w:rsidR="00BB4EC2">
        <w:t xml:space="preserve">.  </w:t>
      </w:r>
      <w:r w:rsidR="004906D9">
        <w:t>And, as I have emphasized, the exciting hope in solving Detroit’s economic problems also encourage Detroiters to ignore the Task Force’s plans</w:t>
      </w:r>
      <w:r w:rsidR="004A39ED">
        <w:t>’</w:t>
      </w:r>
      <w:r w:rsidR="004906D9">
        <w:t xml:space="preserve"> constitutional problems. </w:t>
      </w:r>
    </w:p>
    <w:p w:rsidR="009D01D4" w:rsidRPr="009D01D4" w:rsidRDefault="009D01D4" w:rsidP="00EA738D">
      <w:pPr>
        <w:pStyle w:val="ListParagraph"/>
        <w:numPr>
          <w:ilvl w:val="0"/>
          <w:numId w:val="19"/>
        </w:numPr>
        <w:spacing w:line="480" w:lineRule="auto"/>
      </w:pPr>
      <w:r w:rsidRPr="009D01D4">
        <w:rPr>
          <w:i/>
        </w:rPr>
        <w:t xml:space="preserve">So what should happen?  Detroit should use the power of eminent domain to condemn dilapidated properties, and do this for the public purpose of alleviating poverty.  </w:t>
      </w:r>
    </w:p>
    <w:p w:rsidR="002961A9" w:rsidRPr="002961A9" w:rsidRDefault="009D01D4" w:rsidP="00EA738D">
      <w:pPr>
        <w:spacing w:line="480" w:lineRule="auto"/>
        <w:ind w:firstLine="720"/>
      </w:pPr>
      <w:r>
        <w:t>As I have set forth here, Detroit readies itself to engage in a massive taking using NAP, which promises to violate the Fifth Amendment.</w:t>
      </w:r>
      <w:r w:rsidR="00792951">
        <w:rPr>
          <w:rStyle w:val="FootnoteReference"/>
        </w:rPr>
        <w:footnoteReference w:id="338"/>
      </w:r>
      <w:r>
        <w:t xml:space="preserve">  </w:t>
      </w:r>
      <w:r w:rsidR="002961A9">
        <w:t>As John Mogk has already written, it should instead use the powers of eminent domain.</w:t>
      </w:r>
      <w:r w:rsidR="00792951">
        <w:rPr>
          <w:rStyle w:val="FootnoteReference"/>
        </w:rPr>
        <w:footnoteReference w:id="339"/>
      </w:r>
      <w:r w:rsidR="002961A9">
        <w:t xml:space="preserve">  </w:t>
      </w:r>
      <w:r w:rsidR="008636F9">
        <w:t>This creates a problem, however.</w:t>
      </w:r>
      <w:r w:rsidR="002961A9">
        <w:t xml:space="preserve">  </w:t>
      </w:r>
      <w:r w:rsidR="008636F9">
        <w:t>Not only are blight condemnations historically colonial and racist, but in Michigan they are nearly impossible</w:t>
      </w:r>
      <w:r w:rsidR="00792951">
        <w:t xml:space="preserve"> when accomplished under the power of eminent domain</w:t>
      </w:r>
      <w:r w:rsidR="008636F9">
        <w:t>:  A</w:t>
      </w:r>
      <w:r w:rsidR="002961A9" w:rsidRPr="002961A9">
        <w:t xml:space="preserve">rticle 10, section 2 </w:t>
      </w:r>
      <w:r w:rsidR="00AB505F">
        <w:t>prohibits</w:t>
      </w:r>
      <w:r w:rsidR="002961A9" w:rsidRPr="002961A9">
        <w:t xml:space="preserve"> blight condemnations unless </w:t>
      </w:r>
      <w:r w:rsidR="00AB505F">
        <w:t xml:space="preserve">officials prove </w:t>
      </w:r>
      <w:r w:rsidR="002961A9" w:rsidRPr="002961A9">
        <w:t>public use or concern by clear and convincing evidence</w:t>
      </w:r>
      <w:r w:rsidR="00AB505F">
        <w:t xml:space="preserve"> and pay 125% of FMV</w:t>
      </w:r>
      <w:r w:rsidR="002961A9" w:rsidRPr="002961A9">
        <w:t>;</w:t>
      </w:r>
      <w:r w:rsidR="00AB505F" w:rsidRPr="00AB505F">
        <w:rPr>
          <w:vertAlign w:val="superscript"/>
        </w:rPr>
        <w:t xml:space="preserve"> </w:t>
      </w:r>
      <w:r w:rsidR="00AB505F" w:rsidRPr="00AB505F">
        <w:rPr>
          <w:vertAlign w:val="superscript"/>
        </w:rPr>
        <w:footnoteReference w:id="340"/>
      </w:r>
      <w:r w:rsidR="00AB505F" w:rsidRPr="00AB505F">
        <w:t xml:space="preserve"> </w:t>
      </w:r>
      <w:r w:rsidR="002961A9" w:rsidRPr="002961A9">
        <w:t xml:space="preserve"> moreover, economic development does not form a constitutional public purpose.</w:t>
      </w:r>
      <w:r w:rsidR="002961A9" w:rsidRPr="002961A9">
        <w:rPr>
          <w:vertAlign w:val="superscript"/>
        </w:rPr>
        <w:footnoteReference w:id="341"/>
      </w:r>
      <w:r w:rsidR="002961A9" w:rsidRPr="002961A9">
        <w:t xml:space="preserve">  </w:t>
      </w:r>
      <w:r w:rsidR="008636F9">
        <w:t>And</w:t>
      </w:r>
      <w:r w:rsidR="002961A9">
        <w:t xml:space="preserve"> t</w:t>
      </w:r>
      <w:r w:rsidR="002961A9" w:rsidRPr="002961A9">
        <w:t xml:space="preserve">here is little doubt that the Task Force has promoted itself as blight condemners:  As </w:t>
      </w:r>
      <w:r w:rsidR="002961A9">
        <w:t>discussed</w:t>
      </w:r>
      <w:r w:rsidR="002961A9" w:rsidRPr="002961A9">
        <w:t>, the Chairs emphasize its goal of eradicating blight in extreme, colorful language that appears nearly identical to descriptions of blight takings in Fifth Amendment cases.</w:t>
      </w:r>
      <w:r w:rsidR="002961A9" w:rsidRPr="002961A9">
        <w:rPr>
          <w:vertAlign w:val="superscript"/>
        </w:rPr>
        <w:footnoteReference w:id="342"/>
      </w:r>
      <w:r w:rsidR="002961A9" w:rsidRPr="002961A9">
        <w:t xml:space="preserve">  They have indeed marketed themselves as blight eradicators who intend to confiscate and condemn vast tracts of Detroit property.</w:t>
      </w:r>
      <w:r w:rsidR="008636F9">
        <w:t xml:space="preserve">  </w:t>
      </w:r>
    </w:p>
    <w:p w:rsidR="008636F9" w:rsidRDefault="002961A9" w:rsidP="00EA738D">
      <w:pPr>
        <w:spacing w:line="480" w:lineRule="auto"/>
        <w:ind w:firstLine="720"/>
      </w:pPr>
      <w:r w:rsidRPr="002961A9">
        <w:t xml:space="preserve">Thus, </w:t>
      </w:r>
      <w:r w:rsidR="008636F9">
        <w:t>the blight condemnation</w:t>
      </w:r>
      <w:r w:rsidRPr="002961A9">
        <w:t xml:space="preserve"> </w:t>
      </w:r>
      <w:r w:rsidR="008636F9">
        <w:t xml:space="preserve">that the city </w:t>
      </w:r>
      <w:r w:rsidR="004A39ED">
        <w:t>readies for will fail if undertaken through eminent domain</w:t>
      </w:r>
      <w:r w:rsidR="008636F9">
        <w:t xml:space="preserve">.  </w:t>
      </w:r>
      <w:r w:rsidRPr="002961A9">
        <w:t xml:space="preserve">In a 2010 article, </w:t>
      </w:r>
      <w:r>
        <w:t>Professor</w:t>
      </w:r>
      <w:r w:rsidRPr="002961A9">
        <w:t xml:space="preserve"> Mogk, along with Sarah Kwiatkowski and Mar</w:t>
      </w:r>
      <w:r w:rsidR="004A39ED">
        <w:t>y J. Weindorf, explain that the 2006</w:t>
      </w:r>
      <w:r w:rsidRPr="002961A9">
        <w:t xml:space="preserve"> amendment made it “more difficult to clear blighted neighborhoods” by eliminating the </w:t>
      </w:r>
      <w:r w:rsidRPr="002961A9">
        <w:lastRenderedPageBreak/>
        <w:t>“area-wide” blight test, requiring developers “seeking to assemble a blighted area for redevelopment [to] . . . prove blight on a parcel-by-parcel basis.”</w:t>
      </w:r>
      <w:r w:rsidRPr="002961A9">
        <w:rPr>
          <w:vertAlign w:val="superscript"/>
        </w:rPr>
        <w:footnoteReference w:id="343"/>
      </w:r>
      <w:r w:rsidRPr="002961A9">
        <w:t xml:space="preserve">  A parcel-by-parcel review using a clear and convincing standard would slow down the clearance project immeasurably; with thousands of unoccupied parcels at stake, the arrested process would rout the clearance.  As scholar Peter J. Domasa assesses, the clear and convincing standard could “likely reduce the chances of a successful revitalization effort by bogging down the process with extensive litigation.”</w:t>
      </w:r>
      <w:r w:rsidRPr="002961A9">
        <w:rPr>
          <w:vertAlign w:val="superscript"/>
        </w:rPr>
        <w:footnoteReference w:id="344"/>
      </w:r>
      <w:r>
        <w:t xml:space="preserve">  </w:t>
      </w:r>
    </w:p>
    <w:p w:rsidR="008636F9" w:rsidRPr="008636F9" w:rsidRDefault="008636F9" w:rsidP="00EA738D">
      <w:pPr>
        <w:spacing w:line="480" w:lineRule="auto"/>
        <w:ind w:firstLine="720"/>
      </w:pPr>
      <w:r w:rsidRPr="008636F9">
        <w:t xml:space="preserve">But there is a way out.  Repair of dilapidated housing can benefit Detroit’s people under the right legal circumstances. To cultivate these better conditions, we would have to establish that the </w:t>
      </w:r>
      <w:r w:rsidR="00792951">
        <w:t xml:space="preserve">city’s exercise of eminent domain did not amount to </w:t>
      </w:r>
      <w:r w:rsidRPr="008636F9">
        <w:t xml:space="preserve">“blight condemnations.”  This may be very difficult to substantiate.  However, one way to do so would confirm that the takings in Detroit do not assist the racist, classist, and colonial aims that blight condemnations </w:t>
      </w:r>
      <w:r w:rsidR="00792951">
        <w:t xml:space="preserve">undertaken under the powers of eminent domain </w:t>
      </w:r>
      <w:r w:rsidRPr="008636F9">
        <w:t>have so often served.</w:t>
      </w:r>
      <w:r w:rsidRPr="008636F9">
        <w:rPr>
          <w:vertAlign w:val="superscript"/>
        </w:rPr>
        <w:footnoteReference w:id="345"/>
      </w:r>
      <w:r w:rsidRPr="008636F9">
        <w:t xml:space="preserve">  One must distinguish these takings from the “Negro removals” found, for example, in </w:t>
      </w:r>
      <w:r w:rsidRPr="008636F9">
        <w:rPr>
          <w:i/>
        </w:rPr>
        <w:t>Berman</w:t>
      </w:r>
      <w:r w:rsidRPr="008636F9">
        <w:t>,</w:t>
      </w:r>
      <w:r w:rsidRPr="008636F9">
        <w:rPr>
          <w:vertAlign w:val="superscript"/>
        </w:rPr>
        <w:footnoteReference w:id="346"/>
      </w:r>
      <w:r w:rsidRPr="008636F9">
        <w:t xml:space="preserve"> or the class evictions that shook Atlantic Yards and Manhattanville.</w:t>
      </w:r>
      <w:r w:rsidRPr="008636F9">
        <w:rPr>
          <w:vertAlign w:val="superscript"/>
        </w:rPr>
        <w:footnoteReference w:id="347"/>
      </w:r>
      <w:r w:rsidRPr="008636F9">
        <w:t xml:space="preserve">  That is, we would have to show that these takings benefited other aims, indeed, perhaps opposite aims.  And if the property were taken for this other “independent public . . .  concern. . . rather than . . .  private interests,”</w:t>
      </w:r>
      <w:r w:rsidRPr="008636F9">
        <w:rPr>
          <w:vertAlign w:val="superscript"/>
        </w:rPr>
        <w:footnoteReference w:id="348"/>
      </w:r>
      <w:r w:rsidRPr="008636F9">
        <w:t xml:space="preserve"> the standard of proof would only be the preponderance of the evidence.</w:t>
      </w:r>
      <w:r w:rsidRPr="008636F9">
        <w:rPr>
          <w:vertAlign w:val="superscript"/>
        </w:rPr>
        <w:footnoteReference w:id="349"/>
      </w:r>
      <w:r w:rsidRPr="008636F9">
        <w:t xml:space="preserve">  This would set </w:t>
      </w:r>
      <w:r w:rsidRPr="008636F9">
        <w:lastRenderedPageBreak/>
        <w:t>a lower obstacle for property dissolution, which would make the demolitions possible.  Again, if we are searching for alternative public purpose, economic development does not qualify.</w:t>
      </w:r>
      <w:r w:rsidRPr="008636F9">
        <w:rPr>
          <w:vertAlign w:val="superscript"/>
        </w:rPr>
        <w:footnoteReference w:id="350"/>
      </w:r>
    </w:p>
    <w:p w:rsidR="008C6512" w:rsidRDefault="008636F9" w:rsidP="00EA738D">
      <w:pPr>
        <w:spacing w:line="480" w:lineRule="auto"/>
        <w:ind w:firstLine="720"/>
      </w:pPr>
      <w:r w:rsidRPr="008636F9">
        <w:t>My answer is this:</w:t>
      </w:r>
      <w:r>
        <w:rPr>
          <w:i/>
        </w:rPr>
        <w:t xml:space="preserve">  T</w:t>
      </w:r>
      <w:r w:rsidRPr="008636F9">
        <w:rPr>
          <w:i/>
        </w:rPr>
        <w:t>he alleviation of poverty</w:t>
      </w:r>
      <w:r w:rsidRPr="008636F9">
        <w:t xml:space="preserve"> provides a public concern that serves opposite aims compared to those ministered by blight condemnations.  This public purpose should be the aim that leverages the Task Force’s proposed takings, and satisfy the Michigan Constitution’s scrutiny.</w:t>
      </w:r>
      <w:r>
        <w:t xml:space="preserve">  And this aim would tackle the city’s most exigent problem:  Again, </w:t>
      </w:r>
      <w:r w:rsidR="00FC7067" w:rsidRPr="00FC7067">
        <w:t>Detroiters now suffer from a</w:t>
      </w:r>
      <w:r w:rsidR="005E536A">
        <w:t xml:space="preserve"> 38</w:t>
      </w:r>
      <w:r w:rsidR="00FC7067" w:rsidRPr="00FC7067">
        <w:t xml:space="preserve"> percent poverty rate,</w:t>
      </w:r>
      <w:r w:rsidR="0075403B">
        <w:rPr>
          <w:rStyle w:val="FootnoteReference"/>
        </w:rPr>
        <w:footnoteReference w:id="351"/>
      </w:r>
      <w:r w:rsidR="00FC7067" w:rsidRPr="00FC7067">
        <w:t xml:space="preserve"> and many </w:t>
      </w:r>
      <w:r w:rsidR="00BE343A">
        <w:t>more struggle at</w:t>
      </w:r>
      <w:r w:rsidR="00FC7067" w:rsidRPr="00FC7067">
        <w:t xml:space="preserve"> the poverty line.</w:t>
      </w:r>
      <w:r w:rsidR="0075403B">
        <w:rPr>
          <w:rStyle w:val="FootnoteReference"/>
        </w:rPr>
        <w:footnoteReference w:id="352"/>
      </w:r>
      <w:r w:rsidR="00191A93">
        <w:t xml:space="preserve">   Deteriorated</w:t>
      </w:r>
      <w:r w:rsidR="00FC7067" w:rsidRPr="00FC7067">
        <w:t xml:space="preserve"> housing contributes to Detroit poverty and other woes, because resid</w:t>
      </w:r>
      <w:r w:rsidR="00BE343A">
        <w:t xml:space="preserve">ents abandon their property, </w:t>
      </w:r>
      <w:r w:rsidR="005E536A">
        <w:t>siphoning off the tax base.</w:t>
      </w:r>
      <w:r w:rsidR="00440C88">
        <w:rPr>
          <w:rStyle w:val="FootnoteReference"/>
        </w:rPr>
        <w:footnoteReference w:id="353"/>
      </w:r>
      <w:r w:rsidR="005E536A">
        <w:t xml:space="preserve">  </w:t>
      </w:r>
    </w:p>
    <w:p w:rsidR="00945B03" w:rsidRDefault="00EA5805" w:rsidP="00EA738D">
      <w:pPr>
        <w:spacing w:line="480" w:lineRule="auto"/>
        <w:ind w:firstLine="720"/>
      </w:pPr>
      <w:r>
        <w:t>In this section I will demonstrate how the public purpose of lifting the indigent into the midd</w:t>
      </w:r>
      <w:r w:rsidR="004A39ED">
        <w:t>le classes coheres with</w:t>
      </w:r>
      <w:r>
        <w:t xml:space="preserve"> legislative intent</w:t>
      </w:r>
      <w:r w:rsidR="004A39ED">
        <w:t xml:space="preserve"> and Fifth Amendment jurisprudence</w:t>
      </w:r>
      <w:r>
        <w:t>.</w:t>
      </w:r>
      <w:r w:rsidR="00063DE5">
        <w:rPr>
          <w:rStyle w:val="FootnoteReference"/>
        </w:rPr>
        <w:footnoteReference w:id="354"/>
      </w:r>
      <w:r>
        <w:t xml:space="preserve">  I will then show the Task Force’s proposed </w:t>
      </w:r>
      <w:r w:rsidR="00792951">
        <w:t>confiscations, if accomplished under eminent domain,</w:t>
      </w:r>
      <w:r>
        <w:t xml:space="preserve"> cannot now satisfy that public concern becaus</w:t>
      </w:r>
      <w:r w:rsidR="00792951">
        <w:t xml:space="preserve">e current plans for the </w:t>
      </w:r>
      <w:r>
        <w:t xml:space="preserve">space </w:t>
      </w:r>
      <w:r w:rsidR="00792951">
        <w:t xml:space="preserve">cleared by the ensuing demolition </w:t>
      </w:r>
      <w:r>
        <w:t>mainly address strengthening the bourgeoisie.</w:t>
      </w:r>
      <w:r w:rsidR="00063DE5">
        <w:rPr>
          <w:rStyle w:val="FootnoteReference"/>
        </w:rPr>
        <w:footnoteReference w:id="355"/>
      </w:r>
      <w:r>
        <w:t xml:space="preserve">  </w:t>
      </w:r>
      <w:r w:rsidR="00945B03">
        <w:t xml:space="preserve">Next, I will discuss </w:t>
      </w:r>
      <w:r w:rsidR="00792951">
        <w:t xml:space="preserve">also </w:t>
      </w:r>
      <w:r w:rsidR="00945B03">
        <w:t>how</w:t>
      </w:r>
      <w:r w:rsidR="00C2240C">
        <w:t xml:space="preserve"> eminent domain plans that purport to serve the lower classes have </w:t>
      </w:r>
      <w:r w:rsidR="00945B03">
        <w:t xml:space="preserve">historically </w:t>
      </w:r>
      <w:r w:rsidR="00C2240C">
        <w:t>been coopted to serve the interests of the privileged</w:t>
      </w:r>
      <w:r w:rsidR="00945B03">
        <w:t xml:space="preserve">.  To address </w:t>
      </w:r>
      <w:r w:rsidR="00792951">
        <w:t>these</w:t>
      </w:r>
      <w:r w:rsidR="00945B03">
        <w:t xml:space="preserve"> problem</w:t>
      </w:r>
      <w:r w:rsidR="00792951">
        <w:t>s</w:t>
      </w:r>
      <w:r w:rsidR="00945B03">
        <w:t>,</w:t>
      </w:r>
      <w:r w:rsidR="00C2240C">
        <w:t xml:space="preserve"> I will </w:t>
      </w:r>
      <w:r w:rsidR="00063DE5">
        <w:t xml:space="preserve">argue that a poverty uplift program must be developed within a practice of seeing, the discipline that I promised I would forge in </w:t>
      </w:r>
      <w:r w:rsidR="00063DE5">
        <w:rPr>
          <w:i/>
        </w:rPr>
        <w:t>Peering</w:t>
      </w:r>
      <w:r w:rsidR="00063DE5">
        <w:t>.</w:t>
      </w:r>
      <w:r w:rsidR="00063DE5">
        <w:rPr>
          <w:rStyle w:val="FootnoteReference"/>
        </w:rPr>
        <w:footnoteReference w:id="356"/>
      </w:r>
      <w:r w:rsidR="00063DE5">
        <w:t xml:space="preserve">  After describing what seeing </w:t>
      </w:r>
      <w:r w:rsidR="00063DE5">
        <w:lastRenderedPageBreak/>
        <w:t>entails,</w:t>
      </w:r>
      <w:r w:rsidR="00063DE5">
        <w:rPr>
          <w:rStyle w:val="FootnoteReference"/>
        </w:rPr>
        <w:footnoteReference w:id="357"/>
      </w:r>
      <w:r w:rsidR="00DD3746">
        <w:t xml:space="preserve"> and requires</w:t>
      </w:r>
      <w:r w:rsidR="00063DE5">
        <w:t xml:space="preserve"> in Detroit, I will set forth its fruits, which take the form of the recommendations made by the people I interviewed in </w:t>
      </w:r>
      <w:r w:rsidR="00DD3746">
        <w:t>September</w:t>
      </w:r>
      <w:r w:rsidR="00063DE5">
        <w:t xml:space="preserve"> of 2014.</w:t>
      </w:r>
      <w:r w:rsidR="00063DE5">
        <w:rPr>
          <w:rStyle w:val="FootnoteReference"/>
        </w:rPr>
        <w:footnoteReference w:id="358"/>
      </w:r>
      <w:r w:rsidR="00063DE5">
        <w:t xml:space="preserve">  These recommendations will help form the</w:t>
      </w:r>
      <w:r w:rsidR="00EA3B3F">
        <w:t xml:space="preserve"> first draft of a poverty alleviation</w:t>
      </w:r>
      <w:r w:rsidR="00063DE5">
        <w:t xml:space="preserve"> program that should secure the consti</w:t>
      </w:r>
      <w:r w:rsidR="00792951">
        <w:t xml:space="preserve">tutionality Detroit’s acquisition and clearance of its dilapidated properties, </w:t>
      </w:r>
      <w:r w:rsidR="00DD3746">
        <w:t>and also guard</w:t>
      </w:r>
      <w:r w:rsidR="00063DE5">
        <w:t xml:space="preserve"> vulnerables against harms usually experienced in the wake of blight condemnations.</w:t>
      </w:r>
      <w:r w:rsidR="00063DE5">
        <w:rPr>
          <w:rStyle w:val="FootnoteReference"/>
        </w:rPr>
        <w:footnoteReference w:id="359"/>
      </w:r>
    </w:p>
    <w:p w:rsidR="00063DE5" w:rsidRPr="00063DE5" w:rsidRDefault="00063DE5" w:rsidP="00EA738D">
      <w:pPr>
        <w:spacing w:line="480" w:lineRule="auto"/>
        <w:ind w:firstLine="720"/>
      </w:pPr>
      <w:r>
        <w:t xml:space="preserve"> </w:t>
      </w:r>
    </w:p>
    <w:p w:rsidR="00EA5805" w:rsidRPr="004A39ED" w:rsidRDefault="00EA5805" w:rsidP="00EA738D">
      <w:pPr>
        <w:pStyle w:val="ListParagraph"/>
        <w:numPr>
          <w:ilvl w:val="0"/>
          <w:numId w:val="20"/>
        </w:numPr>
        <w:spacing w:line="480" w:lineRule="auto"/>
      </w:pPr>
      <w:r w:rsidRPr="004A39ED">
        <w:t>Poverty uplift coheres with legislative intent and judicial constructions of “public purpose.”</w:t>
      </w:r>
    </w:p>
    <w:p w:rsidR="00D46390" w:rsidRDefault="00792951" w:rsidP="00EA738D">
      <w:pPr>
        <w:spacing w:line="480" w:lineRule="auto"/>
        <w:ind w:firstLine="720"/>
      </w:pPr>
      <w:r>
        <w:t xml:space="preserve">If Detroit acquired and cleared land via the power of eminent domain for the public purpose of alleviating poverty, its efforts would likely satisfy constitutional scrutiny.  </w:t>
      </w:r>
      <w:r w:rsidR="00FC7067" w:rsidRPr="00FC7067">
        <w:t xml:space="preserve">The public </w:t>
      </w:r>
      <w:r w:rsidR="00DD70DA">
        <w:t>purpose</w:t>
      </w:r>
      <w:r w:rsidR="00FC7067" w:rsidRPr="00FC7067">
        <w:t xml:space="preserve"> of poverty alleviation </w:t>
      </w:r>
      <w:r w:rsidR="008C6512">
        <w:t>aligns</w:t>
      </w:r>
      <w:r w:rsidR="00FC7067" w:rsidRPr="00FC7067">
        <w:t xml:space="preserve"> with the legislative intent surrounding the enactment of the 2006 amendment:  While Article 10, Section 2 now announces hostility</w:t>
      </w:r>
      <w:r w:rsidR="00740FBD">
        <w:t xml:space="preserve"> to economic </w:t>
      </w:r>
      <w:r w:rsidR="00FC7067" w:rsidRPr="00FC7067">
        <w:t>development,</w:t>
      </w:r>
      <w:r w:rsidR="0075403B">
        <w:t xml:space="preserve"> </w:t>
      </w:r>
      <w:r w:rsidR="0079183C">
        <w:t xml:space="preserve">the </w:t>
      </w:r>
      <w:r w:rsidR="00332E17">
        <w:t xml:space="preserve">coterminous amendments made to the Michigan Uniform Condemnation Procedures Act </w:t>
      </w:r>
      <w:r w:rsidR="008C6512">
        <w:t>demonstrate</w:t>
      </w:r>
      <w:r w:rsidR="0075403B">
        <w:t xml:space="preserve"> that the Michigan legislature envisioned the new takings clause as a safeguard against the predations of low income people.</w:t>
      </w:r>
      <w:r w:rsidR="004230B6">
        <w:rPr>
          <w:rStyle w:val="FootnoteReference"/>
        </w:rPr>
        <w:footnoteReference w:id="360"/>
      </w:r>
      <w:r w:rsidR="00740FBD">
        <w:t xml:space="preserve">  Specifically, i</w:t>
      </w:r>
      <w:r w:rsidR="00332E17">
        <w:t xml:space="preserve">t allowed for relocated indigent people </w:t>
      </w:r>
      <w:r w:rsidR="00740FBD">
        <w:t xml:space="preserve">making unsuccessful </w:t>
      </w:r>
      <w:r w:rsidR="00F749E4">
        <w:t>challenges to eminent domain exercises</w:t>
      </w:r>
      <w:r w:rsidR="00740FBD">
        <w:t xml:space="preserve"> </w:t>
      </w:r>
      <w:r w:rsidR="00332E17">
        <w:t xml:space="preserve">to recoup their </w:t>
      </w:r>
      <w:r w:rsidR="00D432A0">
        <w:t>attorney fees</w:t>
      </w:r>
      <w:r w:rsidR="00332E17">
        <w:t>.</w:t>
      </w:r>
      <w:r w:rsidR="00332E17">
        <w:rPr>
          <w:rStyle w:val="FootnoteReference"/>
        </w:rPr>
        <w:footnoteReference w:id="361"/>
      </w:r>
    </w:p>
    <w:p w:rsidR="00075FBD" w:rsidRDefault="00075FBD" w:rsidP="00EA738D">
      <w:pPr>
        <w:spacing w:line="480" w:lineRule="auto"/>
        <w:ind w:firstLine="720"/>
      </w:pPr>
      <w:r>
        <w:t xml:space="preserve">Using eminent domain to </w:t>
      </w:r>
      <w:r w:rsidR="00945B03">
        <w:t>bring</w:t>
      </w:r>
      <w:r>
        <w:t xml:space="preserve"> low income people</w:t>
      </w:r>
      <w:r w:rsidR="00740FBD">
        <w:t xml:space="preserve"> </w:t>
      </w:r>
      <w:r w:rsidR="00E93BBA">
        <w:t>into higher economic strata</w:t>
      </w:r>
      <w:r w:rsidR="00945B03">
        <w:t xml:space="preserve"> </w:t>
      </w:r>
      <w:r>
        <w:t xml:space="preserve">would also prove supported by the rationale of </w:t>
      </w:r>
      <w:r>
        <w:rPr>
          <w:i/>
        </w:rPr>
        <w:t>Hathcock</w:t>
      </w:r>
      <w:r>
        <w:t>, which forms the basis of the amended Article 10, Section 2</w:t>
      </w:r>
      <w:r w:rsidR="00945B03">
        <w:t xml:space="preserve">, and </w:t>
      </w:r>
      <w:r w:rsidR="00945B03">
        <w:lastRenderedPageBreak/>
        <w:t>aims to protect the middle and impoverished classes</w:t>
      </w:r>
      <w:r>
        <w:t>.</w:t>
      </w:r>
      <w:r>
        <w:rPr>
          <w:rStyle w:val="FootnoteReference"/>
        </w:rPr>
        <w:footnoteReference w:id="362"/>
      </w:r>
      <w:r>
        <w:t xml:space="preserve">  The </w:t>
      </w:r>
      <w:r>
        <w:rPr>
          <w:i/>
        </w:rPr>
        <w:t>Hathcock</w:t>
      </w:r>
      <w:r>
        <w:t xml:space="preserve"> court rejected its previous decision in </w:t>
      </w:r>
      <w:r>
        <w:rPr>
          <w:i/>
        </w:rPr>
        <w:t>Poletown</w:t>
      </w:r>
      <w:r>
        <w:t xml:space="preserve">, which allowed the taking of a community of color in order that </w:t>
      </w:r>
      <w:r w:rsidR="00875870">
        <w:t>GM</w:t>
      </w:r>
      <w:r>
        <w:t xml:space="preserve"> might site a plant there</w:t>
      </w:r>
      <w:r w:rsidR="00740FBD">
        <w:t xml:space="preserve"> and</w:t>
      </w:r>
      <w:r>
        <w:t xml:space="preserve"> </w:t>
      </w:r>
      <w:r w:rsidR="00740FBD">
        <w:t xml:space="preserve">imburse the </w:t>
      </w:r>
      <w:r>
        <w:t>region.</w:t>
      </w:r>
      <w:r>
        <w:rPr>
          <w:rStyle w:val="FootnoteReference"/>
        </w:rPr>
        <w:footnoteReference w:id="363"/>
      </w:r>
      <w:r>
        <w:t xml:space="preserve">  </w:t>
      </w:r>
      <w:r>
        <w:rPr>
          <w:i/>
        </w:rPr>
        <w:t>Hathcock</w:t>
      </w:r>
      <w:r>
        <w:t xml:space="preserve"> dealt with a similar economic rejuvenation scenario, </w:t>
      </w:r>
      <w:r w:rsidR="0079183C">
        <w:t>t</w:t>
      </w:r>
      <w:r>
        <w:t>here concerning the condemnation of nineteen parcels south of the Metropolitan Airport to make way for the Pinnacle Project</w:t>
      </w:r>
      <w:r w:rsidR="00740FBD">
        <w:t xml:space="preserve"> business tract</w:t>
      </w:r>
      <w:r>
        <w:t>.</w:t>
      </w:r>
      <w:r>
        <w:rPr>
          <w:rStyle w:val="FootnoteReference"/>
        </w:rPr>
        <w:footnoteReference w:id="364"/>
      </w:r>
      <w:r>
        <w:t xml:space="preserve">  </w:t>
      </w:r>
      <w:r w:rsidR="00EA3E51">
        <w:rPr>
          <w:i/>
        </w:rPr>
        <w:t xml:space="preserve">Hathcock </w:t>
      </w:r>
      <w:r w:rsidR="00EA3E51">
        <w:t xml:space="preserve">recognized that that the wealth generated by the Project would </w:t>
      </w:r>
      <w:r w:rsidR="00FE2C4D">
        <w:t>“benefit the public,”</w:t>
      </w:r>
      <w:r w:rsidR="00FE2C4D">
        <w:rPr>
          <w:rStyle w:val="FootnoteReference"/>
        </w:rPr>
        <w:footnoteReference w:id="365"/>
      </w:r>
      <w:r w:rsidR="00EA3E51">
        <w:t xml:space="preserve"> and observed that its boosters promised it would be cutting </w:t>
      </w:r>
      <w:r w:rsidR="001978F6">
        <w:t>edge and state of the art; but the court</w:t>
      </w:r>
      <w:r w:rsidR="00FE2C4D">
        <w:t xml:space="preserve"> </w:t>
      </w:r>
      <w:r w:rsidR="00740FBD">
        <w:t>rejected this</w:t>
      </w:r>
      <w:r w:rsidR="00430C6C">
        <w:t xml:space="preserve"> aspirational</w:t>
      </w:r>
      <w:r w:rsidR="00740FBD">
        <w:t xml:space="preserve"> gaze</w:t>
      </w:r>
      <w:r w:rsidR="00430C6C">
        <w:t>.</w:t>
      </w:r>
      <w:r w:rsidR="00430C6C">
        <w:rPr>
          <w:rStyle w:val="FootnoteReference"/>
        </w:rPr>
        <w:footnoteReference w:id="366"/>
      </w:r>
      <w:r w:rsidR="00693D5A">
        <w:t xml:space="preserve">  </w:t>
      </w:r>
      <w:r w:rsidR="00EA3E51">
        <w:t>The</w:t>
      </w:r>
      <w:r w:rsidR="001978F6">
        <w:t xml:space="preserve"> c</w:t>
      </w:r>
      <w:r w:rsidR="00740FBD">
        <w:t>ourt twinned its regard</w:t>
      </w:r>
      <w:r w:rsidR="00430C6C">
        <w:t xml:space="preserve"> wit</w:t>
      </w:r>
      <w:r w:rsidR="0079183C">
        <w:t xml:space="preserve">h </w:t>
      </w:r>
      <w:r w:rsidR="00740FBD">
        <w:t xml:space="preserve">modest Detroiters </w:t>
      </w:r>
      <w:r w:rsidR="00430C6C">
        <w:t>by concluding</w:t>
      </w:r>
      <w:r w:rsidR="00740FBD">
        <w:t xml:space="preserve"> </w:t>
      </w:r>
      <w:r w:rsidR="00FE2C4D">
        <w:t xml:space="preserve">the </w:t>
      </w:r>
      <w:r w:rsidR="00740FBD">
        <w:t xml:space="preserve">Project’s </w:t>
      </w:r>
      <w:r w:rsidR="00945B03">
        <w:t xml:space="preserve">enormous </w:t>
      </w:r>
      <w:r w:rsidR="00FE2C4D">
        <w:t xml:space="preserve">private </w:t>
      </w:r>
      <w:r w:rsidR="00740FBD">
        <w:t>investment recoupments</w:t>
      </w:r>
      <w:r w:rsidR="00FE2C4D">
        <w:t xml:space="preserve"> disqualified it </w:t>
      </w:r>
      <w:r w:rsidR="002D2A40">
        <w:t xml:space="preserve">from possessing a public </w:t>
      </w:r>
      <w:r w:rsidR="00FE2C4D">
        <w:t>concern</w:t>
      </w:r>
      <w:r w:rsidR="00EA3E51">
        <w:t xml:space="preserve">; it also </w:t>
      </w:r>
      <w:r w:rsidR="00945B03">
        <w:t>worried</w:t>
      </w:r>
      <w:r w:rsidR="00EA3E51">
        <w:t xml:space="preserve"> the</w:t>
      </w:r>
      <w:r w:rsidR="00FE2C4D">
        <w:t xml:space="preserve"> Project would not be subject to the oversight of the people.</w:t>
      </w:r>
      <w:r w:rsidR="00FE2C4D">
        <w:rPr>
          <w:rStyle w:val="FootnoteReference"/>
        </w:rPr>
        <w:footnoteReference w:id="367"/>
      </w:r>
      <w:r w:rsidR="00FE2C4D">
        <w:t xml:space="preserve">  And even </w:t>
      </w:r>
      <w:r w:rsidR="00CD2B5C">
        <w:t xml:space="preserve">as </w:t>
      </w:r>
      <w:r w:rsidR="002D2A40">
        <w:rPr>
          <w:i/>
        </w:rPr>
        <w:t>Hathcock</w:t>
      </w:r>
      <w:r w:rsidR="00FE2C4D">
        <w:t xml:space="preserve"> approved of slum clearances as a public purpose, </w:t>
      </w:r>
      <w:r w:rsidR="002D2A40">
        <w:t xml:space="preserve">it grounded its approbation in the goal of increasing the entire collective’s </w:t>
      </w:r>
      <w:r w:rsidR="00DC74D7">
        <w:t xml:space="preserve">health and safety – </w:t>
      </w:r>
      <w:r w:rsidR="002D2A40">
        <w:t>a large frame that</w:t>
      </w:r>
      <w:r w:rsidR="00DC74D7">
        <w:t xml:space="preserve"> must include the poor.</w:t>
      </w:r>
      <w:r w:rsidR="00DC74D7">
        <w:rPr>
          <w:rStyle w:val="FootnoteReference"/>
        </w:rPr>
        <w:footnoteReference w:id="368"/>
      </w:r>
      <w:r w:rsidR="00DC74D7">
        <w:t xml:space="preserve">  </w:t>
      </w:r>
    </w:p>
    <w:p w:rsidR="00DE424C" w:rsidRDefault="00DE424C" w:rsidP="00EA738D">
      <w:pPr>
        <w:spacing w:line="480" w:lineRule="auto"/>
        <w:ind w:firstLine="720"/>
      </w:pPr>
      <w:r>
        <w:t xml:space="preserve">Indeed, while the </w:t>
      </w:r>
      <w:r w:rsidRPr="00DE424C">
        <w:rPr>
          <w:i/>
        </w:rPr>
        <w:t>Hathcock</w:t>
      </w:r>
      <w:r>
        <w:t xml:space="preserve"> court appears most eager to</w:t>
      </w:r>
      <w:r w:rsidR="007A47DA">
        <w:t xml:space="preserve"> protect middle-class</w:t>
      </w:r>
      <w:r w:rsidRPr="00DE424C">
        <w:t xml:space="preserve"> interests,</w:t>
      </w:r>
      <w:r>
        <w:rPr>
          <w:rStyle w:val="FootnoteReference"/>
        </w:rPr>
        <w:footnoteReference w:id="369"/>
      </w:r>
      <w:r w:rsidRPr="00DE424C">
        <w:t xml:space="preserve"> </w:t>
      </w:r>
      <w:r>
        <w:t>c</w:t>
      </w:r>
      <w:r w:rsidRPr="00DE424C">
        <w:t xml:space="preserve">lose study reveals that anti-poverty commitments </w:t>
      </w:r>
      <w:r w:rsidR="007A47DA">
        <w:t>ring in its</w:t>
      </w:r>
      <w:r w:rsidR="00B64B11">
        <w:t xml:space="preserve"> holding.  This is for three</w:t>
      </w:r>
      <w:r w:rsidRPr="00DE424C">
        <w:t xml:space="preserve"> reasons.  First, just as the middle class may find their interests eroded by insecure property ownership, so, too, do poor or other vulnerable people.  Economists Daron Acemoglu and James A. Robinson have written of the history of extractive institutions – that is, institutions that benefit the higher strata at the expense </w:t>
      </w:r>
      <w:r>
        <w:t xml:space="preserve">of </w:t>
      </w:r>
      <w:r>
        <w:lastRenderedPageBreak/>
        <w:t>racial minorities or the indigent</w:t>
      </w:r>
      <w:r w:rsidRPr="00DE424C">
        <w:t xml:space="preserve"> – and detailed how they operate to kee</w:t>
      </w:r>
      <w:r w:rsidR="00191A93">
        <w:t>p poor people on the lower notes</w:t>
      </w:r>
      <w:r w:rsidRPr="00DE424C">
        <w:t xml:space="preserve"> of the economic and </w:t>
      </w:r>
      <w:r w:rsidR="007A47DA">
        <w:t>political scale for scandalously long periods</w:t>
      </w:r>
      <w:r w:rsidRPr="00DE424C">
        <w:t>.</w:t>
      </w:r>
      <w:r w:rsidRPr="00DE424C">
        <w:rPr>
          <w:vertAlign w:val="superscript"/>
        </w:rPr>
        <w:footnoteReference w:id="370"/>
      </w:r>
      <w:r w:rsidRPr="00DE424C">
        <w:t xml:space="preserve">  Acemoglu and Robinson </w:t>
      </w:r>
      <w:r w:rsidR="00967CBA">
        <w:t xml:space="preserve">explain how property rights </w:t>
      </w:r>
      <w:r w:rsidR="0079183C">
        <w:t>benefit</w:t>
      </w:r>
      <w:r w:rsidR="00967CBA">
        <w:t>ting</w:t>
      </w:r>
      <w:r w:rsidR="0079183C">
        <w:t xml:space="preserve"> only the upper class </w:t>
      </w:r>
      <w:r w:rsidR="00EA3E51">
        <w:t>create persistent, even centuries-long,</w:t>
      </w:r>
      <w:r w:rsidRPr="00DE424C">
        <w:t xml:space="preserve"> </w:t>
      </w:r>
      <w:r w:rsidR="00EA3E51">
        <w:t>dis</w:t>
      </w:r>
      <w:r w:rsidRPr="00DE424C">
        <w:t>incentives for peo</w:t>
      </w:r>
      <w:r w:rsidR="00EA3E51">
        <w:t>ple to innovate and su</w:t>
      </w:r>
      <w:r w:rsidR="00945B03">
        <w:t>cceed; they conclude</w:t>
      </w:r>
      <w:r w:rsidRPr="00DE424C">
        <w:t xml:space="preserve"> that such rights must exist “for the majority of people in society.”</w:t>
      </w:r>
      <w:r w:rsidRPr="00DE424C">
        <w:rPr>
          <w:vertAlign w:val="superscript"/>
        </w:rPr>
        <w:footnoteReference w:id="371"/>
      </w:r>
      <w:r w:rsidRPr="00DE424C">
        <w:t xml:space="preserve">  </w:t>
      </w:r>
      <w:r>
        <w:t xml:space="preserve">A similar analysis and conclusion regarding the </w:t>
      </w:r>
      <w:r w:rsidR="00967CBA">
        <w:t>prolonged</w:t>
      </w:r>
      <w:r>
        <w:t xml:space="preserve"> effects of extractive institutions has also, as it so happens, been performed on Detroit:  In </w:t>
      </w:r>
      <w:r w:rsidR="00B91292">
        <w:t xml:space="preserve">Thomas J. Sugrue’s landmark </w:t>
      </w:r>
      <w:r w:rsidR="00B91292">
        <w:rPr>
          <w:smallCaps/>
        </w:rPr>
        <w:t>The Origins of the Urban Crisis: Race and Inequality in Postwar Detroit</w:t>
      </w:r>
      <w:r w:rsidR="00066BBB">
        <w:t xml:space="preserve"> (1995),</w:t>
      </w:r>
      <w:r w:rsidR="00066BBB">
        <w:rPr>
          <w:rStyle w:val="FootnoteReference"/>
        </w:rPr>
        <w:footnoteReference w:id="372"/>
      </w:r>
      <w:r w:rsidR="00066BBB">
        <w:t xml:space="preserve"> Sugrue details how racist uses of eminent domain</w:t>
      </w:r>
      <w:r w:rsidR="00066BBB">
        <w:rPr>
          <w:rStyle w:val="FootnoteReference"/>
        </w:rPr>
        <w:footnoteReference w:id="373"/>
      </w:r>
      <w:r w:rsidR="00066BBB">
        <w:t xml:space="preserve"> all </w:t>
      </w:r>
      <w:r w:rsidR="00D432A0">
        <w:t>hailing</w:t>
      </w:r>
      <w:r w:rsidR="00066BBB">
        <w:t xml:space="preserve"> from the 1940s and 1950s </w:t>
      </w:r>
      <w:r w:rsidR="000B7AD9">
        <w:t>he</w:t>
      </w:r>
      <w:r w:rsidR="007A47DA">
        <w:t>l</w:t>
      </w:r>
      <w:r w:rsidR="000B7AD9">
        <w:t>p</w:t>
      </w:r>
      <w:r w:rsidR="007A47DA">
        <w:t>ed</w:t>
      </w:r>
      <w:r w:rsidR="00066BBB">
        <w:t xml:space="preserve"> create current poverty in a city that is nearly</w:t>
      </w:r>
      <w:r w:rsidR="007059A8">
        <w:t xml:space="preserve"> </w:t>
      </w:r>
      <w:r w:rsidR="00066BBB">
        <w:t>82 percent African American.</w:t>
      </w:r>
      <w:r w:rsidR="00066BBB">
        <w:rPr>
          <w:rStyle w:val="FootnoteReference"/>
        </w:rPr>
        <w:footnoteReference w:id="374"/>
      </w:r>
    </w:p>
    <w:p w:rsidR="00DE424C" w:rsidRDefault="00DE424C" w:rsidP="00EA738D">
      <w:pPr>
        <w:spacing w:line="480" w:lineRule="auto"/>
        <w:ind w:firstLine="720"/>
      </w:pPr>
      <w:r w:rsidRPr="00DE424C">
        <w:t xml:space="preserve">Thus, </w:t>
      </w:r>
      <w:r w:rsidR="00066BBB">
        <w:rPr>
          <w:i/>
        </w:rPr>
        <w:t>Hathcock’s</w:t>
      </w:r>
      <w:r w:rsidRPr="00DE424C">
        <w:t xml:space="preserve"> prevention of elite land grabs can be read as a preservation of rights for low-income</w:t>
      </w:r>
      <w:r>
        <w:t xml:space="preserve"> </w:t>
      </w:r>
      <w:r w:rsidR="007C29BF">
        <w:t>people:  I</w:t>
      </w:r>
      <w:r w:rsidRPr="00DE424C">
        <w:t xml:space="preserve">f </w:t>
      </w:r>
      <w:r w:rsidR="0071546C">
        <w:t xml:space="preserve">taken </w:t>
      </w:r>
      <w:r w:rsidR="007C29BF">
        <w:t>property</w:t>
      </w:r>
      <w:r w:rsidRPr="00DE424C">
        <w:t xml:space="preserve"> </w:t>
      </w:r>
      <w:r w:rsidR="0071546C">
        <w:t xml:space="preserve">benefits </w:t>
      </w:r>
      <w:r w:rsidRPr="00DE424C">
        <w:t xml:space="preserve">only or primarily economic elites, rather than </w:t>
      </w:r>
      <w:r w:rsidR="007C29BF">
        <w:t>triggering a trickle-</w:t>
      </w:r>
      <w:r w:rsidRPr="00DE424C">
        <w:t>down effect</w:t>
      </w:r>
      <w:r w:rsidR="004230B6">
        <w:t>,</w:t>
      </w:r>
      <w:r w:rsidRPr="00DE424C">
        <w:t xml:space="preserve"> </w:t>
      </w:r>
      <w:r w:rsidR="007C29BF">
        <w:t xml:space="preserve">it will foreclose </w:t>
      </w:r>
      <w:r w:rsidRPr="00DE424C">
        <w:t>low-income populations and other vulnerables from climbing the economic and social ladder</w:t>
      </w:r>
      <w:r w:rsidR="00191A93">
        <w:t>s</w:t>
      </w:r>
      <w:r w:rsidRPr="00DE424C">
        <w:t>.  The cycle of Detroit poverty will find itself yet again exacerbated by a long history of local poverty traps that include auto plant closures,</w:t>
      </w:r>
      <w:r w:rsidRPr="00DE424C">
        <w:rPr>
          <w:vertAlign w:val="superscript"/>
        </w:rPr>
        <w:footnoteReference w:id="375"/>
      </w:r>
      <w:r w:rsidRPr="00DE424C">
        <w:t xml:space="preserve"> scarcity, debt, and high borrowing rates,</w:t>
      </w:r>
      <w:r w:rsidRPr="00DE424C">
        <w:rPr>
          <w:vertAlign w:val="superscript"/>
        </w:rPr>
        <w:footnoteReference w:id="376"/>
      </w:r>
      <w:r w:rsidRPr="00DE424C">
        <w:t xml:space="preserve"> the war on drugs,</w:t>
      </w:r>
      <w:r w:rsidRPr="00DE424C">
        <w:rPr>
          <w:vertAlign w:val="superscript"/>
        </w:rPr>
        <w:footnoteReference w:id="377"/>
      </w:r>
      <w:r w:rsidRPr="00DE424C">
        <w:t xml:space="preserve"> and cuts in public employment and education.</w:t>
      </w:r>
      <w:r w:rsidRPr="00DE424C">
        <w:rPr>
          <w:vertAlign w:val="superscript"/>
        </w:rPr>
        <w:footnoteReference w:id="378"/>
      </w:r>
      <w:r w:rsidRPr="00DE424C">
        <w:t xml:space="preserve">  Though the </w:t>
      </w:r>
      <w:r w:rsidRPr="00DE424C">
        <w:rPr>
          <w:i/>
        </w:rPr>
        <w:t>Hathcock</w:t>
      </w:r>
      <w:r w:rsidR="00191A93">
        <w:t xml:space="preserve"> </w:t>
      </w:r>
      <w:r w:rsidR="007C29BF">
        <w:lastRenderedPageBreak/>
        <w:t>c</w:t>
      </w:r>
      <w:r w:rsidR="00DD70DA">
        <w:t xml:space="preserve">ourt </w:t>
      </w:r>
      <w:r w:rsidR="00191A93">
        <w:t>reserves most of its bluster</w:t>
      </w:r>
      <w:r w:rsidRPr="00DE424C">
        <w:t xml:space="preserve"> to criticize parvenu landowners, its holding also prevents the kind of gentrification that inflicts </w:t>
      </w:r>
      <w:r w:rsidR="00EA3E51">
        <w:t xml:space="preserve">long-term </w:t>
      </w:r>
      <w:r w:rsidR="00967CBA">
        <w:t>harm</w:t>
      </w:r>
      <w:r w:rsidRPr="00DE424C">
        <w:t xml:space="preserve"> </w:t>
      </w:r>
      <w:r w:rsidR="007C29BF">
        <w:t>on</w:t>
      </w:r>
      <w:r w:rsidRPr="00DE424C">
        <w:t xml:space="preserve"> poor people.</w:t>
      </w:r>
      <w:r w:rsidRPr="00DE424C">
        <w:rPr>
          <w:vertAlign w:val="superscript"/>
        </w:rPr>
        <w:footnoteReference w:id="379"/>
      </w:r>
    </w:p>
    <w:p w:rsidR="00DE424C" w:rsidRPr="009D5799" w:rsidRDefault="00DE424C" w:rsidP="00EA738D">
      <w:pPr>
        <w:spacing w:line="480" w:lineRule="auto"/>
        <w:ind w:firstLine="720"/>
      </w:pPr>
      <w:r>
        <w:t xml:space="preserve">Second, a closer look at </w:t>
      </w:r>
      <w:r>
        <w:rPr>
          <w:i/>
        </w:rPr>
        <w:t>Hathcock</w:t>
      </w:r>
      <w:r>
        <w:t xml:space="preserve"> reveals that </w:t>
      </w:r>
      <w:r w:rsidR="00DD70DA">
        <w:t xml:space="preserve">its protection reached </w:t>
      </w:r>
      <w:r>
        <w:t xml:space="preserve">people who, while wealthy enough to own </w:t>
      </w:r>
      <w:r w:rsidR="00191A93">
        <w:t>a home, still did not enjoy elite</w:t>
      </w:r>
      <w:r>
        <w:t xml:space="preserve"> economic or social power:  Appellant Robert Ward was 68 years old, a</w:t>
      </w:r>
      <w:r w:rsidR="00D432A0">
        <w:t>nd a</w:t>
      </w:r>
      <w:r>
        <w:t xml:space="preserve"> former house painter and retired steel fabricator who had lost his legs to circulation problems years before the litigation.</w:t>
      </w:r>
      <w:r>
        <w:rPr>
          <w:rStyle w:val="FootnoteReference"/>
        </w:rPr>
        <w:footnoteReference w:id="380"/>
      </w:r>
    </w:p>
    <w:p w:rsidR="00430C6C" w:rsidRDefault="00544F1E" w:rsidP="00EA738D">
      <w:pPr>
        <w:spacing w:line="480" w:lineRule="auto"/>
        <w:ind w:firstLine="720"/>
      </w:pPr>
      <w:r>
        <w:t xml:space="preserve">Finally, </w:t>
      </w:r>
      <w:r>
        <w:rPr>
          <w:i/>
        </w:rPr>
        <w:t>Hathcock</w:t>
      </w:r>
      <w:r>
        <w:t xml:space="preserve"> depended in large part upon the dissent of Justice Ryan in </w:t>
      </w:r>
      <w:r>
        <w:rPr>
          <w:i/>
        </w:rPr>
        <w:t>Poletown</w:t>
      </w:r>
      <w:r>
        <w:t>,</w:t>
      </w:r>
      <w:r>
        <w:rPr>
          <w:rStyle w:val="FootnoteReference"/>
        </w:rPr>
        <w:footnoteReference w:id="381"/>
      </w:r>
      <w:r w:rsidR="00EA5805">
        <w:t xml:space="preserve"> which trumpeted the</w:t>
      </w:r>
      <w:r>
        <w:t xml:space="preserve"> interests of African-American working or middle class owners against </w:t>
      </w:r>
      <w:r w:rsidR="002B3057">
        <w:t>GM</w:t>
      </w:r>
      <w:r>
        <w:t xml:space="preserve"> </w:t>
      </w:r>
      <w:r w:rsidR="003413C6">
        <w:t>colonization</w:t>
      </w:r>
      <w:r>
        <w:t>.</w:t>
      </w:r>
      <w:r>
        <w:rPr>
          <w:rStyle w:val="FootnoteReference"/>
        </w:rPr>
        <w:footnoteReference w:id="382"/>
      </w:r>
      <w:r>
        <w:t xml:space="preserve">  Justice Ryan</w:t>
      </w:r>
      <w:r w:rsidR="00430C6C">
        <w:t xml:space="preserve"> here </w:t>
      </w:r>
      <w:r w:rsidR="00945B03">
        <w:t>initiated</w:t>
      </w:r>
      <w:r w:rsidR="003413C6">
        <w:t xml:space="preserve"> the working class look</w:t>
      </w:r>
      <w:r w:rsidR="00430C6C">
        <w:t xml:space="preserve"> in his alignment </w:t>
      </w:r>
      <w:r w:rsidR="00430C6C" w:rsidRPr="00430C6C">
        <w:t>with Poletown’s beleaguered petit bourgeois residents: “[T]he city chose to march in fast lock‐step with</w:t>
      </w:r>
      <w:r w:rsidR="00430C6C">
        <w:t xml:space="preserve"> </w:t>
      </w:r>
      <w:r w:rsidR="00430C6C" w:rsidRPr="00430C6C">
        <w:t>General Motors . . . [by] ultimately requir[ing] sweeping away a tightly‐knit residential enclave of first</w:t>
      </w:r>
      <w:r w:rsidR="00430C6C">
        <w:t xml:space="preserve"> </w:t>
      </w:r>
      <w:r w:rsidR="00430C6C" w:rsidRPr="00430C6C">
        <w:t>and‐second‐generation Americans, for many of whom their home was their single most valuable and</w:t>
      </w:r>
      <w:r w:rsidR="00430C6C">
        <w:t xml:space="preserve"> </w:t>
      </w:r>
      <w:r w:rsidR="00430C6C" w:rsidRPr="00430C6C">
        <w:t>cherished asset and their stable ethnic neighborhood the unchanging symbol of the security and quality</w:t>
      </w:r>
      <w:r w:rsidR="00430C6C">
        <w:t xml:space="preserve"> </w:t>
      </w:r>
      <w:r w:rsidR="00430C6C" w:rsidRPr="00430C6C">
        <w:t>of their lives.”</w:t>
      </w:r>
      <w:r w:rsidR="00430C6C">
        <w:rPr>
          <w:rStyle w:val="FootnoteReference"/>
        </w:rPr>
        <w:footnoteReference w:id="383"/>
      </w:r>
      <w:r w:rsidR="00430C6C">
        <w:t xml:space="preserve">  </w:t>
      </w:r>
    </w:p>
    <w:p w:rsidR="00DE424C" w:rsidRPr="00D002B8" w:rsidRDefault="004D3CA1" w:rsidP="00EA738D">
      <w:pPr>
        <w:spacing w:line="480" w:lineRule="auto"/>
        <w:ind w:firstLine="720"/>
      </w:pPr>
      <w:r>
        <w:t xml:space="preserve">This is the </w:t>
      </w:r>
      <w:r w:rsidR="00F56193">
        <w:t xml:space="preserve">Michigan legal gaze </w:t>
      </w:r>
      <w:r w:rsidR="00430C6C">
        <w:t xml:space="preserve">that </w:t>
      </w:r>
      <w:r>
        <w:t xml:space="preserve">most closely </w:t>
      </w:r>
      <w:r w:rsidR="00430C6C">
        <w:t xml:space="preserve">recognizes the humanity of lower-income vulnerables:  While Ryan in </w:t>
      </w:r>
      <w:r w:rsidR="00430C6C">
        <w:rPr>
          <w:i/>
        </w:rPr>
        <w:t>Poletown</w:t>
      </w:r>
      <w:r w:rsidR="003413C6">
        <w:t xml:space="preserve"> focused on people </w:t>
      </w:r>
      <w:r>
        <w:t>rich enough</w:t>
      </w:r>
      <w:r w:rsidR="00430C6C">
        <w:t xml:space="preserve"> </w:t>
      </w:r>
      <w:r w:rsidR="001978F6">
        <w:t>to purchase real estate</w:t>
      </w:r>
      <w:r w:rsidR="00430C6C">
        <w:t>,</w:t>
      </w:r>
      <w:r w:rsidR="00430C6C">
        <w:rPr>
          <w:rStyle w:val="FootnoteReference"/>
        </w:rPr>
        <w:footnoteReference w:id="384"/>
      </w:r>
      <w:r w:rsidR="00430C6C">
        <w:t xml:space="preserve"> he </w:t>
      </w:r>
      <w:r w:rsidR="00F56193">
        <w:t>promoted</w:t>
      </w:r>
      <w:r w:rsidR="00430C6C">
        <w:t xml:space="preserve"> the rights necessary for non-white “ethnic</w:t>
      </w:r>
      <w:r w:rsidR="00DD70DA">
        <w:t>[</w:t>
      </w:r>
      <w:r w:rsidR="00430C6C">
        <w:t>s</w:t>
      </w:r>
      <w:r w:rsidR="00DD70DA">
        <w:t>]</w:t>
      </w:r>
      <w:r w:rsidR="00430C6C">
        <w:t xml:space="preserve">” and new members of the American </w:t>
      </w:r>
      <w:r w:rsidR="003413C6">
        <w:t>community</w:t>
      </w:r>
      <w:r w:rsidR="00430C6C">
        <w:t xml:space="preserve"> to hoist themselves into the middle class via home ownership.  </w:t>
      </w:r>
      <w:r w:rsidR="00D002B8">
        <w:t>Presumably, then, a p</w:t>
      </w:r>
      <w:r w:rsidR="003413C6">
        <w:t xml:space="preserve">ublic use or </w:t>
      </w:r>
      <w:r w:rsidR="003413C6">
        <w:lastRenderedPageBreak/>
        <w:t>concern seeking</w:t>
      </w:r>
      <w:r w:rsidR="00D002B8">
        <w:t xml:space="preserve"> to </w:t>
      </w:r>
      <w:r w:rsidR="00D432A0">
        <w:t>advance</w:t>
      </w:r>
      <w:r w:rsidR="003413C6">
        <w:t xml:space="preserve"> indigents </w:t>
      </w:r>
      <w:r w:rsidR="00D432A0">
        <w:t>into</w:t>
      </w:r>
      <w:r w:rsidR="00D002B8">
        <w:t xml:space="preserve"> the working and middle classes would satisfy the constitutional requirements as set forth by </w:t>
      </w:r>
      <w:r w:rsidR="00D002B8">
        <w:rPr>
          <w:i/>
        </w:rPr>
        <w:t>Hathcock</w:t>
      </w:r>
      <w:r w:rsidR="00D002B8">
        <w:t xml:space="preserve">, Ryan’s </w:t>
      </w:r>
      <w:r w:rsidR="00D002B8">
        <w:rPr>
          <w:i/>
        </w:rPr>
        <w:t>Poletown</w:t>
      </w:r>
      <w:r w:rsidR="00D002B8">
        <w:t xml:space="preserve"> dissent, and would also cohere with evident legislative intent in its amendments of the Uniform Condemnation Procedures Act.</w:t>
      </w:r>
      <w:r w:rsidR="00D002B8">
        <w:rPr>
          <w:rStyle w:val="FootnoteReference"/>
        </w:rPr>
        <w:footnoteReference w:id="385"/>
      </w:r>
    </w:p>
    <w:p w:rsidR="00443393" w:rsidRDefault="00443393" w:rsidP="00EA738D">
      <w:pPr>
        <w:spacing w:line="480" w:lineRule="auto"/>
        <w:ind w:firstLine="720"/>
        <w:rPr>
          <w:iCs/>
        </w:rPr>
      </w:pPr>
      <w:r>
        <w:t xml:space="preserve">Such a public use would certainly also satisfy the dictates of the U.S. Constitution’s takings clause, particularly after the U.S. Supreme Court’s </w:t>
      </w:r>
      <w:r w:rsidR="0079183C">
        <w:t xml:space="preserve">potentially revolutionary </w:t>
      </w:r>
      <w:r>
        <w:t xml:space="preserve">1984 decision </w:t>
      </w:r>
      <w:r w:rsidRPr="00443393">
        <w:rPr>
          <w:i/>
          <w:iCs/>
        </w:rPr>
        <w:t>Hawa</w:t>
      </w:r>
      <w:r w:rsidR="004230B6">
        <w:rPr>
          <w:i/>
          <w:iCs/>
        </w:rPr>
        <w:t>ii Housing Authority v. Midkiff.</w:t>
      </w:r>
      <w:r w:rsidRPr="00D432A0">
        <w:rPr>
          <w:rStyle w:val="FootnoteReference"/>
          <w:iCs/>
        </w:rPr>
        <w:footnoteReference w:id="386"/>
      </w:r>
      <w:r w:rsidR="004230B6">
        <w:rPr>
          <w:i/>
          <w:iCs/>
        </w:rPr>
        <w:t xml:space="preserve"> </w:t>
      </w:r>
      <w:r w:rsidR="00D432A0">
        <w:rPr>
          <w:i/>
          <w:iCs/>
        </w:rPr>
        <w:t xml:space="preserve"> </w:t>
      </w:r>
      <w:r w:rsidR="00A828E9">
        <w:rPr>
          <w:iCs/>
        </w:rPr>
        <w:t>There</w:t>
      </w:r>
      <w:r w:rsidR="004230B6">
        <w:rPr>
          <w:iCs/>
        </w:rPr>
        <w:t>,</w:t>
      </w:r>
      <w:r>
        <w:rPr>
          <w:i/>
          <w:iCs/>
        </w:rPr>
        <w:t xml:space="preserve"> </w:t>
      </w:r>
      <w:r w:rsidR="00D432A0">
        <w:rPr>
          <w:iCs/>
        </w:rPr>
        <w:t>writing J</w:t>
      </w:r>
      <w:r>
        <w:rPr>
          <w:iCs/>
        </w:rPr>
        <w:t>ustice Sandra Day O’Connor</w:t>
      </w:r>
      <w:r w:rsidRPr="00443393">
        <w:rPr>
          <w:i/>
          <w:iCs/>
        </w:rPr>
        <w:t xml:space="preserve"> </w:t>
      </w:r>
      <w:r w:rsidRPr="00443393">
        <w:t>upheld Hawaii’s 1967 Land Reform Act,</w:t>
      </w:r>
      <w:r w:rsidR="0079183C">
        <w:t xml:space="preserve"> </w:t>
      </w:r>
      <w:r w:rsidRPr="00443393">
        <w:t>which took fee title from lessors and transferred it to lessees in order to demolish longstanding land</w:t>
      </w:r>
      <w:r>
        <w:t xml:space="preserve"> </w:t>
      </w:r>
      <w:r w:rsidRPr="00443393">
        <w:t>oligopoly benefiting Hawaiian elites.</w:t>
      </w:r>
      <w:r>
        <w:rPr>
          <w:rStyle w:val="FootnoteReference"/>
        </w:rPr>
        <w:footnoteReference w:id="387"/>
      </w:r>
      <w:r w:rsidRPr="00443393">
        <w:t xml:space="preserve"> </w:t>
      </w:r>
      <w:r w:rsidR="00D432A0">
        <w:t xml:space="preserve"> </w:t>
      </w:r>
      <w:r w:rsidRPr="00443393">
        <w:t xml:space="preserve">O’Connor’s high‐toned but still relatively compassionate </w:t>
      </w:r>
      <w:r w:rsidR="006567AB">
        <w:t>watch over</w:t>
      </w:r>
      <w:r>
        <w:t xml:space="preserve"> </w:t>
      </w:r>
      <w:r w:rsidRPr="00443393">
        <w:t>“the common people”</w:t>
      </w:r>
      <w:r>
        <w:rPr>
          <w:rStyle w:val="FootnoteReference"/>
        </w:rPr>
        <w:footnoteReference w:id="388"/>
      </w:r>
      <w:r w:rsidRPr="00443393">
        <w:t xml:space="preserve"> and squinting suspicion of nabobs enriches </w:t>
      </w:r>
      <w:r>
        <w:rPr>
          <w:i/>
          <w:iCs/>
        </w:rPr>
        <w:t xml:space="preserve">Midkiff’s </w:t>
      </w:r>
      <w:r>
        <w:rPr>
          <w:iCs/>
        </w:rPr>
        <w:t>conclusion that land owned by “evil”</w:t>
      </w:r>
      <w:r>
        <w:rPr>
          <w:rStyle w:val="FootnoteReference"/>
          <w:iCs/>
        </w:rPr>
        <w:footnoteReference w:id="389"/>
      </w:r>
      <w:r>
        <w:rPr>
          <w:iCs/>
        </w:rPr>
        <w:t xml:space="preserve"> oligopolists could be returned to the larger populace so that they might eventually rise to the middle class triumph of owning their own home.</w:t>
      </w:r>
    </w:p>
    <w:p w:rsidR="00A50D74" w:rsidRDefault="00A50D74" w:rsidP="00EA738D">
      <w:pPr>
        <w:spacing w:line="480" w:lineRule="auto"/>
        <w:ind w:firstLine="720"/>
        <w:rPr>
          <w:iCs/>
        </w:rPr>
      </w:pPr>
      <w:r>
        <w:rPr>
          <w:iCs/>
        </w:rPr>
        <w:t xml:space="preserve">As I detailed in </w:t>
      </w:r>
      <w:r>
        <w:rPr>
          <w:i/>
          <w:iCs/>
        </w:rPr>
        <w:t>Peering</w:t>
      </w:r>
      <w:r>
        <w:rPr>
          <w:iCs/>
        </w:rPr>
        <w:t xml:space="preserve">, </w:t>
      </w:r>
      <w:r>
        <w:rPr>
          <w:i/>
          <w:iCs/>
        </w:rPr>
        <w:t>Midkiff</w:t>
      </w:r>
      <w:r>
        <w:rPr>
          <w:iCs/>
        </w:rPr>
        <w:t xml:space="preserve"> </w:t>
      </w:r>
      <w:r w:rsidR="00A828E9">
        <w:rPr>
          <w:iCs/>
        </w:rPr>
        <w:t>bookends</w:t>
      </w:r>
      <w:r>
        <w:rPr>
          <w:iCs/>
        </w:rPr>
        <w:t xml:space="preserve"> Ryan’s dissent and </w:t>
      </w:r>
      <w:r>
        <w:rPr>
          <w:i/>
          <w:iCs/>
        </w:rPr>
        <w:t>Hathcock</w:t>
      </w:r>
      <w:r>
        <w:rPr>
          <w:iCs/>
        </w:rPr>
        <w:t xml:space="preserve"> in its use of legal optics</w:t>
      </w:r>
      <w:r w:rsidR="00EA5805">
        <w:rPr>
          <w:iCs/>
        </w:rPr>
        <w:t xml:space="preserve"> that favor vulnerables</w:t>
      </w:r>
      <w:r>
        <w:rPr>
          <w:iCs/>
        </w:rPr>
        <w:t>:  Ryan in</w:t>
      </w:r>
      <w:r>
        <w:rPr>
          <w:i/>
          <w:iCs/>
        </w:rPr>
        <w:t xml:space="preserve"> </w:t>
      </w:r>
      <w:r>
        <w:rPr>
          <w:iCs/>
        </w:rPr>
        <w:t xml:space="preserve">his </w:t>
      </w:r>
      <w:r>
        <w:rPr>
          <w:i/>
          <w:iCs/>
        </w:rPr>
        <w:t>Poletown</w:t>
      </w:r>
      <w:r>
        <w:rPr>
          <w:iCs/>
        </w:rPr>
        <w:t xml:space="preserve"> dissent </w:t>
      </w:r>
      <w:r w:rsidR="006567AB">
        <w:rPr>
          <w:iCs/>
        </w:rPr>
        <w:t xml:space="preserve">observes with affection </w:t>
      </w:r>
      <w:r>
        <w:rPr>
          <w:iCs/>
        </w:rPr>
        <w:t>second and third generation “ethnic</w:t>
      </w:r>
      <w:r w:rsidR="00DD70DA">
        <w:rPr>
          <w:iCs/>
        </w:rPr>
        <w:t>[</w:t>
      </w:r>
      <w:r>
        <w:rPr>
          <w:iCs/>
        </w:rPr>
        <w:t>s</w:t>
      </w:r>
      <w:r w:rsidR="00DD70DA">
        <w:rPr>
          <w:iCs/>
        </w:rPr>
        <w:t>]</w:t>
      </w:r>
      <w:r>
        <w:rPr>
          <w:iCs/>
        </w:rPr>
        <w:t>,” while O’Connor looks sympathe</w:t>
      </w:r>
      <w:r w:rsidR="00A828E9">
        <w:rPr>
          <w:iCs/>
        </w:rPr>
        <w:t>tically at the common people; the</w:t>
      </w:r>
      <w:r>
        <w:rPr>
          <w:iCs/>
        </w:rPr>
        <w:t xml:space="preserve"> </w:t>
      </w:r>
      <w:r>
        <w:rPr>
          <w:i/>
          <w:iCs/>
        </w:rPr>
        <w:t>Hathcock</w:t>
      </w:r>
      <w:r w:rsidR="00A828E9">
        <w:rPr>
          <w:iCs/>
        </w:rPr>
        <w:t xml:space="preserve"> </w:t>
      </w:r>
      <w:r w:rsidR="006567AB">
        <w:rPr>
          <w:iCs/>
        </w:rPr>
        <w:t xml:space="preserve">gaze turns into a glare </w:t>
      </w:r>
      <w:r>
        <w:rPr>
          <w:iCs/>
        </w:rPr>
        <w:t xml:space="preserve">as it </w:t>
      </w:r>
      <w:r w:rsidR="00A828E9">
        <w:rPr>
          <w:iCs/>
        </w:rPr>
        <w:t xml:space="preserve">observes the </w:t>
      </w:r>
      <w:r>
        <w:rPr>
          <w:iCs/>
        </w:rPr>
        <w:t>commoners</w:t>
      </w:r>
      <w:r w:rsidR="00A828E9">
        <w:rPr>
          <w:iCs/>
        </w:rPr>
        <w:t>’ enemies</w:t>
      </w:r>
      <w:r>
        <w:rPr>
          <w:iCs/>
        </w:rPr>
        <w:t>, being the megastores and other big-capitalist companies that would litter Michigan</w:t>
      </w:r>
      <w:r w:rsidR="006567AB">
        <w:rPr>
          <w:iCs/>
        </w:rPr>
        <w:t xml:space="preserve">’s pastures if not </w:t>
      </w:r>
      <w:r w:rsidR="000947A7">
        <w:rPr>
          <w:iCs/>
        </w:rPr>
        <w:t>reined</w:t>
      </w:r>
      <w:r>
        <w:rPr>
          <w:iCs/>
        </w:rPr>
        <w:t xml:space="preserve"> in by the invisible hand.</w:t>
      </w:r>
      <w:r w:rsidR="000F10CC">
        <w:rPr>
          <w:rStyle w:val="FootnoteReference"/>
          <w:iCs/>
        </w:rPr>
        <w:footnoteReference w:id="390"/>
      </w:r>
      <w:r>
        <w:rPr>
          <w:iCs/>
        </w:rPr>
        <w:t xml:space="preserve"> </w:t>
      </w:r>
    </w:p>
    <w:p w:rsidR="00A50D74" w:rsidRDefault="00A50D74" w:rsidP="00EA738D">
      <w:pPr>
        <w:spacing w:line="480" w:lineRule="auto"/>
        <w:ind w:firstLine="720"/>
        <w:rPr>
          <w:iCs/>
        </w:rPr>
      </w:pPr>
      <w:r>
        <w:rPr>
          <w:iCs/>
        </w:rPr>
        <w:t xml:space="preserve">In </w:t>
      </w:r>
      <w:r>
        <w:rPr>
          <w:i/>
          <w:iCs/>
        </w:rPr>
        <w:t>Peering</w:t>
      </w:r>
      <w:r>
        <w:rPr>
          <w:iCs/>
        </w:rPr>
        <w:t xml:space="preserve">, I urged looking to </w:t>
      </w:r>
      <w:r>
        <w:rPr>
          <w:i/>
          <w:iCs/>
        </w:rPr>
        <w:t>Midkiff</w:t>
      </w:r>
      <w:r>
        <w:rPr>
          <w:iCs/>
        </w:rPr>
        <w:t xml:space="preserve"> as a model </w:t>
      </w:r>
      <w:r w:rsidR="005104AF">
        <w:rPr>
          <w:iCs/>
        </w:rPr>
        <w:t xml:space="preserve">for exercises of </w:t>
      </w:r>
      <w:r>
        <w:rPr>
          <w:iCs/>
        </w:rPr>
        <w:t xml:space="preserve">eminent domain </w:t>
      </w:r>
      <w:r w:rsidR="005104AF">
        <w:rPr>
          <w:iCs/>
        </w:rPr>
        <w:t>that gi</w:t>
      </w:r>
      <w:r w:rsidR="000F10CC">
        <w:rPr>
          <w:iCs/>
        </w:rPr>
        <w:t>ve</w:t>
      </w:r>
      <w:r w:rsidR="00EC0305">
        <w:rPr>
          <w:iCs/>
        </w:rPr>
        <w:t xml:space="preserve"> back </w:t>
      </w:r>
      <w:r>
        <w:rPr>
          <w:iCs/>
        </w:rPr>
        <w:t>to l</w:t>
      </w:r>
      <w:r w:rsidR="005104AF">
        <w:rPr>
          <w:iCs/>
        </w:rPr>
        <w:t xml:space="preserve">ow income and vulnerable people:  </w:t>
      </w:r>
      <w:r w:rsidR="005104AF">
        <w:rPr>
          <w:i/>
          <w:iCs/>
        </w:rPr>
        <w:t>Midkiff</w:t>
      </w:r>
      <w:r w:rsidR="005104AF">
        <w:rPr>
          <w:iCs/>
        </w:rPr>
        <w:t xml:space="preserve"> took land from the upper classes with the aim of distributing it to people unable to purchase their own homes.  Like other progressive property scholars</w:t>
      </w:r>
      <w:r w:rsidR="000B7AD9">
        <w:rPr>
          <w:iCs/>
        </w:rPr>
        <w:t xml:space="preserve"> </w:t>
      </w:r>
      <w:r w:rsidR="000B7AD9">
        <w:rPr>
          <w:iCs/>
        </w:rPr>
        <w:lastRenderedPageBreak/>
        <w:t>such as Robert Hockett</w:t>
      </w:r>
      <w:r w:rsidR="005104AF">
        <w:rPr>
          <w:iCs/>
        </w:rPr>
        <w:t>,</w:t>
      </w:r>
      <w:r w:rsidR="005104AF">
        <w:rPr>
          <w:rStyle w:val="FootnoteReference"/>
          <w:iCs/>
        </w:rPr>
        <w:footnoteReference w:id="391"/>
      </w:r>
      <w:r w:rsidR="002137F5">
        <w:rPr>
          <w:iCs/>
        </w:rPr>
        <w:t xml:space="preserve"> I enlist </w:t>
      </w:r>
      <w:r w:rsidR="002137F5">
        <w:rPr>
          <w:i/>
          <w:iCs/>
        </w:rPr>
        <w:t xml:space="preserve">Midkiff </w:t>
      </w:r>
      <w:r w:rsidR="002137F5">
        <w:rPr>
          <w:iCs/>
        </w:rPr>
        <w:t xml:space="preserve">(as well as the permissive </w:t>
      </w:r>
      <w:r w:rsidR="002137F5">
        <w:rPr>
          <w:i/>
          <w:iCs/>
        </w:rPr>
        <w:t>Kelo</w:t>
      </w:r>
      <w:r w:rsidR="002137F5">
        <w:rPr>
          <w:iCs/>
        </w:rPr>
        <w:t>)</w:t>
      </w:r>
      <w:r w:rsidR="002137F5">
        <w:rPr>
          <w:i/>
          <w:iCs/>
        </w:rPr>
        <w:t>,</w:t>
      </w:r>
      <w:r w:rsidR="007F4184">
        <w:rPr>
          <w:iCs/>
        </w:rPr>
        <w:t xml:space="preserve"> as an </w:t>
      </w:r>
      <w:r w:rsidR="002137F5">
        <w:rPr>
          <w:iCs/>
        </w:rPr>
        <w:t>authority that might “keep people in their hom</w:t>
      </w:r>
      <w:r w:rsidR="000B7AD9">
        <w:rPr>
          <w:iCs/>
        </w:rPr>
        <w:t>es rather than . . . eject them.</w:t>
      </w:r>
      <w:r w:rsidR="002137F5">
        <w:rPr>
          <w:iCs/>
        </w:rPr>
        <w:t>”</w:t>
      </w:r>
      <w:r w:rsidR="002137F5">
        <w:rPr>
          <w:rStyle w:val="FootnoteReference"/>
          <w:iCs/>
        </w:rPr>
        <w:footnoteReference w:id="392"/>
      </w:r>
      <w:r w:rsidR="002137F5">
        <w:rPr>
          <w:iCs/>
        </w:rPr>
        <w:t xml:space="preserve">  I particularly rely upon the optics </w:t>
      </w:r>
      <w:r w:rsidR="00EC0305">
        <w:rPr>
          <w:iCs/>
        </w:rPr>
        <w:t xml:space="preserve">recruited </w:t>
      </w:r>
      <w:r w:rsidR="002137F5">
        <w:rPr>
          <w:iCs/>
        </w:rPr>
        <w:t xml:space="preserve">in </w:t>
      </w:r>
      <w:r w:rsidR="002137F5">
        <w:rPr>
          <w:i/>
          <w:iCs/>
        </w:rPr>
        <w:t>Midkiff</w:t>
      </w:r>
      <w:r w:rsidR="00EC0305">
        <w:rPr>
          <w:iCs/>
        </w:rPr>
        <w:t>, since O’Connor</w:t>
      </w:r>
      <w:r w:rsidR="002137F5">
        <w:rPr>
          <w:iCs/>
        </w:rPr>
        <w:t xml:space="preserve"> looked (comparatively speaking) so graciously and with suc</w:t>
      </w:r>
      <w:r w:rsidR="004904A6">
        <w:rPr>
          <w:iCs/>
        </w:rPr>
        <w:t>h care upon lower-income people,</w:t>
      </w:r>
      <w:r w:rsidR="002137F5">
        <w:rPr>
          <w:rStyle w:val="FootnoteReference"/>
          <w:iCs/>
        </w:rPr>
        <w:footnoteReference w:id="393"/>
      </w:r>
      <w:r w:rsidR="002137F5">
        <w:rPr>
          <w:iCs/>
        </w:rPr>
        <w:t xml:space="preserve"> </w:t>
      </w:r>
      <w:r w:rsidR="004904A6">
        <w:rPr>
          <w:iCs/>
        </w:rPr>
        <w:t>and offered a “positive</w:t>
      </w:r>
      <w:r w:rsidR="004479F4">
        <w:rPr>
          <w:iCs/>
        </w:rPr>
        <w:t>[ly]</w:t>
      </w:r>
      <w:r w:rsidR="004904A6">
        <w:rPr>
          <w:iCs/>
        </w:rPr>
        <w:t xml:space="preserve"> peace</w:t>
      </w:r>
      <w:r w:rsidR="004479F4">
        <w:rPr>
          <w:iCs/>
        </w:rPr>
        <w:t>[ful]</w:t>
      </w:r>
      <w:r w:rsidR="004904A6">
        <w:rPr>
          <w:iCs/>
        </w:rPr>
        <w:t>”</w:t>
      </w:r>
      <w:r w:rsidR="004479F4">
        <w:rPr>
          <w:rStyle w:val="FootnoteReference"/>
          <w:iCs/>
        </w:rPr>
        <w:footnoteReference w:id="394"/>
      </w:r>
      <w:r w:rsidR="004904A6">
        <w:rPr>
          <w:iCs/>
        </w:rPr>
        <w:t xml:space="preserve"> equitab</w:t>
      </w:r>
      <w:r w:rsidR="007B3F86">
        <w:rPr>
          <w:iCs/>
        </w:rPr>
        <w:t xml:space="preserve">le land distribution as an answer to </w:t>
      </w:r>
      <w:r w:rsidR="004904A6">
        <w:rPr>
          <w:iCs/>
        </w:rPr>
        <w:t xml:space="preserve">the cultural and structural violence of </w:t>
      </w:r>
      <w:r w:rsidR="004479F4">
        <w:rPr>
          <w:iCs/>
        </w:rPr>
        <w:t>elites’ resource hoarding.</w:t>
      </w:r>
      <w:r w:rsidR="004479F4">
        <w:rPr>
          <w:rStyle w:val="FootnoteReference"/>
          <w:iCs/>
        </w:rPr>
        <w:footnoteReference w:id="395"/>
      </w:r>
      <w:r w:rsidR="004479F4">
        <w:rPr>
          <w:iCs/>
        </w:rPr>
        <w:t xml:space="preserve">  </w:t>
      </w:r>
      <w:r w:rsidR="002137F5">
        <w:rPr>
          <w:iCs/>
        </w:rPr>
        <w:t xml:space="preserve"> </w:t>
      </w:r>
      <w:r>
        <w:rPr>
          <w:iCs/>
        </w:rPr>
        <w:t xml:space="preserve">I </w:t>
      </w:r>
      <w:r w:rsidR="002137F5">
        <w:rPr>
          <w:iCs/>
        </w:rPr>
        <w:t xml:space="preserve">also </w:t>
      </w:r>
      <w:r>
        <w:rPr>
          <w:iCs/>
        </w:rPr>
        <w:t xml:space="preserve">call also upon the </w:t>
      </w:r>
      <w:r w:rsidR="00EA5805">
        <w:rPr>
          <w:iCs/>
        </w:rPr>
        <w:t xml:space="preserve">lower- and middle- </w:t>
      </w:r>
      <w:r>
        <w:rPr>
          <w:iCs/>
        </w:rPr>
        <w:t xml:space="preserve">sympathies, commitments, and gazes employed by </w:t>
      </w:r>
      <w:r>
        <w:rPr>
          <w:i/>
          <w:iCs/>
        </w:rPr>
        <w:t>Hathcock</w:t>
      </w:r>
      <w:r>
        <w:rPr>
          <w:iCs/>
        </w:rPr>
        <w:t xml:space="preserve"> and </w:t>
      </w:r>
      <w:r>
        <w:rPr>
          <w:i/>
          <w:iCs/>
        </w:rPr>
        <w:t>Poletown’s</w:t>
      </w:r>
      <w:r>
        <w:rPr>
          <w:iCs/>
        </w:rPr>
        <w:t xml:space="preserve"> Justice Rya</w:t>
      </w:r>
      <w:r w:rsidR="002137F5">
        <w:rPr>
          <w:iCs/>
        </w:rPr>
        <w:t xml:space="preserve">n.   </w:t>
      </w:r>
      <w:r w:rsidR="000F10CC">
        <w:rPr>
          <w:iCs/>
        </w:rPr>
        <w:t>T</w:t>
      </w:r>
      <w:r>
        <w:rPr>
          <w:iCs/>
        </w:rPr>
        <w:t xml:space="preserve">heir protection of the middle classes showcases their high </w:t>
      </w:r>
      <w:r w:rsidR="00EC0305">
        <w:rPr>
          <w:iCs/>
        </w:rPr>
        <w:t>“regard”</w:t>
      </w:r>
      <w:r>
        <w:rPr>
          <w:iCs/>
        </w:rPr>
        <w:t xml:space="preserve"> of this social order, and an eminent domain program designed to expand its numbers </w:t>
      </w:r>
      <w:r w:rsidR="006567AB">
        <w:rPr>
          <w:iCs/>
        </w:rPr>
        <w:t>satisfies</w:t>
      </w:r>
      <w:r>
        <w:rPr>
          <w:iCs/>
        </w:rPr>
        <w:t xml:space="preserve"> constitutional prerogatives.  </w:t>
      </w:r>
    </w:p>
    <w:p w:rsidR="00A124C2" w:rsidRDefault="00A124C2" w:rsidP="00EA738D">
      <w:pPr>
        <w:spacing w:line="480" w:lineRule="auto"/>
        <w:ind w:firstLine="720"/>
        <w:rPr>
          <w:iCs/>
        </w:rPr>
      </w:pPr>
      <w:r>
        <w:rPr>
          <w:iCs/>
        </w:rPr>
        <w:t>Indeed, when one considers the brutal history of eminent domain, and the plain language meaning of public use or benefit (since “public” refers to the entirety of the polis</w:t>
      </w:r>
      <w:r w:rsidR="00282999">
        <w:rPr>
          <w:iCs/>
        </w:rPr>
        <w:t>, and may be a word emphasizing its have-nots</w:t>
      </w:r>
      <w:r>
        <w:rPr>
          <w:iCs/>
        </w:rPr>
        <w:t>),</w:t>
      </w:r>
      <w:r w:rsidR="00D10F56">
        <w:rPr>
          <w:rStyle w:val="FootnoteReference"/>
          <w:iCs/>
        </w:rPr>
        <w:footnoteReference w:id="396"/>
      </w:r>
      <w:r>
        <w:rPr>
          <w:iCs/>
        </w:rPr>
        <w:t xml:space="preserve"> a strong argument arises that any takings plan that does not secure the welfares of indigents should not satisfy constitutional scrutiny.  </w:t>
      </w:r>
    </w:p>
    <w:p w:rsidR="00A50D74" w:rsidRDefault="00A124C2" w:rsidP="00EA738D">
      <w:pPr>
        <w:spacing w:line="480" w:lineRule="auto"/>
        <w:ind w:firstLine="720"/>
        <w:rPr>
          <w:iCs/>
        </w:rPr>
      </w:pPr>
      <w:r>
        <w:rPr>
          <w:iCs/>
        </w:rPr>
        <w:t xml:space="preserve">As it happens now, </w:t>
      </w:r>
      <w:r w:rsidR="00BD5C84">
        <w:rPr>
          <w:iCs/>
        </w:rPr>
        <w:t xml:space="preserve">however, </w:t>
      </w:r>
      <w:r w:rsidR="00FA1549">
        <w:rPr>
          <w:iCs/>
        </w:rPr>
        <w:t xml:space="preserve">the Task Force’s proposed takings could not satisfy </w:t>
      </w:r>
      <w:r w:rsidR="002D341D">
        <w:rPr>
          <w:iCs/>
        </w:rPr>
        <w:t>the public concern of poverty uplift.  This is because the current plans for Detroit</w:t>
      </w:r>
      <w:r w:rsidR="001978F6">
        <w:rPr>
          <w:iCs/>
        </w:rPr>
        <w:t>’s land</w:t>
      </w:r>
      <w:r w:rsidR="007B3F86">
        <w:rPr>
          <w:iCs/>
        </w:rPr>
        <w:t>, once seized and cleared,</w:t>
      </w:r>
      <w:r w:rsidR="001978F6">
        <w:rPr>
          <w:iCs/>
        </w:rPr>
        <w:t xml:space="preserve"> </w:t>
      </w:r>
      <w:r w:rsidR="002D341D">
        <w:rPr>
          <w:iCs/>
        </w:rPr>
        <w:t>serve the interests of economic development and of the bourgeoisie.</w:t>
      </w:r>
    </w:p>
    <w:p w:rsidR="002D341D" w:rsidRPr="007B3F86" w:rsidRDefault="002D341D" w:rsidP="00EA738D">
      <w:pPr>
        <w:pStyle w:val="ListParagraph"/>
        <w:numPr>
          <w:ilvl w:val="0"/>
          <w:numId w:val="20"/>
        </w:numPr>
        <w:spacing w:line="480" w:lineRule="auto"/>
        <w:rPr>
          <w:iCs/>
        </w:rPr>
      </w:pPr>
      <w:r w:rsidRPr="007B3F86">
        <w:rPr>
          <w:iCs/>
        </w:rPr>
        <w:t>Current plans serve economic development and the bourgeoisie</w:t>
      </w:r>
      <w:r w:rsidR="007B3F86">
        <w:rPr>
          <w:iCs/>
        </w:rPr>
        <w:t>.</w:t>
      </w:r>
    </w:p>
    <w:p w:rsidR="00B77782" w:rsidRPr="00B77782" w:rsidRDefault="00B77782" w:rsidP="00EA738D">
      <w:pPr>
        <w:spacing w:line="480" w:lineRule="auto"/>
        <w:ind w:firstLine="720"/>
        <w:rPr>
          <w:iCs/>
        </w:rPr>
      </w:pPr>
      <w:r>
        <w:rPr>
          <w:iCs/>
        </w:rPr>
        <w:t xml:space="preserve">The land the </w:t>
      </w:r>
      <w:r w:rsidR="00842583">
        <w:rPr>
          <w:iCs/>
        </w:rPr>
        <w:t>Task Force</w:t>
      </w:r>
      <w:r>
        <w:rPr>
          <w:iCs/>
        </w:rPr>
        <w:t xml:space="preserve"> </w:t>
      </w:r>
      <w:r w:rsidR="00282999">
        <w:rPr>
          <w:iCs/>
        </w:rPr>
        <w:t xml:space="preserve">recommends the City confiscate and clear through NAP </w:t>
      </w:r>
      <w:r w:rsidR="0079183C">
        <w:rPr>
          <w:iCs/>
        </w:rPr>
        <w:t xml:space="preserve">appears marked for economic </w:t>
      </w:r>
      <w:r>
        <w:rPr>
          <w:iCs/>
        </w:rPr>
        <w:t>development use</w:t>
      </w:r>
      <w:r w:rsidR="007F4184">
        <w:rPr>
          <w:iCs/>
        </w:rPr>
        <w:t xml:space="preserve"> that will gratify the bourgeoisie</w:t>
      </w:r>
      <w:r>
        <w:rPr>
          <w:iCs/>
        </w:rPr>
        <w:t>.</w:t>
      </w:r>
      <w:r w:rsidRPr="00B77782">
        <w:rPr>
          <w:iCs/>
        </w:rPr>
        <w:t xml:space="preserve">  We can see this for two reasons.  First, Mr. Gilbert</w:t>
      </w:r>
      <w:r w:rsidR="00282999">
        <w:rPr>
          <w:iCs/>
        </w:rPr>
        <w:t xml:space="preserve"> </w:t>
      </w:r>
      <w:r w:rsidRPr="00B77782">
        <w:rPr>
          <w:iCs/>
        </w:rPr>
        <w:t xml:space="preserve">has proven one of the architects of Detroit’s new aspirational gaze, which calls for pioneers </w:t>
      </w:r>
      <w:r w:rsidRPr="00B77782">
        <w:rPr>
          <w:iCs/>
        </w:rPr>
        <w:lastRenderedPageBreak/>
        <w:t>and a new city where “we can have an incredible turnaround success story that maybe has never been experienced before</w:t>
      </w:r>
      <w:r w:rsidR="00A022F4">
        <w:rPr>
          <w:iCs/>
        </w:rPr>
        <w:t>.</w:t>
      </w:r>
      <w:r w:rsidRPr="00B77782">
        <w:rPr>
          <w:iCs/>
        </w:rPr>
        <w:t>”</w:t>
      </w:r>
      <w:r w:rsidRPr="00B77782">
        <w:rPr>
          <w:iCs/>
          <w:vertAlign w:val="superscript"/>
        </w:rPr>
        <w:footnoteReference w:id="397"/>
      </w:r>
      <w:r w:rsidR="00191A93">
        <w:rPr>
          <w:iCs/>
        </w:rPr>
        <w:t xml:space="preserve"> </w:t>
      </w:r>
      <w:r w:rsidRPr="00B77782">
        <w:rPr>
          <w:iCs/>
        </w:rPr>
        <w:t xml:space="preserve"> This language tracks the </w:t>
      </w:r>
      <w:r w:rsidR="00A022F4">
        <w:rPr>
          <w:iCs/>
        </w:rPr>
        <w:t xml:space="preserve">traditional </w:t>
      </w:r>
      <w:r w:rsidR="00191A93">
        <w:rPr>
          <w:iCs/>
        </w:rPr>
        <w:t>upward look</w:t>
      </w:r>
      <w:r w:rsidRPr="00B77782">
        <w:rPr>
          <w:iCs/>
        </w:rPr>
        <w:t xml:space="preserve">, such as that found on the part of </w:t>
      </w:r>
      <w:r w:rsidR="00A022F4">
        <w:rPr>
          <w:iCs/>
        </w:rPr>
        <w:t xml:space="preserve">Poletown’s </w:t>
      </w:r>
      <w:r w:rsidRPr="00B77782">
        <w:rPr>
          <w:iCs/>
        </w:rPr>
        <w:t>Mayor Coleman Young;</w:t>
      </w:r>
      <w:r w:rsidRPr="00B77782">
        <w:rPr>
          <w:iCs/>
          <w:vertAlign w:val="superscript"/>
        </w:rPr>
        <w:footnoteReference w:id="398"/>
      </w:r>
      <w:r w:rsidR="00A022F4">
        <w:rPr>
          <w:iCs/>
        </w:rPr>
        <w:t xml:space="preserve"> </w:t>
      </w:r>
      <w:r w:rsidR="00191A93">
        <w:rPr>
          <w:iCs/>
        </w:rPr>
        <w:t>it</w:t>
      </w:r>
      <w:r w:rsidRPr="00B77782">
        <w:rPr>
          <w:iCs/>
        </w:rPr>
        <w:t xml:space="preserve"> serves as </w:t>
      </w:r>
      <w:r w:rsidR="00A022F4">
        <w:rPr>
          <w:iCs/>
        </w:rPr>
        <w:t>a lever</w:t>
      </w:r>
      <w:r w:rsidR="0004335F">
        <w:rPr>
          <w:iCs/>
        </w:rPr>
        <w:t xml:space="preserve"> for economic </w:t>
      </w:r>
      <w:r w:rsidRPr="00B77782">
        <w:rPr>
          <w:iCs/>
        </w:rPr>
        <w:t>development.</w:t>
      </w:r>
      <w:r w:rsidRPr="00B77782">
        <w:rPr>
          <w:iCs/>
          <w:vertAlign w:val="superscript"/>
        </w:rPr>
        <w:footnoteReference w:id="399"/>
      </w:r>
      <w:r w:rsidRPr="00B77782">
        <w:rPr>
          <w:iCs/>
        </w:rPr>
        <w:t xml:space="preserve"> </w:t>
      </w:r>
    </w:p>
    <w:p w:rsidR="00B77782" w:rsidRPr="00B77782" w:rsidRDefault="00F21716" w:rsidP="00EA738D">
      <w:pPr>
        <w:spacing w:line="480" w:lineRule="auto"/>
        <w:ind w:firstLine="720"/>
        <w:rPr>
          <w:iCs/>
        </w:rPr>
      </w:pPr>
      <w:r>
        <w:rPr>
          <w:iCs/>
        </w:rPr>
        <w:t>T</w:t>
      </w:r>
      <w:r w:rsidR="00B77782" w:rsidRPr="00B77782">
        <w:rPr>
          <w:iCs/>
        </w:rPr>
        <w:t>he cleared lan</w:t>
      </w:r>
      <w:r w:rsidR="0004335F">
        <w:rPr>
          <w:iCs/>
        </w:rPr>
        <w:t>d</w:t>
      </w:r>
      <w:r>
        <w:rPr>
          <w:iCs/>
        </w:rPr>
        <w:t xml:space="preserve">’s destiny for economic development also </w:t>
      </w:r>
      <w:r w:rsidR="00B53E09">
        <w:rPr>
          <w:iCs/>
        </w:rPr>
        <w:t>manifests</w:t>
      </w:r>
      <w:r w:rsidR="00B77782" w:rsidRPr="00B77782">
        <w:rPr>
          <w:iCs/>
        </w:rPr>
        <w:t xml:space="preserve"> </w:t>
      </w:r>
      <w:r>
        <w:rPr>
          <w:iCs/>
        </w:rPr>
        <w:t xml:space="preserve">in </w:t>
      </w:r>
      <w:r w:rsidR="00B77782" w:rsidRPr="00B77782">
        <w:rPr>
          <w:iCs/>
        </w:rPr>
        <w:t xml:space="preserve">plans </w:t>
      </w:r>
      <w:r>
        <w:rPr>
          <w:iCs/>
        </w:rPr>
        <w:t xml:space="preserve">now </w:t>
      </w:r>
      <w:r w:rsidR="004C4D02">
        <w:rPr>
          <w:iCs/>
        </w:rPr>
        <w:t>under construction for Detroit’s future:  T</w:t>
      </w:r>
      <w:r w:rsidR="00B77782" w:rsidRPr="00B77782">
        <w:rPr>
          <w:iCs/>
        </w:rPr>
        <w:t>he Detroit Master Plan that is being written to replace the 2009</w:t>
      </w:r>
      <w:r w:rsidR="00B77782" w:rsidRPr="00B77782">
        <w:rPr>
          <w:iCs/>
          <w:vertAlign w:val="superscript"/>
        </w:rPr>
        <w:footnoteReference w:id="400"/>
      </w:r>
      <w:r w:rsidR="00B77782" w:rsidRPr="00B77782">
        <w:rPr>
          <w:iCs/>
        </w:rPr>
        <w:t xml:space="preserve"> version under the</w:t>
      </w:r>
      <w:r w:rsidR="004C4D02">
        <w:rPr>
          <w:iCs/>
        </w:rPr>
        <w:t xml:space="preserve"> Michigan Planning Enabling Act</w:t>
      </w:r>
      <w:r w:rsidR="00B77782" w:rsidRPr="00B77782">
        <w:rPr>
          <w:iCs/>
          <w:vertAlign w:val="superscript"/>
        </w:rPr>
        <w:footnoteReference w:id="401"/>
      </w:r>
      <w:r w:rsidR="00B77782" w:rsidRPr="00B77782">
        <w:rPr>
          <w:iCs/>
        </w:rPr>
        <w:t xml:space="preserve"> </w:t>
      </w:r>
      <w:r w:rsidR="004C4D02">
        <w:rPr>
          <w:iCs/>
        </w:rPr>
        <w:t>proposes how to use the cleared land.</w:t>
      </w:r>
      <w:r w:rsidR="00B77782" w:rsidRPr="00B77782">
        <w:rPr>
          <w:iCs/>
        </w:rPr>
        <w:t xml:space="preserve"> The forthcoming Detroit Master Plan is likely to incorporate some or all of the Detroit Future City</w:t>
      </w:r>
      <w:r w:rsidR="0004335F">
        <w:rPr>
          <w:iCs/>
        </w:rPr>
        <w:t xml:space="preserve"> (DFC)</w:t>
      </w:r>
      <w:r w:rsidR="00B77782" w:rsidRPr="00B77782">
        <w:rPr>
          <w:iCs/>
        </w:rPr>
        <w:t xml:space="preserve"> 2012 Detroit Strategic Framework Plan,</w:t>
      </w:r>
      <w:r w:rsidR="00B77782" w:rsidRPr="00B77782">
        <w:rPr>
          <w:iCs/>
          <w:vertAlign w:val="superscript"/>
        </w:rPr>
        <w:footnoteReference w:id="402"/>
      </w:r>
      <w:r w:rsidR="00B77782" w:rsidRPr="00B77782">
        <w:rPr>
          <w:iCs/>
        </w:rPr>
        <w:t xml:space="preserve"> which will be the vision that I will focus on in my critique.</w:t>
      </w:r>
    </w:p>
    <w:p w:rsidR="00B77782" w:rsidRPr="00B77782" w:rsidRDefault="00D432A0" w:rsidP="00EA738D">
      <w:pPr>
        <w:spacing w:line="480" w:lineRule="auto"/>
        <w:ind w:firstLine="720"/>
        <w:rPr>
          <w:iCs/>
        </w:rPr>
      </w:pPr>
      <w:r>
        <w:rPr>
          <w:iCs/>
        </w:rPr>
        <w:t>DFC is an organization dedicated to creating a “long term guide for decision-making by all of the stakeholders in the City.”</w:t>
      </w:r>
      <w:r>
        <w:rPr>
          <w:rStyle w:val="FootnoteReference"/>
          <w:iCs/>
        </w:rPr>
        <w:footnoteReference w:id="403"/>
      </w:r>
      <w:r>
        <w:rPr>
          <w:iCs/>
        </w:rPr>
        <w:t xml:space="preserve"> </w:t>
      </w:r>
      <w:r w:rsidR="00A336F1">
        <w:rPr>
          <w:iCs/>
        </w:rPr>
        <w:t xml:space="preserve"> </w:t>
      </w:r>
      <w:r w:rsidR="00D90E0B">
        <w:rPr>
          <w:iCs/>
        </w:rPr>
        <w:t xml:space="preserve">After engaging </w:t>
      </w:r>
      <w:r w:rsidR="00B77782" w:rsidRPr="00B77782">
        <w:rPr>
          <w:iCs/>
        </w:rPr>
        <w:t>in 30,00</w:t>
      </w:r>
      <w:r w:rsidR="00D90E0B">
        <w:rPr>
          <w:iCs/>
        </w:rPr>
        <w:t>0 interviews and 70,000 surveys,</w:t>
      </w:r>
      <w:r w:rsidR="00B77782" w:rsidRPr="00B77782">
        <w:rPr>
          <w:iCs/>
          <w:vertAlign w:val="superscript"/>
        </w:rPr>
        <w:footnoteReference w:id="404"/>
      </w:r>
      <w:r w:rsidR="00D90E0B">
        <w:rPr>
          <w:iCs/>
        </w:rPr>
        <w:t>t</w:t>
      </w:r>
      <w:r w:rsidR="00B77782" w:rsidRPr="00B77782">
        <w:rPr>
          <w:iCs/>
        </w:rPr>
        <w:t>he DFC recommends rebuilding Detroit around a shrunken population of 600-800</w:t>
      </w:r>
      <w:r w:rsidR="00E40FC1">
        <w:rPr>
          <w:iCs/>
        </w:rPr>
        <w:t xml:space="preserve"> thousand</w:t>
      </w:r>
      <w:r w:rsidR="00B77782" w:rsidRPr="00B77782">
        <w:rPr>
          <w:iCs/>
        </w:rPr>
        <w:t>, up from a high of 2 million.</w:t>
      </w:r>
      <w:r w:rsidR="00B77782" w:rsidRPr="00B77782">
        <w:rPr>
          <w:iCs/>
          <w:vertAlign w:val="superscript"/>
        </w:rPr>
        <w:footnoteReference w:id="405"/>
      </w:r>
      <w:r w:rsidR="00B77782" w:rsidRPr="00B77782">
        <w:rPr>
          <w:iCs/>
        </w:rPr>
        <w:t xml:space="preserve">  </w:t>
      </w:r>
      <w:r w:rsidR="00D90E0B">
        <w:rPr>
          <w:iCs/>
        </w:rPr>
        <w:t>It</w:t>
      </w:r>
      <w:r w:rsidR="00B77782" w:rsidRPr="00B77782">
        <w:rPr>
          <w:iCs/>
        </w:rPr>
        <w:t xml:space="preserve"> focuses </w:t>
      </w:r>
      <w:r w:rsidR="004245C6">
        <w:rPr>
          <w:iCs/>
        </w:rPr>
        <w:t xml:space="preserve">on </w:t>
      </w:r>
      <w:r w:rsidR="004245C6" w:rsidRPr="004245C6">
        <w:rPr>
          <w:iCs/>
        </w:rPr>
        <w:t>economic growth,</w:t>
      </w:r>
      <w:r w:rsidR="004245C6" w:rsidRPr="004245C6">
        <w:rPr>
          <w:iCs/>
          <w:vertAlign w:val="superscript"/>
        </w:rPr>
        <w:footnoteReference w:id="406"/>
      </w:r>
      <w:r w:rsidR="004245C6" w:rsidRPr="004245C6">
        <w:rPr>
          <w:iCs/>
        </w:rPr>
        <w:t xml:space="preserve"> land use,</w:t>
      </w:r>
      <w:r w:rsidR="004245C6" w:rsidRPr="004245C6">
        <w:rPr>
          <w:iCs/>
          <w:vertAlign w:val="superscript"/>
        </w:rPr>
        <w:footnoteReference w:id="407"/>
      </w:r>
      <w:r w:rsidR="004245C6" w:rsidRPr="004245C6">
        <w:rPr>
          <w:iCs/>
        </w:rPr>
        <w:t xml:space="preserve"> city systems,</w:t>
      </w:r>
      <w:r w:rsidR="004245C6" w:rsidRPr="004245C6">
        <w:rPr>
          <w:iCs/>
          <w:vertAlign w:val="superscript"/>
        </w:rPr>
        <w:footnoteReference w:id="408"/>
      </w:r>
      <w:r w:rsidR="004245C6" w:rsidRPr="004245C6">
        <w:rPr>
          <w:iCs/>
        </w:rPr>
        <w:t xml:space="preserve"> neighborhood development,</w:t>
      </w:r>
      <w:r w:rsidR="004245C6" w:rsidRPr="004245C6">
        <w:rPr>
          <w:iCs/>
          <w:vertAlign w:val="superscript"/>
        </w:rPr>
        <w:footnoteReference w:id="409"/>
      </w:r>
      <w:r w:rsidR="004245C6" w:rsidRPr="004245C6">
        <w:rPr>
          <w:iCs/>
        </w:rPr>
        <w:t xml:space="preserve"> </w:t>
      </w:r>
      <w:r w:rsidR="004245C6" w:rsidRPr="004245C6">
        <w:rPr>
          <w:iCs/>
        </w:rPr>
        <w:lastRenderedPageBreak/>
        <w:t>and how to best use land and buildings assets.</w:t>
      </w:r>
      <w:r w:rsidR="004245C6" w:rsidRPr="004245C6">
        <w:rPr>
          <w:iCs/>
          <w:vertAlign w:val="superscript"/>
        </w:rPr>
        <w:footnoteReference w:id="410"/>
      </w:r>
      <w:r w:rsidR="004245C6">
        <w:rPr>
          <w:iCs/>
        </w:rPr>
        <w:t xml:space="preserve">  </w:t>
      </w:r>
      <w:r w:rsidR="0004335F">
        <w:rPr>
          <w:iCs/>
        </w:rPr>
        <w:t>It should be noted that t</w:t>
      </w:r>
      <w:r w:rsidR="00B77782" w:rsidRPr="00B77782">
        <w:rPr>
          <w:iCs/>
        </w:rPr>
        <w:t>he Plan does recognize that many of Detroit’s citizens live in poverty</w:t>
      </w:r>
      <w:r w:rsidR="00B77782" w:rsidRPr="00B77782">
        <w:rPr>
          <w:iCs/>
          <w:vertAlign w:val="superscript"/>
        </w:rPr>
        <w:footnoteReference w:id="411"/>
      </w:r>
      <w:r w:rsidR="00B77782" w:rsidRPr="00B77782">
        <w:rPr>
          <w:iCs/>
        </w:rPr>
        <w:t xml:space="preserve"> and enjoy reduced opportunities,</w:t>
      </w:r>
      <w:r w:rsidR="00B77782" w:rsidRPr="00B77782">
        <w:rPr>
          <w:iCs/>
          <w:vertAlign w:val="superscript"/>
        </w:rPr>
        <w:footnoteReference w:id="412"/>
      </w:r>
      <w:r w:rsidR="00B77782" w:rsidRPr="00B77782">
        <w:rPr>
          <w:iCs/>
        </w:rPr>
        <w:t xml:space="preserve"> and it encourages increased minority wealth by emphasizing the need to foster Minority Business Enterprises.</w:t>
      </w:r>
      <w:r w:rsidR="00B77782" w:rsidRPr="00B77782">
        <w:rPr>
          <w:iCs/>
          <w:vertAlign w:val="superscript"/>
        </w:rPr>
        <w:footnoteReference w:id="413"/>
      </w:r>
      <w:r w:rsidR="00B77782" w:rsidRPr="00B77782">
        <w:rPr>
          <w:iCs/>
        </w:rPr>
        <w:t xml:space="preserve">  DFC also chooses to focus </w:t>
      </w:r>
      <w:r w:rsidR="00B53E09">
        <w:rPr>
          <w:iCs/>
        </w:rPr>
        <w:t xml:space="preserve">its development plans </w:t>
      </w:r>
      <w:r w:rsidR="00B77782" w:rsidRPr="00B77782">
        <w:rPr>
          <w:iCs/>
        </w:rPr>
        <w:t xml:space="preserve">on a </w:t>
      </w:r>
      <w:r w:rsidR="0004335F">
        <w:rPr>
          <w:iCs/>
        </w:rPr>
        <w:t>series of neighborhoods that have suffered economic difficulties but</w:t>
      </w:r>
      <w:r w:rsidR="00B77782" w:rsidRPr="00B77782">
        <w:rPr>
          <w:iCs/>
        </w:rPr>
        <w:t xml:space="preserve"> show financial promise:  These are Mount Elliot,</w:t>
      </w:r>
      <w:r w:rsidR="00B77782" w:rsidRPr="00B77782">
        <w:rPr>
          <w:iCs/>
          <w:vertAlign w:val="superscript"/>
        </w:rPr>
        <w:footnoteReference w:id="414"/>
      </w:r>
      <w:r w:rsidR="00B77782" w:rsidRPr="00B77782">
        <w:rPr>
          <w:iCs/>
        </w:rPr>
        <w:t xml:space="preserve"> Eastern Market,</w:t>
      </w:r>
      <w:r w:rsidR="00B77782" w:rsidRPr="00B77782">
        <w:rPr>
          <w:iCs/>
          <w:vertAlign w:val="superscript"/>
        </w:rPr>
        <w:footnoteReference w:id="415"/>
      </w:r>
      <w:r w:rsidR="00B77782" w:rsidRPr="00B77782">
        <w:rPr>
          <w:iCs/>
        </w:rPr>
        <w:t xml:space="preserve"> Corktown,</w:t>
      </w:r>
      <w:r w:rsidR="00B77782" w:rsidRPr="00B77782">
        <w:rPr>
          <w:iCs/>
          <w:vertAlign w:val="superscript"/>
        </w:rPr>
        <w:footnoteReference w:id="416"/>
      </w:r>
      <w:r w:rsidR="00B77782" w:rsidRPr="00B77782">
        <w:rPr>
          <w:iCs/>
        </w:rPr>
        <w:t xml:space="preserve"> downtown,</w:t>
      </w:r>
      <w:r w:rsidR="00B77782" w:rsidRPr="00B77782">
        <w:rPr>
          <w:iCs/>
          <w:vertAlign w:val="superscript"/>
        </w:rPr>
        <w:footnoteReference w:id="417"/>
      </w:r>
      <w:r w:rsidR="00B77782" w:rsidRPr="00B77782">
        <w:rPr>
          <w:iCs/>
        </w:rPr>
        <w:t xml:space="preserve"> midtown,</w:t>
      </w:r>
      <w:r w:rsidR="00B77782" w:rsidRPr="00B77782">
        <w:rPr>
          <w:iCs/>
          <w:vertAlign w:val="superscript"/>
        </w:rPr>
        <w:footnoteReference w:id="418"/>
      </w:r>
      <w:r w:rsidR="00B77782" w:rsidRPr="00B77782">
        <w:rPr>
          <w:iCs/>
        </w:rPr>
        <w:t xml:space="preserve"> and McNichols.</w:t>
      </w:r>
      <w:r w:rsidR="00B77782" w:rsidRPr="00B77782">
        <w:rPr>
          <w:iCs/>
          <w:vertAlign w:val="superscript"/>
        </w:rPr>
        <w:footnoteReference w:id="419"/>
      </w:r>
      <w:r w:rsidR="00B77782" w:rsidRPr="00B77782">
        <w:rPr>
          <w:iCs/>
        </w:rPr>
        <w:t xml:space="preserve">  Furthermore, it </w:t>
      </w:r>
      <w:r w:rsidR="002A7B58">
        <w:rPr>
          <w:iCs/>
        </w:rPr>
        <w:t>observes</w:t>
      </w:r>
      <w:r w:rsidR="00B77782" w:rsidRPr="00B77782">
        <w:rPr>
          <w:iCs/>
        </w:rPr>
        <w:t xml:space="preserve"> (albeit briefly and discreetly) that criminal enforcement practices can create poverty traps, recommending that the city “[t]rain prisoner reentry work force to participate in the implementation of citywide DFC pilot projects.”</w:t>
      </w:r>
      <w:r w:rsidR="00B77782" w:rsidRPr="00B77782">
        <w:rPr>
          <w:iCs/>
          <w:vertAlign w:val="superscript"/>
        </w:rPr>
        <w:footnoteReference w:id="420"/>
      </w:r>
    </w:p>
    <w:p w:rsidR="00B77782" w:rsidRPr="00B77782" w:rsidRDefault="00B77782" w:rsidP="00EA738D">
      <w:pPr>
        <w:spacing w:line="480" w:lineRule="auto"/>
        <w:ind w:firstLine="720"/>
        <w:rPr>
          <w:iCs/>
        </w:rPr>
      </w:pPr>
      <w:r w:rsidRPr="00B77782">
        <w:rPr>
          <w:iCs/>
        </w:rPr>
        <w:t>However, while the Plan says that it “articulates a shared vision for Detroit’s future,”</w:t>
      </w:r>
      <w:r w:rsidRPr="00B77782">
        <w:rPr>
          <w:iCs/>
          <w:vertAlign w:val="superscript"/>
        </w:rPr>
        <w:footnoteReference w:id="421"/>
      </w:r>
      <w:r w:rsidRPr="00B77782">
        <w:rPr>
          <w:iCs/>
        </w:rPr>
        <w:t xml:space="preserve"> its emphasis on growth is not matched by </w:t>
      </w:r>
      <w:r w:rsidR="00F33F4E" w:rsidRPr="00B77782">
        <w:rPr>
          <w:iCs/>
        </w:rPr>
        <w:t>recognition</w:t>
      </w:r>
      <w:r w:rsidRPr="00B77782">
        <w:rPr>
          <w:iCs/>
        </w:rPr>
        <w:t xml:space="preserve"> of the manifold problems associated with poverty that </w:t>
      </w:r>
      <w:r w:rsidR="00D90E0B">
        <w:rPr>
          <w:iCs/>
        </w:rPr>
        <w:t>will remain uncured by</w:t>
      </w:r>
      <w:r w:rsidRPr="00B77782">
        <w:rPr>
          <w:iCs/>
        </w:rPr>
        <w:t xml:space="preserve"> business enterprise</w:t>
      </w:r>
      <w:r w:rsidR="00D90E0B">
        <w:rPr>
          <w:iCs/>
        </w:rPr>
        <w:t xml:space="preserve"> alone</w:t>
      </w:r>
      <w:r w:rsidRPr="00B77782">
        <w:rPr>
          <w:iCs/>
        </w:rPr>
        <w:t xml:space="preserve">.  A word search </w:t>
      </w:r>
      <w:r w:rsidR="004245C6">
        <w:rPr>
          <w:iCs/>
        </w:rPr>
        <w:t>of the P</w:t>
      </w:r>
      <w:r w:rsidR="0004335F">
        <w:rPr>
          <w:iCs/>
        </w:rPr>
        <w:t xml:space="preserve">lan </w:t>
      </w:r>
      <w:r w:rsidRPr="00B77782">
        <w:rPr>
          <w:iCs/>
        </w:rPr>
        <w:t>reveal</w:t>
      </w:r>
      <w:r w:rsidR="00B53E09">
        <w:rPr>
          <w:iCs/>
        </w:rPr>
        <w:t>s that it never mentions racism</w:t>
      </w:r>
      <w:r w:rsidRPr="00B77782">
        <w:rPr>
          <w:iCs/>
        </w:rPr>
        <w:t xml:space="preserve"> or sexism.  It does not mention homelessness, nor (as in the case of </w:t>
      </w:r>
      <w:r w:rsidR="00D90E0B">
        <w:rPr>
          <w:iCs/>
        </w:rPr>
        <w:t>TtEB</w:t>
      </w:r>
      <w:r w:rsidRPr="00B77782">
        <w:rPr>
          <w:iCs/>
        </w:rPr>
        <w:t xml:space="preserve">) the shelters that will have to be built to accommodate the </w:t>
      </w:r>
      <w:r w:rsidR="00842583">
        <w:rPr>
          <w:iCs/>
        </w:rPr>
        <w:t>“</w:t>
      </w:r>
      <w:r w:rsidRPr="00B77782">
        <w:rPr>
          <w:iCs/>
        </w:rPr>
        <w:t>s</w:t>
      </w:r>
      <w:r w:rsidR="00D432A0">
        <w:rPr>
          <w:iCs/>
        </w:rPr>
        <w:t>quatters</w:t>
      </w:r>
      <w:r w:rsidR="00842583">
        <w:rPr>
          <w:iCs/>
        </w:rPr>
        <w:t>”</w:t>
      </w:r>
      <w:r w:rsidR="00D432A0">
        <w:rPr>
          <w:iCs/>
        </w:rPr>
        <w:t xml:space="preserve"> who lose their lodgings</w:t>
      </w:r>
      <w:r w:rsidRPr="00B77782">
        <w:rPr>
          <w:iCs/>
        </w:rPr>
        <w:t xml:space="preserve"> upon blight removal.</w:t>
      </w:r>
      <w:r w:rsidR="00842583">
        <w:rPr>
          <w:rStyle w:val="FootnoteReference"/>
          <w:iCs/>
        </w:rPr>
        <w:footnoteReference w:id="422"/>
      </w:r>
      <w:r w:rsidRPr="00B77782">
        <w:rPr>
          <w:iCs/>
        </w:rPr>
        <w:t xml:space="preserve">  It provides no plans for mental health or ad</w:t>
      </w:r>
      <w:r w:rsidR="0079183C">
        <w:rPr>
          <w:iCs/>
        </w:rPr>
        <w:t>diction counseling, though mental illness and substance abuse are</w:t>
      </w:r>
      <w:r w:rsidRPr="00B77782">
        <w:rPr>
          <w:iCs/>
        </w:rPr>
        <w:t xml:space="preserve"> traps </w:t>
      </w:r>
      <w:r w:rsidR="0079183C">
        <w:rPr>
          <w:iCs/>
        </w:rPr>
        <w:t xml:space="preserve">that </w:t>
      </w:r>
      <w:r w:rsidRPr="00B77782">
        <w:rPr>
          <w:iCs/>
        </w:rPr>
        <w:t>can create severe poverty.</w:t>
      </w:r>
      <w:r w:rsidRPr="00B77782">
        <w:rPr>
          <w:iCs/>
          <w:vertAlign w:val="superscript"/>
        </w:rPr>
        <w:footnoteReference w:id="423"/>
      </w:r>
      <w:r w:rsidRPr="00B77782">
        <w:rPr>
          <w:iCs/>
        </w:rPr>
        <w:t xml:space="preserve">  And while the Framework emphasizes the </w:t>
      </w:r>
      <w:r w:rsidRPr="00B77782">
        <w:rPr>
          <w:iCs/>
        </w:rPr>
        <w:lastRenderedPageBreak/>
        <w:t>need to integrate people with prison records into Detroit</w:t>
      </w:r>
      <w:r w:rsidR="00D90E0B">
        <w:rPr>
          <w:iCs/>
        </w:rPr>
        <w:t>’s economy</w:t>
      </w:r>
      <w:r w:rsidRPr="00B77782">
        <w:rPr>
          <w:iCs/>
        </w:rPr>
        <w:t>,</w:t>
      </w:r>
      <w:r w:rsidR="00A336F1">
        <w:rPr>
          <w:rStyle w:val="FootnoteReference"/>
          <w:iCs/>
        </w:rPr>
        <w:footnoteReference w:id="424"/>
      </w:r>
      <w:r w:rsidRPr="00B77782">
        <w:rPr>
          <w:iCs/>
        </w:rPr>
        <w:t xml:space="preserve"> it does not mention the poverty trap that can come with racist policing</w:t>
      </w:r>
      <w:r w:rsidRPr="00B77782">
        <w:rPr>
          <w:iCs/>
          <w:vertAlign w:val="superscript"/>
        </w:rPr>
        <w:footnoteReference w:id="425"/>
      </w:r>
      <w:r w:rsidRPr="00B77782">
        <w:rPr>
          <w:iCs/>
        </w:rPr>
        <w:t xml:space="preserve"> – rather, </w:t>
      </w:r>
      <w:r w:rsidR="00A336F1">
        <w:rPr>
          <w:iCs/>
        </w:rPr>
        <w:t xml:space="preserve">it </w:t>
      </w:r>
      <w:r w:rsidR="00D90E0B">
        <w:rPr>
          <w:iCs/>
        </w:rPr>
        <w:t>plans for an</w:t>
      </w:r>
      <w:r w:rsidRPr="00B77782">
        <w:rPr>
          <w:iCs/>
        </w:rPr>
        <w:t xml:space="preserve"> expanded </w:t>
      </w:r>
      <w:r w:rsidR="00D90E0B">
        <w:rPr>
          <w:iCs/>
        </w:rPr>
        <w:t>police presence</w:t>
      </w:r>
      <w:r w:rsidRPr="00B77782">
        <w:rPr>
          <w:iCs/>
          <w:vertAlign w:val="superscript"/>
        </w:rPr>
        <w:footnoteReference w:id="426"/>
      </w:r>
      <w:r w:rsidRPr="00B77782">
        <w:rPr>
          <w:iCs/>
        </w:rPr>
        <w:t xml:space="preserve"> without recognizing Detroit’s history of racist law enforcement.</w:t>
      </w:r>
      <w:r w:rsidRPr="00B77782">
        <w:rPr>
          <w:iCs/>
          <w:vertAlign w:val="superscript"/>
        </w:rPr>
        <w:footnoteReference w:id="427"/>
      </w:r>
      <w:r w:rsidR="00D90E0B">
        <w:rPr>
          <w:iCs/>
        </w:rPr>
        <w:t xml:space="preserve">  And </w:t>
      </w:r>
      <w:r w:rsidRPr="00B77782">
        <w:rPr>
          <w:iCs/>
        </w:rPr>
        <w:t xml:space="preserve">while it describes the need to improve the </w:t>
      </w:r>
      <w:r w:rsidR="00D90E0B">
        <w:rPr>
          <w:iCs/>
        </w:rPr>
        <w:t xml:space="preserve">services </w:t>
      </w:r>
      <w:r w:rsidRPr="00B77782">
        <w:rPr>
          <w:iCs/>
        </w:rPr>
        <w:t>delivery,</w:t>
      </w:r>
      <w:r w:rsidRPr="00B77782">
        <w:rPr>
          <w:iCs/>
          <w:vertAlign w:val="superscript"/>
        </w:rPr>
        <w:footnoteReference w:id="428"/>
      </w:r>
      <w:r w:rsidRPr="00B77782">
        <w:rPr>
          <w:iCs/>
        </w:rPr>
        <w:t xml:space="preserve"> it does not mention the race and class discrimination in city services that led to, for example, a recent mass water shutoff that affected nearly 19,500 Detroiters and affected those who owed at least $150.00 for their water bill</w:t>
      </w:r>
      <w:r w:rsidR="00D90E0B">
        <w:rPr>
          <w:iCs/>
        </w:rPr>
        <w:t xml:space="preserve"> or had fallen at least two months</w:t>
      </w:r>
      <w:r w:rsidRPr="00B77782">
        <w:rPr>
          <w:iCs/>
        </w:rPr>
        <w:t xml:space="preserve"> behind on their payments.</w:t>
      </w:r>
      <w:r w:rsidRPr="00B77782">
        <w:rPr>
          <w:iCs/>
          <w:vertAlign w:val="superscript"/>
        </w:rPr>
        <w:footnoteReference w:id="429"/>
      </w:r>
      <w:r w:rsidRPr="00B77782">
        <w:rPr>
          <w:iCs/>
        </w:rPr>
        <w:t xml:space="preserve">  This is in line with a long Detroit history of racist and classist deprivations of city services.</w:t>
      </w:r>
      <w:r w:rsidRPr="00B77782">
        <w:rPr>
          <w:iCs/>
          <w:vertAlign w:val="superscript"/>
        </w:rPr>
        <w:footnoteReference w:id="430"/>
      </w:r>
    </w:p>
    <w:p w:rsidR="00B77782" w:rsidRPr="00B77782" w:rsidRDefault="00B77782" w:rsidP="00EA738D">
      <w:pPr>
        <w:spacing w:line="480" w:lineRule="auto"/>
        <w:ind w:firstLine="720"/>
        <w:rPr>
          <w:iCs/>
        </w:rPr>
      </w:pPr>
      <w:r w:rsidRPr="00B77782">
        <w:rPr>
          <w:iCs/>
        </w:rPr>
        <w:t>The Strategic Framework, unfortunately, insufficiently attends to these vicious circles found in Detroit</w:t>
      </w:r>
      <w:r>
        <w:rPr>
          <w:iCs/>
        </w:rPr>
        <w:t xml:space="preserve">’s past, which create </w:t>
      </w:r>
      <w:r w:rsidR="0004335F">
        <w:rPr>
          <w:iCs/>
        </w:rPr>
        <w:t xml:space="preserve">the economic obstacles that economists have long described as </w:t>
      </w:r>
      <w:r>
        <w:rPr>
          <w:iCs/>
        </w:rPr>
        <w:t>“poverty t</w:t>
      </w:r>
      <w:r w:rsidR="0004335F">
        <w:rPr>
          <w:iCs/>
        </w:rPr>
        <w:t>r</w:t>
      </w:r>
      <w:r w:rsidRPr="00B77782">
        <w:rPr>
          <w:iCs/>
        </w:rPr>
        <w:t>aps.”  “Vicious circles” here designates the term, used in economic literature, to designate the loop created by extractive, or exclusive, political and e</w:t>
      </w:r>
      <w:r w:rsidR="0004335F">
        <w:rPr>
          <w:iCs/>
        </w:rPr>
        <w:t>conomic institutions that birth</w:t>
      </w:r>
      <w:r w:rsidRPr="00B77782">
        <w:rPr>
          <w:iCs/>
        </w:rPr>
        <w:t xml:space="preserve"> aristocratic networks and cultures that later make it all but impossible to forge </w:t>
      </w:r>
      <w:r w:rsidR="00D432A0">
        <w:rPr>
          <w:iCs/>
        </w:rPr>
        <w:t xml:space="preserve">true </w:t>
      </w:r>
      <w:r w:rsidRPr="00B77782">
        <w:rPr>
          <w:iCs/>
        </w:rPr>
        <w:t>democracy short of revolution.</w:t>
      </w:r>
      <w:r w:rsidRPr="00B77782">
        <w:rPr>
          <w:iCs/>
          <w:vertAlign w:val="superscript"/>
        </w:rPr>
        <w:footnoteReference w:id="431"/>
      </w:r>
      <w:r w:rsidRPr="00B77782">
        <w:rPr>
          <w:iCs/>
        </w:rPr>
        <w:t xml:space="preserve">  “Poverty traps” are endogenous social conditions that </w:t>
      </w:r>
      <w:r w:rsidR="00706A83">
        <w:rPr>
          <w:iCs/>
        </w:rPr>
        <w:t xml:space="preserve">hamper people’s </w:t>
      </w:r>
      <w:r w:rsidRPr="00B77782">
        <w:rPr>
          <w:iCs/>
        </w:rPr>
        <w:t xml:space="preserve">climb out of </w:t>
      </w:r>
      <w:r w:rsidR="00706A83">
        <w:rPr>
          <w:iCs/>
        </w:rPr>
        <w:t>indigency</w:t>
      </w:r>
      <w:r w:rsidRPr="00B77782">
        <w:rPr>
          <w:iCs/>
        </w:rPr>
        <w:t>.</w:t>
      </w:r>
      <w:r w:rsidRPr="00B77782">
        <w:rPr>
          <w:iCs/>
          <w:vertAlign w:val="superscript"/>
        </w:rPr>
        <w:footnoteReference w:id="432"/>
      </w:r>
      <w:r w:rsidRPr="00B77782">
        <w:rPr>
          <w:iCs/>
        </w:rPr>
        <w:t xml:space="preserve">   </w:t>
      </w:r>
      <w:r w:rsidRPr="00B77782">
        <w:rPr>
          <w:iCs/>
        </w:rPr>
        <w:lastRenderedPageBreak/>
        <w:t xml:space="preserve">Economists authors Daron Acemoglu and James Robinson </w:t>
      </w:r>
      <w:r w:rsidR="00F162C0">
        <w:rPr>
          <w:iCs/>
        </w:rPr>
        <w:t>reshaped</w:t>
      </w:r>
      <w:r w:rsidRPr="00B77782">
        <w:rPr>
          <w:iCs/>
        </w:rPr>
        <w:t xml:space="preserve"> economic theory by teaching us that vicious circles and their resulting poverty gaps can be best apprehended by attending to a region’s political </w:t>
      </w:r>
      <w:r w:rsidR="0004335F">
        <w:rPr>
          <w:iCs/>
        </w:rPr>
        <w:t xml:space="preserve">and economic history, and </w:t>
      </w:r>
      <w:r w:rsidRPr="00B77782">
        <w:rPr>
          <w:iCs/>
        </w:rPr>
        <w:t>as they</w:t>
      </w:r>
      <w:r w:rsidR="0004335F">
        <w:rPr>
          <w:iCs/>
        </w:rPr>
        <w:t>,</w:t>
      </w:r>
      <w:r w:rsidRPr="00B77782">
        <w:rPr>
          <w:iCs/>
        </w:rPr>
        <w:t xml:space="preserve"> as well as economist Paul Collier</w:t>
      </w:r>
      <w:r w:rsidR="0004335F">
        <w:rPr>
          <w:iCs/>
        </w:rPr>
        <w:t>,</w:t>
      </w:r>
      <w:r w:rsidRPr="00B77782">
        <w:rPr>
          <w:iCs/>
        </w:rPr>
        <w:t xml:space="preserve"> show,</w:t>
      </w:r>
      <w:r w:rsidR="00A336F1">
        <w:rPr>
          <w:iCs/>
        </w:rPr>
        <w:t xml:space="preserve"> a history of bad governance</w:t>
      </w:r>
      <w:r w:rsidRPr="00B77782">
        <w:rPr>
          <w:iCs/>
        </w:rPr>
        <w:t xml:space="preserve"> give rise to these circles and traps. </w:t>
      </w:r>
      <w:r w:rsidRPr="00B77782">
        <w:rPr>
          <w:iCs/>
          <w:vertAlign w:val="superscript"/>
        </w:rPr>
        <w:footnoteReference w:id="433"/>
      </w:r>
    </w:p>
    <w:p w:rsidR="00B77782" w:rsidRDefault="00B77782" w:rsidP="00EA738D">
      <w:pPr>
        <w:spacing w:line="480" w:lineRule="auto"/>
        <w:ind w:firstLine="720"/>
        <w:rPr>
          <w:iCs/>
        </w:rPr>
      </w:pPr>
      <w:r w:rsidRPr="00B77782">
        <w:rPr>
          <w:iCs/>
        </w:rPr>
        <w:t xml:space="preserve">Thus we may consider with great interest law </w:t>
      </w:r>
      <w:r w:rsidR="00B53E09">
        <w:rPr>
          <w:iCs/>
        </w:rPr>
        <w:t>Wayne State University Law P</w:t>
      </w:r>
      <w:r w:rsidRPr="00B77782">
        <w:rPr>
          <w:iCs/>
        </w:rPr>
        <w:t xml:space="preserve">rofessor Peter Joseph Hammer’s critique of the Strategic Framework, which assails its authors for failing to attend to the history of racism and classism in Detroit.  </w:t>
      </w:r>
      <w:r w:rsidR="00ED18C3" w:rsidRPr="00ED18C3">
        <w:rPr>
          <w:iCs/>
        </w:rPr>
        <w:t>In a talk delivered at Marygrove College on February 25, 2014,</w:t>
      </w:r>
      <w:r w:rsidR="00ED18C3" w:rsidRPr="00ED18C3">
        <w:rPr>
          <w:iCs/>
          <w:vertAlign w:val="superscript"/>
        </w:rPr>
        <w:footnoteReference w:id="434"/>
      </w:r>
      <w:r w:rsidR="00ED18C3">
        <w:rPr>
          <w:iCs/>
        </w:rPr>
        <w:t xml:space="preserve"> h</w:t>
      </w:r>
      <w:r w:rsidRPr="00B77782">
        <w:rPr>
          <w:iCs/>
        </w:rPr>
        <w:t>e emphasized that the report ignored race and history, particularly Detroit’s “six decades of racial conflict and racial divide.”</w:t>
      </w:r>
      <w:r w:rsidRPr="00B77782">
        <w:rPr>
          <w:iCs/>
          <w:vertAlign w:val="superscript"/>
        </w:rPr>
        <w:footnoteReference w:id="435"/>
      </w:r>
      <w:r w:rsidRPr="00B77782">
        <w:rPr>
          <w:iCs/>
        </w:rPr>
        <w:t xml:space="preserve">  He further counseled that the report </w:t>
      </w:r>
      <w:r w:rsidR="00706A83">
        <w:rPr>
          <w:iCs/>
        </w:rPr>
        <w:t>fails to consider Detroit’s</w:t>
      </w:r>
      <w:r w:rsidRPr="00B77782">
        <w:rPr>
          <w:iCs/>
        </w:rPr>
        <w:t xml:space="preserve"> connection with other parts of Michigan,</w:t>
      </w:r>
      <w:r w:rsidRPr="00B77782">
        <w:rPr>
          <w:iCs/>
          <w:vertAlign w:val="superscript"/>
        </w:rPr>
        <w:footnoteReference w:id="436"/>
      </w:r>
      <w:r w:rsidRPr="00B77782">
        <w:rPr>
          <w:iCs/>
        </w:rPr>
        <w:t xml:space="preserve"> and that it “never mentions race for where we were and how we got here.”</w:t>
      </w:r>
      <w:r w:rsidRPr="00B77782">
        <w:rPr>
          <w:iCs/>
          <w:vertAlign w:val="superscript"/>
        </w:rPr>
        <w:footnoteReference w:id="437"/>
      </w:r>
      <w:r w:rsidRPr="00B77782">
        <w:rPr>
          <w:iCs/>
        </w:rPr>
        <w:t xml:space="preserve">  In his description of Detroit as an “inelastic city,”</w:t>
      </w:r>
      <w:r w:rsidRPr="00B77782">
        <w:rPr>
          <w:iCs/>
          <w:vertAlign w:val="superscript"/>
        </w:rPr>
        <w:footnoteReference w:id="438"/>
      </w:r>
      <w:r w:rsidR="00706A83">
        <w:rPr>
          <w:iCs/>
        </w:rPr>
        <w:t xml:space="preserve"> he focused on its historical</w:t>
      </w:r>
      <w:r w:rsidRPr="00B77782">
        <w:rPr>
          <w:iCs/>
        </w:rPr>
        <w:t xml:space="preserve"> and contemporary practices of segregation; from </w:t>
      </w:r>
      <w:r w:rsidR="00706A83">
        <w:rPr>
          <w:iCs/>
        </w:rPr>
        <w:t>these foundations</w:t>
      </w:r>
      <w:r w:rsidRPr="00B77782">
        <w:rPr>
          <w:iCs/>
        </w:rPr>
        <w:t xml:space="preserve"> he argued that the green spaces </w:t>
      </w:r>
      <w:r w:rsidR="00ED18C3">
        <w:rPr>
          <w:iCs/>
        </w:rPr>
        <w:t>the</w:t>
      </w:r>
      <w:r w:rsidRPr="00B77782">
        <w:rPr>
          <w:iCs/>
        </w:rPr>
        <w:t xml:space="preserve"> DFC</w:t>
      </w:r>
      <w:r w:rsidR="00ED18C3">
        <w:rPr>
          <w:iCs/>
        </w:rPr>
        <w:t xml:space="preserve"> planned to create</w:t>
      </w:r>
      <w:r w:rsidRPr="00B77782">
        <w:rPr>
          <w:iCs/>
        </w:rPr>
        <w:t xml:space="preserve"> would only benefit historically privileged suburbs, bypassing poorer communities that live next to the interstate.</w:t>
      </w:r>
      <w:r w:rsidRPr="00B77782">
        <w:rPr>
          <w:iCs/>
          <w:vertAlign w:val="superscript"/>
        </w:rPr>
        <w:footnoteReference w:id="439"/>
      </w:r>
      <w:r w:rsidRPr="00B77782">
        <w:rPr>
          <w:iCs/>
        </w:rPr>
        <w:t xml:space="preserve">  Despite the DFC’s considerable outreach efforts, Hammer believes that the report omits the perspectives of grass roots organizations,</w:t>
      </w:r>
      <w:r w:rsidRPr="00B77782">
        <w:rPr>
          <w:iCs/>
          <w:vertAlign w:val="superscript"/>
        </w:rPr>
        <w:footnoteReference w:id="440"/>
      </w:r>
      <w:r w:rsidRPr="00B77782">
        <w:rPr>
          <w:iCs/>
        </w:rPr>
        <w:t xml:space="preserve"> and he </w:t>
      </w:r>
      <w:r w:rsidR="00706A83">
        <w:rPr>
          <w:iCs/>
        </w:rPr>
        <w:t>excoriates</w:t>
      </w:r>
      <w:r w:rsidRPr="00B77782">
        <w:rPr>
          <w:iCs/>
        </w:rPr>
        <w:t xml:space="preserve"> its capitalist ethos</w:t>
      </w:r>
      <w:r w:rsidR="00706A83">
        <w:rPr>
          <w:iCs/>
        </w:rPr>
        <w:t>.  H</w:t>
      </w:r>
      <w:r w:rsidRPr="00B77782">
        <w:rPr>
          <w:iCs/>
        </w:rPr>
        <w:t xml:space="preserve">e </w:t>
      </w:r>
      <w:r w:rsidRPr="00B77782">
        <w:rPr>
          <w:iCs/>
        </w:rPr>
        <w:lastRenderedPageBreak/>
        <w:t>noted that DFC’s plans for shrinking the city and building up certain neighborhoods, such as Eastern Market, Mt. Elliott, Downtown, Southwest, Corkto</w:t>
      </w:r>
      <w:r w:rsidR="00D432A0">
        <w:rPr>
          <w:iCs/>
        </w:rPr>
        <w:t>wn, Midtown, and McNichols means</w:t>
      </w:r>
      <w:r w:rsidRPr="00B77782">
        <w:rPr>
          <w:iCs/>
        </w:rPr>
        <w:t xml:space="preserve"> that other less privileged neighborhoods would suffer the loss.</w:t>
      </w:r>
      <w:r w:rsidRPr="00B77782">
        <w:rPr>
          <w:iCs/>
          <w:vertAlign w:val="superscript"/>
        </w:rPr>
        <w:footnoteReference w:id="441"/>
      </w:r>
      <w:r w:rsidRPr="00B77782">
        <w:rPr>
          <w:iCs/>
        </w:rPr>
        <w:t xml:space="preserve">  When studying the Framework, Hammer counseled, always consider “who is winning and who is losing.”</w:t>
      </w:r>
      <w:r w:rsidRPr="00B77782">
        <w:rPr>
          <w:iCs/>
          <w:vertAlign w:val="superscript"/>
        </w:rPr>
        <w:footnoteReference w:id="442"/>
      </w:r>
      <w:r w:rsidR="00ED18C3">
        <w:rPr>
          <w:iCs/>
        </w:rPr>
        <w:t xml:space="preserve">  Hammer’s critique of the DFC’s ahistoricism acts as a strong warning that its plans will lead Detroit’s </w:t>
      </w:r>
      <w:r w:rsidR="007F4184">
        <w:rPr>
          <w:iCs/>
        </w:rPr>
        <w:t xml:space="preserve">upper strata to “win” and its </w:t>
      </w:r>
      <w:r w:rsidR="00ED18C3">
        <w:rPr>
          <w:iCs/>
        </w:rPr>
        <w:t xml:space="preserve">low-income population to “lose,” a prediction that takes on extra strength when we consider how </w:t>
      </w:r>
      <w:r w:rsidR="00ED18C3" w:rsidRPr="00ED18C3">
        <w:rPr>
          <w:iCs/>
        </w:rPr>
        <w:t>Acemoglu</w:t>
      </w:r>
      <w:r w:rsidR="00ED18C3">
        <w:rPr>
          <w:iCs/>
        </w:rPr>
        <w:t>,</w:t>
      </w:r>
      <w:r w:rsidR="00ED18C3">
        <w:rPr>
          <w:rStyle w:val="FootnoteReference"/>
          <w:iCs/>
        </w:rPr>
        <w:footnoteReference w:id="443"/>
      </w:r>
      <w:r w:rsidR="00ED18C3">
        <w:rPr>
          <w:iCs/>
        </w:rPr>
        <w:t xml:space="preserve"> </w:t>
      </w:r>
      <w:r w:rsidR="00ED18C3" w:rsidRPr="00ED18C3">
        <w:rPr>
          <w:iCs/>
        </w:rPr>
        <w:t>Robinson</w:t>
      </w:r>
      <w:r w:rsidR="00ED18C3">
        <w:rPr>
          <w:iCs/>
        </w:rPr>
        <w:t>,</w:t>
      </w:r>
      <w:r w:rsidR="00ED18C3">
        <w:rPr>
          <w:rStyle w:val="FootnoteReference"/>
          <w:iCs/>
        </w:rPr>
        <w:footnoteReference w:id="444"/>
      </w:r>
      <w:r w:rsidR="00ED18C3">
        <w:rPr>
          <w:iCs/>
        </w:rPr>
        <w:t xml:space="preserve"> and Sugrue</w:t>
      </w:r>
      <w:r w:rsidR="00ED18C3">
        <w:rPr>
          <w:rStyle w:val="FootnoteReference"/>
          <w:iCs/>
        </w:rPr>
        <w:footnoteReference w:id="445"/>
      </w:r>
      <w:r w:rsidR="00ED18C3">
        <w:rPr>
          <w:iCs/>
        </w:rPr>
        <w:t xml:space="preserve"> all counsel that a future that enjoys economic equality cannot ignore the traps and circles that mar the past.</w:t>
      </w:r>
    </w:p>
    <w:p w:rsidR="00D432A0" w:rsidRDefault="00D432A0" w:rsidP="00EA738D">
      <w:pPr>
        <w:spacing w:line="480" w:lineRule="auto"/>
        <w:ind w:firstLine="720"/>
        <w:rPr>
          <w:iCs/>
        </w:rPr>
      </w:pPr>
      <w:r>
        <w:rPr>
          <w:iCs/>
        </w:rPr>
        <w:t xml:space="preserve">A study of Detroit history, economic literature, and a consideration of Professor Hammer’s Marygrove speech, then, helps us understand that the plans for Detroit’s </w:t>
      </w:r>
      <w:r w:rsidR="00263BB2">
        <w:rPr>
          <w:iCs/>
        </w:rPr>
        <w:t xml:space="preserve">seized </w:t>
      </w:r>
      <w:r>
        <w:rPr>
          <w:iCs/>
        </w:rPr>
        <w:t>land will not serve the interest of poverty uplift.</w:t>
      </w:r>
    </w:p>
    <w:p w:rsidR="002D341D" w:rsidRPr="002D341D" w:rsidRDefault="002D341D" w:rsidP="00EA738D">
      <w:pPr>
        <w:pStyle w:val="ListParagraph"/>
        <w:numPr>
          <w:ilvl w:val="0"/>
          <w:numId w:val="20"/>
        </w:numPr>
        <w:spacing w:line="480" w:lineRule="auto"/>
        <w:rPr>
          <w:iCs/>
        </w:rPr>
      </w:pPr>
      <w:r>
        <w:rPr>
          <w:iCs/>
        </w:rPr>
        <w:t>So what would work?</w:t>
      </w:r>
    </w:p>
    <w:p w:rsidR="002D341D" w:rsidRPr="002D341D" w:rsidRDefault="002D341D" w:rsidP="00EA738D">
      <w:pPr>
        <w:spacing w:line="480" w:lineRule="auto"/>
        <w:ind w:firstLine="720"/>
        <w:rPr>
          <w:iCs/>
        </w:rPr>
      </w:pPr>
      <w:r>
        <w:rPr>
          <w:iCs/>
        </w:rPr>
        <w:t xml:space="preserve">The question then arrives:  What plans </w:t>
      </w:r>
      <w:r>
        <w:rPr>
          <w:i/>
          <w:iCs/>
        </w:rPr>
        <w:t xml:space="preserve">would </w:t>
      </w:r>
      <w:r>
        <w:rPr>
          <w:iCs/>
        </w:rPr>
        <w:t xml:space="preserve">serve the aims of moving Detroit’s indigent out of poverty and into the middle class?  </w:t>
      </w:r>
      <w:r w:rsidRPr="002D341D">
        <w:rPr>
          <w:iCs/>
        </w:rPr>
        <w:t xml:space="preserve">Must the DFC’s plans </w:t>
      </w:r>
      <w:r w:rsidR="00842583">
        <w:rPr>
          <w:iCs/>
        </w:rPr>
        <w:t xml:space="preserve">to use the cleared space </w:t>
      </w:r>
      <w:r w:rsidRPr="002D341D">
        <w:rPr>
          <w:iCs/>
        </w:rPr>
        <w:t xml:space="preserve">for </w:t>
      </w:r>
      <w:r w:rsidR="00842583">
        <w:rPr>
          <w:iCs/>
        </w:rPr>
        <w:t>economic</w:t>
      </w:r>
      <w:r w:rsidRPr="002D341D">
        <w:rPr>
          <w:iCs/>
        </w:rPr>
        <w:t xml:space="preserve"> growth be scrapped?  My answer is no, provided that the growth plans remain </w:t>
      </w:r>
      <w:r>
        <w:rPr>
          <w:iCs/>
        </w:rPr>
        <w:t>pegged to poverty alleviation</w:t>
      </w:r>
      <w:r w:rsidR="007F4184">
        <w:rPr>
          <w:iCs/>
        </w:rPr>
        <w:t>.  This conclusion expands</w:t>
      </w:r>
      <w:r w:rsidRPr="002D341D">
        <w:rPr>
          <w:iCs/>
        </w:rPr>
        <w:t xml:space="preserve"> into a huge economics question concerning the r</w:t>
      </w:r>
      <w:r w:rsidR="002A7B58">
        <w:rPr>
          <w:iCs/>
        </w:rPr>
        <w:t>ole of growth plans in</w:t>
      </w:r>
      <w:r w:rsidRPr="002D341D">
        <w:rPr>
          <w:iCs/>
        </w:rPr>
        <w:t xml:space="preserve"> poverty</w:t>
      </w:r>
      <w:r w:rsidR="002A7B58">
        <w:rPr>
          <w:iCs/>
        </w:rPr>
        <w:t xml:space="preserve"> uplift</w:t>
      </w:r>
      <w:r w:rsidRPr="002D341D">
        <w:rPr>
          <w:iCs/>
        </w:rPr>
        <w:t xml:space="preserve">.  One take on fixing poverty </w:t>
      </w:r>
      <w:r w:rsidR="00842583">
        <w:rPr>
          <w:iCs/>
        </w:rPr>
        <w:t xml:space="preserve">through eminent domain </w:t>
      </w:r>
      <w:r w:rsidRPr="002D341D">
        <w:rPr>
          <w:iCs/>
        </w:rPr>
        <w:t>in Detroit might counsel cutting all costs and distributing the city’s meager funds and remaining, sound, empty buildings to poor people – in other words, to create a kind of austerity</w:t>
      </w:r>
      <w:r w:rsidR="00282999">
        <w:rPr>
          <w:iCs/>
        </w:rPr>
        <w:t>/property redistribution</w:t>
      </w:r>
      <w:r w:rsidRPr="002D341D">
        <w:rPr>
          <w:iCs/>
        </w:rPr>
        <w:t xml:space="preserve"> takings plan.  But austerity is in bad ideological shape these days:  Controversies over austerity programs currently roil national and </w:t>
      </w:r>
      <w:r w:rsidRPr="002D341D">
        <w:rPr>
          <w:iCs/>
        </w:rPr>
        <w:lastRenderedPageBreak/>
        <w:t>international programs.  While economists such as Carmen M. Reinhart and Kenneth S. Rogoff are the beleaguered spokepeople for austerity agendas,</w:t>
      </w:r>
      <w:r w:rsidRPr="002D341D">
        <w:rPr>
          <w:iCs/>
          <w:vertAlign w:val="superscript"/>
        </w:rPr>
        <w:footnoteReference w:id="446"/>
      </w:r>
      <w:r w:rsidRPr="002D341D">
        <w:rPr>
          <w:iCs/>
        </w:rPr>
        <w:t xml:space="preserve"> nations such as Ireland evidence some benefits of austerity plans,</w:t>
      </w:r>
      <w:r w:rsidRPr="002D341D">
        <w:rPr>
          <w:iCs/>
          <w:vertAlign w:val="superscript"/>
        </w:rPr>
        <w:footnoteReference w:id="447"/>
      </w:r>
      <w:r w:rsidRPr="002D341D">
        <w:rPr>
          <w:iCs/>
        </w:rPr>
        <w:t xml:space="preserve"> and Scranton, Pennsylvania made a short-lived but high-profile experiment with austerity,</w:t>
      </w:r>
      <w:r w:rsidRPr="002D341D">
        <w:rPr>
          <w:iCs/>
          <w:vertAlign w:val="superscript"/>
        </w:rPr>
        <w:footnoteReference w:id="448"/>
      </w:r>
      <w:r w:rsidRPr="002D341D">
        <w:rPr>
          <w:iCs/>
        </w:rPr>
        <w:t xml:space="preserve"> a watershed of economists support growth measures for poverty </w:t>
      </w:r>
      <w:r w:rsidR="002A7B58">
        <w:rPr>
          <w:iCs/>
        </w:rPr>
        <w:t>alleviation</w:t>
      </w:r>
      <w:r w:rsidRPr="002D341D">
        <w:rPr>
          <w:iCs/>
        </w:rPr>
        <w:t>, including infusions of capital and the taking on of debt.</w:t>
      </w:r>
      <w:r w:rsidRPr="002D341D">
        <w:rPr>
          <w:iCs/>
          <w:vertAlign w:val="superscript"/>
        </w:rPr>
        <w:footnoteReference w:id="449"/>
      </w:r>
      <w:r w:rsidR="007A69C8">
        <w:rPr>
          <w:iCs/>
        </w:rPr>
        <w:t xml:space="preserve">  </w:t>
      </w:r>
      <w:r w:rsidR="002A7B58">
        <w:rPr>
          <w:iCs/>
        </w:rPr>
        <w:t>In other words</w:t>
      </w:r>
      <w:r w:rsidR="007A69C8">
        <w:rPr>
          <w:iCs/>
        </w:rPr>
        <w:t>, “You can’t be a city full of poor people forever.”</w:t>
      </w:r>
      <w:r w:rsidR="007A69C8">
        <w:rPr>
          <w:rStyle w:val="FootnoteReference"/>
          <w:iCs/>
        </w:rPr>
        <w:footnoteReference w:id="450"/>
      </w:r>
    </w:p>
    <w:p w:rsidR="002D341D" w:rsidRPr="002D341D" w:rsidRDefault="002D341D" w:rsidP="00EA738D">
      <w:pPr>
        <w:spacing w:line="480" w:lineRule="auto"/>
        <w:ind w:firstLine="720"/>
        <w:rPr>
          <w:iCs/>
        </w:rPr>
      </w:pPr>
      <w:r w:rsidRPr="002D341D">
        <w:rPr>
          <w:iCs/>
        </w:rPr>
        <w:t xml:space="preserve">However, while growth certainly </w:t>
      </w:r>
      <w:r w:rsidRPr="002D341D">
        <w:rPr>
          <w:i/>
          <w:iCs/>
        </w:rPr>
        <w:t xml:space="preserve">can </w:t>
      </w:r>
      <w:r w:rsidRPr="002D341D">
        <w:rPr>
          <w:iCs/>
        </w:rPr>
        <w:t>create indigents’ upcast,</w:t>
      </w:r>
      <w:r w:rsidRPr="002D341D">
        <w:rPr>
          <w:iCs/>
          <w:vertAlign w:val="superscript"/>
        </w:rPr>
        <w:footnoteReference w:id="451"/>
      </w:r>
      <w:r w:rsidRPr="002D341D">
        <w:rPr>
          <w:iCs/>
        </w:rPr>
        <w:t xml:space="preserve"> it still does not necessarily mean an end to poverty.  Paul Krugman worries that growth and inequality walk hand in hand.</w:t>
      </w:r>
      <w:r w:rsidRPr="002D341D">
        <w:rPr>
          <w:iCs/>
          <w:vertAlign w:val="superscript"/>
        </w:rPr>
        <w:footnoteReference w:id="452"/>
      </w:r>
      <w:r w:rsidRPr="002D341D">
        <w:rPr>
          <w:iCs/>
        </w:rPr>
        <w:t xml:space="preserve">  William Easterly, that champion of the free market, notes that in some cases growth shoves the poor to the side.</w:t>
      </w:r>
      <w:r w:rsidRPr="002D341D">
        <w:rPr>
          <w:iCs/>
          <w:vertAlign w:val="superscript"/>
        </w:rPr>
        <w:footnoteReference w:id="453"/>
      </w:r>
      <w:r w:rsidRPr="002D341D">
        <w:rPr>
          <w:iCs/>
        </w:rPr>
        <w:t xml:space="preserve">  In the realm of foreign aid, economists such as Paul Collier struggle with a world bristling </w:t>
      </w:r>
      <w:r w:rsidRPr="002D341D">
        <w:rPr>
          <w:iCs/>
        </w:rPr>
        <w:lastRenderedPageBreak/>
        <w:t>with increasing plenty that still does not touch “the bottom billion.”</w:t>
      </w:r>
      <w:r w:rsidRPr="002D341D">
        <w:rPr>
          <w:iCs/>
          <w:vertAlign w:val="superscript"/>
        </w:rPr>
        <w:footnoteReference w:id="454"/>
      </w:r>
      <w:r w:rsidRPr="002D341D">
        <w:rPr>
          <w:iCs/>
        </w:rPr>
        <w:t xml:space="preserve">  Already, we can see signs of this pro</w:t>
      </w:r>
      <w:r w:rsidR="00387F4D">
        <w:rPr>
          <w:iCs/>
        </w:rPr>
        <w:t>blem in Detroit:  While Mike Ilit</w:t>
      </w:r>
      <w:r w:rsidRPr="002D341D">
        <w:rPr>
          <w:iCs/>
        </w:rPr>
        <w:t>ch’s land purchases in the Cass Corrid</w:t>
      </w:r>
      <w:r w:rsidR="002A7B58">
        <w:rPr>
          <w:iCs/>
        </w:rPr>
        <w:t>or might be described as being good</w:t>
      </w:r>
      <w:r w:rsidRPr="002D341D">
        <w:rPr>
          <w:iCs/>
        </w:rPr>
        <w:t xml:space="preserve"> for the people because they are cleaning up a “thick” part of town, Josh explained how this cleansing resulted in an exile of low-income people and a palace for Big Hockey.</w:t>
      </w:r>
      <w:r w:rsidRPr="002D341D">
        <w:rPr>
          <w:iCs/>
          <w:vertAlign w:val="superscript"/>
        </w:rPr>
        <w:footnoteReference w:id="455"/>
      </w:r>
    </w:p>
    <w:p w:rsidR="00272205" w:rsidRDefault="002D341D" w:rsidP="00EA738D">
      <w:pPr>
        <w:spacing w:line="480" w:lineRule="auto"/>
        <w:ind w:firstLine="720"/>
        <w:rPr>
          <w:iCs/>
        </w:rPr>
      </w:pPr>
      <w:r w:rsidRPr="002D341D">
        <w:rPr>
          <w:iCs/>
        </w:rPr>
        <w:t>What is needed, then, is a</w:t>
      </w:r>
      <w:r w:rsidR="00282999">
        <w:rPr>
          <w:iCs/>
        </w:rPr>
        <w:t>n eminent domain</w:t>
      </w:r>
      <w:r w:rsidRPr="002D341D">
        <w:rPr>
          <w:iCs/>
        </w:rPr>
        <w:t xml:space="preserve"> program that</w:t>
      </w:r>
      <w:r w:rsidR="00282999">
        <w:rPr>
          <w:iCs/>
        </w:rPr>
        <w:t xml:space="preserve"> </w:t>
      </w:r>
      <w:r w:rsidR="00272205">
        <w:rPr>
          <w:iCs/>
        </w:rPr>
        <w:t>combines with a</w:t>
      </w:r>
      <w:r w:rsidR="005D5EE2">
        <w:rPr>
          <w:iCs/>
        </w:rPr>
        <w:t xml:space="preserve"> financial strategy that</w:t>
      </w:r>
      <w:r w:rsidRPr="002D341D">
        <w:rPr>
          <w:iCs/>
        </w:rPr>
        <w:t xml:space="preserve"> mixes the infusion of capital and the provision of incentives with schemes devoted to poverty uplift funded by the resulting increase. </w:t>
      </w:r>
      <w:r w:rsidR="00387F4D">
        <w:rPr>
          <w:iCs/>
        </w:rPr>
        <w:t xml:space="preserve"> </w:t>
      </w:r>
      <w:r w:rsidR="00272205" w:rsidRPr="00272205">
        <w:rPr>
          <w:iCs/>
        </w:rPr>
        <w:t>Roosevelt’s New Deal</w:t>
      </w:r>
      <w:r w:rsidR="00272205" w:rsidRPr="00272205">
        <w:rPr>
          <w:iCs/>
          <w:vertAlign w:val="superscript"/>
        </w:rPr>
        <w:footnoteReference w:id="456"/>
      </w:r>
      <w:r w:rsidR="00272205" w:rsidRPr="00272205">
        <w:rPr>
          <w:iCs/>
        </w:rPr>
        <w:t xml:space="preserve"> as well as </w:t>
      </w:r>
      <w:r w:rsidR="00F33F4E" w:rsidRPr="00272205">
        <w:rPr>
          <w:iCs/>
        </w:rPr>
        <w:t>Keynesian</w:t>
      </w:r>
      <w:r w:rsidR="00272205" w:rsidRPr="00272205">
        <w:rPr>
          <w:iCs/>
        </w:rPr>
        <w:t xml:space="preserve"> economics</w:t>
      </w:r>
      <w:r w:rsidR="00272205" w:rsidRPr="00272205">
        <w:rPr>
          <w:iCs/>
          <w:vertAlign w:val="superscript"/>
        </w:rPr>
        <w:footnoteReference w:id="457"/>
      </w:r>
      <w:r w:rsidR="00272205" w:rsidRPr="00272205">
        <w:rPr>
          <w:iCs/>
        </w:rPr>
        <w:t xml:space="preserve"> and one of its most modern U.S. incarnations, New York Mayor Bill de Blasio’s</w:t>
      </w:r>
      <w:r w:rsidR="00272205" w:rsidRPr="00272205">
        <w:rPr>
          <w:iCs/>
          <w:vertAlign w:val="superscript"/>
        </w:rPr>
        <w:footnoteReference w:id="458"/>
      </w:r>
      <w:r w:rsidR="00272205" w:rsidRPr="00272205">
        <w:rPr>
          <w:iCs/>
        </w:rPr>
        <w:t xml:space="preserve"> style of governance, offer models, providing for an economy mixing the free market with state controls.  </w:t>
      </w:r>
    </w:p>
    <w:p w:rsidR="00387F4D" w:rsidRDefault="005D5EE2" w:rsidP="00EA738D">
      <w:pPr>
        <w:spacing w:line="480" w:lineRule="auto"/>
        <w:ind w:firstLine="720"/>
        <w:rPr>
          <w:iCs/>
        </w:rPr>
      </w:pPr>
      <w:r>
        <w:rPr>
          <w:iCs/>
        </w:rPr>
        <w:t xml:space="preserve">Admittedly, this is a vast expansion from any previous eminent domain plan that I have ever heard of, </w:t>
      </w:r>
      <w:r w:rsidR="00272205">
        <w:rPr>
          <w:iCs/>
        </w:rPr>
        <w:t xml:space="preserve">particularly </w:t>
      </w:r>
      <w:r>
        <w:rPr>
          <w:iCs/>
        </w:rPr>
        <w:t xml:space="preserve">since </w:t>
      </w:r>
      <w:r w:rsidR="00272205">
        <w:rPr>
          <w:iCs/>
        </w:rPr>
        <w:t xml:space="preserve">modern </w:t>
      </w:r>
      <w:r>
        <w:rPr>
          <w:iCs/>
        </w:rPr>
        <w:t xml:space="preserve">eminent domain plans typically amount to the government’s </w:t>
      </w:r>
      <w:r w:rsidR="00272205">
        <w:rPr>
          <w:iCs/>
        </w:rPr>
        <w:t xml:space="preserve">giving confiscated property </w:t>
      </w:r>
      <w:r>
        <w:rPr>
          <w:iCs/>
        </w:rPr>
        <w:t>to a franchise that tries to grow business out of it.</w:t>
      </w:r>
      <w:r>
        <w:rPr>
          <w:rStyle w:val="FootnoteReference"/>
          <w:iCs/>
        </w:rPr>
        <w:footnoteReference w:id="459"/>
      </w:r>
      <w:r>
        <w:rPr>
          <w:iCs/>
        </w:rPr>
        <w:t xml:space="preserve">  </w:t>
      </w:r>
      <w:r w:rsidR="00272205">
        <w:rPr>
          <w:iCs/>
        </w:rPr>
        <w:t xml:space="preserve">I may be criticized for turning eminent domain into a multi-faceted city planning program that vaults far from the original intent or </w:t>
      </w:r>
      <w:r w:rsidR="00272205">
        <w:rPr>
          <w:iCs/>
        </w:rPr>
        <w:lastRenderedPageBreak/>
        <w:t>even contemporary understanding of the Takings Clause, which is to make sure that a piece of property is used for the public.  Yet to ensure that th</w:t>
      </w:r>
      <w:r w:rsidR="00387F4D">
        <w:rPr>
          <w:iCs/>
        </w:rPr>
        <w:t>ese acquisitions of property do</w:t>
      </w:r>
      <w:r w:rsidR="00272205">
        <w:rPr>
          <w:iCs/>
        </w:rPr>
        <w:t xml:space="preserve"> secure the welfares of low income people, the city must do more than acquire the property, pay its owners FMV, and mouth its good intentions about helping the underclass.  It must actually aim to help indigents.  And, as Delphia Simmons shows us</w:t>
      </w:r>
      <w:r w:rsidR="00387F4D">
        <w:rPr>
          <w:iCs/>
        </w:rPr>
        <w:t xml:space="preserve"> in particular</w:t>
      </w:r>
      <w:r w:rsidR="00272205">
        <w:rPr>
          <w:iCs/>
        </w:rPr>
        <w:t>, this will require more than ta</w:t>
      </w:r>
      <w:r w:rsidR="00842583">
        <w:rPr>
          <w:iCs/>
        </w:rPr>
        <w:t>gging a few property “pods”</w:t>
      </w:r>
      <w:r w:rsidR="00272205">
        <w:rPr>
          <w:iCs/>
        </w:rPr>
        <w:t xml:space="preserve"> for homeless people</w:t>
      </w:r>
      <w:r w:rsidR="00387F4D">
        <w:rPr>
          <w:iCs/>
        </w:rPr>
        <w:t>.</w:t>
      </w:r>
      <w:r w:rsidR="00387F4D">
        <w:rPr>
          <w:rStyle w:val="FootnoteReference"/>
          <w:iCs/>
        </w:rPr>
        <w:footnoteReference w:id="460"/>
      </w:r>
      <w:r w:rsidR="00272205">
        <w:rPr>
          <w:iCs/>
        </w:rPr>
        <w:t xml:space="preserve"> </w:t>
      </w:r>
      <w:r w:rsidR="00387F4D">
        <w:rPr>
          <w:iCs/>
        </w:rPr>
        <w:t xml:space="preserve"> An effective anti-poverty program</w:t>
      </w:r>
      <w:r w:rsidR="00842583">
        <w:rPr>
          <w:iCs/>
        </w:rPr>
        <w:t>, instead,</w:t>
      </w:r>
      <w:r w:rsidR="00387F4D">
        <w:rPr>
          <w:iCs/>
        </w:rPr>
        <w:t xml:space="preserve"> must eliminate poverty traps.  So, the growth that the DFC contemplates cultivating in Detroit’s confiscated and cleared space </w:t>
      </w:r>
      <w:r w:rsidR="00796D5B">
        <w:rPr>
          <w:iCs/>
        </w:rPr>
        <w:t>must combine</w:t>
      </w:r>
      <w:r w:rsidR="002D341D" w:rsidRPr="002D341D">
        <w:rPr>
          <w:iCs/>
        </w:rPr>
        <w:t xml:space="preserve"> with anti-poverty programs </w:t>
      </w:r>
      <w:r w:rsidR="00387F4D">
        <w:rPr>
          <w:iCs/>
        </w:rPr>
        <w:t>that</w:t>
      </w:r>
      <w:r w:rsidR="002D341D" w:rsidRPr="002D341D">
        <w:rPr>
          <w:i/>
          <w:iCs/>
        </w:rPr>
        <w:t xml:space="preserve"> </w:t>
      </w:r>
      <w:r w:rsidR="002D341D" w:rsidRPr="00387F4D">
        <w:rPr>
          <w:iCs/>
        </w:rPr>
        <w:t>tack</w:t>
      </w:r>
      <w:r w:rsidR="00842583">
        <w:rPr>
          <w:iCs/>
        </w:rPr>
        <w:t>le those</w:t>
      </w:r>
      <w:r w:rsidR="002D341D" w:rsidRPr="00387F4D">
        <w:rPr>
          <w:iCs/>
        </w:rPr>
        <w:t xml:space="preserve"> traps.</w:t>
      </w:r>
      <w:r w:rsidR="002D341D" w:rsidRPr="002D341D">
        <w:rPr>
          <w:iCs/>
        </w:rPr>
        <w:t xml:space="preserve">  </w:t>
      </w:r>
    </w:p>
    <w:p w:rsidR="002D341D" w:rsidRPr="00B77782" w:rsidRDefault="00387F4D" w:rsidP="00EA738D">
      <w:pPr>
        <w:spacing w:line="480" w:lineRule="auto"/>
        <w:ind w:firstLine="720"/>
        <w:rPr>
          <w:iCs/>
        </w:rPr>
      </w:pPr>
      <w:r>
        <w:rPr>
          <w:iCs/>
        </w:rPr>
        <w:t>This is a big job.  F</w:t>
      </w:r>
      <w:r w:rsidR="002D341D" w:rsidRPr="002D341D">
        <w:rPr>
          <w:iCs/>
        </w:rPr>
        <w:t xml:space="preserve">ormulating this plan will </w:t>
      </w:r>
      <w:r>
        <w:rPr>
          <w:iCs/>
        </w:rPr>
        <w:t xml:space="preserve">be difficult.  It will also </w:t>
      </w:r>
      <w:r w:rsidR="002D341D" w:rsidRPr="002D341D">
        <w:rPr>
          <w:iCs/>
        </w:rPr>
        <w:t xml:space="preserve">require </w:t>
      </w:r>
      <w:r w:rsidR="00E93BBA" w:rsidRPr="002D341D">
        <w:rPr>
          <w:iCs/>
        </w:rPr>
        <w:t>clarity</w:t>
      </w:r>
      <w:r w:rsidR="002D341D" w:rsidRPr="002D341D">
        <w:rPr>
          <w:iCs/>
        </w:rPr>
        <w:t xml:space="preserve"> of vision – that is, a practice of seeing, rather than peering – in order to avoid some of the old culturally violen</w:t>
      </w:r>
      <w:r>
        <w:rPr>
          <w:iCs/>
        </w:rPr>
        <w:t xml:space="preserve">t stumbling blocks that historically have prevented architects of eminent domain </w:t>
      </w:r>
      <w:r w:rsidR="002D341D" w:rsidRPr="002D341D">
        <w:rPr>
          <w:iCs/>
        </w:rPr>
        <w:t>from securing the welfares of low-income people.</w:t>
      </w:r>
    </w:p>
    <w:p w:rsidR="00306E7F" w:rsidRPr="002D341D" w:rsidRDefault="0022029F" w:rsidP="00EA738D">
      <w:pPr>
        <w:pStyle w:val="ListParagraph"/>
        <w:numPr>
          <w:ilvl w:val="0"/>
          <w:numId w:val="20"/>
        </w:numPr>
        <w:spacing w:before="240" w:line="480" w:lineRule="auto"/>
        <w:rPr>
          <w:iCs/>
        </w:rPr>
      </w:pPr>
      <w:r w:rsidRPr="002D341D">
        <w:rPr>
          <w:iCs/>
        </w:rPr>
        <w:t xml:space="preserve">How to Fix This:  Seeing, not Peering, our way to </w:t>
      </w:r>
      <w:r w:rsidR="00C3763D" w:rsidRPr="002D341D">
        <w:rPr>
          <w:iCs/>
        </w:rPr>
        <w:t>alleviating poverty and hewing pathways to the middle class</w:t>
      </w:r>
      <w:r w:rsidR="0004335F" w:rsidRPr="002D341D">
        <w:rPr>
          <w:iCs/>
        </w:rPr>
        <w:t xml:space="preserve"> in Detroit</w:t>
      </w:r>
    </w:p>
    <w:p w:rsidR="00B44E77" w:rsidRDefault="00A14059" w:rsidP="00EA738D">
      <w:pPr>
        <w:spacing w:line="480" w:lineRule="auto"/>
        <w:ind w:firstLine="720"/>
        <w:rPr>
          <w:iCs/>
        </w:rPr>
      </w:pPr>
      <w:r>
        <w:rPr>
          <w:iCs/>
        </w:rPr>
        <w:t xml:space="preserve">“We’re trying to achieve </w:t>
      </w:r>
      <w:r w:rsidRPr="00A14059">
        <w:rPr>
          <w:iCs/>
        </w:rPr>
        <w:t xml:space="preserve">community building through </w:t>
      </w:r>
      <w:r>
        <w:rPr>
          <w:iCs/>
        </w:rPr>
        <w:t xml:space="preserve">the telling of </w:t>
      </w:r>
      <w:r w:rsidRPr="00A14059">
        <w:rPr>
          <w:iCs/>
        </w:rPr>
        <w:t>stories</w:t>
      </w:r>
      <w:r>
        <w:rPr>
          <w:iCs/>
        </w:rPr>
        <w:t>,” Shel Kimen explains to me on the phone.</w:t>
      </w:r>
      <w:r w:rsidR="00C0534F">
        <w:rPr>
          <w:rStyle w:val="FootnoteReference"/>
          <w:iCs/>
        </w:rPr>
        <w:footnoteReference w:id="461"/>
      </w:r>
      <w:r>
        <w:rPr>
          <w:iCs/>
        </w:rPr>
        <w:t xml:space="preserve">  I’ve called her up for an interview about her project, </w:t>
      </w:r>
      <w:r w:rsidR="002A7B58">
        <w:rPr>
          <w:iCs/>
        </w:rPr>
        <w:t xml:space="preserve">Detroit’s </w:t>
      </w:r>
      <w:r>
        <w:rPr>
          <w:iCs/>
        </w:rPr>
        <w:t xml:space="preserve">“Collision Works,” </w:t>
      </w:r>
      <w:r w:rsidR="00560CE3">
        <w:rPr>
          <w:iCs/>
        </w:rPr>
        <w:t>a program she intended at first to result in an arts-focused, 36-room hotel made out of shipping containers</w:t>
      </w:r>
      <w:r w:rsidR="00403757">
        <w:rPr>
          <w:iCs/>
        </w:rPr>
        <w:t>, where she expected people to swap personal tales</w:t>
      </w:r>
      <w:r w:rsidR="00560CE3">
        <w:rPr>
          <w:iCs/>
        </w:rPr>
        <w:t>.</w:t>
      </w:r>
      <w:r w:rsidR="00560CE3">
        <w:rPr>
          <w:rStyle w:val="FootnoteReference"/>
          <w:iCs/>
        </w:rPr>
        <w:footnoteReference w:id="462"/>
      </w:r>
      <w:r w:rsidR="00560CE3">
        <w:rPr>
          <w:iCs/>
        </w:rPr>
        <w:t xml:space="preserve">  </w:t>
      </w:r>
      <w:r w:rsidRPr="00A14059">
        <w:rPr>
          <w:iCs/>
        </w:rPr>
        <w:t xml:space="preserve"> </w:t>
      </w:r>
      <w:r w:rsidR="00560CE3">
        <w:rPr>
          <w:iCs/>
        </w:rPr>
        <w:t>Shel</w:t>
      </w:r>
      <w:r w:rsidR="00B53E09">
        <w:rPr>
          <w:iCs/>
        </w:rPr>
        <w:t>, an Anglo woman,</w:t>
      </w:r>
      <w:r w:rsidR="00560CE3">
        <w:rPr>
          <w:iCs/>
        </w:rPr>
        <w:t xml:space="preserve"> raise</w:t>
      </w:r>
      <w:r w:rsidR="0019119A">
        <w:rPr>
          <w:iCs/>
        </w:rPr>
        <w:t>d</w:t>
      </w:r>
      <w:r w:rsidR="00560CE3">
        <w:rPr>
          <w:iCs/>
        </w:rPr>
        <w:t xml:space="preserve"> </w:t>
      </w:r>
      <w:r w:rsidR="00403757">
        <w:rPr>
          <w:iCs/>
        </w:rPr>
        <w:t xml:space="preserve">over </w:t>
      </w:r>
      <w:r w:rsidR="00403757">
        <w:rPr>
          <w:iCs/>
        </w:rPr>
        <w:lastRenderedPageBreak/>
        <w:t>$43,000 for the enterprise on Kickstarter,</w:t>
      </w:r>
      <w:r w:rsidR="00403757">
        <w:rPr>
          <w:rStyle w:val="FootnoteReference"/>
          <w:iCs/>
        </w:rPr>
        <w:footnoteReference w:id="463"/>
      </w:r>
      <w:r w:rsidR="00403757">
        <w:rPr>
          <w:iCs/>
        </w:rPr>
        <w:t xml:space="preserve"> but has now divided up the mission into hospitality and storytelling.</w:t>
      </w:r>
      <w:r w:rsidR="00403757">
        <w:rPr>
          <w:rStyle w:val="FootnoteReference"/>
          <w:iCs/>
        </w:rPr>
        <w:footnoteReference w:id="464"/>
      </w:r>
      <w:r w:rsidR="0019119A">
        <w:rPr>
          <w:iCs/>
        </w:rPr>
        <w:t xml:space="preserve">  Shel </w:t>
      </w:r>
      <w:r w:rsidR="00403757">
        <w:rPr>
          <w:iCs/>
        </w:rPr>
        <w:t xml:space="preserve">held her “First Container” series in a shipping container sited at Eastern Market, </w:t>
      </w:r>
      <w:r w:rsidR="00B44E77">
        <w:rPr>
          <w:iCs/>
        </w:rPr>
        <w:t xml:space="preserve">a six-block market a mile northeast of </w:t>
      </w:r>
      <w:r w:rsidR="00872482">
        <w:rPr>
          <w:iCs/>
        </w:rPr>
        <w:t xml:space="preserve">downtown </w:t>
      </w:r>
      <w:r w:rsidR="00B44E77">
        <w:rPr>
          <w:iCs/>
        </w:rPr>
        <w:t>Detroit.</w:t>
      </w:r>
      <w:r w:rsidR="00B44E77">
        <w:rPr>
          <w:rStyle w:val="FootnoteReference"/>
          <w:iCs/>
        </w:rPr>
        <w:footnoteReference w:id="465"/>
      </w:r>
      <w:r w:rsidR="00B44E77">
        <w:rPr>
          <w:iCs/>
        </w:rPr>
        <w:t xml:space="preserve">  People come to the shipping container and share stories about their lives in the city.  </w:t>
      </w:r>
    </w:p>
    <w:p w:rsidR="00B44E77" w:rsidRPr="00B44E77" w:rsidRDefault="00B44E77" w:rsidP="00EA738D">
      <w:pPr>
        <w:spacing w:line="480" w:lineRule="auto"/>
        <w:ind w:firstLine="720"/>
        <w:rPr>
          <w:iCs/>
        </w:rPr>
      </w:pPr>
      <w:r>
        <w:rPr>
          <w:iCs/>
        </w:rPr>
        <w:t xml:space="preserve">“Our </w:t>
      </w:r>
      <w:r w:rsidR="00A14059" w:rsidRPr="00A14059">
        <w:rPr>
          <w:iCs/>
        </w:rPr>
        <w:t xml:space="preserve">explicit mission </w:t>
      </w:r>
      <w:r>
        <w:rPr>
          <w:iCs/>
        </w:rPr>
        <w:t>is to create empathy,” she emphasizes.  “There aren’t that many p</w:t>
      </w:r>
      <w:r w:rsidRPr="00B44E77">
        <w:rPr>
          <w:iCs/>
        </w:rPr>
        <w:t xml:space="preserve">laces </w:t>
      </w:r>
      <w:r>
        <w:rPr>
          <w:iCs/>
        </w:rPr>
        <w:t xml:space="preserve">in Detroit </w:t>
      </w:r>
      <w:r w:rsidRPr="00B44E77">
        <w:rPr>
          <w:iCs/>
        </w:rPr>
        <w:t>wher</w:t>
      </w:r>
      <w:r>
        <w:rPr>
          <w:iCs/>
        </w:rPr>
        <w:t>e</w:t>
      </w:r>
      <w:r w:rsidRPr="00B44E77">
        <w:rPr>
          <w:iCs/>
        </w:rPr>
        <w:t xml:space="preserve"> </w:t>
      </w:r>
      <w:r>
        <w:rPr>
          <w:iCs/>
        </w:rPr>
        <w:t xml:space="preserve">many different kinds of people </w:t>
      </w:r>
      <w:r w:rsidRPr="00B44E77">
        <w:rPr>
          <w:iCs/>
        </w:rPr>
        <w:t>feel comfortable together</w:t>
      </w:r>
      <w:r>
        <w:rPr>
          <w:iCs/>
        </w:rPr>
        <w:t xml:space="preserve">.  </w:t>
      </w:r>
      <w:r w:rsidRPr="00B44E77">
        <w:rPr>
          <w:iCs/>
        </w:rPr>
        <w:t>Eas</w:t>
      </w:r>
      <w:r w:rsidR="00872482">
        <w:rPr>
          <w:iCs/>
        </w:rPr>
        <w:t>tern M</w:t>
      </w:r>
      <w:r w:rsidRPr="00B44E77">
        <w:rPr>
          <w:iCs/>
        </w:rPr>
        <w:t>arket had the right community vibe</w:t>
      </w:r>
      <w:r>
        <w:rPr>
          <w:iCs/>
        </w:rPr>
        <w:t xml:space="preserve">.  It’s one of the </w:t>
      </w:r>
      <w:r w:rsidRPr="00B44E77">
        <w:rPr>
          <w:iCs/>
        </w:rPr>
        <w:t>only places in the</w:t>
      </w:r>
      <w:r>
        <w:rPr>
          <w:iCs/>
        </w:rPr>
        <w:t xml:space="preserve"> w</w:t>
      </w:r>
      <w:r w:rsidRPr="00B44E77">
        <w:rPr>
          <w:iCs/>
        </w:rPr>
        <w:t>hole city where you get people from inside the city</w:t>
      </w:r>
      <w:r w:rsidR="00F4132A">
        <w:rPr>
          <w:iCs/>
        </w:rPr>
        <w:t xml:space="preserve">, </w:t>
      </w:r>
      <w:r>
        <w:rPr>
          <w:iCs/>
        </w:rPr>
        <w:t>outside the city, from various backgrounds and</w:t>
      </w:r>
      <w:r w:rsidRPr="00B44E77">
        <w:rPr>
          <w:iCs/>
        </w:rPr>
        <w:t xml:space="preserve"> income levels</w:t>
      </w:r>
      <w:r>
        <w:rPr>
          <w:iCs/>
        </w:rPr>
        <w:t xml:space="preserve"> all together at once.  It’s the</w:t>
      </w:r>
      <w:r w:rsidRPr="00B44E77">
        <w:rPr>
          <w:iCs/>
        </w:rPr>
        <w:t xml:space="preserve"> large</w:t>
      </w:r>
      <w:r>
        <w:rPr>
          <w:iCs/>
        </w:rPr>
        <w:t>st farmers market in the countr</w:t>
      </w:r>
      <w:r w:rsidRPr="00B44E77">
        <w:rPr>
          <w:iCs/>
        </w:rPr>
        <w:t>y</w:t>
      </w:r>
      <w:r>
        <w:rPr>
          <w:iCs/>
        </w:rPr>
        <w:t xml:space="preserve">, </w:t>
      </w:r>
      <w:r w:rsidR="00D432A0">
        <w:rPr>
          <w:iCs/>
        </w:rPr>
        <w:t>in operation since 1851.  It’s five</w:t>
      </w:r>
      <w:r w:rsidRPr="00B44E77">
        <w:rPr>
          <w:iCs/>
        </w:rPr>
        <w:t xml:space="preserve"> city blocks of market </w:t>
      </w:r>
      <w:r>
        <w:rPr>
          <w:iCs/>
        </w:rPr>
        <w:t>where you can get your organic Z</w:t>
      </w:r>
      <w:r w:rsidRPr="00B44E77">
        <w:rPr>
          <w:iCs/>
        </w:rPr>
        <w:t>en raw kale</w:t>
      </w:r>
      <w:r>
        <w:rPr>
          <w:iCs/>
        </w:rPr>
        <w:t>,</w:t>
      </w:r>
      <w:r w:rsidRPr="00B44E77">
        <w:rPr>
          <w:iCs/>
        </w:rPr>
        <w:t xml:space="preserve"> or get a box of tomat</w:t>
      </w:r>
      <w:r w:rsidR="00D432A0">
        <w:rPr>
          <w:iCs/>
        </w:rPr>
        <w:t>oes at end of day for two</w:t>
      </w:r>
      <w:r>
        <w:rPr>
          <w:iCs/>
        </w:rPr>
        <w:t xml:space="preserve"> bucks.  So it’s a r</w:t>
      </w:r>
      <w:r w:rsidRPr="00B44E77">
        <w:rPr>
          <w:iCs/>
        </w:rPr>
        <w:t>eally interesting collision of people coexisting and that’s rare for this city</w:t>
      </w:r>
      <w:r>
        <w:rPr>
          <w:iCs/>
        </w:rPr>
        <w:t>.”</w:t>
      </w:r>
    </w:p>
    <w:p w:rsidR="00B44E77" w:rsidRPr="00B44E77" w:rsidRDefault="00B44E77" w:rsidP="00EA738D">
      <w:pPr>
        <w:spacing w:line="480" w:lineRule="auto"/>
        <w:ind w:firstLine="720"/>
        <w:rPr>
          <w:iCs/>
        </w:rPr>
      </w:pPr>
      <w:r>
        <w:rPr>
          <w:iCs/>
        </w:rPr>
        <w:t xml:space="preserve">“Why do you want to cultivate Detroit empathy?” I ask her.  “Who </w:t>
      </w:r>
      <w:r w:rsidRPr="00B44E77">
        <w:rPr>
          <w:iCs/>
        </w:rPr>
        <w:t>lacks empathy?</w:t>
      </w:r>
      <w:r>
        <w:rPr>
          <w:iCs/>
        </w:rPr>
        <w:t>”</w:t>
      </w:r>
    </w:p>
    <w:p w:rsidR="00B44E77" w:rsidRPr="00B44E77" w:rsidRDefault="00181989" w:rsidP="00EA738D">
      <w:pPr>
        <w:spacing w:line="480" w:lineRule="auto"/>
        <w:ind w:firstLine="720"/>
        <w:rPr>
          <w:iCs/>
        </w:rPr>
      </w:pPr>
      <w:r>
        <w:rPr>
          <w:iCs/>
        </w:rPr>
        <w:t>Shel answers without pausing.  “</w:t>
      </w:r>
      <w:r w:rsidR="00B44E77" w:rsidRPr="00B44E77">
        <w:rPr>
          <w:iCs/>
        </w:rPr>
        <w:t>We all do.  It’s a really complicated environment</w:t>
      </w:r>
      <w:r>
        <w:rPr>
          <w:iCs/>
        </w:rPr>
        <w:t xml:space="preserve"> here.  T</w:t>
      </w:r>
      <w:r w:rsidR="00B44E77" w:rsidRPr="00B44E77">
        <w:rPr>
          <w:iCs/>
        </w:rPr>
        <w:t>he biggest and most obvious issue is that w</w:t>
      </w:r>
      <w:r>
        <w:rPr>
          <w:iCs/>
        </w:rPr>
        <w:t>e have six billion dollars of downtown</w:t>
      </w:r>
      <w:r w:rsidR="00B44E77" w:rsidRPr="00B44E77">
        <w:rPr>
          <w:iCs/>
        </w:rPr>
        <w:t xml:space="preserve"> development in </w:t>
      </w:r>
      <w:r w:rsidR="000D2C5B">
        <w:rPr>
          <w:iCs/>
        </w:rPr>
        <w:t xml:space="preserve">the </w:t>
      </w:r>
      <w:r w:rsidR="0079183C">
        <w:rPr>
          <w:iCs/>
        </w:rPr>
        <w:t>last two</w:t>
      </w:r>
      <w:r w:rsidR="00B44E77" w:rsidRPr="00B44E77">
        <w:rPr>
          <w:iCs/>
        </w:rPr>
        <w:t xml:space="preserve"> years</w:t>
      </w:r>
      <w:r>
        <w:rPr>
          <w:iCs/>
        </w:rPr>
        <w:t xml:space="preserve">, </w:t>
      </w:r>
      <w:r w:rsidR="00B44E77" w:rsidRPr="00B44E77">
        <w:rPr>
          <w:iCs/>
        </w:rPr>
        <w:t>and we still can’t get toile</w:t>
      </w:r>
      <w:r>
        <w:rPr>
          <w:iCs/>
        </w:rPr>
        <w:t xml:space="preserve">t paper to the fire department. </w:t>
      </w:r>
      <w:r w:rsidR="00D432A0">
        <w:rPr>
          <w:iCs/>
        </w:rPr>
        <w:t xml:space="preserve"> </w:t>
      </w:r>
      <w:r>
        <w:rPr>
          <w:iCs/>
        </w:rPr>
        <w:t>T</w:t>
      </w:r>
      <w:r w:rsidR="00B44E77" w:rsidRPr="00B44E77">
        <w:rPr>
          <w:iCs/>
        </w:rPr>
        <w:t>here’s a very classic</w:t>
      </w:r>
      <w:r>
        <w:rPr>
          <w:iCs/>
        </w:rPr>
        <w:t xml:space="preserve"> tale of two cities going on</w:t>
      </w:r>
      <w:r w:rsidR="00B44E77" w:rsidRPr="00B44E77">
        <w:rPr>
          <w:iCs/>
        </w:rPr>
        <w:t xml:space="preserve"> with </w:t>
      </w:r>
      <w:r>
        <w:rPr>
          <w:iCs/>
        </w:rPr>
        <w:t>the new development.  [The growth]</w:t>
      </w:r>
      <w:r w:rsidR="00B44E77" w:rsidRPr="00B44E77">
        <w:rPr>
          <w:iCs/>
        </w:rPr>
        <w:t xml:space="preserve"> is great</w:t>
      </w:r>
      <w:r>
        <w:rPr>
          <w:iCs/>
        </w:rPr>
        <w:t>,</w:t>
      </w:r>
      <w:r w:rsidR="00B44E77" w:rsidRPr="00B44E77">
        <w:rPr>
          <w:iCs/>
        </w:rPr>
        <w:t xml:space="preserve"> except that job opportunities don’t match the skills that are here</w:t>
      </w:r>
      <w:r>
        <w:rPr>
          <w:iCs/>
        </w:rPr>
        <w:t>,</w:t>
      </w:r>
      <w:r w:rsidR="00B44E77" w:rsidRPr="00B44E77">
        <w:rPr>
          <w:iCs/>
        </w:rPr>
        <w:t xml:space="preserve"> and the demographic is changing rapidly</w:t>
      </w:r>
      <w:r>
        <w:rPr>
          <w:iCs/>
        </w:rPr>
        <w:t>,</w:t>
      </w:r>
      <w:r w:rsidR="00B44E77" w:rsidRPr="00B44E77">
        <w:rPr>
          <w:iCs/>
        </w:rPr>
        <w:t xml:space="preserve"> and the new services and amenities are being designed for the new demographic</w:t>
      </w:r>
      <w:r>
        <w:rPr>
          <w:iCs/>
        </w:rPr>
        <w:t>.  That is,</w:t>
      </w:r>
      <w:r w:rsidR="00F4132A">
        <w:rPr>
          <w:iCs/>
        </w:rPr>
        <w:t xml:space="preserve"> W</w:t>
      </w:r>
      <w:r w:rsidR="00B44E77" w:rsidRPr="00B44E77">
        <w:rPr>
          <w:iCs/>
        </w:rPr>
        <w:t>hite millennials</w:t>
      </w:r>
      <w:r>
        <w:rPr>
          <w:iCs/>
        </w:rPr>
        <w:t>.  A</w:t>
      </w:r>
      <w:r w:rsidR="00B44E77" w:rsidRPr="00B44E77">
        <w:rPr>
          <w:iCs/>
        </w:rPr>
        <w:t>nd it</w:t>
      </w:r>
      <w:r>
        <w:rPr>
          <w:iCs/>
        </w:rPr>
        <w:t>’</w:t>
      </w:r>
      <w:r w:rsidR="00B44E77" w:rsidRPr="00B44E77">
        <w:rPr>
          <w:iCs/>
        </w:rPr>
        <w:t xml:space="preserve">s challenging </w:t>
      </w:r>
      <w:r>
        <w:rPr>
          <w:iCs/>
        </w:rPr>
        <w:t>b</w:t>
      </w:r>
      <w:r w:rsidR="00B44E77" w:rsidRPr="00B44E77">
        <w:rPr>
          <w:iCs/>
        </w:rPr>
        <w:t xml:space="preserve">ecause we have new people </w:t>
      </w:r>
      <w:r>
        <w:rPr>
          <w:iCs/>
        </w:rPr>
        <w:t xml:space="preserve">coming </w:t>
      </w:r>
      <w:r w:rsidR="00B44E77" w:rsidRPr="00B44E77">
        <w:rPr>
          <w:iCs/>
        </w:rPr>
        <w:t xml:space="preserve">to the city </w:t>
      </w:r>
      <w:r w:rsidR="000D2C5B">
        <w:rPr>
          <w:iCs/>
        </w:rPr>
        <w:t>saying ‘</w:t>
      </w:r>
      <w:r>
        <w:rPr>
          <w:iCs/>
        </w:rPr>
        <w:t>I don’t know why they [lifetime residents] are</w:t>
      </w:r>
      <w:r w:rsidR="000D2C5B">
        <w:rPr>
          <w:iCs/>
        </w:rPr>
        <w:t xml:space="preserve"> so angry’</w:t>
      </w:r>
      <w:r w:rsidR="00B44E77" w:rsidRPr="00B44E77">
        <w:rPr>
          <w:iCs/>
        </w:rPr>
        <w:t xml:space="preserve"> and they </w:t>
      </w:r>
      <w:r w:rsidR="007261B0">
        <w:rPr>
          <w:iCs/>
        </w:rPr>
        <w:t xml:space="preserve">don’t feel like they can </w:t>
      </w:r>
      <w:r w:rsidR="00B44E77" w:rsidRPr="00B44E77">
        <w:rPr>
          <w:iCs/>
        </w:rPr>
        <w:t>go to the neighborhood</w:t>
      </w:r>
      <w:r w:rsidR="000D2C5B">
        <w:rPr>
          <w:iCs/>
        </w:rPr>
        <w:t>s.  A</w:t>
      </w:r>
      <w:r w:rsidR="00B44E77" w:rsidRPr="00B44E77">
        <w:rPr>
          <w:iCs/>
        </w:rPr>
        <w:t xml:space="preserve">nd they don’t understand privilege in </w:t>
      </w:r>
      <w:r w:rsidR="00B44E77" w:rsidRPr="00B44E77">
        <w:rPr>
          <w:iCs/>
        </w:rPr>
        <w:lastRenderedPageBreak/>
        <w:t>the greater story</w:t>
      </w:r>
      <w:r w:rsidR="000D2C5B">
        <w:rPr>
          <w:iCs/>
        </w:rPr>
        <w:t xml:space="preserve">.  And then there </w:t>
      </w:r>
      <w:r w:rsidR="00B44E77" w:rsidRPr="00B44E77">
        <w:rPr>
          <w:iCs/>
        </w:rPr>
        <w:t>are a lot of other people in the neighborhoods who are fr</w:t>
      </w:r>
      <w:r w:rsidR="000D2C5B">
        <w:rPr>
          <w:iCs/>
        </w:rPr>
        <w:t xml:space="preserve">ustrated by the new development, and </w:t>
      </w:r>
      <w:r w:rsidR="00B44E77" w:rsidRPr="00B44E77">
        <w:rPr>
          <w:iCs/>
        </w:rPr>
        <w:t>don’t feel like they do</w:t>
      </w:r>
      <w:r w:rsidR="000D2C5B">
        <w:rPr>
          <w:iCs/>
        </w:rPr>
        <w:t>n’t have a seat at the table.  But</w:t>
      </w:r>
      <w:r w:rsidR="00B44E77" w:rsidRPr="00B44E77">
        <w:rPr>
          <w:iCs/>
        </w:rPr>
        <w:t xml:space="preserve"> there are </w:t>
      </w:r>
      <w:r w:rsidR="000D2C5B" w:rsidRPr="00B44E77">
        <w:rPr>
          <w:iCs/>
        </w:rPr>
        <w:t>opportunities</w:t>
      </w:r>
      <w:r w:rsidR="000D2C5B">
        <w:rPr>
          <w:iCs/>
        </w:rPr>
        <w:t xml:space="preserve"> for all of us to </w:t>
      </w:r>
      <w:r w:rsidR="00B44E77" w:rsidRPr="00B44E77">
        <w:rPr>
          <w:iCs/>
        </w:rPr>
        <w:t>step outside of our comfort zone</w:t>
      </w:r>
      <w:r w:rsidR="000D2C5B">
        <w:rPr>
          <w:iCs/>
        </w:rPr>
        <w:t>.”</w:t>
      </w:r>
    </w:p>
    <w:p w:rsidR="007261B0" w:rsidRDefault="00442214" w:rsidP="00EA738D">
      <w:pPr>
        <w:spacing w:line="480" w:lineRule="auto"/>
        <w:ind w:firstLine="720"/>
        <w:rPr>
          <w:iCs/>
        </w:rPr>
      </w:pPr>
      <w:r>
        <w:rPr>
          <w:iCs/>
        </w:rPr>
        <w:t xml:space="preserve">Shel furnished </w:t>
      </w:r>
      <w:r w:rsidR="00872482">
        <w:rPr>
          <w:iCs/>
        </w:rPr>
        <w:t xml:space="preserve">Collision Works’ repurposed shipping container </w:t>
      </w:r>
      <w:r w:rsidR="00A7738F">
        <w:rPr>
          <w:iCs/>
        </w:rPr>
        <w:t xml:space="preserve">with plush furniture, lamps, and tables, and </w:t>
      </w:r>
      <w:r>
        <w:rPr>
          <w:iCs/>
        </w:rPr>
        <w:t xml:space="preserve">in it </w:t>
      </w:r>
      <w:r w:rsidR="00A7738F">
        <w:rPr>
          <w:iCs/>
        </w:rPr>
        <w:t>provide</w:t>
      </w:r>
      <w:r w:rsidR="00D432A0">
        <w:rPr>
          <w:iCs/>
        </w:rPr>
        <w:t>s</w:t>
      </w:r>
      <w:r w:rsidR="00A7738F">
        <w:rPr>
          <w:iCs/>
        </w:rPr>
        <w:t xml:space="preserve"> an intimate setting where people can tell each other about their lives.</w:t>
      </w:r>
      <w:r w:rsidR="00A7738F">
        <w:rPr>
          <w:rStyle w:val="FootnoteReference"/>
          <w:iCs/>
        </w:rPr>
        <w:footnoteReference w:id="466"/>
      </w:r>
      <w:r w:rsidR="00A7738F">
        <w:rPr>
          <w:iCs/>
        </w:rPr>
        <w:t xml:space="preserve">  “</w:t>
      </w:r>
      <w:r w:rsidR="007261B0">
        <w:rPr>
          <w:iCs/>
        </w:rPr>
        <w:t xml:space="preserve">I split off the hotel business from the story sharing aspect because I soon realized that </w:t>
      </w:r>
      <w:r w:rsidR="007261B0" w:rsidRPr="007261B0">
        <w:rPr>
          <w:iCs/>
        </w:rPr>
        <w:t>the stories were very impo</w:t>
      </w:r>
      <w:r w:rsidR="007261B0">
        <w:rPr>
          <w:iCs/>
        </w:rPr>
        <w:t>r</w:t>
      </w:r>
      <w:r w:rsidR="00F27D18">
        <w:rPr>
          <w:iCs/>
        </w:rPr>
        <w:t>tant for the people in the city,” Shel tells me.</w:t>
      </w:r>
      <w:r w:rsidR="007261B0">
        <w:rPr>
          <w:iCs/>
        </w:rPr>
        <w:t xml:space="preserve">  </w:t>
      </w:r>
      <w:r w:rsidR="00F27D18">
        <w:rPr>
          <w:iCs/>
        </w:rPr>
        <w:t>“</w:t>
      </w:r>
      <w:r w:rsidR="007261B0">
        <w:rPr>
          <w:iCs/>
        </w:rPr>
        <w:t>T</w:t>
      </w:r>
      <w:r w:rsidR="007261B0" w:rsidRPr="007261B0">
        <w:rPr>
          <w:iCs/>
        </w:rPr>
        <w:t>here’s been a lot of trauma and people</w:t>
      </w:r>
      <w:r w:rsidR="007261B0">
        <w:rPr>
          <w:iCs/>
        </w:rPr>
        <w:t xml:space="preserve"> </w:t>
      </w:r>
      <w:r w:rsidR="007261B0" w:rsidRPr="007261B0">
        <w:rPr>
          <w:iCs/>
        </w:rPr>
        <w:t>need to talk</w:t>
      </w:r>
      <w:r w:rsidR="007261B0">
        <w:rPr>
          <w:iCs/>
        </w:rPr>
        <w:t>.  We talk about tricky things.”</w:t>
      </w:r>
    </w:p>
    <w:p w:rsidR="007261B0" w:rsidRDefault="007261B0" w:rsidP="00EA738D">
      <w:pPr>
        <w:spacing w:line="480" w:lineRule="auto"/>
        <w:ind w:firstLine="720"/>
        <w:rPr>
          <w:iCs/>
        </w:rPr>
      </w:pPr>
      <w:r>
        <w:rPr>
          <w:iCs/>
        </w:rPr>
        <w:t>“Like what?”</w:t>
      </w:r>
    </w:p>
    <w:p w:rsidR="007261B0" w:rsidRPr="007261B0" w:rsidRDefault="007261B0" w:rsidP="00EA738D">
      <w:pPr>
        <w:spacing w:line="480" w:lineRule="auto"/>
        <w:ind w:firstLine="720"/>
        <w:rPr>
          <w:iCs/>
        </w:rPr>
      </w:pPr>
      <w:r>
        <w:rPr>
          <w:iCs/>
        </w:rPr>
        <w:t>Shel sighs.  “</w:t>
      </w:r>
      <w:r w:rsidRPr="007261B0">
        <w:rPr>
          <w:iCs/>
        </w:rPr>
        <w:t>Race</w:t>
      </w:r>
      <w:r>
        <w:rPr>
          <w:iCs/>
        </w:rPr>
        <w:t>,</w:t>
      </w:r>
      <w:r w:rsidRPr="007261B0">
        <w:rPr>
          <w:iCs/>
        </w:rPr>
        <w:t xml:space="preserve"> class</w:t>
      </w:r>
      <w:r>
        <w:rPr>
          <w:iCs/>
        </w:rPr>
        <w:t>,</w:t>
      </w:r>
      <w:r w:rsidRPr="007261B0">
        <w:rPr>
          <w:iCs/>
        </w:rPr>
        <w:t xml:space="preserve"> gender</w:t>
      </w:r>
      <w:r>
        <w:rPr>
          <w:iCs/>
        </w:rPr>
        <w:t>,</w:t>
      </w:r>
      <w:r w:rsidRPr="007261B0">
        <w:rPr>
          <w:iCs/>
        </w:rPr>
        <w:t xml:space="preserve"> sexuality</w:t>
      </w:r>
      <w:r>
        <w:rPr>
          <w:iCs/>
        </w:rPr>
        <w:t>,</w:t>
      </w:r>
      <w:r w:rsidRPr="007261B0">
        <w:rPr>
          <w:iCs/>
        </w:rPr>
        <w:t xml:space="preserve"> income disparity</w:t>
      </w:r>
      <w:r>
        <w:rPr>
          <w:iCs/>
        </w:rPr>
        <w:t xml:space="preserve"> -- all kin</w:t>
      </w:r>
      <w:r w:rsidRPr="007261B0">
        <w:rPr>
          <w:iCs/>
        </w:rPr>
        <w:t>d</w:t>
      </w:r>
      <w:r>
        <w:rPr>
          <w:iCs/>
        </w:rPr>
        <w:t>s</w:t>
      </w:r>
      <w:r w:rsidRPr="007261B0">
        <w:rPr>
          <w:iCs/>
        </w:rPr>
        <w:t xml:space="preserve"> of things</w:t>
      </w:r>
      <w:r>
        <w:rPr>
          <w:iCs/>
        </w:rPr>
        <w:t xml:space="preserve">. </w:t>
      </w:r>
      <w:r w:rsidR="00442214">
        <w:rPr>
          <w:iCs/>
        </w:rPr>
        <w:t xml:space="preserve"> </w:t>
      </w:r>
      <w:r>
        <w:rPr>
          <w:iCs/>
        </w:rPr>
        <w:t xml:space="preserve">The project is about Detroit revitalization and inclusion, and race and class.  It’s about helping people get space to talk about [their lives.] </w:t>
      </w:r>
      <w:r w:rsidR="00442214">
        <w:rPr>
          <w:iCs/>
        </w:rPr>
        <w:t xml:space="preserve"> </w:t>
      </w:r>
      <w:r>
        <w:rPr>
          <w:iCs/>
        </w:rPr>
        <w:t>It’s a community space and we’re having all sorts of wackadoodle conversations.”</w:t>
      </w:r>
    </w:p>
    <w:p w:rsidR="00B5785E" w:rsidRDefault="00B5785E" w:rsidP="00EA738D">
      <w:pPr>
        <w:spacing w:line="480" w:lineRule="auto"/>
        <w:ind w:firstLine="720"/>
        <w:rPr>
          <w:iCs/>
        </w:rPr>
      </w:pPr>
      <w:r>
        <w:rPr>
          <w:iCs/>
        </w:rPr>
        <w:t>“Are you getting any city funding?  Or, say, funding from Dan Gilbert?  He’s head of the Blight Task Force and involved in a lot of Detroit projects.”</w:t>
      </w:r>
    </w:p>
    <w:p w:rsidR="00B5785E" w:rsidRDefault="00B5785E" w:rsidP="00EA738D">
      <w:pPr>
        <w:spacing w:line="480" w:lineRule="auto"/>
        <w:ind w:firstLine="720"/>
        <w:rPr>
          <w:iCs/>
        </w:rPr>
      </w:pPr>
      <w:r>
        <w:rPr>
          <w:iCs/>
        </w:rPr>
        <w:t>“No,” she says, flatly.  “I’m not reaching out to Dan G</w:t>
      </w:r>
      <w:r w:rsidRPr="00B5785E">
        <w:rPr>
          <w:iCs/>
        </w:rPr>
        <w:t>ilbert</w:t>
      </w:r>
      <w:r>
        <w:rPr>
          <w:iCs/>
        </w:rPr>
        <w:t>.  That whole program, it’s complicated spiritually.  T</w:t>
      </w:r>
      <w:r w:rsidRPr="00B5785E">
        <w:rPr>
          <w:iCs/>
        </w:rPr>
        <w:t>here’s no alignment</w:t>
      </w:r>
      <w:r w:rsidR="00EB144D">
        <w:rPr>
          <w:iCs/>
        </w:rPr>
        <w:t xml:space="preserve"> [with the city]</w:t>
      </w:r>
      <w:r>
        <w:rPr>
          <w:iCs/>
        </w:rPr>
        <w:t>.”</w:t>
      </w:r>
    </w:p>
    <w:p w:rsidR="00B5785E" w:rsidRPr="00B5785E" w:rsidRDefault="00B5785E" w:rsidP="00EA738D">
      <w:pPr>
        <w:spacing w:line="480" w:lineRule="auto"/>
        <w:ind w:firstLine="720"/>
        <w:rPr>
          <w:iCs/>
        </w:rPr>
      </w:pPr>
      <w:r>
        <w:rPr>
          <w:iCs/>
        </w:rPr>
        <w:t>“No alignment how?”</w:t>
      </w:r>
      <w:r w:rsidRPr="00B5785E">
        <w:rPr>
          <w:iCs/>
        </w:rPr>
        <w:t xml:space="preserve"> </w:t>
      </w:r>
    </w:p>
    <w:p w:rsidR="001B5396" w:rsidRDefault="00B5785E" w:rsidP="00EA738D">
      <w:pPr>
        <w:spacing w:line="480" w:lineRule="auto"/>
        <w:ind w:firstLine="720"/>
        <w:rPr>
          <w:iCs/>
        </w:rPr>
      </w:pPr>
      <w:r>
        <w:rPr>
          <w:iCs/>
        </w:rPr>
        <w:t>“</w:t>
      </w:r>
      <w:r w:rsidRPr="00B5785E">
        <w:rPr>
          <w:iCs/>
        </w:rPr>
        <w:t>Aesthetics</w:t>
      </w:r>
      <w:r>
        <w:rPr>
          <w:iCs/>
        </w:rPr>
        <w:t xml:space="preserve">, for one.  </w:t>
      </w:r>
      <w:r w:rsidR="00EB144D">
        <w:rPr>
          <w:iCs/>
        </w:rPr>
        <w:t xml:space="preserve"> A</w:t>
      </w:r>
      <w:r w:rsidRPr="00B5785E">
        <w:rPr>
          <w:iCs/>
        </w:rPr>
        <w:t xml:space="preserve"> lot of the</w:t>
      </w:r>
      <w:r w:rsidR="00EB144D">
        <w:rPr>
          <w:iCs/>
        </w:rPr>
        <w:t xml:space="preserve"> </w:t>
      </w:r>
      <w:r w:rsidRPr="00B5785E">
        <w:rPr>
          <w:iCs/>
        </w:rPr>
        <w:t>work that’s being imagined and created through that organization is a design aesthetic that I don’t find interesting</w:t>
      </w:r>
      <w:r w:rsidR="00EB144D">
        <w:rPr>
          <w:iCs/>
        </w:rPr>
        <w:t>.  It’s new.  I</w:t>
      </w:r>
      <w:r w:rsidRPr="00B5785E">
        <w:rPr>
          <w:iCs/>
        </w:rPr>
        <w:t>t</w:t>
      </w:r>
      <w:r w:rsidR="00EB144D">
        <w:rPr>
          <w:iCs/>
        </w:rPr>
        <w:t>’</w:t>
      </w:r>
      <w:r w:rsidRPr="00B5785E">
        <w:rPr>
          <w:iCs/>
        </w:rPr>
        <w:t>s flashy</w:t>
      </w:r>
      <w:r w:rsidR="00EB144D">
        <w:rPr>
          <w:iCs/>
        </w:rPr>
        <w:t>.  I</w:t>
      </w:r>
      <w:r w:rsidRPr="00B5785E">
        <w:rPr>
          <w:iCs/>
        </w:rPr>
        <w:t>t</w:t>
      </w:r>
      <w:r w:rsidR="00EB144D">
        <w:rPr>
          <w:iCs/>
        </w:rPr>
        <w:t>’s modern and pretty – but. . . . It’s t</w:t>
      </w:r>
      <w:r w:rsidRPr="00B5785E">
        <w:rPr>
          <w:iCs/>
        </w:rPr>
        <w:t>rying to cultivate community</w:t>
      </w:r>
      <w:r w:rsidR="001B5396">
        <w:rPr>
          <w:iCs/>
        </w:rPr>
        <w:t>,</w:t>
      </w:r>
      <w:r w:rsidRPr="00B5785E">
        <w:rPr>
          <w:iCs/>
        </w:rPr>
        <w:t xml:space="preserve"> but a very specific community</w:t>
      </w:r>
      <w:r w:rsidR="00442214">
        <w:rPr>
          <w:iCs/>
        </w:rPr>
        <w:t xml:space="preserve"> – a W</w:t>
      </w:r>
      <w:r w:rsidR="00EB144D">
        <w:rPr>
          <w:iCs/>
        </w:rPr>
        <w:t xml:space="preserve">hite millennial </w:t>
      </w:r>
      <w:r w:rsidR="00EB144D">
        <w:rPr>
          <w:iCs/>
        </w:rPr>
        <w:lastRenderedPageBreak/>
        <w:t>community.  I mean, take Campus Martius [the park in downtown Detroit</w:t>
      </w:r>
      <w:r w:rsidR="00872482">
        <w:rPr>
          <w:iCs/>
        </w:rPr>
        <w:t>, which sits across from the Starbucks, and</w:t>
      </w:r>
      <w:r w:rsidR="00EB144D">
        <w:rPr>
          <w:iCs/>
        </w:rPr>
        <w:t xml:space="preserve"> that was recently </w:t>
      </w:r>
      <w:r w:rsidR="001B5396">
        <w:rPr>
          <w:iCs/>
        </w:rPr>
        <w:t>converted into a temporary beach</w:t>
      </w:r>
      <w:r w:rsidR="00EB144D">
        <w:rPr>
          <w:iCs/>
        </w:rPr>
        <w:t>.]</w:t>
      </w:r>
      <w:r w:rsidR="00EB144D">
        <w:rPr>
          <w:rStyle w:val="FootnoteReference"/>
          <w:iCs/>
        </w:rPr>
        <w:footnoteReference w:id="467"/>
      </w:r>
      <w:r w:rsidR="00EB144D">
        <w:rPr>
          <w:iCs/>
        </w:rPr>
        <w:t xml:space="preserve">  I</w:t>
      </w:r>
      <w:r w:rsidRPr="00B5785E">
        <w:rPr>
          <w:iCs/>
        </w:rPr>
        <w:t xml:space="preserve">t’s a tiki bar </w:t>
      </w:r>
      <w:r w:rsidR="00EB144D">
        <w:rPr>
          <w:iCs/>
        </w:rPr>
        <w:t xml:space="preserve">-- </w:t>
      </w:r>
      <w:r w:rsidRPr="00B5785E">
        <w:rPr>
          <w:iCs/>
        </w:rPr>
        <w:t xml:space="preserve">and our greatest public park </w:t>
      </w:r>
      <w:r w:rsidR="00EB144D">
        <w:rPr>
          <w:iCs/>
        </w:rPr>
        <w:t xml:space="preserve">-- </w:t>
      </w:r>
      <w:r w:rsidRPr="00B5785E">
        <w:rPr>
          <w:iCs/>
        </w:rPr>
        <w:t>with sand and torches and lawn chairs</w:t>
      </w:r>
      <w:r w:rsidR="00EB144D">
        <w:rPr>
          <w:iCs/>
        </w:rPr>
        <w:t>,</w:t>
      </w:r>
      <w:r w:rsidRPr="00B5785E">
        <w:rPr>
          <w:iCs/>
        </w:rPr>
        <w:t xml:space="preserve"> which is</w:t>
      </w:r>
      <w:r w:rsidR="00EB144D">
        <w:rPr>
          <w:iCs/>
        </w:rPr>
        <w:t xml:space="preserve"> fun, b</w:t>
      </w:r>
      <w:r w:rsidRPr="00B5785E">
        <w:rPr>
          <w:iCs/>
        </w:rPr>
        <w:t xml:space="preserve">ut really kind of strange to a lot of people </w:t>
      </w:r>
      <w:r w:rsidR="00EB144D">
        <w:rPr>
          <w:iCs/>
        </w:rPr>
        <w:t xml:space="preserve">who </w:t>
      </w:r>
      <w:r w:rsidRPr="00B5785E">
        <w:rPr>
          <w:iCs/>
        </w:rPr>
        <w:t xml:space="preserve">have </w:t>
      </w:r>
      <w:r w:rsidR="00EB144D">
        <w:rPr>
          <w:iCs/>
        </w:rPr>
        <w:t xml:space="preserve">different ideas about what civic </w:t>
      </w:r>
      <w:r w:rsidRPr="00B5785E">
        <w:rPr>
          <w:iCs/>
        </w:rPr>
        <w:t>parks</w:t>
      </w:r>
      <w:r w:rsidR="00EB144D">
        <w:rPr>
          <w:iCs/>
        </w:rPr>
        <w:t xml:space="preserve"> is supposed to be.</w:t>
      </w:r>
      <w:r w:rsidR="001B5396">
        <w:rPr>
          <w:iCs/>
        </w:rPr>
        <w:t>”</w:t>
      </w:r>
    </w:p>
    <w:p w:rsidR="001B5396" w:rsidRDefault="001B5396" w:rsidP="00EA738D">
      <w:pPr>
        <w:spacing w:line="480" w:lineRule="auto"/>
        <w:ind w:firstLine="720"/>
        <w:rPr>
          <w:iCs/>
        </w:rPr>
      </w:pPr>
      <w:r>
        <w:rPr>
          <w:iCs/>
        </w:rPr>
        <w:t>“Which is . . . ”</w:t>
      </w:r>
      <w:r w:rsidR="00EB144D">
        <w:rPr>
          <w:iCs/>
        </w:rPr>
        <w:t xml:space="preserve">  </w:t>
      </w:r>
    </w:p>
    <w:p w:rsidR="00B5785E" w:rsidRDefault="001B5396" w:rsidP="00EA738D">
      <w:pPr>
        <w:spacing w:line="480" w:lineRule="auto"/>
        <w:ind w:firstLine="720"/>
        <w:rPr>
          <w:iCs/>
        </w:rPr>
      </w:pPr>
      <w:r>
        <w:rPr>
          <w:iCs/>
        </w:rPr>
        <w:t>“</w:t>
      </w:r>
      <w:r w:rsidR="00EB144D">
        <w:rPr>
          <w:iCs/>
        </w:rPr>
        <w:t xml:space="preserve">Detroit is an aging population.  </w:t>
      </w:r>
      <w:r w:rsidR="00B5785E" w:rsidRPr="00B5785E">
        <w:rPr>
          <w:iCs/>
        </w:rPr>
        <w:t>I like new development</w:t>
      </w:r>
      <w:r w:rsidR="00EB144D">
        <w:rPr>
          <w:iCs/>
        </w:rPr>
        <w:t>,</w:t>
      </w:r>
      <w:r w:rsidR="00B5785E" w:rsidRPr="00B5785E">
        <w:rPr>
          <w:iCs/>
        </w:rPr>
        <w:t xml:space="preserve"> and I like bringing in new people and ideas</w:t>
      </w:r>
      <w:r w:rsidR="00EB144D">
        <w:rPr>
          <w:iCs/>
        </w:rPr>
        <w:t>.  And</w:t>
      </w:r>
      <w:r w:rsidR="00B5785E" w:rsidRPr="00B5785E">
        <w:rPr>
          <w:iCs/>
        </w:rPr>
        <w:t xml:space="preserve"> Detroit is probably the most protectionist</w:t>
      </w:r>
      <w:r>
        <w:rPr>
          <w:iCs/>
        </w:rPr>
        <w:t>,</w:t>
      </w:r>
      <w:r w:rsidR="00B5785E" w:rsidRPr="00B5785E">
        <w:rPr>
          <w:iCs/>
        </w:rPr>
        <w:t xml:space="preserve"> isolationis</w:t>
      </w:r>
      <w:r w:rsidR="00EB144D">
        <w:rPr>
          <w:iCs/>
        </w:rPr>
        <w:t>t community I’ve ever lived in.  But I understand why --</w:t>
      </w:r>
      <w:r w:rsidR="00B5785E" w:rsidRPr="00B5785E">
        <w:rPr>
          <w:iCs/>
        </w:rPr>
        <w:t xml:space="preserve"> it comes from</w:t>
      </w:r>
      <w:r w:rsidR="00EB144D">
        <w:rPr>
          <w:iCs/>
        </w:rPr>
        <w:t xml:space="preserve"> </w:t>
      </w:r>
      <w:r w:rsidR="00B5785E" w:rsidRPr="00B5785E">
        <w:rPr>
          <w:iCs/>
        </w:rPr>
        <w:t xml:space="preserve">a long history of thievery and distrust and seeking </w:t>
      </w:r>
      <w:r w:rsidR="00EB144D">
        <w:rPr>
          <w:iCs/>
        </w:rPr>
        <w:t>a savior from Jim Cr</w:t>
      </w:r>
      <w:r w:rsidR="00B5785E" w:rsidRPr="00B5785E">
        <w:rPr>
          <w:iCs/>
        </w:rPr>
        <w:t>ow only to find that it was here but disguised</w:t>
      </w:r>
      <w:r w:rsidR="00EB144D">
        <w:rPr>
          <w:iCs/>
        </w:rPr>
        <w:t xml:space="preserve">.  So, Gilbert’s organization, </w:t>
      </w:r>
      <w:r w:rsidR="00B5785E" w:rsidRPr="00B5785E">
        <w:rPr>
          <w:iCs/>
        </w:rPr>
        <w:t xml:space="preserve">they have a vision and a plan and they want to do things </w:t>
      </w:r>
      <w:r w:rsidR="00B5785E" w:rsidRPr="00EB144D">
        <w:rPr>
          <w:i/>
          <w:iCs/>
        </w:rPr>
        <w:t>their</w:t>
      </w:r>
      <w:r w:rsidR="00B5785E" w:rsidRPr="00B5785E">
        <w:rPr>
          <w:iCs/>
        </w:rPr>
        <w:t xml:space="preserve"> way</w:t>
      </w:r>
      <w:r w:rsidR="00EB144D">
        <w:rPr>
          <w:iCs/>
        </w:rPr>
        <w:t>.  And that’s why</w:t>
      </w:r>
      <w:r w:rsidR="00B5785E" w:rsidRPr="00B5785E">
        <w:rPr>
          <w:iCs/>
        </w:rPr>
        <w:t xml:space="preserve"> I don’t want to put this project in that path</w:t>
      </w:r>
      <w:r w:rsidR="00EB144D">
        <w:rPr>
          <w:iCs/>
        </w:rPr>
        <w:t>.”</w:t>
      </w:r>
    </w:p>
    <w:p w:rsidR="0079183C" w:rsidRDefault="00F27D18" w:rsidP="00EA738D">
      <w:pPr>
        <w:spacing w:line="480" w:lineRule="auto"/>
        <w:ind w:firstLine="720"/>
        <w:rPr>
          <w:iCs/>
        </w:rPr>
      </w:pPr>
      <w:r>
        <w:rPr>
          <w:iCs/>
        </w:rPr>
        <w:t>I’m scribbling down notes.  Shel continues talking.  “</w:t>
      </w:r>
      <w:r w:rsidR="007261B0" w:rsidRPr="007261B0">
        <w:rPr>
          <w:iCs/>
        </w:rPr>
        <w:t xml:space="preserve">These conversations </w:t>
      </w:r>
      <w:r>
        <w:rPr>
          <w:iCs/>
        </w:rPr>
        <w:t xml:space="preserve">at First Container – they’re emotional and personal and </w:t>
      </w:r>
      <w:r w:rsidR="007261B0" w:rsidRPr="007261B0">
        <w:rPr>
          <w:iCs/>
        </w:rPr>
        <w:t>very real</w:t>
      </w:r>
      <w:r>
        <w:rPr>
          <w:iCs/>
        </w:rPr>
        <w:t xml:space="preserve">.  And </w:t>
      </w:r>
      <w:r w:rsidR="007261B0" w:rsidRPr="007261B0">
        <w:rPr>
          <w:iCs/>
        </w:rPr>
        <w:t xml:space="preserve">at the same time </w:t>
      </w:r>
      <w:r w:rsidR="00F4132A">
        <w:rPr>
          <w:iCs/>
        </w:rPr>
        <w:t>. . .</w:t>
      </w:r>
      <w:r>
        <w:rPr>
          <w:iCs/>
        </w:rPr>
        <w:t xml:space="preserve">  I’ve seen the needle move during these exchanges.  </w:t>
      </w:r>
      <w:r w:rsidR="007261B0" w:rsidRPr="007261B0">
        <w:rPr>
          <w:iCs/>
        </w:rPr>
        <w:t xml:space="preserve"> </w:t>
      </w:r>
      <w:r>
        <w:rPr>
          <w:iCs/>
        </w:rPr>
        <w:t>The</w:t>
      </w:r>
      <w:r w:rsidR="007261B0" w:rsidRPr="007261B0">
        <w:rPr>
          <w:iCs/>
        </w:rPr>
        <w:t xml:space="preserve"> goal is not to create a homogenous </w:t>
      </w:r>
      <w:r>
        <w:rPr>
          <w:iCs/>
        </w:rPr>
        <w:t>D</w:t>
      </w:r>
      <w:r w:rsidR="007261B0" w:rsidRPr="007261B0">
        <w:rPr>
          <w:iCs/>
        </w:rPr>
        <w:t>etroit</w:t>
      </w:r>
      <w:r w:rsidR="00F4132A">
        <w:rPr>
          <w:iCs/>
        </w:rPr>
        <w:t>,</w:t>
      </w:r>
      <w:r w:rsidR="007261B0" w:rsidRPr="007261B0">
        <w:rPr>
          <w:iCs/>
        </w:rPr>
        <w:t xml:space="preserve"> but to understand our diverse experience and create linkages between them</w:t>
      </w:r>
      <w:r>
        <w:rPr>
          <w:iCs/>
        </w:rPr>
        <w:t xml:space="preserve">.”  </w:t>
      </w:r>
    </w:p>
    <w:p w:rsidR="00F27D18" w:rsidRDefault="00F27D18" w:rsidP="00EA738D">
      <w:pPr>
        <w:spacing w:line="480" w:lineRule="auto"/>
        <w:ind w:firstLine="720"/>
        <w:rPr>
          <w:iCs/>
        </w:rPr>
      </w:pPr>
      <w:r>
        <w:rPr>
          <w:iCs/>
        </w:rPr>
        <w:t>She</w:t>
      </w:r>
      <w:r w:rsidR="00872482">
        <w:rPr>
          <w:iCs/>
        </w:rPr>
        <w:t>l</w:t>
      </w:r>
      <w:r>
        <w:rPr>
          <w:iCs/>
        </w:rPr>
        <w:t xml:space="preserve"> </w:t>
      </w:r>
      <w:r w:rsidR="0019119A">
        <w:rPr>
          <w:iCs/>
        </w:rPr>
        <w:t>describes one conversation</w:t>
      </w:r>
      <w:r w:rsidR="00157CC1">
        <w:rPr>
          <w:iCs/>
        </w:rPr>
        <w:t xml:space="preserve"> where older clients of a low-income treatment center educated newcomers about an important Detroit</w:t>
      </w:r>
      <w:r w:rsidR="00872482">
        <w:rPr>
          <w:iCs/>
        </w:rPr>
        <w:t xml:space="preserve"> uprising of (among others) out-of-</w:t>
      </w:r>
      <w:r w:rsidR="00157CC1">
        <w:rPr>
          <w:iCs/>
        </w:rPr>
        <w:t>work Black people</w:t>
      </w:r>
      <w:r w:rsidR="00457744">
        <w:rPr>
          <w:iCs/>
        </w:rPr>
        <w:t>:  The shipping container sits across</w:t>
      </w:r>
      <w:r w:rsidR="00457744" w:rsidRPr="00457744">
        <w:t xml:space="preserve"> </w:t>
      </w:r>
      <w:r w:rsidR="00457744">
        <w:t>from a health services organization that “</w:t>
      </w:r>
      <w:r w:rsidR="00457744" w:rsidRPr="00457744">
        <w:rPr>
          <w:iCs/>
        </w:rPr>
        <w:t xml:space="preserve">does substance abuse counseling for </w:t>
      </w:r>
      <w:r w:rsidR="00457744">
        <w:rPr>
          <w:iCs/>
        </w:rPr>
        <w:t>people</w:t>
      </w:r>
      <w:r w:rsidR="00457744" w:rsidRPr="00457744">
        <w:rPr>
          <w:iCs/>
        </w:rPr>
        <w:t xml:space="preserve"> without health insurance</w:t>
      </w:r>
      <w:r w:rsidR="00157CC1">
        <w:rPr>
          <w:rStyle w:val="FootnoteReference"/>
          <w:iCs/>
        </w:rPr>
        <w:footnoteReference w:id="468"/>
      </w:r>
      <w:r w:rsidR="00457744">
        <w:rPr>
          <w:iCs/>
        </w:rPr>
        <w:t xml:space="preserve"> . . . </w:t>
      </w:r>
      <w:r w:rsidR="00457744" w:rsidRPr="00457744">
        <w:rPr>
          <w:iCs/>
        </w:rPr>
        <w:t xml:space="preserve"> and there was a group of people from </w:t>
      </w:r>
      <w:r w:rsidR="00457744">
        <w:rPr>
          <w:iCs/>
        </w:rPr>
        <w:t>there . . . and</w:t>
      </w:r>
      <w:r w:rsidR="00457744" w:rsidRPr="00457744">
        <w:rPr>
          <w:iCs/>
        </w:rPr>
        <w:t xml:space="preserve"> all of them had really co</w:t>
      </w:r>
      <w:r w:rsidR="00457744">
        <w:rPr>
          <w:iCs/>
        </w:rPr>
        <w:t xml:space="preserve">mplicated and challenging lives.  And then </w:t>
      </w:r>
      <w:r w:rsidR="00457744" w:rsidRPr="00457744">
        <w:rPr>
          <w:iCs/>
        </w:rPr>
        <w:t>there were some other people who</w:t>
      </w:r>
      <w:r w:rsidR="00457744">
        <w:rPr>
          <w:iCs/>
        </w:rPr>
        <w:t xml:space="preserve"> were </w:t>
      </w:r>
      <w:r w:rsidR="00457744">
        <w:rPr>
          <w:iCs/>
        </w:rPr>
        <w:lastRenderedPageBreak/>
        <w:t>young and new to the city,</w:t>
      </w:r>
      <w:r w:rsidR="00A33C29">
        <w:rPr>
          <w:iCs/>
        </w:rPr>
        <w:t xml:space="preserve"> and thinking that they were in</w:t>
      </w:r>
      <w:r w:rsidR="00457744">
        <w:rPr>
          <w:iCs/>
        </w:rPr>
        <w:t xml:space="preserve"> a cool spot, they were hanging out.  And then s</w:t>
      </w:r>
      <w:r w:rsidR="00457744" w:rsidRPr="00457744">
        <w:rPr>
          <w:iCs/>
        </w:rPr>
        <w:t xml:space="preserve">omehow we got to talking about the </w:t>
      </w:r>
      <w:r w:rsidR="00872482">
        <w:rPr>
          <w:iCs/>
        </w:rPr>
        <w:t xml:space="preserve">[race and class] </w:t>
      </w:r>
      <w:r w:rsidR="00457744" w:rsidRPr="00457744">
        <w:rPr>
          <w:iCs/>
        </w:rPr>
        <w:t>rebellion of 1967</w:t>
      </w:r>
      <w:r w:rsidR="00B53E09">
        <w:rPr>
          <w:iCs/>
        </w:rPr>
        <w:t>[</w:t>
      </w:r>
      <w:r w:rsidR="00872482">
        <w:rPr>
          <w:iCs/>
        </w:rPr>
        <w:t>, which saw fighting between a largely African-American contingent of Detroit and its Anglo police force]</w:t>
      </w:r>
      <w:r w:rsidR="00457744">
        <w:rPr>
          <w:iCs/>
        </w:rPr>
        <w:t>.</w:t>
      </w:r>
      <w:r w:rsidR="00E66F7B">
        <w:rPr>
          <w:rStyle w:val="FootnoteReference"/>
          <w:iCs/>
        </w:rPr>
        <w:footnoteReference w:id="469"/>
      </w:r>
      <w:r>
        <w:rPr>
          <w:iCs/>
        </w:rPr>
        <w:t xml:space="preserve">   W</w:t>
      </w:r>
      <w:r w:rsidRPr="007261B0">
        <w:rPr>
          <w:iCs/>
        </w:rPr>
        <w:t>hat most peo</w:t>
      </w:r>
      <w:r>
        <w:rPr>
          <w:iCs/>
        </w:rPr>
        <w:t>p</w:t>
      </w:r>
      <w:r w:rsidRPr="007261B0">
        <w:rPr>
          <w:iCs/>
        </w:rPr>
        <w:t>le understand about this is</w:t>
      </w:r>
      <w:r>
        <w:rPr>
          <w:iCs/>
        </w:rPr>
        <w:t>, the National G</w:t>
      </w:r>
      <w:r w:rsidRPr="007261B0">
        <w:rPr>
          <w:iCs/>
        </w:rPr>
        <w:t>uard comes in</w:t>
      </w:r>
      <w:r>
        <w:rPr>
          <w:iCs/>
        </w:rPr>
        <w:t>,</w:t>
      </w:r>
      <w:r w:rsidRPr="007261B0">
        <w:rPr>
          <w:iCs/>
        </w:rPr>
        <w:t xml:space="preserve"> and </w:t>
      </w:r>
      <w:r>
        <w:rPr>
          <w:iCs/>
        </w:rPr>
        <w:t>there’s chaos for a week and it</w:t>
      </w:r>
      <w:r w:rsidRPr="007261B0">
        <w:rPr>
          <w:iCs/>
        </w:rPr>
        <w:t>’</w:t>
      </w:r>
      <w:r>
        <w:rPr>
          <w:iCs/>
        </w:rPr>
        <w:t>s</w:t>
      </w:r>
      <w:r w:rsidRPr="007261B0">
        <w:rPr>
          <w:iCs/>
        </w:rPr>
        <w:t xml:space="preserve"> squished</w:t>
      </w:r>
      <w:r>
        <w:rPr>
          <w:iCs/>
        </w:rPr>
        <w:t>.  B</w:t>
      </w:r>
      <w:r w:rsidRPr="007261B0">
        <w:rPr>
          <w:iCs/>
        </w:rPr>
        <w:t>ut what pe</w:t>
      </w:r>
      <w:r>
        <w:rPr>
          <w:iCs/>
        </w:rPr>
        <w:t>o</w:t>
      </w:r>
      <w:r w:rsidRPr="007261B0">
        <w:rPr>
          <w:iCs/>
        </w:rPr>
        <w:t>ple don’t realize is that it was months of people under curfew</w:t>
      </w:r>
      <w:r>
        <w:rPr>
          <w:iCs/>
        </w:rPr>
        <w:t>, mostly where B</w:t>
      </w:r>
      <w:r w:rsidRPr="007261B0">
        <w:rPr>
          <w:iCs/>
        </w:rPr>
        <w:t>lack people live</w:t>
      </w:r>
      <w:r>
        <w:rPr>
          <w:iCs/>
        </w:rPr>
        <w:t>.  A</w:t>
      </w:r>
      <w:r w:rsidRPr="007261B0">
        <w:rPr>
          <w:iCs/>
        </w:rPr>
        <w:t>nd people didn’t have access to food</w:t>
      </w:r>
      <w:r>
        <w:rPr>
          <w:iCs/>
        </w:rPr>
        <w:t xml:space="preserve">, it was a scary time.  So </w:t>
      </w:r>
      <w:r w:rsidRPr="007261B0">
        <w:rPr>
          <w:iCs/>
        </w:rPr>
        <w:t xml:space="preserve">we started hearing about this from these people </w:t>
      </w:r>
      <w:r>
        <w:rPr>
          <w:iCs/>
        </w:rPr>
        <w:t>who</w:t>
      </w:r>
      <w:r w:rsidRPr="007261B0">
        <w:rPr>
          <w:iCs/>
        </w:rPr>
        <w:t xml:space="preserve"> had lived through it </w:t>
      </w:r>
      <w:r>
        <w:rPr>
          <w:iCs/>
        </w:rPr>
        <w:t xml:space="preserve">-- </w:t>
      </w:r>
      <w:r w:rsidRPr="007261B0">
        <w:rPr>
          <w:iCs/>
        </w:rPr>
        <w:t>one p</w:t>
      </w:r>
      <w:r w:rsidR="00157CC1">
        <w:rPr>
          <w:iCs/>
        </w:rPr>
        <w:t>erson was three or four years ol</w:t>
      </w:r>
      <w:r w:rsidRPr="007261B0">
        <w:rPr>
          <w:iCs/>
        </w:rPr>
        <w:t>d</w:t>
      </w:r>
      <w:r>
        <w:rPr>
          <w:iCs/>
        </w:rPr>
        <w:t xml:space="preserve">, another person was fifteen or sixteen. And they were all fighting to speak.  </w:t>
      </w:r>
      <w:r w:rsidRPr="007261B0">
        <w:rPr>
          <w:iCs/>
        </w:rPr>
        <w:t>And</w:t>
      </w:r>
      <w:r>
        <w:rPr>
          <w:iCs/>
        </w:rPr>
        <w:t xml:space="preserve"> </w:t>
      </w:r>
      <w:r w:rsidRPr="007261B0">
        <w:rPr>
          <w:iCs/>
        </w:rPr>
        <w:t>the</w:t>
      </w:r>
      <w:r>
        <w:rPr>
          <w:iCs/>
        </w:rPr>
        <w:t xml:space="preserve"> </w:t>
      </w:r>
      <w:r w:rsidRPr="007261B0">
        <w:rPr>
          <w:iCs/>
        </w:rPr>
        <w:t>other people were just like</w:t>
      </w:r>
      <w:r>
        <w:rPr>
          <w:iCs/>
        </w:rPr>
        <w:t>,</w:t>
      </w:r>
      <w:r w:rsidRPr="007261B0">
        <w:rPr>
          <w:iCs/>
        </w:rPr>
        <w:t xml:space="preserve"> </w:t>
      </w:r>
      <w:r w:rsidR="005A23EC">
        <w:rPr>
          <w:iCs/>
        </w:rPr>
        <w:t>‘</w:t>
      </w:r>
      <w:r w:rsidRPr="007261B0">
        <w:rPr>
          <w:iCs/>
        </w:rPr>
        <w:t>holy shit I had no idea</w:t>
      </w:r>
      <w:r>
        <w:rPr>
          <w:iCs/>
        </w:rPr>
        <w:t>!</w:t>
      </w:r>
      <w:r w:rsidR="005A23EC">
        <w:rPr>
          <w:iCs/>
        </w:rPr>
        <w:t>’</w:t>
      </w:r>
      <w:r>
        <w:rPr>
          <w:iCs/>
        </w:rPr>
        <w:t xml:space="preserve"> </w:t>
      </w:r>
      <w:r w:rsidR="005A23EC">
        <w:rPr>
          <w:iCs/>
        </w:rPr>
        <w:t xml:space="preserve"> </w:t>
      </w:r>
      <w:r>
        <w:rPr>
          <w:iCs/>
        </w:rPr>
        <w:t>A</w:t>
      </w:r>
      <w:r w:rsidRPr="007261B0">
        <w:rPr>
          <w:iCs/>
        </w:rPr>
        <w:t>nd that’s a point where the needle moved particularly</w:t>
      </w:r>
      <w:r>
        <w:rPr>
          <w:iCs/>
        </w:rPr>
        <w:t xml:space="preserve"> in this case for the newcomers.”</w:t>
      </w:r>
    </w:p>
    <w:p w:rsidR="006A17EC" w:rsidRPr="00A15957" w:rsidRDefault="00A15957" w:rsidP="00EA738D">
      <w:pPr>
        <w:spacing w:line="480" w:lineRule="auto"/>
        <w:rPr>
          <w:iCs/>
        </w:rPr>
      </w:pPr>
      <w:r>
        <w:rPr>
          <w:iCs/>
        </w:rPr>
        <w:tab/>
      </w:r>
      <w:r>
        <w:rPr>
          <w:iCs/>
        </w:rPr>
        <w:tab/>
      </w:r>
      <w:r>
        <w:rPr>
          <w:iCs/>
        </w:rPr>
        <w:tab/>
      </w:r>
      <w:r>
        <w:rPr>
          <w:iCs/>
        </w:rPr>
        <w:tab/>
      </w:r>
      <w:r>
        <w:rPr>
          <w:iCs/>
        </w:rPr>
        <w:tab/>
      </w:r>
      <w:r>
        <w:rPr>
          <w:iCs/>
        </w:rPr>
        <w:tab/>
        <w:t>*</w:t>
      </w:r>
      <w:r w:rsidR="007B4FB1">
        <w:rPr>
          <w:iCs/>
        </w:rPr>
        <w:tab/>
      </w:r>
    </w:p>
    <w:p w:rsidR="00B558CD" w:rsidRDefault="002D45DA" w:rsidP="00EA738D">
      <w:pPr>
        <w:spacing w:line="480" w:lineRule="auto"/>
        <w:ind w:firstLine="720"/>
        <w:rPr>
          <w:iCs/>
        </w:rPr>
      </w:pPr>
      <w:r>
        <w:rPr>
          <w:iCs/>
        </w:rPr>
        <w:t xml:space="preserve">Engaging poverty uplift through the use of Michigan eminent domain law should depend upon a practice of seeing, not peering, for at least three reasons:  1) to avoid using “anti-poverty” as a cover for economic programs that primarily benefit the upper classes; 2) to guard against the condescension and </w:t>
      </w:r>
      <w:r w:rsidR="00B558CD">
        <w:rPr>
          <w:iCs/>
        </w:rPr>
        <w:t xml:space="preserve">paternalism that Noah Stephens warned me about; and 3) to ensure that plans for eradicating Detroit’s poverty gaps come from people who have boots on the ground, rather than elite technocrats who may succumb to the temptations of problems 1 and 2.  </w:t>
      </w:r>
    </w:p>
    <w:p w:rsidR="002D45DA" w:rsidRDefault="00B558CD" w:rsidP="00EA738D">
      <w:pPr>
        <w:spacing w:line="480" w:lineRule="auto"/>
        <w:ind w:firstLine="720"/>
        <w:rPr>
          <w:iCs/>
        </w:rPr>
      </w:pPr>
      <w:r>
        <w:rPr>
          <w:iCs/>
        </w:rPr>
        <w:t>In this section, I will first describe the practice of seeing and not peering, and study how my visits to Detroit and my interviews with its leaders provide a first draft of such an engagement.  I will then show how this practice can help create systems that will defuse poverty traps and avoid the three problems I list above.  I will then submit a short list of suggestions for Detroit’s future that I learned from Noah Stephens, Delphia Simmons, Josh Bassett, and Shel Kimen.</w:t>
      </w:r>
    </w:p>
    <w:p w:rsidR="004A66C0" w:rsidRDefault="004A66C0" w:rsidP="00EA738D">
      <w:pPr>
        <w:pStyle w:val="ListParagraph"/>
        <w:numPr>
          <w:ilvl w:val="0"/>
          <w:numId w:val="15"/>
        </w:numPr>
        <w:spacing w:line="480" w:lineRule="auto"/>
        <w:rPr>
          <w:iCs/>
        </w:rPr>
      </w:pPr>
      <w:r>
        <w:rPr>
          <w:iCs/>
        </w:rPr>
        <w:lastRenderedPageBreak/>
        <w:t>The practice of Seeing</w:t>
      </w:r>
      <w:r w:rsidR="00A31904">
        <w:rPr>
          <w:iCs/>
        </w:rPr>
        <w:t>.</w:t>
      </w:r>
    </w:p>
    <w:p w:rsidR="0072724B" w:rsidRPr="00D432A0" w:rsidRDefault="0049584E" w:rsidP="00EA738D">
      <w:pPr>
        <w:spacing w:line="480" w:lineRule="auto"/>
        <w:ind w:firstLine="720"/>
        <w:rPr>
          <w:iCs/>
        </w:rPr>
      </w:pPr>
      <w:r w:rsidRPr="00D432A0">
        <w:rPr>
          <w:iCs/>
        </w:rPr>
        <w:t xml:space="preserve">How can a person see rather than peer?  That is, how can one see clearly?  Here, I confront the magnitude of this challenge. </w:t>
      </w:r>
      <w:r w:rsidR="00E26AD3">
        <w:rPr>
          <w:iCs/>
        </w:rPr>
        <w:t xml:space="preserve"> </w:t>
      </w:r>
      <w:r w:rsidRPr="00D432A0">
        <w:rPr>
          <w:iCs/>
        </w:rPr>
        <w:t xml:space="preserve">In </w:t>
      </w:r>
      <w:r w:rsidRPr="00D432A0">
        <w:rPr>
          <w:i/>
          <w:iCs/>
        </w:rPr>
        <w:t>Peering</w:t>
      </w:r>
      <w:r w:rsidRPr="00D432A0">
        <w:rPr>
          <w:iCs/>
        </w:rPr>
        <w:t xml:space="preserve">, </w:t>
      </w:r>
      <w:r w:rsidR="00632E49">
        <w:rPr>
          <w:iCs/>
        </w:rPr>
        <w:t>I</w:t>
      </w:r>
      <w:r w:rsidRPr="00D432A0">
        <w:rPr>
          <w:iCs/>
        </w:rPr>
        <w:t xml:space="preserve"> </w:t>
      </w:r>
      <w:r w:rsidR="004A66C0">
        <w:rPr>
          <w:iCs/>
        </w:rPr>
        <w:t xml:space="preserve">focused on one taking in particular, which was New York’s taking of </w:t>
      </w:r>
      <w:r w:rsidR="00CB51C4">
        <w:rPr>
          <w:iCs/>
        </w:rPr>
        <w:t>Manhattanville</w:t>
      </w:r>
      <w:r w:rsidR="004A66C0">
        <w:rPr>
          <w:iCs/>
        </w:rPr>
        <w:t xml:space="preserve"> under the justification that it was blighted.</w:t>
      </w:r>
      <w:r w:rsidR="004A66C0">
        <w:rPr>
          <w:rStyle w:val="FootnoteReference"/>
          <w:iCs/>
        </w:rPr>
        <w:footnoteReference w:id="470"/>
      </w:r>
      <w:r w:rsidR="00F4132A">
        <w:rPr>
          <w:iCs/>
        </w:rPr>
        <w:t xml:space="preserve">  Blight reports </w:t>
      </w:r>
      <w:r w:rsidR="004A66C0">
        <w:rPr>
          <w:iCs/>
        </w:rPr>
        <w:t>filled with ruin porn supported this determination.</w:t>
      </w:r>
      <w:r w:rsidR="004A66C0">
        <w:rPr>
          <w:rStyle w:val="FootnoteReference"/>
          <w:iCs/>
        </w:rPr>
        <w:footnoteReference w:id="471"/>
      </w:r>
      <w:r w:rsidR="004A66C0">
        <w:rPr>
          <w:iCs/>
        </w:rPr>
        <w:t xml:space="preserve">  </w:t>
      </w:r>
      <w:r w:rsidR="00CB51C4">
        <w:rPr>
          <w:iCs/>
        </w:rPr>
        <w:t>Manhattanville’s</w:t>
      </w:r>
      <w:r w:rsidR="004A66C0">
        <w:rPr>
          <w:iCs/>
        </w:rPr>
        <w:t xml:space="preserve"> taking served the interest of Columbia University, which sited its auxiliary campus there.</w:t>
      </w:r>
      <w:r w:rsidR="004A66C0">
        <w:rPr>
          <w:rStyle w:val="FootnoteReference"/>
          <w:iCs/>
        </w:rPr>
        <w:footnoteReference w:id="472"/>
      </w:r>
      <w:r w:rsidR="004A66C0">
        <w:rPr>
          <w:iCs/>
        </w:rPr>
        <w:t xml:space="preserve">  To counteract this colonization, I </w:t>
      </w:r>
      <w:r w:rsidRPr="00D432A0">
        <w:rPr>
          <w:iCs/>
        </w:rPr>
        <w:t>gather</w:t>
      </w:r>
      <w:r w:rsidR="00632E49">
        <w:rPr>
          <w:iCs/>
        </w:rPr>
        <w:t>ed</w:t>
      </w:r>
      <w:r w:rsidRPr="00D432A0">
        <w:rPr>
          <w:iCs/>
        </w:rPr>
        <w:t xml:space="preserve"> images </w:t>
      </w:r>
      <w:r w:rsidR="00632E49">
        <w:rPr>
          <w:iCs/>
        </w:rPr>
        <w:t xml:space="preserve">and stories </w:t>
      </w:r>
      <w:r w:rsidRPr="00D432A0">
        <w:rPr>
          <w:iCs/>
        </w:rPr>
        <w:t xml:space="preserve">made by </w:t>
      </w:r>
      <w:r w:rsidR="000947A7" w:rsidRPr="00D432A0">
        <w:rPr>
          <w:iCs/>
        </w:rPr>
        <w:t>Manhatta</w:t>
      </w:r>
      <w:r w:rsidR="000947A7">
        <w:rPr>
          <w:iCs/>
        </w:rPr>
        <w:t>n</w:t>
      </w:r>
      <w:r w:rsidR="000947A7" w:rsidRPr="00D432A0">
        <w:rPr>
          <w:iCs/>
        </w:rPr>
        <w:t>ville</w:t>
      </w:r>
      <w:r w:rsidR="00632E49">
        <w:rPr>
          <w:iCs/>
        </w:rPr>
        <w:t xml:space="preserve"> residents to contest the</w:t>
      </w:r>
      <w:r w:rsidR="004A66C0">
        <w:rPr>
          <w:iCs/>
        </w:rPr>
        <w:t xml:space="preserve"> imagery that eased the </w:t>
      </w:r>
      <w:r w:rsidR="00632E49">
        <w:rPr>
          <w:iCs/>
        </w:rPr>
        <w:t>takeover</w:t>
      </w:r>
      <w:r w:rsidRPr="00D432A0">
        <w:rPr>
          <w:iCs/>
        </w:rPr>
        <w:t>.</w:t>
      </w:r>
      <w:r>
        <w:rPr>
          <w:rStyle w:val="FootnoteReference"/>
          <w:iCs/>
        </w:rPr>
        <w:footnoteReference w:id="473"/>
      </w:r>
      <w:r w:rsidR="0096057F" w:rsidRPr="00D432A0">
        <w:rPr>
          <w:iCs/>
        </w:rPr>
        <w:t xml:space="preserve">  I tried to do this in the spirit of peacefulness and nonviolence</w:t>
      </w:r>
      <w:r w:rsidR="0079183C" w:rsidRPr="00D432A0">
        <w:rPr>
          <w:iCs/>
        </w:rPr>
        <w:t>,</w:t>
      </w:r>
      <w:r w:rsidR="0096057F">
        <w:rPr>
          <w:rStyle w:val="FootnoteReference"/>
          <w:iCs/>
        </w:rPr>
        <w:footnoteReference w:id="474"/>
      </w:r>
      <w:r w:rsidR="0096057F" w:rsidRPr="00D432A0">
        <w:rPr>
          <w:iCs/>
        </w:rPr>
        <w:t xml:space="preserve"> </w:t>
      </w:r>
      <w:r w:rsidR="0079183C" w:rsidRPr="00D432A0">
        <w:rPr>
          <w:iCs/>
        </w:rPr>
        <w:t>and I used the work of photographers Carrie Mae Weems and Bill Cunningham as well as Susan Sontag as models.</w:t>
      </w:r>
      <w:r w:rsidR="0079183C">
        <w:rPr>
          <w:rStyle w:val="FootnoteReference"/>
          <w:iCs/>
        </w:rPr>
        <w:footnoteReference w:id="475"/>
      </w:r>
      <w:r w:rsidR="0079183C" w:rsidRPr="00D432A0">
        <w:rPr>
          <w:iCs/>
        </w:rPr>
        <w:t xml:space="preserve">  </w:t>
      </w:r>
      <w:r w:rsidR="0096057F" w:rsidRPr="00D432A0">
        <w:rPr>
          <w:iCs/>
        </w:rPr>
        <w:t xml:space="preserve">But I </w:t>
      </w:r>
      <w:r w:rsidR="00F4132A">
        <w:rPr>
          <w:iCs/>
        </w:rPr>
        <w:t xml:space="preserve">also </w:t>
      </w:r>
      <w:r w:rsidR="0096057F" w:rsidRPr="00D432A0">
        <w:rPr>
          <w:iCs/>
        </w:rPr>
        <w:t>realized that while I gazed at the often lovely images that I had been given, I hazarded romanticizing the people in those photos myself.</w:t>
      </w:r>
      <w:r w:rsidR="00F4132A">
        <w:rPr>
          <w:rStyle w:val="FootnoteReference"/>
          <w:iCs/>
        </w:rPr>
        <w:footnoteReference w:id="476"/>
      </w:r>
      <w:r w:rsidR="0096057F" w:rsidRPr="00D432A0">
        <w:rPr>
          <w:iCs/>
        </w:rPr>
        <w:t xml:space="preserve"> </w:t>
      </w:r>
      <w:r w:rsidR="0079183C" w:rsidRPr="00D432A0">
        <w:rPr>
          <w:iCs/>
        </w:rPr>
        <w:t xml:space="preserve"> </w:t>
      </w:r>
      <w:r w:rsidR="0096057F" w:rsidRPr="00D432A0">
        <w:rPr>
          <w:iCs/>
        </w:rPr>
        <w:t xml:space="preserve">Peering turns out to be a polymorphous pleasure, particularly when it is paired with denial about one’s own </w:t>
      </w:r>
      <w:r w:rsidR="00632E49">
        <w:rPr>
          <w:iCs/>
        </w:rPr>
        <w:t>delight in</w:t>
      </w:r>
      <w:r w:rsidR="0096057F" w:rsidRPr="00D432A0">
        <w:rPr>
          <w:iCs/>
        </w:rPr>
        <w:t xml:space="preserve"> coming to the aid of the “underclass.”  Perhaps one can do just as much or even more damage when one is trying to “save” the “needy.”  Hence, </w:t>
      </w:r>
      <w:r w:rsidR="00632E49">
        <w:rPr>
          <w:iCs/>
        </w:rPr>
        <w:t xml:space="preserve">once in Motor City, </w:t>
      </w:r>
      <w:r w:rsidR="0096057F" w:rsidRPr="00D432A0">
        <w:rPr>
          <w:iCs/>
        </w:rPr>
        <w:t>I took special note</w:t>
      </w:r>
      <w:r w:rsidR="00632E49">
        <w:rPr>
          <w:iCs/>
        </w:rPr>
        <w:t xml:space="preserve"> of Noah Stephen’s critique of</w:t>
      </w:r>
      <w:r w:rsidR="0096057F" w:rsidRPr="00D432A0">
        <w:rPr>
          <w:iCs/>
        </w:rPr>
        <w:t xml:space="preserve"> do-gooders’ c</w:t>
      </w:r>
      <w:r w:rsidR="0079183C" w:rsidRPr="00D432A0">
        <w:rPr>
          <w:iCs/>
        </w:rPr>
        <w:t>ondescending attitudes toward B</w:t>
      </w:r>
      <w:r w:rsidR="0096057F" w:rsidRPr="00D432A0">
        <w:rPr>
          <w:iCs/>
        </w:rPr>
        <w:t>lack people</w:t>
      </w:r>
      <w:r w:rsidR="0079183C" w:rsidRPr="00D432A0">
        <w:rPr>
          <w:iCs/>
        </w:rPr>
        <w:t>.</w:t>
      </w:r>
      <w:r w:rsidR="0072724B">
        <w:rPr>
          <w:rStyle w:val="FootnoteReference"/>
          <w:iCs/>
        </w:rPr>
        <w:footnoteReference w:id="477"/>
      </w:r>
      <w:r w:rsidR="0072724B" w:rsidRPr="00D432A0">
        <w:rPr>
          <w:iCs/>
        </w:rPr>
        <w:t xml:space="preserve">  </w:t>
      </w:r>
    </w:p>
    <w:p w:rsidR="0049584E" w:rsidRPr="0049584E" w:rsidRDefault="00632E49" w:rsidP="00EA738D">
      <w:pPr>
        <w:spacing w:line="480" w:lineRule="auto"/>
        <w:ind w:firstLine="720"/>
        <w:rPr>
          <w:iCs/>
        </w:rPr>
      </w:pPr>
      <w:r>
        <w:rPr>
          <w:iCs/>
        </w:rPr>
        <w:t>In</w:t>
      </w:r>
      <w:r w:rsidR="0072724B">
        <w:rPr>
          <w:iCs/>
        </w:rPr>
        <w:t xml:space="preserve"> Detroit, I tried to mesh my optics with my politics.  I tried to see instead of peer.  In order to avoid the temptation of self-congratulating blindness – insofar as I did – I </w:t>
      </w:r>
      <w:r w:rsidR="00F4132A">
        <w:rPr>
          <w:iCs/>
        </w:rPr>
        <w:t>tried</w:t>
      </w:r>
      <w:r w:rsidR="0072724B">
        <w:rPr>
          <w:iCs/>
        </w:rPr>
        <w:t xml:space="preserve"> to absorb a multiplicity of head tilts and insinuations that I maybe didn’t know what I was talking about.  </w:t>
      </w:r>
      <w:r w:rsidR="00CB51C4">
        <w:rPr>
          <w:iCs/>
        </w:rPr>
        <w:t xml:space="preserve">Perhaps because I am Latina I should be inured to rough-and-tumble reactions to my ideas, but apparently not.  </w:t>
      </w:r>
      <w:r>
        <w:rPr>
          <w:iCs/>
        </w:rPr>
        <w:t>S</w:t>
      </w:r>
      <w:r w:rsidR="0072724B">
        <w:rPr>
          <w:iCs/>
        </w:rPr>
        <w:t xml:space="preserve">eeing instead of peering turned out to be more difficult </w:t>
      </w:r>
      <w:r w:rsidR="00B53E09">
        <w:rPr>
          <w:iCs/>
        </w:rPr>
        <w:t xml:space="preserve">for me </w:t>
      </w:r>
      <w:r w:rsidR="0072724B">
        <w:rPr>
          <w:iCs/>
        </w:rPr>
        <w:t xml:space="preserve">in disputatious Detroit than when I </w:t>
      </w:r>
      <w:r>
        <w:rPr>
          <w:iCs/>
        </w:rPr>
        <w:t>looked</w:t>
      </w:r>
      <w:r w:rsidR="0072724B">
        <w:rPr>
          <w:iCs/>
        </w:rPr>
        <w:t xml:space="preserve"> at </w:t>
      </w:r>
      <w:r w:rsidR="0072724B">
        <w:rPr>
          <w:iCs/>
        </w:rPr>
        <w:lastRenderedPageBreak/>
        <w:t>photographs</w:t>
      </w:r>
      <w:r w:rsidR="0079183C">
        <w:rPr>
          <w:iCs/>
        </w:rPr>
        <w:t xml:space="preserve"> of people in </w:t>
      </w:r>
      <w:r w:rsidR="00CB51C4">
        <w:rPr>
          <w:iCs/>
        </w:rPr>
        <w:t>Manhattanville</w:t>
      </w:r>
      <w:r w:rsidR="0072724B">
        <w:rPr>
          <w:iCs/>
        </w:rPr>
        <w:t>.</w:t>
      </w:r>
      <w:r w:rsidR="0079183C">
        <w:rPr>
          <w:rStyle w:val="FootnoteReference"/>
          <w:iCs/>
        </w:rPr>
        <w:footnoteReference w:id="478"/>
      </w:r>
      <w:r w:rsidR="0079183C">
        <w:rPr>
          <w:iCs/>
        </w:rPr>
        <w:t xml:space="preserve">  </w:t>
      </w:r>
      <w:r w:rsidR="00F4132A">
        <w:rPr>
          <w:iCs/>
        </w:rPr>
        <w:t xml:space="preserve">It also </w:t>
      </w:r>
      <w:r w:rsidR="0079183C">
        <w:rPr>
          <w:iCs/>
        </w:rPr>
        <w:t>involve</w:t>
      </w:r>
      <w:r w:rsidR="00F4132A">
        <w:rPr>
          <w:iCs/>
        </w:rPr>
        <w:t>d all of my senses and</w:t>
      </w:r>
      <w:r w:rsidR="0079183C">
        <w:rPr>
          <w:iCs/>
        </w:rPr>
        <w:t xml:space="preserve"> self-control, and inspired occasionally lacerating self-critiques.  </w:t>
      </w:r>
      <w:r w:rsidR="00D432A0">
        <w:rPr>
          <w:iCs/>
        </w:rPr>
        <w:t xml:space="preserve">I had to admit that my argument that the recommended </w:t>
      </w:r>
      <w:r w:rsidR="00A31904">
        <w:rPr>
          <w:iCs/>
        </w:rPr>
        <w:t xml:space="preserve">title seizures </w:t>
      </w:r>
      <w:r w:rsidR="00D432A0">
        <w:rPr>
          <w:iCs/>
        </w:rPr>
        <w:t>are takings could backfire and</w:t>
      </w:r>
      <w:r w:rsidR="00876A4E">
        <w:rPr>
          <w:iCs/>
        </w:rPr>
        <w:t xml:space="preserve"> lead to a quagmire of inaction</w:t>
      </w:r>
      <w:r w:rsidR="002F6458">
        <w:rPr>
          <w:rStyle w:val="FootnoteReference"/>
          <w:iCs/>
        </w:rPr>
        <w:footnoteReference w:id="479"/>
      </w:r>
      <w:r w:rsidR="00876A4E">
        <w:rPr>
          <w:iCs/>
        </w:rPr>
        <w:t xml:space="preserve"> --</w:t>
      </w:r>
      <w:r w:rsidR="00D432A0">
        <w:rPr>
          <w:iCs/>
        </w:rPr>
        <w:t xml:space="preserve"> and </w:t>
      </w:r>
      <w:r w:rsidR="00876A4E">
        <w:rPr>
          <w:iCs/>
        </w:rPr>
        <w:t xml:space="preserve">yet persist in finding </w:t>
      </w:r>
      <w:r w:rsidR="00D432A0">
        <w:rPr>
          <w:iCs/>
        </w:rPr>
        <w:t xml:space="preserve">a path forward.  </w:t>
      </w:r>
      <w:r w:rsidR="0079183C">
        <w:rPr>
          <w:iCs/>
        </w:rPr>
        <w:t>S</w:t>
      </w:r>
      <w:r w:rsidR="0072724B">
        <w:rPr>
          <w:iCs/>
        </w:rPr>
        <w:t>ometimes</w:t>
      </w:r>
      <w:r w:rsidR="00D432A0">
        <w:rPr>
          <w:iCs/>
        </w:rPr>
        <w:t>, seeing</w:t>
      </w:r>
      <w:r w:rsidR="0079183C">
        <w:rPr>
          <w:iCs/>
        </w:rPr>
        <w:t xml:space="preserve"> proved</w:t>
      </w:r>
      <w:r w:rsidR="0072724B">
        <w:rPr>
          <w:iCs/>
        </w:rPr>
        <w:t xml:space="preserve"> the opposite of pleasure.  This makes me worry about its future, because part of the intracta</w:t>
      </w:r>
      <w:r>
        <w:rPr>
          <w:iCs/>
        </w:rPr>
        <w:t>bility of peering is the happiness</w:t>
      </w:r>
      <w:r w:rsidR="0072724B">
        <w:rPr>
          <w:iCs/>
        </w:rPr>
        <w:t xml:space="preserve"> that it induces in its practitioners.  I would like to come up with an alternative pleasure to more deeply root the practice in legal gazers, but so far I can only conclude that bearers of legal optics who want to stop trampling on the rights of low-income people start to get more comfortable with losing their high status.</w:t>
      </w:r>
      <w:r w:rsidR="0072724B">
        <w:rPr>
          <w:rStyle w:val="FootnoteReference"/>
          <w:iCs/>
        </w:rPr>
        <w:footnoteReference w:id="480"/>
      </w:r>
      <w:r w:rsidR="0072724B">
        <w:rPr>
          <w:iCs/>
        </w:rPr>
        <w:t xml:space="preserve">  </w:t>
      </w:r>
    </w:p>
    <w:p w:rsidR="00B558CD" w:rsidRPr="009D290F" w:rsidRDefault="00DF5D4C" w:rsidP="00EA738D">
      <w:pPr>
        <w:spacing w:line="480" w:lineRule="auto"/>
        <w:ind w:firstLine="720"/>
        <w:rPr>
          <w:iCs/>
        </w:rPr>
      </w:pPr>
      <w:r>
        <w:rPr>
          <w:iCs/>
        </w:rPr>
        <w:t>Yet I can comfort myself that I do</w:t>
      </w:r>
      <w:r w:rsidR="00632E49">
        <w:rPr>
          <w:iCs/>
        </w:rPr>
        <w:t xml:space="preserve"> not work in a vacuum</w:t>
      </w:r>
      <w:r>
        <w:rPr>
          <w:iCs/>
        </w:rPr>
        <w:t xml:space="preserve">.  </w:t>
      </w:r>
      <w:r w:rsidR="00B966F1">
        <w:rPr>
          <w:iCs/>
        </w:rPr>
        <w:t xml:space="preserve">I </w:t>
      </w:r>
      <w:r w:rsidR="00632E49">
        <w:rPr>
          <w:iCs/>
        </w:rPr>
        <w:t>invented</w:t>
      </w:r>
      <w:r w:rsidR="00B966F1">
        <w:rPr>
          <w:iCs/>
        </w:rPr>
        <w:t xml:space="preserve"> novel language to describe the undertaking that I presc</w:t>
      </w:r>
      <w:r w:rsidR="00A71F1F">
        <w:rPr>
          <w:iCs/>
        </w:rPr>
        <w:t>ribe here, but the</w:t>
      </w:r>
      <w:r w:rsidR="00B966F1">
        <w:rPr>
          <w:iCs/>
        </w:rPr>
        <w:t xml:space="preserve"> calls for curiosity, openness, humility, </w:t>
      </w:r>
      <w:r w:rsidR="0079183C">
        <w:rPr>
          <w:iCs/>
        </w:rPr>
        <w:t xml:space="preserve">good listening, </w:t>
      </w:r>
      <w:r w:rsidR="00B966F1">
        <w:rPr>
          <w:iCs/>
        </w:rPr>
        <w:t>and creativity in the development of legal and social policy progra</w:t>
      </w:r>
      <w:r w:rsidR="00A71F1F">
        <w:rPr>
          <w:iCs/>
        </w:rPr>
        <w:t>ms have been made before.  In legal literature, Angela Harris argues</w:t>
      </w:r>
      <w:r w:rsidR="00B966F1">
        <w:rPr>
          <w:iCs/>
        </w:rPr>
        <w:t xml:space="preserve"> that we should engage a jurisprudence that admits the multiplicity of experience and refuses to center any particular point of view.</w:t>
      </w:r>
      <w:r w:rsidR="00B966F1">
        <w:rPr>
          <w:rStyle w:val="FootnoteReference"/>
          <w:iCs/>
        </w:rPr>
        <w:footnoteReference w:id="481"/>
      </w:r>
      <w:r w:rsidR="00B966F1">
        <w:rPr>
          <w:iCs/>
        </w:rPr>
        <w:t xml:space="preserve">  Critical Race Theorists and LatCrit The</w:t>
      </w:r>
      <w:r w:rsidR="00A71F1F">
        <w:rPr>
          <w:iCs/>
        </w:rPr>
        <w:t>orists and Queer Theorists also craft</w:t>
      </w:r>
      <w:r w:rsidR="00B966F1">
        <w:rPr>
          <w:iCs/>
        </w:rPr>
        <w:t xml:space="preserve"> legal methods that require its participants to </w:t>
      </w:r>
      <w:r w:rsidR="00CC709F">
        <w:rPr>
          <w:iCs/>
        </w:rPr>
        <w:t>avoid what Keith Aoiki has called “false homogeneity,” that is, to make sure that no one group is batting away the interests of another while convincing itself that it’s serving the public good.</w:t>
      </w:r>
      <w:r w:rsidR="00CC709F">
        <w:rPr>
          <w:rStyle w:val="FootnoteReference"/>
          <w:iCs/>
        </w:rPr>
        <w:footnoteReference w:id="482"/>
      </w:r>
      <w:r w:rsidR="00CC709F">
        <w:rPr>
          <w:iCs/>
        </w:rPr>
        <w:t xml:space="preserve">  </w:t>
      </w:r>
      <w:r w:rsidR="00A71F1F">
        <w:rPr>
          <w:iCs/>
        </w:rPr>
        <w:t>In property law, Timothy M. Mulvaney calls</w:t>
      </w:r>
      <w:r w:rsidR="005C4A68">
        <w:rPr>
          <w:iCs/>
        </w:rPr>
        <w:t xml:space="preserve"> for courts to scrutinize land use regulations with transparency, hu</w:t>
      </w:r>
      <w:r w:rsidR="00C75561">
        <w:rPr>
          <w:iCs/>
        </w:rPr>
        <w:t xml:space="preserve">mility and respect </w:t>
      </w:r>
      <w:r w:rsidR="00C75561">
        <w:rPr>
          <w:iCs/>
        </w:rPr>
        <w:lastRenderedPageBreak/>
        <w:t>for identity,</w:t>
      </w:r>
      <w:r w:rsidR="005C4A68">
        <w:rPr>
          <w:rStyle w:val="FootnoteReference"/>
          <w:iCs/>
        </w:rPr>
        <w:footnoteReference w:id="483"/>
      </w:r>
      <w:r w:rsidR="00CB51C4">
        <w:rPr>
          <w:iCs/>
        </w:rPr>
        <w:t xml:space="preserve"> </w:t>
      </w:r>
      <w:r w:rsidR="00C75561">
        <w:rPr>
          <w:iCs/>
        </w:rPr>
        <w:t xml:space="preserve">and Laura Underkuffler </w:t>
      </w:r>
      <w:r w:rsidR="00A71F1F">
        <w:rPr>
          <w:iCs/>
        </w:rPr>
        <w:t xml:space="preserve">asks </w:t>
      </w:r>
      <w:r w:rsidR="00C75561">
        <w:rPr>
          <w:iCs/>
        </w:rPr>
        <w:t>courts considering takings challenges to “honest[ly] grappl[e] with hard truth.”</w:t>
      </w:r>
      <w:r w:rsidR="00C75561">
        <w:rPr>
          <w:rStyle w:val="FootnoteReference"/>
          <w:iCs/>
        </w:rPr>
        <w:footnoteReference w:id="484"/>
      </w:r>
      <w:r w:rsidR="00C75561">
        <w:rPr>
          <w:iCs/>
        </w:rPr>
        <w:t xml:space="preserve"> </w:t>
      </w:r>
      <w:r w:rsidR="005C4A68">
        <w:rPr>
          <w:iCs/>
        </w:rPr>
        <w:t xml:space="preserve"> </w:t>
      </w:r>
      <w:r w:rsidR="00CC709F">
        <w:rPr>
          <w:iCs/>
        </w:rPr>
        <w:t>In economics literature, William Ea</w:t>
      </w:r>
      <w:r w:rsidR="00A71F1F">
        <w:rPr>
          <w:iCs/>
        </w:rPr>
        <w:t xml:space="preserve">sterly has promoted an </w:t>
      </w:r>
      <w:r w:rsidR="00CC709F">
        <w:rPr>
          <w:iCs/>
        </w:rPr>
        <w:t xml:space="preserve">irascible critique of foreign aid workers, arguing that wasteful top down efforts to assuage world poverty </w:t>
      </w:r>
      <w:r w:rsidR="009D290F">
        <w:rPr>
          <w:iCs/>
        </w:rPr>
        <w:t xml:space="preserve">have only exacerbated suffering.  In his famous </w:t>
      </w:r>
      <w:r w:rsidR="009D290F">
        <w:rPr>
          <w:iCs/>
          <w:smallCaps/>
        </w:rPr>
        <w:t>White Man’s Burden: Why the West’s Efforts to Aid the Rest Have Done so Much Ill and So Little Good</w:t>
      </w:r>
      <w:r w:rsidR="009D290F">
        <w:rPr>
          <w:iCs/>
        </w:rPr>
        <w:t xml:space="preserve"> (2006), Easterly argues that foreign aid should be implemented by on-the-ground “searchers” rather than elite “pla</w:t>
      </w:r>
      <w:r w:rsidR="00713DE5">
        <w:rPr>
          <w:iCs/>
        </w:rPr>
        <w:t xml:space="preserve">nners,” or technocrats, who </w:t>
      </w:r>
      <w:r w:rsidR="00D36A0D">
        <w:rPr>
          <w:iCs/>
        </w:rPr>
        <w:t>intensify</w:t>
      </w:r>
      <w:r w:rsidR="009D290F">
        <w:rPr>
          <w:iCs/>
        </w:rPr>
        <w:t xml:space="preserve"> world health and poverty problems.</w:t>
      </w:r>
      <w:r w:rsidR="009D290F">
        <w:rPr>
          <w:rStyle w:val="FootnoteReference"/>
          <w:iCs/>
        </w:rPr>
        <w:footnoteReference w:id="485"/>
      </w:r>
      <w:r w:rsidR="009D290F">
        <w:rPr>
          <w:iCs/>
        </w:rPr>
        <w:t xml:space="preserve"> </w:t>
      </w:r>
      <w:r w:rsidR="0031297F">
        <w:rPr>
          <w:iCs/>
        </w:rPr>
        <w:t xml:space="preserve"> </w:t>
      </w:r>
      <w:r w:rsidR="009D290F">
        <w:rPr>
          <w:iCs/>
        </w:rPr>
        <w:t>Easterly also rails against “blank slate” thinking, which he believes technocrats indulge in with regularity.</w:t>
      </w:r>
      <w:r w:rsidR="009D290F">
        <w:rPr>
          <w:rStyle w:val="FootnoteReference"/>
          <w:iCs/>
        </w:rPr>
        <w:footnoteReference w:id="486"/>
      </w:r>
      <w:r w:rsidR="005C4A68">
        <w:rPr>
          <w:iCs/>
        </w:rPr>
        <w:t xml:space="preserve">  </w:t>
      </w:r>
    </w:p>
    <w:p w:rsidR="00B558CD" w:rsidRDefault="00ED1291" w:rsidP="00EA738D">
      <w:pPr>
        <w:spacing w:line="480" w:lineRule="auto"/>
        <w:ind w:firstLine="720"/>
        <w:rPr>
          <w:iCs/>
        </w:rPr>
      </w:pPr>
      <w:r>
        <w:rPr>
          <w:iCs/>
        </w:rPr>
        <w:t xml:space="preserve">So, call it what you will – </w:t>
      </w:r>
      <w:r w:rsidR="00D432A0">
        <w:rPr>
          <w:iCs/>
        </w:rPr>
        <w:t xml:space="preserve">seeing instead of </w:t>
      </w:r>
      <w:r>
        <w:rPr>
          <w:iCs/>
        </w:rPr>
        <w:t>peering, anti-essentialism,</w:t>
      </w:r>
      <w:r>
        <w:rPr>
          <w:rStyle w:val="FootnoteReference"/>
          <w:iCs/>
        </w:rPr>
        <w:footnoteReference w:id="487"/>
      </w:r>
      <w:r>
        <w:rPr>
          <w:iCs/>
        </w:rPr>
        <w:t xml:space="preserve"> coalition building,</w:t>
      </w:r>
      <w:r>
        <w:rPr>
          <w:rStyle w:val="FootnoteReference"/>
          <w:iCs/>
        </w:rPr>
        <w:footnoteReference w:id="488"/>
      </w:r>
      <w:r w:rsidR="005C4A68">
        <w:rPr>
          <w:iCs/>
        </w:rPr>
        <w:t xml:space="preserve"> humility,</w:t>
      </w:r>
      <w:r w:rsidR="005C4A68">
        <w:rPr>
          <w:rStyle w:val="FootnoteReference"/>
          <w:iCs/>
        </w:rPr>
        <w:footnoteReference w:id="489"/>
      </w:r>
      <w:r w:rsidR="005C4A68">
        <w:rPr>
          <w:iCs/>
        </w:rPr>
        <w:t xml:space="preserve"> </w:t>
      </w:r>
      <w:r w:rsidR="00C75561">
        <w:rPr>
          <w:iCs/>
        </w:rPr>
        <w:t>grappling,</w:t>
      </w:r>
      <w:r w:rsidR="00C75561">
        <w:rPr>
          <w:rStyle w:val="FootnoteReference"/>
          <w:iCs/>
        </w:rPr>
        <w:footnoteReference w:id="490"/>
      </w:r>
      <w:r w:rsidR="00DF5D4C">
        <w:rPr>
          <w:iCs/>
        </w:rPr>
        <w:t xml:space="preserve"> </w:t>
      </w:r>
      <w:r>
        <w:rPr>
          <w:iCs/>
        </w:rPr>
        <w:t>searching instead of planning</w:t>
      </w:r>
      <w:r w:rsidR="00DF5D4C">
        <w:rPr>
          <w:iCs/>
        </w:rPr>
        <w:t>,</w:t>
      </w:r>
      <w:r>
        <w:rPr>
          <w:rStyle w:val="FootnoteReference"/>
          <w:iCs/>
        </w:rPr>
        <w:footnoteReference w:id="491"/>
      </w:r>
      <w:r w:rsidR="00DF5D4C">
        <w:rPr>
          <w:iCs/>
        </w:rPr>
        <w:t xml:space="preserve"> or simply following the Golden Rule</w:t>
      </w:r>
      <w:r w:rsidR="00DF5D4C">
        <w:rPr>
          <w:rStyle w:val="FootnoteReference"/>
          <w:iCs/>
        </w:rPr>
        <w:footnoteReference w:id="492"/>
      </w:r>
      <w:r>
        <w:rPr>
          <w:iCs/>
        </w:rPr>
        <w:t xml:space="preserve"> -- this attitude of inquisitiveness and </w:t>
      </w:r>
      <w:r w:rsidR="00C75561">
        <w:rPr>
          <w:iCs/>
        </w:rPr>
        <w:t>modesty</w:t>
      </w:r>
      <w:r>
        <w:rPr>
          <w:iCs/>
        </w:rPr>
        <w:t xml:space="preserve"> will </w:t>
      </w:r>
      <w:r w:rsidR="00C75561">
        <w:rPr>
          <w:iCs/>
        </w:rPr>
        <w:t>help develop</w:t>
      </w:r>
      <w:r>
        <w:rPr>
          <w:iCs/>
        </w:rPr>
        <w:t xml:space="preserve"> a plan for a future Det</w:t>
      </w:r>
      <w:r w:rsidR="00DE4086">
        <w:rPr>
          <w:iCs/>
        </w:rPr>
        <w:t>roit free or at least clearer of</w:t>
      </w:r>
      <w:r>
        <w:rPr>
          <w:iCs/>
        </w:rPr>
        <w:t xml:space="preserve"> poverty traps for the reasons listed above:  Again, </w:t>
      </w:r>
      <w:r w:rsidR="0079183C">
        <w:rPr>
          <w:iCs/>
        </w:rPr>
        <w:t xml:space="preserve">seeing instead of peering will help </w:t>
      </w:r>
      <w:r>
        <w:rPr>
          <w:iCs/>
        </w:rPr>
        <w:t>avoid the obstacles traditionally found where officials say they will use eminent domain for poverty uplift</w:t>
      </w:r>
      <w:r w:rsidR="0079183C">
        <w:rPr>
          <w:iCs/>
        </w:rPr>
        <w:t xml:space="preserve"> (and do the opposite)</w:t>
      </w:r>
      <w:r w:rsidR="004A66C0">
        <w:rPr>
          <w:iCs/>
        </w:rPr>
        <w:t xml:space="preserve">, </w:t>
      </w:r>
      <w:r>
        <w:rPr>
          <w:iCs/>
        </w:rPr>
        <w:t>to guard against condescension that can create more hazard than good in the public policy arena, and to help come up with real solutions for on-the-ground problems instead of unworkable top-down panaceas.</w:t>
      </w:r>
    </w:p>
    <w:p w:rsidR="00ED1291" w:rsidRDefault="00D36A0D" w:rsidP="00EA738D">
      <w:pPr>
        <w:spacing w:line="480" w:lineRule="auto"/>
        <w:ind w:firstLine="720"/>
        <w:rPr>
          <w:iCs/>
        </w:rPr>
      </w:pPr>
      <w:r>
        <w:rPr>
          <w:iCs/>
        </w:rPr>
        <w:t xml:space="preserve">These problems </w:t>
      </w:r>
      <w:r w:rsidR="00ED1291">
        <w:rPr>
          <w:iCs/>
        </w:rPr>
        <w:t xml:space="preserve">all present </w:t>
      </w:r>
      <w:r>
        <w:rPr>
          <w:iCs/>
        </w:rPr>
        <w:t xml:space="preserve">themselves </w:t>
      </w:r>
      <w:r w:rsidR="00ED1291">
        <w:rPr>
          <w:iCs/>
        </w:rPr>
        <w:t xml:space="preserve">when </w:t>
      </w:r>
      <w:r>
        <w:rPr>
          <w:iCs/>
        </w:rPr>
        <w:t xml:space="preserve">we </w:t>
      </w:r>
      <w:r w:rsidR="00ED1291">
        <w:rPr>
          <w:iCs/>
        </w:rPr>
        <w:t xml:space="preserve">use eminent domain to craft a poverty uplift program in Detroit today.  In </w:t>
      </w:r>
      <w:r w:rsidR="00ED1291">
        <w:rPr>
          <w:i/>
          <w:iCs/>
        </w:rPr>
        <w:t>Peering</w:t>
      </w:r>
      <w:r w:rsidR="00ED1291">
        <w:rPr>
          <w:iCs/>
        </w:rPr>
        <w:t xml:space="preserve">, I showed how </w:t>
      </w:r>
      <w:r w:rsidR="00697287">
        <w:rPr>
          <w:iCs/>
        </w:rPr>
        <w:t xml:space="preserve">“slum clearance” projects found their initial </w:t>
      </w:r>
      <w:r w:rsidR="00697287">
        <w:rPr>
          <w:iCs/>
        </w:rPr>
        <w:lastRenderedPageBreak/>
        <w:t>inspiration in the anti-poverty ethics of Progressivism, but soon deteriorated into a system of eviction and exile that proved all the more unassailable because of its “for your own good” bona fides.</w:t>
      </w:r>
      <w:r w:rsidR="00697287">
        <w:rPr>
          <w:rStyle w:val="FootnoteReference"/>
          <w:iCs/>
        </w:rPr>
        <w:footnoteReference w:id="493"/>
      </w:r>
      <w:r w:rsidR="00697287">
        <w:rPr>
          <w:iCs/>
        </w:rPr>
        <w:t xml:space="preserve">  </w:t>
      </w:r>
      <w:r w:rsidR="00A1025E">
        <w:rPr>
          <w:iCs/>
        </w:rPr>
        <w:t>This same history shows the hazards of elite-to-poor condescension that Noah Stephens cautioned me about.</w:t>
      </w:r>
      <w:r w:rsidR="00A1025E">
        <w:rPr>
          <w:rStyle w:val="FootnoteReference"/>
          <w:iCs/>
        </w:rPr>
        <w:footnoteReference w:id="494"/>
      </w:r>
      <w:r w:rsidR="00A1025E">
        <w:rPr>
          <w:iCs/>
        </w:rPr>
        <w:t xml:space="preserve">  This history, indeed, is reflected in the disastrous development of public housing projects in Detroit itself, which were spurred by reformers’ zeal for social engineering that would “’make better citizens.’”</w:t>
      </w:r>
      <w:r w:rsidR="00A1025E">
        <w:rPr>
          <w:rStyle w:val="FootnoteReference"/>
          <w:iCs/>
        </w:rPr>
        <w:footnoteReference w:id="495"/>
      </w:r>
      <w:r w:rsidR="00E40FC1">
        <w:rPr>
          <w:iCs/>
        </w:rPr>
        <w:t xml:space="preserve">  Seers</w:t>
      </w:r>
      <w:r w:rsidR="00E82084">
        <w:rPr>
          <w:iCs/>
        </w:rPr>
        <w:t xml:space="preserve">, then, </w:t>
      </w:r>
      <w:r w:rsidR="00AB4CE8">
        <w:rPr>
          <w:iCs/>
        </w:rPr>
        <w:t>must</w:t>
      </w:r>
      <w:r w:rsidR="00E82084">
        <w:rPr>
          <w:iCs/>
        </w:rPr>
        <w:t xml:space="preserve"> guard against the condescension that</w:t>
      </w:r>
      <w:r w:rsidR="00796D5B">
        <w:rPr>
          <w:iCs/>
        </w:rPr>
        <w:t xml:space="preserve"> gives rise to policies that</w:t>
      </w:r>
      <w:r w:rsidR="00E82084">
        <w:rPr>
          <w:iCs/>
        </w:rPr>
        <w:t xml:space="preserve"> are so remote from the real-world fixes that Detroit residents know could help dismantle poverty traps.</w:t>
      </w:r>
      <w:r w:rsidR="00AB4CE8">
        <w:rPr>
          <w:iCs/>
        </w:rPr>
        <w:t xml:space="preserve">  </w:t>
      </w:r>
      <w:r w:rsidR="00111BBF">
        <w:rPr>
          <w:iCs/>
        </w:rPr>
        <w:t xml:space="preserve">Josh, Noah, Delphia, Shel – and also John Mogk and Mike Brady -- helped teach me how to see in Detroit, and within their lessons we find concrete plans that can form the foundation of a poverty uplift plan. </w:t>
      </w:r>
    </w:p>
    <w:p w:rsidR="00E82084" w:rsidRPr="00D432A0" w:rsidRDefault="006733D9" w:rsidP="00EA738D">
      <w:pPr>
        <w:pStyle w:val="ListParagraph"/>
        <w:numPr>
          <w:ilvl w:val="0"/>
          <w:numId w:val="15"/>
        </w:numPr>
        <w:spacing w:line="480" w:lineRule="auto"/>
        <w:rPr>
          <w:i/>
          <w:iCs/>
        </w:rPr>
      </w:pPr>
      <w:r w:rsidRPr="00A31904">
        <w:rPr>
          <w:iCs/>
        </w:rPr>
        <w:t>Policy measures that would</w:t>
      </w:r>
      <w:r w:rsidR="00E82084" w:rsidRPr="00A31904">
        <w:rPr>
          <w:iCs/>
        </w:rPr>
        <w:t xml:space="preserve"> </w:t>
      </w:r>
      <w:r w:rsidRPr="00A31904">
        <w:rPr>
          <w:iCs/>
        </w:rPr>
        <w:t xml:space="preserve">dismantle poverty traps, which should constitute part of the planning for </w:t>
      </w:r>
      <w:r w:rsidR="00D36A0D" w:rsidRPr="00A31904">
        <w:rPr>
          <w:iCs/>
        </w:rPr>
        <w:t xml:space="preserve">Detroit’s cleared land </w:t>
      </w:r>
      <w:r w:rsidRPr="00A31904">
        <w:rPr>
          <w:iCs/>
        </w:rPr>
        <w:t>to ensure that the takings satisfy the public purpose of alleviating indigency</w:t>
      </w:r>
      <w:r w:rsidRPr="00D432A0">
        <w:rPr>
          <w:i/>
          <w:iCs/>
        </w:rPr>
        <w:t>.</w:t>
      </w:r>
    </w:p>
    <w:p w:rsidR="006733D9" w:rsidRDefault="00DE665F" w:rsidP="00EA738D">
      <w:pPr>
        <w:spacing w:line="480" w:lineRule="auto"/>
        <w:ind w:firstLine="720"/>
        <w:rPr>
          <w:iCs/>
        </w:rPr>
      </w:pPr>
      <w:r>
        <w:rPr>
          <w:iCs/>
        </w:rPr>
        <w:t xml:space="preserve">In order to establish by a preponderance of the evidence that </w:t>
      </w:r>
      <w:r w:rsidR="00740CB1">
        <w:rPr>
          <w:iCs/>
        </w:rPr>
        <w:t xml:space="preserve">Detroit’s exercise of eminent domain </w:t>
      </w:r>
      <w:r w:rsidR="00D87CF1">
        <w:rPr>
          <w:iCs/>
        </w:rPr>
        <w:t>satisfies</w:t>
      </w:r>
      <w:r>
        <w:rPr>
          <w:iCs/>
        </w:rPr>
        <w:t xml:space="preserve"> the public purpose of alleviating poverty and bringing </w:t>
      </w:r>
      <w:r w:rsidR="00740CB1">
        <w:rPr>
          <w:iCs/>
        </w:rPr>
        <w:t xml:space="preserve">the city’s </w:t>
      </w:r>
      <w:r>
        <w:rPr>
          <w:iCs/>
        </w:rPr>
        <w:t xml:space="preserve">indigent into the middle class, the plans for the cleared space must not only aspire to the development of economic growth </w:t>
      </w:r>
      <w:r w:rsidR="00876A4E">
        <w:rPr>
          <w:iCs/>
        </w:rPr>
        <w:t>tha</w:t>
      </w:r>
      <w:r w:rsidR="00B53E09">
        <w:rPr>
          <w:iCs/>
        </w:rPr>
        <w:t>t</w:t>
      </w:r>
      <w:r w:rsidR="00876A4E">
        <w:rPr>
          <w:iCs/>
        </w:rPr>
        <w:t xml:space="preserve"> would benefit low-income people </w:t>
      </w:r>
      <w:r>
        <w:rPr>
          <w:iCs/>
        </w:rPr>
        <w:t>but also contain clear strategies for overcoming the poverty traps that keep almost 40 percent below the poverty line and another over thirty percent just above it.</w:t>
      </w:r>
      <w:r>
        <w:rPr>
          <w:rStyle w:val="FootnoteReference"/>
          <w:iCs/>
        </w:rPr>
        <w:footnoteReference w:id="496"/>
      </w:r>
    </w:p>
    <w:p w:rsidR="00C904D4" w:rsidRDefault="00D87CF1" w:rsidP="00EA738D">
      <w:pPr>
        <w:spacing w:line="480" w:lineRule="auto"/>
        <w:ind w:firstLine="720"/>
        <w:rPr>
          <w:iCs/>
        </w:rPr>
      </w:pPr>
      <w:r>
        <w:rPr>
          <w:iCs/>
        </w:rPr>
        <w:t xml:space="preserve">Developing a plan, as I have said, requires a clarity of vision, and an effort to prioritize the insights of the people who know why local poverty exists.  The process of gathering such intelligence could take many forms.  </w:t>
      </w:r>
      <w:r w:rsidR="00484833">
        <w:rPr>
          <w:iCs/>
        </w:rPr>
        <w:t xml:space="preserve">Economists Francisca Antman and David J. McKenzie, for example, developed </w:t>
      </w:r>
      <w:r w:rsidR="00484833">
        <w:rPr>
          <w:iCs/>
        </w:rPr>
        <w:lastRenderedPageBreak/>
        <w:t>dynamic pseudo-panels to study poverty traps in Mexico,</w:t>
      </w:r>
      <w:r w:rsidR="00CD58C2">
        <w:rPr>
          <w:rStyle w:val="FootnoteReference"/>
          <w:iCs/>
        </w:rPr>
        <w:footnoteReference w:id="497"/>
      </w:r>
      <w:r w:rsidR="00484833">
        <w:rPr>
          <w:iCs/>
        </w:rPr>
        <w:t xml:space="preserve">  </w:t>
      </w:r>
      <w:r w:rsidR="00CD58C2">
        <w:rPr>
          <w:iCs/>
        </w:rPr>
        <w:t xml:space="preserve">and Deborah Weissman’s work with Community </w:t>
      </w:r>
      <w:r w:rsidR="00C904D4">
        <w:rPr>
          <w:iCs/>
        </w:rPr>
        <w:t>Benefits Agreements also raises great possibilities developing a system whereby Detroiters may gather to discuss and name poverty traps and their potential solutions.</w:t>
      </w:r>
      <w:r w:rsidR="00C904D4">
        <w:rPr>
          <w:rStyle w:val="FootnoteReference"/>
          <w:iCs/>
        </w:rPr>
        <w:footnoteReference w:id="498"/>
      </w:r>
      <w:r w:rsidR="00C904D4">
        <w:rPr>
          <w:iCs/>
        </w:rPr>
        <w:t xml:space="preserve">  </w:t>
      </w:r>
    </w:p>
    <w:p w:rsidR="00DE665F" w:rsidRDefault="00DE665F" w:rsidP="00EA738D">
      <w:pPr>
        <w:spacing w:line="480" w:lineRule="auto"/>
        <w:ind w:firstLine="720"/>
        <w:rPr>
          <w:iCs/>
        </w:rPr>
      </w:pPr>
      <w:r>
        <w:rPr>
          <w:iCs/>
        </w:rPr>
        <w:t xml:space="preserve">In my </w:t>
      </w:r>
      <w:r w:rsidR="00C904D4">
        <w:rPr>
          <w:iCs/>
        </w:rPr>
        <w:t xml:space="preserve">own </w:t>
      </w:r>
      <w:r>
        <w:rPr>
          <w:iCs/>
        </w:rPr>
        <w:t xml:space="preserve">efforts to see but not peer, </w:t>
      </w:r>
      <w:r w:rsidR="004C2F8C">
        <w:rPr>
          <w:iCs/>
        </w:rPr>
        <w:t xml:space="preserve">I </w:t>
      </w:r>
      <w:r w:rsidR="00C904D4">
        <w:rPr>
          <w:iCs/>
        </w:rPr>
        <w:t xml:space="preserve">went out into the community to consult </w:t>
      </w:r>
      <w:r>
        <w:rPr>
          <w:iCs/>
        </w:rPr>
        <w:t>creative</w:t>
      </w:r>
      <w:r w:rsidR="00796D5B">
        <w:rPr>
          <w:iCs/>
        </w:rPr>
        <w:t>s</w:t>
      </w:r>
      <w:r>
        <w:rPr>
          <w:iCs/>
        </w:rPr>
        <w:t xml:space="preserve"> and activists and – to use Easterly’s phrase, “searchers</w:t>
      </w:r>
      <w:r w:rsidR="004C2F8C">
        <w:rPr>
          <w:iCs/>
        </w:rPr>
        <w:t>.</w:t>
      </w:r>
      <w:r>
        <w:rPr>
          <w:iCs/>
        </w:rPr>
        <w:t>”</w:t>
      </w:r>
      <w:r w:rsidR="004C2F8C">
        <w:rPr>
          <w:rStyle w:val="FootnoteReference"/>
          <w:iCs/>
        </w:rPr>
        <w:footnoteReference w:id="499"/>
      </w:r>
      <w:r w:rsidR="004C2F8C">
        <w:rPr>
          <w:iCs/>
        </w:rPr>
        <w:t xml:space="preserve">  Listening proved a central part of my “seeing” practice and jurisprudence.  And it was very fruitful:  The people I interviewed</w:t>
      </w:r>
      <w:r>
        <w:rPr>
          <w:iCs/>
        </w:rPr>
        <w:t xml:space="preserve"> provide an initial list of </w:t>
      </w:r>
      <w:r w:rsidR="00C904D4">
        <w:rPr>
          <w:iCs/>
        </w:rPr>
        <w:t xml:space="preserve">poverty traps and </w:t>
      </w:r>
      <w:r>
        <w:rPr>
          <w:iCs/>
        </w:rPr>
        <w:t xml:space="preserve">strategies </w:t>
      </w:r>
      <w:r w:rsidR="00C904D4">
        <w:rPr>
          <w:iCs/>
        </w:rPr>
        <w:t>to alleviate them.  This list</w:t>
      </w:r>
      <w:r>
        <w:rPr>
          <w:iCs/>
        </w:rPr>
        <w:t xml:space="preserve"> deserve</w:t>
      </w:r>
      <w:r w:rsidR="00C904D4">
        <w:rPr>
          <w:iCs/>
        </w:rPr>
        <w:t>s</w:t>
      </w:r>
      <w:r>
        <w:rPr>
          <w:iCs/>
        </w:rPr>
        <w:t xml:space="preserve"> study and attention by the Task Force as well as Detroit Future City and the drafters of the Detroit Master Plan.</w:t>
      </w:r>
    </w:p>
    <w:p w:rsidR="00DE4086" w:rsidRDefault="00DE665F" w:rsidP="00EA738D">
      <w:pPr>
        <w:spacing w:line="480" w:lineRule="auto"/>
        <w:ind w:firstLine="720"/>
        <w:rPr>
          <w:iCs/>
        </w:rPr>
      </w:pPr>
      <w:r>
        <w:rPr>
          <w:iCs/>
        </w:rPr>
        <w:t xml:space="preserve">From Noah Stephens, we learn that </w:t>
      </w:r>
      <w:r w:rsidR="004C6F73">
        <w:rPr>
          <w:iCs/>
        </w:rPr>
        <w:t xml:space="preserve">having children in poverty is a serious poverty trap in Detroit.  </w:t>
      </w:r>
      <w:r w:rsidR="00C4718B">
        <w:rPr>
          <w:iCs/>
        </w:rPr>
        <w:t>Authorities confirm this obvious point:  Unwanted pregnancy is associated with dire poverty.</w:t>
      </w:r>
      <w:r w:rsidR="00C4718B">
        <w:rPr>
          <w:rStyle w:val="FootnoteReference"/>
          <w:iCs/>
        </w:rPr>
        <w:footnoteReference w:id="500"/>
      </w:r>
      <w:r w:rsidR="00C4718B">
        <w:rPr>
          <w:iCs/>
        </w:rPr>
        <w:t xml:space="preserve">  </w:t>
      </w:r>
      <w:r w:rsidR="00DE4086" w:rsidRPr="00DE4086">
        <w:rPr>
          <w:iCs/>
        </w:rPr>
        <w:t>Thus, the cleared land should in part be devoted to clinics that will aid Detroit residents in their family planning and the nurturance of their children.</w:t>
      </w:r>
      <w:r w:rsidR="00DE4086" w:rsidRPr="00DE4086">
        <w:rPr>
          <w:iCs/>
          <w:vertAlign w:val="superscript"/>
        </w:rPr>
        <w:footnoteReference w:id="501"/>
      </w:r>
      <w:r w:rsidR="00DE4086" w:rsidRPr="00DE4086">
        <w:rPr>
          <w:iCs/>
        </w:rPr>
        <w:t xml:space="preserve">  </w:t>
      </w:r>
      <w:r w:rsidRPr="00C4718B">
        <w:rPr>
          <w:iCs/>
        </w:rPr>
        <w:t>Since</w:t>
      </w:r>
      <w:r>
        <w:rPr>
          <w:iCs/>
        </w:rPr>
        <w:t xml:space="preserve"> Michigan is home to one of the nation’s most anti-choice regimes, the drafters of the Detroit Master Plan should also take it upon themselves to </w:t>
      </w:r>
      <w:r w:rsidR="00F43C82">
        <w:rPr>
          <w:iCs/>
        </w:rPr>
        <w:t>lobby against Michigan’s illegal pre-</w:t>
      </w:r>
      <w:r w:rsidR="00F43C82">
        <w:rPr>
          <w:i/>
          <w:iCs/>
        </w:rPr>
        <w:t>Roe</w:t>
      </w:r>
      <w:r w:rsidR="00F43C82">
        <w:rPr>
          <w:iCs/>
        </w:rPr>
        <w:t xml:space="preserve"> abortion law and draconian insurance laws (which do not provide </w:t>
      </w:r>
      <w:r w:rsidR="00F43C82">
        <w:rPr>
          <w:iCs/>
        </w:rPr>
        <w:lastRenderedPageBreak/>
        <w:t>women with abortion coverage unless they purchase separate riders)</w:t>
      </w:r>
      <w:r w:rsidR="00F43C82">
        <w:rPr>
          <w:rStyle w:val="FootnoteReference"/>
          <w:iCs/>
        </w:rPr>
        <w:footnoteReference w:id="502"/>
      </w:r>
      <w:r w:rsidR="004C6F73">
        <w:rPr>
          <w:iCs/>
        </w:rPr>
        <w:t xml:space="preserve"> as well as for pro-choice representatives in its legislature.</w:t>
      </w:r>
      <w:r w:rsidR="004C6F73">
        <w:rPr>
          <w:rStyle w:val="FootnoteReference"/>
          <w:iCs/>
        </w:rPr>
        <w:footnoteReference w:id="503"/>
      </w:r>
      <w:r w:rsidR="00507AD0">
        <w:rPr>
          <w:iCs/>
        </w:rPr>
        <w:t xml:space="preserve"> </w:t>
      </w:r>
    </w:p>
    <w:p w:rsidR="00DE665F" w:rsidRPr="00943075" w:rsidRDefault="00DE4086" w:rsidP="00EA738D">
      <w:pPr>
        <w:spacing w:line="480" w:lineRule="auto"/>
        <w:ind w:firstLine="720"/>
        <w:rPr>
          <w:i/>
          <w:iCs/>
          <w:smallCaps/>
        </w:rPr>
      </w:pPr>
      <w:r>
        <w:rPr>
          <w:iCs/>
        </w:rPr>
        <w:t xml:space="preserve">But Noah’s recommendations also connect with Delphia Simmons’ concern for homeless families.  We should not just promote </w:t>
      </w:r>
      <w:r w:rsidR="00D432A0">
        <w:rPr>
          <w:iCs/>
        </w:rPr>
        <w:t>available abortion</w:t>
      </w:r>
      <w:r>
        <w:rPr>
          <w:iCs/>
        </w:rPr>
        <w:t xml:space="preserve">s; we should also </w:t>
      </w:r>
      <w:r w:rsidR="00D432A0">
        <w:rPr>
          <w:iCs/>
        </w:rPr>
        <w:t xml:space="preserve">make provisions for </w:t>
      </w:r>
      <w:r>
        <w:rPr>
          <w:iCs/>
        </w:rPr>
        <w:t>the families that</w:t>
      </w:r>
      <w:r w:rsidR="00D432A0">
        <w:rPr>
          <w:iCs/>
        </w:rPr>
        <w:t xml:space="preserve"> do and will</w:t>
      </w:r>
      <w:r w:rsidR="00732C99">
        <w:rPr>
          <w:iCs/>
        </w:rPr>
        <w:t xml:space="preserve"> exist.  L</w:t>
      </w:r>
      <w:r w:rsidR="00507AD0">
        <w:rPr>
          <w:iCs/>
        </w:rPr>
        <w:t>ooking to experts in Detroit who know how best to support families and their children would also prove advisable.</w:t>
      </w:r>
      <w:r w:rsidR="00F17D4F">
        <w:rPr>
          <w:iCs/>
        </w:rPr>
        <w:t xml:space="preserve">  This is particularly true for single mothers, who endure some of the most intense poverty traps.</w:t>
      </w:r>
      <w:r w:rsidR="00507AD0">
        <w:rPr>
          <w:rStyle w:val="FootnoteReference"/>
          <w:iCs/>
        </w:rPr>
        <w:footnoteReference w:id="504"/>
      </w:r>
      <w:r w:rsidRPr="00DE4086">
        <w:rPr>
          <w:iCs/>
        </w:rPr>
        <w:t xml:space="preserve"> </w:t>
      </w:r>
      <w:r>
        <w:rPr>
          <w:iCs/>
        </w:rPr>
        <w:t xml:space="preserve"> </w:t>
      </w:r>
      <w:r w:rsidRPr="00DE4086">
        <w:rPr>
          <w:iCs/>
        </w:rPr>
        <w:t xml:space="preserve">Poverty that leads to </w:t>
      </w:r>
      <w:r>
        <w:rPr>
          <w:iCs/>
        </w:rPr>
        <w:t xml:space="preserve">child </w:t>
      </w:r>
      <w:r w:rsidRPr="00DE4086">
        <w:rPr>
          <w:iCs/>
        </w:rPr>
        <w:t>malnutritio</w:t>
      </w:r>
      <w:r w:rsidR="00A31904">
        <w:rPr>
          <w:iCs/>
        </w:rPr>
        <w:t>n also constitutes a poverty trap</w:t>
      </w:r>
      <w:r w:rsidRPr="00DE4086">
        <w:rPr>
          <w:iCs/>
        </w:rPr>
        <w:t>, since malnutrition can lead to delayed motor skills and other deficiencies that will inhibit flourishing.</w:t>
      </w:r>
      <w:r w:rsidRPr="00DE4086">
        <w:rPr>
          <w:iCs/>
          <w:vertAlign w:val="superscript"/>
        </w:rPr>
        <w:footnoteReference w:id="505"/>
      </w:r>
      <w:r w:rsidR="00732C99">
        <w:rPr>
          <w:iCs/>
        </w:rPr>
        <w:t xml:space="preserve">  Children’s f</w:t>
      </w:r>
      <w:r w:rsidRPr="00DE4086">
        <w:rPr>
          <w:iCs/>
        </w:rPr>
        <w:t>eelings of food insecurity can also lead to deleterious mental conditions such as depression,</w:t>
      </w:r>
      <w:r w:rsidRPr="00DE4086">
        <w:rPr>
          <w:iCs/>
          <w:vertAlign w:val="superscript"/>
        </w:rPr>
        <w:footnoteReference w:id="506"/>
      </w:r>
      <w:r w:rsidRPr="00DE4086">
        <w:rPr>
          <w:iCs/>
        </w:rPr>
        <w:t xml:space="preserve"> which also constitutes a poverty trap.</w:t>
      </w:r>
      <w:r w:rsidRPr="00DE4086">
        <w:rPr>
          <w:iCs/>
          <w:vertAlign w:val="superscript"/>
        </w:rPr>
        <w:footnoteReference w:id="507"/>
      </w:r>
      <w:r w:rsidRPr="00DE4086">
        <w:rPr>
          <w:iCs/>
        </w:rPr>
        <w:t xml:space="preserve">  </w:t>
      </w:r>
      <w:r>
        <w:rPr>
          <w:iCs/>
        </w:rPr>
        <w:t>Delphia’s mention of caps on public assistance and the high cost of food in Detroit supermarkets, thus, also counsel that a plan</w:t>
      </w:r>
      <w:r w:rsidR="00D432A0">
        <w:rPr>
          <w:iCs/>
        </w:rPr>
        <w:t xml:space="preserve"> for future Detroit should include lobbies</w:t>
      </w:r>
      <w:r>
        <w:rPr>
          <w:iCs/>
        </w:rPr>
        <w:t xml:space="preserve"> to </w:t>
      </w:r>
      <w:r w:rsidR="00FA78F2">
        <w:rPr>
          <w:iCs/>
        </w:rPr>
        <w:t>elevate</w:t>
      </w:r>
      <w:r>
        <w:rPr>
          <w:iCs/>
        </w:rPr>
        <w:t xml:space="preserve"> the assistance caps</w:t>
      </w:r>
      <w:r w:rsidRPr="00DE4086">
        <w:rPr>
          <w:iCs/>
          <w:vertAlign w:val="superscript"/>
        </w:rPr>
        <w:footnoteReference w:id="508"/>
      </w:r>
      <w:r>
        <w:rPr>
          <w:iCs/>
        </w:rPr>
        <w:t xml:space="preserve"> and provide ample food subsidies.</w:t>
      </w:r>
      <w:r w:rsidRPr="00DE4086">
        <w:rPr>
          <w:iCs/>
          <w:vertAlign w:val="superscript"/>
        </w:rPr>
        <w:t xml:space="preserve"> </w:t>
      </w:r>
      <w:r w:rsidRPr="00DE4086">
        <w:rPr>
          <w:iCs/>
          <w:vertAlign w:val="superscript"/>
        </w:rPr>
        <w:footnoteReference w:id="509"/>
      </w:r>
    </w:p>
    <w:p w:rsidR="00F821C8" w:rsidRDefault="00F821C8" w:rsidP="00EA738D">
      <w:pPr>
        <w:spacing w:line="480" w:lineRule="auto"/>
        <w:ind w:firstLine="720"/>
        <w:rPr>
          <w:iCs/>
        </w:rPr>
      </w:pPr>
      <w:r>
        <w:rPr>
          <w:iCs/>
        </w:rPr>
        <w:lastRenderedPageBreak/>
        <w:t>Noah also reminded us of how intersectionality or multidimensionality</w:t>
      </w:r>
      <w:r>
        <w:rPr>
          <w:rStyle w:val="FootnoteReference"/>
          <w:iCs/>
        </w:rPr>
        <w:footnoteReference w:id="510"/>
      </w:r>
      <w:r w:rsidR="00A31904">
        <w:rPr>
          <w:iCs/>
        </w:rPr>
        <w:t xml:space="preserve"> </w:t>
      </w:r>
      <w:r w:rsidR="00D432A0">
        <w:rPr>
          <w:iCs/>
        </w:rPr>
        <w:t>should</w:t>
      </w:r>
      <w:r>
        <w:rPr>
          <w:iCs/>
        </w:rPr>
        <w:t xml:space="preserve"> enrich our approach to identifying and tackling </w:t>
      </w:r>
      <w:r w:rsidR="00D432A0">
        <w:rPr>
          <w:iCs/>
        </w:rPr>
        <w:t>poverty traps</w:t>
      </w:r>
      <w:r>
        <w:rPr>
          <w:iCs/>
        </w:rPr>
        <w:t>:  In his portrait of, and story about, Dezey, he observed how sexual identity and youth form two particular types of poverty traps that make gay teens of color particularly vulnerable to eviction and homelessness.</w:t>
      </w:r>
      <w:r>
        <w:rPr>
          <w:rStyle w:val="FootnoteReference"/>
          <w:iCs/>
        </w:rPr>
        <w:footnoteReference w:id="511"/>
      </w:r>
      <w:r w:rsidR="001376B8">
        <w:rPr>
          <w:iCs/>
        </w:rPr>
        <w:t xml:space="preserve">  Noah’s ability to see this problem teaches us that a plan fo</w:t>
      </w:r>
      <w:r w:rsidR="00DE4086">
        <w:rPr>
          <w:iCs/>
        </w:rPr>
        <w:t>r alleviating poverty must i</w:t>
      </w:r>
      <w:r w:rsidR="001376B8">
        <w:rPr>
          <w:iCs/>
        </w:rPr>
        <w:t xml:space="preserve">nclude </w:t>
      </w:r>
      <w:r w:rsidR="0066050E">
        <w:rPr>
          <w:iCs/>
        </w:rPr>
        <w:t xml:space="preserve">dedicating confiscated property to </w:t>
      </w:r>
      <w:r w:rsidR="001376B8">
        <w:rPr>
          <w:iCs/>
        </w:rPr>
        <w:t>organizations like the Ruth Ellis Center.</w:t>
      </w:r>
      <w:r w:rsidR="001376B8">
        <w:rPr>
          <w:rStyle w:val="FootnoteReference"/>
          <w:iCs/>
        </w:rPr>
        <w:footnoteReference w:id="512"/>
      </w:r>
    </w:p>
    <w:p w:rsidR="00DE4086" w:rsidRDefault="00796D5B" w:rsidP="00EA738D">
      <w:pPr>
        <w:spacing w:line="480" w:lineRule="auto"/>
        <w:ind w:firstLine="720"/>
        <w:rPr>
          <w:iCs/>
        </w:rPr>
      </w:pPr>
      <w:r>
        <w:rPr>
          <w:iCs/>
        </w:rPr>
        <w:t xml:space="preserve">Delphia </w:t>
      </w:r>
      <w:r w:rsidR="00DE4086">
        <w:rPr>
          <w:iCs/>
        </w:rPr>
        <w:t xml:space="preserve">teaches us a </w:t>
      </w:r>
      <w:r w:rsidR="00F17D4F">
        <w:rPr>
          <w:iCs/>
        </w:rPr>
        <w:t xml:space="preserve">host of </w:t>
      </w:r>
      <w:r w:rsidR="00DE4086">
        <w:rPr>
          <w:iCs/>
        </w:rPr>
        <w:t xml:space="preserve">other </w:t>
      </w:r>
      <w:r w:rsidR="00F17D4F">
        <w:rPr>
          <w:iCs/>
        </w:rPr>
        <w:t xml:space="preserve">legal and policy changes that should be made in tandem with the Task Force’s </w:t>
      </w:r>
      <w:r w:rsidR="00A31904">
        <w:rPr>
          <w:iCs/>
        </w:rPr>
        <w:t>seizure and condemnation of buildings</w:t>
      </w:r>
      <w:r w:rsidR="00F17D4F">
        <w:rPr>
          <w:iCs/>
        </w:rPr>
        <w:t xml:space="preserve">.  In terms of land use, the city should flag some of the properties for homeless shelters </w:t>
      </w:r>
      <w:r w:rsidR="00A31904">
        <w:rPr>
          <w:iCs/>
        </w:rPr>
        <w:t xml:space="preserve">and supportive housing </w:t>
      </w:r>
      <w:r w:rsidR="00F17D4F">
        <w:rPr>
          <w:iCs/>
        </w:rPr>
        <w:t xml:space="preserve">that are not </w:t>
      </w:r>
      <w:r w:rsidR="00A31904">
        <w:rPr>
          <w:iCs/>
        </w:rPr>
        <w:t>s</w:t>
      </w:r>
      <w:r w:rsidR="00F17D4F">
        <w:rPr>
          <w:iCs/>
        </w:rPr>
        <w:t>egregated from the</w:t>
      </w:r>
      <w:r w:rsidR="00A31904">
        <w:rPr>
          <w:iCs/>
        </w:rPr>
        <w:t xml:space="preserve"> rest of the</w:t>
      </w:r>
      <w:r w:rsidR="00F17D4F">
        <w:rPr>
          <w:iCs/>
        </w:rPr>
        <w:t xml:space="preserve"> community.</w:t>
      </w:r>
      <w:r w:rsidR="00F17D4F">
        <w:rPr>
          <w:rStyle w:val="FootnoteReference"/>
          <w:iCs/>
        </w:rPr>
        <w:footnoteReference w:id="513"/>
      </w:r>
      <w:r w:rsidR="00F17D4F">
        <w:rPr>
          <w:iCs/>
        </w:rPr>
        <w:t xml:space="preserve">  </w:t>
      </w:r>
      <w:r w:rsidR="00DE4086">
        <w:rPr>
          <w:iCs/>
        </w:rPr>
        <w:t>Homes that blexters do not identify as “poor” may qualify for such housing.</w:t>
      </w:r>
      <w:r w:rsidR="00DE4086">
        <w:rPr>
          <w:rStyle w:val="FootnoteReference"/>
          <w:iCs/>
        </w:rPr>
        <w:footnoteReference w:id="514"/>
      </w:r>
      <w:r w:rsidR="00DE4086">
        <w:rPr>
          <w:iCs/>
        </w:rPr>
        <w:t xml:space="preserve">  </w:t>
      </w:r>
      <w:r w:rsidR="00F17D4F">
        <w:rPr>
          <w:iCs/>
        </w:rPr>
        <w:t>An Anti-Homelessness Task Force should also be convened, which will</w:t>
      </w:r>
      <w:r w:rsidR="00876A4E">
        <w:rPr>
          <w:iCs/>
        </w:rPr>
        <w:t xml:space="preserve"> meet regularly with Detroit’s M</w:t>
      </w:r>
      <w:r w:rsidR="00F17D4F">
        <w:rPr>
          <w:iCs/>
        </w:rPr>
        <w:t>ayor and its top brass.</w:t>
      </w:r>
      <w:r w:rsidR="00F17D4F">
        <w:rPr>
          <w:rStyle w:val="FootnoteReference"/>
          <w:iCs/>
        </w:rPr>
        <w:footnoteReference w:id="515"/>
      </w:r>
      <w:r w:rsidR="00F17D4F">
        <w:rPr>
          <w:iCs/>
        </w:rPr>
        <w:t xml:space="preserve">  The </w:t>
      </w:r>
      <w:r w:rsidR="00A31904">
        <w:rPr>
          <w:iCs/>
        </w:rPr>
        <w:t>land seizures</w:t>
      </w:r>
      <w:r w:rsidR="00F17D4F">
        <w:rPr>
          <w:iCs/>
        </w:rPr>
        <w:t xml:space="preserve"> should also exist in a </w:t>
      </w:r>
      <w:r w:rsidR="00A31904">
        <w:rPr>
          <w:iCs/>
        </w:rPr>
        <w:t xml:space="preserve">holistic </w:t>
      </w:r>
      <w:r w:rsidR="00F17D4F">
        <w:rPr>
          <w:iCs/>
        </w:rPr>
        <w:t>program that seeks to lower car insurance rates,</w:t>
      </w:r>
      <w:r w:rsidR="00F17D4F">
        <w:rPr>
          <w:rStyle w:val="FootnoteReference"/>
          <w:iCs/>
        </w:rPr>
        <w:footnoteReference w:id="516"/>
      </w:r>
      <w:r w:rsidR="00F17D4F">
        <w:rPr>
          <w:iCs/>
        </w:rPr>
        <w:t xml:space="preserve"> </w:t>
      </w:r>
      <w:r w:rsidR="00DE4086">
        <w:rPr>
          <w:iCs/>
        </w:rPr>
        <w:t xml:space="preserve">and </w:t>
      </w:r>
      <w:r w:rsidR="00F17D4F">
        <w:rPr>
          <w:iCs/>
        </w:rPr>
        <w:t xml:space="preserve">address </w:t>
      </w:r>
      <w:r w:rsidR="00F17D4F" w:rsidRPr="00F17D4F">
        <w:rPr>
          <w:iCs/>
        </w:rPr>
        <w:t xml:space="preserve">irresponsible landlords </w:t>
      </w:r>
      <w:r w:rsidR="00F17D4F">
        <w:rPr>
          <w:iCs/>
        </w:rPr>
        <w:t>and the exaggerated</w:t>
      </w:r>
      <w:r w:rsidR="00F17D4F" w:rsidRPr="00F17D4F">
        <w:rPr>
          <w:iCs/>
        </w:rPr>
        <w:t xml:space="preserve"> utilities </w:t>
      </w:r>
      <w:r w:rsidR="00F17D4F">
        <w:rPr>
          <w:iCs/>
        </w:rPr>
        <w:t xml:space="preserve">costs they make </w:t>
      </w:r>
      <w:r w:rsidR="00F17D4F" w:rsidRPr="00F17D4F">
        <w:rPr>
          <w:iCs/>
        </w:rPr>
        <w:t>tenant</w:t>
      </w:r>
      <w:r w:rsidR="00F17D4F">
        <w:rPr>
          <w:iCs/>
        </w:rPr>
        <w:t>s incur</w:t>
      </w:r>
      <w:r w:rsidR="00DE4086">
        <w:rPr>
          <w:iCs/>
        </w:rPr>
        <w:t>.</w:t>
      </w:r>
      <w:r w:rsidR="00F17D4F" w:rsidRPr="00F17D4F">
        <w:rPr>
          <w:iCs/>
          <w:vertAlign w:val="superscript"/>
        </w:rPr>
        <w:footnoteReference w:id="517"/>
      </w:r>
      <w:r w:rsidR="00F17D4F">
        <w:rPr>
          <w:iCs/>
        </w:rPr>
        <w:t xml:space="preserve"> </w:t>
      </w:r>
    </w:p>
    <w:p w:rsidR="00F17D4F" w:rsidRPr="000B2F00" w:rsidRDefault="00F17D4F" w:rsidP="00EA738D">
      <w:pPr>
        <w:spacing w:line="480" w:lineRule="auto"/>
        <w:ind w:firstLine="720"/>
        <w:rPr>
          <w:iCs/>
        </w:rPr>
      </w:pPr>
      <w:r>
        <w:rPr>
          <w:iCs/>
        </w:rPr>
        <w:t xml:space="preserve">From Josh Bassett, </w:t>
      </w:r>
      <w:r w:rsidR="00D432A0">
        <w:rPr>
          <w:iCs/>
        </w:rPr>
        <w:t xml:space="preserve">as well as Noah, </w:t>
      </w:r>
      <w:r w:rsidR="000B2F00">
        <w:rPr>
          <w:iCs/>
        </w:rPr>
        <w:t>we learn of the necessity to improve education in Detroit, and to increase the literacy and graduation rates of its adults and youths.</w:t>
      </w:r>
      <w:r w:rsidR="000B2F00">
        <w:rPr>
          <w:rStyle w:val="FootnoteReference"/>
          <w:iCs/>
        </w:rPr>
        <w:footnoteReference w:id="518"/>
      </w:r>
      <w:r w:rsidR="000B2F00">
        <w:rPr>
          <w:iCs/>
        </w:rPr>
        <w:t xml:space="preserve">  Besides “access to food,”</w:t>
      </w:r>
      <w:r w:rsidR="000B2F00">
        <w:rPr>
          <w:rStyle w:val="FootnoteReference"/>
          <w:iCs/>
        </w:rPr>
        <w:footnoteReference w:id="519"/>
      </w:r>
      <w:r w:rsidR="00E83C47">
        <w:rPr>
          <w:iCs/>
        </w:rPr>
        <w:t xml:space="preserve"> </w:t>
      </w:r>
      <w:r w:rsidR="000B2F00">
        <w:rPr>
          <w:iCs/>
        </w:rPr>
        <w:lastRenderedPageBreak/>
        <w:t xml:space="preserve">strengthening education is the only other poverty trap mentioned by my interviewees </w:t>
      </w:r>
      <w:r w:rsidR="00DE4086">
        <w:rPr>
          <w:iCs/>
        </w:rPr>
        <w:t xml:space="preserve">that </w:t>
      </w:r>
      <w:r w:rsidR="000B2F00">
        <w:rPr>
          <w:iCs/>
        </w:rPr>
        <w:t>Detroit Future City focuses on in its Strategic Framework Plan.</w:t>
      </w:r>
      <w:r w:rsidR="000B2F00">
        <w:rPr>
          <w:rStyle w:val="FootnoteReference"/>
          <w:iCs/>
        </w:rPr>
        <w:footnoteReference w:id="520"/>
      </w:r>
      <w:r w:rsidR="000B2F00">
        <w:rPr>
          <w:iCs/>
        </w:rPr>
        <w:t xml:space="preserve">  So at least that is one goal that may already find its way into the Master Plan.</w:t>
      </w:r>
    </w:p>
    <w:p w:rsidR="00C62B56" w:rsidRDefault="000B2F00" w:rsidP="00EA738D">
      <w:pPr>
        <w:spacing w:line="480" w:lineRule="auto"/>
        <w:ind w:firstLine="720"/>
        <w:rPr>
          <w:iCs/>
        </w:rPr>
      </w:pPr>
      <w:r>
        <w:rPr>
          <w:iCs/>
        </w:rPr>
        <w:t>From Shel Kimen,</w:t>
      </w:r>
      <w:r w:rsidR="00876A4E" w:rsidRPr="00876A4E">
        <w:rPr>
          <w:iCs/>
          <w:vertAlign w:val="superscript"/>
        </w:rPr>
        <w:t xml:space="preserve"> </w:t>
      </w:r>
      <w:r w:rsidR="00876A4E" w:rsidRPr="00876A4E">
        <w:rPr>
          <w:iCs/>
          <w:vertAlign w:val="superscript"/>
        </w:rPr>
        <w:footnoteReference w:id="521"/>
      </w:r>
      <w:r w:rsidR="00876A4E">
        <w:rPr>
          <w:iCs/>
          <w:vertAlign w:val="superscript"/>
        </w:rPr>
        <w:t xml:space="preserve"> </w:t>
      </w:r>
      <w:r w:rsidR="00876A4E">
        <w:rPr>
          <w:iCs/>
        </w:rPr>
        <w:t>as well as Delphia,</w:t>
      </w:r>
      <w:r w:rsidR="00876A4E">
        <w:rPr>
          <w:rStyle w:val="FootnoteReference"/>
          <w:iCs/>
        </w:rPr>
        <w:footnoteReference w:id="522"/>
      </w:r>
      <w:r w:rsidR="00876A4E">
        <w:rPr>
          <w:iCs/>
        </w:rPr>
        <w:t xml:space="preserve"> </w:t>
      </w:r>
      <w:r>
        <w:rPr>
          <w:iCs/>
        </w:rPr>
        <w:t xml:space="preserve">we learn </w:t>
      </w:r>
      <w:r w:rsidR="00E83C47">
        <w:rPr>
          <w:iCs/>
        </w:rPr>
        <w:t>that lack of empathy, communication, and understanding may also exist as poverty traps in Detroit.  She</w:t>
      </w:r>
      <w:r w:rsidR="00876A4E">
        <w:rPr>
          <w:iCs/>
        </w:rPr>
        <w:t>l</w:t>
      </w:r>
      <w:r w:rsidR="00E83C47">
        <w:rPr>
          <w:iCs/>
        </w:rPr>
        <w:t xml:space="preserve"> notes, for example, that the </w:t>
      </w:r>
      <w:r w:rsidR="00796D5B">
        <w:rPr>
          <w:iCs/>
        </w:rPr>
        <w:t>“tiki bar”</w:t>
      </w:r>
      <w:r w:rsidR="00796D5B">
        <w:rPr>
          <w:rStyle w:val="FootnoteReference"/>
          <w:iCs/>
        </w:rPr>
        <w:footnoteReference w:id="523"/>
      </w:r>
      <w:r w:rsidR="00796D5B">
        <w:rPr>
          <w:iCs/>
        </w:rPr>
        <w:t xml:space="preserve"> </w:t>
      </w:r>
      <w:r w:rsidR="00E83C47">
        <w:rPr>
          <w:iCs/>
        </w:rPr>
        <w:t xml:space="preserve">development </w:t>
      </w:r>
      <w:r w:rsidR="00796D5B">
        <w:rPr>
          <w:iCs/>
        </w:rPr>
        <w:t>n</w:t>
      </w:r>
      <w:r w:rsidR="00732C99">
        <w:rPr>
          <w:iCs/>
        </w:rPr>
        <w:t>ow shaping</w:t>
      </w:r>
      <w:r w:rsidR="00E83C47">
        <w:rPr>
          <w:iCs/>
        </w:rPr>
        <w:t xml:space="preserve"> the city </w:t>
      </w:r>
      <w:r w:rsidR="00B117B3">
        <w:rPr>
          <w:iCs/>
        </w:rPr>
        <w:t>increase</w:t>
      </w:r>
      <w:r w:rsidR="00732C99">
        <w:rPr>
          <w:iCs/>
        </w:rPr>
        <w:t>s</w:t>
      </w:r>
      <w:r w:rsidR="00B117B3">
        <w:rPr>
          <w:iCs/>
        </w:rPr>
        <w:t xml:space="preserve"> a sense of isolation and non-belonging for Detroit</w:t>
      </w:r>
      <w:r w:rsidR="00732C99">
        <w:rPr>
          <w:iCs/>
        </w:rPr>
        <w:t>’s elderly and low-income</w:t>
      </w:r>
      <w:r w:rsidR="00B117B3">
        <w:rPr>
          <w:iCs/>
        </w:rPr>
        <w:t xml:space="preserve"> residents.</w:t>
      </w:r>
      <w:r w:rsidR="00B117B3">
        <w:rPr>
          <w:rStyle w:val="FootnoteReference"/>
          <w:iCs/>
        </w:rPr>
        <w:footnoteReference w:id="524"/>
      </w:r>
      <w:r w:rsidR="00B117B3">
        <w:rPr>
          <w:iCs/>
        </w:rPr>
        <w:t xml:space="preserve">  </w:t>
      </w:r>
      <w:r w:rsidR="005F3C98">
        <w:rPr>
          <w:iCs/>
        </w:rPr>
        <w:t>Social isolation is itself a poverty trap.</w:t>
      </w:r>
      <w:r w:rsidR="005F3C98">
        <w:rPr>
          <w:rStyle w:val="FootnoteReference"/>
          <w:iCs/>
        </w:rPr>
        <w:footnoteReference w:id="525"/>
      </w:r>
      <w:r w:rsidR="005F3C98">
        <w:rPr>
          <w:iCs/>
        </w:rPr>
        <w:t xml:space="preserve">  </w:t>
      </w:r>
      <w:r w:rsidR="00B117B3">
        <w:rPr>
          <w:iCs/>
        </w:rPr>
        <w:t>While DFC did make great efforts toward community engagement, it did not do so with the purpose of poverty alleviation in mind.</w:t>
      </w:r>
      <w:r w:rsidR="00796D5B">
        <w:rPr>
          <w:iCs/>
        </w:rPr>
        <w:t xml:space="preserve">  There must be concrete plans to listen and hear in Detroit, and to </w:t>
      </w:r>
      <w:r w:rsidR="00A31904">
        <w:rPr>
          <w:iCs/>
        </w:rPr>
        <w:t>u</w:t>
      </w:r>
      <w:r w:rsidR="006A5331">
        <w:rPr>
          <w:iCs/>
        </w:rPr>
        <w:t>se</w:t>
      </w:r>
      <w:r w:rsidR="00A31904">
        <w:rPr>
          <w:iCs/>
        </w:rPr>
        <w:t xml:space="preserve"> the seized</w:t>
      </w:r>
      <w:r w:rsidR="0066050E">
        <w:rPr>
          <w:iCs/>
        </w:rPr>
        <w:t xml:space="preserve"> land</w:t>
      </w:r>
      <w:r w:rsidR="00A31904">
        <w:rPr>
          <w:iCs/>
        </w:rPr>
        <w:t xml:space="preserve"> in a way that </w:t>
      </w:r>
      <w:r w:rsidR="0066050E">
        <w:rPr>
          <w:iCs/>
        </w:rPr>
        <w:t>“moves the needle” instead of increasing</w:t>
      </w:r>
      <w:r w:rsidR="00796D5B">
        <w:rPr>
          <w:iCs/>
        </w:rPr>
        <w:t xml:space="preserve"> segregation and social atomization.</w:t>
      </w:r>
      <w:r w:rsidR="00B117B3">
        <w:rPr>
          <w:iCs/>
        </w:rPr>
        <w:t xml:space="preserve">  </w:t>
      </w:r>
    </w:p>
    <w:p w:rsidR="00F17D4F" w:rsidRDefault="00B117B3" w:rsidP="00EA738D">
      <w:pPr>
        <w:spacing w:line="480" w:lineRule="auto"/>
        <w:ind w:firstLine="720"/>
        <w:rPr>
          <w:iCs/>
        </w:rPr>
      </w:pPr>
      <w:r>
        <w:rPr>
          <w:iCs/>
        </w:rPr>
        <w:t xml:space="preserve">As Easterly’s disgruntled take on “planners” has already shown in </w:t>
      </w:r>
      <w:r w:rsidR="003D09D5">
        <w:rPr>
          <w:iCs/>
        </w:rPr>
        <w:t>the field of foreign aid</w:t>
      </w:r>
      <w:r>
        <w:rPr>
          <w:iCs/>
        </w:rPr>
        <w:t>,</w:t>
      </w:r>
      <w:r>
        <w:rPr>
          <w:rStyle w:val="FootnoteReference"/>
          <w:iCs/>
        </w:rPr>
        <w:footnoteReference w:id="526"/>
      </w:r>
      <w:r>
        <w:rPr>
          <w:iCs/>
        </w:rPr>
        <w:t xml:space="preserve"> all of the efforts to dismantle the poverty traps that I have discussed here </w:t>
      </w:r>
      <w:r w:rsidR="00876A4E">
        <w:rPr>
          <w:iCs/>
        </w:rPr>
        <w:t>should be crafted with the guidance</w:t>
      </w:r>
      <w:r>
        <w:rPr>
          <w:iCs/>
        </w:rPr>
        <w:t xml:space="preserve"> of low-income people</w:t>
      </w:r>
      <w:r w:rsidR="00876A4E">
        <w:rPr>
          <w:iCs/>
        </w:rPr>
        <w:t>’s stories and understandings</w:t>
      </w:r>
      <w:r>
        <w:rPr>
          <w:iCs/>
        </w:rPr>
        <w:t xml:space="preserve">.  In so doing </w:t>
      </w:r>
      <w:r w:rsidR="00C62B56">
        <w:rPr>
          <w:iCs/>
        </w:rPr>
        <w:t xml:space="preserve">we can pave a route toward a more egalitarian Detroit, where growth does not proceed without fairness, and where high ideals of equality and </w:t>
      </w:r>
      <w:r w:rsidR="00796D5B">
        <w:rPr>
          <w:iCs/>
        </w:rPr>
        <w:t xml:space="preserve">nonviolence do not collapse </w:t>
      </w:r>
      <w:r w:rsidR="00732C99">
        <w:rPr>
          <w:iCs/>
        </w:rPr>
        <w:t>into a pretext that serves only upper class interests</w:t>
      </w:r>
      <w:r w:rsidR="00C62B56">
        <w:rPr>
          <w:iCs/>
        </w:rPr>
        <w:t xml:space="preserve">.  </w:t>
      </w:r>
    </w:p>
    <w:p w:rsidR="00D432A0" w:rsidRDefault="00D432A0" w:rsidP="00EA738D">
      <w:pPr>
        <w:spacing w:line="480" w:lineRule="auto"/>
        <w:ind w:firstLine="720"/>
        <w:rPr>
          <w:iCs/>
        </w:rPr>
      </w:pPr>
      <w:r>
        <w:rPr>
          <w:iCs/>
        </w:rPr>
        <w:lastRenderedPageBreak/>
        <w:t>Finally, because seeing and not peering requ</w:t>
      </w:r>
      <w:r w:rsidR="00FA78F2">
        <w:rPr>
          <w:iCs/>
        </w:rPr>
        <w:t>ires a commitment to acknowledging</w:t>
      </w:r>
      <w:r>
        <w:rPr>
          <w:iCs/>
        </w:rPr>
        <w:t xml:space="preserve"> problems with one’s own viewpoint, this process must also proceed with a candid assessment that these programs will cost money, and may also hamper the rapid resolution of the serious blight problem in Detro</w:t>
      </w:r>
      <w:r w:rsidR="00732C99">
        <w:rPr>
          <w:iCs/>
        </w:rPr>
        <w:t>it.  The money problem</w:t>
      </w:r>
      <w:r w:rsidR="00876A4E">
        <w:rPr>
          <w:iCs/>
        </w:rPr>
        <w:t xml:space="preserve"> is massive.  In order to ensure that the </w:t>
      </w:r>
      <w:r w:rsidR="00A31904">
        <w:rPr>
          <w:iCs/>
        </w:rPr>
        <w:t>exercise of eminent domain</w:t>
      </w:r>
      <w:r w:rsidR="00876A4E">
        <w:rPr>
          <w:iCs/>
        </w:rPr>
        <w:t xml:space="preserve"> secure</w:t>
      </w:r>
      <w:r w:rsidR="00A31904">
        <w:rPr>
          <w:iCs/>
        </w:rPr>
        <w:t>s</w:t>
      </w:r>
      <w:r w:rsidR="00876A4E">
        <w:rPr>
          <w:iCs/>
        </w:rPr>
        <w:t xml:space="preserve"> poverty alleviation, a tax on the growth promoted by the DFC should ensure that prosperity pays for poverty alleviation.</w:t>
      </w:r>
      <w:r>
        <w:rPr>
          <w:iCs/>
        </w:rPr>
        <w:t xml:space="preserve">  </w:t>
      </w:r>
      <w:r w:rsidR="00876A4E">
        <w:rPr>
          <w:iCs/>
        </w:rPr>
        <w:t xml:space="preserve">But that will not be enough, particularly at first.  </w:t>
      </w:r>
      <w:r>
        <w:rPr>
          <w:iCs/>
        </w:rPr>
        <w:t>Support could come from the Hardest Hit Fund,</w:t>
      </w:r>
      <w:r>
        <w:rPr>
          <w:rStyle w:val="FootnoteReference"/>
          <w:iCs/>
        </w:rPr>
        <w:footnoteReference w:id="527"/>
      </w:r>
      <w:r>
        <w:rPr>
          <w:iCs/>
        </w:rPr>
        <w:t xml:space="preserve"> or the money set aside to fight blight in the bankruptcy resolution,</w:t>
      </w:r>
      <w:r>
        <w:rPr>
          <w:rStyle w:val="FootnoteReference"/>
          <w:iCs/>
        </w:rPr>
        <w:footnoteReference w:id="528"/>
      </w:r>
      <w:r>
        <w:rPr>
          <w:iCs/>
        </w:rPr>
        <w:t xml:space="preserve"> but there is no surplus of dollars even in these windfalls, considering the gargantuan costs that Detroit now faces.</w:t>
      </w:r>
      <w:r>
        <w:rPr>
          <w:rStyle w:val="FootnoteReference"/>
          <w:iCs/>
        </w:rPr>
        <w:footnoteReference w:id="529"/>
      </w:r>
      <w:r>
        <w:rPr>
          <w:iCs/>
        </w:rPr>
        <w:t xml:space="preserve">  So money will be an issue</w:t>
      </w:r>
      <w:r w:rsidR="005730FA">
        <w:rPr>
          <w:iCs/>
        </w:rPr>
        <w:t xml:space="preserve"> – that’s an understatement</w:t>
      </w:r>
      <w:r>
        <w:rPr>
          <w:iCs/>
        </w:rPr>
        <w:t>.  Moreover, there’s always the possibility that poverty uplift efforts could upend any potentia</w:t>
      </w:r>
      <w:r w:rsidR="0094399E">
        <w:rPr>
          <w:iCs/>
        </w:rPr>
        <w:t xml:space="preserve">l for Detroit recovery, if the </w:t>
      </w:r>
      <w:r>
        <w:rPr>
          <w:iCs/>
        </w:rPr>
        <w:t xml:space="preserve">politics of </w:t>
      </w:r>
      <w:r w:rsidR="0094399E">
        <w:rPr>
          <w:iCs/>
        </w:rPr>
        <w:t>“</w:t>
      </w:r>
      <w:r>
        <w:rPr>
          <w:iCs/>
        </w:rPr>
        <w:t xml:space="preserve">desperation” is any clue.  Seeing and not peering requires admission of these hazards.  Yet it also needs a recognition that anti-poverty commitments </w:t>
      </w:r>
      <w:r w:rsidR="00A3610D">
        <w:rPr>
          <w:iCs/>
        </w:rPr>
        <w:t>too often</w:t>
      </w:r>
      <w:r>
        <w:rPr>
          <w:iCs/>
        </w:rPr>
        <w:t xml:space="preserve"> take a backseat to growth in capitalism.</w:t>
      </w:r>
      <w:r w:rsidR="00A3610D">
        <w:rPr>
          <w:rStyle w:val="FootnoteReference"/>
          <w:iCs/>
        </w:rPr>
        <w:footnoteReference w:id="530"/>
      </w:r>
      <w:r>
        <w:rPr>
          <w:iCs/>
        </w:rPr>
        <w:t xml:space="preserve">  Detroit’s future should not be built on the backs of the poor.  </w:t>
      </w:r>
    </w:p>
    <w:p w:rsidR="00F17D4F" w:rsidRPr="00A3610D" w:rsidRDefault="00DE4086" w:rsidP="00EA738D">
      <w:pPr>
        <w:pStyle w:val="ListParagraph"/>
        <w:numPr>
          <w:ilvl w:val="0"/>
          <w:numId w:val="20"/>
        </w:numPr>
        <w:spacing w:line="480" w:lineRule="auto"/>
        <w:rPr>
          <w:iCs/>
        </w:rPr>
      </w:pPr>
      <w:r w:rsidRPr="00A3610D">
        <w:rPr>
          <w:iCs/>
        </w:rPr>
        <w:lastRenderedPageBreak/>
        <w:t>Conclusion</w:t>
      </w:r>
    </w:p>
    <w:p w:rsidR="00740CB1" w:rsidRDefault="004C1344" w:rsidP="00EA738D">
      <w:pPr>
        <w:spacing w:line="480" w:lineRule="auto"/>
        <w:ind w:firstLine="720"/>
        <w:rPr>
          <w:iCs/>
        </w:rPr>
      </w:pPr>
      <w:r>
        <w:rPr>
          <w:iCs/>
        </w:rPr>
        <w:t>Detroit readies itself for a massive blight condemnation that pro</w:t>
      </w:r>
      <w:r w:rsidR="00BE324B">
        <w:rPr>
          <w:iCs/>
        </w:rPr>
        <w:t>ves necessary for its future.  If it proceed</w:t>
      </w:r>
      <w:r w:rsidR="00416D74">
        <w:rPr>
          <w:iCs/>
        </w:rPr>
        <w:t xml:space="preserve">s according to the Task Force’s </w:t>
      </w:r>
      <w:r w:rsidR="00BE324B">
        <w:rPr>
          <w:iCs/>
        </w:rPr>
        <w:t>playbook, t</w:t>
      </w:r>
      <w:r>
        <w:rPr>
          <w:iCs/>
        </w:rPr>
        <w:t>his condemnation will also constitute a</w:t>
      </w:r>
      <w:r w:rsidR="00740CB1">
        <w:rPr>
          <w:iCs/>
        </w:rPr>
        <w:t>n unconstitutional</w:t>
      </w:r>
      <w:r>
        <w:rPr>
          <w:iCs/>
        </w:rPr>
        <w:t xml:space="preserve"> taking un</w:t>
      </w:r>
      <w:r w:rsidR="00BE324B">
        <w:rPr>
          <w:iCs/>
        </w:rPr>
        <w:t xml:space="preserve">der </w:t>
      </w:r>
      <w:r w:rsidR="00740CB1">
        <w:rPr>
          <w:iCs/>
        </w:rPr>
        <w:t>the federal constitution</w:t>
      </w:r>
      <w:r w:rsidR="00BE324B">
        <w:rPr>
          <w:iCs/>
        </w:rPr>
        <w:t xml:space="preserve">.  </w:t>
      </w:r>
      <w:r w:rsidR="00740CB1">
        <w:rPr>
          <w:iCs/>
        </w:rPr>
        <w:t xml:space="preserve">The condemnation will create a second problem as well, which is that </w:t>
      </w:r>
      <w:r>
        <w:rPr>
          <w:iCs/>
        </w:rPr>
        <w:t>blight condemnations often harm low-income people of color, and the peering practices that already enliven anti-blight rhetoric in t</w:t>
      </w:r>
      <w:r w:rsidR="0066050E">
        <w:rPr>
          <w:iCs/>
        </w:rPr>
        <w:t>he city indicate that such injuries</w:t>
      </w:r>
      <w:r>
        <w:rPr>
          <w:iCs/>
        </w:rPr>
        <w:t xml:space="preserve"> are </w:t>
      </w:r>
      <w:r w:rsidR="00BE324B">
        <w:rPr>
          <w:iCs/>
        </w:rPr>
        <w:t>coming</w:t>
      </w:r>
      <w:r>
        <w:rPr>
          <w:iCs/>
        </w:rPr>
        <w:t xml:space="preserve">.  </w:t>
      </w:r>
      <w:r w:rsidR="00740CB1">
        <w:rPr>
          <w:iCs/>
        </w:rPr>
        <w:t>But the p</w:t>
      </w:r>
      <w:r w:rsidR="006B649B">
        <w:rPr>
          <w:iCs/>
        </w:rPr>
        <w:t xml:space="preserve">eering practices engaged in by Mr. Gilbert, the Task Force’s chairs, the media, and others divert the citizenry from these dilemmas with mesmeric images of contagion and pioneering wealth.  </w:t>
      </w:r>
    </w:p>
    <w:p w:rsidR="004C1344" w:rsidRDefault="00416D74" w:rsidP="00EA738D">
      <w:pPr>
        <w:spacing w:line="480" w:lineRule="auto"/>
        <w:ind w:firstLine="720"/>
        <w:rPr>
          <w:iCs/>
        </w:rPr>
      </w:pPr>
      <w:r>
        <w:rPr>
          <w:iCs/>
        </w:rPr>
        <w:t>Detroit</w:t>
      </w:r>
      <w:r w:rsidR="00740CB1">
        <w:rPr>
          <w:iCs/>
        </w:rPr>
        <w:t xml:space="preserve"> should harness the power of eminent domain</w:t>
      </w:r>
      <w:r>
        <w:rPr>
          <w:iCs/>
        </w:rPr>
        <w:t xml:space="preserve"> instead of relying on the city’s </w:t>
      </w:r>
      <w:r w:rsidR="00D0106A">
        <w:rPr>
          <w:iCs/>
        </w:rPr>
        <w:t xml:space="preserve">unconstitutional use of </w:t>
      </w:r>
      <w:r>
        <w:rPr>
          <w:iCs/>
        </w:rPr>
        <w:t>NAP</w:t>
      </w:r>
      <w:r w:rsidR="00740CB1">
        <w:rPr>
          <w:iCs/>
        </w:rPr>
        <w:t xml:space="preserve">.  </w:t>
      </w:r>
      <w:r w:rsidR="004C1344">
        <w:rPr>
          <w:iCs/>
        </w:rPr>
        <w:t xml:space="preserve">I propose justifying </w:t>
      </w:r>
      <w:r w:rsidR="00740CB1">
        <w:rPr>
          <w:iCs/>
        </w:rPr>
        <w:t>the use of eminent domain</w:t>
      </w:r>
      <w:r w:rsidR="004C1344">
        <w:rPr>
          <w:iCs/>
        </w:rPr>
        <w:t xml:space="preserve"> </w:t>
      </w:r>
      <w:r w:rsidR="0066050E">
        <w:rPr>
          <w:iCs/>
        </w:rPr>
        <w:t xml:space="preserve">on </w:t>
      </w:r>
      <w:r w:rsidR="004C1344">
        <w:rPr>
          <w:iCs/>
        </w:rPr>
        <w:t xml:space="preserve">the basis of poverty alleviation.  Such a public purpose will not create the same constitutional obstacles (a high standard of proof and over fair market value payable to the owners) that blight condemnations will create.  </w:t>
      </w:r>
      <w:r w:rsidR="000947A7">
        <w:rPr>
          <w:iCs/>
        </w:rPr>
        <w:t>Pegging the</w:t>
      </w:r>
      <w:r w:rsidR="00A31904">
        <w:rPr>
          <w:iCs/>
        </w:rPr>
        <w:t xml:space="preserve"> seizures and</w:t>
      </w:r>
      <w:r w:rsidR="000947A7">
        <w:rPr>
          <w:iCs/>
        </w:rPr>
        <w:t xml:space="preserve"> razings to poverty alleviation will also avoid many of the harms to the poor that blight condemnations traditionally </w:t>
      </w:r>
      <w:r w:rsidR="008939DD">
        <w:rPr>
          <w:iCs/>
        </w:rPr>
        <w:t>manifest</w:t>
      </w:r>
      <w:r w:rsidR="000947A7">
        <w:rPr>
          <w:iCs/>
        </w:rPr>
        <w:t>.</w:t>
      </w:r>
    </w:p>
    <w:p w:rsidR="009D7D4A" w:rsidRDefault="004C1344" w:rsidP="00EA738D">
      <w:pPr>
        <w:spacing w:line="480" w:lineRule="auto"/>
        <w:ind w:firstLine="720"/>
        <w:rPr>
          <w:iCs/>
        </w:rPr>
      </w:pPr>
      <w:r>
        <w:rPr>
          <w:iCs/>
        </w:rPr>
        <w:t xml:space="preserve">But the path toward poverty alleviation through eminent domain does not prove </w:t>
      </w:r>
      <w:r w:rsidR="006B649B">
        <w:rPr>
          <w:iCs/>
        </w:rPr>
        <w:t>certain or guaranteed</w:t>
      </w:r>
      <w:r>
        <w:rPr>
          <w:iCs/>
        </w:rPr>
        <w:t xml:space="preserve">.  The past vibrates with examples of poverty uplift plans that went awry and aided instead the wealthy.  To ensure that cleared Detroit land pivots on an anti-poverty agenda, we must create </w:t>
      </w:r>
      <w:r w:rsidR="006B649B">
        <w:rPr>
          <w:iCs/>
        </w:rPr>
        <w:t xml:space="preserve">clear-eyed </w:t>
      </w:r>
      <w:r>
        <w:rPr>
          <w:iCs/>
        </w:rPr>
        <w:t xml:space="preserve">plans for the city that tackle poverty traps and vicious circles.  The argumentative people on the ground know best about these traps and circles, and what to do about them. </w:t>
      </w:r>
      <w:r w:rsidR="00876A4E">
        <w:rPr>
          <w:iCs/>
        </w:rPr>
        <w:t xml:space="preserve"> </w:t>
      </w:r>
      <w:r>
        <w:rPr>
          <w:iCs/>
        </w:rPr>
        <w:t>Officials should approach people like Noah, Delphia, Josh, and She</w:t>
      </w:r>
      <w:r w:rsidR="00782BC2">
        <w:rPr>
          <w:iCs/>
        </w:rPr>
        <w:t>l for concrete suggestions on how to help</w:t>
      </w:r>
      <w:r>
        <w:rPr>
          <w:iCs/>
        </w:rPr>
        <w:t xml:space="preserve"> move low-income people to the middle class.  They should engage such folks with an openness, humility, patience, and readiness to see things in a different way than they ever have before.</w:t>
      </w:r>
    </w:p>
    <w:p w:rsidR="00861914" w:rsidRDefault="00861914" w:rsidP="00EA738D">
      <w:pPr>
        <w:spacing w:line="480" w:lineRule="auto"/>
        <w:ind w:firstLine="720"/>
        <w:rPr>
          <w:iCs/>
        </w:rPr>
      </w:pPr>
    </w:p>
    <w:p w:rsidR="00861914" w:rsidRPr="00861914" w:rsidRDefault="00861914" w:rsidP="00EA738D">
      <w:pPr>
        <w:spacing w:line="480" w:lineRule="auto"/>
        <w:ind w:firstLine="720"/>
        <w:rPr>
          <w:iCs/>
        </w:rPr>
      </w:pPr>
    </w:p>
    <w:p w:rsidR="00861914" w:rsidRPr="00861914" w:rsidRDefault="00861914" w:rsidP="00EA738D">
      <w:pPr>
        <w:spacing w:line="480" w:lineRule="auto"/>
        <w:ind w:firstLine="720"/>
        <w:rPr>
          <w:iCs/>
        </w:rPr>
      </w:pPr>
    </w:p>
    <w:p w:rsidR="00861914" w:rsidRDefault="00861914" w:rsidP="00EA738D">
      <w:pPr>
        <w:spacing w:line="480" w:lineRule="auto"/>
        <w:ind w:firstLine="720"/>
        <w:rPr>
          <w:iCs/>
        </w:rPr>
      </w:pPr>
    </w:p>
    <w:p w:rsidR="00861914" w:rsidRPr="003C5D49" w:rsidRDefault="00861914" w:rsidP="00EA738D">
      <w:pPr>
        <w:spacing w:line="480" w:lineRule="auto"/>
        <w:ind w:firstLine="720"/>
        <w:rPr>
          <w:iCs/>
        </w:rPr>
      </w:pPr>
    </w:p>
    <w:sectPr w:rsidR="00861914" w:rsidRPr="003C5D4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FB" w:rsidRDefault="00A314FB" w:rsidP="008C5FC7">
      <w:pPr>
        <w:spacing w:after="0" w:line="240" w:lineRule="auto"/>
      </w:pPr>
      <w:r>
        <w:separator/>
      </w:r>
    </w:p>
  </w:endnote>
  <w:endnote w:type="continuationSeparator" w:id="0">
    <w:p w:rsidR="00A314FB" w:rsidRDefault="00A314FB" w:rsidP="008C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FB" w:rsidRDefault="00A314FB" w:rsidP="008C5FC7">
      <w:pPr>
        <w:spacing w:after="0" w:line="240" w:lineRule="auto"/>
      </w:pPr>
      <w:r>
        <w:separator/>
      </w:r>
    </w:p>
  </w:footnote>
  <w:footnote w:type="continuationSeparator" w:id="0">
    <w:p w:rsidR="00A314FB" w:rsidRDefault="00A314FB" w:rsidP="008C5FC7">
      <w:pPr>
        <w:spacing w:after="0" w:line="240" w:lineRule="auto"/>
      </w:pPr>
      <w:r>
        <w:continuationSeparator/>
      </w:r>
    </w:p>
  </w:footnote>
  <w:footnote w:id="1">
    <w:p w:rsidR="0053578D" w:rsidRDefault="0053578D" w:rsidP="001161F8">
      <w:pPr>
        <w:pStyle w:val="FootnoteText"/>
      </w:pPr>
      <w:r>
        <w:t>*Professor, Loyola Law School.  Thanks to Noah Stephens, Shel Kimen, Delphia Simmons, Josh Bassett, Sonia Katyal, Dan Selmi, Jim Krier, Robert Hockett, Ilya Somin, Tim Mulvaney, Erica Raleigh, Deborah Weissman, Kathryn Sabbeth, Melissa Jacoby, John Mogk, Mike Brady, and the faculties of University of North Carolina at Chapel Hill and Boalt for inviting me to present this paper.  Yxta.murray@lls.edu.</w:t>
      </w:r>
    </w:p>
    <w:p w:rsidR="0053578D" w:rsidRPr="00FD03DE" w:rsidRDefault="0053578D" w:rsidP="00553240">
      <w:pPr>
        <w:pStyle w:val="FootnoteText"/>
        <w:rPr>
          <w:i/>
        </w:rPr>
      </w:pPr>
      <w:r>
        <w:rPr>
          <w:rStyle w:val="FootnoteReference"/>
        </w:rPr>
        <w:footnoteRef/>
      </w:r>
      <w:r>
        <w:t xml:space="preserve"> </w:t>
      </w:r>
      <w:r>
        <w:rPr>
          <w:i/>
        </w:rPr>
        <w:t>See</w:t>
      </w:r>
      <w:r>
        <w:t xml:space="preserve"> section IV, </w:t>
      </w:r>
      <w:r>
        <w:rPr>
          <w:i/>
        </w:rPr>
        <w:t xml:space="preserve">infra.  </w:t>
      </w:r>
    </w:p>
  </w:footnote>
  <w:footnote w:id="2">
    <w:p w:rsidR="0053578D" w:rsidRPr="001B195F" w:rsidRDefault="0053578D">
      <w:pPr>
        <w:pStyle w:val="FootnoteText"/>
        <w:rPr>
          <w:i/>
        </w:rPr>
      </w:pPr>
      <w:r>
        <w:rPr>
          <w:rStyle w:val="FootnoteReference"/>
        </w:rPr>
        <w:footnoteRef/>
      </w:r>
      <w:r>
        <w:t xml:space="preserve"> </w:t>
      </w:r>
      <w:r>
        <w:rPr>
          <w:i/>
        </w:rPr>
        <w:t>Id.</w:t>
      </w:r>
    </w:p>
  </w:footnote>
  <w:footnote w:id="3">
    <w:p w:rsidR="0053578D" w:rsidRDefault="0053578D">
      <w:pPr>
        <w:pStyle w:val="FootnoteText"/>
      </w:pPr>
      <w:r>
        <w:rPr>
          <w:rStyle w:val="FootnoteReference"/>
        </w:rPr>
        <w:footnoteRef/>
      </w:r>
      <w:r>
        <w:t xml:space="preserve"> </w:t>
      </w:r>
      <w:r>
        <w:rPr>
          <w:i/>
        </w:rPr>
        <w:t>See</w:t>
      </w:r>
      <w:r>
        <w:t xml:space="preserve"> text accompanying notes 182-192, </w:t>
      </w:r>
      <w:r>
        <w:rPr>
          <w:i/>
        </w:rPr>
        <w:t>infra.</w:t>
      </w:r>
      <w:r>
        <w:t xml:space="preserve"> </w:t>
      </w:r>
    </w:p>
  </w:footnote>
  <w:footnote w:id="4">
    <w:p w:rsidR="0053578D" w:rsidRPr="00FE3BF8" w:rsidRDefault="0053578D" w:rsidP="00A6604D">
      <w:pPr>
        <w:pStyle w:val="FootnoteText"/>
      </w:pPr>
      <w:r>
        <w:rPr>
          <w:rStyle w:val="FootnoteReference"/>
        </w:rPr>
        <w:footnoteRef/>
      </w:r>
      <w:r>
        <w:t xml:space="preserve"> </w:t>
      </w:r>
      <w:r>
        <w:rPr>
          <w:i/>
        </w:rPr>
        <w:t>Id.</w:t>
      </w:r>
    </w:p>
  </w:footnote>
  <w:footnote w:id="5">
    <w:p w:rsidR="0053578D" w:rsidRPr="001B195F" w:rsidRDefault="0053578D" w:rsidP="001450D3">
      <w:pPr>
        <w:pStyle w:val="FootnoteText"/>
        <w:rPr>
          <w:i/>
        </w:rPr>
      </w:pPr>
      <w:r>
        <w:rPr>
          <w:rStyle w:val="FootnoteReference"/>
        </w:rPr>
        <w:footnoteRef/>
      </w:r>
      <w:r>
        <w:t xml:space="preserve"> </w:t>
      </w:r>
      <w:r>
        <w:rPr>
          <w:i/>
        </w:rPr>
        <w:t>See</w:t>
      </w:r>
      <w:r>
        <w:t xml:space="preserve"> text accompanying note 314, </w:t>
      </w:r>
      <w:r>
        <w:rPr>
          <w:i/>
        </w:rPr>
        <w:t>infra.</w:t>
      </w:r>
    </w:p>
  </w:footnote>
  <w:footnote w:id="6">
    <w:p w:rsidR="0053578D" w:rsidRPr="00666975" w:rsidRDefault="0053578D" w:rsidP="0083774F">
      <w:pPr>
        <w:pStyle w:val="FootnoteText"/>
        <w:rPr>
          <w:i/>
        </w:rPr>
      </w:pPr>
      <w:r>
        <w:rPr>
          <w:rStyle w:val="FootnoteReference"/>
        </w:rPr>
        <w:footnoteRef/>
      </w:r>
      <w:r>
        <w:t xml:space="preserve"> </w:t>
      </w:r>
      <w:r w:rsidRPr="001B195F">
        <w:t xml:space="preserve">Tom Walsh, </w:t>
      </w:r>
      <w:r w:rsidRPr="001B195F">
        <w:rPr>
          <w:i/>
        </w:rPr>
        <w:t xml:space="preserve">Gilbert says Detroit blight can be purged in 3 to 6 years, Detroit Free Press, May 22, 2014, </w:t>
      </w:r>
      <w:hyperlink r:id="rId1" w:history="1">
        <w:r w:rsidRPr="00A82041">
          <w:rPr>
            <w:rStyle w:val="Hyperlink"/>
            <w:i/>
          </w:rPr>
          <w:t>http://www.freep.com/article/20140522/COL06/305220263/Tom-Walsh-Techweek-Detroit-Dan-Gilbert-Beth-Niblock</w:t>
        </w:r>
      </w:hyperlink>
      <w:r w:rsidRPr="001B195F">
        <w:rPr>
          <w:i/>
        </w:rPr>
        <w:t>.</w:t>
      </w:r>
      <w:r>
        <w:rPr>
          <w:i/>
        </w:rPr>
        <w:t xml:space="preserve">  </w:t>
      </w:r>
      <w:r>
        <w:t>See also text accompanying infra</w:t>
      </w:r>
      <w:r>
        <w:rPr>
          <w:i/>
        </w:rPr>
        <w:t xml:space="preserve"> </w:t>
      </w:r>
      <w:r>
        <w:t xml:space="preserve">note 278.  </w:t>
      </w:r>
    </w:p>
  </w:footnote>
  <w:footnote w:id="7">
    <w:p w:rsidR="0053578D" w:rsidRPr="005573A3" w:rsidRDefault="0053578D">
      <w:pPr>
        <w:pStyle w:val="FootnoteText"/>
        <w:rPr>
          <w:i/>
        </w:rPr>
      </w:pPr>
      <w:r>
        <w:rPr>
          <w:rStyle w:val="FootnoteReference"/>
        </w:rPr>
        <w:footnoteRef/>
      </w:r>
      <w:r>
        <w:t xml:space="preserve"> </w:t>
      </w:r>
      <w:r w:rsidRPr="005573A3">
        <w:t>U.S. CONST. amend. 5.</w:t>
      </w:r>
      <w:r>
        <w:t xml:space="preserve">  </w:t>
      </w:r>
      <w:r>
        <w:rPr>
          <w:i/>
        </w:rPr>
        <w:t>See also</w:t>
      </w:r>
      <w:r>
        <w:t xml:space="preserve"> note 14, </w:t>
      </w:r>
      <w:r>
        <w:rPr>
          <w:i/>
        </w:rPr>
        <w:t>infra.</w:t>
      </w:r>
    </w:p>
  </w:footnote>
  <w:footnote w:id="8">
    <w:p w:rsidR="0053578D" w:rsidRPr="001B195F" w:rsidRDefault="0053578D">
      <w:pPr>
        <w:pStyle w:val="FootnoteText"/>
        <w:rPr>
          <w:i/>
        </w:rPr>
      </w:pPr>
      <w:r>
        <w:rPr>
          <w:rStyle w:val="FootnoteReference"/>
        </w:rPr>
        <w:footnoteRef/>
      </w:r>
      <w:r>
        <w:t xml:space="preserve"> </w:t>
      </w:r>
      <w:r>
        <w:rPr>
          <w:i/>
        </w:rPr>
        <w:t>Id.</w:t>
      </w:r>
    </w:p>
  </w:footnote>
  <w:footnote w:id="9">
    <w:p w:rsidR="0053578D" w:rsidRDefault="0053578D" w:rsidP="0083774F">
      <w:pPr>
        <w:pStyle w:val="FootnoteText"/>
      </w:pPr>
      <w:r>
        <w:rPr>
          <w:rStyle w:val="FootnoteReference"/>
        </w:rPr>
        <w:footnoteRef/>
      </w:r>
      <w:r>
        <w:t xml:space="preserve"> </w:t>
      </w:r>
      <w:r w:rsidRPr="00A05D1C">
        <w:t>545 U.S. 469 (2005).</w:t>
      </w:r>
    </w:p>
  </w:footnote>
  <w:footnote w:id="10">
    <w:p w:rsidR="0053578D" w:rsidRPr="000A432E" w:rsidRDefault="0053578D">
      <w:pPr>
        <w:pStyle w:val="FootnoteText"/>
      </w:pPr>
      <w:r>
        <w:rPr>
          <w:rStyle w:val="FootnoteReference"/>
        </w:rPr>
        <w:footnoteRef/>
      </w:r>
      <w:r>
        <w:t xml:space="preserve"> </w:t>
      </w:r>
      <w:r w:rsidRPr="004361E1">
        <w:rPr>
          <w:i/>
        </w:rPr>
        <w:t>See</w:t>
      </w:r>
      <w:r w:rsidRPr="004361E1">
        <w:t xml:space="preserve"> no</w:t>
      </w:r>
      <w:r>
        <w:t>te</w:t>
      </w:r>
      <w:r w:rsidRPr="004361E1">
        <w:t xml:space="preserve"> </w:t>
      </w:r>
      <w:r>
        <w:t>218</w:t>
      </w:r>
      <w:r w:rsidRPr="004361E1">
        <w:t xml:space="preserve">, </w:t>
      </w:r>
      <w:r w:rsidRPr="004361E1">
        <w:rPr>
          <w:i/>
        </w:rPr>
        <w:t>infra.</w:t>
      </w:r>
      <w:r>
        <w:t xml:space="preserve"> (“gossamer”)</w:t>
      </w:r>
    </w:p>
  </w:footnote>
  <w:footnote w:id="11">
    <w:p w:rsidR="0053578D" w:rsidRPr="00511A00" w:rsidRDefault="0053578D" w:rsidP="00677F40">
      <w:pPr>
        <w:pStyle w:val="FootnoteText"/>
      </w:pPr>
      <w:r>
        <w:rPr>
          <w:rStyle w:val="FootnoteReference"/>
        </w:rPr>
        <w:footnoteRef/>
      </w:r>
      <w:r>
        <w:t xml:space="preserve"> </w:t>
      </w:r>
      <w:r>
        <w:rPr>
          <w:i/>
        </w:rPr>
        <w:t>See, e.g.,</w:t>
      </w:r>
      <w:r>
        <w:t xml:space="preserve"> Kurt Badenhausen, </w:t>
      </w:r>
      <w:r>
        <w:rPr>
          <w:i/>
        </w:rPr>
        <w:t>Detroit Tops 2013 List of America’s Most Miserable Cities</w:t>
      </w:r>
      <w:r>
        <w:t>, Forbes.com, 2/21/2013,</w:t>
      </w:r>
      <w:r w:rsidRPr="00511A00">
        <w:t xml:space="preserve"> http://www.forbes.com/sites/kurtbadenhausen/2013/02/21/detroit-tops-2013-list-of-americas-most-miserable-cities/</w:t>
      </w:r>
      <w:r>
        <w:t xml:space="preserve">. </w:t>
      </w:r>
    </w:p>
  </w:footnote>
  <w:footnote w:id="12">
    <w:p w:rsidR="0053578D" w:rsidRPr="00B76F16" w:rsidRDefault="0053578D">
      <w:pPr>
        <w:pStyle w:val="FootnoteText"/>
      </w:pPr>
      <w:r>
        <w:rPr>
          <w:rStyle w:val="FootnoteReference"/>
        </w:rPr>
        <w:footnoteRef/>
      </w:r>
      <w:r>
        <w:t xml:space="preserve"> </w:t>
      </w:r>
      <w:r>
        <w:rPr>
          <w:i/>
        </w:rPr>
        <w:t>See, e.g.,</w:t>
      </w:r>
      <w:r>
        <w:t xml:space="preserve"> text accompanying notes 82-96, </w:t>
      </w:r>
      <w:r>
        <w:rPr>
          <w:i/>
        </w:rPr>
        <w:t>infra</w:t>
      </w:r>
      <w:r>
        <w:t xml:space="preserve"> (Noah Stephens).</w:t>
      </w:r>
    </w:p>
  </w:footnote>
  <w:footnote w:id="13">
    <w:p w:rsidR="0053578D" w:rsidRPr="0084639A" w:rsidRDefault="0053578D">
      <w:pPr>
        <w:pStyle w:val="FootnoteText"/>
      </w:pPr>
      <w:r>
        <w:rPr>
          <w:rStyle w:val="FootnoteReference"/>
        </w:rPr>
        <w:footnoteRef/>
      </w:r>
      <w:r>
        <w:t xml:space="preserve"> Yxta </w:t>
      </w:r>
      <w:r w:rsidRPr="00B04C2C">
        <w:t>Maya Murray, </w:t>
      </w:r>
      <w:r w:rsidRPr="00B04C2C">
        <w:rPr>
          <w:i/>
          <w:iCs/>
        </w:rPr>
        <w:t>Peering, available at</w:t>
      </w:r>
      <w:r w:rsidRPr="00B04C2C">
        <w:t> http:// papers.ssrn.com/sol3/papers.cfm?abstract_id=2438284.</w:t>
      </w:r>
      <w:r>
        <w:t xml:space="preserve">  (Hereinafter </w:t>
      </w:r>
      <w:r>
        <w:rPr>
          <w:i/>
        </w:rPr>
        <w:t>Peering</w:t>
      </w:r>
      <w:r>
        <w:t>).</w:t>
      </w:r>
    </w:p>
  </w:footnote>
  <w:footnote w:id="14">
    <w:p w:rsidR="0053578D" w:rsidRPr="0016391E" w:rsidRDefault="0053578D" w:rsidP="00666E5B">
      <w:pPr>
        <w:pStyle w:val="FootnoteText"/>
      </w:pPr>
      <w:r>
        <w:rPr>
          <w:rStyle w:val="FootnoteReference"/>
        </w:rPr>
        <w:footnoteRef/>
      </w:r>
      <w:r>
        <w:t xml:space="preserve"> “No person shall . . . be deprived of . . . property, without due process of law; nor shall private property be taken for public use, without just compensation." U.S. CONST. amend. 5.  In 1954 the Supreme Court authorized the State expanded public use to mean rescue.  </w:t>
      </w:r>
      <w:r>
        <w:rPr>
          <w:i/>
        </w:rPr>
        <w:t>See</w:t>
      </w:r>
      <w:r>
        <w:t xml:space="preserve"> </w:t>
      </w:r>
      <w:r w:rsidRPr="008735B4">
        <w:t>Berman v. Parker,</w:t>
      </w:r>
      <w:r>
        <w:t xml:space="preserve"> 348 U.S. 26, 32</w:t>
      </w:r>
      <w:r w:rsidRPr="0016391E">
        <w:t xml:space="preserve"> (1954)</w:t>
      </w:r>
      <w:r>
        <w:t xml:space="preserve">; </w:t>
      </w:r>
      <w:r>
        <w:rPr>
          <w:i/>
        </w:rPr>
        <w:t>Peering</w:t>
      </w:r>
      <w:r>
        <w:t>, Section III (a)(ii).</w:t>
      </w:r>
    </w:p>
  </w:footnote>
  <w:footnote w:id="15">
    <w:p w:rsidR="0053578D" w:rsidRPr="00873D3B" w:rsidRDefault="0053578D" w:rsidP="00666E5B">
      <w:pPr>
        <w:pStyle w:val="FootnoteText"/>
      </w:pPr>
      <w:r>
        <w:rPr>
          <w:rStyle w:val="FootnoteReference"/>
        </w:rPr>
        <w:footnoteRef/>
      </w:r>
      <w:r>
        <w:t xml:space="preserve"> </w:t>
      </w:r>
      <w:r>
        <w:rPr>
          <w:i/>
        </w:rPr>
        <w:t>See</w:t>
      </w:r>
      <w:r>
        <w:t xml:space="preserve"> </w:t>
      </w:r>
      <w:r>
        <w:rPr>
          <w:i/>
        </w:rPr>
        <w:t>Peering</w:t>
      </w:r>
      <w:r>
        <w:t>, section IV(d)(ii).</w:t>
      </w:r>
    </w:p>
  </w:footnote>
  <w:footnote w:id="16">
    <w:p w:rsidR="0053578D" w:rsidRDefault="0053578D">
      <w:pPr>
        <w:pStyle w:val="FootnoteText"/>
      </w:pPr>
      <w:r>
        <w:rPr>
          <w:rStyle w:val="FootnoteReference"/>
        </w:rPr>
        <w:footnoteRef/>
      </w:r>
      <w:r>
        <w:t xml:space="preserve"> </w:t>
      </w:r>
      <w:r w:rsidRPr="0084639A">
        <w:rPr>
          <w:i/>
        </w:rPr>
        <w:t>Peering</w:t>
      </w:r>
      <w:r w:rsidRPr="0084639A">
        <w:t xml:space="preserve"> at 68-69, interviews with Alicia Barksdale and Hilary Saunders.  </w:t>
      </w:r>
    </w:p>
  </w:footnote>
  <w:footnote w:id="17">
    <w:p w:rsidR="0053578D" w:rsidRPr="00C9797C" w:rsidRDefault="0053578D" w:rsidP="00666E5B">
      <w:pPr>
        <w:pStyle w:val="FootnoteText"/>
      </w:pPr>
      <w:r>
        <w:rPr>
          <w:rStyle w:val="FootnoteReference"/>
        </w:rPr>
        <w:footnoteRef/>
      </w:r>
      <w:r>
        <w:t xml:space="preserve"> </w:t>
      </w:r>
      <w:r>
        <w:rPr>
          <w:i/>
        </w:rPr>
        <w:t>Id.</w:t>
      </w:r>
      <w:r>
        <w:t xml:space="preserve"> at 90 (“’Blight’</w:t>
      </w:r>
      <w:r w:rsidRPr="00C9797C">
        <w:t xml:space="preserve"> formed as a symbol of race and class dominance.</w:t>
      </w:r>
      <w:r>
        <w:t>”).</w:t>
      </w:r>
    </w:p>
  </w:footnote>
  <w:footnote w:id="18">
    <w:p w:rsidR="0053578D" w:rsidRPr="0062675C" w:rsidRDefault="0053578D" w:rsidP="00A6604D">
      <w:pPr>
        <w:pStyle w:val="FootnoteText"/>
      </w:pPr>
      <w:r>
        <w:rPr>
          <w:rStyle w:val="FootnoteReference"/>
        </w:rPr>
        <w:footnoteRef/>
      </w:r>
      <w:r>
        <w:t xml:space="preserve"> </w:t>
      </w:r>
      <w:r w:rsidRPr="0062675C">
        <w:rPr>
          <w:i/>
        </w:rPr>
        <w:t>Peering</w:t>
      </w:r>
      <w:r>
        <w:rPr>
          <w:i/>
        </w:rPr>
        <w:t xml:space="preserve"> </w:t>
      </w:r>
      <w:r>
        <w:t>at 90-94.</w:t>
      </w:r>
    </w:p>
  </w:footnote>
  <w:footnote w:id="19">
    <w:p w:rsidR="0053578D" w:rsidRPr="00677F40" w:rsidRDefault="0053578D">
      <w:pPr>
        <w:pStyle w:val="FootnoteText"/>
      </w:pPr>
      <w:r>
        <w:rPr>
          <w:rStyle w:val="FootnoteReference"/>
        </w:rPr>
        <w:footnoteRef/>
      </w:r>
      <w:r>
        <w:t xml:space="preserve"> </w:t>
      </w:r>
      <w:r>
        <w:rPr>
          <w:i/>
        </w:rPr>
        <w:t>See</w:t>
      </w:r>
      <w:r>
        <w:t xml:space="preserve"> section VI, </w:t>
      </w:r>
      <w:r>
        <w:rPr>
          <w:i/>
        </w:rPr>
        <w:t xml:space="preserve">infra.  </w:t>
      </w:r>
    </w:p>
  </w:footnote>
  <w:footnote w:id="20">
    <w:p w:rsidR="0053578D" w:rsidRDefault="0053578D">
      <w:pPr>
        <w:pStyle w:val="FootnoteText"/>
      </w:pPr>
      <w:r>
        <w:rPr>
          <w:rStyle w:val="FootnoteReference"/>
        </w:rPr>
        <w:footnoteRef/>
      </w:r>
      <w:r>
        <w:t xml:space="preserve"> </w:t>
      </w:r>
      <w:r>
        <w:rPr>
          <w:i/>
        </w:rPr>
        <w:t>See</w:t>
      </w:r>
      <w:r>
        <w:t xml:space="preserve"> text accompanying 47-50, </w:t>
      </w:r>
      <w:r>
        <w:rPr>
          <w:i/>
        </w:rPr>
        <w:t>infra.</w:t>
      </w:r>
      <w:r>
        <w:t xml:space="preserve"> </w:t>
      </w:r>
    </w:p>
  </w:footnote>
  <w:footnote w:id="21">
    <w:p w:rsidR="0053578D" w:rsidRPr="003754D4" w:rsidRDefault="0053578D">
      <w:pPr>
        <w:pStyle w:val="FootnoteText"/>
        <w:rPr>
          <w:i/>
        </w:rPr>
      </w:pPr>
      <w:r>
        <w:rPr>
          <w:rStyle w:val="FootnoteReference"/>
        </w:rPr>
        <w:footnoteRef/>
      </w:r>
      <w:r>
        <w:t xml:space="preserve"> </w:t>
      </w:r>
      <w:r>
        <w:rPr>
          <w:i/>
        </w:rPr>
        <w:t>See, e.g.,</w:t>
      </w:r>
      <w:r>
        <w:t xml:space="preserve"> note 294, </w:t>
      </w:r>
      <w:r>
        <w:rPr>
          <w:i/>
        </w:rPr>
        <w:t>infra.</w:t>
      </w:r>
    </w:p>
  </w:footnote>
  <w:footnote w:id="22">
    <w:p w:rsidR="0053578D" w:rsidRPr="00CC38D0" w:rsidRDefault="0053578D">
      <w:pPr>
        <w:pStyle w:val="FootnoteText"/>
      </w:pPr>
      <w:r>
        <w:rPr>
          <w:rStyle w:val="FootnoteReference"/>
        </w:rPr>
        <w:footnoteRef/>
      </w:r>
      <w:r>
        <w:t xml:space="preserve"> Interview with Josh Bassett, Detroit, Michigan, Wednesday, September 26, 2014.  For Josh’s bona fides, </w:t>
      </w:r>
      <w:r>
        <w:rPr>
          <w:i/>
        </w:rPr>
        <w:t xml:space="preserve">see </w:t>
      </w:r>
      <w:r w:rsidRPr="00CC38D0">
        <w:t>http://instituteforsocialprogress.org/about/.</w:t>
      </w:r>
    </w:p>
  </w:footnote>
  <w:footnote w:id="23">
    <w:p w:rsidR="0053578D" w:rsidRPr="00511A00" w:rsidRDefault="0053578D" w:rsidP="00666E5B">
      <w:pPr>
        <w:pStyle w:val="FootnoteText"/>
        <w:rPr>
          <w:i/>
        </w:rPr>
      </w:pPr>
      <w:r>
        <w:rPr>
          <w:rStyle w:val="FootnoteReference"/>
        </w:rPr>
        <w:footnoteRef/>
      </w:r>
      <w:r>
        <w:t xml:space="preserve"> </w:t>
      </w:r>
      <w:r>
        <w:rPr>
          <w:i/>
        </w:rPr>
        <w:t>See</w:t>
      </w:r>
      <w:r>
        <w:t xml:space="preserve"> section III, </w:t>
      </w:r>
      <w:r>
        <w:rPr>
          <w:i/>
        </w:rPr>
        <w:t>infra.</w:t>
      </w:r>
    </w:p>
  </w:footnote>
  <w:footnote w:id="24">
    <w:p w:rsidR="0053578D" w:rsidRPr="002C6048" w:rsidRDefault="0053578D" w:rsidP="0062675C">
      <w:pPr>
        <w:pStyle w:val="FootnoteText"/>
      </w:pPr>
      <w:r>
        <w:rPr>
          <w:rStyle w:val="FootnoteReference"/>
        </w:rPr>
        <w:footnoteRef/>
      </w:r>
      <w:r>
        <w:t xml:space="preserve"> Tom Walsh, </w:t>
      </w:r>
      <w:r w:rsidRPr="00E20A90">
        <w:rPr>
          <w:i/>
        </w:rPr>
        <w:t>When will Detroit blight task force get cracking?</w:t>
      </w:r>
      <w:r>
        <w:t xml:space="preserve"> </w:t>
      </w:r>
      <w:r w:rsidRPr="00E20A90">
        <w:rPr>
          <w:smallCaps/>
        </w:rPr>
        <w:t>Detroit Free Press,</w:t>
      </w:r>
      <w:r>
        <w:t xml:space="preserve"> Oct. 25, 2013, </w:t>
      </w:r>
      <w:hyperlink r:id="rId2" w:history="1">
        <w:r w:rsidRPr="003A2CF8">
          <w:rPr>
            <w:rStyle w:val="Hyperlink"/>
          </w:rPr>
          <w:t>http://www.freep.com/article/20131024/COL06/310240208/Tom-Walsh-Glenda-Price-Dan-Gilbert-blight</w:t>
        </w:r>
      </w:hyperlink>
      <w:r>
        <w:t xml:space="preserve">.  </w:t>
      </w:r>
      <w:r w:rsidRPr="00E20A90">
        <w:rPr>
          <w:i/>
        </w:rPr>
        <w:t>See also</w:t>
      </w:r>
      <w:r>
        <w:t xml:space="preserve"> Kevin Reed, </w:t>
      </w:r>
      <w:r>
        <w:rPr>
          <w:i/>
        </w:rPr>
        <w:t>Why is Dan Gilbert on the Detroit Blight Removal Task Force?</w:t>
      </w:r>
      <w:r>
        <w:t xml:space="preserve"> </w:t>
      </w:r>
      <w:r w:rsidRPr="00E20A90">
        <w:rPr>
          <w:smallCaps/>
        </w:rPr>
        <w:t>World Socialist Web Site,</w:t>
      </w:r>
      <w:r>
        <w:t xml:space="preserve"> Jan. 11, 2014 (task force created September 27, 2014), </w:t>
      </w:r>
      <w:r w:rsidRPr="002C6048">
        <w:t>http://www.wsws.org/en/articles/2014/01/11/gilb-j11.html</w:t>
      </w:r>
      <w:r>
        <w:t>.</w:t>
      </w:r>
    </w:p>
  </w:footnote>
  <w:footnote w:id="25">
    <w:p w:rsidR="0053578D" w:rsidRDefault="0053578D" w:rsidP="00666E5B">
      <w:pPr>
        <w:pStyle w:val="FootnoteText"/>
        <w:tabs>
          <w:tab w:val="left" w:pos="2171"/>
        </w:tabs>
      </w:pPr>
      <w:r>
        <w:rPr>
          <w:rStyle w:val="FootnoteReference"/>
        </w:rPr>
        <w:footnoteRef/>
      </w:r>
      <w:r>
        <w:t xml:space="preserve"> </w:t>
      </w:r>
      <w:r>
        <w:rPr>
          <w:i/>
        </w:rPr>
        <w:t>See</w:t>
      </w:r>
      <w:r>
        <w:t xml:space="preserve"> note 124, </w:t>
      </w:r>
      <w:r>
        <w:rPr>
          <w:i/>
        </w:rPr>
        <w:t>infra.</w:t>
      </w:r>
      <w:r>
        <w:t xml:space="preserve"> (“numbers are on page 59”) </w:t>
      </w:r>
      <w:r>
        <w:tab/>
      </w:r>
    </w:p>
  </w:footnote>
  <w:footnote w:id="26">
    <w:p w:rsidR="0053578D" w:rsidRPr="000E59E8" w:rsidRDefault="0053578D" w:rsidP="00666E5B">
      <w:pPr>
        <w:pStyle w:val="FootnoteText"/>
        <w:rPr>
          <w:i/>
        </w:rPr>
      </w:pPr>
      <w:r>
        <w:rPr>
          <w:rStyle w:val="FootnoteReference"/>
        </w:rPr>
        <w:footnoteRef/>
      </w:r>
      <w:r>
        <w:t xml:space="preserve"> </w:t>
      </w:r>
      <w:r>
        <w:rPr>
          <w:i/>
        </w:rPr>
        <w:t>See</w:t>
      </w:r>
      <w:r>
        <w:t xml:space="preserve"> note 318, </w:t>
      </w:r>
      <w:r>
        <w:rPr>
          <w:i/>
        </w:rPr>
        <w:t>infra.</w:t>
      </w:r>
    </w:p>
  </w:footnote>
  <w:footnote w:id="27">
    <w:p w:rsidR="0053578D" w:rsidRPr="003754D4" w:rsidRDefault="0053578D">
      <w:pPr>
        <w:pStyle w:val="FootnoteText"/>
      </w:pPr>
      <w:r>
        <w:rPr>
          <w:rStyle w:val="FootnoteReference"/>
        </w:rPr>
        <w:footnoteRef/>
      </w:r>
      <w:r>
        <w:t xml:space="preserve"> </w:t>
      </w:r>
      <w:r>
        <w:rPr>
          <w:i/>
        </w:rPr>
        <w:t>See Peering</w:t>
      </w:r>
      <w:r>
        <w:t xml:space="preserve"> at section 3(a)(ii).</w:t>
      </w:r>
    </w:p>
  </w:footnote>
  <w:footnote w:id="28">
    <w:p w:rsidR="0053578D" w:rsidRDefault="0053578D" w:rsidP="00784ED1">
      <w:pPr>
        <w:pStyle w:val="FootnoteText"/>
      </w:pPr>
      <w:r>
        <w:rPr>
          <w:rStyle w:val="FootnoteReference"/>
        </w:rPr>
        <w:footnoteRef/>
      </w:r>
      <w:r>
        <w:t xml:space="preserve"> </w:t>
      </w:r>
      <w:r w:rsidRPr="00066BBB">
        <w:t>http://detroit.areaconnect.com/statistics.htm</w:t>
      </w:r>
      <w:r>
        <w:t>.</w:t>
      </w:r>
    </w:p>
  </w:footnote>
  <w:footnote w:id="29">
    <w:p w:rsidR="0053578D" w:rsidRPr="00BD1BD8" w:rsidRDefault="0053578D" w:rsidP="00784ED1">
      <w:pPr>
        <w:pStyle w:val="FootnoteText"/>
      </w:pPr>
      <w:r>
        <w:rPr>
          <w:rStyle w:val="FootnoteReference"/>
        </w:rPr>
        <w:footnoteRef/>
      </w:r>
      <w:r>
        <w:t xml:space="preserve">  </w:t>
      </w:r>
      <w:r>
        <w:rPr>
          <w:i/>
        </w:rPr>
        <w:t>See</w:t>
      </w:r>
      <w:r>
        <w:t xml:space="preserve"> Kate Abbey-Lambertz, </w:t>
      </w:r>
      <w:r>
        <w:rPr>
          <w:i/>
        </w:rPr>
        <w:t xml:space="preserve">Most Detroit Families Can’t Afford Their Basic Needs:  Report, 9/04/2-14, </w:t>
      </w:r>
      <w:hyperlink r:id="rId3" w:history="1">
        <w:r w:rsidRPr="00F6123E">
          <w:rPr>
            <w:rStyle w:val="Hyperlink"/>
            <w:i/>
          </w:rPr>
          <w:t>http://www.huffingtonpost.com/2014/09/04/detroit-poverty-alice-report_n_5760602.html</w:t>
        </w:r>
      </w:hyperlink>
      <w:r>
        <w:rPr>
          <w:i/>
        </w:rPr>
        <w:t>.</w:t>
      </w:r>
      <w:r>
        <w:t xml:space="preserve">  </w:t>
      </w:r>
      <w:r>
        <w:rPr>
          <w:i/>
        </w:rPr>
        <w:t>See also</w:t>
      </w:r>
      <w:r>
        <w:t xml:space="preserve"> United Way, </w:t>
      </w:r>
      <w:r>
        <w:rPr>
          <w:smallCaps/>
        </w:rPr>
        <w:t>Alice Michigan</w:t>
      </w:r>
      <w:r>
        <w:t xml:space="preserve"> 2 (2014), </w:t>
      </w:r>
      <w:r w:rsidRPr="00BD1BD8">
        <w:t>http://www.uwwexfordmissaukee.org/sites/uwwexfordmissaukee.org/files/14UW%20ALICE%20Report_MI_Hires.pdf</w:t>
      </w:r>
      <w:r>
        <w:t>.</w:t>
      </w:r>
    </w:p>
  </w:footnote>
  <w:footnote w:id="30">
    <w:p w:rsidR="0053578D" w:rsidRPr="003754D4" w:rsidRDefault="0053578D">
      <w:pPr>
        <w:pStyle w:val="FootnoteText"/>
        <w:rPr>
          <w:i/>
        </w:rPr>
      </w:pPr>
      <w:r>
        <w:rPr>
          <w:rStyle w:val="FootnoteReference"/>
        </w:rPr>
        <w:footnoteRef/>
      </w:r>
      <w:r>
        <w:t xml:space="preserve"> </w:t>
      </w:r>
      <w:r>
        <w:rPr>
          <w:i/>
        </w:rPr>
        <w:t>See</w:t>
      </w:r>
      <w:r>
        <w:t xml:space="preserve"> text accompanying note 82, </w:t>
      </w:r>
      <w:r>
        <w:rPr>
          <w:i/>
        </w:rPr>
        <w:t>infra.</w:t>
      </w:r>
    </w:p>
  </w:footnote>
  <w:footnote w:id="31">
    <w:p w:rsidR="0053578D" w:rsidRPr="00160057" w:rsidRDefault="0053578D" w:rsidP="00666E5B">
      <w:pPr>
        <w:pStyle w:val="FootnoteText"/>
        <w:rPr>
          <w:i/>
        </w:rPr>
      </w:pPr>
      <w:r>
        <w:rPr>
          <w:rStyle w:val="FootnoteReference"/>
        </w:rPr>
        <w:footnoteRef/>
      </w:r>
      <w:r>
        <w:t xml:space="preserve"> </w:t>
      </w:r>
      <w:r>
        <w:rPr>
          <w:i/>
        </w:rPr>
        <w:t>See</w:t>
      </w:r>
      <w:r>
        <w:t xml:space="preserve"> Paul Beshouri, </w:t>
      </w:r>
      <w:r>
        <w:rPr>
          <w:i/>
        </w:rPr>
        <w:t xml:space="preserve">Finally, A Complete Attempt at Mapping Detroit’s Neighborhoods, </w:t>
      </w:r>
      <w:r w:rsidRPr="00160057">
        <w:rPr>
          <w:smallCaps/>
        </w:rPr>
        <w:t>Detroit.Curbed.com</w:t>
      </w:r>
      <w:r>
        <w:rPr>
          <w:smallCaps/>
        </w:rPr>
        <w:t xml:space="preserve">, Aug. 20, 2013, </w:t>
      </w:r>
      <w:hyperlink r:id="rId4" w:history="1">
        <w:r w:rsidRPr="00160057">
          <w:rPr>
            <w:rStyle w:val="Hyperlink"/>
          </w:rPr>
          <w:t>http://detroit.curbed.com/archives/2013/08/finally-a-complete-attempt-at-mapping-detroits-neighborhoods.php</w:t>
        </w:r>
      </w:hyperlink>
      <w:r w:rsidRPr="00160057">
        <w:t xml:space="preserve"> </w:t>
      </w:r>
      <w:r>
        <w:t>(analyzing Loveland Technologies’ map).</w:t>
      </w:r>
    </w:p>
  </w:footnote>
  <w:footnote w:id="32">
    <w:p w:rsidR="0053578D" w:rsidRPr="00C339E1" w:rsidRDefault="0053578D" w:rsidP="00666E5B">
      <w:pPr>
        <w:pStyle w:val="FootnoteText"/>
      </w:pPr>
      <w:r>
        <w:rPr>
          <w:rStyle w:val="FootnoteReference"/>
        </w:rPr>
        <w:footnoteRef/>
      </w:r>
      <w:r>
        <w:t xml:space="preserve"> For Detroit’s history of fortress building s</w:t>
      </w:r>
      <w:r>
        <w:rPr>
          <w:i/>
        </w:rPr>
        <w:t xml:space="preserve">ee, </w:t>
      </w:r>
      <w:r>
        <w:rPr>
          <w:smallCaps/>
        </w:rPr>
        <w:t>Thomas Sugrue, The Origins of the Urban Crisis: Race and Inequality in postwar Detroit 64-65</w:t>
      </w:r>
      <w:r>
        <w:t xml:space="preserve"> (2005) ( “wailing wall” built in 1940s.); Jeff Karoub, </w:t>
      </w:r>
      <w:r w:rsidRPr="00DD5597">
        <w:rPr>
          <w:i/>
        </w:rPr>
        <w:t>Wall that once divided races in Detroit remains, teaches,</w:t>
      </w:r>
      <w:r>
        <w:t xml:space="preserve"> May 1, 2013, </w:t>
      </w:r>
      <w:r w:rsidRPr="00DD5597">
        <w:rPr>
          <w:smallCaps/>
        </w:rPr>
        <w:t>USA Today,</w:t>
      </w:r>
      <w:r>
        <w:t xml:space="preserve"> </w:t>
      </w:r>
      <w:hyperlink r:id="rId5" w:history="1">
        <w:r w:rsidRPr="00F922C8">
          <w:rPr>
            <w:rStyle w:val="Hyperlink"/>
          </w:rPr>
          <w:t>http://www.usatoday.com/story/news/nation/2013/05/01/detroit-race-wall/2127165/</w:t>
        </w:r>
      </w:hyperlink>
      <w:r>
        <w:t xml:space="preserve">.  As of 2014, a fence separates Grosse Point and Detroit.  </w:t>
      </w:r>
      <w:r>
        <w:rPr>
          <w:i/>
        </w:rPr>
        <w:t>See</w:t>
      </w:r>
      <w:r>
        <w:t xml:space="preserve"> Sophie Jane Evans, </w:t>
      </w:r>
      <w:r>
        <w:rPr>
          <w:i/>
        </w:rPr>
        <w:t xml:space="preserve">No entry!  The ‘haves’ of a wealthy Michigan suburb who built Fences around the streets to keep out Detroit ‘have-nots’, </w:t>
      </w:r>
      <w:r w:rsidRPr="00C339E1">
        <w:t>Mailonline.com, Oc. 19, 2014, http://www.usatoday.com/story/news/nation/2013/05/01/detroit-race-wall/2127165/</w:t>
      </w:r>
      <w:r>
        <w:t>.</w:t>
      </w:r>
    </w:p>
  </w:footnote>
  <w:footnote w:id="33">
    <w:p w:rsidR="0053578D" w:rsidRPr="00784ED1" w:rsidRDefault="0053578D" w:rsidP="00CD0EE1">
      <w:pPr>
        <w:pStyle w:val="FootnoteText"/>
      </w:pPr>
      <w:r>
        <w:rPr>
          <w:rStyle w:val="FootnoteReference"/>
        </w:rPr>
        <w:footnoteRef/>
      </w:r>
      <w:r>
        <w:t xml:space="preserve"> Mr. Gilbert invested more than a billion dollars in Detroit real estate.  </w:t>
      </w:r>
      <w:r>
        <w:rPr>
          <w:i/>
        </w:rPr>
        <w:t>See</w:t>
      </w:r>
      <w:r>
        <w:t xml:space="preserve"> Kirk Pinho, </w:t>
      </w:r>
      <w:r>
        <w:rPr>
          <w:i/>
        </w:rPr>
        <w:t xml:space="preserve">Compuware HQ changes hands; Gilbert, Meridian now owners, </w:t>
      </w:r>
      <w:r w:rsidRPr="00784ED1">
        <w:rPr>
          <w:smallCaps/>
        </w:rPr>
        <w:t>Crain’s Detroit Business</w:t>
      </w:r>
      <w:r w:rsidRPr="00784ED1">
        <w:t>, December 31, 2014, http://www.crainsdetroit.com/article/20141231/NEWS/141239963/compuware-hq-changes-hands-gilbert-meridian-now-owners</w:t>
      </w:r>
      <w:r>
        <w:t>.</w:t>
      </w:r>
    </w:p>
  </w:footnote>
  <w:footnote w:id="34">
    <w:p w:rsidR="0053578D" w:rsidRDefault="0053578D">
      <w:pPr>
        <w:pStyle w:val="FootnoteText"/>
      </w:pPr>
      <w:r>
        <w:rPr>
          <w:rStyle w:val="FootnoteReference"/>
        </w:rPr>
        <w:footnoteRef/>
      </w:r>
      <w:r>
        <w:t xml:space="preserve"> </w:t>
      </w:r>
      <w:r>
        <w:rPr>
          <w:i/>
        </w:rPr>
        <w:t>See</w:t>
      </w:r>
      <w:r>
        <w:t xml:space="preserve"> note 318, </w:t>
      </w:r>
      <w:r>
        <w:rPr>
          <w:i/>
        </w:rPr>
        <w:t>infra.</w:t>
      </w:r>
      <w:r>
        <w:t xml:space="preserve"> </w:t>
      </w:r>
    </w:p>
  </w:footnote>
  <w:footnote w:id="35">
    <w:p w:rsidR="0053578D" w:rsidRPr="00FD03DE" w:rsidRDefault="0053578D" w:rsidP="00360CD6">
      <w:pPr>
        <w:pStyle w:val="FootnoteText"/>
        <w:rPr>
          <w:i/>
        </w:rPr>
      </w:pPr>
      <w:r>
        <w:rPr>
          <w:rStyle w:val="FootnoteReference"/>
        </w:rPr>
        <w:footnoteRef/>
      </w:r>
      <w:r>
        <w:t xml:space="preserve"> </w:t>
      </w:r>
      <w:r>
        <w:rPr>
          <w:i/>
        </w:rPr>
        <w:t>See</w:t>
      </w:r>
      <w:r>
        <w:t xml:space="preserve"> note 298, </w:t>
      </w:r>
      <w:r>
        <w:rPr>
          <w:i/>
        </w:rPr>
        <w:t>infra.</w:t>
      </w:r>
    </w:p>
  </w:footnote>
  <w:footnote w:id="36">
    <w:p w:rsidR="0053578D" w:rsidRPr="003754D4" w:rsidRDefault="0053578D" w:rsidP="00360CD6">
      <w:pPr>
        <w:pStyle w:val="FootnoteText"/>
      </w:pPr>
      <w:r>
        <w:rPr>
          <w:rStyle w:val="FootnoteReference"/>
        </w:rPr>
        <w:footnoteRef/>
      </w:r>
      <w:r>
        <w:t xml:space="preserve"> John Gallagher, </w:t>
      </w:r>
      <w:r w:rsidRPr="00DE7099">
        <w:rPr>
          <w:i/>
        </w:rPr>
        <w:t xml:space="preserve">Ilitches unveil </w:t>
      </w:r>
      <w:r>
        <w:rPr>
          <w:i/>
        </w:rPr>
        <w:t>‘b</w:t>
      </w:r>
      <w:r w:rsidRPr="00DE7099">
        <w:rPr>
          <w:i/>
        </w:rPr>
        <w:t>old vision’ for arena district</w:t>
      </w:r>
      <w:r>
        <w:rPr>
          <w:i/>
        </w:rPr>
        <w:t xml:space="preserve">, </w:t>
      </w:r>
      <w:r w:rsidRPr="003754D4">
        <w:rPr>
          <w:smallCaps/>
        </w:rPr>
        <w:t>USA Today</w:t>
      </w:r>
      <w:r w:rsidRPr="003754D4">
        <w:t>, July 12, 2014, http://www.usatoday.com/story/sports/nhl/wings/2014/07/20/detroit-red-wings-arena-district/12909267/.</w:t>
      </w:r>
    </w:p>
  </w:footnote>
  <w:footnote w:id="37">
    <w:p w:rsidR="0053578D" w:rsidRPr="00176335" w:rsidRDefault="0053578D" w:rsidP="00922555">
      <w:pPr>
        <w:pStyle w:val="FootnoteText"/>
      </w:pPr>
      <w:r>
        <w:rPr>
          <w:rStyle w:val="FootnoteReference"/>
        </w:rPr>
        <w:footnoteRef/>
      </w:r>
      <w:r>
        <w:t xml:space="preserve"> Regarding Studio City class stratification, </w:t>
      </w:r>
      <w:r>
        <w:rPr>
          <w:i/>
        </w:rPr>
        <w:t>see</w:t>
      </w:r>
      <w:r>
        <w:t xml:space="preserve"> my </w:t>
      </w:r>
      <w:r>
        <w:rPr>
          <w:i/>
        </w:rPr>
        <w:t>Law and the Possibilities of Peace</w:t>
      </w:r>
      <w:r>
        <w:t xml:space="preserve">, forthcoming from the Seattle Journal of Social Justice, </w:t>
      </w:r>
      <w:r w:rsidRPr="00D562B5">
        <w:t>http://papers.ssrn.com/sol3/papers.cfm?abstract_id=2461525</w:t>
      </w:r>
      <w:r>
        <w:t>.</w:t>
      </w:r>
    </w:p>
  </w:footnote>
  <w:footnote w:id="38">
    <w:p w:rsidR="0053578D" w:rsidRPr="00176335" w:rsidRDefault="0053578D" w:rsidP="0062675C">
      <w:pPr>
        <w:pStyle w:val="FootnoteText"/>
      </w:pPr>
      <w:r>
        <w:rPr>
          <w:rStyle w:val="FootnoteReference"/>
        </w:rPr>
        <w:footnoteRef/>
      </w:r>
      <w:r>
        <w:t xml:space="preserve"> </w:t>
      </w:r>
      <w:r>
        <w:rPr>
          <w:i/>
        </w:rPr>
        <w:t>See</w:t>
      </w:r>
      <w:r>
        <w:t xml:space="preserve"> </w:t>
      </w:r>
      <w:r>
        <w:rPr>
          <w:smallCaps/>
        </w:rPr>
        <w:t>Armando Delicato &amp; Elias Kahlil, Detroit’s Cass Corridor 87 (2012) (“</w:t>
      </w:r>
      <w:r>
        <w:t>The longevity of landmark b</w:t>
      </w:r>
      <w:r w:rsidRPr="00176335">
        <w:t>ars, restaurants, apartment buildings, houses of worship, and businesses gives the Cass Corri</w:t>
      </w:r>
      <w:r>
        <w:t>dor its character and charisma.”</w:t>
      </w:r>
      <w:r w:rsidRPr="00176335">
        <w:t xml:space="preserve">). </w:t>
      </w:r>
    </w:p>
  </w:footnote>
  <w:footnote w:id="39">
    <w:p w:rsidR="0053578D" w:rsidRPr="0037336A" w:rsidRDefault="0053578D" w:rsidP="0062675C">
      <w:pPr>
        <w:pStyle w:val="FootnoteText"/>
      </w:pPr>
      <w:r>
        <w:rPr>
          <w:rStyle w:val="FootnoteReference"/>
        </w:rPr>
        <w:footnoteRef/>
      </w:r>
      <w:r>
        <w:t xml:space="preserve"> </w:t>
      </w:r>
      <w:r w:rsidRPr="0037336A">
        <w:rPr>
          <w:i/>
        </w:rPr>
        <w:t>See</w:t>
      </w:r>
      <w:r>
        <w:t xml:space="preserve"> Gus Burns, </w:t>
      </w:r>
      <w:r w:rsidRPr="00246D78">
        <w:rPr>
          <w:i/>
        </w:rPr>
        <w:t>Photos: $6.5 million Brewster-Douglass projects demolition in Detroit progressing slowly,</w:t>
      </w:r>
      <w:r>
        <w:t xml:space="preserve"> </w:t>
      </w:r>
      <w:r w:rsidRPr="00246D78">
        <w:rPr>
          <w:smallCaps/>
        </w:rPr>
        <w:t>mlive.com,</w:t>
      </w:r>
      <w:r>
        <w:t xml:space="preserve"> June 7, 2014, </w:t>
      </w:r>
      <w:hyperlink r:id="rId6" w:history="1">
        <w:r w:rsidRPr="00F62EE8">
          <w:rPr>
            <w:rStyle w:val="Hyperlink"/>
          </w:rPr>
          <w:t>http://www.mlive.com/news/detroit/index.ssf/2014/06/photos_65_million_brewster-dou.html</w:t>
        </w:r>
      </w:hyperlink>
      <w:r>
        <w:t xml:space="preserve">.  See also </w:t>
      </w:r>
      <w:r>
        <w:rPr>
          <w:i/>
        </w:rPr>
        <w:t xml:space="preserve">Detroit residents speak out against mass evictions, </w:t>
      </w:r>
      <w:r>
        <w:rPr>
          <w:i/>
          <w:smallCaps/>
        </w:rPr>
        <w:t>World Socialist Web Site</w:t>
      </w:r>
      <w:r>
        <w:rPr>
          <w:i/>
        </w:rPr>
        <w:t xml:space="preserve">, </w:t>
      </w:r>
      <w:r w:rsidRPr="0037336A">
        <w:t>May 1, 2013,</w:t>
      </w:r>
      <w:r>
        <w:rPr>
          <w:i/>
        </w:rPr>
        <w:t xml:space="preserve"> </w:t>
      </w:r>
      <w:r>
        <w:t xml:space="preserve">(evictions of Corridor’s </w:t>
      </w:r>
      <w:r w:rsidRPr="0037336A">
        <w:t>Henry Street apartments</w:t>
      </w:r>
      <w:r>
        <w:t xml:space="preserve">; speculation Ilitch will site Detroit Red Wings there). </w:t>
      </w:r>
    </w:p>
  </w:footnote>
  <w:footnote w:id="40">
    <w:p w:rsidR="0053578D" w:rsidRPr="00E2232A" w:rsidRDefault="0053578D" w:rsidP="0062675C">
      <w:pPr>
        <w:pStyle w:val="FootnoteText"/>
      </w:pPr>
      <w:r>
        <w:rPr>
          <w:rStyle w:val="FootnoteReference"/>
        </w:rPr>
        <w:footnoteRef/>
      </w:r>
      <w:r>
        <w:t xml:space="preserve"> </w:t>
      </w:r>
      <w:r>
        <w:rPr>
          <w:i/>
        </w:rPr>
        <w:t xml:space="preserve">Detroit Raised 65 Percent Graduation Rate, Increase Echoed Across the State, </w:t>
      </w:r>
      <w:r w:rsidRPr="0062675C">
        <w:rPr>
          <w:smallCaps/>
        </w:rPr>
        <w:t>CBS Detroit,</w:t>
      </w:r>
      <w:r w:rsidRPr="0062675C">
        <w:t xml:space="preserve"> Deb. 13, 2013, </w:t>
      </w:r>
      <w:hyperlink r:id="rId7" w:history="1">
        <w:r w:rsidRPr="0062675C">
          <w:rPr>
            <w:rStyle w:val="Hyperlink"/>
            <w:u w:val="none"/>
          </w:rPr>
          <w:t>http://detroit.cbslocal.com/2013/02/13/detroit-praised-for-65-percent-graduation-rate-increase-echoed-across-the-state/</w:t>
        </w:r>
      </w:hyperlink>
      <w:r>
        <w:t xml:space="preserve"> (up from 59 percent).</w:t>
      </w:r>
    </w:p>
  </w:footnote>
  <w:footnote w:id="41">
    <w:p w:rsidR="0053578D" w:rsidRPr="00E2232A" w:rsidRDefault="0053578D" w:rsidP="005976A7">
      <w:pPr>
        <w:pStyle w:val="FootnoteText"/>
      </w:pPr>
      <w:r>
        <w:rPr>
          <w:rStyle w:val="FootnoteReference"/>
        </w:rPr>
        <w:footnoteRef/>
      </w:r>
      <w:r>
        <w:t xml:space="preserve"> </w:t>
      </w:r>
      <w:r>
        <w:rPr>
          <w:i/>
        </w:rPr>
        <w:t xml:space="preserve">Nearly Half of Detroit’s Adults are Functionally Illiterate, Report Finds, </w:t>
      </w:r>
      <w:r>
        <w:rPr>
          <w:i/>
          <w:smallCaps/>
        </w:rPr>
        <w:t>Huffington Post</w:t>
      </w:r>
      <w:r>
        <w:rPr>
          <w:i/>
        </w:rPr>
        <w:t xml:space="preserve">, </w:t>
      </w:r>
      <w:r>
        <w:t xml:space="preserve">7/08/13, </w:t>
      </w:r>
      <w:r w:rsidRPr="00E2232A">
        <w:t>http://www.huffingtonpost.com/2011/05/07/detroit-illiteracy-nearly-half-education_n_858307.html</w:t>
      </w:r>
      <w:r>
        <w:t>.</w:t>
      </w:r>
    </w:p>
  </w:footnote>
  <w:footnote w:id="42">
    <w:p w:rsidR="0053578D" w:rsidRPr="00532870" w:rsidRDefault="0053578D">
      <w:pPr>
        <w:pStyle w:val="FootnoteText"/>
        <w:rPr>
          <w:i/>
        </w:rPr>
      </w:pPr>
      <w:r>
        <w:rPr>
          <w:rStyle w:val="FootnoteReference"/>
        </w:rPr>
        <w:footnoteRef/>
      </w:r>
      <w:r>
        <w:t xml:space="preserve"> </w:t>
      </w:r>
      <w:r>
        <w:rPr>
          <w:i/>
        </w:rPr>
        <w:t xml:space="preserve">See </w:t>
      </w:r>
      <w:r>
        <w:t xml:space="preserve">section III(C), </w:t>
      </w:r>
      <w:r>
        <w:rPr>
          <w:i/>
        </w:rPr>
        <w:t>infra.</w:t>
      </w:r>
    </w:p>
  </w:footnote>
  <w:footnote w:id="43">
    <w:p w:rsidR="0053578D" w:rsidRPr="004A1790" w:rsidRDefault="0053578D">
      <w:pPr>
        <w:pStyle w:val="FootnoteText"/>
        <w:rPr>
          <w:i/>
        </w:rPr>
      </w:pPr>
      <w:r>
        <w:rPr>
          <w:rStyle w:val="FootnoteReference"/>
        </w:rPr>
        <w:footnoteRef/>
      </w:r>
      <w:r>
        <w:t xml:space="preserve"> </w:t>
      </w:r>
      <w:r>
        <w:rPr>
          <w:i/>
        </w:rPr>
        <w:t>See</w:t>
      </w:r>
      <w:r>
        <w:t xml:space="preserve"> text accompanying note 222, </w:t>
      </w:r>
      <w:r>
        <w:rPr>
          <w:i/>
        </w:rPr>
        <w:t>infra.</w:t>
      </w:r>
    </w:p>
  </w:footnote>
  <w:footnote w:id="44">
    <w:p w:rsidR="0053578D" w:rsidRDefault="0053578D">
      <w:pPr>
        <w:pStyle w:val="FootnoteText"/>
      </w:pPr>
      <w:r>
        <w:rPr>
          <w:rStyle w:val="FootnoteReference"/>
        </w:rPr>
        <w:footnoteRef/>
      </w:r>
      <w:r>
        <w:t xml:space="preserve"> </w:t>
      </w:r>
      <w:r>
        <w:rPr>
          <w:i/>
        </w:rPr>
        <w:t>See</w:t>
      </w:r>
      <w:r>
        <w:t xml:space="preserve"> text accompanying note 255, </w:t>
      </w:r>
      <w:r>
        <w:rPr>
          <w:i/>
        </w:rPr>
        <w:t>infra.</w:t>
      </w:r>
      <w:r>
        <w:t xml:space="preserve"> </w:t>
      </w:r>
    </w:p>
  </w:footnote>
  <w:footnote w:id="45">
    <w:p w:rsidR="0053578D" w:rsidRDefault="0053578D">
      <w:pPr>
        <w:pStyle w:val="FootnoteText"/>
      </w:pPr>
      <w:r>
        <w:rPr>
          <w:rStyle w:val="FootnoteReference"/>
        </w:rPr>
        <w:footnoteRef/>
      </w:r>
      <w:r>
        <w:t xml:space="preserve"> </w:t>
      </w:r>
      <w:r w:rsidRPr="008735B4">
        <w:rPr>
          <w:i/>
        </w:rPr>
        <w:t>Peering</w:t>
      </w:r>
      <w:r w:rsidRPr="004A1790">
        <w:t xml:space="preserve"> at V(c)(i).</w:t>
      </w:r>
    </w:p>
  </w:footnote>
  <w:footnote w:id="46">
    <w:p w:rsidR="0053578D" w:rsidRDefault="0053578D">
      <w:pPr>
        <w:pStyle w:val="FootnoteText"/>
      </w:pPr>
      <w:r>
        <w:rPr>
          <w:rStyle w:val="FootnoteReference"/>
        </w:rPr>
        <w:footnoteRef/>
      </w:r>
      <w:r>
        <w:t xml:space="preserve"> </w:t>
      </w:r>
      <w:r>
        <w:rPr>
          <w:i/>
        </w:rPr>
        <w:t xml:space="preserve">Id. </w:t>
      </w:r>
      <w:r>
        <w:t xml:space="preserve">at 25. </w:t>
      </w:r>
    </w:p>
  </w:footnote>
  <w:footnote w:id="47">
    <w:p w:rsidR="0053578D" w:rsidRDefault="0053578D" w:rsidP="003F192D">
      <w:pPr>
        <w:pStyle w:val="FootnoteText"/>
      </w:pPr>
      <w:r>
        <w:rPr>
          <w:rStyle w:val="FootnoteReference"/>
        </w:rPr>
        <w:footnoteRef/>
      </w:r>
      <w:r>
        <w:t xml:space="preserve"> </w:t>
      </w:r>
      <w:r w:rsidRPr="0012030B">
        <w:t>MICH. CONST. art. X, § 2; S.R.S. Res. E, 93d Leg., Reg. Sess. (Mich. 2006).</w:t>
      </w:r>
    </w:p>
  </w:footnote>
  <w:footnote w:id="48">
    <w:p w:rsidR="0053578D" w:rsidRPr="00B46ADC" w:rsidRDefault="0053578D">
      <w:pPr>
        <w:pStyle w:val="FootnoteText"/>
        <w:rPr>
          <w:i/>
        </w:rPr>
      </w:pPr>
      <w:r>
        <w:rPr>
          <w:rStyle w:val="FootnoteReference"/>
        </w:rPr>
        <w:footnoteRef/>
      </w:r>
      <w:r>
        <w:t xml:space="preserve"> </w:t>
      </w:r>
      <w:r>
        <w:rPr>
          <w:i/>
        </w:rPr>
        <w:t>Id.</w:t>
      </w:r>
    </w:p>
  </w:footnote>
  <w:footnote w:id="49">
    <w:p w:rsidR="0053578D" w:rsidRPr="003754D4" w:rsidRDefault="0053578D">
      <w:pPr>
        <w:pStyle w:val="FootnoteText"/>
        <w:rPr>
          <w:i/>
        </w:rPr>
      </w:pPr>
      <w:r>
        <w:rPr>
          <w:rStyle w:val="FootnoteReference"/>
        </w:rPr>
        <w:footnoteRef/>
      </w:r>
      <w:r>
        <w:t xml:space="preserve"> </w:t>
      </w:r>
      <w:r>
        <w:rPr>
          <w:i/>
        </w:rPr>
        <w:t>Id.</w:t>
      </w:r>
    </w:p>
  </w:footnote>
  <w:footnote w:id="50">
    <w:p w:rsidR="0053578D" w:rsidRPr="00A60D11" w:rsidRDefault="0053578D">
      <w:pPr>
        <w:pStyle w:val="FootnoteText"/>
        <w:rPr>
          <w:i/>
        </w:rPr>
      </w:pPr>
      <w:r>
        <w:rPr>
          <w:rStyle w:val="FootnoteReference"/>
        </w:rPr>
        <w:footnoteRef/>
      </w:r>
      <w:r>
        <w:t xml:space="preserve"> </w:t>
      </w:r>
      <w:r>
        <w:rPr>
          <w:i/>
        </w:rPr>
        <w:t>Id.</w:t>
      </w:r>
    </w:p>
  </w:footnote>
  <w:footnote w:id="51">
    <w:p w:rsidR="0053578D" w:rsidRDefault="0053578D" w:rsidP="0055153B">
      <w:pPr>
        <w:pStyle w:val="FootnoteText"/>
      </w:pPr>
      <w:r>
        <w:rPr>
          <w:rStyle w:val="FootnoteReference"/>
        </w:rPr>
        <w:footnoteRef/>
      </w:r>
      <w:r>
        <w:t xml:space="preserve"> </w:t>
      </w:r>
      <w:r w:rsidRPr="00443393">
        <w:t>467 U.S. 229.</w:t>
      </w:r>
    </w:p>
  </w:footnote>
  <w:footnote w:id="52">
    <w:p w:rsidR="0053578D" w:rsidRPr="00935A50" w:rsidRDefault="0053578D" w:rsidP="003F192D">
      <w:pPr>
        <w:pStyle w:val="FootnoteText"/>
      </w:pPr>
      <w:r>
        <w:rPr>
          <w:rStyle w:val="FootnoteReference"/>
        </w:rPr>
        <w:footnoteRef/>
      </w:r>
      <w:r>
        <w:t xml:space="preserve"> </w:t>
      </w:r>
      <w:r>
        <w:rPr>
          <w:i/>
        </w:rPr>
        <w:t>See Peering</w:t>
      </w:r>
      <w:r>
        <w:t xml:space="preserve"> at 22, discussing </w:t>
      </w:r>
      <w:r>
        <w:rPr>
          <w:i/>
        </w:rPr>
        <w:t>Berman</w:t>
      </w:r>
      <w:r>
        <w:t xml:space="preserve"> deference.</w:t>
      </w:r>
    </w:p>
  </w:footnote>
  <w:footnote w:id="53">
    <w:p w:rsidR="0053578D" w:rsidRDefault="0053578D" w:rsidP="003F192D">
      <w:pPr>
        <w:pStyle w:val="FootnoteText"/>
      </w:pPr>
      <w:r>
        <w:rPr>
          <w:rStyle w:val="FootnoteReference"/>
        </w:rPr>
        <w:footnoteRef/>
      </w:r>
      <w:r>
        <w:t xml:space="preserve"> </w:t>
      </w:r>
      <w:r w:rsidRPr="00FD0F16">
        <w:t>684 N.W.2d 765, 786-87 (Mich. 2004).</w:t>
      </w:r>
    </w:p>
  </w:footnote>
  <w:footnote w:id="54">
    <w:p w:rsidR="0053578D" w:rsidRDefault="0053578D" w:rsidP="003F192D">
      <w:pPr>
        <w:pStyle w:val="FootnoteText"/>
      </w:pPr>
      <w:r>
        <w:rPr>
          <w:rStyle w:val="FootnoteReference"/>
        </w:rPr>
        <w:footnoteRef/>
      </w:r>
      <w:r>
        <w:t xml:space="preserve"> </w:t>
      </w:r>
      <w:r w:rsidRPr="00935A50">
        <w:rPr>
          <w:i/>
        </w:rPr>
        <w:t>Hathcock</w:t>
      </w:r>
      <w:r>
        <w:t xml:space="preserve"> at 781.</w:t>
      </w:r>
    </w:p>
  </w:footnote>
  <w:footnote w:id="55">
    <w:p w:rsidR="0053578D" w:rsidRPr="00A720EF" w:rsidRDefault="0053578D" w:rsidP="003F192D">
      <w:pPr>
        <w:pStyle w:val="FootnoteText"/>
      </w:pPr>
      <w:r>
        <w:rPr>
          <w:rStyle w:val="FootnoteReference"/>
        </w:rPr>
        <w:footnoteRef/>
      </w:r>
      <w:r>
        <w:t xml:space="preserve"> </w:t>
      </w:r>
      <w:r>
        <w:rPr>
          <w:i/>
        </w:rPr>
        <w:t>Id.</w:t>
      </w:r>
      <w:r>
        <w:t xml:space="preserve"> at 781-82.</w:t>
      </w:r>
    </w:p>
  </w:footnote>
  <w:footnote w:id="56">
    <w:p w:rsidR="0053578D" w:rsidRPr="00FD0F16" w:rsidRDefault="0053578D" w:rsidP="003F192D">
      <w:pPr>
        <w:pStyle w:val="FootnoteText"/>
        <w:rPr>
          <w:i/>
        </w:rPr>
      </w:pPr>
      <w:r>
        <w:rPr>
          <w:rStyle w:val="FootnoteReference"/>
        </w:rPr>
        <w:footnoteRef/>
      </w:r>
      <w:r>
        <w:t xml:space="preserve"> </w:t>
      </w:r>
      <w:r>
        <w:rPr>
          <w:i/>
        </w:rPr>
        <w:t>Id.</w:t>
      </w:r>
      <w:r>
        <w:t xml:space="preserve"> at 783.  </w:t>
      </w:r>
    </w:p>
  </w:footnote>
  <w:footnote w:id="57">
    <w:p w:rsidR="0053578D" w:rsidRPr="00C66D2A" w:rsidRDefault="0053578D" w:rsidP="003F192D">
      <w:pPr>
        <w:pStyle w:val="FootnoteText"/>
      </w:pPr>
      <w:r>
        <w:rPr>
          <w:rStyle w:val="FootnoteReference"/>
        </w:rPr>
        <w:footnoteRef/>
      </w:r>
      <w:r>
        <w:t xml:space="preserve"> </w:t>
      </w:r>
      <w:r>
        <w:rPr>
          <w:i/>
        </w:rPr>
        <w:t>See</w:t>
      </w:r>
      <w:r>
        <w:t xml:space="preserve"> Marc Milhaly and Turner Smith, </w:t>
      </w:r>
      <w:r>
        <w:rPr>
          <w:i/>
        </w:rPr>
        <w:t xml:space="preserve">Kelo’s Trail:  A Survey of State and Federal Legislative and Judicial Activity Five Years Later, </w:t>
      </w:r>
      <w:r w:rsidRPr="003754D4">
        <w:rPr>
          <w:smallCaps/>
        </w:rPr>
        <w:t>Ecology Law</w:t>
      </w:r>
      <w:r>
        <w:rPr>
          <w:i/>
          <w:smallCaps/>
        </w:rPr>
        <w:t xml:space="preserve"> </w:t>
      </w:r>
      <w:r w:rsidRPr="003754D4">
        <w:rPr>
          <w:smallCaps/>
        </w:rPr>
        <w:t>Quarterly</w:t>
      </w:r>
      <w:r>
        <w:rPr>
          <w:i/>
          <w:smallCaps/>
        </w:rPr>
        <w:t xml:space="preserve"> </w:t>
      </w:r>
      <w:r>
        <w:t>711 (2011) (“</w:t>
      </w:r>
      <w:r w:rsidRPr="00C66D2A">
        <w:t>Michiga</w:t>
      </w:r>
      <w:r>
        <w:t xml:space="preserve">n's eminent domain limitations. . . [react] </w:t>
      </w:r>
      <w:r w:rsidRPr="00C66D2A">
        <w:t>to Kelo.</w:t>
      </w:r>
      <w:r>
        <w:t>’</w:t>
      </w:r>
      <w:r w:rsidRPr="00C66D2A">
        <w:t>”</w:t>
      </w:r>
      <w:r>
        <w:t xml:space="preserve"> (citation omitted)).</w:t>
      </w:r>
    </w:p>
  </w:footnote>
  <w:footnote w:id="58">
    <w:p w:rsidR="0053578D" w:rsidRDefault="0053578D" w:rsidP="003F192D">
      <w:pPr>
        <w:pStyle w:val="FootnoteText"/>
      </w:pPr>
      <w:r>
        <w:rPr>
          <w:rStyle w:val="FootnoteReference"/>
        </w:rPr>
        <w:footnoteRef/>
      </w:r>
      <w:r>
        <w:t xml:space="preserve"> </w:t>
      </w:r>
      <w:r w:rsidRPr="00A720EF">
        <w:t>Mich. Const. art. X, § 2; S.R.S. Res. E, 93d Leg., Reg. Sess. (Mich. 2006).</w:t>
      </w:r>
    </w:p>
  </w:footnote>
  <w:footnote w:id="59">
    <w:p w:rsidR="0053578D" w:rsidRPr="00082D22" w:rsidRDefault="0053578D" w:rsidP="003F192D">
      <w:pPr>
        <w:pStyle w:val="FootnoteText"/>
      </w:pPr>
      <w:r>
        <w:rPr>
          <w:rStyle w:val="FootnoteReference"/>
        </w:rPr>
        <w:footnoteRef/>
      </w:r>
      <w:r>
        <w:t xml:space="preserve"> </w:t>
      </w:r>
      <w:r>
        <w:rPr>
          <w:i/>
        </w:rPr>
        <w:t>Id.</w:t>
      </w:r>
      <w:r w:rsidRPr="00082D22">
        <w:t xml:space="preserve"> Article 10, section 2 re</w:t>
      </w:r>
      <w:r>
        <w:t>ads</w:t>
      </w:r>
      <w:r w:rsidRPr="00082D22">
        <w:t>:</w:t>
      </w:r>
    </w:p>
    <w:p w:rsidR="0053578D" w:rsidRPr="00082D22" w:rsidRDefault="0053578D" w:rsidP="003F192D">
      <w:pPr>
        <w:pStyle w:val="FootnoteText"/>
        <w:rPr>
          <w:vertAlign w:val="superscript"/>
        </w:rPr>
      </w:pPr>
      <w:r w:rsidRPr="00082D22">
        <w:t>“Public use” does not include the taking of private property for transfer to a private entity for the purpose of economic development or enhancement of tax revenues. Private property otherwise may be taken for reasons of public use as that term is understood on the effective date of the amendment to this constitution that added this paragraph.</w:t>
      </w:r>
    </w:p>
    <w:p w:rsidR="0053578D" w:rsidRDefault="0053578D" w:rsidP="003F192D">
      <w:pPr>
        <w:pStyle w:val="FootnoteText"/>
      </w:pPr>
    </w:p>
    <w:p w:rsidR="0053578D" w:rsidRDefault="0053578D" w:rsidP="003F192D">
      <w:pPr>
        <w:pStyle w:val="FootnoteText"/>
      </w:pPr>
      <w:r w:rsidRPr="00082D22">
        <w:t>In a condemnation action, the burden of proof is on the condemning authority to demonstrate, by the preponderance of the evidence, that the taking of a private property is for a public use, unless the condemnation action involves a taking for the eradication of blight, in which case the burden of proof is on the condemning authority to demonstrate, by clear and convincing evidence, that the taking of that property is for a public use</w:t>
      </w:r>
      <w:r>
        <w:t>.</w:t>
      </w:r>
    </w:p>
  </w:footnote>
  <w:footnote w:id="60">
    <w:p w:rsidR="0053578D" w:rsidRDefault="0053578D" w:rsidP="003F192D">
      <w:pPr>
        <w:pStyle w:val="FootnoteText"/>
      </w:pPr>
      <w:r>
        <w:rPr>
          <w:rStyle w:val="FootnoteReference"/>
        </w:rPr>
        <w:footnoteRef/>
      </w:r>
      <w:r>
        <w:t xml:space="preserve"> </w:t>
      </w:r>
      <w:r w:rsidRPr="000379F9">
        <w:t>Mich. Comp. Laws § 213.55 (2010).</w:t>
      </w:r>
      <w:r>
        <w:t xml:space="preserve">  </w:t>
      </w:r>
      <w:r w:rsidRPr="001F0773">
        <w:rPr>
          <w:i/>
        </w:rPr>
        <w:t>See also</w:t>
      </w:r>
      <w:r>
        <w:t xml:space="preserve"> Miihaly &amp; Smith, supra note 55 at 711.</w:t>
      </w:r>
    </w:p>
  </w:footnote>
  <w:footnote w:id="61">
    <w:p w:rsidR="0053578D" w:rsidRDefault="0053578D" w:rsidP="003F192D">
      <w:pPr>
        <w:pStyle w:val="FootnoteText"/>
      </w:pPr>
      <w:r>
        <w:rPr>
          <w:rStyle w:val="FootnoteReference"/>
        </w:rPr>
        <w:footnoteRef/>
      </w:r>
      <w:r>
        <w:t xml:space="preserve"> </w:t>
      </w:r>
      <w:r w:rsidRPr="000379F9">
        <w:t>Mich. Comp. Laws § 213.55 (2010).</w:t>
      </w:r>
      <w:r>
        <w:t xml:space="preserve">  Milhaly &amp; Smith </w:t>
      </w:r>
      <w:r w:rsidRPr="00935A50">
        <w:rPr>
          <w:i/>
        </w:rPr>
        <w:t>id</w:t>
      </w:r>
      <w:r>
        <w:t>.</w:t>
      </w:r>
    </w:p>
  </w:footnote>
  <w:footnote w:id="62">
    <w:p w:rsidR="0053578D" w:rsidRPr="00005017" w:rsidRDefault="0053578D" w:rsidP="003F192D">
      <w:pPr>
        <w:pStyle w:val="FootnoteText"/>
      </w:pPr>
      <w:r>
        <w:rPr>
          <w:rStyle w:val="FootnoteReference"/>
        </w:rPr>
        <w:footnoteRef/>
      </w:r>
      <w:r>
        <w:t xml:space="preserve"> </w:t>
      </w:r>
      <w:r w:rsidRPr="008735B4">
        <w:rPr>
          <w:i/>
        </w:rPr>
        <w:t xml:space="preserve">See </w:t>
      </w:r>
      <w:r w:rsidRPr="00ED2BE2">
        <w:t>text accompanying notes</w:t>
      </w:r>
      <w:r>
        <w:t xml:space="preserve"> 55-56, </w:t>
      </w:r>
      <w:r>
        <w:rPr>
          <w:i/>
        </w:rPr>
        <w:t>supra.</w:t>
      </w:r>
      <w:r>
        <w:t xml:space="preserve">  </w:t>
      </w:r>
      <w:r>
        <w:rPr>
          <w:i/>
        </w:rPr>
        <w:t xml:space="preserve">See also </w:t>
      </w:r>
      <w:r w:rsidRPr="00082D22">
        <w:t>SB</w:t>
      </w:r>
      <w:r>
        <w:t xml:space="preserve"> 693 (2)(a)-(c).  </w:t>
      </w:r>
      <w:hyperlink r:id="rId8" w:history="1">
        <w:r w:rsidRPr="00F6123E">
          <w:rPr>
            <w:rStyle w:val="Hyperlink"/>
          </w:rPr>
          <w:t>https://www.legislature.mi.gov/documents/2005-2006/publicact/htm/2006-PA-0368.htm</w:t>
        </w:r>
      </w:hyperlink>
      <w:r>
        <w:t xml:space="preserve">.  Codifying </w:t>
      </w:r>
      <w:r>
        <w:rPr>
          <w:i/>
        </w:rPr>
        <w:t>Hathcock</w:t>
      </w:r>
      <w:r>
        <w:t xml:space="preserve">.  See </w:t>
      </w:r>
      <w:r>
        <w:rPr>
          <w:i/>
        </w:rPr>
        <w:t>Hathcock</w:t>
      </w:r>
      <w:r w:rsidRPr="00005017">
        <w:t>, 684 N.W.2d at 783.</w:t>
      </w:r>
    </w:p>
  </w:footnote>
  <w:footnote w:id="63">
    <w:p w:rsidR="0053578D" w:rsidRPr="000379F9" w:rsidRDefault="0053578D" w:rsidP="003F192D">
      <w:pPr>
        <w:pStyle w:val="FootnoteText"/>
      </w:pPr>
      <w:r>
        <w:rPr>
          <w:rStyle w:val="FootnoteReference"/>
        </w:rPr>
        <w:footnoteRef/>
      </w:r>
      <w:r>
        <w:t xml:space="preserve"> </w:t>
      </w:r>
      <w:r>
        <w:rPr>
          <w:i/>
        </w:rPr>
        <w:t>Id.</w:t>
      </w:r>
      <w:r>
        <w:t xml:space="preserve"> at (3).</w:t>
      </w:r>
    </w:p>
  </w:footnote>
  <w:footnote w:id="64">
    <w:p w:rsidR="0053578D" w:rsidRDefault="0053578D" w:rsidP="00E079CE">
      <w:pPr>
        <w:pStyle w:val="FootnoteText"/>
      </w:pPr>
      <w:r>
        <w:rPr>
          <w:rStyle w:val="FootnoteReference"/>
        </w:rPr>
        <w:footnoteRef/>
      </w:r>
      <w:r>
        <w:t xml:space="preserve"> </w:t>
      </w:r>
      <w:r w:rsidRPr="008735B4">
        <w:t>Pa. Coal Co. v. Mahon,</w:t>
      </w:r>
      <w:r w:rsidRPr="001F0773">
        <w:rPr>
          <w:i/>
        </w:rPr>
        <w:t xml:space="preserve"> </w:t>
      </w:r>
      <w:r w:rsidRPr="00451A62">
        <w:t>260 U.S. 393, 415 (1922).</w:t>
      </w:r>
    </w:p>
  </w:footnote>
  <w:footnote w:id="65">
    <w:p w:rsidR="0053578D" w:rsidRPr="00451A62" w:rsidRDefault="0053578D" w:rsidP="00E079CE">
      <w:pPr>
        <w:pStyle w:val="FootnoteText"/>
        <w:rPr>
          <w:i/>
        </w:rPr>
      </w:pPr>
      <w:r>
        <w:rPr>
          <w:rStyle w:val="FootnoteReference"/>
        </w:rPr>
        <w:footnoteRef/>
      </w:r>
      <w:r>
        <w:t xml:space="preserve"> </w:t>
      </w:r>
      <w:r>
        <w:rPr>
          <w:i/>
        </w:rPr>
        <w:t>Id.</w:t>
      </w:r>
    </w:p>
  </w:footnote>
  <w:footnote w:id="66">
    <w:p w:rsidR="0053578D" w:rsidRDefault="0053578D" w:rsidP="00B34AF2">
      <w:pPr>
        <w:pStyle w:val="FootnoteText"/>
      </w:pPr>
      <w:r>
        <w:rPr>
          <w:rStyle w:val="FootnoteReference"/>
        </w:rPr>
        <w:footnoteRef/>
      </w:r>
      <w:r>
        <w:t xml:space="preserve"> </w:t>
      </w:r>
      <w:r w:rsidRPr="008735B4">
        <w:t xml:space="preserve">Lucas v. S.C. Coastal Council, </w:t>
      </w:r>
      <w:r w:rsidRPr="00967925">
        <w:t>505 U.S. 1003 (1992).</w:t>
      </w:r>
    </w:p>
  </w:footnote>
  <w:footnote w:id="67">
    <w:p w:rsidR="0053578D" w:rsidRPr="00067782" w:rsidRDefault="0053578D" w:rsidP="00B34AF2">
      <w:pPr>
        <w:pStyle w:val="FootnoteText"/>
      </w:pPr>
      <w:r>
        <w:rPr>
          <w:rStyle w:val="FootnoteReference"/>
        </w:rPr>
        <w:footnoteRef/>
      </w:r>
      <w:r>
        <w:t xml:space="preserve"> </w:t>
      </w:r>
      <w:r>
        <w:rPr>
          <w:i/>
        </w:rPr>
        <w:t>See</w:t>
      </w:r>
      <w:r>
        <w:t xml:space="preserve"> Loretto v. </w:t>
      </w:r>
      <w:r w:rsidR="00F33F4E">
        <w:t>Teleprompter</w:t>
      </w:r>
      <w:r>
        <w:t xml:space="preserve"> Manhattan CATV Corp.,</w:t>
      </w:r>
      <w:r>
        <w:rPr>
          <w:i/>
        </w:rPr>
        <w:t xml:space="preserve"> </w:t>
      </w:r>
      <w:r w:rsidRPr="00067782">
        <w:t>458 U.S. 419</w:t>
      </w:r>
      <w:r>
        <w:t>, 427 (1982).</w:t>
      </w:r>
      <w:r w:rsidRPr="00067782">
        <w:t xml:space="preserve"> </w:t>
      </w:r>
      <w:r>
        <w:t>(“</w:t>
      </w:r>
      <w:r w:rsidRPr="00067782">
        <w:t>[w]hen faced with a constitutional challenge to a permanent physical occupation of real property, this Court has invariably found a taking</w:t>
      </w:r>
      <w:r>
        <w:t>.”)</w:t>
      </w:r>
    </w:p>
  </w:footnote>
  <w:footnote w:id="68">
    <w:p w:rsidR="0053578D" w:rsidRPr="00967925" w:rsidRDefault="0053578D" w:rsidP="00B34AF2">
      <w:pPr>
        <w:pStyle w:val="FootnoteText"/>
        <w:rPr>
          <w:i/>
        </w:rPr>
      </w:pPr>
      <w:r>
        <w:rPr>
          <w:rStyle w:val="FootnoteReference"/>
        </w:rPr>
        <w:footnoteRef/>
      </w:r>
      <w:r>
        <w:t xml:space="preserve"> </w:t>
      </w:r>
      <w:r w:rsidRPr="008735B4">
        <w:t>Webb's Fabulous Pharmacies, Inc. v. Beckwith,</w:t>
      </w:r>
      <w:r w:rsidRPr="00967925">
        <w:t xml:space="preserve"> 449 U.S. 155 (1980).</w:t>
      </w:r>
      <w:r>
        <w:t xml:space="preserve">  For a review of law, </w:t>
      </w:r>
      <w:r>
        <w:rPr>
          <w:i/>
        </w:rPr>
        <w:t>see</w:t>
      </w:r>
      <w:r>
        <w:t xml:space="preserve"> Cody Snyder, </w:t>
      </w:r>
      <w:r>
        <w:rPr>
          <w:i/>
        </w:rPr>
        <w:t xml:space="preserve">Unnecessary Expansion of the Takings Clause to the Judiciary:  Stop the Beach Renourishment, Inc. v. Fla. Dep’t of Envtl. Prot. </w:t>
      </w:r>
      <w:r w:rsidRPr="00ED2BE2">
        <w:t>130 S.Ct. 2592 (2010)</w:t>
      </w:r>
      <w:r>
        <w:rPr>
          <w:i/>
        </w:rPr>
        <w:t xml:space="preserve">, </w:t>
      </w:r>
      <w:r w:rsidRPr="00967925">
        <w:t xml:space="preserve">30 </w:t>
      </w:r>
      <w:r w:rsidRPr="001F0773">
        <w:rPr>
          <w:smallCaps/>
        </w:rPr>
        <w:t>Temp. J. Sci. Tech. &amp; Envtl. L.</w:t>
      </w:r>
      <w:r w:rsidRPr="00967925">
        <w:t xml:space="preserve"> 347, 354-6 (2011).</w:t>
      </w:r>
    </w:p>
  </w:footnote>
  <w:footnote w:id="69">
    <w:p w:rsidR="0053578D" w:rsidRDefault="0053578D" w:rsidP="00E079CE">
      <w:pPr>
        <w:pStyle w:val="FootnoteText"/>
      </w:pPr>
      <w:r>
        <w:rPr>
          <w:rStyle w:val="FootnoteReference"/>
        </w:rPr>
        <w:footnoteRef/>
      </w:r>
      <w:r>
        <w:t xml:space="preserve"> </w:t>
      </w:r>
      <w:r w:rsidRPr="008735B4">
        <w:t>Penn Cent. Transp. Co. v. New York City,</w:t>
      </w:r>
      <w:r w:rsidRPr="00451A62">
        <w:t xml:space="preserve"> 438 U.S. 104 (1978).</w:t>
      </w:r>
    </w:p>
  </w:footnote>
  <w:footnote w:id="70">
    <w:p w:rsidR="0053578D" w:rsidRDefault="0053578D" w:rsidP="006260AC">
      <w:pPr>
        <w:pStyle w:val="FootnoteText"/>
      </w:pPr>
      <w:r>
        <w:rPr>
          <w:rStyle w:val="FootnoteReference"/>
        </w:rPr>
        <w:footnoteRef/>
      </w:r>
      <w:r>
        <w:t xml:space="preserve"> </w:t>
      </w:r>
      <w:hyperlink r:id="rId9" w:history="1">
        <w:r>
          <w:rPr>
            <w:rStyle w:val="Hyperlink"/>
            <w:color w:val="auto"/>
            <w:u w:val="none"/>
          </w:rPr>
          <w:t> 480 U.S. 470, 491 n. 22</w:t>
        </w:r>
        <w:r w:rsidRPr="00F45B10">
          <w:rPr>
            <w:rStyle w:val="Hyperlink"/>
            <w:color w:val="auto"/>
            <w:u w:val="none"/>
          </w:rPr>
          <w:t>, 107 S.Ct. 1232, 94 L.Ed.2d 472 (1987)</w:t>
        </w:r>
      </w:hyperlink>
      <w:r w:rsidRPr="00F45B10">
        <w:t>. </w:t>
      </w:r>
    </w:p>
  </w:footnote>
  <w:footnote w:id="71">
    <w:p w:rsidR="0053578D" w:rsidRDefault="0053578D" w:rsidP="006260AC">
      <w:pPr>
        <w:pStyle w:val="FootnoteText"/>
      </w:pPr>
      <w:r>
        <w:rPr>
          <w:rStyle w:val="FootnoteReference"/>
        </w:rPr>
        <w:footnoteRef/>
      </w:r>
      <w:r>
        <w:t xml:space="preserve"> </w:t>
      </w:r>
      <w:r w:rsidRPr="006764DE">
        <w:t>505 U.S. 1003 (1992).</w:t>
      </w:r>
    </w:p>
  </w:footnote>
  <w:footnote w:id="72">
    <w:p w:rsidR="0053578D" w:rsidRPr="0052318F" w:rsidRDefault="0053578D" w:rsidP="006260AC">
      <w:pPr>
        <w:pStyle w:val="FootnoteText"/>
      </w:pPr>
      <w:r>
        <w:rPr>
          <w:rStyle w:val="FootnoteReference"/>
        </w:rPr>
        <w:footnoteRef/>
      </w:r>
      <w:r>
        <w:t xml:space="preserve"> </w:t>
      </w:r>
      <w:r w:rsidRPr="004A1CCA">
        <w:rPr>
          <w:i/>
        </w:rPr>
        <w:t>Lucas</w:t>
      </w:r>
      <w:r>
        <w:t xml:space="preserve"> at 1029.  </w:t>
      </w:r>
    </w:p>
  </w:footnote>
  <w:footnote w:id="73">
    <w:p w:rsidR="0053578D" w:rsidRPr="00F3525C" w:rsidRDefault="0053578D" w:rsidP="006260AC">
      <w:pPr>
        <w:pStyle w:val="FootnoteText"/>
      </w:pPr>
      <w:r>
        <w:rPr>
          <w:rStyle w:val="FootnoteReference"/>
        </w:rPr>
        <w:footnoteRef/>
      </w:r>
      <w:r>
        <w:t xml:space="preserve"> </w:t>
      </w:r>
      <w:r>
        <w:rPr>
          <w:i/>
        </w:rPr>
        <w:t>See, e.g.,</w:t>
      </w:r>
      <w:r>
        <w:t xml:space="preserve"> Embassy Realty Investments, Inc. v. City of Cleveland, 976 F. Supp. 2d 931, 941-42 (N.D. Ohio, 2013) (upholding demolition of condemned property without compensation under </w:t>
      </w:r>
      <w:r>
        <w:rPr>
          <w:i/>
        </w:rPr>
        <w:t>Lucas</w:t>
      </w:r>
      <w:r>
        <w:t>).</w:t>
      </w:r>
    </w:p>
  </w:footnote>
  <w:footnote w:id="74">
    <w:p w:rsidR="0053578D" w:rsidRDefault="0053578D" w:rsidP="00D42A51">
      <w:pPr>
        <w:pStyle w:val="FootnoteText"/>
      </w:pPr>
      <w:r>
        <w:rPr>
          <w:rStyle w:val="FootnoteReference"/>
        </w:rPr>
        <w:footnoteRef/>
      </w:r>
      <w:r>
        <w:t xml:space="preserve"> </w:t>
      </w:r>
      <w:hyperlink r:id="rId10" w:history="1">
        <w:r>
          <w:rPr>
            <w:rStyle w:val="Hyperlink"/>
            <w:color w:val="auto"/>
            <w:u w:val="none"/>
          </w:rPr>
          <w:t> 480 U.S. 470, 491 n. 22</w:t>
        </w:r>
        <w:r w:rsidRPr="00F45B10">
          <w:rPr>
            <w:rStyle w:val="Hyperlink"/>
            <w:color w:val="auto"/>
            <w:u w:val="none"/>
          </w:rPr>
          <w:t>, 107 S.Ct. 1232, 94 L.Ed.2d 472 (1987)</w:t>
        </w:r>
      </w:hyperlink>
      <w:r w:rsidRPr="00F45B10">
        <w:t>. </w:t>
      </w:r>
    </w:p>
  </w:footnote>
  <w:footnote w:id="75">
    <w:p w:rsidR="0053578D" w:rsidRDefault="0053578D" w:rsidP="00D42A51">
      <w:pPr>
        <w:pStyle w:val="FootnoteText"/>
      </w:pPr>
      <w:r>
        <w:rPr>
          <w:rStyle w:val="FootnoteReference"/>
        </w:rPr>
        <w:footnoteRef/>
      </w:r>
      <w:r>
        <w:t xml:space="preserve"> </w:t>
      </w:r>
      <w:hyperlink r:id="rId11" w:history="1">
        <w:r w:rsidRPr="00532870">
          <w:rPr>
            <w:rStyle w:val="Hyperlink"/>
            <w:color w:val="auto"/>
            <w:u w:val="none"/>
          </w:rPr>
          <w:t>123 U.S. 623, 654 (1887)</w:t>
        </w:r>
      </w:hyperlink>
      <w:r w:rsidRPr="00532870">
        <w:t xml:space="preserve">.  </w:t>
      </w:r>
    </w:p>
  </w:footnote>
  <w:footnote w:id="76">
    <w:p w:rsidR="0053578D" w:rsidRPr="009D7438" w:rsidRDefault="0053578D" w:rsidP="00D42A51">
      <w:pPr>
        <w:pStyle w:val="FootnoteText"/>
      </w:pPr>
      <w:r>
        <w:rPr>
          <w:rStyle w:val="FootnoteReference"/>
        </w:rPr>
        <w:footnoteRef/>
      </w:r>
      <w:r>
        <w:t xml:space="preserve"> </w:t>
      </w:r>
      <w:r>
        <w:rPr>
          <w:i/>
        </w:rPr>
        <w:t>Id.</w:t>
      </w:r>
      <w:r>
        <w:t xml:space="preserve"> at 688-689.</w:t>
      </w:r>
    </w:p>
  </w:footnote>
  <w:footnote w:id="77">
    <w:p w:rsidR="0053578D" w:rsidRDefault="0053578D" w:rsidP="00D42A51">
      <w:pPr>
        <w:pStyle w:val="FootnoteText"/>
      </w:pPr>
      <w:r>
        <w:rPr>
          <w:rStyle w:val="FootnoteReference"/>
        </w:rPr>
        <w:footnoteRef/>
      </w:r>
      <w:r>
        <w:t xml:space="preserve"> United States v. Bennis, </w:t>
      </w:r>
      <w:r w:rsidRPr="006C61ED">
        <w:t>516 U.S. 442, 443 (1996).</w:t>
      </w:r>
    </w:p>
  </w:footnote>
  <w:footnote w:id="78">
    <w:p w:rsidR="0053578D" w:rsidRPr="00213AC0" w:rsidRDefault="0053578D" w:rsidP="00D42A51">
      <w:pPr>
        <w:pStyle w:val="FootnoteText"/>
      </w:pPr>
      <w:r>
        <w:rPr>
          <w:rStyle w:val="FootnoteReference"/>
        </w:rPr>
        <w:footnoteRef/>
      </w:r>
      <w:r>
        <w:t xml:space="preserve"> </w:t>
      </w:r>
      <w:r>
        <w:rPr>
          <w:i/>
        </w:rPr>
        <w:t>Id.</w:t>
      </w:r>
      <w:r>
        <w:t xml:space="preserve"> at 446-447 (citing </w:t>
      </w:r>
      <w:r w:rsidRPr="00213AC0">
        <w:t> </w:t>
      </w:r>
      <w:hyperlink r:id="rId12" w:history="1">
        <w:r w:rsidRPr="00532870">
          <w:rPr>
            <w:rStyle w:val="Hyperlink"/>
            <w:iCs/>
            <w:color w:val="auto"/>
            <w:u w:val="none"/>
          </w:rPr>
          <w:t>The Palmyra</w:t>
        </w:r>
        <w:r w:rsidRPr="00532870">
          <w:rPr>
            <w:rStyle w:val="Hyperlink"/>
            <w:i/>
            <w:iCs/>
            <w:color w:val="auto"/>
            <w:u w:val="none"/>
          </w:rPr>
          <w:t>,</w:t>
        </w:r>
        <w:r w:rsidRPr="00532870">
          <w:rPr>
            <w:rStyle w:val="Hyperlink"/>
            <w:color w:val="auto"/>
            <w:u w:val="none"/>
          </w:rPr>
          <w:t> 12 Wheat. 1, 6 L.Ed. 531 (1827)</w:t>
        </w:r>
      </w:hyperlink>
      <w:r w:rsidRPr="00532870">
        <w:t>.).</w:t>
      </w:r>
    </w:p>
  </w:footnote>
  <w:footnote w:id="79">
    <w:p w:rsidR="0053578D" w:rsidRPr="00532870" w:rsidRDefault="0053578D" w:rsidP="00D42A51">
      <w:pPr>
        <w:pStyle w:val="FootnoteText"/>
        <w:rPr>
          <w:i/>
        </w:rPr>
      </w:pPr>
      <w:r>
        <w:rPr>
          <w:rStyle w:val="FootnoteReference"/>
        </w:rPr>
        <w:footnoteRef/>
      </w:r>
      <w:r>
        <w:t xml:space="preserve"> </w:t>
      </w:r>
      <w:r>
        <w:rPr>
          <w:i/>
        </w:rPr>
        <w:t>Id.</w:t>
      </w:r>
      <w:r>
        <w:t xml:space="preserve"> at 447-448</w:t>
      </w:r>
      <w:r w:rsidRPr="00F12571">
        <w:t> </w:t>
      </w:r>
      <w:r>
        <w:t>(</w:t>
      </w:r>
      <w:r w:rsidRPr="00532870">
        <w:t xml:space="preserve">citing </w:t>
      </w:r>
      <w:hyperlink r:id="rId13" w:history="1">
        <w:r w:rsidRPr="00532870">
          <w:rPr>
            <w:rStyle w:val="Hyperlink"/>
            <w:iCs/>
            <w:color w:val="auto"/>
            <w:u w:val="none"/>
          </w:rPr>
          <w:t>Van Oster v. Kansas,</w:t>
        </w:r>
        <w:r w:rsidRPr="00532870">
          <w:rPr>
            <w:rStyle w:val="Hyperlink"/>
            <w:color w:val="auto"/>
            <w:u w:val="none"/>
          </w:rPr>
          <w:t> 272 U.S. 465, 47 S.Ct. 133, 71 L.Ed. 354 (1926)</w:t>
        </w:r>
      </w:hyperlink>
      <w:r w:rsidRPr="00532870">
        <w:t>).</w:t>
      </w:r>
    </w:p>
  </w:footnote>
  <w:footnote w:id="80">
    <w:p w:rsidR="0053578D" w:rsidRPr="00D42A51" w:rsidRDefault="0053578D">
      <w:pPr>
        <w:pStyle w:val="FootnoteText"/>
        <w:rPr>
          <w:i/>
        </w:rPr>
      </w:pPr>
      <w:r>
        <w:rPr>
          <w:rStyle w:val="FootnoteReference"/>
        </w:rPr>
        <w:footnoteRef/>
      </w:r>
      <w:r>
        <w:t xml:space="preserve"> </w:t>
      </w:r>
      <w:r>
        <w:rPr>
          <w:i/>
        </w:rPr>
        <w:t>Id.</w:t>
      </w:r>
    </w:p>
  </w:footnote>
  <w:footnote w:id="81">
    <w:p w:rsidR="0053578D" w:rsidRDefault="0053578D">
      <w:pPr>
        <w:pStyle w:val="FootnoteText"/>
      </w:pPr>
      <w:r>
        <w:rPr>
          <w:rStyle w:val="FootnoteReference"/>
        </w:rPr>
        <w:footnoteRef/>
      </w:r>
      <w:r>
        <w:t xml:space="preserve"> </w:t>
      </w:r>
      <w:r>
        <w:rPr>
          <w:i/>
        </w:rPr>
        <w:t>See</w:t>
      </w:r>
      <w:r>
        <w:t xml:space="preserve"> note 134, </w:t>
      </w:r>
      <w:r>
        <w:rPr>
          <w:i/>
        </w:rPr>
        <w:t>infra.</w:t>
      </w:r>
      <w:r>
        <w:t xml:space="preserve">. </w:t>
      </w:r>
    </w:p>
  </w:footnote>
  <w:footnote w:id="82">
    <w:p w:rsidR="0053578D" w:rsidRDefault="0053578D" w:rsidP="00B07F06">
      <w:pPr>
        <w:pStyle w:val="FootnoteText"/>
      </w:pPr>
      <w:r>
        <w:rPr>
          <w:rStyle w:val="FootnoteReference"/>
        </w:rPr>
        <w:footnoteRef/>
      </w:r>
      <w:r>
        <w:t xml:space="preserve"> Noah Stephens interview, 9/27/2104, Detroit, Michigan.</w:t>
      </w:r>
    </w:p>
  </w:footnote>
  <w:footnote w:id="83">
    <w:p w:rsidR="0053578D" w:rsidRPr="00D4599C" w:rsidRDefault="0053578D" w:rsidP="00B07F06">
      <w:pPr>
        <w:pStyle w:val="FootnoteText"/>
      </w:pPr>
      <w:r>
        <w:rPr>
          <w:rStyle w:val="FootnoteReference"/>
        </w:rPr>
        <w:footnoteRef/>
      </w:r>
      <w:r>
        <w:t xml:space="preserve"> JC Reindl, </w:t>
      </w:r>
      <w:r>
        <w:rPr>
          <w:i/>
        </w:rPr>
        <w:t xml:space="preserve">Starbucks Returns to Downtown Detroit, </w:t>
      </w:r>
      <w:r>
        <w:rPr>
          <w:smallCaps/>
        </w:rPr>
        <w:t>Detroit Free Press</w:t>
      </w:r>
      <w:r>
        <w:t xml:space="preserve">, Apr. 10, 2014, </w:t>
      </w:r>
      <w:r w:rsidRPr="00D4599C">
        <w:t>http://www.usatoday.com/story/money/business/2014/04/10/starbucks-returns-downtown-detroit/7567353/</w:t>
      </w:r>
      <w:r>
        <w:t>.</w:t>
      </w:r>
    </w:p>
  </w:footnote>
  <w:footnote w:id="84">
    <w:p w:rsidR="0053578D" w:rsidRPr="00D4599C" w:rsidRDefault="0053578D" w:rsidP="00B07F06">
      <w:pPr>
        <w:pStyle w:val="FootnoteText"/>
      </w:pPr>
      <w:r>
        <w:rPr>
          <w:rStyle w:val="FootnoteReference"/>
        </w:rPr>
        <w:footnoteRef/>
      </w:r>
      <w:r>
        <w:t xml:space="preserve"> </w:t>
      </w:r>
      <w:r>
        <w:rPr>
          <w:smallCaps/>
        </w:rPr>
        <w:t xml:space="preserve">Noah Stephens, The People of Detroit, </w:t>
      </w:r>
      <w:r w:rsidRPr="00D4599C">
        <w:t>http://www.noahstephensphotography.com/p/about-people-of-detroit.html.</w:t>
      </w:r>
    </w:p>
  </w:footnote>
  <w:footnote w:id="85">
    <w:p w:rsidR="0053578D" w:rsidRPr="00B024FC" w:rsidRDefault="0053578D" w:rsidP="00B07F06">
      <w:pPr>
        <w:pStyle w:val="FootnoteText"/>
        <w:rPr>
          <w:i/>
        </w:rPr>
      </w:pPr>
      <w:r>
        <w:rPr>
          <w:rStyle w:val="FootnoteReference"/>
        </w:rPr>
        <w:footnoteRef/>
      </w:r>
      <w:r>
        <w:t xml:space="preserve"> For “blank slate” discussion, </w:t>
      </w:r>
      <w:r w:rsidRPr="00DD5597">
        <w:rPr>
          <w:i/>
        </w:rPr>
        <w:t>see</w:t>
      </w:r>
      <w:r>
        <w:t xml:space="preserve"> text accompanying note 327, </w:t>
      </w:r>
      <w:r>
        <w:rPr>
          <w:i/>
        </w:rPr>
        <w:t xml:space="preserve">infra.  </w:t>
      </w:r>
      <w:r>
        <w:t>Aaron Renn</w:t>
      </w:r>
      <w:r>
        <w:rPr>
          <w:i/>
        </w:rPr>
        <w:t>.</w:t>
      </w:r>
    </w:p>
  </w:footnote>
  <w:footnote w:id="86">
    <w:p w:rsidR="0053578D" w:rsidRDefault="0053578D" w:rsidP="00B07F06">
      <w:pPr>
        <w:pStyle w:val="FootnoteText"/>
      </w:pPr>
      <w:r>
        <w:rPr>
          <w:rStyle w:val="FootnoteReference"/>
        </w:rPr>
        <w:footnoteRef/>
      </w:r>
      <w:r>
        <w:t xml:space="preserve"> A Google search reveals five Detroit abortion clinics with limited services.  The Summit Women’s Center of Detroit offers abortions until 24 weeks, </w:t>
      </w:r>
      <w:hyperlink r:id="rId14" w:history="1">
        <w:r w:rsidRPr="00942C05">
          <w:rPr>
            <w:rStyle w:val="Hyperlink"/>
          </w:rPr>
          <w:t>http://www.summitcenters.com/michigan/detroit-mi.html</w:t>
        </w:r>
      </w:hyperlink>
      <w:r>
        <w:t xml:space="preserve">; the Eastland Women’s clinic until 18 weeks, </w:t>
      </w:r>
      <w:hyperlink r:id="rId15" w:history="1">
        <w:r w:rsidRPr="00942C05">
          <w:rPr>
            <w:rStyle w:val="Hyperlink"/>
          </w:rPr>
          <w:t>http://www.eastlandwomensclinic.com/</w:t>
        </w:r>
      </w:hyperlink>
      <w:r>
        <w:t xml:space="preserve">; the Detroit Health Center in the Cass Corridor offers medication abortions for until 9 weeks, </w:t>
      </w:r>
      <w:hyperlink r:id="rId16" w:history="1">
        <w:r w:rsidRPr="00942C05">
          <w:rPr>
            <w:rStyle w:val="Hyperlink"/>
          </w:rPr>
          <w:t>http://www.plannedparenthood.org/health-center/michigan/detroit/48201/detroit-health-center-2890-90630/abortion</w:t>
        </w:r>
      </w:hyperlink>
      <w:r>
        <w:t xml:space="preserve">; the Scottsdale Women’s Health Center does not advertise its time cut-off, </w:t>
      </w:r>
      <w:hyperlink r:id="rId17" w:history="1">
        <w:r w:rsidRPr="00942C05">
          <w:rPr>
            <w:rStyle w:val="Hyperlink"/>
          </w:rPr>
          <w:t>http://www.detroitabortioncenter.com/</w:t>
        </w:r>
      </w:hyperlink>
      <w:r>
        <w:t>.</w:t>
      </w:r>
    </w:p>
    <w:p w:rsidR="0053578D" w:rsidRDefault="0053578D" w:rsidP="00B07F06">
      <w:pPr>
        <w:pStyle w:val="FootnoteText"/>
      </w:pPr>
    </w:p>
    <w:p w:rsidR="0053578D" w:rsidRPr="004C5160" w:rsidRDefault="0053578D" w:rsidP="00B07F06">
      <w:pPr>
        <w:pStyle w:val="FootnoteText"/>
      </w:pPr>
      <w:r>
        <w:t xml:space="preserve">    NARAL identifies Michigan’s Governor, Rick Snyder, and its House and Senate, as anti-choice.  </w:t>
      </w:r>
      <w:hyperlink r:id="rId18" w:history="1">
        <w:r w:rsidRPr="00942C05">
          <w:rPr>
            <w:rStyle w:val="Hyperlink"/>
          </w:rPr>
          <w:t>http://www.prochoiceamerica.org/government-and-you/state-governments/state-profiles/michigan.html</w:t>
        </w:r>
      </w:hyperlink>
      <w:r>
        <w:t>. Michigan retains its pre-</w:t>
      </w:r>
      <w:r>
        <w:rPr>
          <w:i/>
        </w:rPr>
        <w:t>Roe</w:t>
      </w:r>
      <w:r>
        <w:t xml:space="preserve"> abortion ban forbidding abortions except to save life.  </w:t>
      </w:r>
      <w:hyperlink r:id="rId19" w:history="1">
        <w:r w:rsidRPr="00942C05">
          <w:rPr>
            <w:rStyle w:val="Hyperlink"/>
          </w:rPr>
          <w:t>http://www.prochoiceamerica.org/government-and-you/state-governments/state-profiles/michigan.html?templateName=template-161602701&amp;issueID=5&amp;ssumID=2657</w:t>
        </w:r>
      </w:hyperlink>
      <w:r>
        <w:t xml:space="preserve">.  Michigan law prohibits insurance companies from covering abortion services unless customers advance-purchase add-ons.  Louise Knott Ahern, </w:t>
      </w:r>
      <w:r>
        <w:rPr>
          <w:i/>
        </w:rPr>
        <w:t xml:space="preserve">Abortion insurance law taking effect in Michigan, </w:t>
      </w:r>
      <w:r w:rsidRPr="004C5160">
        <w:rPr>
          <w:smallCaps/>
        </w:rPr>
        <w:t>Detroit Free Press</w:t>
      </w:r>
      <w:r w:rsidRPr="004C5160">
        <w:t>, March 12, 2014,</w:t>
      </w:r>
      <w:r>
        <w:rPr>
          <w:i/>
        </w:rPr>
        <w:t xml:space="preserve"> </w:t>
      </w:r>
      <w:hyperlink r:id="rId20" w:history="1">
        <w:r w:rsidRPr="00942C05">
          <w:rPr>
            <w:rStyle w:val="Hyperlink"/>
          </w:rPr>
          <w:t>http://archive.freep.com/article/20140312/NEWS06/303120050/Abortion-insurance-law-taking-effect-in-Michigan</w:t>
        </w:r>
      </w:hyperlink>
      <w:r w:rsidRPr="004C5160">
        <w:t>.</w:t>
      </w:r>
      <w:r>
        <w:t xml:space="preserve">  </w:t>
      </w:r>
      <w:r w:rsidRPr="004C5160">
        <w:t> Mich. Comp. Laws Ann. § 550 (Enacted 2013).</w:t>
      </w:r>
    </w:p>
  </w:footnote>
  <w:footnote w:id="87">
    <w:p w:rsidR="0053578D" w:rsidRPr="00B105FE" w:rsidRDefault="0053578D" w:rsidP="00B07F06">
      <w:pPr>
        <w:pStyle w:val="FootnoteText"/>
        <w:rPr>
          <w:i/>
        </w:rPr>
      </w:pPr>
      <w:r>
        <w:rPr>
          <w:rStyle w:val="FootnoteReference"/>
        </w:rPr>
        <w:footnoteRef/>
      </w:r>
      <w:r>
        <w:t xml:space="preserve"> </w:t>
      </w:r>
      <w:r>
        <w:rPr>
          <w:i/>
        </w:rPr>
        <w:t>See</w:t>
      </w:r>
      <w:r>
        <w:t xml:space="preserve"> </w:t>
      </w:r>
      <w:r>
        <w:rPr>
          <w:smallCaps/>
        </w:rPr>
        <w:t>The People of Detroit</w:t>
      </w:r>
      <w:r>
        <w:rPr>
          <w:i/>
          <w:smallCaps/>
        </w:rPr>
        <w:t xml:space="preserve">, </w:t>
      </w:r>
      <w:r>
        <w:rPr>
          <w:i/>
        </w:rPr>
        <w:t>About the Founder,</w:t>
      </w:r>
      <w:r>
        <w:t xml:space="preserve"> </w:t>
      </w:r>
      <w:hyperlink r:id="rId21" w:history="1">
        <w:r w:rsidRPr="00FE6582">
          <w:rPr>
            <w:rStyle w:val="Hyperlink"/>
          </w:rPr>
          <w:t>http://www.thepeopleofdetroit.com/p/about-me.html</w:t>
        </w:r>
      </w:hyperlink>
      <w:r>
        <w:t xml:space="preserve"> (giving date as April 2010).</w:t>
      </w:r>
    </w:p>
  </w:footnote>
  <w:footnote w:id="88">
    <w:p w:rsidR="0053578D" w:rsidRPr="004826D2" w:rsidRDefault="0053578D" w:rsidP="00B07F06">
      <w:pPr>
        <w:pStyle w:val="FootnoteText"/>
      </w:pPr>
      <w:r>
        <w:rPr>
          <w:rStyle w:val="FootnoteReference"/>
        </w:rPr>
        <w:footnoteRef/>
      </w:r>
      <w:r>
        <w:t xml:space="preserve"> </w:t>
      </w:r>
      <w:r>
        <w:rPr>
          <w:i/>
        </w:rPr>
        <w:t>See</w:t>
      </w:r>
      <w:r>
        <w:t xml:space="preserve"> </w:t>
      </w:r>
      <w:r>
        <w:rPr>
          <w:i/>
        </w:rPr>
        <w:t>Peering</w:t>
      </w:r>
      <w:r>
        <w:t xml:space="preserve"> at 18-19, discussing “economic disaster porn” and Detroit.</w:t>
      </w:r>
    </w:p>
  </w:footnote>
  <w:footnote w:id="89">
    <w:p w:rsidR="0053578D" w:rsidRPr="00B105FE" w:rsidRDefault="0053578D" w:rsidP="00B07F06">
      <w:pPr>
        <w:pStyle w:val="FootnoteText"/>
      </w:pPr>
      <w:r>
        <w:rPr>
          <w:rStyle w:val="FootnoteReference"/>
        </w:rPr>
        <w:footnoteRef/>
      </w:r>
      <w:r>
        <w:t xml:space="preserve"> </w:t>
      </w:r>
      <w:r>
        <w:rPr>
          <w:i/>
        </w:rPr>
        <w:t>See</w:t>
      </w:r>
      <w:r>
        <w:t xml:space="preserve"> </w:t>
      </w:r>
      <w:r>
        <w:rPr>
          <w:smallCaps/>
        </w:rPr>
        <w:t>The People of Detroit</w:t>
      </w:r>
      <w:r>
        <w:rPr>
          <w:i/>
          <w:smallCaps/>
        </w:rPr>
        <w:t>, About TPOD</w:t>
      </w:r>
      <w:r>
        <w:rPr>
          <w:smallCaps/>
        </w:rPr>
        <w:t xml:space="preserve">, </w:t>
      </w:r>
      <w:r>
        <w:t>supra note 11 (“</w:t>
      </w:r>
      <w:r w:rsidRPr="00B105FE">
        <w:t xml:space="preserve">Noah started The People of Detroit after seeing a Dateline NBC special </w:t>
      </w:r>
      <w:r>
        <w:t>. . . [profiling]</w:t>
      </w:r>
      <w:r w:rsidRPr="00B105FE">
        <w:t xml:space="preserve"> a man who shot, ate, and sold raccoon meat. The implication being, of course, that things are so dire in Detroit that raccoon meat had become a sort of post-apocalyptic staple food.</w:t>
      </w:r>
      <w:r>
        <w:t>”).</w:t>
      </w:r>
    </w:p>
  </w:footnote>
  <w:footnote w:id="90">
    <w:p w:rsidR="0053578D" w:rsidRDefault="0053578D" w:rsidP="00B07F06">
      <w:pPr>
        <w:pStyle w:val="FootnoteText"/>
      </w:pPr>
      <w:r>
        <w:rPr>
          <w:rStyle w:val="FootnoteReference"/>
        </w:rPr>
        <w:footnoteRef/>
      </w:r>
      <w:r>
        <w:t xml:space="preserve"> </w:t>
      </w:r>
      <w:r>
        <w:rPr>
          <w:i/>
        </w:rPr>
        <w:t xml:space="preserve">About, </w:t>
      </w:r>
      <w:r>
        <w:rPr>
          <w:smallCaps/>
        </w:rPr>
        <w:t xml:space="preserve">Ruth Ellis Center, </w:t>
      </w:r>
      <w:r w:rsidRPr="00ED3F0C">
        <w:t>http://www.ruthelliscenter.org/about-ruth-eliss-center</w:t>
      </w:r>
    </w:p>
  </w:footnote>
  <w:footnote w:id="91">
    <w:p w:rsidR="0053578D" w:rsidRDefault="0053578D" w:rsidP="00B07F06">
      <w:pPr>
        <w:pStyle w:val="FootnoteText"/>
      </w:pPr>
      <w:r>
        <w:rPr>
          <w:rStyle w:val="FootnoteReference"/>
        </w:rPr>
        <w:footnoteRef/>
      </w:r>
      <w:r>
        <w:t xml:space="preserve"> </w:t>
      </w:r>
      <w:r w:rsidRPr="002308EF">
        <w:t>http://www.thepeopleofdetroit.com/2012/04/dezey-and-world-of-tomorrow.html#more</w:t>
      </w:r>
    </w:p>
  </w:footnote>
  <w:footnote w:id="92">
    <w:p w:rsidR="0053578D" w:rsidRPr="00353BF1" w:rsidRDefault="0053578D">
      <w:pPr>
        <w:pStyle w:val="FootnoteText"/>
      </w:pPr>
      <w:r>
        <w:rPr>
          <w:rStyle w:val="FootnoteReference"/>
        </w:rPr>
        <w:footnoteRef/>
      </w:r>
      <w:r>
        <w:t xml:space="preserve"> </w:t>
      </w:r>
      <w:r>
        <w:rPr>
          <w:i/>
        </w:rPr>
        <w:t>See Peering</w:t>
      </w:r>
      <w:r>
        <w:t xml:space="preserve"> at section V.</w:t>
      </w:r>
    </w:p>
  </w:footnote>
  <w:footnote w:id="93">
    <w:p w:rsidR="0053578D" w:rsidRDefault="0053578D">
      <w:pPr>
        <w:pStyle w:val="FootnoteText"/>
      </w:pPr>
      <w:r>
        <w:rPr>
          <w:rStyle w:val="FootnoteReference"/>
        </w:rPr>
        <w:footnoteRef/>
      </w:r>
      <w:r>
        <w:t xml:space="preserve"> </w:t>
      </w:r>
      <w:r w:rsidRPr="00A941C4">
        <w:t>Goldstein v. New York State Urban Dev. Corp</w:t>
      </w:r>
      <w:r>
        <w:t xml:space="preserve">, </w:t>
      </w:r>
      <w:r w:rsidRPr="00A941C4">
        <w:t>13 N.Y. 3d 511 (2009).</w:t>
      </w:r>
    </w:p>
  </w:footnote>
  <w:footnote w:id="94">
    <w:p w:rsidR="0053578D" w:rsidRDefault="0053578D">
      <w:pPr>
        <w:pStyle w:val="FootnoteText"/>
      </w:pPr>
      <w:r>
        <w:rPr>
          <w:rStyle w:val="FootnoteReference"/>
        </w:rPr>
        <w:footnoteRef/>
      </w:r>
      <w:r>
        <w:t xml:space="preserve"> </w:t>
      </w:r>
      <w:r w:rsidRPr="00A941C4">
        <w:t>New York City Housing Authority v. Muller, 277 N.Y. 333 (1936)</w:t>
      </w:r>
    </w:p>
  </w:footnote>
  <w:footnote w:id="95">
    <w:p w:rsidR="0053578D" w:rsidRDefault="0053578D">
      <w:pPr>
        <w:pStyle w:val="FootnoteText"/>
      </w:pPr>
      <w:r>
        <w:rPr>
          <w:rStyle w:val="FootnoteReference"/>
        </w:rPr>
        <w:footnoteRef/>
      </w:r>
      <w:r>
        <w:t xml:space="preserve"> </w:t>
      </w:r>
      <w:r w:rsidRPr="00A941C4">
        <w:t>Poletown Neighborhood Council v. City of Detroit</w:t>
      </w:r>
      <w:r>
        <w:t xml:space="preserve">, </w:t>
      </w:r>
      <w:r w:rsidRPr="00A941C4">
        <w:t>410 Mich. 616 (1981).</w:t>
      </w:r>
    </w:p>
  </w:footnote>
  <w:footnote w:id="96">
    <w:p w:rsidR="0053578D" w:rsidRDefault="0053578D">
      <w:pPr>
        <w:pStyle w:val="FootnoteText"/>
      </w:pPr>
      <w:r>
        <w:rPr>
          <w:rStyle w:val="FootnoteReference"/>
        </w:rPr>
        <w:footnoteRef/>
      </w:r>
      <w:r>
        <w:t xml:space="preserve"> </w:t>
      </w:r>
      <w:r w:rsidRPr="00A941C4">
        <w:t>Berman v. Parker, 348 U.S. 26, 32 (1954)</w:t>
      </w:r>
      <w:r>
        <w:t>.</w:t>
      </w:r>
    </w:p>
  </w:footnote>
  <w:footnote w:id="97">
    <w:p w:rsidR="0053578D" w:rsidRPr="002C6048" w:rsidRDefault="0053578D" w:rsidP="00A72D88">
      <w:pPr>
        <w:pStyle w:val="FootnoteText"/>
      </w:pPr>
      <w:r>
        <w:rPr>
          <w:rStyle w:val="FootnoteReference"/>
        </w:rPr>
        <w:footnoteRef/>
      </w:r>
      <w:r>
        <w:t xml:space="preserve"> Tom Walsh, </w:t>
      </w:r>
      <w:r w:rsidRPr="00E20A90">
        <w:rPr>
          <w:i/>
        </w:rPr>
        <w:t>When will Detroit blight task force get cracking?</w:t>
      </w:r>
      <w:r>
        <w:t xml:space="preserve"> </w:t>
      </w:r>
      <w:r w:rsidRPr="00E20A90">
        <w:rPr>
          <w:smallCaps/>
        </w:rPr>
        <w:t>Detroit Free Press,</w:t>
      </w:r>
      <w:r>
        <w:t xml:space="preserve"> Oct. 25, 2013, </w:t>
      </w:r>
      <w:hyperlink r:id="rId22" w:history="1">
        <w:r w:rsidRPr="003A2CF8">
          <w:rPr>
            <w:rStyle w:val="Hyperlink"/>
          </w:rPr>
          <w:t>http://www.freep.com/article/20131024/COL06/310240208/Tom-Walsh-Glenda-Price-Dan-Gilbert-blight</w:t>
        </w:r>
      </w:hyperlink>
      <w:r>
        <w:t xml:space="preserve">.  </w:t>
      </w:r>
      <w:r w:rsidRPr="00E20A90">
        <w:rPr>
          <w:i/>
        </w:rPr>
        <w:t>See also</w:t>
      </w:r>
      <w:r>
        <w:t xml:space="preserve"> Kevin Reed, </w:t>
      </w:r>
      <w:r>
        <w:rPr>
          <w:i/>
        </w:rPr>
        <w:t>Why is Dan Gilbert on the Detroit Blight Removal Task Force?</w:t>
      </w:r>
      <w:r>
        <w:t xml:space="preserve"> </w:t>
      </w:r>
      <w:r w:rsidRPr="00E20A90">
        <w:rPr>
          <w:smallCaps/>
        </w:rPr>
        <w:t>World Socialist Web Site,</w:t>
      </w:r>
      <w:r>
        <w:t xml:space="preserve"> Jan. 11, 2014 (task force created September 27, 2014), </w:t>
      </w:r>
      <w:r w:rsidRPr="002C6048">
        <w:t>http://www.wsws.org/en/articles/2014/01/11/gilb-j11.html</w:t>
      </w:r>
      <w:r>
        <w:t>.</w:t>
      </w:r>
    </w:p>
  </w:footnote>
  <w:footnote w:id="98">
    <w:p w:rsidR="0053578D" w:rsidRPr="00121805" w:rsidRDefault="0053578D">
      <w:pPr>
        <w:pStyle w:val="FootnoteText"/>
      </w:pPr>
      <w:r>
        <w:rPr>
          <w:rStyle w:val="FootnoteReference"/>
        </w:rPr>
        <w:footnoteRef/>
      </w:r>
      <w:r>
        <w:t xml:space="preserve"> </w:t>
      </w:r>
      <w:r>
        <w:rPr>
          <w:i/>
        </w:rPr>
        <w:t>See</w:t>
      </w:r>
      <w:r>
        <w:t xml:space="preserve"> Monica Davey, </w:t>
      </w:r>
      <w:r>
        <w:rPr>
          <w:i/>
        </w:rPr>
        <w:t>Detroit Urged to Tear Down 40,000 Buildings</w:t>
      </w:r>
      <w:r>
        <w:t xml:space="preserve">, N.Y.T., May 27, 2014, </w:t>
      </w:r>
      <w:hyperlink r:id="rId23" w:history="1">
        <w:r w:rsidRPr="003854C0">
          <w:rPr>
            <w:rStyle w:val="Hyperlink"/>
          </w:rPr>
          <w:t>http://www.nytimes.com/2014/05/28/us/detroit-task-force-says-blight-cleanup-will-cost-850-million.html?_r=0</w:t>
        </w:r>
      </w:hyperlink>
      <w:r>
        <w:t xml:space="preserve"> (Mayor Duggan supported Task Force’s press conference); </w:t>
      </w:r>
      <w:r>
        <w:rPr>
          <w:i/>
        </w:rPr>
        <w:t>see also</w:t>
      </w:r>
      <w:r w:rsidR="00F33F4E">
        <w:t xml:space="preserve"> TtEB chp</w:t>
      </w:r>
      <w:r>
        <w:t xml:space="preserve"> 10, p 255, </w:t>
      </w:r>
      <w:r w:rsidRPr="00121805">
        <w:t>http://www.nytimes.com/2014/05/28/us/detroit-task-force-says-blight-cleanup-will-cost-850-million.html?_r=0</w:t>
      </w:r>
      <w:r>
        <w:t xml:space="preserve"> (observing that Mayor Duggan started the Detroit NAP when a city prosecutor); Duggan for Detroit, </w:t>
      </w:r>
      <w:r>
        <w:rPr>
          <w:smallCaps/>
        </w:rPr>
        <w:t xml:space="preserve">Every </w:t>
      </w:r>
      <w:r w:rsidR="00F33F4E">
        <w:rPr>
          <w:smallCaps/>
        </w:rPr>
        <w:t>Neigh hood</w:t>
      </w:r>
      <w:r>
        <w:rPr>
          <w:smallCaps/>
        </w:rPr>
        <w:t xml:space="preserve"> Has a Future</w:t>
      </w:r>
      <w:r>
        <w:t xml:space="preserve"> 2, 4 (undated),</w:t>
      </w:r>
      <w:r w:rsidRPr="00121805">
        <w:t xml:space="preserve"> http://www.dugganfordetroit.com/wp-content/themes/duggan/DugganNeighborhoodPlan.pdf</w:t>
      </w:r>
      <w:r>
        <w:t xml:space="preserve">  (Duggan taking credit for the NAP).  On the use of NAP for the past twelve years, see note 14</w:t>
      </w:r>
      <w:r w:rsidR="00512023">
        <w:t xml:space="preserve">4, </w:t>
      </w:r>
      <w:r w:rsidR="00512023">
        <w:rPr>
          <w:i/>
        </w:rPr>
        <w:t>infra</w:t>
      </w:r>
      <w:r>
        <w:t xml:space="preserve"> (interview with DLBA’s Mike Brady).</w:t>
      </w:r>
    </w:p>
  </w:footnote>
  <w:footnote w:id="99">
    <w:p w:rsidR="0053578D" w:rsidRDefault="0053578D" w:rsidP="00A72D88">
      <w:pPr>
        <w:pStyle w:val="FootnoteText"/>
      </w:pPr>
      <w:r>
        <w:rPr>
          <w:rStyle w:val="FootnoteReference"/>
        </w:rPr>
        <w:footnoteRef/>
      </w:r>
      <w:r>
        <w:t xml:space="preserve"> </w:t>
      </w:r>
      <w:r w:rsidRPr="00E70663">
        <w:rPr>
          <w:i/>
        </w:rPr>
        <w:t>See</w:t>
      </w:r>
      <w:r>
        <w:t xml:space="preserve"> Reed, </w:t>
      </w:r>
      <w:r>
        <w:rPr>
          <w:i/>
        </w:rPr>
        <w:t>id.</w:t>
      </w:r>
      <w:r>
        <w:t>, quoting unnamed White House officials.</w:t>
      </w:r>
    </w:p>
  </w:footnote>
  <w:footnote w:id="100">
    <w:p w:rsidR="0053578D" w:rsidRDefault="0053578D" w:rsidP="00A72D88">
      <w:pPr>
        <w:pStyle w:val="FootnoteText"/>
      </w:pPr>
      <w:r>
        <w:rPr>
          <w:rStyle w:val="FootnoteReference"/>
        </w:rPr>
        <w:footnoteRef/>
      </w:r>
      <w:r>
        <w:t xml:space="preserve"> </w:t>
      </w:r>
      <w:r w:rsidRPr="00E70663">
        <w:rPr>
          <w:i/>
        </w:rPr>
        <w:t>See</w:t>
      </w:r>
      <w:r>
        <w:t xml:space="preserve"> text accompanying note 127, </w:t>
      </w:r>
      <w:r w:rsidRPr="00B07F06">
        <w:rPr>
          <w:i/>
        </w:rPr>
        <w:t>infra</w:t>
      </w:r>
      <w:r>
        <w:t>. “have to get it all down.” Numbers found at chp 3 p 59 of TtEB.</w:t>
      </w:r>
    </w:p>
  </w:footnote>
  <w:footnote w:id="101">
    <w:p w:rsidR="0053578D" w:rsidRPr="009031F4" w:rsidRDefault="0053578D">
      <w:pPr>
        <w:pStyle w:val="FootnoteText"/>
      </w:pPr>
      <w:r>
        <w:rPr>
          <w:rStyle w:val="FootnoteReference"/>
        </w:rPr>
        <w:footnoteRef/>
      </w:r>
      <w:r>
        <w:t xml:space="preserve"> Kirk Pinho, </w:t>
      </w:r>
      <w:r>
        <w:rPr>
          <w:i/>
        </w:rPr>
        <w:t xml:space="preserve">Blight Removal in Detroit to take 5 years, cost $850 M, Task </w:t>
      </w:r>
      <w:r w:rsidR="00F33F4E">
        <w:rPr>
          <w:i/>
        </w:rPr>
        <w:t>Force</w:t>
      </w:r>
      <w:r>
        <w:rPr>
          <w:i/>
        </w:rPr>
        <w:t xml:space="preserve"> Reports, </w:t>
      </w:r>
      <w:r>
        <w:t xml:space="preserve">May 27, 2014, </w:t>
      </w:r>
      <w:r w:rsidRPr="009031F4">
        <w:t>http://www.crainsdetroit.com/article/20140527/NEWS/140529896/blight-removal-in-detroit-to-take-5-years-cost-850m-task-force#</w:t>
      </w:r>
      <w:r>
        <w:t>.</w:t>
      </w:r>
    </w:p>
  </w:footnote>
  <w:footnote w:id="102">
    <w:p w:rsidR="0053578D" w:rsidRDefault="0053578D" w:rsidP="00A72D88">
      <w:pPr>
        <w:pStyle w:val="FootnoteText"/>
      </w:pPr>
      <w:r>
        <w:rPr>
          <w:rStyle w:val="FootnoteReference"/>
        </w:rPr>
        <w:footnoteRef/>
      </w:r>
      <w:r>
        <w:t xml:space="preserve"> </w:t>
      </w:r>
      <w:hyperlink r:id="rId24" w:history="1">
        <w:r w:rsidRPr="00FE6582">
          <w:rPr>
            <w:rStyle w:val="Hyperlink"/>
          </w:rPr>
          <w:t>http://www.timetoendblight.com/</w:t>
        </w:r>
      </w:hyperlink>
      <w:r>
        <w:t xml:space="preserve">.  The blight report is not dated, but its “about” states that findings shared with Mayor, Kevyn Orr, and Obama </w:t>
      </w:r>
      <w:r w:rsidRPr="00DC747C">
        <w:t>on May 27, 2014.</w:t>
      </w:r>
      <w:r>
        <w:t xml:space="preserve">”  </w:t>
      </w:r>
      <w:r w:rsidRPr="00DC747C">
        <w:t>http://www.timetoendblight.com/faq/</w:t>
      </w:r>
    </w:p>
  </w:footnote>
  <w:footnote w:id="103">
    <w:p w:rsidR="0053578D" w:rsidRPr="00DC747C" w:rsidRDefault="0053578D" w:rsidP="00A72D88">
      <w:pPr>
        <w:pStyle w:val="FootnoteText"/>
      </w:pPr>
      <w:r>
        <w:rPr>
          <w:rStyle w:val="FootnoteReference"/>
        </w:rPr>
        <w:footnoteRef/>
      </w:r>
      <w:r>
        <w:t xml:space="preserve"> </w:t>
      </w:r>
      <w:r>
        <w:rPr>
          <w:smallCaps/>
        </w:rPr>
        <w:t>TtEB</w:t>
      </w:r>
      <w:r>
        <w:t xml:space="preserve">, </w:t>
      </w:r>
      <w:r>
        <w:rPr>
          <w:i/>
        </w:rPr>
        <w:t>About</w:t>
      </w:r>
      <w:r>
        <w:t>, id.</w:t>
      </w:r>
    </w:p>
  </w:footnote>
  <w:footnote w:id="104">
    <w:p w:rsidR="0053578D" w:rsidRPr="00DC747C" w:rsidRDefault="0053578D" w:rsidP="00A72D88">
      <w:pPr>
        <w:pStyle w:val="FootnoteText"/>
        <w:rPr>
          <w:i/>
        </w:rPr>
      </w:pPr>
      <w:r>
        <w:rPr>
          <w:rStyle w:val="FootnoteReference"/>
        </w:rPr>
        <w:footnoteRef/>
      </w:r>
      <w:r>
        <w:t xml:space="preserve"> </w:t>
      </w:r>
      <w:r>
        <w:rPr>
          <w:i/>
        </w:rPr>
        <w:t>Id.</w:t>
      </w:r>
    </w:p>
  </w:footnote>
  <w:footnote w:id="105">
    <w:p w:rsidR="0053578D" w:rsidRDefault="0053578D" w:rsidP="00A72D88">
      <w:pPr>
        <w:pStyle w:val="FootnoteText"/>
      </w:pPr>
      <w:r>
        <w:rPr>
          <w:rStyle w:val="FootnoteReference"/>
        </w:rPr>
        <w:footnoteRef/>
      </w:r>
      <w:r>
        <w:t xml:space="preserve"> </w:t>
      </w:r>
      <w:r w:rsidRPr="00DC747C">
        <w:t>https://www.motorcitymapping.org/#t=overview&amp;s=detroit&amp;f=all</w:t>
      </w:r>
      <w:r>
        <w:t>.</w:t>
      </w:r>
    </w:p>
  </w:footnote>
  <w:footnote w:id="106">
    <w:p w:rsidR="0053578D" w:rsidRPr="00DC747C" w:rsidRDefault="0053578D" w:rsidP="00A72D88">
      <w:pPr>
        <w:pStyle w:val="FootnoteText"/>
      </w:pPr>
      <w:r>
        <w:rPr>
          <w:rStyle w:val="FootnoteReference"/>
        </w:rPr>
        <w:footnoteRef/>
      </w:r>
      <w:r>
        <w:t xml:space="preserve"> </w:t>
      </w:r>
      <w:r>
        <w:rPr>
          <w:smallCaps/>
        </w:rPr>
        <w:t>TtEB</w:t>
      </w:r>
      <w:r>
        <w:t xml:space="preserve">, </w:t>
      </w:r>
      <w:r>
        <w:rPr>
          <w:i/>
        </w:rPr>
        <w:t>About</w:t>
      </w:r>
      <w:r>
        <w:t>.</w:t>
      </w:r>
    </w:p>
  </w:footnote>
  <w:footnote w:id="107">
    <w:p w:rsidR="0053578D" w:rsidRPr="00C83386" w:rsidRDefault="0053578D" w:rsidP="00FB170E">
      <w:pPr>
        <w:pStyle w:val="FootnoteText"/>
      </w:pPr>
      <w:r>
        <w:rPr>
          <w:rStyle w:val="FootnoteReference"/>
        </w:rPr>
        <w:footnoteRef/>
      </w:r>
      <w:r>
        <w:t xml:space="preserve"> </w:t>
      </w:r>
      <w:r>
        <w:rPr>
          <w:smallCaps/>
        </w:rPr>
        <w:t>TtEB</w:t>
      </w:r>
      <w:r>
        <w:t xml:space="preserve"> at Chapter 1, page 13, </w:t>
      </w:r>
      <w:r w:rsidRPr="00C83386">
        <w:t>https://www.dropbox.com/sh/4pnv609h8r6w69a/AADh_iJMhrfivYNmb5PUbsFha/CHAPTER%2001.pdf?dl=0</w:t>
      </w:r>
      <w:r>
        <w:t>.</w:t>
      </w:r>
    </w:p>
  </w:footnote>
  <w:footnote w:id="108">
    <w:p w:rsidR="0053578D" w:rsidRPr="00C83386" w:rsidRDefault="0053578D" w:rsidP="00FB170E">
      <w:pPr>
        <w:pStyle w:val="FootnoteText"/>
      </w:pPr>
      <w:r>
        <w:rPr>
          <w:rStyle w:val="FootnoteReference"/>
        </w:rPr>
        <w:footnoteRef/>
      </w:r>
      <w:r>
        <w:t xml:space="preserve"> </w:t>
      </w:r>
      <w:r>
        <w:rPr>
          <w:i/>
        </w:rPr>
        <w:t>Id.</w:t>
      </w:r>
      <w:r>
        <w:t xml:space="preserve"> at 14.</w:t>
      </w:r>
    </w:p>
  </w:footnote>
  <w:footnote w:id="109">
    <w:p w:rsidR="0053578D" w:rsidRDefault="0053578D" w:rsidP="00FB170E">
      <w:pPr>
        <w:pStyle w:val="FootnoteText"/>
      </w:pPr>
      <w:r>
        <w:rPr>
          <w:rStyle w:val="FootnoteReference"/>
        </w:rPr>
        <w:footnoteRef/>
      </w:r>
      <w:r>
        <w:t xml:space="preserve"> Phone interview with Erica Raleigh, July 3, 2014: “[The] </w:t>
      </w:r>
      <w:r w:rsidRPr="006C503F">
        <w:t xml:space="preserve">130 surveyors that we hired </w:t>
      </w:r>
      <w:r>
        <w:t>. . . [were organized thusly:]</w:t>
      </w:r>
      <w:r w:rsidRPr="006C503F">
        <w:t xml:space="preserve"> we would have a d</w:t>
      </w:r>
      <w:r>
        <w:t>river and 2 surveyors.  And w</w:t>
      </w:r>
      <w:r w:rsidRPr="006C503F">
        <w:t>e wanted at least one surveyor who was deeply famil</w:t>
      </w:r>
      <w:r>
        <w:t>iar with the surrounding area.”</w:t>
      </w:r>
    </w:p>
  </w:footnote>
  <w:footnote w:id="110">
    <w:p w:rsidR="0053578D" w:rsidRDefault="0053578D" w:rsidP="00FB170E">
      <w:pPr>
        <w:pStyle w:val="FootnoteText"/>
      </w:pPr>
      <w:r>
        <w:rPr>
          <w:rStyle w:val="FootnoteReference"/>
        </w:rPr>
        <w:footnoteRef/>
      </w:r>
      <w:r>
        <w:t xml:space="preserve"> </w:t>
      </w:r>
      <w:r w:rsidRPr="008015DF">
        <w:t xml:space="preserve">The survey can be found in </w:t>
      </w:r>
      <w:r>
        <w:t>TtEB</w:t>
      </w:r>
      <w:r w:rsidRPr="008015DF">
        <w:t>, chapter 12, p. 304.</w:t>
      </w:r>
    </w:p>
  </w:footnote>
  <w:footnote w:id="111">
    <w:p w:rsidR="0053578D" w:rsidRPr="00D53C29" w:rsidRDefault="0053578D" w:rsidP="00FB170E">
      <w:pPr>
        <w:pStyle w:val="FootnoteText"/>
      </w:pPr>
      <w:r>
        <w:rPr>
          <w:rStyle w:val="FootnoteReference"/>
        </w:rPr>
        <w:footnoteRef/>
      </w:r>
      <w:r>
        <w:t xml:space="preserve"> </w:t>
      </w:r>
      <w:r>
        <w:rPr>
          <w:i/>
        </w:rPr>
        <w:t>Id.</w:t>
      </w:r>
    </w:p>
  </w:footnote>
  <w:footnote w:id="112">
    <w:p w:rsidR="0053578D" w:rsidRPr="00D53C29" w:rsidRDefault="0053578D" w:rsidP="00FB170E">
      <w:pPr>
        <w:pStyle w:val="FootnoteText"/>
      </w:pPr>
      <w:r>
        <w:rPr>
          <w:rStyle w:val="FootnoteReference"/>
        </w:rPr>
        <w:footnoteRef/>
      </w:r>
      <w:r>
        <w:t xml:space="preserve"> </w:t>
      </w:r>
      <w:r>
        <w:rPr>
          <w:i/>
        </w:rPr>
        <w:t>Id.</w:t>
      </w:r>
    </w:p>
  </w:footnote>
  <w:footnote w:id="113">
    <w:p w:rsidR="0053578D" w:rsidRPr="009E3B3D" w:rsidRDefault="0053578D" w:rsidP="00FB170E">
      <w:pPr>
        <w:pStyle w:val="FootnoteText"/>
      </w:pPr>
      <w:r>
        <w:rPr>
          <w:rStyle w:val="FootnoteReference"/>
        </w:rPr>
        <w:footnoteRef/>
      </w:r>
      <w:r>
        <w:t xml:space="preserve"> Sarah Schmidt, </w:t>
      </w:r>
      <w:r>
        <w:rPr>
          <w:i/>
        </w:rPr>
        <w:t>Motor City Mapping Tackles Urban Bight Using Loveland Tech</w:t>
      </w:r>
      <w:r>
        <w:t xml:space="preserve">, </w:t>
      </w:r>
      <w:r w:rsidRPr="00EA5573">
        <w:rPr>
          <w:smallCaps/>
        </w:rPr>
        <w:t>Xconomy,</w:t>
      </w:r>
      <w:r>
        <w:t xml:space="preserve"> Jan. 6, 2014, </w:t>
      </w:r>
      <w:r w:rsidRPr="009257AD">
        <w:t xml:space="preserve">http://www.xconomy.com/detroit/2014/01/06/motor-city-mapping-project-tackles-urban-blight-using-loveland-tech/ </w:t>
      </w:r>
      <w:r>
        <w:t>(“T</w:t>
      </w:r>
      <w:r w:rsidRPr="009E3B3D">
        <w:t>his is just a windshield survey</w:t>
      </w:r>
      <w:r>
        <w:t>,</w:t>
      </w:r>
      <w:r w:rsidRPr="009E3B3D">
        <w:t xml:space="preserve">” </w:t>
      </w:r>
      <w:r>
        <w:t xml:space="preserve">[Loveland Technology CEO Jerry] </w:t>
      </w:r>
      <w:r w:rsidRPr="009E3B3D">
        <w:t>Paffendorf says.</w:t>
      </w:r>
      <w:r>
        <w:t>”).</w:t>
      </w:r>
    </w:p>
  </w:footnote>
  <w:footnote w:id="114">
    <w:p w:rsidR="0053578D" w:rsidRDefault="0053578D" w:rsidP="00FB170E">
      <w:pPr>
        <w:pStyle w:val="FootnoteText"/>
      </w:pPr>
      <w:r>
        <w:rPr>
          <w:rStyle w:val="FootnoteReference"/>
        </w:rPr>
        <w:footnoteRef/>
      </w:r>
      <w:r>
        <w:t xml:space="preserve"> Data here:  </w:t>
      </w:r>
      <w:r w:rsidRPr="003A1CF2">
        <w:t>http://d3.d3.opendata.arcgis.com/datasets/7cfed5afb7654e2495ef4c1ead320aa5_0?uiTab=table&amp;orderByFields=Condition+ASC&amp;where=+(Condition+like+%27%25poor%25%27+OR+Condition+like+%27%25suggest+demolition%25%27)+&amp;filterByExtent=false</w:t>
      </w:r>
      <w:r>
        <w:t>.</w:t>
      </w:r>
    </w:p>
  </w:footnote>
  <w:footnote w:id="115">
    <w:p w:rsidR="0053578D" w:rsidRDefault="0053578D" w:rsidP="00FB170E">
      <w:pPr>
        <w:pStyle w:val="FootnoteText"/>
      </w:pPr>
      <w:r>
        <w:rPr>
          <w:rStyle w:val="FootnoteReference"/>
        </w:rPr>
        <w:footnoteRef/>
      </w:r>
      <w:r>
        <w:t xml:space="preserve"> I found this number when I filtered for “poor” and “suggest demolition” blexter findings.</w:t>
      </w:r>
    </w:p>
  </w:footnote>
  <w:footnote w:id="116">
    <w:p w:rsidR="0053578D" w:rsidRDefault="0053578D" w:rsidP="00FB170E">
      <w:pPr>
        <w:pStyle w:val="FootnoteText"/>
      </w:pPr>
      <w:r>
        <w:rPr>
          <w:rStyle w:val="FootnoteReference"/>
        </w:rPr>
        <w:footnoteRef/>
      </w:r>
      <w:r>
        <w:t xml:space="preserve"> I cannot search for occupied residences on the current MCM data, which is the file linked in footnote 118, called “Final Winter 2014.”  The filter sets for both occupied and unoccupied.  However, I saved an earlier version of the data on my computer where such a filter is possible.  Blexters tagged 24 occupied residences for demolition in this data.  I have the file in my possession.</w:t>
      </w:r>
    </w:p>
  </w:footnote>
  <w:footnote w:id="117">
    <w:p w:rsidR="0053578D" w:rsidRDefault="0053578D" w:rsidP="00FB170E">
      <w:pPr>
        <w:pStyle w:val="FootnoteText"/>
      </w:pPr>
      <w:r>
        <w:rPr>
          <w:rStyle w:val="FootnoteReference"/>
        </w:rPr>
        <w:footnoteRef/>
      </w:r>
      <w:r>
        <w:t xml:space="preserve"> The same is true regarding the filter for “occupied” and “poor” as that set forth in footnote 150, </w:t>
      </w:r>
      <w:r w:rsidRPr="009E436C">
        <w:rPr>
          <w:i/>
        </w:rPr>
        <w:t>supra</w:t>
      </w:r>
      <w:r>
        <w:t>.</w:t>
      </w:r>
    </w:p>
  </w:footnote>
  <w:footnote w:id="118">
    <w:p w:rsidR="0053578D" w:rsidRDefault="0053578D" w:rsidP="00FB170E">
      <w:pPr>
        <w:pStyle w:val="FootnoteText"/>
      </w:pPr>
      <w:r>
        <w:rPr>
          <w:rStyle w:val="FootnoteReference"/>
        </w:rPr>
        <w:footnoteRef/>
      </w:r>
      <w:r>
        <w:t xml:space="preserve"> This was the number I obtained from the Final Winter 2014 data.  </w:t>
      </w:r>
    </w:p>
  </w:footnote>
  <w:footnote w:id="119">
    <w:p w:rsidR="0053578D" w:rsidRDefault="0053578D" w:rsidP="00FB170E">
      <w:pPr>
        <w:pStyle w:val="FootnoteText"/>
      </w:pPr>
      <w:r>
        <w:rPr>
          <w:rStyle w:val="FootnoteReference"/>
        </w:rPr>
        <w:footnoteRef/>
      </w:r>
      <w:r>
        <w:t xml:space="preserve"> </w:t>
      </w:r>
      <w:r>
        <w:rPr>
          <w:i/>
        </w:rPr>
        <w:t>Id.</w:t>
      </w:r>
    </w:p>
  </w:footnote>
  <w:footnote w:id="120">
    <w:p w:rsidR="0053578D" w:rsidRDefault="0053578D" w:rsidP="00FB170E">
      <w:pPr>
        <w:pStyle w:val="FootnoteText"/>
      </w:pPr>
      <w:r>
        <w:rPr>
          <w:rStyle w:val="FootnoteReference"/>
        </w:rPr>
        <w:footnoteRef/>
      </w:r>
      <w:r>
        <w:t xml:space="preserve"> </w:t>
      </w:r>
      <w:r>
        <w:rPr>
          <w:i/>
        </w:rPr>
        <w:t>Id.</w:t>
      </w:r>
    </w:p>
  </w:footnote>
  <w:footnote w:id="121">
    <w:p w:rsidR="0053578D" w:rsidRDefault="0053578D" w:rsidP="00FB170E">
      <w:pPr>
        <w:pStyle w:val="FootnoteText"/>
      </w:pPr>
      <w:r>
        <w:rPr>
          <w:rStyle w:val="FootnoteReference"/>
        </w:rPr>
        <w:footnoteRef/>
      </w:r>
      <w:r>
        <w:t xml:space="preserve"> Page 51, chapter 3, of TtEB.</w:t>
      </w:r>
    </w:p>
  </w:footnote>
  <w:footnote w:id="122">
    <w:p w:rsidR="0053578D" w:rsidRPr="003D5953" w:rsidRDefault="0053578D" w:rsidP="00861914">
      <w:pPr>
        <w:pStyle w:val="FootnoteText"/>
      </w:pPr>
      <w:r>
        <w:rPr>
          <w:rStyle w:val="FootnoteReference"/>
        </w:rPr>
        <w:footnoteRef/>
      </w:r>
      <w:r>
        <w:t xml:space="preserve"> Press conference video around 39 minutes.  </w:t>
      </w:r>
      <w:r>
        <w:rPr>
          <w:smallCaps/>
        </w:rPr>
        <w:t xml:space="preserve">TtEB </w:t>
      </w:r>
      <w:r>
        <w:t>also describes this chapter 3, p 48.</w:t>
      </w:r>
    </w:p>
  </w:footnote>
  <w:footnote w:id="123">
    <w:p w:rsidR="0053578D" w:rsidRDefault="0053578D" w:rsidP="00861914">
      <w:pPr>
        <w:pStyle w:val="FootnoteText"/>
      </w:pPr>
      <w:r>
        <w:rPr>
          <w:rStyle w:val="FootnoteReference"/>
        </w:rPr>
        <w:footnoteRef/>
      </w:r>
      <w:r>
        <w:t xml:space="preserve"> Chapter 3 of </w:t>
      </w:r>
      <w:r>
        <w:rPr>
          <w:smallCaps/>
        </w:rPr>
        <w:t>TtEB</w:t>
      </w:r>
      <w:r>
        <w:t>, p 48.</w:t>
      </w:r>
    </w:p>
  </w:footnote>
  <w:footnote w:id="124">
    <w:p w:rsidR="0053578D" w:rsidRPr="003B2421" w:rsidRDefault="0053578D" w:rsidP="00A72D88">
      <w:pPr>
        <w:pStyle w:val="FootnoteText"/>
      </w:pPr>
      <w:r>
        <w:rPr>
          <w:rStyle w:val="FootnoteReference"/>
        </w:rPr>
        <w:footnoteRef/>
      </w:r>
      <w:r>
        <w:t xml:space="preserve"> Numbers are on page 59 of chapter 3 of TtEB</w:t>
      </w:r>
      <w:r w:rsidRPr="003B2421">
        <w:t>.</w:t>
      </w:r>
      <w:r>
        <w:t xml:space="preserve">  At 59, the Report says intervention will include demolition, restoration, or “secur[ing] and maintain[ing]” the properties.  No accounting of how many it plans to demolish.  </w:t>
      </w:r>
    </w:p>
  </w:footnote>
  <w:footnote w:id="125">
    <w:p w:rsidR="0053578D" w:rsidRPr="00AE23EB" w:rsidRDefault="0053578D" w:rsidP="00861914">
      <w:pPr>
        <w:pStyle w:val="FootnoteText"/>
        <w:rPr>
          <w:i/>
        </w:rPr>
      </w:pPr>
      <w:r>
        <w:rPr>
          <w:rStyle w:val="FootnoteReference"/>
        </w:rPr>
        <w:footnoteRef/>
      </w:r>
      <w:r>
        <w:t xml:space="preserve"> </w:t>
      </w:r>
      <w:r>
        <w:rPr>
          <w:i/>
        </w:rPr>
        <w:t>Id.</w:t>
      </w:r>
    </w:p>
  </w:footnote>
  <w:footnote w:id="126">
    <w:p w:rsidR="0053578D" w:rsidRPr="003D4CE1" w:rsidRDefault="0053578D">
      <w:pPr>
        <w:pStyle w:val="FootnoteText"/>
        <w:rPr>
          <w:i/>
        </w:rPr>
      </w:pPr>
      <w:r>
        <w:rPr>
          <w:rStyle w:val="FootnoteReference"/>
        </w:rPr>
        <w:footnoteRef/>
      </w:r>
      <w:r>
        <w:t xml:space="preserve"> </w:t>
      </w:r>
      <w:r>
        <w:rPr>
          <w:i/>
        </w:rPr>
        <w:t>See</w:t>
      </w:r>
      <w:r>
        <w:t xml:space="preserve"> section IV(A), </w:t>
      </w:r>
      <w:r>
        <w:rPr>
          <w:i/>
        </w:rPr>
        <w:t>infra.</w:t>
      </w:r>
    </w:p>
  </w:footnote>
  <w:footnote w:id="127">
    <w:p w:rsidR="0053578D" w:rsidRPr="00AE23EB" w:rsidRDefault="0053578D" w:rsidP="00861914">
      <w:pPr>
        <w:pStyle w:val="FootnoteText"/>
      </w:pPr>
      <w:r>
        <w:rPr>
          <w:rStyle w:val="FootnoteReference"/>
        </w:rPr>
        <w:footnoteRef/>
      </w:r>
      <w:r>
        <w:t xml:space="preserve"> </w:t>
      </w:r>
      <w:r>
        <w:rPr>
          <w:i/>
        </w:rPr>
        <w:t>See</w:t>
      </w:r>
      <w:r>
        <w:t xml:space="preserve"> Bill McGraw, </w:t>
      </w:r>
      <w:r>
        <w:rPr>
          <w:i/>
        </w:rPr>
        <w:t>Dan Gilbert is Planning to Tear Down Every Single Abandoned Building in Detroit</w:t>
      </w:r>
      <w:r>
        <w:t xml:space="preserve">, </w:t>
      </w:r>
      <w:r>
        <w:rPr>
          <w:smallCaps/>
        </w:rPr>
        <w:t>Deadline Detroit.com, O</w:t>
      </w:r>
      <w:r>
        <w:t xml:space="preserve">ct. 1, 2013, </w:t>
      </w:r>
      <w:hyperlink r:id="rId25" w:anchor=".VJSX-UAA" w:history="1">
        <w:r w:rsidRPr="00A05955">
          <w:rPr>
            <w:rStyle w:val="Hyperlink"/>
          </w:rPr>
          <w:t>http://www.deadlinedetroit.com/articles/6587/dan_gilbert_is_planning_to_demolish_every_last_abandoned_building_in_detroit#.VJSX-UAA</w:t>
        </w:r>
      </w:hyperlink>
      <w:r>
        <w:t xml:space="preserve">.  </w:t>
      </w:r>
      <w:r>
        <w:rPr>
          <w:i/>
        </w:rPr>
        <w:t xml:space="preserve">See also id:  </w:t>
      </w:r>
      <w:r>
        <w:t>“’</w:t>
      </w:r>
      <w:r w:rsidRPr="00AE23EB">
        <w:t>You get these structures down and, I mean, all of them, not most of them, all of them.</w:t>
      </w:r>
      <w:r>
        <w:t>’</w:t>
      </w:r>
      <w:r w:rsidRPr="00AE23EB">
        <w:t>”</w:t>
      </w:r>
      <w:r>
        <w:t>.</w:t>
      </w:r>
    </w:p>
  </w:footnote>
  <w:footnote w:id="128">
    <w:p w:rsidR="0053578D" w:rsidRPr="0058374F" w:rsidRDefault="0053578D">
      <w:pPr>
        <w:pStyle w:val="FootnoteText"/>
      </w:pPr>
      <w:r>
        <w:rPr>
          <w:rStyle w:val="FootnoteReference"/>
        </w:rPr>
        <w:footnoteRef/>
      </w:r>
      <w:r>
        <w:t xml:space="preserve"> </w:t>
      </w:r>
      <w:r>
        <w:rPr>
          <w:smallCaps/>
        </w:rPr>
        <w:t>TtEB</w:t>
      </w:r>
      <w:r>
        <w:t xml:space="preserve"> at chapter 5, p 102.  “[The Nuisance Abatement Program] offer the current property owner the opportunity take immediate action and remedy the situation.  If the owner fails to do so, the court will transfer title to the DLBA, who will then abate the nuisance (remove the property).  By using nuisance abatement, the blight removal process can be shortened by more than two years versus the current burdensome, cumbersome, and costly process of hearings and deferrals.”).</w:t>
      </w:r>
    </w:p>
  </w:footnote>
  <w:footnote w:id="129">
    <w:p w:rsidR="0053578D" w:rsidRPr="00FD67A7" w:rsidRDefault="0053578D" w:rsidP="0058374F">
      <w:pPr>
        <w:pStyle w:val="FootnoteText"/>
      </w:pPr>
      <w:r>
        <w:rPr>
          <w:rStyle w:val="FootnoteReference"/>
        </w:rPr>
        <w:footnoteRef/>
      </w:r>
      <w:r>
        <w:t xml:space="preserve"> </w:t>
      </w:r>
      <w:r>
        <w:rPr>
          <w:smallCaps/>
        </w:rPr>
        <w:t xml:space="preserve">TtEB </w:t>
      </w:r>
      <w:r>
        <w:t>at chapter 5, page 101.</w:t>
      </w:r>
    </w:p>
  </w:footnote>
  <w:footnote w:id="130">
    <w:p w:rsidR="0053578D" w:rsidRPr="00451A62" w:rsidRDefault="0053578D" w:rsidP="0058374F">
      <w:pPr>
        <w:pStyle w:val="FootnoteText"/>
        <w:rPr>
          <w:i/>
        </w:rPr>
      </w:pPr>
      <w:r>
        <w:rPr>
          <w:rStyle w:val="FootnoteReference"/>
        </w:rPr>
        <w:footnoteRef/>
      </w:r>
      <w:r>
        <w:t xml:space="preserve"> </w:t>
      </w:r>
      <w:r>
        <w:rPr>
          <w:i/>
        </w:rPr>
        <w:t>Id.</w:t>
      </w:r>
    </w:p>
  </w:footnote>
  <w:footnote w:id="131">
    <w:p w:rsidR="0053578D" w:rsidRPr="00451A62" w:rsidRDefault="0053578D" w:rsidP="0058374F">
      <w:pPr>
        <w:pStyle w:val="FootnoteText"/>
        <w:rPr>
          <w:i/>
        </w:rPr>
      </w:pPr>
      <w:r>
        <w:rPr>
          <w:rStyle w:val="FootnoteReference"/>
        </w:rPr>
        <w:footnoteRef/>
      </w:r>
      <w:r>
        <w:t xml:space="preserve"> </w:t>
      </w:r>
      <w:r>
        <w:rPr>
          <w:i/>
        </w:rPr>
        <w:t>Id.</w:t>
      </w:r>
    </w:p>
  </w:footnote>
  <w:footnote w:id="132">
    <w:p w:rsidR="0053578D" w:rsidRPr="0058374F" w:rsidRDefault="0053578D">
      <w:pPr>
        <w:pStyle w:val="FootnoteText"/>
      </w:pPr>
      <w:r>
        <w:rPr>
          <w:rStyle w:val="FootnoteReference"/>
        </w:rPr>
        <w:footnoteRef/>
      </w:r>
      <w:r>
        <w:t xml:space="preserve"> The nuisance abatement scheme is featured prominently in its own flow chart on p 104 of TtEB; also, see </w:t>
      </w:r>
      <w:r>
        <w:rPr>
          <w:i/>
        </w:rPr>
        <w:t>id.</w:t>
      </w:r>
      <w:r>
        <w:t xml:space="preserve"> at 107:  “When blighted properties fall outside the scope of the nuisance abatement program, the process is forced down a more onerous path utilizing city Ordinance 290-H, judgment liens, and the tax foreclosure process.”  </w:t>
      </w:r>
      <w:r>
        <w:rPr>
          <w:i/>
        </w:rPr>
        <w:t>See also</w:t>
      </w:r>
      <w:r>
        <w:t xml:space="preserve"> TtEB, chapter 10, pps 255-256, emphasizing how the Task Force’s proposal for the aggressive use of the nuisance abatement program coheres with Mayor Duggan’s vision of Detroit City.  The other mechanisms are not mentioned. </w:t>
      </w:r>
    </w:p>
  </w:footnote>
  <w:footnote w:id="133">
    <w:p w:rsidR="0053578D" w:rsidRPr="00121805" w:rsidRDefault="0053578D">
      <w:pPr>
        <w:pStyle w:val="FootnoteText"/>
        <w:rPr>
          <w:i/>
        </w:rPr>
      </w:pPr>
      <w:r>
        <w:rPr>
          <w:rStyle w:val="FootnoteReference"/>
        </w:rPr>
        <w:footnoteRef/>
      </w:r>
      <w:r>
        <w:t xml:space="preserve"> </w:t>
      </w:r>
      <w:r>
        <w:rPr>
          <w:i/>
        </w:rPr>
        <w:t>See</w:t>
      </w:r>
      <w:r>
        <w:t xml:space="preserve"> text accompanying 144-146, </w:t>
      </w:r>
      <w:r>
        <w:rPr>
          <w:i/>
        </w:rPr>
        <w:t>infra.</w:t>
      </w:r>
    </w:p>
  </w:footnote>
  <w:footnote w:id="134">
    <w:p w:rsidR="0053578D" w:rsidRPr="009D7438" w:rsidRDefault="0053578D" w:rsidP="004E388E">
      <w:pPr>
        <w:pStyle w:val="FootnoteText"/>
      </w:pPr>
      <w:r>
        <w:rPr>
          <w:rStyle w:val="FootnoteReference"/>
        </w:rPr>
        <w:footnoteRef/>
      </w:r>
      <w:r>
        <w:t xml:space="preserve"> </w:t>
      </w:r>
      <w:r>
        <w:rPr>
          <w:i/>
        </w:rPr>
        <w:t>See</w:t>
      </w:r>
      <w:r>
        <w:t xml:space="preserve"> notes 138-141, </w:t>
      </w:r>
      <w:r>
        <w:rPr>
          <w:i/>
        </w:rPr>
        <w:t xml:space="preserve">infra, </w:t>
      </w:r>
      <w:r>
        <w:t xml:space="preserve">showing the mechanism for quiet title and the definitions of nuisance, </w:t>
      </w:r>
    </w:p>
  </w:footnote>
  <w:footnote w:id="135">
    <w:p w:rsidR="0053578D" w:rsidRPr="00A74C84" w:rsidRDefault="0053578D" w:rsidP="004E388E">
      <w:pPr>
        <w:pStyle w:val="FootnoteText"/>
      </w:pPr>
      <w:r>
        <w:rPr>
          <w:rStyle w:val="FootnoteReference"/>
        </w:rPr>
        <w:footnoteRef/>
      </w:r>
      <w:r>
        <w:t xml:space="preserve"> Joy Management v. City of Detroit, </w:t>
      </w:r>
      <w:r w:rsidRPr="00091BC5">
        <w:t>1996 WL 33363013</w:t>
      </w:r>
      <w:r>
        <w:t xml:space="preserve"> (1996),  describing Detroit City Ordinance No. 556-H.  </w:t>
      </w:r>
      <w:r>
        <w:rPr>
          <w:i/>
        </w:rPr>
        <w:t>See also</w:t>
      </w:r>
      <w:r>
        <w:t xml:space="preserve"> </w:t>
      </w:r>
      <w:r w:rsidRPr="00D4582F">
        <w:t xml:space="preserve">Moore v. City of Detroit, 159 Mich. App. 199, </w:t>
      </w:r>
      <w:r>
        <w:t>202</w:t>
      </w:r>
      <w:r w:rsidRPr="00D4582F">
        <w:t xml:space="preserve"> (1987)</w:t>
      </w:r>
      <w:r>
        <w:t xml:space="preserve">, quoting from 556-H’s section on legislative findings, found in its section </w:t>
      </w:r>
      <w:r w:rsidRPr="00D4582F">
        <w:t>12-11-46.1</w:t>
      </w:r>
      <w:r>
        <w:t>(c):  “(</w:t>
      </w:r>
      <w:r w:rsidRPr="00D4582F">
        <w:t>Certain vacant dwellings have reached a stage of disrepair and deterioration which create a public nuisance or exert a downgrading or blighting influence on the surrounding neighborhood, resulting in discouraging neighbors from making improvements to properties and thus adversely affecting the tax revenue of the city.</w:t>
      </w:r>
      <w:r>
        <w:t xml:space="preserve">”).  Section 37-2-2 of the city code defines a nuisance as a dwelling that qualifies as dangerous under Ordinance chapter 12-11-28.2 of the 1964 City code. </w:t>
      </w:r>
      <w:r>
        <w:rPr>
          <w:i/>
        </w:rPr>
        <w:t xml:space="preserve">See </w:t>
      </w:r>
      <w:r>
        <w:t xml:space="preserve">Sec. 37-2-2-Definitions, </w:t>
      </w:r>
      <w:hyperlink r:id="rId26" w:history="1">
        <w:r w:rsidRPr="003854C0">
          <w:rPr>
            <w:rStyle w:val="Hyperlink"/>
          </w:rPr>
          <w:t>https://www.municode.com/library/mi/detroit/codes/code_of_ordinances?searchRequest=%7B%22searchText%22:%22nuisance%20abatement%22,%22pageNum%22:1,%22resultsPerPage%22:25,%22booleanSearch%22:false,%22stemming%22:true,%22fuzzy%22:false,%22synonym%22:false,%22contentTypes%22:%5B%22CODES%22%5D,%22productIds%22:%5B%5D%7D&amp;nodeId=DECO_CH37NU_ARTIIVABU_S37-2-2DE</w:t>
        </w:r>
      </w:hyperlink>
      <w:r>
        <w:t xml:space="preserve">.  </w:t>
      </w:r>
    </w:p>
  </w:footnote>
  <w:footnote w:id="136">
    <w:p w:rsidR="0053578D" w:rsidRDefault="0053578D">
      <w:pPr>
        <w:pStyle w:val="FootnoteText"/>
      </w:pPr>
      <w:r>
        <w:rPr>
          <w:rStyle w:val="FootnoteReference"/>
        </w:rPr>
        <w:footnoteRef/>
      </w:r>
      <w:r>
        <w:t xml:space="preserve"> </w:t>
      </w:r>
      <w:r w:rsidRPr="006C152E">
        <w:t xml:space="preserve">Moore v. City of Detroit, 159 Mich. App. 199, </w:t>
      </w:r>
      <w:r>
        <w:t>201</w:t>
      </w:r>
      <w:r w:rsidRPr="006C152E">
        <w:t xml:space="preserve"> (1987)</w:t>
      </w:r>
      <w:r>
        <w:t xml:space="preserve">, citing Ord. 556-H </w:t>
      </w:r>
      <w:r w:rsidRPr="006C152E">
        <w:t>12-11-46.1</w:t>
      </w:r>
      <w:r>
        <w:t xml:space="preserve"> (f).</w:t>
      </w:r>
    </w:p>
  </w:footnote>
  <w:footnote w:id="137">
    <w:p w:rsidR="0053578D" w:rsidRPr="002F58FC" w:rsidRDefault="0053578D" w:rsidP="004E388E">
      <w:pPr>
        <w:pStyle w:val="FootnoteText"/>
      </w:pPr>
      <w:r>
        <w:rPr>
          <w:rStyle w:val="FootnoteReference"/>
        </w:rPr>
        <w:footnoteRef/>
      </w:r>
      <w:r>
        <w:t xml:space="preserve"> </w:t>
      </w:r>
      <w:r w:rsidRPr="002F58FC">
        <w:t xml:space="preserve">Moore v. City of Detroit, </w:t>
      </w:r>
      <w:r>
        <w:t>159 Mich. App. 199, 203-206</w:t>
      </w:r>
      <w:r w:rsidRPr="002F58FC">
        <w:t xml:space="preserve"> (1987)</w:t>
      </w:r>
      <w:r>
        <w:t>.</w:t>
      </w:r>
    </w:p>
  </w:footnote>
  <w:footnote w:id="138">
    <w:p w:rsidR="0053578D" w:rsidRDefault="0053578D">
      <w:pPr>
        <w:pStyle w:val="FootnoteText"/>
      </w:pPr>
      <w:r>
        <w:rPr>
          <w:rStyle w:val="FootnoteReference"/>
        </w:rPr>
        <w:footnoteRef/>
      </w:r>
      <w:r>
        <w:t xml:space="preserve"> Detroit City Code Sec. 37-2-6.  </w:t>
      </w:r>
      <w:r w:rsidRPr="000F3BB9">
        <w:t>https://www.municode.com/library/mi/detroit/codes/code_of_ordinances?nodeId=DECO_CH37NU_ARTIIVABU_S37-2-6QUTI</w:t>
      </w:r>
      <w:r>
        <w:t>.</w:t>
      </w:r>
    </w:p>
  </w:footnote>
  <w:footnote w:id="139">
    <w:p w:rsidR="0053578D" w:rsidRPr="000F3BB9" w:rsidRDefault="0053578D" w:rsidP="004E388E">
      <w:pPr>
        <w:pStyle w:val="FootnoteText"/>
        <w:rPr>
          <w:i/>
        </w:rPr>
      </w:pPr>
      <w:r>
        <w:rPr>
          <w:rStyle w:val="FootnoteReference"/>
        </w:rPr>
        <w:footnoteRef/>
      </w:r>
      <w:r>
        <w:t xml:space="preserve"> </w:t>
      </w:r>
      <w:r>
        <w:rPr>
          <w:i/>
        </w:rPr>
        <w:t>See</w:t>
      </w:r>
      <w:r>
        <w:t xml:space="preserve"> Moore v. City of Detroit, 159 Mich. App. 199, 203-204 (1987) (“Ord. 556-H does not by itself transfer title of property to the city or to the nuisance abatement contractor.  Transfer of title must be achieved by the city through an action to quiet title. . . or through delinquent tax proceedings.”). Detroit City Ordinance 556-H</w:t>
      </w:r>
      <w:r w:rsidRPr="0070581E">
        <w:rPr>
          <w:rFonts w:ascii="Arial" w:hAnsi="Arial" w:cs="Arial"/>
          <w:color w:val="252525"/>
          <w:sz w:val="21"/>
          <w:szCs w:val="21"/>
        </w:rPr>
        <w:t xml:space="preserve"> </w:t>
      </w:r>
      <w:r>
        <w:t xml:space="preserve">§ 12-11-46.5(f) and (g) allows families to temporarily move into abandoned deteriorated homes and creates a statutory presumption </w:t>
      </w:r>
      <w:r w:rsidRPr="0070581E">
        <w:t>of intent to abandon which may then be asserted in an action to quiet title.</w:t>
      </w:r>
      <w:r>
        <w:t xml:space="preserve">  </w:t>
      </w:r>
      <w:r>
        <w:rPr>
          <w:i/>
        </w:rPr>
        <w:t>See id.</w:t>
      </w:r>
      <w:r>
        <w:t xml:space="preserve"> at 202 and n. 1.  Michigan’s quite title provision is </w:t>
      </w:r>
      <w:hyperlink r:id="rId27" w:history="1">
        <w:r w:rsidRPr="002F58FC">
          <w:rPr>
            <w:rStyle w:val="Hyperlink"/>
          </w:rPr>
          <w:t>M.C.L. § 600.2932</w:t>
        </w:r>
      </w:hyperlink>
      <w:r>
        <w:t xml:space="preserve">; M.S.A. § 27A.2932.  </w:t>
      </w:r>
      <w:r>
        <w:rPr>
          <w:i/>
        </w:rPr>
        <w:t>See also</w:t>
      </w:r>
      <w:r w:rsidR="00512023">
        <w:t xml:space="preserve"> </w:t>
      </w:r>
      <w:r>
        <w:t xml:space="preserve">note 137, </w:t>
      </w:r>
      <w:r>
        <w:rPr>
          <w:i/>
        </w:rPr>
        <w:t>supra.</w:t>
      </w:r>
    </w:p>
  </w:footnote>
  <w:footnote w:id="140">
    <w:p w:rsidR="0053578D" w:rsidRPr="007334F0" w:rsidRDefault="0053578D" w:rsidP="004E388E">
      <w:pPr>
        <w:pStyle w:val="FootnoteText"/>
      </w:pPr>
      <w:r>
        <w:rPr>
          <w:rStyle w:val="FootnoteReference"/>
        </w:rPr>
        <w:footnoteRef/>
      </w:r>
      <w:r>
        <w:t xml:space="preserve"> </w:t>
      </w:r>
      <w:r>
        <w:rPr>
          <w:i/>
        </w:rPr>
        <w:t xml:space="preserve">See </w:t>
      </w:r>
      <w:r>
        <w:t xml:space="preserve">Jessica DeWit, </w:t>
      </w:r>
      <w:r>
        <w:rPr>
          <w:smallCaps/>
        </w:rPr>
        <w:t>Revitalizing Blighted Communities with Land Banks</w:t>
      </w:r>
      <w:r>
        <w:t xml:space="preserve"> (undated), </w:t>
      </w:r>
      <w:r w:rsidRPr="007334F0">
        <w:t>http://www.umich.edu/~econdev/landbank/</w:t>
      </w:r>
      <w:r>
        <w:t>.</w:t>
      </w:r>
    </w:p>
  </w:footnote>
  <w:footnote w:id="141">
    <w:p w:rsidR="0053578D" w:rsidRDefault="0053578D" w:rsidP="004E388E">
      <w:pPr>
        <w:pStyle w:val="FootnoteText"/>
      </w:pPr>
      <w:r>
        <w:rPr>
          <w:rStyle w:val="FootnoteReference"/>
        </w:rPr>
        <w:footnoteRef/>
      </w:r>
      <w:r>
        <w:t xml:space="preserve"> MCL 124.759, </w:t>
      </w:r>
      <w:r w:rsidRPr="001C2FE8">
        <w:t>http://www.legislature.mi.gov/(S(xkgdls3h34ybho55j2nydx45))/documents/mcl/pdf/mcl-Act-258-of-2003.pdf?20150202165715</w:t>
      </w:r>
      <w:r>
        <w:t>.</w:t>
      </w:r>
    </w:p>
  </w:footnote>
  <w:footnote w:id="142">
    <w:p w:rsidR="0053578D" w:rsidRPr="0070581E" w:rsidRDefault="0053578D" w:rsidP="004E388E">
      <w:pPr>
        <w:pStyle w:val="FootnoteText"/>
      </w:pPr>
      <w:r>
        <w:rPr>
          <w:rStyle w:val="FootnoteReference"/>
        </w:rPr>
        <w:footnoteRef/>
      </w:r>
      <w:r>
        <w:t xml:space="preserve"> </w:t>
      </w:r>
      <w:r>
        <w:rPr>
          <w:i/>
        </w:rPr>
        <w:t>See</w:t>
      </w:r>
      <w:r>
        <w:t xml:space="preserve"> Matt Helms, </w:t>
      </w:r>
      <w:r>
        <w:rPr>
          <w:i/>
        </w:rPr>
        <w:t xml:space="preserve">Duggan:  Detroit seized 22 homes in Marygrove area, others set for auction, </w:t>
      </w:r>
      <w:r>
        <w:rPr>
          <w:smallCaps/>
        </w:rPr>
        <w:t xml:space="preserve">Detroit Free Press </w:t>
      </w:r>
      <w:r>
        <w:t xml:space="preserve">July 16, 2014, </w:t>
      </w:r>
      <w:hyperlink r:id="rId28" w:history="1">
        <w:r w:rsidRPr="000B1705">
          <w:rPr>
            <w:rStyle w:val="Hyperlink"/>
          </w:rPr>
          <w:t>http://archive.freep.com/article/20140716/NEWS01/307160151/Margrove-homes-nuisance</w:t>
        </w:r>
      </w:hyperlink>
      <w:r>
        <w:t xml:space="preserve">; </w:t>
      </w:r>
      <w:r>
        <w:rPr>
          <w:i/>
        </w:rPr>
        <w:t>see also</w:t>
      </w:r>
      <w:r>
        <w:t xml:space="preserve"> Andrew Dick, </w:t>
      </w:r>
      <w:r>
        <w:rPr>
          <w:i/>
        </w:rPr>
        <w:t>Blight Fight</w:t>
      </w:r>
      <w:r>
        <w:t xml:space="preserve">, </w:t>
      </w:r>
      <w:r>
        <w:rPr>
          <w:smallCaps/>
        </w:rPr>
        <w:t>Planning</w:t>
      </w:r>
      <w:r w:rsidR="00512023">
        <w:t xml:space="preserve"> 45 (June 2008) (“</w:t>
      </w:r>
      <w:r>
        <w:t>Under its new ordinance, the county has the power to file lawsuits against blighted properties and to threaten permanent seizure of those properties without compensation if they are not renovated.”)</w:t>
      </w:r>
    </w:p>
  </w:footnote>
  <w:footnote w:id="143">
    <w:p w:rsidR="0053578D" w:rsidRPr="0070581E" w:rsidRDefault="0053578D" w:rsidP="004E388E">
      <w:pPr>
        <w:pStyle w:val="FootnoteText"/>
        <w:rPr>
          <w:i/>
        </w:rPr>
      </w:pPr>
      <w:r>
        <w:rPr>
          <w:rStyle w:val="FootnoteReference"/>
        </w:rPr>
        <w:footnoteRef/>
      </w:r>
      <w:r>
        <w:t xml:space="preserve"> Andrew Dick, </w:t>
      </w:r>
      <w:r>
        <w:rPr>
          <w:i/>
        </w:rPr>
        <w:t>id.</w:t>
      </w:r>
    </w:p>
  </w:footnote>
  <w:footnote w:id="144">
    <w:p w:rsidR="0053578D" w:rsidRDefault="0053578D" w:rsidP="00DD2A4B">
      <w:pPr>
        <w:pStyle w:val="FootnoteText"/>
      </w:pPr>
      <w:r>
        <w:rPr>
          <w:rStyle w:val="FootnoteReference"/>
        </w:rPr>
        <w:footnoteRef/>
      </w:r>
      <w:r>
        <w:t xml:space="preserve"> Telephone conversation with Mr. Mike Brady, October 7, 2014, at 11:30 AM PST.</w:t>
      </w:r>
    </w:p>
  </w:footnote>
  <w:footnote w:id="145">
    <w:p w:rsidR="0053578D" w:rsidRDefault="0053578D" w:rsidP="00DD2A4B">
      <w:pPr>
        <w:pStyle w:val="FootnoteText"/>
      </w:pPr>
      <w:r>
        <w:rPr>
          <w:rStyle w:val="FootnoteReference"/>
        </w:rPr>
        <w:footnoteRef/>
      </w:r>
      <w:r>
        <w:t xml:space="preserve"> </w:t>
      </w:r>
      <w:r w:rsidRPr="004A1CCA">
        <w:rPr>
          <w:i/>
        </w:rPr>
        <w:t>Id</w:t>
      </w:r>
      <w:r w:rsidRPr="005F58BF">
        <w:t xml:space="preserve">.  In a </w:t>
      </w:r>
      <w:r>
        <w:t xml:space="preserve">DFC </w:t>
      </w:r>
      <w:r w:rsidRPr="005F58BF">
        <w:t xml:space="preserve">presentation, Mr. Brady </w:t>
      </w:r>
      <w:r>
        <w:t>said</w:t>
      </w:r>
      <w:r w:rsidRPr="005F58BF">
        <w:t xml:space="preserve"> the nuisance abatement program </w:t>
      </w:r>
      <w:r>
        <w:t xml:space="preserve">started by </w:t>
      </w:r>
      <w:r w:rsidRPr="005F58BF">
        <w:t xml:space="preserve">then-prosecutor (now Mayor) Mike Duggan in 1998-2000.  See Mike Brady, </w:t>
      </w:r>
      <w:r w:rsidRPr="004A1CCA">
        <w:rPr>
          <w:i/>
        </w:rPr>
        <w:t>Blight Bootcamp</w:t>
      </w:r>
      <w:r w:rsidRPr="005F58BF">
        <w:t xml:space="preserve"> 2014, posted July 23, 2014, http://www.youtube.com/watch?v=94i0CQ13lLY.</w:t>
      </w:r>
    </w:p>
  </w:footnote>
  <w:footnote w:id="146">
    <w:p w:rsidR="0053578D" w:rsidRDefault="0053578D" w:rsidP="00DD2A4B">
      <w:pPr>
        <w:pStyle w:val="FootnoteText"/>
      </w:pPr>
      <w:r>
        <w:rPr>
          <w:rStyle w:val="FootnoteReference"/>
        </w:rPr>
        <w:footnoteRef/>
      </w:r>
      <w:r>
        <w:t xml:space="preserve"> </w:t>
      </w:r>
      <w:r w:rsidRPr="004A1CCA">
        <w:rPr>
          <w:i/>
        </w:rPr>
        <w:t>Penn Central</w:t>
      </w:r>
      <w:r w:rsidRPr="00FE5979">
        <w:t xml:space="preserve"> at 136 (“</w:t>
      </w:r>
      <w:r>
        <w:t>[Whether]</w:t>
      </w:r>
      <w:r w:rsidRPr="00FE5979">
        <w:t xml:space="preserve"> the interference with appellants' proper</w:t>
      </w:r>
      <w:r>
        <w:t>ty is of such a magnitude that ‘</w:t>
      </w:r>
      <w:r w:rsidRPr="00FE5979">
        <w:t>there must be an exercise of eminent domain and</w:t>
      </w:r>
      <w:r>
        <w:t xml:space="preserve"> compensation to sustain [it].’  . . . [depends on]</w:t>
      </w:r>
      <w:r w:rsidRPr="00FE5979">
        <w:t xml:space="preserve"> the question of the severity of the impact of the law on appellants' parcel</w:t>
      </w:r>
      <w:r>
        <w:t>.</w:t>
      </w:r>
      <w:r w:rsidRPr="00FE5979">
        <w:t>”</w:t>
      </w:r>
      <w:r>
        <w:t>) (citation omitted).</w:t>
      </w:r>
    </w:p>
  </w:footnote>
  <w:footnote w:id="147">
    <w:p w:rsidR="0053578D" w:rsidRPr="00686594" w:rsidRDefault="0053578D" w:rsidP="00DD2A4B">
      <w:pPr>
        <w:pStyle w:val="FootnoteText"/>
      </w:pPr>
      <w:r>
        <w:rPr>
          <w:rStyle w:val="FootnoteReference"/>
        </w:rPr>
        <w:footnoteRef/>
      </w:r>
      <w:r>
        <w:t xml:space="preserve"> </w:t>
      </w:r>
      <w:r>
        <w:rPr>
          <w:i/>
        </w:rPr>
        <w:t>See</w:t>
      </w:r>
      <w:r>
        <w:t xml:space="preserve"> Michigan Land Bank Fast Track Act, </w:t>
      </w:r>
      <w:r w:rsidRPr="00A941C4">
        <w:rPr>
          <w:bCs/>
        </w:rPr>
        <w:t>124.754,</w:t>
      </w:r>
      <w:r>
        <w:rPr>
          <w:b/>
          <w:bCs/>
        </w:rPr>
        <w:t xml:space="preserve"> </w:t>
      </w:r>
      <w:r>
        <w:rPr>
          <w:bCs/>
        </w:rPr>
        <w:t>Sec. 4, (K)(8),</w:t>
      </w:r>
      <w:r w:rsidRPr="00686594">
        <w:t xml:space="preserve"> </w:t>
      </w:r>
      <w:hyperlink r:id="rId29" w:history="1">
        <w:r w:rsidRPr="00942C05">
          <w:rPr>
            <w:rStyle w:val="Hyperlink"/>
            <w:bCs/>
          </w:rPr>
          <w:t>http://www.legislature.mi.gov/(S(g1a1y255kbm1hm45apnzf4r0))/mileg.aspx?page=getObject&amp;objectName=mcl-124-754</w:t>
        </w:r>
      </w:hyperlink>
      <w:r>
        <w:rPr>
          <w:bCs/>
        </w:rPr>
        <w:t xml:space="preserve"> (“</w:t>
      </w:r>
      <w:r w:rsidRPr="00686594">
        <w:rPr>
          <w:bCs/>
        </w:rPr>
        <w:t>An authority shall not exercise the power of eminent domain or condemn property.</w:t>
      </w:r>
      <w:r>
        <w:rPr>
          <w:bCs/>
        </w:rPr>
        <w:t>”).</w:t>
      </w:r>
    </w:p>
  </w:footnote>
  <w:footnote w:id="148">
    <w:p w:rsidR="0053578D" w:rsidRDefault="0053578D" w:rsidP="00B31AC5">
      <w:pPr>
        <w:pStyle w:val="FootnoteText"/>
      </w:pPr>
      <w:r>
        <w:rPr>
          <w:rStyle w:val="FootnoteReference"/>
        </w:rPr>
        <w:footnoteRef/>
      </w:r>
      <w:r>
        <w:t xml:space="preserve"> </w:t>
      </w:r>
      <w:r w:rsidRPr="00DE49F6">
        <w:rPr>
          <w:i/>
        </w:rPr>
        <w:t xml:space="preserve">Keystone Bituminous </w:t>
      </w:r>
      <w:r w:rsidR="00512023">
        <w:t>ruled nuisance</w:t>
      </w:r>
      <w:r w:rsidRPr="00DE49F6">
        <w:t xml:space="preserve"> property could be “destroy[ed]”</w:t>
      </w:r>
      <w:r>
        <w:t xml:space="preserve">, see text accompanying note 70, </w:t>
      </w:r>
      <w:r w:rsidRPr="005F73DB">
        <w:rPr>
          <w:i/>
        </w:rPr>
        <w:t>supra</w:t>
      </w:r>
      <w:r>
        <w:t xml:space="preserve">, </w:t>
      </w:r>
      <w:r w:rsidR="00512023">
        <w:t xml:space="preserve">but </w:t>
      </w:r>
      <w:r w:rsidRPr="00DE49F6">
        <w:t xml:space="preserve">that case involved the destruction </w:t>
      </w:r>
      <w:r w:rsidR="00512023">
        <w:t xml:space="preserve">only </w:t>
      </w:r>
      <w:r w:rsidRPr="00DE49F6">
        <w:t>of the owners’ “interests in particular coal deposits</w:t>
      </w:r>
      <w:r w:rsidR="00512023">
        <w:t>.</w:t>
      </w:r>
      <w:r>
        <w:t xml:space="preserve">”  </w:t>
      </w:r>
      <w:r w:rsidRPr="00DE49F6">
        <w:rPr>
          <w:i/>
        </w:rPr>
        <w:t>Keystone Bituminous</w:t>
      </w:r>
      <w:r w:rsidRPr="00DE49F6">
        <w:t xml:space="preserve"> at 515 (Rehnquist, C.J., dissenting).</w:t>
      </w:r>
    </w:p>
  </w:footnote>
  <w:footnote w:id="149">
    <w:p w:rsidR="0053578D" w:rsidRPr="00B31AC5" w:rsidRDefault="0053578D">
      <w:pPr>
        <w:pStyle w:val="FootnoteText"/>
      </w:pPr>
      <w:r>
        <w:rPr>
          <w:rStyle w:val="FootnoteReference"/>
        </w:rPr>
        <w:footnoteRef/>
      </w:r>
      <w:r>
        <w:t xml:space="preserve"> </w:t>
      </w:r>
      <w:r>
        <w:rPr>
          <w:i/>
        </w:rPr>
        <w:t>Lucas</w:t>
      </w:r>
      <w:r w:rsidR="00512023">
        <w:t xml:space="preserve"> at 1009 (p</w:t>
      </w:r>
      <w:r>
        <w:t>etition</w:t>
      </w:r>
      <w:r w:rsidR="00512023">
        <w:t xml:space="preserve">er’s building plans </w:t>
      </w:r>
      <w:r>
        <w:t>put “to an abrupt end.”</w:t>
      </w:r>
    </w:p>
  </w:footnote>
  <w:footnote w:id="150">
    <w:p w:rsidR="0053578D" w:rsidRDefault="0053578D">
      <w:pPr>
        <w:pStyle w:val="FootnoteText"/>
      </w:pPr>
    </w:p>
  </w:footnote>
  <w:footnote w:id="151">
    <w:p w:rsidR="0053578D" w:rsidRPr="00F3525C" w:rsidRDefault="0053578D">
      <w:pPr>
        <w:pStyle w:val="FootnoteText"/>
        <w:rPr>
          <w:i/>
        </w:rPr>
      </w:pPr>
      <w:r>
        <w:rPr>
          <w:rStyle w:val="FootnoteReference"/>
        </w:rPr>
        <w:footnoteRef/>
      </w:r>
      <w:r>
        <w:t xml:space="preserve"> </w:t>
      </w:r>
      <w:r>
        <w:rPr>
          <w:i/>
        </w:rPr>
        <w:t>See</w:t>
      </w:r>
      <w:r>
        <w:t xml:space="preserve"> note 72, </w:t>
      </w:r>
      <w:r>
        <w:rPr>
          <w:i/>
        </w:rPr>
        <w:t>supra.</w:t>
      </w:r>
    </w:p>
  </w:footnote>
  <w:footnote w:id="152">
    <w:p w:rsidR="0053578D" w:rsidRPr="007F7E8E" w:rsidRDefault="0053578D">
      <w:pPr>
        <w:pStyle w:val="FootnoteText"/>
      </w:pPr>
      <w:r>
        <w:rPr>
          <w:rStyle w:val="FootnoteReference"/>
        </w:rPr>
        <w:footnoteRef/>
      </w:r>
      <w:r>
        <w:t xml:space="preserve"> </w:t>
      </w:r>
      <w:r w:rsidRPr="007F7E8E">
        <w:t>Mary B. Spector,</w:t>
      </w:r>
      <w:r>
        <w:rPr>
          <w:i/>
        </w:rPr>
        <w:t xml:space="preserve"> </w:t>
      </w:r>
      <w:r w:rsidRPr="007F7E8E">
        <w:rPr>
          <w:i/>
        </w:rPr>
        <w:t xml:space="preserve">Crossing the Threshold:  Examining the Abatement of Public Nuisances within the Home, </w:t>
      </w:r>
      <w:r w:rsidR="00451CC9" w:rsidRPr="00451CC9">
        <w:t>31 Conn. L. Rev. 547</w:t>
      </w:r>
      <w:r w:rsidR="00451CC9">
        <w:t>, 5</w:t>
      </w:r>
      <w:r>
        <w:t>65</w:t>
      </w:r>
      <w:r w:rsidR="00451CC9">
        <w:t xml:space="preserve"> (1999).</w:t>
      </w:r>
      <w:r>
        <w:t xml:space="preserve"> </w:t>
      </w:r>
    </w:p>
  </w:footnote>
  <w:footnote w:id="153">
    <w:p w:rsidR="0053578D" w:rsidRPr="007F7E8E" w:rsidRDefault="0053578D">
      <w:pPr>
        <w:pStyle w:val="FootnoteText"/>
      </w:pPr>
      <w:r>
        <w:rPr>
          <w:rStyle w:val="FootnoteReference"/>
        </w:rPr>
        <w:footnoteRef/>
      </w:r>
      <w:r>
        <w:rPr>
          <w:i/>
        </w:rPr>
        <w:t xml:space="preserve"> Id. </w:t>
      </w:r>
      <w:r>
        <w:t xml:space="preserve">at 563. </w:t>
      </w:r>
    </w:p>
  </w:footnote>
  <w:footnote w:id="154">
    <w:p w:rsidR="0053578D" w:rsidRPr="005F73DB" w:rsidRDefault="0053578D">
      <w:pPr>
        <w:pStyle w:val="FootnoteText"/>
        <w:rPr>
          <w:i/>
        </w:rPr>
      </w:pPr>
      <w:r>
        <w:rPr>
          <w:rStyle w:val="FootnoteReference"/>
        </w:rPr>
        <w:footnoteRef/>
      </w:r>
      <w:r>
        <w:t xml:space="preserve"> </w:t>
      </w:r>
      <w:r>
        <w:rPr>
          <w:i/>
        </w:rPr>
        <w:t>See</w:t>
      </w:r>
      <w:r>
        <w:t xml:space="preserve"> note 75, </w:t>
      </w:r>
      <w:r>
        <w:rPr>
          <w:i/>
        </w:rPr>
        <w:t>supra.</w:t>
      </w:r>
    </w:p>
  </w:footnote>
  <w:footnote w:id="155">
    <w:p w:rsidR="0053578D" w:rsidRPr="008F1B10" w:rsidRDefault="0053578D">
      <w:pPr>
        <w:pStyle w:val="FootnoteText"/>
      </w:pPr>
      <w:r>
        <w:rPr>
          <w:rStyle w:val="FootnoteReference"/>
        </w:rPr>
        <w:footnoteRef/>
      </w:r>
      <w:r>
        <w:t xml:space="preserve"> </w:t>
      </w:r>
      <w:r>
        <w:rPr>
          <w:i/>
        </w:rPr>
        <w:t>Id.</w:t>
      </w:r>
      <w:r>
        <w:t xml:space="preserve"> at 452.</w:t>
      </w:r>
    </w:p>
  </w:footnote>
  <w:footnote w:id="156">
    <w:p w:rsidR="0053578D" w:rsidRPr="009938B4" w:rsidRDefault="0053578D">
      <w:pPr>
        <w:pStyle w:val="FootnoteText"/>
      </w:pPr>
      <w:r>
        <w:rPr>
          <w:rStyle w:val="FootnoteReference"/>
        </w:rPr>
        <w:footnoteRef/>
      </w:r>
      <w:r>
        <w:t xml:space="preserve"> Ross v. Duggan, </w:t>
      </w:r>
      <w:r w:rsidRPr="009938B4">
        <w:t>402 F.3d 575</w:t>
      </w:r>
      <w:r>
        <w:t>, 580 (2006).</w:t>
      </w:r>
    </w:p>
  </w:footnote>
  <w:footnote w:id="157">
    <w:p w:rsidR="0053578D" w:rsidRPr="009938B4" w:rsidRDefault="0053578D">
      <w:pPr>
        <w:pStyle w:val="FootnoteText"/>
      </w:pPr>
      <w:r>
        <w:rPr>
          <w:rStyle w:val="FootnoteReference"/>
        </w:rPr>
        <w:footnoteRef/>
      </w:r>
      <w:r>
        <w:t xml:space="preserve"> </w:t>
      </w:r>
      <w:r>
        <w:rPr>
          <w:i/>
        </w:rPr>
        <w:t>Id.</w:t>
      </w:r>
      <w:r>
        <w:t xml:space="preserve"> at 581 (citing </w:t>
      </w:r>
      <w:hyperlink r:id="rId30" w:history="1">
        <w:r w:rsidRPr="009938B4">
          <w:rPr>
            <w:rStyle w:val="Hyperlink"/>
          </w:rPr>
          <w:t>Mich. Comp. Laws 600.3801</w:t>
        </w:r>
      </w:hyperlink>
      <w:r>
        <w:t>).</w:t>
      </w:r>
    </w:p>
  </w:footnote>
  <w:footnote w:id="158">
    <w:p w:rsidR="0053578D" w:rsidRPr="009938B4" w:rsidRDefault="0053578D">
      <w:pPr>
        <w:pStyle w:val="FootnoteText"/>
      </w:pPr>
      <w:r>
        <w:rPr>
          <w:rStyle w:val="FootnoteReference"/>
        </w:rPr>
        <w:footnoteRef/>
      </w:r>
      <w:r>
        <w:t xml:space="preserve"> </w:t>
      </w:r>
      <w:r>
        <w:rPr>
          <w:i/>
        </w:rPr>
        <w:t>Id.</w:t>
      </w:r>
      <w:r>
        <w:t xml:space="preserve"> at 582.</w:t>
      </w:r>
    </w:p>
  </w:footnote>
  <w:footnote w:id="159">
    <w:p w:rsidR="0053578D" w:rsidRPr="00021C52" w:rsidRDefault="0053578D">
      <w:pPr>
        <w:pStyle w:val="FootnoteText"/>
      </w:pPr>
      <w:r>
        <w:rPr>
          <w:rStyle w:val="FootnoteReference"/>
        </w:rPr>
        <w:footnoteRef/>
      </w:r>
      <w:r>
        <w:t xml:space="preserve"> Colorado courts affirmed </w:t>
      </w:r>
      <w:r w:rsidR="00451CC9">
        <w:t>home forfeitures</w:t>
      </w:r>
      <w:r>
        <w:t xml:space="preserve"> if used in a class 1 nuisance, </w:t>
      </w:r>
      <w:r>
        <w:rPr>
          <w:i/>
        </w:rPr>
        <w:t xml:space="preserve">see </w:t>
      </w:r>
      <w:r>
        <w:t xml:space="preserve">People v. Allen, </w:t>
      </w:r>
      <w:r w:rsidRPr="00021C52">
        <w:t>767 P.2d 798</w:t>
      </w:r>
      <w:r>
        <w:t xml:space="preserve"> (1988).</w:t>
      </w:r>
    </w:p>
  </w:footnote>
  <w:footnote w:id="160">
    <w:p w:rsidR="0053578D" w:rsidRDefault="0053578D">
      <w:pPr>
        <w:pStyle w:val="FootnoteText"/>
      </w:pPr>
      <w:r>
        <w:rPr>
          <w:rStyle w:val="FootnoteReference"/>
        </w:rPr>
        <w:footnoteRef/>
      </w:r>
      <w:r>
        <w:t xml:space="preserve"> </w:t>
      </w:r>
      <w:r w:rsidRPr="00BD57E2">
        <w:t>Colorado Abatement of Public Nuisance Statute</w:t>
      </w:r>
      <w:r>
        <w:t xml:space="preserve">, </w:t>
      </w:r>
      <w:hyperlink r:id="rId31" w:history="1">
        <w:r w:rsidRPr="00BD57E2">
          <w:rPr>
            <w:rStyle w:val="Hyperlink"/>
          </w:rPr>
          <w:t>Section 16–13–303(1)(i)</w:t>
        </w:r>
      </w:hyperlink>
      <w:r>
        <w:t>.</w:t>
      </w:r>
    </w:p>
  </w:footnote>
  <w:footnote w:id="161">
    <w:p w:rsidR="0053578D" w:rsidRDefault="0053578D">
      <w:pPr>
        <w:pStyle w:val="FootnoteText"/>
      </w:pPr>
      <w:r>
        <w:rPr>
          <w:rStyle w:val="FootnoteReference"/>
        </w:rPr>
        <w:footnoteRef/>
      </w:r>
      <w:r>
        <w:t xml:space="preserve"> People v. Milton, </w:t>
      </w:r>
      <w:r w:rsidRPr="00021C52">
        <w:t>732 P.2d 1199</w:t>
      </w:r>
      <w:r>
        <w:t>, 1204 (1987).</w:t>
      </w:r>
    </w:p>
  </w:footnote>
  <w:footnote w:id="162">
    <w:p w:rsidR="0053578D" w:rsidRDefault="0053578D">
      <w:pPr>
        <w:pStyle w:val="FootnoteText"/>
      </w:pPr>
      <w:r>
        <w:rPr>
          <w:rStyle w:val="FootnoteReference"/>
        </w:rPr>
        <w:footnoteRef/>
      </w:r>
      <w:r>
        <w:t xml:space="preserve"> </w:t>
      </w:r>
      <w:r w:rsidRPr="00703B16">
        <w:t>2</w:t>
      </w:r>
      <w:r>
        <w:t>60 U.S. 393, 415 (1922).</w:t>
      </w:r>
    </w:p>
  </w:footnote>
  <w:footnote w:id="163">
    <w:p w:rsidR="0053578D" w:rsidRPr="00ED17D0" w:rsidRDefault="0053578D">
      <w:pPr>
        <w:pStyle w:val="FootnoteText"/>
        <w:rPr>
          <w:i/>
        </w:rPr>
      </w:pPr>
      <w:r>
        <w:rPr>
          <w:rStyle w:val="FootnoteReference"/>
        </w:rPr>
        <w:footnoteRef/>
      </w:r>
      <w:r>
        <w:t xml:space="preserve"> </w:t>
      </w:r>
      <w:r>
        <w:rPr>
          <w:i/>
        </w:rPr>
        <w:t>Id.</w:t>
      </w:r>
    </w:p>
  </w:footnote>
  <w:footnote w:id="164">
    <w:p w:rsidR="0053578D" w:rsidRDefault="0053578D">
      <w:pPr>
        <w:pStyle w:val="FootnoteText"/>
      </w:pPr>
      <w:r>
        <w:rPr>
          <w:rStyle w:val="FootnoteReference"/>
        </w:rPr>
        <w:footnoteRef/>
      </w:r>
      <w:r>
        <w:t xml:space="preserve"> </w:t>
      </w:r>
      <w:r w:rsidRPr="005F73DB">
        <w:rPr>
          <w:i/>
        </w:rPr>
        <w:t>See</w:t>
      </w:r>
      <w:r>
        <w:t xml:space="preserve"> note 148, </w:t>
      </w:r>
      <w:r>
        <w:rPr>
          <w:i/>
        </w:rPr>
        <w:t>supra</w:t>
      </w:r>
      <w:r>
        <w:t xml:space="preserve"> (</w:t>
      </w:r>
      <w:r>
        <w:rPr>
          <w:i/>
        </w:rPr>
        <w:t xml:space="preserve">Keystone Bituminous </w:t>
      </w:r>
      <w:r>
        <w:t xml:space="preserve">allowed </w:t>
      </w:r>
      <w:r w:rsidR="00451CC9">
        <w:t>destruction of right to mine</w:t>
      </w:r>
      <w:r>
        <w:t xml:space="preserve"> certain coal seams). </w:t>
      </w:r>
    </w:p>
  </w:footnote>
  <w:footnote w:id="165">
    <w:p w:rsidR="0053578D" w:rsidRPr="00D604F3" w:rsidRDefault="0053578D">
      <w:pPr>
        <w:pStyle w:val="FootnoteText"/>
      </w:pPr>
      <w:r>
        <w:rPr>
          <w:rStyle w:val="FootnoteReference"/>
        </w:rPr>
        <w:footnoteRef/>
      </w:r>
      <w:r>
        <w:t xml:space="preserve"> The </w:t>
      </w:r>
      <w:r>
        <w:rPr>
          <w:smallCaps/>
        </w:rPr>
        <w:t>Detroit Free Press</w:t>
      </w:r>
      <w:r>
        <w:t xml:space="preserve"> reports that “negligent” property owners “forced” to fix houses or lose them.  </w:t>
      </w:r>
      <w:r>
        <w:rPr>
          <w:i/>
        </w:rPr>
        <w:t>See</w:t>
      </w:r>
      <w:r>
        <w:t xml:space="preserve"> Helms, supra note 142.</w:t>
      </w:r>
    </w:p>
  </w:footnote>
  <w:footnote w:id="166">
    <w:p w:rsidR="0053578D" w:rsidRPr="00B614BE" w:rsidRDefault="0053578D">
      <w:pPr>
        <w:pStyle w:val="FootnoteText"/>
        <w:rPr>
          <w:i/>
        </w:rPr>
      </w:pPr>
      <w:r>
        <w:rPr>
          <w:rStyle w:val="FootnoteReference"/>
        </w:rPr>
        <w:footnoteRef/>
      </w:r>
      <w:r>
        <w:t xml:space="preserve"> </w:t>
      </w:r>
      <w:r>
        <w:rPr>
          <w:i/>
        </w:rPr>
        <w:t>See</w:t>
      </w:r>
      <w:r>
        <w:t xml:space="preserve"> Pinho, note 101, </w:t>
      </w:r>
      <w:r>
        <w:rPr>
          <w:i/>
        </w:rPr>
        <w:t>supra.</w:t>
      </w:r>
    </w:p>
  </w:footnote>
  <w:footnote w:id="167">
    <w:p w:rsidR="0053578D" w:rsidRPr="009031F4" w:rsidRDefault="0053578D">
      <w:pPr>
        <w:pStyle w:val="FootnoteText"/>
      </w:pPr>
      <w:r>
        <w:rPr>
          <w:rStyle w:val="FootnoteReference"/>
        </w:rPr>
        <w:footnoteRef/>
      </w:r>
      <w:r>
        <w:t xml:space="preserve"> </w:t>
      </w:r>
      <w:r>
        <w:rPr>
          <w:i/>
        </w:rPr>
        <w:t xml:space="preserve">Cf. </w:t>
      </w:r>
      <w:r w:rsidRPr="00A84662">
        <w:t>David T. Kraut,</w:t>
      </w:r>
      <w:r w:rsidRPr="00A84662">
        <w:rPr>
          <w:i/>
        </w:rPr>
        <w:t xml:space="preserve"> Hanging out the No Vacancy Sign: Eliminating the Blight of Vacant Buildings from Urban Areas, </w:t>
      </w:r>
      <w:r w:rsidRPr="00A84662">
        <w:t xml:space="preserve">74 N.Y.U. L. Rev. 1139, </w:t>
      </w:r>
      <w:r>
        <w:t>1159</w:t>
      </w:r>
      <w:r w:rsidRPr="00A84662">
        <w:t xml:space="preserve"> (1999)</w:t>
      </w:r>
      <w:r>
        <w:t xml:space="preserve"> (possible due process problems with a Chicago fast track program that authorized the demolition – not seizure – of vacant buildings); </w:t>
      </w:r>
      <w:r>
        <w:rPr>
          <w:i/>
        </w:rPr>
        <w:t>see also cf. id.</w:t>
      </w:r>
      <w:r>
        <w:t>at 1156-9 (</w:t>
      </w:r>
      <w:r w:rsidR="00451CC9">
        <w:t>regarding</w:t>
      </w:r>
      <w:r>
        <w:t xml:space="preserve"> New York tax forfeiture program, owners given four months to pay back taxes after foreclosure).</w:t>
      </w:r>
    </w:p>
  </w:footnote>
  <w:footnote w:id="168">
    <w:p w:rsidR="0053578D" w:rsidRPr="008E7843" w:rsidRDefault="0053578D">
      <w:pPr>
        <w:pStyle w:val="FootnoteText"/>
        <w:rPr>
          <w:i/>
        </w:rPr>
      </w:pPr>
      <w:r>
        <w:rPr>
          <w:rStyle w:val="FootnoteReference"/>
        </w:rPr>
        <w:footnoteRef/>
      </w:r>
      <w:r>
        <w:t xml:space="preserve"> </w:t>
      </w:r>
      <w:r>
        <w:rPr>
          <w:i/>
        </w:rPr>
        <w:t>See</w:t>
      </w:r>
      <w:r>
        <w:t xml:space="preserve"> text after note 26, </w:t>
      </w:r>
      <w:r>
        <w:rPr>
          <w:i/>
        </w:rPr>
        <w:t>supra.</w:t>
      </w:r>
    </w:p>
  </w:footnote>
  <w:footnote w:id="169">
    <w:p w:rsidR="0053578D" w:rsidRDefault="0053578D">
      <w:pPr>
        <w:pStyle w:val="FootnoteText"/>
      </w:pPr>
      <w:r>
        <w:rPr>
          <w:rStyle w:val="FootnoteReference"/>
        </w:rPr>
        <w:footnoteRef/>
      </w:r>
      <w:r>
        <w:t xml:space="preserve"> </w:t>
      </w:r>
      <w:r w:rsidRPr="009A77F3">
        <w:t>111 Fed.Appx. 449</w:t>
      </w:r>
      <w:r>
        <w:t>, 451 (1994).</w:t>
      </w:r>
    </w:p>
  </w:footnote>
  <w:footnote w:id="170">
    <w:p w:rsidR="0053578D" w:rsidRPr="00934D20" w:rsidRDefault="0053578D">
      <w:pPr>
        <w:pStyle w:val="FootnoteText"/>
        <w:rPr>
          <w:i/>
        </w:rPr>
      </w:pPr>
      <w:r>
        <w:rPr>
          <w:rStyle w:val="FootnoteReference"/>
        </w:rPr>
        <w:footnoteRef/>
      </w:r>
      <w:r>
        <w:t xml:space="preserve"> </w:t>
      </w:r>
      <w:r>
        <w:rPr>
          <w:i/>
        </w:rPr>
        <w:t>Id.</w:t>
      </w:r>
    </w:p>
  </w:footnote>
  <w:footnote w:id="171">
    <w:p w:rsidR="0053578D" w:rsidRDefault="0053578D">
      <w:pPr>
        <w:pStyle w:val="FootnoteText"/>
      </w:pPr>
      <w:r>
        <w:rPr>
          <w:rStyle w:val="FootnoteReference"/>
        </w:rPr>
        <w:footnoteRef/>
      </w:r>
      <w:r>
        <w:t xml:space="preserve"> </w:t>
      </w:r>
      <w:r w:rsidRPr="006D71E3">
        <w:t>21 Cal.App.4th 1500</w:t>
      </w:r>
      <w:r>
        <w:t>, 1504 (1993).</w:t>
      </w:r>
    </w:p>
  </w:footnote>
  <w:footnote w:id="172">
    <w:p w:rsidR="0053578D" w:rsidRDefault="0053578D">
      <w:pPr>
        <w:pStyle w:val="FootnoteText"/>
      </w:pPr>
      <w:r>
        <w:rPr>
          <w:rStyle w:val="FootnoteReference"/>
        </w:rPr>
        <w:footnoteRef/>
      </w:r>
      <w:r>
        <w:t xml:space="preserve"> Massingill v. Department of Food &amp; Agriculture, 102 Cal. App. 4</w:t>
      </w:r>
      <w:r w:rsidRPr="006D71E3">
        <w:rPr>
          <w:vertAlign w:val="superscript"/>
        </w:rPr>
        <w:t>th</w:t>
      </w:r>
      <w:r>
        <w:t xml:space="preserve"> 498, 506 (2002).</w:t>
      </w:r>
    </w:p>
  </w:footnote>
  <w:footnote w:id="173">
    <w:p w:rsidR="0053578D" w:rsidRPr="009031F4" w:rsidRDefault="0053578D">
      <w:pPr>
        <w:pStyle w:val="FootnoteText"/>
      </w:pPr>
      <w:r>
        <w:rPr>
          <w:rStyle w:val="FootnoteReference"/>
        </w:rPr>
        <w:footnoteRef/>
      </w:r>
      <w:r>
        <w:t xml:space="preserve"> </w:t>
      </w:r>
      <w:r w:rsidRPr="006D71E3">
        <w:t>See, </w:t>
      </w:r>
      <w:r w:rsidRPr="006D71E3">
        <w:rPr>
          <w:i/>
          <w:iCs/>
        </w:rPr>
        <w:t>City of Minot v. Freelander,</w:t>
      </w:r>
      <w:r w:rsidRPr="006D71E3">
        <w:t> 426 N.W.2d 556 (N.D.1988)</w:t>
      </w:r>
      <w:r>
        <w:t xml:space="preserve">; </w:t>
      </w:r>
      <w:r w:rsidRPr="006D71E3">
        <w:t> </w:t>
      </w:r>
      <w:hyperlink r:id="rId32" w:history="1">
        <w:r w:rsidRPr="007B01AF">
          <w:rPr>
            <w:rStyle w:val="Hyperlink"/>
            <w:iCs/>
            <w:color w:val="auto"/>
            <w:u w:val="none"/>
          </w:rPr>
          <w:t>Powell v. City of Clearwater,</w:t>
        </w:r>
        <w:r w:rsidRPr="007B01AF">
          <w:rPr>
            <w:rStyle w:val="Hyperlink"/>
            <w:color w:val="auto"/>
            <w:u w:val="none"/>
          </w:rPr>
          <w:t> 389 N.W.2d 206 (Minn.App.1986)</w:t>
        </w:r>
      </w:hyperlink>
      <w:r w:rsidRPr="007B01AF">
        <w:t>;  </w:t>
      </w:r>
      <w:hyperlink r:id="rId33" w:history="1">
        <w:r w:rsidRPr="007B01AF">
          <w:rPr>
            <w:rStyle w:val="Hyperlink"/>
            <w:iCs/>
            <w:color w:val="auto"/>
            <w:u w:val="none"/>
          </w:rPr>
          <w:t>Starzenski v. City of Elkhart,</w:t>
        </w:r>
        <w:r w:rsidRPr="007B01AF">
          <w:rPr>
            <w:rStyle w:val="Hyperlink"/>
            <w:color w:val="auto"/>
            <w:u w:val="none"/>
          </w:rPr>
          <w:t>659 N.E.2d 1132 (Ind.App.1996)</w:t>
        </w:r>
      </w:hyperlink>
      <w:r w:rsidRPr="007B01AF">
        <w:t>.</w:t>
      </w:r>
      <w:r>
        <w:t xml:space="preserve">  </w:t>
      </w:r>
      <w:r w:rsidR="00451CC9">
        <w:t>Cases “</w:t>
      </w:r>
      <w:r>
        <w:t>important</w:t>
      </w:r>
      <w:r w:rsidR="00451CC9">
        <w:t>”</w:t>
      </w:r>
      <w:r>
        <w:t xml:space="preserve"> based on Nebraska Court of Appeals’ reliance in Blanchard v. City of Ralston, 4 Nev. App. 692, 701 (1996).  On this point, </w:t>
      </w:r>
      <w:r>
        <w:rPr>
          <w:i/>
        </w:rPr>
        <w:t>see also</w:t>
      </w:r>
      <w:r>
        <w:t xml:space="preserve"> David T Kraut, </w:t>
      </w:r>
      <w:r>
        <w:rPr>
          <w:i/>
        </w:rPr>
        <w:t>Hanging out the No Vacancy Sign: Eliminating the Blight of Vacant Buildings from Urban Areas</w:t>
      </w:r>
      <w:r>
        <w:t>, 74 N.Y.U. L. Rev. 113</w:t>
      </w:r>
      <w:r w:rsidR="00451CC9">
        <w:t xml:space="preserve">9, 1164 (1999) (suggesting </w:t>
      </w:r>
      <w:r>
        <w:t xml:space="preserve">vacant </w:t>
      </w:r>
      <w:r w:rsidR="00451CC9">
        <w:t xml:space="preserve">nuisance </w:t>
      </w:r>
      <w:r>
        <w:t xml:space="preserve">properties be seized by the state; </w:t>
      </w:r>
      <w:r w:rsidR="00451CC9">
        <w:t xml:space="preserve">observation that such </w:t>
      </w:r>
      <w:r>
        <w:t xml:space="preserve">seizure </w:t>
      </w:r>
      <w:r w:rsidR="00451CC9">
        <w:t>an exercise</w:t>
      </w:r>
      <w:r>
        <w:t xml:space="preserve"> of eminent domain).  </w:t>
      </w:r>
    </w:p>
  </w:footnote>
  <w:footnote w:id="174">
    <w:p w:rsidR="0053578D" w:rsidRPr="008E7843" w:rsidRDefault="0053578D" w:rsidP="008E7843">
      <w:pPr>
        <w:pStyle w:val="FootnoteText"/>
        <w:tabs>
          <w:tab w:val="left" w:pos="6652"/>
        </w:tabs>
        <w:rPr>
          <w:i/>
        </w:rPr>
      </w:pPr>
      <w:r>
        <w:rPr>
          <w:rStyle w:val="FootnoteReference"/>
        </w:rPr>
        <w:footnoteRef/>
      </w:r>
      <w:r>
        <w:t xml:space="preserve"> </w:t>
      </w:r>
      <w:r>
        <w:rPr>
          <w:i/>
        </w:rPr>
        <w:t>See</w:t>
      </w:r>
      <w:r>
        <w:t xml:space="preserve"> text accompanying note 155-161, </w:t>
      </w:r>
      <w:r>
        <w:rPr>
          <w:i/>
        </w:rPr>
        <w:t>supra.</w:t>
      </w:r>
    </w:p>
  </w:footnote>
  <w:footnote w:id="175">
    <w:p w:rsidR="0053578D" w:rsidRPr="008E7843" w:rsidRDefault="0053578D">
      <w:pPr>
        <w:pStyle w:val="FootnoteText"/>
        <w:rPr>
          <w:i/>
        </w:rPr>
      </w:pPr>
      <w:r>
        <w:rPr>
          <w:rStyle w:val="FootnoteReference"/>
        </w:rPr>
        <w:footnoteRef/>
      </w:r>
      <w:r>
        <w:t xml:space="preserve"> </w:t>
      </w:r>
      <w:r>
        <w:rPr>
          <w:i/>
        </w:rPr>
        <w:t>See</w:t>
      </w:r>
      <w:r>
        <w:t xml:space="preserve"> note 155, </w:t>
      </w:r>
      <w:r>
        <w:rPr>
          <w:i/>
        </w:rPr>
        <w:t>supra.</w:t>
      </w:r>
    </w:p>
  </w:footnote>
  <w:footnote w:id="176">
    <w:p w:rsidR="0053578D" w:rsidRPr="00821756" w:rsidRDefault="0053578D">
      <w:pPr>
        <w:pStyle w:val="FootnoteText"/>
        <w:rPr>
          <w:i/>
        </w:rPr>
      </w:pPr>
      <w:r>
        <w:rPr>
          <w:rStyle w:val="FootnoteReference"/>
        </w:rPr>
        <w:footnoteRef/>
      </w:r>
      <w:r>
        <w:t xml:space="preserve"> </w:t>
      </w:r>
      <w:r>
        <w:rPr>
          <w:i/>
        </w:rPr>
        <w:t>See</w:t>
      </w:r>
      <w:r>
        <w:t xml:space="preserve"> definition of </w:t>
      </w:r>
      <w:r w:rsidR="00451CC9">
        <w:t xml:space="preserve">nuisance </w:t>
      </w:r>
      <w:r>
        <w:t xml:space="preserve">houses that may be presumptively acquired under 556-H at note 135, </w:t>
      </w:r>
      <w:r>
        <w:rPr>
          <w:i/>
        </w:rPr>
        <w:t>supra.</w:t>
      </w:r>
    </w:p>
  </w:footnote>
  <w:footnote w:id="177">
    <w:p w:rsidR="0053578D" w:rsidRPr="008E7843" w:rsidRDefault="0053578D">
      <w:pPr>
        <w:pStyle w:val="FootnoteText"/>
        <w:rPr>
          <w:i/>
        </w:rPr>
      </w:pPr>
      <w:r>
        <w:rPr>
          <w:rStyle w:val="FootnoteReference"/>
        </w:rPr>
        <w:footnoteRef/>
      </w:r>
      <w:r>
        <w:t xml:space="preserve"> </w:t>
      </w:r>
      <w:r>
        <w:rPr>
          <w:i/>
        </w:rPr>
        <w:t>See</w:t>
      </w:r>
      <w:r>
        <w:t xml:space="preserve"> text accompanying notes 155-160, </w:t>
      </w:r>
      <w:r>
        <w:rPr>
          <w:i/>
        </w:rPr>
        <w:t>supra.</w:t>
      </w:r>
    </w:p>
  </w:footnote>
  <w:footnote w:id="178">
    <w:p w:rsidR="0053578D" w:rsidRPr="007B4E8A" w:rsidRDefault="0053578D">
      <w:pPr>
        <w:pStyle w:val="FootnoteText"/>
      </w:pPr>
      <w:r>
        <w:rPr>
          <w:rStyle w:val="FootnoteReference"/>
        </w:rPr>
        <w:footnoteRef/>
      </w:r>
      <w:r>
        <w:t xml:space="preserve"> </w:t>
      </w:r>
      <w:r>
        <w:rPr>
          <w:i/>
        </w:rPr>
        <w:t>See</w:t>
      </w:r>
      <w:r>
        <w:t xml:space="preserve"> </w:t>
      </w:r>
      <w:r>
        <w:rPr>
          <w:i/>
        </w:rPr>
        <w:t>Peering</w:t>
      </w:r>
      <w:r>
        <w:t xml:space="preserve"> at 89.</w:t>
      </w:r>
    </w:p>
  </w:footnote>
  <w:footnote w:id="179">
    <w:p w:rsidR="0053578D" w:rsidRDefault="0053578D" w:rsidP="007B4E8A">
      <w:pPr>
        <w:pStyle w:val="FootnoteText"/>
        <w:tabs>
          <w:tab w:val="left" w:pos="540"/>
        </w:tabs>
      </w:pPr>
      <w:r>
        <w:rPr>
          <w:rStyle w:val="FootnoteReference"/>
        </w:rPr>
        <w:footnoteRef/>
      </w:r>
      <w:r>
        <w:t xml:space="preserve"> </w:t>
      </w:r>
      <w:r w:rsidRPr="007B4E8A">
        <w:rPr>
          <w:i/>
        </w:rPr>
        <w:t>Mahon</w:t>
      </w:r>
      <w:r>
        <w:t>, supra note 163.</w:t>
      </w:r>
    </w:p>
  </w:footnote>
  <w:footnote w:id="180">
    <w:p w:rsidR="0053578D" w:rsidRDefault="0053578D">
      <w:pPr>
        <w:pStyle w:val="FootnoteText"/>
      </w:pPr>
      <w:r>
        <w:rPr>
          <w:rStyle w:val="FootnoteReference"/>
        </w:rPr>
        <w:footnoteRef/>
      </w:r>
      <w:r>
        <w:t xml:space="preserve"> </w:t>
      </w:r>
      <w:r w:rsidRPr="007B4E8A">
        <w:rPr>
          <w:i/>
        </w:rPr>
        <w:t>See</w:t>
      </w:r>
      <w:r>
        <w:t xml:space="preserve"> text accompanying note 240, </w:t>
      </w:r>
      <w:r w:rsidRPr="007B4E8A">
        <w:rPr>
          <w:i/>
        </w:rPr>
        <w:t>infra</w:t>
      </w:r>
    </w:p>
  </w:footnote>
  <w:footnote w:id="181">
    <w:p w:rsidR="0053578D" w:rsidRPr="00F4349E" w:rsidRDefault="0053578D">
      <w:pPr>
        <w:pStyle w:val="FootnoteText"/>
        <w:rPr>
          <w:i/>
        </w:rPr>
      </w:pPr>
      <w:r>
        <w:rPr>
          <w:rStyle w:val="FootnoteReference"/>
        </w:rPr>
        <w:footnoteRef/>
      </w:r>
      <w:r>
        <w:t xml:space="preserve"> </w:t>
      </w:r>
      <w:r>
        <w:rPr>
          <w:i/>
        </w:rPr>
        <w:t xml:space="preserve">See </w:t>
      </w:r>
      <w:r>
        <w:t xml:space="preserve">note 99, </w:t>
      </w:r>
      <w:r>
        <w:rPr>
          <w:i/>
        </w:rPr>
        <w:t>supra.</w:t>
      </w:r>
    </w:p>
  </w:footnote>
  <w:footnote w:id="182">
    <w:p w:rsidR="0053578D" w:rsidRDefault="0053578D">
      <w:pPr>
        <w:pStyle w:val="FootnoteText"/>
      </w:pPr>
      <w:r>
        <w:rPr>
          <w:rStyle w:val="FootnoteReference"/>
        </w:rPr>
        <w:footnoteRef/>
      </w:r>
      <w:r>
        <w:t xml:space="preserve"> </w:t>
      </w:r>
      <w:r w:rsidRPr="00494A72">
        <w:t xml:space="preserve">277 N.Y. 333 (1936)).  </w:t>
      </w:r>
    </w:p>
  </w:footnote>
  <w:footnote w:id="183">
    <w:p w:rsidR="0053578D" w:rsidRDefault="0053578D">
      <w:pPr>
        <w:pStyle w:val="FootnoteText"/>
      </w:pPr>
      <w:r>
        <w:rPr>
          <w:rStyle w:val="FootnoteReference"/>
        </w:rPr>
        <w:footnoteRef/>
      </w:r>
      <w:r>
        <w:t xml:space="preserve"> </w:t>
      </w:r>
      <w:r w:rsidRPr="00A442E8">
        <w:rPr>
          <w:i/>
        </w:rPr>
        <w:t>Peering</w:t>
      </w:r>
      <w:r>
        <w:t xml:space="preserve"> at 22.</w:t>
      </w:r>
    </w:p>
  </w:footnote>
  <w:footnote w:id="184">
    <w:p w:rsidR="0053578D" w:rsidRDefault="0053578D">
      <w:pPr>
        <w:pStyle w:val="FootnoteText"/>
      </w:pPr>
      <w:r>
        <w:rPr>
          <w:rStyle w:val="FootnoteReference"/>
        </w:rPr>
        <w:footnoteRef/>
      </w:r>
      <w:r>
        <w:t xml:space="preserve"> </w:t>
      </w:r>
      <w:r w:rsidRPr="008E1C81">
        <w:rPr>
          <w:i/>
        </w:rPr>
        <w:t>See, e.g.,</w:t>
      </w:r>
      <w:r w:rsidRPr="008E1C81">
        <w:t xml:space="preserve"> Will Lovell, </w:t>
      </w:r>
      <w:r w:rsidRPr="008E1C81">
        <w:rPr>
          <w:i/>
        </w:rPr>
        <w:t>The</w:t>
      </w:r>
      <w:r w:rsidR="00451CC9">
        <w:rPr>
          <w:i/>
        </w:rPr>
        <w:t xml:space="preserve"> Kelo Blowback:  How the Newly-E</w:t>
      </w:r>
      <w:r w:rsidRPr="008E1C81">
        <w:rPr>
          <w:i/>
        </w:rPr>
        <w:t xml:space="preserve">nacted Eminent Domain Statutes and Past Blight Statutes are a Maginot Line-Defense Mechanism for all Non-Affluent and Minority Property Owners, </w:t>
      </w:r>
      <w:r w:rsidRPr="008E1C81">
        <w:t>68 Ohio St. L. J. 609, 629 (2007)</w:t>
      </w:r>
      <w:r w:rsidRPr="008E1C81">
        <w:rPr>
          <w:i/>
        </w:rPr>
        <w:t xml:space="preserve"> </w:t>
      </w:r>
      <w:r w:rsidRPr="008E1C81">
        <w:t xml:space="preserve">(describing </w:t>
      </w:r>
      <w:r w:rsidRPr="008E1C81">
        <w:rPr>
          <w:i/>
        </w:rPr>
        <w:t>Berman</w:t>
      </w:r>
      <w:r>
        <w:t xml:space="preserve"> as “N</w:t>
      </w:r>
      <w:r w:rsidRPr="008E1C81">
        <w:t>egro removal.”).</w:t>
      </w:r>
    </w:p>
  </w:footnote>
  <w:footnote w:id="185">
    <w:p w:rsidR="0053578D" w:rsidRDefault="0053578D">
      <w:pPr>
        <w:pStyle w:val="FootnoteText"/>
      </w:pPr>
      <w:r>
        <w:rPr>
          <w:rStyle w:val="FootnoteReference"/>
        </w:rPr>
        <w:footnoteRef/>
      </w:r>
      <w:r>
        <w:t xml:space="preserve"> </w:t>
      </w:r>
      <w:r>
        <w:rPr>
          <w:i/>
        </w:rPr>
        <w:t>Berman</w:t>
      </w:r>
      <w:r>
        <w:t xml:space="preserve"> at 30. </w:t>
      </w:r>
    </w:p>
  </w:footnote>
  <w:footnote w:id="186">
    <w:p w:rsidR="0053578D" w:rsidRDefault="0053578D" w:rsidP="008E1C81">
      <w:pPr>
        <w:pStyle w:val="FootnoteText"/>
      </w:pPr>
      <w:r>
        <w:rPr>
          <w:rStyle w:val="FootnoteReference"/>
        </w:rPr>
        <w:footnoteRef/>
      </w:r>
      <w:r>
        <w:t xml:space="preserve"> </w:t>
      </w:r>
      <w:r w:rsidRPr="00A442E8">
        <w:rPr>
          <w:i/>
        </w:rPr>
        <w:t>Peering</w:t>
      </w:r>
      <w:r>
        <w:t xml:space="preserve"> at 24, citing State v. Miami Redevelopment Agency, </w:t>
      </w:r>
      <w:r w:rsidRPr="008E1C81">
        <w:t>392 So. 2d 875 (1981).</w:t>
      </w:r>
    </w:p>
  </w:footnote>
  <w:footnote w:id="187">
    <w:p w:rsidR="0053578D" w:rsidRPr="008E1C81" w:rsidRDefault="0053578D">
      <w:pPr>
        <w:pStyle w:val="FootnoteText"/>
      </w:pPr>
      <w:r>
        <w:rPr>
          <w:rStyle w:val="FootnoteReference"/>
        </w:rPr>
        <w:footnoteRef/>
      </w:r>
      <w:r>
        <w:t xml:space="preserve"> </w:t>
      </w:r>
      <w:r>
        <w:rPr>
          <w:i/>
        </w:rPr>
        <w:t xml:space="preserve">Id., </w:t>
      </w:r>
      <w:r>
        <w:t xml:space="preserve">citing </w:t>
      </w:r>
      <w:r w:rsidRPr="00646367">
        <w:t>Post v. Dade County</w:t>
      </w:r>
      <w:r>
        <w:rPr>
          <w:i/>
        </w:rPr>
        <w:t>,</w:t>
      </w:r>
      <w:r>
        <w:t xml:space="preserve"> </w:t>
      </w:r>
      <w:r w:rsidRPr="008E1C81">
        <w:t>467 S. 2d 758 (1985).</w:t>
      </w:r>
    </w:p>
  </w:footnote>
  <w:footnote w:id="188">
    <w:p w:rsidR="0053578D" w:rsidRDefault="0053578D">
      <w:pPr>
        <w:pStyle w:val="FootnoteText"/>
      </w:pPr>
      <w:r>
        <w:rPr>
          <w:rStyle w:val="FootnoteReference"/>
        </w:rPr>
        <w:footnoteRef/>
      </w:r>
      <w:r>
        <w:t xml:space="preserve"> Peering at V(c)(i).</w:t>
      </w:r>
    </w:p>
  </w:footnote>
  <w:footnote w:id="189">
    <w:p w:rsidR="0053578D" w:rsidRPr="00CB5A47" w:rsidRDefault="0053578D" w:rsidP="002B36A7">
      <w:pPr>
        <w:pStyle w:val="FootnoteText"/>
        <w:rPr>
          <w:i/>
        </w:rPr>
      </w:pPr>
      <w:r>
        <w:rPr>
          <w:rStyle w:val="FootnoteReference"/>
        </w:rPr>
        <w:footnoteRef/>
      </w:r>
      <w:r>
        <w:t xml:space="preserve"> </w:t>
      </w:r>
      <w:r>
        <w:rPr>
          <w:i/>
        </w:rPr>
        <w:t>Id.</w:t>
      </w:r>
    </w:p>
  </w:footnote>
  <w:footnote w:id="190">
    <w:p w:rsidR="0053578D" w:rsidRPr="00CB5A47" w:rsidRDefault="0053578D" w:rsidP="002B36A7">
      <w:pPr>
        <w:pStyle w:val="FootnoteText"/>
      </w:pPr>
      <w:r>
        <w:rPr>
          <w:rStyle w:val="FootnoteReference"/>
        </w:rPr>
        <w:footnoteRef/>
      </w:r>
      <w:r>
        <w:t xml:space="preserve"> </w:t>
      </w:r>
      <w:r>
        <w:rPr>
          <w:i/>
        </w:rPr>
        <w:t>See Peering</w:t>
      </w:r>
      <w:r>
        <w:t xml:space="preserve"> at 89, citing the work of Kaitlyn Piper, Matthew J. Kokot, James W. Ely, Jr., Michael Rikon, Martin Gold &amp; Lyn B. Sagalyn, David Dana, Michael Heller and Rick Hills, and Robert C. Bird.</w:t>
      </w:r>
    </w:p>
  </w:footnote>
  <w:footnote w:id="191">
    <w:p w:rsidR="0053578D" w:rsidRPr="00CB5A47" w:rsidRDefault="0053578D" w:rsidP="002B36A7">
      <w:pPr>
        <w:pStyle w:val="FootnoteText"/>
      </w:pPr>
      <w:r>
        <w:rPr>
          <w:rStyle w:val="FootnoteReference"/>
        </w:rPr>
        <w:footnoteRef/>
      </w:r>
      <w:r>
        <w:t xml:space="preserve"> </w:t>
      </w:r>
      <w:r>
        <w:rPr>
          <w:i/>
        </w:rPr>
        <w:t xml:space="preserve">Id., </w:t>
      </w:r>
      <w:r>
        <w:t>citing Audrey G. McFarlane, Ronald K. Chen, and Michele Alexandre.</w:t>
      </w:r>
    </w:p>
  </w:footnote>
  <w:footnote w:id="192">
    <w:p w:rsidR="0053578D" w:rsidRPr="00CB5A47" w:rsidRDefault="0053578D" w:rsidP="002B36A7">
      <w:pPr>
        <w:pStyle w:val="FootnoteText"/>
      </w:pPr>
      <w:r>
        <w:rPr>
          <w:rStyle w:val="FootnoteReference"/>
        </w:rPr>
        <w:footnoteRef/>
      </w:r>
      <w:r>
        <w:t xml:space="preserve"> </w:t>
      </w:r>
      <w:r>
        <w:rPr>
          <w:i/>
        </w:rPr>
        <w:t>Id.</w:t>
      </w:r>
      <w:r>
        <w:t>, citing Amanda Goodin and Ilya Somin.</w:t>
      </w:r>
    </w:p>
  </w:footnote>
  <w:footnote w:id="193">
    <w:p w:rsidR="0053578D" w:rsidRPr="004977D6" w:rsidRDefault="0053578D">
      <w:pPr>
        <w:pStyle w:val="FootnoteText"/>
      </w:pPr>
      <w:r>
        <w:rPr>
          <w:rStyle w:val="FootnoteReference"/>
        </w:rPr>
        <w:footnoteRef/>
      </w:r>
      <w:r>
        <w:t xml:space="preserve"> </w:t>
      </w:r>
      <w:r>
        <w:rPr>
          <w:i/>
        </w:rPr>
        <w:t>See</w:t>
      </w:r>
      <w:r>
        <w:t xml:space="preserve"> Corey Williams, </w:t>
      </w:r>
      <w:r>
        <w:rPr>
          <w:i/>
        </w:rPr>
        <w:t xml:space="preserve">Squatters in ‘Abandonminiums’ Slow Detroit’s Plan to Bulldoze Way to Prosperity, </w:t>
      </w:r>
      <w:r w:rsidRPr="004977D6">
        <w:t xml:space="preserve">CBS Detroit, Jan. 29, 2015, </w:t>
      </w:r>
      <w:hyperlink r:id="rId34" w:history="1">
        <w:r w:rsidRPr="003854C0">
          <w:rPr>
            <w:rStyle w:val="Hyperlink"/>
          </w:rPr>
          <w:t>http://detroit.cbslocal.com/2015/01/29/squatters-in-abandonminiums-slow-detroits-plan-to-bulldoze-way-to-prosperity/</w:t>
        </w:r>
      </w:hyperlink>
      <w:r w:rsidR="00FD5B5A">
        <w:t xml:space="preserve"> (</w:t>
      </w:r>
      <w:r>
        <w:t>DLB</w:t>
      </w:r>
      <w:r w:rsidR="00FD5B5A">
        <w:t>A causing</w:t>
      </w:r>
      <w:r>
        <w:t xml:space="preserve"> demolitions).</w:t>
      </w:r>
    </w:p>
  </w:footnote>
  <w:footnote w:id="194">
    <w:p w:rsidR="0053578D" w:rsidRPr="00DE0F36" w:rsidRDefault="0053578D">
      <w:pPr>
        <w:pStyle w:val="FootnoteText"/>
        <w:rPr>
          <w:i/>
        </w:rPr>
      </w:pPr>
      <w:r>
        <w:rPr>
          <w:rStyle w:val="FootnoteReference"/>
        </w:rPr>
        <w:footnoteRef/>
      </w:r>
      <w:r>
        <w:t xml:space="preserve"> </w:t>
      </w:r>
      <w:r>
        <w:rPr>
          <w:i/>
        </w:rPr>
        <w:t>See</w:t>
      </w:r>
      <w:r>
        <w:t xml:space="preserve"> text accompanying note 36, </w:t>
      </w:r>
      <w:r>
        <w:rPr>
          <w:i/>
        </w:rPr>
        <w:t>supra.</w:t>
      </w:r>
    </w:p>
  </w:footnote>
  <w:footnote w:id="195">
    <w:p w:rsidR="0053578D" w:rsidRPr="004E7484" w:rsidRDefault="0053578D" w:rsidP="004816E3">
      <w:pPr>
        <w:pStyle w:val="FootnoteText"/>
      </w:pPr>
      <w:r>
        <w:rPr>
          <w:rStyle w:val="FootnoteReference"/>
        </w:rPr>
        <w:footnoteRef/>
      </w:r>
      <w:r>
        <w:t xml:space="preserve"> </w:t>
      </w:r>
      <w:r w:rsidRPr="00173944">
        <w:rPr>
          <w:i/>
        </w:rPr>
        <w:t>See</w:t>
      </w:r>
      <w:r>
        <w:t xml:space="preserve"> </w:t>
      </w:r>
      <w:r w:rsidRPr="00A442E8">
        <w:t xml:space="preserve">Chloe Taft, </w:t>
      </w:r>
      <w:r w:rsidRPr="00A442E8">
        <w:rPr>
          <w:i/>
        </w:rPr>
        <w:t xml:space="preserve">Detroit’s New Task Force Report is “Blight” on Cue, HuffingtonPost </w:t>
      </w:r>
      <w:r w:rsidRPr="00A442E8">
        <w:t xml:space="preserve">, </w:t>
      </w:r>
      <w:r w:rsidRPr="00A442E8">
        <w:rPr>
          <w:i/>
        </w:rPr>
        <w:t xml:space="preserve">May 29, 2014, </w:t>
      </w:r>
      <w:hyperlink r:id="rId35" w:history="1">
        <w:r w:rsidRPr="00A442E8">
          <w:rPr>
            <w:rStyle w:val="Hyperlink"/>
            <w:i/>
          </w:rPr>
          <w:t>http://www.huffingtonpost.com/chloe-taft/detroits-new-task-force-r_b_5411942.html</w:t>
        </w:r>
      </w:hyperlink>
      <w:r w:rsidRPr="00A442E8">
        <w:rPr>
          <w:i/>
        </w:rPr>
        <w:t xml:space="preserve"> </w:t>
      </w:r>
      <w:r w:rsidR="00FD5B5A">
        <w:t>(</w:t>
      </w:r>
      <w:r w:rsidRPr="00A442E8">
        <w:t xml:space="preserve">Gilbert’s “cancer” language sounds like </w:t>
      </w:r>
      <w:r>
        <w:t>a “half century ago.”)(Local She</w:t>
      </w:r>
      <w:r w:rsidR="00FD5B5A">
        <w:t>af Howell says</w:t>
      </w:r>
      <w:r>
        <w:t xml:space="preserve"> blight removal a </w:t>
      </w:r>
      <w:r w:rsidR="00FD5B5A">
        <w:t>White land grab</w:t>
      </w:r>
      <w:r>
        <w:t xml:space="preserve">); </w:t>
      </w:r>
      <w:r>
        <w:rPr>
          <w:i/>
        </w:rPr>
        <w:t>see also</w:t>
      </w:r>
      <w:r>
        <w:t xml:space="preserve"> John Eligon, </w:t>
      </w:r>
      <w:r>
        <w:rPr>
          <w:i/>
        </w:rPr>
        <w:t>Good Intentions of Detroit Residents are Tested by Blight</w:t>
      </w:r>
      <w:r>
        <w:t xml:space="preserve">, N.Y.T. Dec. 12, 2014, </w:t>
      </w:r>
      <w:r w:rsidRPr="004E7484">
        <w:t xml:space="preserve">http://www.nytimes.com/2014/12/13/us/good-intentions-of-detroit-residents-are-tested-by-blight.html </w:t>
      </w:r>
      <w:r>
        <w:t>(“’</w:t>
      </w:r>
      <w:r w:rsidRPr="004E7484">
        <w:t>I think it’s to make the city look better, not for the citizens, but for the people that they’re expecting to come in,</w:t>
      </w:r>
      <w:r>
        <w:t>’</w:t>
      </w:r>
      <w:r w:rsidRPr="004E7484">
        <w:t xml:space="preserve">” Ms. </w:t>
      </w:r>
      <w:r>
        <w:t xml:space="preserve">Michelle </w:t>
      </w:r>
      <w:r w:rsidRPr="004E7484">
        <w:t>Van-Tardy said, referring to white people.</w:t>
      </w:r>
      <w:r>
        <w:t>”).</w:t>
      </w:r>
    </w:p>
  </w:footnote>
  <w:footnote w:id="196">
    <w:p w:rsidR="0053578D" w:rsidRPr="004E7484" w:rsidRDefault="0053578D">
      <w:pPr>
        <w:pStyle w:val="FootnoteText"/>
      </w:pPr>
      <w:r>
        <w:rPr>
          <w:rStyle w:val="FootnoteReference"/>
        </w:rPr>
        <w:footnoteRef/>
      </w:r>
      <w:r>
        <w:t xml:space="preserve"> </w:t>
      </w:r>
      <w:r>
        <w:rPr>
          <w:i/>
        </w:rPr>
        <w:t>Seeing, not Peering, in Detroit</w:t>
      </w:r>
      <w:r>
        <w:t xml:space="preserve">, talk delivered at Wayne County Community College on September 27, 2014.  </w:t>
      </w:r>
    </w:p>
  </w:footnote>
  <w:footnote w:id="197">
    <w:p w:rsidR="0053578D" w:rsidRPr="004E7484" w:rsidRDefault="0053578D">
      <w:pPr>
        <w:pStyle w:val="FootnoteText"/>
      </w:pPr>
      <w:r>
        <w:rPr>
          <w:rStyle w:val="FootnoteReference"/>
        </w:rPr>
        <w:footnoteRef/>
      </w:r>
      <w:r>
        <w:t xml:space="preserve"> Zac Corrigan, </w:t>
      </w:r>
      <w:r>
        <w:rPr>
          <w:i/>
        </w:rPr>
        <w:t xml:space="preserve">One in seven Detroiters threatened with eviction in wave of home foreclosures, </w:t>
      </w:r>
      <w:r w:rsidRPr="004E7484">
        <w:rPr>
          <w:smallCaps/>
        </w:rPr>
        <w:t>World Socialist We</w:t>
      </w:r>
      <w:r>
        <w:rPr>
          <w:smallCaps/>
        </w:rPr>
        <w:t>b</w:t>
      </w:r>
      <w:r w:rsidRPr="004E7484">
        <w:rPr>
          <w:smallCaps/>
        </w:rPr>
        <w:t xml:space="preserve"> Site</w:t>
      </w:r>
      <w:r w:rsidRPr="004E7484">
        <w:t xml:space="preserve">, Jan. 7, 2015, </w:t>
      </w:r>
      <w:hyperlink r:id="rId36" w:history="1">
        <w:r w:rsidRPr="00A82041">
          <w:rPr>
            <w:rStyle w:val="Hyperlink"/>
          </w:rPr>
          <w:t>http://www.wsws.org/en/articles/2015/01/07/detr-j07.html</w:t>
        </w:r>
      </w:hyperlink>
      <w:r>
        <w:t xml:space="preserve"> (“</w:t>
      </w:r>
      <w:r w:rsidRPr="004E7484">
        <w:t>thousands of more residents will be thrown into the streets. Approximately 20,000 Detroiters are already homeless</w:t>
      </w:r>
      <w:r w:rsidR="00512023">
        <w:t>. . . .</w:t>
      </w:r>
      <w:r w:rsidRPr="004E7484">
        <w:t xml:space="preserve"> Twenty-five percent of the city’s homeless are children. A tent city appeared last month in Lafayette Park downtown.</w:t>
      </w:r>
      <w:r>
        <w:t>”).</w:t>
      </w:r>
    </w:p>
  </w:footnote>
  <w:footnote w:id="198">
    <w:p w:rsidR="0053578D" w:rsidRDefault="0053578D">
      <w:pPr>
        <w:pStyle w:val="FootnoteText"/>
      </w:pPr>
      <w:r>
        <w:rPr>
          <w:rStyle w:val="FootnoteReference"/>
        </w:rPr>
        <w:footnoteRef/>
      </w:r>
      <w:r>
        <w:t xml:space="preserve"> Professor Mogk is Professor of Law at Wayne State University Law School, </w:t>
      </w:r>
      <w:r w:rsidRPr="00674BDB">
        <w:t>http://law.wayne.edu/profile/john.mogk/</w:t>
      </w:r>
      <w:r>
        <w:t>.</w:t>
      </w:r>
    </w:p>
  </w:footnote>
  <w:footnote w:id="199">
    <w:p w:rsidR="0053578D" w:rsidRPr="00C365A8" w:rsidRDefault="0053578D">
      <w:pPr>
        <w:pStyle w:val="FootnoteText"/>
      </w:pPr>
      <w:r>
        <w:rPr>
          <w:rStyle w:val="FootnoteReference"/>
        </w:rPr>
        <w:footnoteRef/>
      </w:r>
      <w:r>
        <w:t xml:space="preserve"> John Mogk, </w:t>
      </w:r>
      <w:r>
        <w:rPr>
          <w:i/>
        </w:rPr>
        <w:t xml:space="preserve">Mogk:  Why Detroit needs eminent domain, </w:t>
      </w:r>
      <w:r>
        <w:rPr>
          <w:smallCaps/>
        </w:rPr>
        <w:t xml:space="preserve">The Detroit News, </w:t>
      </w:r>
      <w:r>
        <w:t xml:space="preserve">Jan. 14, 2015, </w:t>
      </w:r>
      <w:r w:rsidRPr="00C365A8">
        <w:t>http://www.detroitnews.com/story/opinion/2015/01/14/detroit-letter-eminent-domain/21710915/</w:t>
      </w:r>
      <w:r>
        <w:t>.</w:t>
      </w:r>
    </w:p>
  </w:footnote>
  <w:footnote w:id="200">
    <w:p w:rsidR="0053578D" w:rsidRPr="00C365A8" w:rsidRDefault="0053578D" w:rsidP="00C365A8">
      <w:pPr>
        <w:pStyle w:val="FootnoteText"/>
        <w:jc w:val="both"/>
      </w:pPr>
      <w:r>
        <w:rPr>
          <w:rStyle w:val="FootnoteReference"/>
        </w:rPr>
        <w:footnoteRef/>
      </w:r>
      <w:r>
        <w:t xml:space="preserve"> John Mogk, </w:t>
      </w:r>
      <w:r>
        <w:rPr>
          <w:i/>
        </w:rPr>
        <w:t xml:space="preserve">Mogk:  Why Detroit needs eminent domain, </w:t>
      </w:r>
      <w:r>
        <w:rPr>
          <w:smallCaps/>
        </w:rPr>
        <w:t xml:space="preserve">The Detroit News, </w:t>
      </w:r>
      <w:r>
        <w:t xml:space="preserve"> Nov. 26, 2014, </w:t>
      </w:r>
      <w:r w:rsidRPr="00C365A8">
        <w:t>http://www.detroitnews.com/story/opinion/2014/11/26/mogk-detroit-abolish-property-taxes/70110608/</w:t>
      </w:r>
      <w:r>
        <w:t>.</w:t>
      </w:r>
    </w:p>
  </w:footnote>
  <w:footnote w:id="201">
    <w:p w:rsidR="0053578D" w:rsidRPr="000B6850" w:rsidRDefault="0053578D">
      <w:pPr>
        <w:pStyle w:val="FootnoteText"/>
      </w:pPr>
      <w:r>
        <w:rPr>
          <w:rStyle w:val="FootnoteReference"/>
        </w:rPr>
        <w:footnoteRef/>
      </w:r>
      <w:r>
        <w:t xml:space="preserve"> </w:t>
      </w:r>
      <w:r>
        <w:rPr>
          <w:i/>
        </w:rPr>
        <w:t xml:space="preserve">County takes neglected properties, </w:t>
      </w:r>
      <w:r w:rsidRPr="000B6850">
        <w:rPr>
          <w:smallCaps/>
        </w:rPr>
        <w:t xml:space="preserve">The Detroit News, </w:t>
      </w:r>
      <w:r w:rsidRPr="000B6850">
        <w:t>Sept. 5, 2006, http://media.wayne.edu/report.php?id=510</w:t>
      </w:r>
      <w:r>
        <w:t>.</w:t>
      </w:r>
    </w:p>
  </w:footnote>
  <w:footnote w:id="202">
    <w:p w:rsidR="0053578D" w:rsidRDefault="0053578D">
      <w:pPr>
        <w:pStyle w:val="FootnoteText"/>
      </w:pPr>
      <w:r>
        <w:rPr>
          <w:rStyle w:val="FootnoteReference"/>
        </w:rPr>
        <w:footnoteRef/>
      </w:r>
      <w:r>
        <w:t xml:space="preserve"> </w:t>
      </w:r>
      <w:r>
        <w:rPr>
          <w:i/>
        </w:rPr>
        <w:t>See</w:t>
      </w:r>
      <w:r>
        <w:t xml:space="preserve"> text accompanying notes 130-133, </w:t>
      </w:r>
      <w:r>
        <w:rPr>
          <w:i/>
        </w:rPr>
        <w:t>supra.</w:t>
      </w:r>
      <w:r>
        <w:t xml:space="preserve">  Mr. Brady said that the DLBA only condemns vacant homes, but the article on squatters complicates this representation.  </w:t>
      </w:r>
      <w:r>
        <w:rPr>
          <w:i/>
        </w:rPr>
        <w:t xml:space="preserve">See </w:t>
      </w:r>
      <w:r>
        <w:t>note 188,</w:t>
      </w:r>
      <w:r>
        <w:rPr>
          <w:i/>
        </w:rPr>
        <w:t xml:space="preserve">supra; </w:t>
      </w:r>
      <w:r>
        <w:t>email from Mike Brady, Feb. 4, 2015, 6:39 p.m. PST.</w:t>
      </w:r>
    </w:p>
  </w:footnote>
  <w:footnote w:id="203">
    <w:p w:rsidR="0053578D" w:rsidRPr="00B81B65" w:rsidRDefault="0053578D">
      <w:pPr>
        <w:pStyle w:val="FootnoteText"/>
        <w:rPr>
          <w:i/>
        </w:rPr>
      </w:pPr>
      <w:r>
        <w:rPr>
          <w:rStyle w:val="FootnoteReference"/>
        </w:rPr>
        <w:footnoteRef/>
      </w:r>
      <w:r>
        <w:t xml:space="preserve"> </w:t>
      </w:r>
      <w:r>
        <w:rPr>
          <w:i/>
        </w:rPr>
        <w:t>See</w:t>
      </w:r>
      <w:r>
        <w:t xml:space="preserve"> text after footnotes 26, </w:t>
      </w:r>
      <w:r>
        <w:rPr>
          <w:i/>
        </w:rPr>
        <w:t>supra.</w:t>
      </w:r>
    </w:p>
  </w:footnote>
  <w:footnote w:id="204">
    <w:p w:rsidR="0053578D" w:rsidRPr="00EE3E6B" w:rsidRDefault="0053578D" w:rsidP="00523492">
      <w:pPr>
        <w:pStyle w:val="FootnoteText"/>
      </w:pPr>
      <w:r>
        <w:rPr>
          <w:rStyle w:val="FootnoteReference"/>
        </w:rPr>
        <w:footnoteRef/>
      </w:r>
      <w:r>
        <w:t xml:space="preserve"> Laura Mulvey, </w:t>
      </w:r>
      <w:r w:rsidRPr="00EE3E6B">
        <w:rPr>
          <w:i/>
        </w:rPr>
        <w:t>Visual Pleasure and Narrative Cinema</w:t>
      </w:r>
      <w:r>
        <w:rPr>
          <w:i/>
        </w:rPr>
        <w:t>,</w:t>
      </w:r>
      <w:r>
        <w:t xml:space="preserve"> in </w:t>
      </w:r>
      <w:r w:rsidRPr="00EE3E6B">
        <w:t>PATRICIA ERENS, ISSUES IN FEMINIST FILM CRITICISM 28 (1990).</w:t>
      </w:r>
      <w:r>
        <w:t xml:space="preserve">  </w:t>
      </w:r>
      <w:r>
        <w:rPr>
          <w:i/>
        </w:rPr>
        <w:t>See also</w:t>
      </w:r>
      <w:r>
        <w:t xml:space="preserve"> </w:t>
      </w:r>
      <w:r>
        <w:rPr>
          <w:i/>
        </w:rPr>
        <w:t>Peering</w:t>
      </w:r>
      <w:r>
        <w:t xml:space="preserve"> at 11.</w:t>
      </w:r>
    </w:p>
  </w:footnote>
  <w:footnote w:id="205">
    <w:p w:rsidR="0053578D" w:rsidRPr="00EE3E6B" w:rsidRDefault="0053578D">
      <w:pPr>
        <w:pStyle w:val="FootnoteText"/>
      </w:pPr>
      <w:r>
        <w:rPr>
          <w:rStyle w:val="FootnoteReference"/>
        </w:rPr>
        <w:footnoteRef/>
      </w:r>
      <w:r>
        <w:t xml:space="preserve"> </w:t>
      </w:r>
      <w:r>
        <w:rPr>
          <w:smallCaps/>
        </w:rPr>
        <w:t xml:space="preserve">Frantz Fanon, Black Skin, White Masks 33 (2008).  </w:t>
      </w:r>
      <w:r>
        <w:rPr>
          <w:i/>
        </w:rPr>
        <w:t>See also Peering</w:t>
      </w:r>
      <w:r>
        <w:t xml:space="preserve"> at 11.</w:t>
      </w:r>
    </w:p>
  </w:footnote>
  <w:footnote w:id="206">
    <w:p w:rsidR="0053578D" w:rsidRPr="00891355" w:rsidRDefault="0053578D">
      <w:pPr>
        <w:pStyle w:val="FootnoteText"/>
      </w:pPr>
      <w:r>
        <w:rPr>
          <w:rStyle w:val="FootnoteReference"/>
        </w:rPr>
        <w:footnoteRef/>
      </w:r>
      <w:r>
        <w:t xml:space="preserve"> </w:t>
      </w:r>
      <w:r>
        <w:rPr>
          <w:i/>
        </w:rPr>
        <w:t>Peering</w:t>
      </w:r>
      <w:r>
        <w:t xml:space="preserve"> at Section III.</w:t>
      </w:r>
    </w:p>
  </w:footnote>
  <w:footnote w:id="207">
    <w:p w:rsidR="0053578D" w:rsidRDefault="0053578D">
      <w:pPr>
        <w:pStyle w:val="FootnoteText"/>
      </w:pPr>
      <w:r>
        <w:rPr>
          <w:rStyle w:val="FootnoteReference"/>
        </w:rPr>
        <w:footnoteRef/>
      </w:r>
      <w:r>
        <w:t xml:space="preserve"> </w:t>
      </w:r>
      <w:r>
        <w:rPr>
          <w:i/>
        </w:rPr>
        <w:t>Peering</w:t>
      </w:r>
      <w:r>
        <w:t xml:space="preserve"> at 3. </w:t>
      </w:r>
    </w:p>
  </w:footnote>
  <w:footnote w:id="208">
    <w:p w:rsidR="0053578D" w:rsidRDefault="0053578D">
      <w:pPr>
        <w:pStyle w:val="FootnoteText"/>
      </w:pPr>
      <w:r>
        <w:rPr>
          <w:rStyle w:val="FootnoteReference"/>
        </w:rPr>
        <w:footnoteRef/>
      </w:r>
      <w:r>
        <w:t xml:space="preserve"> </w:t>
      </w:r>
      <w:r>
        <w:rPr>
          <w:i/>
        </w:rPr>
        <w:t>Peering</w:t>
      </w:r>
      <w:r>
        <w:t xml:space="preserve"> at 3(a). </w:t>
      </w:r>
    </w:p>
  </w:footnote>
  <w:footnote w:id="209">
    <w:p w:rsidR="0053578D" w:rsidRPr="00D06131" w:rsidRDefault="0053578D">
      <w:pPr>
        <w:pStyle w:val="FootnoteText"/>
      </w:pPr>
      <w:r>
        <w:rPr>
          <w:rStyle w:val="FootnoteReference"/>
        </w:rPr>
        <w:footnoteRef/>
      </w:r>
      <w:r>
        <w:t xml:space="preserve"> </w:t>
      </w:r>
      <w:r>
        <w:rPr>
          <w:i/>
        </w:rPr>
        <w:t>Id.</w:t>
      </w:r>
      <w:r>
        <w:t xml:space="preserve"> at 3(b).</w:t>
      </w:r>
    </w:p>
  </w:footnote>
  <w:footnote w:id="210">
    <w:p w:rsidR="0053578D" w:rsidRPr="0094212C" w:rsidRDefault="0053578D" w:rsidP="00562C9E">
      <w:pPr>
        <w:pStyle w:val="FootnoteText"/>
      </w:pPr>
      <w:r>
        <w:rPr>
          <w:rStyle w:val="FootnoteReference"/>
        </w:rPr>
        <w:footnoteRef/>
      </w:r>
      <w:r>
        <w:t xml:space="preserve"> </w:t>
      </w:r>
      <w:r>
        <w:rPr>
          <w:i/>
        </w:rPr>
        <w:t>See Peering</w:t>
      </w:r>
      <w:r>
        <w:t xml:space="preserve"> at 18-19.  </w:t>
      </w:r>
      <w:r>
        <w:rPr>
          <w:i/>
        </w:rPr>
        <w:t xml:space="preserve">See also </w:t>
      </w:r>
      <w:r w:rsidRPr="0094212C">
        <w:t xml:space="preserve">Noreen Malone, </w:t>
      </w:r>
      <w:r w:rsidRPr="0094212C">
        <w:rPr>
          <w:i/>
        </w:rPr>
        <w:t>The Case Against Economic Disaster Porn</w:t>
      </w:r>
      <w:r w:rsidRPr="0094212C">
        <w:t xml:space="preserve">, </w:t>
      </w:r>
      <w:r>
        <w:rPr>
          <w:smallCaps/>
        </w:rPr>
        <w:t>The New Republic</w:t>
      </w:r>
      <w:r w:rsidRPr="0094212C">
        <w:t>, Jan. 22, 2011, available at</w:t>
      </w:r>
    </w:p>
    <w:p w:rsidR="0053578D" w:rsidRPr="0094212C" w:rsidRDefault="0053578D" w:rsidP="00562C9E">
      <w:pPr>
        <w:pStyle w:val="FootnoteText"/>
      </w:pPr>
      <w:r w:rsidRPr="0094212C">
        <w:t>http://www.newrepublic.com/article/metro‐policy/81954/Detroit‐economic‐disaster‐porn# (“By presenting</w:t>
      </w:r>
    </w:p>
    <w:p w:rsidR="0053578D" w:rsidRPr="0094212C" w:rsidRDefault="0053578D" w:rsidP="00562C9E">
      <w:pPr>
        <w:pStyle w:val="FootnoteText"/>
      </w:pPr>
      <w:r w:rsidRPr="0094212C">
        <w:t xml:space="preserve">Detroit, and other hurting cities like it, as places beyond repair, they in fact quash any such instinct.”). </w:t>
      </w:r>
      <w:r w:rsidRPr="00984B77">
        <w:rPr>
          <w:i/>
        </w:rPr>
        <w:t>See also</w:t>
      </w:r>
    </w:p>
    <w:p w:rsidR="0053578D" w:rsidRPr="00984B77" w:rsidRDefault="0053578D" w:rsidP="00562C9E">
      <w:pPr>
        <w:pStyle w:val="FootnoteText"/>
        <w:rPr>
          <w:i/>
        </w:rPr>
      </w:pPr>
      <w:r w:rsidRPr="0094212C">
        <w:t xml:space="preserve">John Patrick Leary, </w:t>
      </w:r>
      <w:r w:rsidRPr="00984B77">
        <w:rPr>
          <w:i/>
        </w:rPr>
        <w:t>Detroitism,</w:t>
      </w:r>
      <w:r w:rsidRPr="0094212C">
        <w:t xml:space="preserve"> in </w:t>
      </w:r>
      <w:r w:rsidRPr="00984B77">
        <w:rPr>
          <w:smallCaps/>
        </w:rPr>
        <w:t>Guernica:  A Magazine of Art and Politics</w:t>
      </w:r>
      <w:r w:rsidRPr="0094212C">
        <w:t>, Jan. 15, 2011, available at</w:t>
      </w:r>
    </w:p>
    <w:p w:rsidR="0053578D" w:rsidRPr="0094212C" w:rsidRDefault="0053578D" w:rsidP="00562C9E">
      <w:pPr>
        <w:pStyle w:val="FootnoteText"/>
      </w:pPr>
      <w:r w:rsidRPr="0094212C">
        <w:t>http://www.guernicamag.com/features/leary_1_15_11/ (“So much ruin photography and ruin film . . . dramatizes</w:t>
      </w:r>
    </w:p>
    <w:p w:rsidR="0053578D" w:rsidRPr="0094212C" w:rsidRDefault="0053578D" w:rsidP="00562C9E">
      <w:pPr>
        <w:pStyle w:val="FootnoteText"/>
      </w:pPr>
      <w:r w:rsidRPr="0094212C">
        <w:t>spaces but never seeks out the people that inhabit and transform them.”).</w:t>
      </w:r>
    </w:p>
  </w:footnote>
  <w:footnote w:id="211">
    <w:p w:rsidR="0053578D" w:rsidRPr="00AD2884" w:rsidRDefault="0053578D" w:rsidP="00562C9E">
      <w:pPr>
        <w:pStyle w:val="FootnoteText"/>
        <w:rPr>
          <w:i/>
        </w:rPr>
      </w:pPr>
      <w:r>
        <w:rPr>
          <w:rStyle w:val="FootnoteReference"/>
        </w:rPr>
        <w:footnoteRef/>
      </w:r>
      <w:r>
        <w:t xml:space="preserve"> </w:t>
      </w:r>
      <w:r>
        <w:rPr>
          <w:i/>
        </w:rPr>
        <w:t>Id.</w:t>
      </w:r>
    </w:p>
  </w:footnote>
  <w:footnote w:id="212">
    <w:p w:rsidR="0053578D" w:rsidRPr="00AD2884" w:rsidRDefault="0053578D" w:rsidP="00562C9E">
      <w:pPr>
        <w:pStyle w:val="FootnoteText"/>
        <w:rPr>
          <w:i/>
        </w:rPr>
      </w:pPr>
      <w:r>
        <w:rPr>
          <w:rStyle w:val="FootnoteReference"/>
        </w:rPr>
        <w:footnoteRef/>
      </w:r>
      <w:r>
        <w:t xml:space="preserve"> </w:t>
      </w:r>
      <w:r>
        <w:rPr>
          <w:i/>
        </w:rPr>
        <w:t>Id.</w:t>
      </w:r>
    </w:p>
  </w:footnote>
  <w:footnote w:id="213">
    <w:p w:rsidR="0053578D" w:rsidRPr="00545745" w:rsidRDefault="0053578D" w:rsidP="00562C9E">
      <w:pPr>
        <w:pStyle w:val="FootnoteText"/>
        <w:rPr>
          <w:i/>
        </w:rPr>
      </w:pPr>
      <w:r>
        <w:rPr>
          <w:rStyle w:val="FootnoteReference"/>
        </w:rPr>
        <w:footnoteRef/>
      </w:r>
      <w:r>
        <w:t xml:space="preserve"> </w:t>
      </w:r>
      <w:r>
        <w:rPr>
          <w:i/>
        </w:rPr>
        <w:t xml:space="preserve">Guernica, </w:t>
      </w:r>
      <w:r w:rsidRPr="00EA5573">
        <w:t>supra</w:t>
      </w:r>
      <w:r>
        <w:t xml:space="preserve"> note 210:  </w:t>
      </w:r>
      <w:r w:rsidRPr="00AD419B">
        <w:t>“[T]he pictures of Detroit that tend to go viral on the Web are the o</w:t>
      </w:r>
      <w:r>
        <w:t xml:space="preserve">nes utterly devoid of people.”  For omission’s racial meaning, </w:t>
      </w:r>
      <w:r w:rsidRPr="00984B77">
        <w:rPr>
          <w:i/>
        </w:rPr>
        <w:t>see</w:t>
      </w:r>
      <w:r>
        <w:t xml:space="preserve"> </w:t>
      </w:r>
      <w:r w:rsidRPr="00984B77">
        <w:rPr>
          <w:i/>
        </w:rPr>
        <w:t>Peering</w:t>
      </w:r>
      <w:r>
        <w:t xml:space="preserve"> at 60.  I reproduce Marchand and Meffre’s theater image at 19</w:t>
      </w:r>
      <w:r>
        <w:rPr>
          <w:i/>
        </w:rPr>
        <w:t>.</w:t>
      </w:r>
    </w:p>
  </w:footnote>
  <w:footnote w:id="214">
    <w:p w:rsidR="0053578D" w:rsidRPr="0089274B" w:rsidRDefault="0053578D" w:rsidP="00523492">
      <w:pPr>
        <w:pStyle w:val="FootnoteText"/>
        <w:rPr>
          <w:i/>
        </w:rPr>
      </w:pPr>
      <w:r>
        <w:rPr>
          <w:rStyle w:val="FootnoteReference"/>
        </w:rPr>
        <w:footnoteRef/>
      </w:r>
      <w:r>
        <w:t xml:space="preserve"> </w:t>
      </w:r>
      <w:r>
        <w:rPr>
          <w:i/>
        </w:rPr>
        <w:t>See, e.g.,</w:t>
      </w:r>
      <w:r>
        <w:t xml:space="preserve"> discussion of </w:t>
      </w:r>
      <w:r>
        <w:rPr>
          <w:i/>
        </w:rPr>
        <w:t>Berman</w:t>
      </w:r>
      <w:r>
        <w:t xml:space="preserve"> accompanying note 216-219, </w:t>
      </w:r>
      <w:r>
        <w:rPr>
          <w:i/>
        </w:rPr>
        <w:t>infra.</w:t>
      </w:r>
    </w:p>
  </w:footnote>
  <w:footnote w:id="215">
    <w:p w:rsidR="0053578D" w:rsidRDefault="0053578D" w:rsidP="00523492">
      <w:pPr>
        <w:pStyle w:val="FootnoteText"/>
      </w:pPr>
      <w:r>
        <w:rPr>
          <w:rStyle w:val="FootnoteReference"/>
        </w:rPr>
        <w:footnoteRef/>
      </w:r>
      <w:r>
        <w:t xml:space="preserve"> 348 U.S. 26</w:t>
      </w:r>
      <w:r w:rsidRPr="00545745">
        <w:t xml:space="preserve"> (1954).</w:t>
      </w:r>
    </w:p>
  </w:footnote>
  <w:footnote w:id="216">
    <w:p w:rsidR="0053578D" w:rsidRDefault="0053578D" w:rsidP="00523492">
      <w:pPr>
        <w:pStyle w:val="FootnoteText"/>
      </w:pPr>
      <w:r>
        <w:rPr>
          <w:rStyle w:val="FootnoteReference"/>
        </w:rPr>
        <w:footnoteRef/>
      </w:r>
      <w:r>
        <w:t xml:space="preserve"> Berman v. Parker, 348 U.S. 26, 32</w:t>
      </w:r>
      <w:r w:rsidRPr="008A0E9A">
        <w:t xml:space="preserve"> (1954).</w:t>
      </w:r>
    </w:p>
  </w:footnote>
  <w:footnote w:id="217">
    <w:p w:rsidR="0053578D" w:rsidRPr="00EE4CC5" w:rsidRDefault="0053578D" w:rsidP="00523492">
      <w:pPr>
        <w:pStyle w:val="FootnoteText"/>
      </w:pPr>
      <w:r>
        <w:rPr>
          <w:rStyle w:val="FootnoteReference"/>
        </w:rPr>
        <w:footnoteRef/>
      </w:r>
      <w:r>
        <w:t xml:space="preserve"> </w:t>
      </w:r>
      <w:r>
        <w:rPr>
          <w:i/>
        </w:rPr>
        <w:t>See Peering</w:t>
      </w:r>
      <w:r>
        <w:t xml:space="preserve"> section III(a).</w:t>
      </w:r>
    </w:p>
  </w:footnote>
  <w:footnote w:id="218">
    <w:p w:rsidR="0053578D" w:rsidRPr="007271BD" w:rsidRDefault="0053578D" w:rsidP="00523492">
      <w:pPr>
        <w:pStyle w:val="FootnoteText"/>
        <w:rPr>
          <w:i/>
        </w:rPr>
      </w:pPr>
      <w:r>
        <w:rPr>
          <w:rStyle w:val="FootnoteReference"/>
        </w:rPr>
        <w:footnoteRef/>
      </w:r>
      <w:r>
        <w:t xml:space="preserve"> </w:t>
      </w:r>
      <w:r>
        <w:rPr>
          <w:i/>
        </w:rPr>
        <w:t>Id.</w:t>
      </w:r>
    </w:p>
  </w:footnote>
  <w:footnote w:id="219">
    <w:p w:rsidR="0053578D" w:rsidRPr="00523492" w:rsidRDefault="0053578D">
      <w:pPr>
        <w:pStyle w:val="FootnoteText"/>
        <w:rPr>
          <w:i/>
        </w:rPr>
      </w:pPr>
      <w:r>
        <w:rPr>
          <w:rStyle w:val="FootnoteReference"/>
        </w:rPr>
        <w:footnoteRef/>
      </w:r>
      <w:r>
        <w:t xml:space="preserve"> </w:t>
      </w:r>
      <w:r>
        <w:rPr>
          <w:i/>
        </w:rPr>
        <w:t>Id.</w:t>
      </w:r>
    </w:p>
  </w:footnote>
  <w:footnote w:id="220">
    <w:p w:rsidR="0053578D" w:rsidRDefault="0053578D" w:rsidP="00562C9E">
      <w:pPr>
        <w:pStyle w:val="FootnoteText"/>
      </w:pPr>
      <w:r>
        <w:rPr>
          <w:rStyle w:val="FootnoteReference"/>
        </w:rPr>
        <w:footnoteRef/>
      </w:r>
      <w:r>
        <w:t xml:space="preserve"> </w:t>
      </w:r>
      <w:r>
        <w:rPr>
          <w:i/>
        </w:rPr>
        <w:t>See Peering</w:t>
      </w:r>
      <w:r>
        <w:t xml:space="preserve"> at section IV. </w:t>
      </w:r>
    </w:p>
  </w:footnote>
  <w:footnote w:id="221">
    <w:p w:rsidR="0053578D" w:rsidRPr="00A05D1C" w:rsidRDefault="0053578D" w:rsidP="00562C9E">
      <w:pPr>
        <w:pStyle w:val="FootnoteText"/>
      </w:pPr>
      <w:r>
        <w:rPr>
          <w:rStyle w:val="FootnoteReference"/>
        </w:rPr>
        <w:footnoteRef/>
      </w:r>
      <w:r>
        <w:t xml:space="preserve"> </w:t>
      </w:r>
      <w:r>
        <w:rPr>
          <w:i/>
        </w:rPr>
        <w:t xml:space="preserve">See Peering, </w:t>
      </w:r>
      <w:r>
        <w:t>section IV.</w:t>
      </w:r>
    </w:p>
  </w:footnote>
  <w:footnote w:id="222">
    <w:p w:rsidR="0053578D" w:rsidRDefault="0053578D" w:rsidP="00562C9E">
      <w:pPr>
        <w:pStyle w:val="FootnoteText"/>
      </w:pPr>
      <w:r>
        <w:rPr>
          <w:rStyle w:val="FootnoteReference"/>
        </w:rPr>
        <w:footnoteRef/>
      </w:r>
      <w:r>
        <w:t xml:space="preserve"> </w:t>
      </w:r>
      <w:r w:rsidRPr="00A05D1C">
        <w:t>410 Mich. 616 (1981).</w:t>
      </w:r>
    </w:p>
  </w:footnote>
  <w:footnote w:id="223">
    <w:p w:rsidR="0053578D" w:rsidRDefault="0053578D" w:rsidP="00562C9E">
      <w:pPr>
        <w:pStyle w:val="FootnoteText"/>
      </w:pPr>
      <w:r>
        <w:rPr>
          <w:rStyle w:val="FootnoteReference"/>
        </w:rPr>
        <w:footnoteRef/>
      </w:r>
      <w:r>
        <w:t xml:space="preserve"> </w:t>
      </w:r>
      <w:r w:rsidRPr="00A05D1C">
        <w:t>545 U.S. 469 (2005).</w:t>
      </w:r>
    </w:p>
  </w:footnote>
  <w:footnote w:id="224">
    <w:p w:rsidR="0053578D" w:rsidRDefault="0053578D" w:rsidP="00562C9E">
      <w:pPr>
        <w:pStyle w:val="FootnoteText"/>
      </w:pPr>
      <w:r>
        <w:rPr>
          <w:rStyle w:val="FootnoteReference"/>
        </w:rPr>
        <w:footnoteRef/>
      </w:r>
      <w:r>
        <w:t xml:space="preserve"> </w:t>
      </w:r>
      <w:r w:rsidRPr="00A05D1C">
        <w:t>13 N.Y. 3d 511 (2009).</w:t>
      </w:r>
    </w:p>
  </w:footnote>
  <w:footnote w:id="225">
    <w:p w:rsidR="0053578D" w:rsidRDefault="0053578D" w:rsidP="00562C9E">
      <w:pPr>
        <w:pStyle w:val="FootnoteText"/>
      </w:pPr>
      <w:r>
        <w:rPr>
          <w:rStyle w:val="FootnoteReference"/>
        </w:rPr>
        <w:footnoteRef/>
      </w:r>
      <w:r>
        <w:t xml:space="preserve"> </w:t>
      </w:r>
      <w:r w:rsidRPr="00A05D1C">
        <w:t>15 N.Y.3d 235 (2010).</w:t>
      </w:r>
    </w:p>
  </w:footnote>
  <w:footnote w:id="226">
    <w:p w:rsidR="0053578D" w:rsidRPr="00A05D1C" w:rsidRDefault="0053578D" w:rsidP="00562C9E">
      <w:pPr>
        <w:pStyle w:val="FootnoteText"/>
        <w:rPr>
          <w:i/>
        </w:rPr>
      </w:pPr>
      <w:r>
        <w:rPr>
          <w:rStyle w:val="FootnoteReference"/>
        </w:rPr>
        <w:footnoteRef/>
      </w:r>
      <w:r>
        <w:t xml:space="preserve"> </w:t>
      </w:r>
      <w:r>
        <w:rPr>
          <w:i/>
        </w:rPr>
        <w:t>See</w:t>
      </w:r>
      <w:r>
        <w:t xml:space="preserve"> text accompanying note 188, </w:t>
      </w:r>
      <w:r>
        <w:rPr>
          <w:i/>
        </w:rPr>
        <w:t>supra.</w:t>
      </w:r>
    </w:p>
  </w:footnote>
  <w:footnote w:id="227">
    <w:p w:rsidR="0053578D" w:rsidRPr="0060368A" w:rsidRDefault="0053578D" w:rsidP="00562C9E">
      <w:pPr>
        <w:pStyle w:val="FootnoteText"/>
      </w:pPr>
      <w:r>
        <w:rPr>
          <w:rStyle w:val="FootnoteReference"/>
        </w:rPr>
        <w:footnoteRef/>
      </w:r>
      <w:r>
        <w:t xml:space="preserve"> </w:t>
      </w:r>
      <w:r>
        <w:rPr>
          <w:i/>
        </w:rPr>
        <w:t>See</w:t>
      </w:r>
      <w:r>
        <w:t xml:space="preserve"> </w:t>
      </w:r>
      <w:r>
        <w:rPr>
          <w:i/>
        </w:rPr>
        <w:t xml:space="preserve">Peering </w:t>
      </w:r>
      <w:r>
        <w:t>at section IV.</w:t>
      </w:r>
    </w:p>
  </w:footnote>
  <w:footnote w:id="228">
    <w:p w:rsidR="0053578D" w:rsidRDefault="0053578D" w:rsidP="00562C9E">
      <w:pPr>
        <w:pStyle w:val="FootnoteText"/>
      </w:pPr>
      <w:r>
        <w:rPr>
          <w:rStyle w:val="FootnoteReference"/>
        </w:rPr>
        <w:footnoteRef/>
      </w:r>
      <w:r>
        <w:t xml:space="preserve"> For an analysis of these clichés, </w:t>
      </w:r>
      <w:r>
        <w:rPr>
          <w:i/>
        </w:rPr>
        <w:t>see</w:t>
      </w:r>
      <w:r>
        <w:t xml:space="preserve"> </w:t>
      </w:r>
      <w:r>
        <w:rPr>
          <w:i/>
        </w:rPr>
        <w:t>Peering</w:t>
      </w:r>
      <w:r>
        <w:t xml:space="preserve"> at 37. </w:t>
      </w:r>
    </w:p>
  </w:footnote>
  <w:footnote w:id="229">
    <w:p w:rsidR="0053578D" w:rsidRPr="009B64B4" w:rsidRDefault="0053578D">
      <w:pPr>
        <w:pStyle w:val="FootnoteText"/>
        <w:rPr>
          <w:i/>
        </w:rPr>
      </w:pPr>
      <w:r>
        <w:rPr>
          <w:rStyle w:val="FootnoteReference"/>
        </w:rPr>
        <w:footnoteRef/>
      </w:r>
      <w:r>
        <w:t xml:space="preserve"> </w:t>
      </w:r>
      <w:r>
        <w:rPr>
          <w:i/>
        </w:rPr>
        <w:t>Id.</w:t>
      </w:r>
    </w:p>
  </w:footnote>
  <w:footnote w:id="230">
    <w:p w:rsidR="0053578D" w:rsidRDefault="0053578D" w:rsidP="00B91540">
      <w:pPr>
        <w:pStyle w:val="FootnoteText"/>
      </w:pPr>
      <w:r>
        <w:rPr>
          <w:rStyle w:val="FootnoteReference"/>
        </w:rPr>
        <w:footnoteRef/>
      </w:r>
      <w:r>
        <w:t xml:space="preserve"> </w:t>
      </w:r>
      <w:r w:rsidRPr="0060368A">
        <w:rPr>
          <w:i/>
        </w:rPr>
        <w:t>Peering</w:t>
      </w:r>
      <w:r>
        <w:t xml:space="preserve"> at 32; </w:t>
      </w:r>
      <w:r w:rsidRPr="0060368A">
        <w:rPr>
          <w:smallCaps/>
        </w:rPr>
        <w:t>W</w:t>
      </w:r>
      <w:r>
        <w:rPr>
          <w:smallCaps/>
        </w:rPr>
        <w:t>ilbur C. Rich, Coleman Young and Detroit Politics: From Social Activist to Power Broker</w:t>
      </w:r>
      <w:r w:rsidRPr="00AB3855">
        <w:t xml:space="preserve"> 185 (2000).</w:t>
      </w:r>
    </w:p>
  </w:footnote>
  <w:footnote w:id="231">
    <w:p w:rsidR="0053578D" w:rsidRDefault="0053578D" w:rsidP="00B91540">
      <w:pPr>
        <w:pStyle w:val="FootnoteText"/>
      </w:pPr>
      <w:r>
        <w:rPr>
          <w:rStyle w:val="FootnoteReference"/>
        </w:rPr>
        <w:footnoteRef/>
      </w:r>
      <w:r>
        <w:t xml:space="preserve"> </w:t>
      </w:r>
      <w:r w:rsidRPr="0060368A">
        <w:rPr>
          <w:i/>
        </w:rPr>
        <w:t>Peering</w:t>
      </w:r>
      <w:r>
        <w:t xml:space="preserve"> at 32; </w:t>
      </w:r>
      <w:r>
        <w:rPr>
          <w:smallCaps/>
        </w:rPr>
        <w:t xml:space="preserve">Ellen Alderman &amp; Caroline Kennedy, In Our Defense:  The Bill of Rights in Action </w:t>
      </w:r>
      <w:r w:rsidRPr="00AB3855">
        <w:t>194 (1992).</w:t>
      </w:r>
    </w:p>
  </w:footnote>
  <w:footnote w:id="232">
    <w:p w:rsidR="0053578D" w:rsidRPr="00BC093A" w:rsidRDefault="0053578D" w:rsidP="00B91540">
      <w:pPr>
        <w:pStyle w:val="FootnoteText"/>
      </w:pPr>
      <w:r>
        <w:rPr>
          <w:rStyle w:val="FootnoteReference"/>
        </w:rPr>
        <w:footnoteRef/>
      </w:r>
      <w:r>
        <w:t xml:space="preserve"> </w:t>
      </w:r>
      <w:r>
        <w:rPr>
          <w:i/>
        </w:rPr>
        <w:t xml:space="preserve">See, e.g., </w:t>
      </w:r>
      <w:r w:rsidRPr="002858FD">
        <w:rPr>
          <w:i/>
        </w:rPr>
        <w:t>Peering</w:t>
      </w:r>
      <w:r>
        <w:rPr>
          <w:i/>
        </w:rPr>
        <w:t xml:space="preserve"> </w:t>
      </w:r>
      <w:r>
        <w:t>at 5 (“</w:t>
      </w:r>
      <w:r w:rsidRPr="00BC093A">
        <w:t xml:space="preserve">The people of Manhattanville submerged under this ascendant gaze. </w:t>
      </w:r>
      <w:r>
        <w:t xml:space="preserve">. . . </w:t>
      </w:r>
      <w:r w:rsidRPr="00BC093A">
        <w:t>The majorit</w:t>
      </w:r>
      <w:r>
        <w:t xml:space="preserve">y did not bother describing the </w:t>
      </w:r>
      <w:r w:rsidRPr="00BC093A">
        <w:t>people on the ground.</w:t>
      </w:r>
      <w:r>
        <w:t>”).</w:t>
      </w:r>
    </w:p>
  </w:footnote>
  <w:footnote w:id="233">
    <w:p w:rsidR="0053578D" w:rsidRPr="00B91540" w:rsidRDefault="0053578D" w:rsidP="00B91540">
      <w:pPr>
        <w:pStyle w:val="FootnoteText"/>
      </w:pPr>
      <w:r>
        <w:rPr>
          <w:rStyle w:val="FootnoteReference"/>
        </w:rPr>
        <w:footnoteRef/>
      </w:r>
      <w:r>
        <w:t xml:space="preserve"> </w:t>
      </w:r>
      <w:r w:rsidRPr="00B91540">
        <w:t>GM engineers designed their plant for robot labor so the employment boon did not happen</w:t>
      </w:r>
      <w:r>
        <w:t xml:space="preserve">; </w:t>
      </w:r>
      <w:r w:rsidRPr="005809FE">
        <w:t xml:space="preserve">Pfizer abandoned New London and as of 2011 disintegrated into a </w:t>
      </w:r>
      <w:r>
        <w:t>dump filled with feral cats; j</w:t>
      </w:r>
      <w:r w:rsidRPr="005809FE">
        <w:t>obs creation disappointed in Atlantic Yards and Ratner’s promised low income housing development never materialized</w:t>
      </w:r>
      <w:r>
        <w:t>;</w:t>
      </w:r>
      <w:r w:rsidRPr="005809FE">
        <w:rPr>
          <w:sz w:val="22"/>
          <w:szCs w:val="22"/>
        </w:rPr>
        <w:t xml:space="preserve"> </w:t>
      </w:r>
      <w:r>
        <w:t>a</w:t>
      </w:r>
      <w:r w:rsidRPr="005809FE">
        <w:t>nd Columbia’s expansion led to gentrification and ouster of low-income tenants from their apartments</w:t>
      </w:r>
      <w:r>
        <w:t xml:space="preserve">.  </w:t>
      </w:r>
      <w:r>
        <w:rPr>
          <w:i/>
        </w:rPr>
        <w:t>See</w:t>
      </w:r>
      <w:r w:rsidRPr="00B91540">
        <w:rPr>
          <w:i/>
        </w:rPr>
        <w:t xml:space="preserve"> </w:t>
      </w:r>
      <w:r>
        <w:rPr>
          <w:i/>
        </w:rPr>
        <w:t xml:space="preserve">Peering </w:t>
      </w:r>
      <w:r>
        <w:t xml:space="preserve">at 67-74; regarding Atlantic Yards, </w:t>
      </w:r>
      <w:r>
        <w:rPr>
          <w:i/>
        </w:rPr>
        <w:t xml:space="preserve">see also </w:t>
      </w:r>
      <w:r w:rsidRPr="00B91540">
        <w:t>Jessica Dailey,</w:t>
      </w:r>
      <w:r w:rsidRPr="00B91540">
        <w:rPr>
          <w:i/>
        </w:rPr>
        <w:t xml:space="preserve"> Skanska Terminates Contract for Atlantic Yards Tower B2, NYcurbed.com, Sept. 23, 2014, </w:t>
      </w:r>
      <w:r w:rsidRPr="00B91540">
        <w:t>http://ny.curbed.com/archives/2014/09/23/skanska_terminates_contract_for_atlantic_yards_tower_b2.php#more).</w:t>
      </w:r>
    </w:p>
    <w:p w:rsidR="0053578D" w:rsidRPr="00B91540" w:rsidRDefault="0053578D">
      <w:pPr>
        <w:pStyle w:val="FootnoteText"/>
        <w:rPr>
          <w:i/>
        </w:rPr>
      </w:pPr>
    </w:p>
  </w:footnote>
  <w:footnote w:id="234">
    <w:p w:rsidR="0053578D" w:rsidRPr="00B024FC" w:rsidRDefault="0053578D">
      <w:pPr>
        <w:pStyle w:val="FootnoteText"/>
      </w:pPr>
      <w:r>
        <w:rPr>
          <w:rStyle w:val="FootnoteReference"/>
        </w:rPr>
        <w:footnoteRef/>
      </w:r>
      <w:r>
        <w:t xml:space="preserve"> </w:t>
      </w:r>
      <w:r>
        <w:rPr>
          <w:i/>
        </w:rPr>
        <w:t>See</w:t>
      </w:r>
      <w:r>
        <w:t xml:space="preserve"> </w:t>
      </w:r>
      <w:r>
        <w:rPr>
          <w:i/>
        </w:rPr>
        <w:t>Peering</w:t>
      </w:r>
      <w:r>
        <w:t xml:space="preserve"> at section V.</w:t>
      </w:r>
    </w:p>
  </w:footnote>
  <w:footnote w:id="235">
    <w:p w:rsidR="0053578D" w:rsidRPr="00E84F09" w:rsidRDefault="0053578D">
      <w:pPr>
        <w:pStyle w:val="FootnoteText"/>
      </w:pPr>
      <w:r>
        <w:rPr>
          <w:rStyle w:val="FootnoteReference"/>
        </w:rPr>
        <w:footnoteRef/>
      </w:r>
      <w:r>
        <w:t xml:space="preserve"> </w:t>
      </w:r>
      <w:r>
        <w:rPr>
          <w:i/>
        </w:rPr>
        <w:t>See, e.g.,</w:t>
      </w:r>
      <w:r>
        <w:t xml:space="preserve"> Yxta Maya Murray, </w:t>
      </w:r>
      <w:r>
        <w:rPr>
          <w:i/>
        </w:rPr>
        <w:t xml:space="preserve">A Jurisprudence of Nonviolence, </w:t>
      </w:r>
      <w:r>
        <w:t xml:space="preserve"> </w:t>
      </w:r>
      <w:r w:rsidRPr="00B024FC">
        <w:t>9 Conn. Pub. Int. L.J. 65 (2009)</w:t>
      </w:r>
      <w:r>
        <w:t xml:space="preserve">; </w:t>
      </w:r>
      <w:r>
        <w:rPr>
          <w:i/>
        </w:rPr>
        <w:t xml:space="preserve">Law and the Possibilities of Peace, forthcoming </w:t>
      </w:r>
      <w:r>
        <w:t xml:space="preserve">from the </w:t>
      </w:r>
      <w:r>
        <w:rPr>
          <w:smallCaps/>
        </w:rPr>
        <w:t xml:space="preserve">Seattle Journal For Social Justice, </w:t>
      </w:r>
      <w:r w:rsidRPr="00EA5573">
        <w:t>file:///C:/Users/MURRAYY/Downloads/SSRN-id2461525%20(3).pdf;</w:t>
      </w:r>
      <w:r>
        <w:t xml:space="preserve"> Yxta Maya Murray, </w:t>
      </w:r>
      <w:r>
        <w:rPr>
          <w:i/>
        </w:rPr>
        <w:t>Art, Violence, and Women</w:t>
      </w:r>
      <w:r>
        <w:t xml:space="preserve">, </w:t>
      </w:r>
      <w:r>
        <w:rPr>
          <w:smallCaps/>
        </w:rPr>
        <w:t>Cuny Footnote Forum</w:t>
      </w:r>
      <w:r>
        <w:t xml:space="preserve">, Dec. 6, 2014, </w:t>
      </w:r>
      <w:r w:rsidRPr="00E84F09">
        <w:t>http://www.cunylawreview.org/vawa-20-art-violence-and-women/</w:t>
      </w:r>
      <w:r>
        <w:t>.</w:t>
      </w:r>
    </w:p>
  </w:footnote>
  <w:footnote w:id="236">
    <w:p w:rsidR="0053578D" w:rsidRDefault="0053578D">
      <w:pPr>
        <w:pStyle w:val="FootnoteText"/>
      </w:pPr>
      <w:r>
        <w:rPr>
          <w:rStyle w:val="FootnoteReference"/>
        </w:rPr>
        <w:footnoteRef/>
      </w:r>
      <w:r>
        <w:t xml:space="preserve"> </w:t>
      </w:r>
      <w:r>
        <w:rPr>
          <w:i/>
        </w:rPr>
        <w:t>Peering</w:t>
      </w:r>
      <w:r>
        <w:t xml:space="preserve"> at 59, citing  </w:t>
      </w:r>
      <w:r w:rsidRPr="00E84F09">
        <w:t xml:space="preserve">Johan Galtung, </w:t>
      </w:r>
      <w:r w:rsidRPr="00984B77">
        <w:rPr>
          <w:i/>
        </w:rPr>
        <w:t>Cultural Violence,</w:t>
      </w:r>
      <w:r w:rsidRPr="00E84F09">
        <w:t xml:space="preserve"> </w:t>
      </w:r>
      <w:r>
        <w:rPr>
          <w:smallCaps/>
        </w:rPr>
        <w:t xml:space="preserve">27 J. of Peace Research </w:t>
      </w:r>
      <w:r>
        <w:t>291, 291 (1990).</w:t>
      </w:r>
    </w:p>
  </w:footnote>
  <w:footnote w:id="237">
    <w:p w:rsidR="0053578D" w:rsidRDefault="0053578D" w:rsidP="00E84F09">
      <w:pPr>
        <w:pStyle w:val="FootnoteText"/>
      </w:pPr>
      <w:r>
        <w:rPr>
          <w:rStyle w:val="FootnoteReference"/>
        </w:rPr>
        <w:footnoteRef/>
      </w:r>
      <w:r>
        <w:t xml:space="preserve"> </w:t>
      </w:r>
      <w:r>
        <w:rPr>
          <w:i/>
        </w:rPr>
        <w:t>Id.</w:t>
      </w:r>
      <w:r>
        <w:t xml:space="preserve"> at 58, citing Johan Galtung</w:t>
      </w:r>
      <w:r w:rsidRPr="00984B77">
        <w:rPr>
          <w:i/>
        </w:rPr>
        <w:t>, Violence, Peace, and Peace Research,</w:t>
      </w:r>
      <w:r>
        <w:t xml:space="preserve"> 1 </w:t>
      </w:r>
      <w:r>
        <w:rPr>
          <w:smallCaps/>
        </w:rPr>
        <w:t>Peace Studies</w:t>
      </w:r>
      <w:r>
        <w:t>, 175 (1969) (“structural violence is inequality, above all in the distribution of power.”).</w:t>
      </w:r>
    </w:p>
  </w:footnote>
  <w:footnote w:id="238">
    <w:p w:rsidR="0053578D" w:rsidRPr="00467934" w:rsidRDefault="0053578D">
      <w:pPr>
        <w:pStyle w:val="FootnoteText"/>
        <w:rPr>
          <w:i/>
        </w:rPr>
      </w:pPr>
      <w:r>
        <w:rPr>
          <w:rStyle w:val="FootnoteReference"/>
        </w:rPr>
        <w:footnoteRef/>
      </w:r>
      <w:r>
        <w:t xml:space="preserve"> </w:t>
      </w:r>
      <w:r>
        <w:rPr>
          <w:i/>
        </w:rPr>
        <w:t>See</w:t>
      </w:r>
      <w:r>
        <w:t xml:space="preserve"> text accompanying note 216, </w:t>
      </w:r>
      <w:r>
        <w:rPr>
          <w:i/>
        </w:rPr>
        <w:t>supra.</w:t>
      </w:r>
    </w:p>
  </w:footnote>
  <w:footnote w:id="239">
    <w:p w:rsidR="0053578D" w:rsidRPr="00467934" w:rsidRDefault="0053578D">
      <w:pPr>
        <w:pStyle w:val="FootnoteText"/>
        <w:rPr>
          <w:i/>
        </w:rPr>
      </w:pPr>
      <w:r>
        <w:rPr>
          <w:rStyle w:val="FootnoteReference"/>
        </w:rPr>
        <w:footnoteRef/>
      </w:r>
      <w:r>
        <w:t xml:space="preserve"> </w:t>
      </w:r>
      <w:r>
        <w:rPr>
          <w:i/>
        </w:rPr>
        <w:t>See</w:t>
      </w:r>
      <w:r>
        <w:t xml:space="preserve"> note 228, </w:t>
      </w:r>
      <w:r>
        <w:rPr>
          <w:i/>
        </w:rPr>
        <w:t>supra.</w:t>
      </w:r>
    </w:p>
  </w:footnote>
  <w:footnote w:id="240">
    <w:p w:rsidR="0053578D" w:rsidRPr="009E3AF8" w:rsidRDefault="0053578D" w:rsidP="00EC0E9F">
      <w:pPr>
        <w:pStyle w:val="FootnoteText"/>
        <w:rPr>
          <w:i/>
        </w:rPr>
      </w:pPr>
      <w:r>
        <w:rPr>
          <w:rStyle w:val="FootnoteReference"/>
        </w:rPr>
        <w:footnoteRef/>
      </w:r>
      <w:r>
        <w:t xml:space="preserve"> </w:t>
      </w:r>
      <w:r>
        <w:rPr>
          <w:i/>
        </w:rPr>
        <w:t>See</w:t>
      </w:r>
      <w:r>
        <w:t xml:space="preserve"> David A. Dana, </w:t>
      </w:r>
      <w:r w:rsidRPr="00EC0E9F">
        <w:rPr>
          <w:i/>
        </w:rPr>
        <w:t>The Law and Expressive Meaning of Condemning the Poor After Kelo,</w:t>
      </w:r>
      <w:r>
        <w:t xml:space="preserve"> 101 NW. U. L. REV. 365 (2007).  For Michigan law on blight condemnations, </w:t>
      </w:r>
      <w:r>
        <w:rPr>
          <w:i/>
        </w:rPr>
        <w:t>see</w:t>
      </w:r>
      <w:r>
        <w:t xml:space="preserve"> Section II, </w:t>
      </w:r>
      <w:r>
        <w:rPr>
          <w:i/>
        </w:rPr>
        <w:t>supra.</w:t>
      </w:r>
      <w:r>
        <w:t xml:space="preserve">  </w:t>
      </w:r>
    </w:p>
  </w:footnote>
  <w:footnote w:id="241">
    <w:p w:rsidR="0053578D" w:rsidRPr="000C0E4E" w:rsidRDefault="0053578D">
      <w:pPr>
        <w:pStyle w:val="FootnoteText"/>
      </w:pPr>
      <w:r>
        <w:rPr>
          <w:rStyle w:val="FootnoteReference"/>
        </w:rPr>
        <w:footnoteRef/>
      </w:r>
      <w:r>
        <w:t xml:space="preserve"> </w:t>
      </w:r>
      <w:r>
        <w:rPr>
          <w:i/>
        </w:rPr>
        <w:t>Id.</w:t>
      </w:r>
      <w:r>
        <w:t xml:space="preserve"> at 21.</w:t>
      </w:r>
    </w:p>
  </w:footnote>
  <w:footnote w:id="242">
    <w:p w:rsidR="0053578D" w:rsidRPr="00DF75B3" w:rsidRDefault="0053578D">
      <w:pPr>
        <w:pStyle w:val="FootnoteText"/>
      </w:pPr>
      <w:r>
        <w:rPr>
          <w:rStyle w:val="FootnoteReference"/>
        </w:rPr>
        <w:footnoteRef/>
      </w:r>
      <w:r>
        <w:t xml:space="preserve"> </w:t>
      </w:r>
      <w:r>
        <w:rPr>
          <w:i/>
        </w:rPr>
        <w:t xml:space="preserve">See also </w:t>
      </w:r>
      <w:r>
        <w:t xml:space="preserve">David A. Dana, </w:t>
      </w:r>
      <w:r>
        <w:rPr>
          <w:i/>
        </w:rPr>
        <w:t>Exclusionary Eminent Domain</w:t>
      </w:r>
      <w:r>
        <w:t xml:space="preserve">, 17 </w:t>
      </w:r>
      <w:r>
        <w:rPr>
          <w:smallCaps/>
        </w:rPr>
        <w:t>Sup. Ct. Econ. Rev.</w:t>
      </w:r>
      <w:r>
        <w:t xml:space="preserve"> 7, 7 (2009) (“</w:t>
      </w:r>
      <w:r w:rsidRPr="00DF75B3">
        <w:t>In </w:t>
      </w:r>
      <w:r w:rsidRPr="00DF75B3">
        <w:rPr>
          <w:bCs/>
        </w:rPr>
        <w:t>exclusionary</w:t>
      </w:r>
      <w:r w:rsidRPr="00DF75B3">
        <w:t> </w:t>
      </w:r>
      <w:r w:rsidRPr="00DF75B3">
        <w:rPr>
          <w:bCs/>
        </w:rPr>
        <w:t>eminent</w:t>
      </w:r>
      <w:r w:rsidRPr="00DF75B3">
        <w:t> </w:t>
      </w:r>
      <w:r w:rsidRPr="00DF75B3">
        <w:rPr>
          <w:bCs/>
        </w:rPr>
        <w:t>domain</w:t>
      </w:r>
      <w:r w:rsidRPr="00DF75B3">
        <w:t>, low-incomes households are excluded not only from their homes but also from their home neighborhood.</w:t>
      </w:r>
      <w:r>
        <w:t>”).</w:t>
      </w:r>
    </w:p>
  </w:footnote>
  <w:footnote w:id="243">
    <w:p w:rsidR="0053578D" w:rsidRPr="00D20889" w:rsidRDefault="0053578D">
      <w:pPr>
        <w:pStyle w:val="FootnoteText"/>
      </w:pPr>
      <w:r>
        <w:rPr>
          <w:rStyle w:val="FootnoteReference"/>
        </w:rPr>
        <w:footnoteRef/>
      </w:r>
      <w:r>
        <w:t xml:space="preserve"> Ilya Somin, </w:t>
      </w:r>
      <w:r>
        <w:rPr>
          <w:i/>
        </w:rPr>
        <w:t xml:space="preserve">Is Post-Kelo Reform Bad for the Poor? </w:t>
      </w:r>
      <w:r>
        <w:t xml:space="preserve">101 </w:t>
      </w:r>
      <w:r>
        <w:rPr>
          <w:smallCaps/>
        </w:rPr>
        <w:t>Nw. L. Rev.</w:t>
      </w:r>
      <w:r>
        <w:t xml:space="preserve"> 1931, 1936, 1938 (2007).</w:t>
      </w:r>
    </w:p>
  </w:footnote>
  <w:footnote w:id="244">
    <w:p w:rsidR="0053578D" w:rsidRDefault="0053578D">
      <w:pPr>
        <w:pStyle w:val="FootnoteText"/>
      </w:pPr>
      <w:r>
        <w:rPr>
          <w:rStyle w:val="FootnoteReference"/>
        </w:rPr>
        <w:footnoteRef/>
      </w:r>
      <w:r>
        <w:t xml:space="preserve"> </w:t>
      </w:r>
      <w:r>
        <w:rPr>
          <w:i/>
        </w:rPr>
        <w:t xml:space="preserve">Land Assembly Districts, </w:t>
      </w:r>
      <w:r>
        <w:rPr>
          <w:smallCaps/>
        </w:rPr>
        <w:t>Harv. L Rev.</w:t>
      </w:r>
      <w:r>
        <w:t xml:space="preserve"> 1465, 1469-1470 (2008).  </w:t>
      </w:r>
    </w:p>
  </w:footnote>
  <w:footnote w:id="245">
    <w:p w:rsidR="0053578D" w:rsidRPr="00AE5A1B" w:rsidRDefault="0053578D" w:rsidP="00590E7F">
      <w:pPr>
        <w:pStyle w:val="FootnoteText"/>
      </w:pPr>
      <w:r>
        <w:rPr>
          <w:rStyle w:val="FootnoteReference"/>
        </w:rPr>
        <w:footnoteRef/>
      </w:r>
      <w:r>
        <w:t xml:space="preserve"> Robert Hockett, </w:t>
      </w:r>
      <w:r>
        <w:rPr>
          <w:i/>
        </w:rPr>
        <w:t xml:space="preserve">It Takes a Village:  Municipal Condemnation Proceedings and Public/Private Partnerships for Mortgage Loan Modification, Value Preservation, and Local Economic Recovery, </w:t>
      </w:r>
      <w:r w:rsidRPr="00AE5A1B">
        <w:t xml:space="preserve">18 </w:t>
      </w:r>
      <w:r w:rsidRPr="00AE5A1B">
        <w:rPr>
          <w:smallCaps/>
        </w:rPr>
        <w:t xml:space="preserve">Stan . L. Bus. &amp; Fin. 121, </w:t>
      </w:r>
      <w:r w:rsidRPr="00AE5A1B">
        <w:t>172 (2012).</w:t>
      </w:r>
    </w:p>
  </w:footnote>
  <w:footnote w:id="246">
    <w:p w:rsidR="0053578D" w:rsidRDefault="0053578D" w:rsidP="00590E7F">
      <w:pPr>
        <w:pStyle w:val="FootnoteText"/>
      </w:pPr>
      <w:r>
        <w:rPr>
          <w:rStyle w:val="FootnoteReference"/>
        </w:rPr>
        <w:footnoteRef/>
      </w:r>
      <w:r>
        <w:t xml:space="preserve"> </w:t>
      </w:r>
      <w:r>
        <w:rPr>
          <w:i/>
        </w:rPr>
        <w:t>Id.</w:t>
      </w:r>
      <w:r>
        <w:t xml:space="preserve"> at 130</w:t>
      </w:r>
    </w:p>
  </w:footnote>
  <w:footnote w:id="247">
    <w:p w:rsidR="0053578D" w:rsidRPr="00B71E0D" w:rsidRDefault="0053578D">
      <w:pPr>
        <w:pStyle w:val="FootnoteText"/>
      </w:pPr>
      <w:r>
        <w:rPr>
          <w:rStyle w:val="FootnoteReference"/>
        </w:rPr>
        <w:footnoteRef/>
      </w:r>
      <w:r>
        <w:t xml:space="preserve"> </w:t>
      </w:r>
      <w:r>
        <w:rPr>
          <w:i/>
        </w:rPr>
        <w:t>Id.</w:t>
      </w:r>
      <w:r>
        <w:t xml:space="preserve"> at 93-94.</w:t>
      </w:r>
    </w:p>
  </w:footnote>
  <w:footnote w:id="248">
    <w:p w:rsidR="0053578D" w:rsidRPr="002858FD" w:rsidRDefault="0053578D">
      <w:pPr>
        <w:pStyle w:val="FootnoteText"/>
        <w:rPr>
          <w:i/>
        </w:rPr>
      </w:pPr>
      <w:r>
        <w:rPr>
          <w:rStyle w:val="FootnoteReference"/>
        </w:rPr>
        <w:footnoteRef/>
      </w:r>
      <w:r>
        <w:t xml:space="preserve"> </w:t>
      </w:r>
      <w:r>
        <w:rPr>
          <w:i/>
        </w:rPr>
        <w:t>See</w:t>
      </w:r>
      <w:r>
        <w:t xml:space="preserve"> text accompanying note 49, </w:t>
      </w:r>
      <w:r>
        <w:rPr>
          <w:i/>
        </w:rPr>
        <w:t>supra.</w:t>
      </w:r>
    </w:p>
  </w:footnote>
  <w:footnote w:id="249">
    <w:p w:rsidR="0053578D" w:rsidRPr="00E84F09" w:rsidRDefault="0053578D" w:rsidP="00B71E0D">
      <w:pPr>
        <w:pStyle w:val="FootnoteText"/>
        <w:rPr>
          <w:i/>
        </w:rPr>
      </w:pPr>
      <w:r>
        <w:rPr>
          <w:rStyle w:val="FootnoteReference"/>
        </w:rPr>
        <w:footnoteRef/>
      </w:r>
      <w:r>
        <w:t xml:space="preserve"> </w:t>
      </w:r>
      <w:r>
        <w:rPr>
          <w:i/>
        </w:rPr>
        <w:t>See</w:t>
      </w:r>
      <w:r>
        <w:t xml:space="preserve"> section VII (A), </w:t>
      </w:r>
      <w:r>
        <w:rPr>
          <w:i/>
        </w:rPr>
        <w:t>infra.</w:t>
      </w:r>
    </w:p>
  </w:footnote>
  <w:footnote w:id="250">
    <w:p w:rsidR="0053578D" w:rsidRPr="00E84F09" w:rsidRDefault="0053578D" w:rsidP="00B71E0D">
      <w:pPr>
        <w:pStyle w:val="FootnoteText"/>
        <w:jc w:val="both"/>
      </w:pPr>
      <w:r>
        <w:rPr>
          <w:rStyle w:val="FootnoteReference"/>
        </w:rPr>
        <w:footnoteRef/>
      </w:r>
      <w:r>
        <w:t xml:space="preserve"> </w:t>
      </w:r>
      <w:r>
        <w:rPr>
          <w:i/>
        </w:rPr>
        <w:t>See Law and the Possibilities of Peace</w:t>
      </w:r>
      <w:r>
        <w:t xml:space="preserve">, </w:t>
      </w:r>
      <w:r>
        <w:rPr>
          <w:i/>
        </w:rPr>
        <w:t xml:space="preserve">supra </w:t>
      </w:r>
      <w:r>
        <w:t xml:space="preserve">note 34, at 20 (citing Johan Galtung, 9 </w:t>
      </w:r>
      <w:r w:rsidRPr="00984B77">
        <w:rPr>
          <w:i/>
        </w:rPr>
        <w:t>Violence, Peace, and Peace Research,</w:t>
      </w:r>
      <w:r>
        <w:t xml:space="preserve"> 1 </w:t>
      </w:r>
      <w:r>
        <w:rPr>
          <w:smallCaps/>
        </w:rPr>
        <w:t>Peace Studies</w:t>
      </w:r>
      <w:r>
        <w:t xml:space="preserve"> 167, 190 </w:t>
      </w:r>
      <w:r w:rsidRPr="00E84F09">
        <w:t>(1969).</w:t>
      </w:r>
    </w:p>
  </w:footnote>
  <w:footnote w:id="251">
    <w:p w:rsidR="0053578D" w:rsidRPr="003D165B" w:rsidRDefault="0053578D">
      <w:pPr>
        <w:pStyle w:val="FootnoteText"/>
        <w:rPr>
          <w:i/>
        </w:rPr>
      </w:pPr>
      <w:r>
        <w:rPr>
          <w:rStyle w:val="FootnoteReference"/>
        </w:rPr>
        <w:footnoteRef/>
      </w:r>
      <w:r>
        <w:t xml:space="preserve"> </w:t>
      </w:r>
      <w:r>
        <w:rPr>
          <w:i/>
        </w:rPr>
        <w:t>See</w:t>
      </w:r>
      <w:r>
        <w:t xml:space="preserve"> text accompanying 196-201, </w:t>
      </w:r>
      <w:r>
        <w:rPr>
          <w:i/>
        </w:rPr>
        <w:t>supra.</w:t>
      </w:r>
    </w:p>
  </w:footnote>
  <w:footnote w:id="252">
    <w:p w:rsidR="0053578D" w:rsidRPr="00175536" w:rsidRDefault="0053578D">
      <w:pPr>
        <w:pStyle w:val="FootnoteText"/>
        <w:rPr>
          <w:i/>
        </w:rPr>
      </w:pPr>
      <w:r>
        <w:rPr>
          <w:rStyle w:val="FootnoteReference"/>
        </w:rPr>
        <w:footnoteRef/>
      </w:r>
      <w:r>
        <w:t xml:space="preserve"> </w:t>
      </w:r>
      <w:r>
        <w:rPr>
          <w:i/>
        </w:rPr>
        <w:t>See</w:t>
      </w:r>
      <w:r>
        <w:t xml:space="preserve"> notes 216-217, </w:t>
      </w:r>
      <w:r>
        <w:rPr>
          <w:i/>
        </w:rPr>
        <w:t>supra.</w:t>
      </w:r>
    </w:p>
  </w:footnote>
  <w:footnote w:id="253">
    <w:p w:rsidR="0053578D" w:rsidRDefault="0053578D">
      <w:pPr>
        <w:pStyle w:val="FootnoteText"/>
      </w:pPr>
      <w:r>
        <w:rPr>
          <w:rStyle w:val="FootnoteReference"/>
        </w:rPr>
        <w:footnoteRef/>
      </w:r>
      <w:r>
        <w:t xml:space="preserve"> </w:t>
      </w:r>
      <w:r>
        <w:rPr>
          <w:i/>
        </w:rPr>
        <w:t>See</w:t>
      </w:r>
      <w:r>
        <w:t xml:space="preserve"> cultural violence definition at text accompanying note 236, </w:t>
      </w:r>
      <w:r>
        <w:rPr>
          <w:i/>
        </w:rPr>
        <w:t>supra.</w:t>
      </w:r>
      <w:r>
        <w:t xml:space="preserve"> </w:t>
      </w:r>
    </w:p>
  </w:footnote>
  <w:footnote w:id="254">
    <w:p w:rsidR="0053578D" w:rsidRPr="008C5FC7" w:rsidRDefault="0053578D">
      <w:pPr>
        <w:pStyle w:val="FootnoteText"/>
        <w:rPr>
          <w:i/>
        </w:rPr>
      </w:pPr>
      <w:r>
        <w:rPr>
          <w:rStyle w:val="FootnoteReference"/>
        </w:rPr>
        <w:footnoteRef/>
      </w:r>
      <w:r>
        <w:t xml:space="preserve"> Dr. Glenda D. Price, Linda Smith &amp; Dan Gilbert, </w:t>
      </w:r>
      <w:r>
        <w:rPr>
          <w:i/>
        </w:rPr>
        <w:t>A Message from the Chairs</w:t>
      </w:r>
      <w:r>
        <w:t xml:space="preserve">, in </w:t>
      </w:r>
      <w:r>
        <w:rPr>
          <w:smallCaps/>
        </w:rPr>
        <w:t>TtEB</w:t>
      </w:r>
      <w:r>
        <w:t xml:space="preserve">, </w:t>
      </w:r>
      <w:r>
        <w:rPr>
          <w:i/>
        </w:rPr>
        <w:t>id.</w:t>
      </w:r>
      <w:r>
        <w:t xml:space="preserve"> at </w:t>
      </w:r>
      <w:r>
        <w:rPr>
          <w:i/>
        </w:rPr>
        <w:t xml:space="preserve"> </w:t>
      </w:r>
      <w:r w:rsidRPr="008C5FC7">
        <w:t>https://www.dropbox.com/s/ne6bi5f0kgt4iz5/Letter%20from%20the%20Chairs.pdf.</w:t>
      </w:r>
    </w:p>
  </w:footnote>
  <w:footnote w:id="255">
    <w:p w:rsidR="0053578D" w:rsidRPr="008C5FC7" w:rsidRDefault="0053578D">
      <w:pPr>
        <w:pStyle w:val="FootnoteText"/>
        <w:rPr>
          <w:i/>
        </w:rPr>
      </w:pPr>
      <w:r>
        <w:rPr>
          <w:rStyle w:val="FootnoteReference"/>
        </w:rPr>
        <w:footnoteRef/>
      </w:r>
      <w:r>
        <w:t xml:space="preserve"> </w:t>
      </w:r>
      <w:r>
        <w:rPr>
          <w:i/>
        </w:rPr>
        <w:t>Id.</w:t>
      </w:r>
    </w:p>
  </w:footnote>
  <w:footnote w:id="256">
    <w:p w:rsidR="0053578D" w:rsidRPr="008C5FC7" w:rsidRDefault="0053578D">
      <w:pPr>
        <w:pStyle w:val="FootnoteText"/>
        <w:rPr>
          <w:i/>
        </w:rPr>
      </w:pPr>
      <w:r>
        <w:rPr>
          <w:rStyle w:val="FootnoteReference"/>
        </w:rPr>
        <w:footnoteRef/>
      </w:r>
      <w:r>
        <w:t xml:space="preserve"> </w:t>
      </w:r>
      <w:r>
        <w:rPr>
          <w:i/>
        </w:rPr>
        <w:t>Id.</w:t>
      </w:r>
    </w:p>
  </w:footnote>
  <w:footnote w:id="257">
    <w:p w:rsidR="0053578D" w:rsidRPr="003A622D" w:rsidRDefault="0053578D">
      <w:pPr>
        <w:pStyle w:val="FootnoteText"/>
        <w:rPr>
          <w:i/>
        </w:rPr>
      </w:pPr>
      <w:r>
        <w:rPr>
          <w:rStyle w:val="FootnoteReference"/>
        </w:rPr>
        <w:footnoteRef/>
      </w:r>
      <w:r>
        <w:t xml:space="preserve"> </w:t>
      </w:r>
      <w:r>
        <w:rPr>
          <w:i/>
        </w:rPr>
        <w:t>Id.</w:t>
      </w:r>
    </w:p>
  </w:footnote>
  <w:footnote w:id="258">
    <w:p w:rsidR="0053578D" w:rsidRPr="0010585C" w:rsidRDefault="0053578D">
      <w:pPr>
        <w:pStyle w:val="FootnoteText"/>
        <w:rPr>
          <w:i/>
        </w:rPr>
      </w:pPr>
      <w:r>
        <w:rPr>
          <w:rStyle w:val="FootnoteReference"/>
        </w:rPr>
        <w:footnoteRef/>
      </w:r>
      <w:r>
        <w:t xml:space="preserve"> </w:t>
      </w:r>
      <w:r>
        <w:rPr>
          <w:i/>
        </w:rPr>
        <w:t>Id.</w:t>
      </w:r>
    </w:p>
  </w:footnote>
  <w:footnote w:id="259">
    <w:p w:rsidR="0053578D" w:rsidRPr="0010585C" w:rsidRDefault="0053578D">
      <w:pPr>
        <w:pStyle w:val="FootnoteText"/>
        <w:rPr>
          <w:i/>
        </w:rPr>
      </w:pPr>
      <w:r>
        <w:rPr>
          <w:rStyle w:val="FootnoteReference"/>
        </w:rPr>
        <w:footnoteRef/>
      </w:r>
      <w:r>
        <w:t xml:space="preserve"> </w:t>
      </w:r>
      <w:r>
        <w:rPr>
          <w:i/>
        </w:rPr>
        <w:t>Id.</w:t>
      </w:r>
    </w:p>
  </w:footnote>
  <w:footnote w:id="260">
    <w:p w:rsidR="0053578D" w:rsidRPr="00942C05" w:rsidRDefault="0053578D">
      <w:pPr>
        <w:pStyle w:val="FootnoteText"/>
        <w:rPr>
          <w:i/>
        </w:rPr>
      </w:pPr>
      <w:r>
        <w:rPr>
          <w:rStyle w:val="FootnoteReference"/>
        </w:rPr>
        <w:footnoteRef/>
      </w:r>
      <w:r>
        <w:t xml:space="preserve"> </w:t>
      </w:r>
      <w:r>
        <w:rPr>
          <w:i/>
        </w:rPr>
        <w:t>Id.</w:t>
      </w:r>
    </w:p>
  </w:footnote>
  <w:footnote w:id="261">
    <w:p w:rsidR="0053578D" w:rsidRPr="005F4F69" w:rsidRDefault="0053578D">
      <w:pPr>
        <w:pStyle w:val="FootnoteText"/>
      </w:pPr>
      <w:r>
        <w:rPr>
          <w:rStyle w:val="FootnoteReference"/>
        </w:rPr>
        <w:footnoteRef/>
      </w:r>
      <w:r>
        <w:t xml:space="preserve"> </w:t>
      </w:r>
      <w:r>
        <w:rPr>
          <w:i/>
        </w:rPr>
        <w:t>See, e.g.,</w:t>
      </w:r>
      <w:r>
        <w:t xml:space="preserve"> Honore de Balzac, </w:t>
      </w:r>
      <w:r>
        <w:rPr>
          <w:i/>
        </w:rPr>
        <w:t>The Succubus,</w:t>
      </w:r>
      <w:r>
        <w:t xml:space="preserve"> in his </w:t>
      </w:r>
      <w:r>
        <w:rPr>
          <w:smallCaps/>
        </w:rPr>
        <w:t xml:space="preserve">Droll Stories </w:t>
      </w:r>
      <w:r>
        <w:t>350 (2014),</w:t>
      </w:r>
      <w:r w:rsidRPr="005F4F69">
        <w:t xml:space="preserve"> http://books.google.com/books?id=FhynBAAAQBAJ&amp;pg=PA345&amp;dq=succubus+soul+sucking&amp;hl=en&amp;sa=X&amp;ei=hcp8VL2QHNWyoQSczIGQDg&amp;ved=0CBwQ6AEwADgK#v=onepage&amp;q=succubus%20soul%20sucking&amp;f=false</w:t>
      </w:r>
      <w:r>
        <w:t xml:space="preserve">  (“ardent” Succubus “sucked out” the “soul” of story’s victim.).</w:t>
      </w:r>
    </w:p>
  </w:footnote>
  <w:footnote w:id="262">
    <w:p w:rsidR="0053578D" w:rsidRDefault="0053578D" w:rsidP="00FE0077">
      <w:pPr>
        <w:pStyle w:val="FootnoteText"/>
      </w:pPr>
      <w:r>
        <w:rPr>
          <w:rStyle w:val="FootnoteReference"/>
        </w:rPr>
        <w:footnoteRef/>
      </w:r>
      <w:r>
        <w:t xml:space="preserve"> The press conference, titled the Blight Task Force Report Announcement, has its own website, which says that the announcement took place at Focus Hope in Detroit. </w:t>
      </w:r>
      <w:hyperlink r:id="rId37" w:history="1">
        <w:r w:rsidRPr="009956CF">
          <w:rPr>
            <w:rStyle w:val="Hyperlink"/>
          </w:rPr>
          <w:t>http://www.timetoendblight.com/about/</w:t>
        </w:r>
      </w:hyperlink>
      <w:r>
        <w:t xml:space="preserve">.  Focus Hope is a community development nonprofit.  </w:t>
      </w:r>
      <w:hyperlink r:id="rId38" w:history="1">
        <w:r w:rsidRPr="009956CF">
          <w:rPr>
            <w:rStyle w:val="Hyperlink"/>
          </w:rPr>
          <w:t>http://www.focushope.edu/page.aspx?content_id=1&amp;content_type=level1</w:t>
        </w:r>
      </w:hyperlink>
      <w:r>
        <w:t xml:space="preserve">. I cannot find a date for the press conference but press reports say that the Report was unveiled on May 27, 2014.  </w:t>
      </w:r>
      <w:r>
        <w:rPr>
          <w:i/>
        </w:rPr>
        <w:t xml:space="preserve">See </w:t>
      </w:r>
      <w:r w:rsidRPr="00EA23C7">
        <w:t>Allan Lengel,</w:t>
      </w:r>
      <w:r>
        <w:rPr>
          <w:i/>
        </w:rPr>
        <w:t xml:space="preserve"> </w:t>
      </w:r>
      <w:r w:rsidRPr="00EA23C7">
        <w:rPr>
          <w:i/>
        </w:rPr>
        <w:t>Task Force Finds More than 84,000 Blighted Parcels in Detroit Neighborhoods,</w:t>
      </w:r>
      <w:r>
        <w:t xml:space="preserve"> May 27, 2014, </w:t>
      </w:r>
      <w:hyperlink r:id="rId39" w:anchor=".U9ltq-NdXnM" w:history="1">
        <w:r w:rsidRPr="009956CF">
          <w:rPr>
            <w:rStyle w:val="Hyperlink"/>
          </w:rPr>
          <w:t>http://www.deadlinedetroit.com/articles/9428/task_force_finds_84_641_blighted_parcels_in_detroit#.U9ltq-NdXnM</w:t>
        </w:r>
      </w:hyperlink>
      <w:r>
        <w:t>.</w:t>
      </w:r>
    </w:p>
    <w:p w:rsidR="0053578D" w:rsidRPr="001111BA" w:rsidRDefault="0053578D" w:rsidP="00FE0077">
      <w:pPr>
        <w:pStyle w:val="FootnoteText"/>
      </w:pPr>
      <w:r>
        <w:t>[Editors:  The press conference has since been taken down from the website. I have an inquiry to the Task Force organizers asking for a tape.  In the event that the tape is never delivered to me, I have detailed notes that I took about the press conference.  I also can strike this section.]</w:t>
      </w:r>
    </w:p>
  </w:footnote>
  <w:footnote w:id="263">
    <w:p w:rsidR="0053578D" w:rsidRPr="00A94C49" w:rsidRDefault="0053578D">
      <w:pPr>
        <w:pStyle w:val="FootnoteText"/>
      </w:pPr>
      <w:r>
        <w:rPr>
          <w:rStyle w:val="FootnoteReference"/>
        </w:rPr>
        <w:footnoteRef/>
      </w:r>
      <w:r>
        <w:t xml:space="preserve"> </w:t>
      </w:r>
      <w:r>
        <w:rPr>
          <w:i/>
        </w:rPr>
        <w:t>Announcement</w:t>
      </w:r>
      <w:r>
        <w:t xml:space="preserve">, </w:t>
      </w:r>
      <w:r>
        <w:rPr>
          <w:i/>
        </w:rPr>
        <w:t>id.</w:t>
      </w:r>
      <w:r>
        <w:t xml:space="preserve"> at 3:30 (statements of Mr. Matt Cohen).  </w:t>
      </w:r>
    </w:p>
  </w:footnote>
  <w:footnote w:id="264">
    <w:p w:rsidR="0053578D" w:rsidRPr="00A94C49" w:rsidRDefault="0053578D">
      <w:pPr>
        <w:pStyle w:val="FootnoteText"/>
      </w:pPr>
      <w:r>
        <w:rPr>
          <w:rStyle w:val="FootnoteReference"/>
        </w:rPr>
        <w:footnoteRef/>
      </w:r>
      <w:r>
        <w:t xml:space="preserve"> </w:t>
      </w:r>
      <w:r>
        <w:rPr>
          <w:i/>
        </w:rPr>
        <w:t>Id.</w:t>
      </w:r>
      <w:r>
        <w:t xml:space="preserve"> at 3:39.</w:t>
      </w:r>
    </w:p>
  </w:footnote>
  <w:footnote w:id="265">
    <w:p w:rsidR="0053578D" w:rsidRPr="00424916" w:rsidRDefault="0053578D">
      <w:pPr>
        <w:pStyle w:val="FootnoteText"/>
      </w:pPr>
      <w:r>
        <w:rPr>
          <w:rStyle w:val="FootnoteReference"/>
        </w:rPr>
        <w:footnoteRef/>
      </w:r>
      <w:r>
        <w:t xml:space="preserve"> </w:t>
      </w:r>
      <w:r>
        <w:rPr>
          <w:i/>
        </w:rPr>
        <w:t>Id.</w:t>
      </w:r>
      <w:r>
        <w:t xml:space="preserve"> beginning minute 22.</w:t>
      </w:r>
    </w:p>
  </w:footnote>
  <w:footnote w:id="266">
    <w:p w:rsidR="0053578D" w:rsidRDefault="0053578D">
      <w:pPr>
        <w:pStyle w:val="FootnoteText"/>
      </w:pPr>
      <w:r>
        <w:rPr>
          <w:rStyle w:val="FootnoteReference"/>
        </w:rPr>
        <w:footnoteRef/>
      </w:r>
      <w:r>
        <w:t xml:space="preserve"> Monica Davey, </w:t>
      </w:r>
      <w:r>
        <w:rPr>
          <w:i/>
        </w:rPr>
        <w:t>Detroit U</w:t>
      </w:r>
      <w:r w:rsidRPr="00AD0D60">
        <w:rPr>
          <w:i/>
        </w:rPr>
        <w:t>rged to Tear Down 40,000 Buildings,</w:t>
      </w:r>
      <w:r>
        <w:t xml:space="preserve"> </w:t>
      </w:r>
      <w:r>
        <w:rPr>
          <w:smallCaps/>
        </w:rPr>
        <w:t>N.Y.Times</w:t>
      </w:r>
      <w:r>
        <w:rPr>
          <w:smallCaps/>
          <w:sz w:val="22"/>
        </w:rPr>
        <w:t xml:space="preserve"> </w:t>
      </w:r>
      <w:r>
        <w:rPr>
          <w:sz w:val="22"/>
        </w:rPr>
        <w:t xml:space="preserve">May 27, 2014, </w:t>
      </w:r>
      <w:r w:rsidRPr="000F260F">
        <w:rPr>
          <w:sz w:val="22"/>
        </w:rPr>
        <w:t xml:space="preserve">http://www.nytimes.com/2014/05/28/us/detroit-task-force-says-blight-cleanup-will-cost-850-million.html?_r=0 </w:t>
      </w:r>
      <w:r>
        <w:rPr>
          <w:sz w:val="22"/>
        </w:rPr>
        <w:t xml:space="preserve"> </w:t>
      </w:r>
      <w:r>
        <w:t>(</w:t>
      </w:r>
      <w:r w:rsidRPr="000F260F">
        <w:t>“</w:t>
      </w:r>
      <w:r>
        <w:t>‘</w:t>
      </w:r>
      <w:r w:rsidRPr="000F260F">
        <w:t>Blight is a cancer,</w:t>
      </w:r>
      <w:r>
        <w:t>’</w:t>
      </w:r>
      <w:r w:rsidRPr="000F260F">
        <w:t xml:space="preserve">” </w:t>
      </w:r>
      <w:r>
        <w:t xml:space="preserve">[said] </w:t>
      </w:r>
      <w:r w:rsidRPr="000F260F">
        <w:t>Dan Gilbert</w:t>
      </w:r>
      <w:r>
        <w:t xml:space="preserve">. . . </w:t>
      </w:r>
      <w:r w:rsidRPr="000F260F">
        <w:t>. “</w:t>
      </w:r>
      <w:r>
        <w:t>‘</w:t>
      </w:r>
      <w:r w:rsidRPr="000F260F">
        <w:t>Blight sucks the soul out of anyone who gets near it.</w:t>
      </w:r>
      <w:r>
        <w:t>’</w:t>
      </w:r>
      <w:r w:rsidRPr="000F260F">
        <w:t>”</w:t>
      </w:r>
      <w:r>
        <w:t>).</w:t>
      </w:r>
    </w:p>
  </w:footnote>
  <w:footnote w:id="267">
    <w:p w:rsidR="0053578D" w:rsidRPr="000F260F" w:rsidRDefault="0053578D">
      <w:pPr>
        <w:pStyle w:val="FootnoteText"/>
      </w:pPr>
      <w:r>
        <w:rPr>
          <w:rStyle w:val="FootnoteReference"/>
        </w:rPr>
        <w:footnoteRef/>
      </w:r>
      <w:r>
        <w:t xml:space="preserve"> Allan Lengel, </w:t>
      </w:r>
      <w:r>
        <w:rPr>
          <w:i/>
        </w:rPr>
        <w:t xml:space="preserve">Task Force Finds More than 84,000 Blighted Parcels in Detroit Neighborhoods, </w:t>
      </w:r>
      <w:r>
        <w:rPr>
          <w:smallCaps/>
        </w:rPr>
        <w:t>Deadline Detroit</w:t>
      </w:r>
      <w:r>
        <w:t xml:space="preserve"> May 27, 2014, </w:t>
      </w:r>
      <w:r w:rsidRPr="00CF0E55">
        <w:t>http://www.deadlinedetroit.com/articles/9428/task_force_finds_84_641_blighted_parcels_in_detroit#.U9q8aeNdXnM</w:t>
      </w:r>
      <w:r>
        <w:t>.</w:t>
      </w:r>
    </w:p>
  </w:footnote>
  <w:footnote w:id="268">
    <w:p w:rsidR="0053578D" w:rsidRPr="00CF0E55" w:rsidRDefault="0053578D">
      <w:pPr>
        <w:pStyle w:val="FootnoteText"/>
      </w:pPr>
      <w:r>
        <w:rPr>
          <w:rStyle w:val="FootnoteReference"/>
        </w:rPr>
        <w:footnoteRef/>
      </w:r>
      <w:r>
        <w:t xml:space="preserve"> Josh Kaib, </w:t>
      </w:r>
      <w:r>
        <w:rPr>
          <w:i/>
        </w:rPr>
        <w:t>Bankrupt Detroit Told to Tear Down 40,000 Buildings by Obama Task Force</w:t>
      </w:r>
      <w:r>
        <w:t xml:space="preserve">, watchdogwire.com, May 28, 2014, </w:t>
      </w:r>
      <w:r w:rsidRPr="00CF0E55">
        <w:t>http://watchdogwire.com/michigan/2014/05/28/bankrupt-detroit-told-to-tear-down-40000-buildings-by-obama-task-force/</w:t>
      </w:r>
      <w:r>
        <w:t>.</w:t>
      </w:r>
    </w:p>
  </w:footnote>
  <w:footnote w:id="269">
    <w:p w:rsidR="0053578D" w:rsidRPr="00217D95" w:rsidRDefault="0053578D">
      <w:pPr>
        <w:pStyle w:val="FootnoteText"/>
      </w:pPr>
      <w:r>
        <w:rPr>
          <w:rStyle w:val="FootnoteReference"/>
        </w:rPr>
        <w:footnoteRef/>
      </w:r>
      <w:r>
        <w:t xml:space="preserve">Chloe Taft, </w:t>
      </w:r>
      <w:r>
        <w:rPr>
          <w:i/>
        </w:rPr>
        <w:t xml:space="preserve">Detroit’s New Task Force Report is “Blight” on Cue, </w:t>
      </w:r>
      <w:r>
        <w:rPr>
          <w:i/>
          <w:smallCaps/>
        </w:rPr>
        <w:t xml:space="preserve">HuffingtonPost </w:t>
      </w:r>
      <w:r>
        <w:t xml:space="preserve">, </w:t>
      </w:r>
      <w:r>
        <w:rPr>
          <w:i/>
        </w:rPr>
        <w:t xml:space="preserve">May 29, 2014, </w:t>
      </w:r>
      <w:hyperlink r:id="rId40" w:history="1">
        <w:r w:rsidRPr="009956CF">
          <w:rPr>
            <w:rStyle w:val="Hyperlink"/>
            <w:i/>
          </w:rPr>
          <w:t>http://www.huffingtonpost.com/chloe-taft/detroits-new-task-force-r_b_5411942.html</w:t>
        </w:r>
      </w:hyperlink>
      <w:r>
        <w:rPr>
          <w:i/>
        </w:rPr>
        <w:t xml:space="preserve"> </w:t>
      </w:r>
      <w:r>
        <w:t>(arguing Gilbert’s “cancer” language sounds like it comes from a “half century ago.”).</w:t>
      </w:r>
    </w:p>
  </w:footnote>
  <w:footnote w:id="270">
    <w:p w:rsidR="0053578D" w:rsidRPr="00EA5573" w:rsidRDefault="0053578D">
      <w:pPr>
        <w:pStyle w:val="FootnoteText"/>
      </w:pPr>
      <w:r>
        <w:rPr>
          <w:rStyle w:val="FootnoteReference"/>
        </w:rPr>
        <w:footnoteRef/>
      </w:r>
      <w:r>
        <w:t xml:space="preserve"> Tom Walsh, </w:t>
      </w:r>
      <w:r>
        <w:rPr>
          <w:i/>
        </w:rPr>
        <w:t xml:space="preserve">Gilbert says Detroit blight can be purged in 3 to 6 years, </w:t>
      </w:r>
      <w:r w:rsidRPr="00EA5573">
        <w:t>Detroit Free Press, May 22, 2014, http://www.freep.com/article/20140522/COL06/305220263/Tom-Walsh-Techweek-Detroit-Dan-Gilbert-Beth-Niblock.</w:t>
      </w:r>
    </w:p>
  </w:footnote>
  <w:footnote w:id="271">
    <w:p w:rsidR="0053578D" w:rsidRPr="00A74416" w:rsidRDefault="0053578D">
      <w:pPr>
        <w:pStyle w:val="FootnoteText"/>
      </w:pPr>
      <w:r>
        <w:rPr>
          <w:rStyle w:val="FootnoteReference"/>
        </w:rPr>
        <w:footnoteRef/>
      </w:r>
      <w:r>
        <w:t xml:space="preserve"> Sam Gringlas, </w:t>
      </w:r>
      <w:r>
        <w:rPr>
          <w:i/>
        </w:rPr>
        <w:t>Beating Blight</w:t>
      </w:r>
      <w:r>
        <w:t xml:space="preserve">, Michigandaily.com, July 2, 2014, </w:t>
      </w:r>
      <w:r w:rsidRPr="00A74416">
        <w:t>http://www.michigandaily.com/news/detroit-beat-beating-blight</w:t>
      </w:r>
      <w:r>
        <w:t>.</w:t>
      </w:r>
    </w:p>
  </w:footnote>
  <w:footnote w:id="272">
    <w:p w:rsidR="0053578D" w:rsidRPr="00A74416" w:rsidRDefault="0053578D">
      <w:pPr>
        <w:pStyle w:val="FootnoteText"/>
      </w:pPr>
      <w:r>
        <w:rPr>
          <w:rStyle w:val="FootnoteReference"/>
        </w:rPr>
        <w:footnoteRef/>
      </w:r>
      <w:r>
        <w:t xml:space="preserve"> Opinion, </w:t>
      </w:r>
      <w:r>
        <w:rPr>
          <w:i/>
        </w:rPr>
        <w:t>Looking at the next stage of city’s war on blight,</w:t>
      </w:r>
      <w:r>
        <w:t xml:space="preserve"> Jacksonville.com, June 12, 2014, </w:t>
      </w:r>
      <w:hyperlink r:id="rId41" w:history="1">
        <w:r w:rsidRPr="009956CF">
          <w:rPr>
            <w:rStyle w:val="Hyperlink"/>
          </w:rPr>
          <w:t>http://jacksonville.com/opinion/editorials/2014-06-12/story/looking-next-stage-citys-war-blight</w:t>
        </w:r>
      </w:hyperlink>
      <w:r>
        <w:t xml:space="preserve"> (analogizing Detroit’s blight problem to Jacksonville’s).</w:t>
      </w:r>
    </w:p>
  </w:footnote>
  <w:footnote w:id="273">
    <w:p w:rsidR="0053578D" w:rsidRPr="00A74416" w:rsidRDefault="0053578D">
      <w:pPr>
        <w:pStyle w:val="FootnoteText"/>
      </w:pPr>
      <w:r>
        <w:rPr>
          <w:rStyle w:val="FootnoteReference"/>
        </w:rPr>
        <w:footnoteRef/>
      </w:r>
      <w:r>
        <w:t xml:space="preserve"> Bent Larkin, </w:t>
      </w:r>
      <w:r>
        <w:rPr>
          <w:i/>
        </w:rPr>
        <w:t xml:space="preserve">Blight and home abandonment now a persistent drag on Greater Cleveland’s economy, </w:t>
      </w:r>
      <w:r>
        <w:rPr>
          <w:smallCaps/>
        </w:rPr>
        <w:t>cleveland.com</w:t>
      </w:r>
      <w:r>
        <w:t>, June 27, 2014,</w:t>
      </w:r>
      <w:r w:rsidRPr="00A74416">
        <w:t xml:space="preserve"> http://www.cleveland.com/opinion/index.ssf/2014/06/blight_and_home_abandonment_no.html</w:t>
      </w:r>
      <w:r>
        <w:t xml:space="preserve">  (analogizing Cleveland and Detroit).</w:t>
      </w:r>
    </w:p>
  </w:footnote>
  <w:footnote w:id="274">
    <w:p w:rsidR="0053578D" w:rsidRPr="00EA5573" w:rsidRDefault="0053578D">
      <w:pPr>
        <w:pStyle w:val="FootnoteText"/>
      </w:pPr>
      <w:r>
        <w:rPr>
          <w:rStyle w:val="FootnoteReference"/>
        </w:rPr>
        <w:footnoteRef/>
      </w:r>
      <w:r>
        <w:t xml:space="preserve"> </w:t>
      </w:r>
      <w:r>
        <w:rPr>
          <w:i/>
        </w:rPr>
        <w:t xml:space="preserve">It Will Cost Almost $2 Billion to Rid Detroit of Urban Blight, </w:t>
      </w:r>
      <w:r w:rsidRPr="00EA5573">
        <w:rPr>
          <w:smallCaps/>
        </w:rPr>
        <w:t>the Week</w:t>
      </w:r>
      <w:r w:rsidRPr="00EA5573">
        <w:t>, May 28, 2014, http://theweek.com/speedreads/index/262239/speedreads-it-will-cost-almost-2-billion-to-rid-detroit-of-urban-blight.</w:t>
      </w:r>
    </w:p>
  </w:footnote>
  <w:footnote w:id="275">
    <w:p w:rsidR="0053578D" w:rsidRPr="001C084A" w:rsidRDefault="0053578D">
      <w:pPr>
        <w:pStyle w:val="FootnoteText"/>
        <w:rPr>
          <w:i/>
        </w:rPr>
      </w:pPr>
      <w:r>
        <w:rPr>
          <w:rStyle w:val="FootnoteReference"/>
        </w:rPr>
        <w:footnoteRef/>
      </w:r>
      <w:r>
        <w:t xml:space="preserve"> </w:t>
      </w:r>
      <w:r>
        <w:rPr>
          <w:i/>
        </w:rPr>
        <w:t>See</w:t>
      </w:r>
      <w:r>
        <w:t xml:space="preserve"> note 266, </w:t>
      </w:r>
      <w:r>
        <w:rPr>
          <w:i/>
        </w:rPr>
        <w:t>supra.</w:t>
      </w:r>
    </w:p>
  </w:footnote>
  <w:footnote w:id="276">
    <w:p w:rsidR="0053578D" w:rsidRPr="001C084A" w:rsidRDefault="0053578D">
      <w:pPr>
        <w:pStyle w:val="FootnoteText"/>
        <w:rPr>
          <w:i/>
        </w:rPr>
      </w:pPr>
      <w:r>
        <w:rPr>
          <w:rStyle w:val="FootnoteReference"/>
        </w:rPr>
        <w:footnoteRef/>
      </w:r>
      <w:r>
        <w:t xml:space="preserve"> </w:t>
      </w:r>
      <w:r>
        <w:rPr>
          <w:i/>
        </w:rPr>
        <w:t>See</w:t>
      </w:r>
      <w:r>
        <w:t xml:space="preserve"> note 267, </w:t>
      </w:r>
      <w:r>
        <w:rPr>
          <w:i/>
        </w:rPr>
        <w:t>supra.</w:t>
      </w:r>
    </w:p>
  </w:footnote>
  <w:footnote w:id="277">
    <w:p w:rsidR="0053578D" w:rsidRPr="001C084A" w:rsidRDefault="0053578D">
      <w:pPr>
        <w:pStyle w:val="FootnoteText"/>
        <w:rPr>
          <w:i/>
        </w:rPr>
      </w:pPr>
      <w:r>
        <w:rPr>
          <w:rStyle w:val="FootnoteReference"/>
        </w:rPr>
        <w:footnoteRef/>
      </w:r>
      <w:r>
        <w:t xml:space="preserve"> </w:t>
      </w:r>
      <w:r>
        <w:rPr>
          <w:i/>
        </w:rPr>
        <w:t>See</w:t>
      </w:r>
      <w:r>
        <w:t xml:space="preserve"> note 271, </w:t>
      </w:r>
      <w:r>
        <w:rPr>
          <w:i/>
        </w:rPr>
        <w:t>supra</w:t>
      </w:r>
    </w:p>
  </w:footnote>
  <w:footnote w:id="278">
    <w:p w:rsidR="0053578D" w:rsidRDefault="0053578D">
      <w:pPr>
        <w:pStyle w:val="FootnoteText"/>
      </w:pPr>
      <w:r>
        <w:rPr>
          <w:rStyle w:val="FootnoteReference"/>
        </w:rPr>
        <w:footnoteRef/>
      </w:r>
      <w:r>
        <w:rPr>
          <w:i/>
        </w:rPr>
        <w:t xml:space="preserve"> See</w:t>
      </w:r>
      <w:r>
        <w:t xml:space="preserve"> note 273, </w:t>
      </w:r>
      <w:r>
        <w:rPr>
          <w:i/>
        </w:rPr>
        <w:t>supra.</w:t>
      </w:r>
      <w:r>
        <w:t xml:space="preserve"> </w:t>
      </w:r>
    </w:p>
  </w:footnote>
  <w:footnote w:id="279">
    <w:p w:rsidR="0053578D" w:rsidRPr="001C084A" w:rsidRDefault="0053578D">
      <w:pPr>
        <w:pStyle w:val="FootnoteText"/>
        <w:rPr>
          <w:i/>
        </w:rPr>
      </w:pPr>
      <w:r>
        <w:rPr>
          <w:rStyle w:val="FootnoteReference"/>
        </w:rPr>
        <w:footnoteRef/>
      </w:r>
      <w:r>
        <w:t xml:space="preserve"> </w:t>
      </w:r>
      <w:r>
        <w:rPr>
          <w:i/>
        </w:rPr>
        <w:t>See</w:t>
      </w:r>
      <w:r>
        <w:t xml:space="preserve"> note 274, </w:t>
      </w:r>
      <w:r>
        <w:rPr>
          <w:i/>
        </w:rPr>
        <w:t>supra.</w:t>
      </w:r>
    </w:p>
  </w:footnote>
  <w:footnote w:id="280">
    <w:p w:rsidR="0053578D" w:rsidRPr="00D42CBF" w:rsidRDefault="0053578D">
      <w:pPr>
        <w:pStyle w:val="FootnoteText"/>
        <w:rPr>
          <w:i/>
        </w:rPr>
      </w:pPr>
      <w:r>
        <w:rPr>
          <w:rStyle w:val="FootnoteReference"/>
        </w:rPr>
        <w:footnoteRef/>
      </w:r>
      <w:r>
        <w:t xml:space="preserve"> </w:t>
      </w:r>
      <w:r>
        <w:rPr>
          <w:i/>
        </w:rPr>
        <w:t>See</w:t>
      </w:r>
      <w:r>
        <w:t xml:space="preserve"> </w:t>
      </w:r>
      <w:r>
        <w:rPr>
          <w:i/>
        </w:rPr>
        <w:t>Peering</w:t>
      </w:r>
      <w:r>
        <w:t xml:space="preserve"> at 15</w:t>
      </w:r>
      <w:r>
        <w:rPr>
          <w:i/>
        </w:rPr>
        <w:t>.</w:t>
      </w:r>
    </w:p>
  </w:footnote>
  <w:footnote w:id="281">
    <w:p w:rsidR="0053578D" w:rsidRPr="00EF595E" w:rsidRDefault="0053578D">
      <w:pPr>
        <w:pStyle w:val="FootnoteText"/>
      </w:pPr>
      <w:r>
        <w:rPr>
          <w:rStyle w:val="FootnoteReference"/>
        </w:rPr>
        <w:footnoteRef/>
      </w:r>
      <w:r>
        <w:t xml:space="preserve"> Slumming is peering tied to pleasurable visual culture.  </w:t>
      </w:r>
      <w:r>
        <w:rPr>
          <w:i/>
        </w:rPr>
        <w:t xml:space="preserve">See, e.g, </w:t>
      </w:r>
      <w:r>
        <w:rPr>
          <w:smallCaps/>
        </w:rPr>
        <w:t>Paula Rabinowitz, They Must Be Represented:  The Politics of Documentary 58 (1994) (</w:t>
      </w:r>
      <w:r w:rsidRPr="00EF595E">
        <w:t xml:space="preserve">documentarians </w:t>
      </w:r>
      <w:r>
        <w:t>who “slumm[ed]” in the 1930s “s[ought]</w:t>
      </w:r>
      <w:r w:rsidRPr="00EF595E">
        <w:t xml:space="preserve"> pleasures, thrills, and answers.”</w:t>
      </w:r>
      <w:r>
        <w:t xml:space="preserve">); </w:t>
      </w:r>
      <w:r>
        <w:rPr>
          <w:i/>
        </w:rPr>
        <w:t xml:space="preserve">Voyeurism, </w:t>
      </w:r>
      <w:r>
        <w:t xml:space="preserve">in </w:t>
      </w:r>
      <w:r>
        <w:rPr>
          <w:smallCaps/>
        </w:rPr>
        <w:t>Encyclopedia of Feminist Literary Theory</w:t>
      </w:r>
      <w:r>
        <w:t xml:space="preserve"> </w:t>
      </w:r>
      <w:r>
        <w:rPr>
          <w:smallCaps/>
        </w:rPr>
        <w:t>590 (2009) (Elizabeth Kowaleski-Wallace, ed.)</w:t>
      </w:r>
      <w:r>
        <w:t xml:space="preserve"> (In the 1800s, male voyeurism was accomplished through . . .  slumming.”).</w:t>
      </w:r>
    </w:p>
  </w:footnote>
  <w:footnote w:id="282">
    <w:p w:rsidR="0053578D" w:rsidRDefault="0053578D">
      <w:pPr>
        <w:pStyle w:val="FootnoteText"/>
      </w:pPr>
      <w:r>
        <w:rPr>
          <w:rStyle w:val="FootnoteReference"/>
        </w:rPr>
        <w:footnoteRef/>
      </w:r>
      <w:r>
        <w:t xml:space="preserve"> </w:t>
      </w:r>
      <w:r>
        <w:rPr>
          <w:i/>
        </w:rPr>
        <w:t>See</w:t>
      </w:r>
      <w:r>
        <w:t xml:space="preserve"> text accompanying note 237, </w:t>
      </w:r>
      <w:r>
        <w:rPr>
          <w:i/>
        </w:rPr>
        <w:t>supra.</w:t>
      </w:r>
      <w:r>
        <w:t xml:space="preserve"> </w:t>
      </w:r>
    </w:p>
  </w:footnote>
  <w:footnote w:id="283">
    <w:p w:rsidR="0053578D" w:rsidRPr="00D36803" w:rsidRDefault="0053578D">
      <w:pPr>
        <w:pStyle w:val="FootnoteText"/>
      </w:pPr>
      <w:r>
        <w:rPr>
          <w:rStyle w:val="FootnoteReference"/>
        </w:rPr>
        <w:footnoteRef/>
      </w:r>
      <w:r>
        <w:t xml:space="preserve"> </w:t>
      </w:r>
      <w:r>
        <w:rPr>
          <w:i/>
        </w:rPr>
        <w:t>See</w:t>
      </w:r>
      <w:r>
        <w:t xml:space="preserve"> </w:t>
      </w:r>
      <w:r w:rsidRPr="00EA5573">
        <w:rPr>
          <w:i/>
        </w:rPr>
        <w:t>Message from the Chairs,</w:t>
      </w:r>
      <w:r>
        <w:rPr>
          <w:i/>
          <w:smallCaps/>
        </w:rPr>
        <w:t xml:space="preserve"> </w:t>
      </w:r>
      <w:r>
        <w:rPr>
          <w:i/>
        </w:rPr>
        <w:t xml:space="preserve">supra note </w:t>
      </w:r>
      <w:r>
        <w:t>254.</w:t>
      </w:r>
    </w:p>
  </w:footnote>
  <w:footnote w:id="284">
    <w:p w:rsidR="0053578D" w:rsidRDefault="0053578D">
      <w:pPr>
        <w:pStyle w:val="FootnoteText"/>
      </w:pPr>
      <w:r>
        <w:rPr>
          <w:rStyle w:val="FootnoteReference"/>
        </w:rPr>
        <w:footnoteRef/>
      </w:r>
      <w:r>
        <w:t xml:space="preserve"> </w:t>
      </w:r>
      <w:r>
        <w:rPr>
          <w:i/>
        </w:rPr>
        <w:t>See</w:t>
      </w:r>
      <w:r>
        <w:t xml:space="preserve"> text accompanying notes 109-113, </w:t>
      </w:r>
      <w:r>
        <w:rPr>
          <w:i/>
        </w:rPr>
        <w:t>supra.</w:t>
      </w:r>
      <w:r>
        <w:t xml:space="preserve"> </w:t>
      </w:r>
    </w:p>
  </w:footnote>
  <w:footnote w:id="285">
    <w:p w:rsidR="0053578D" w:rsidRPr="005618EC" w:rsidRDefault="0053578D">
      <w:pPr>
        <w:pStyle w:val="FootnoteText"/>
        <w:rPr>
          <w:i/>
        </w:rPr>
      </w:pPr>
      <w:r>
        <w:rPr>
          <w:rStyle w:val="FootnoteReference"/>
        </w:rPr>
        <w:footnoteRef/>
      </w:r>
      <w:r>
        <w:t xml:space="preserve"> </w:t>
      </w:r>
      <w:r>
        <w:rPr>
          <w:i/>
        </w:rPr>
        <w:t>See</w:t>
      </w:r>
      <w:r>
        <w:t xml:space="preserve"> text accompanying note 113, </w:t>
      </w:r>
      <w:r>
        <w:rPr>
          <w:i/>
        </w:rPr>
        <w:t>supra.</w:t>
      </w:r>
    </w:p>
  </w:footnote>
  <w:footnote w:id="286">
    <w:p w:rsidR="0053578D" w:rsidRPr="009257AD" w:rsidRDefault="0053578D">
      <w:pPr>
        <w:pStyle w:val="FootnoteText"/>
      </w:pPr>
      <w:r>
        <w:rPr>
          <w:rStyle w:val="FootnoteReference"/>
        </w:rPr>
        <w:footnoteRef/>
      </w:r>
      <w:r>
        <w:t xml:space="preserve"> </w:t>
      </w:r>
      <w:r>
        <w:rPr>
          <w:i/>
        </w:rPr>
        <w:t>Peering</w:t>
      </w:r>
      <w:r>
        <w:t xml:space="preserve"> at 54-55.</w:t>
      </w:r>
    </w:p>
  </w:footnote>
  <w:footnote w:id="287">
    <w:p w:rsidR="0053578D" w:rsidRDefault="0053578D">
      <w:pPr>
        <w:pStyle w:val="FootnoteText"/>
      </w:pPr>
      <w:r>
        <w:rPr>
          <w:rStyle w:val="FootnoteReference"/>
        </w:rPr>
        <w:footnoteRef/>
      </w:r>
      <w:r>
        <w:t xml:space="preserve"> Data unloaded at Motor City Mapping website, </w:t>
      </w:r>
      <w:hyperlink r:id="rId42" w:history="1">
        <w:r w:rsidRPr="009956CF">
          <w:rPr>
            <w:rStyle w:val="Hyperlink"/>
          </w:rPr>
          <w:t>http://d3.d3.opendata.arcgis.com/datasets/7351af38856742e4a842076f2eea05b3_0</w:t>
        </w:r>
      </w:hyperlink>
      <w:r>
        <w:t xml:space="preserve">.; image at </w:t>
      </w:r>
      <w:r w:rsidRPr="00C656A0">
        <w:t>http://www.motorcitymapping.org/uploads/blexts/000/056/789/blext-original.jpg</w:t>
      </w:r>
    </w:p>
  </w:footnote>
  <w:footnote w:id="288">
    <w:p w:rsidR="0053578D" w:rsidRDefault="0053578D">
      <w:pPr>
        <w:pStyle w:val="FootnoteText"/>
      </w:pPr>
      <w:r>
        <w:rPr>
          <w:rStyle w:val="FootnoteReference"/>
        </w:rPr>
        <w:footnoteRef/>
      </w:r>
      <w:r>
        <w:t xml:space="preserve"> </w:t>
      </w:r>
      <w:r w:rsidRPr="00C656A0">
        <w:t>https://www.motorcitymapping.org/uploads/blexts/000/230/591/blext-original.jpg</w:t>
      </w:r>
    </w:p>
  </w:footnote>
  <w:footnote w:id="289">
    <w:p w:rsidR="0053578D" w:rsidRDefault="0053578D">
      <w:pPr>
        <w:pStyle w:val="FootnoteText"/>
      </w:pPr>
      <w:r>
        <w:rPr>
          <w:rStyle w:val="FootnoteReference"/>
        </w:rPr>
        <w:footnoteRef/>
      </w:r>
      <w:r>
        <w:t xml:space="preserve"> </w:t>
      </w:r>
      <w:r w:rsidRPr="00F0374D">
        <w:t>http://www.motorcitymapping.org/uploads/blexts/000/022/446/blext20131210-13046-1dh7as-original.jpg</w:t>
      </w:r>
    </w:p>
  </w:footnote>
  <w:footnote w:id="290">
    <w:p w:rsidR="0053578D" w:rsidRPr="00D36803" w:rsidRDefault="0053578D">
      <w:pPr>
        <w:pStyle w:val="FootnoteText"/>
      </w:pPr>
      <w:r>
        <w:rPr>
          <w:rStyle w:val="FootnoteReference"/>
        </w:rPr>
        <w:footnoteRef/>
      </w:r>
      <w:r>
        <w:t xml:space="preserve"> Erica Raleigh phone interview, supra note 103.  </w:t>
      </w:r>
      <w:r w:rsidRPr="00575159">
        <w:t>http://www.deadlinedetroit.com/articles/8347/erica_raleigh_named_permanent_director_of_data_driven_detroit#.VKrlrfnF9qU</w:t>
      </w:r>
      <w:r>
        <w:t>.</w:t>
      </w:r>
    </w:p>
  </w:footnote>
  <w:footnote w:id="291">
    <w:p w:rsidR="0053578D" w:rsidRPr="00574754" w:rsidRDefault="0053578D">
      <w:pPr>
        <w:pStyle w:val="FootnoteText"/>
        <w:rPr>
          <w:i/>
        </w:rPr>
      </w:pPr>
      <w:r>
        <w:rPr>
          <w:rStyle w:val="FootnoteReference"/>
        </w:rPr>
        <w:footnoteRef/>
      </w:r>
      <w:r>
        <w:t xml:space="preserve"> </w:t>
      </w:r>
      <w:r>
        <w:rPr>
          <w:i/>
        </w:rPr>
        <w:t>See</w:t>
      </w:r>
      <w:r>
        <w:t xml:space="preserve"> text accompanying note 120, </w:t>
      </w:r>
      <w:r>
        <w:rPr>
          <w:i/>
        </w:rPr>
        <w:t>supra.</w:t>
      </w:r>
    </w:p>
  </w:footnote>
  <w:footnote w:id="292">
    <w:p w:rsidR="0053578D" w:rsidRDefault="0053578D">
      <w:pPr>
        <w:pStyle w:val="FootnoteText"/>
      </w:pPr>
      <w:r>
        <w:rPr>
          <w:rStyle w:val="FootnoteReference"/>
        </w:rPr>
        <w:footnoteRef/>
      </w:r>
      <w:r>
        <w:t xml:space="preserve"> </w:t>
      </w:r>
      <w:r>
        <w:rPr>
          <w:smallCaps/>
        </w:rPr>
        <w:t>TtEB</w:t>
      </w:r>
      <w:r w:rsidRPr="00D36803">
        <w:rPr>
          <w:smallCaps/>
        </w:rPr>
        <w:t xml:space="preserve"> FAQ</w:t>
      </w:r>
      <w:r>
        <w:t xml:space="preserve">, </w:t>
      </w:r>
      <w:r w:rsidRPr="00B133C6">
        <w:t>http://www.timetoendblight.com/faq/</w:t>
      </w:r>
      <w:r>
        <w:t>.</w:t>
      </w:r>
    </w:p>
  </w:footnote>
  <w:footnote w:id="293">
    <w:p w:rsidR="0053578D" w:rsidRPr="00EA7D6B" w:rsidRDefault="0053578D">
      <w:pPr>
        <w:pStyle w:val="FootnoteText"/>
      </w:pPr>
      <w:r>
        <w:rPr>
          <w:rStyle w:val="FootnoteReference"/>
        </w:rPr>
        <w:footnoteRef/>
      </w:r>
      <w:r>
        <w:t xml:space="preserve"> Dashboard promised in June of 2014.  </w:t>
      </w:r>
      <w:r>
        <w:rPr>
          <w:i/>
        </w:rPr>
        <w:t>See</w:t>
      </w:r>
      <w:r>
        <w:t xml:space="preserve"> Sara Schmidt, </w:t>
      </w:r>
      <w:r>
        <w:rPr>
          <w:i/>
        </w:rPr>
        <w:t xml:space="preserve">Coming Soon to Detroit’s Blight Fight:  People’s Property Dashboard, </w:t>
      </w:r>
      <w:r w:rsidRPr="00EA7D6B">
        <w:rPr>
          <w:smallCaps/>
        </w:rPr>
        <w:t>Xconomy</w:t>
      </w:r>
      <w:r w:rsidRPr="00EA7D6B">
        <w:t>, 6/15/15, http://www.xconomy.com/detroit/2014/06/04/coming-soon-to-detroits-blight-fight-peoples-property-dashboard/</w:t>
      </w:r>
      <w:r>
        <w:t>.</w:t>
      </w:r>
    </w:p>
  </w:footnote>
  <w:footnote w:id="294">
    <w:p w:rsidR="0053578D" w:rsidRPr="00574754" w:rsidRDefault="0053578D">
      <w:pPr>
        <w:pStyle w:val="FootnoteText"/>
      </w:pPr>
      <w:r>
        <w:rPr>
          <w:rStyle w:val="FootnoteReference"/>
        </w:rPr>
        <w:footnoteRef/>
      </w:r>
      <w:r>
        <w:t xml:space="preserve"> </w:t>
      </w:r>
      <w:r>
        <w:rPr>
          <w:i/>
        </w:rPr>
        <w:t>See, e.g.,</w:t>
      </w:r>
      <w:r>
        <w:t xml:space="preserve"> </w:t>
      </w:r>
      <w:r>
        <w:rPr>
          <w:i/>
        </w:rPr>
        <w:t>Peering</w:t>
      </w:r>
      <w:r>
        <w:t xml:space="preserve"> at 3, discussing </w:t>
      </w:r>
      <w:r>
        <w:rPr>
          <w:i/>
        </w:rPr>
        <w:t>Berman</w:t>
      </w:r>
      <w:r>
        <w:t xml:space="preserve"> and how the downward gaze propelled the exile of an African-American community in D.C.</w:t>
      </w:r>
    </w:p>
  </w:footnote>
  <w:footnote w:id="295">
    <w:p w:rsidR="0053578D" w:rsidRPr="002858FD" w:rsidRDefault="0053578D">
      <w:pPr>
        <w:pStyle w:val="FootnoteText"/>
        <w:rPr>
          <w:i/>
        </w:rPr>
      </w:pPr>
      <w:r>
        <w:rPr>
          <w:rStyle w:val="FootnoteReference"/>
        </w:rPr>
        <w:footnoteRef/>
      </w:r>
      <w:r>
        <w:t xml:space="preserve"> </w:t>
      </w:r>
      <w:r>
        <w:rPr>
          <w:i/>
        </w:rPr>
        <w:t xml:space="preserve">See </w:t>
      </w:r>
      <w:r>
        <w:t xml:space="preserve">text accompanying note 236, </w:t>
      </w:r>
      <w:r>
        <w:rPr>
          <w:i/>
        </w:rPr>
        <w:t>supra.</w:t>
      </w:r>
    </w:p>
  </w:footnote>
  <w:footnote w:id="296">
    <w:p w:rsidR="0053578D" w:rsidRPr="00574754" w:rsidRDefault="0053578D">
      <w:pPr>
        <w:pStyle w:val="FootnoteText"/>
        <w:rPr>
          <w:i/>
        </w:rPr>
      </w:pPr>
      <w:r>
        <w:rPr>
          <w:rStyle w:val="FootnoteReference"/>
        </w:rPr>
        <w:footnoteRef/>
      </w:r>
      <w:r>
        <w:t xml:space="preserve"> </w:t>
      </w:r>
      <w:r>
        <w:rPr>
          <w:i/>
        </w:rPr>
        <w:t>See</w:t>
      </w:r>
      <w:r>
        <w:t xml:space="preserve"> text after note 26, </w:t>
      </w:r>
      <w:r>
        <w:rPr>
          <w:i/>
        </w:rPr>
        <w:t>supra.</w:t>
      </w:r>
    </w:p>
  </w:footnote>
  <w:footnote w:id="297">
    <w:p w:rsidR="0053578D" w:rsidRDefault="0053578D">
      <w:pPr>
        <w:pStyle w:val="FootnoteText"/>
      </w:pPr>
      <w:r>
        <w:rPr>
          <w:rStyle w:val="FootnoteReference"/>
        </w:rPr>
        <w:footnoteRef/>
      </w:r>
      <w:r>
        <w:t xml:space="preserve"> </w:t>
      </w:r>
      <w:r>
        <w:rPr>
          <w:i/>
        </w:rPr>
        <w:t>See</w:t>
      </w:r>
      <w:r>
        <w:t xml:space="preserve"> text accompanying note 145, </w:t>
      </w:r>
      <w:r>
        <w:rPr>
          <w:i/>
        </w:rPr>
        <w:t>supra.</w:t>
      </w:r>
      <w:r>
        <w:t xml:space="preserve"> </w:t>
      </w:r>
    </w:p>
  </w:footnote>
  <w:footnote w:id="298">
    <w:p w:rsidR="0053578D" w:rsidRDefault="0053578D">
      <w:pPr>
        <w:pStyle w:val="FootnoteText"/>
      </w:pPr>
      <w:r>
        <w:rPr>
          <w:rStyle w:val="FootnoteReference"/>
        </w:rPr>
        <w:footnoteRef/>
      </w:r>
      <w:r>
        <w:t xml:space="preserve"> Interview with Delphia Simmons, September 26, 2014, at COTS, Detroit.</w:t>
      </w:r>
    </w:p>
  </w:footnote>
  <w:footnote w:id="299">
    <w:p w:rsidR="0053578D" w:rsidRPr="00FC2F6F" w:rsidRDefault="0053578D">
      <w:pPr>
        <w:pStyle w:val="FootnoteText"/>
      </w:pPr>
      <w:r>
        <w:rPr>
          <w:rStyle w:val="FootnoteReference"/>
        </w:rPr>
        <w:footnoteRef/>
      </w:r>
      <w:r>
        <w:t xml:space="preserve"> </w:t>
      </w:r>
      <w:hyperlink r:id="rId43" w:history="1">
        <w:r w:rsidRPr="00F7267A">
          <w:rPr>
            <w:rStyle w:val="Hyperlink"/>
          </w:rPr>
          <w:t>http://www.cotsdetroit.org/</w:t>
        </w:r>
      </w:hyperlink>
      <w:r>
        <w:t xml:space="preserve">.  Cass Corridor was “notorious” for crime and blight but now sees rejuvenation.  Recent reports tag it “midtown” but residents I spoke to referred to its original name.  </w:t>
      </w:r>
      <w:r>
        <w:rPr>
          <w:i/>
        </w:rPr>
        <w:t xml:space="preserve">See </w:t>
      </w:r>
      <w:r w:rsidRPr="00FC2F6F">
        <w:t>J. Carlisle Larsen</w:t>
      </w:r>
      <w:r w:rsidRPr="00FC2F6F">
        <w:rPr>
          <w:i/>
        </w:rPr>
        <w:t>, Neighborhood Rebranding, Cass Corridor to Midtown:  The Detroit Agenda,</w:t>
      </w:r>
      <w:r>
        <w:t xml:space="preserve"> wedet.org, June 11, 2014, </w:t>
      </w:r>
      <w:r w:rsidRPr="00FC2F6F">
        <w:t>http://wdet.org/news/story/061114-detroit-agenda-midtown-community-jcl/</w:t>
      </w:r>
      <w:r>
        <w:t>.</w:t>
      </w:r>
    </w:p>
  </w:footnote>
  <w:footnote w:id="300">
    <w:p w:rsidR="0053578D" w:rsidRPr="003F0A07" w:rsidRDefault="0053578D">
      <w:pPr>
        <w:pStyle w:val="FootnoteText"/>
        <w:rPr>
          <w:i/>
        </w:rPr>
      </w:pPr>
      <w:r>
        <w:rPr>
          <w:rStyle w:val="FootnoteReference"/>
        </w:rPr>
        <w:footnoteRef/>
      </w:r>
      <w:r>
        <w:t xml:space="preserve"> </w:t>
      </w:r>
      <w:r>
        <w:rPr>
          <w:i/>
        </w:rPr>
        <w:t>Id.</w:t>
      </w:r>
    </w:p>
  </w:footnote>
  <w:footnote w:id="301">
    <w:p w:rsidR="0053578D" w:rsidRPr="00C315CB" w:rsidRDefault="0053578D">
      <w:pPr>
        <w:pStyle w:val="FootnoteText"/>
        <w:rPr>
          <w:i/>
        </w:rPr>
      </w:pPr>
      <w:r>
        <w:rPr>
          <w:rStyle w:val="FootnoteReference"/>
        </w:rPr>
        <w:footnoteRef/>
      </w:r>
      <w:r>
        <w:t xml:space="preserve"> </w:t>
      </w:r>
      <w:r>
        <w:rPr>
          <w:i/>
        </w:rPr>
        <w:t>See</w:t>
      </w:r>
      <w:r>
        <w:t xml:space="preserve"> note 29, </w:t>
      </w:r>
      <w:r>
        <w:rPr>
          <w:i/>
        </w:rPr>
        <w:t>supra.</w:t>
      </w:r>
    </w:p>
  </w:footnote>
  <w:footnote w:id="302">
    <w:p w:rsidR="0053578D" w:rsidRPr="00245509" w:rsidRDefault="0053578D">
      <w:pPr>
        <w:pStyle w:val="FootnoteText"/>
      </w:pPr>
      <w:r>
        <w:rPr>
          <w:rStyle w:val="FootnoteReference"/>
        </w:rPr>
        <w:footnoteRef/>
      </w:r>
      <w:r>
        <w:t xml:space="preserve"> HAND is Detroit’s Continuum of Care (CoC).  Under the McKinney-Vento Homelessness Assistance Act </w:t>
      </w:r>
      <w:r w:rsidRPr="00245509">
        <w:t>of 1987 (Pub. L. 100-77, July 22, 1987, 101 Stat. 482, 42 U.S.C. § 11301 et seq.)</w:t>
      </w:r>
      <w:r>
        <w:t xml:space="preserve">, cities, states, and regions must organize their homeless organizations into a CoC to qualify for federal funding.  </w:t>
      </w:r>
      <w:r>
        <w:rPr>
          <w:i/>
        </w:rPr>
        <w:t>See, e.g.,</w:t>
      </w:r>
      <w:r>
        <w:t xml:space="preserve"> National Alliance to End Homelessness, McKinney-Vento Homeless Assistance Grants [undated],  </w:t>
      </w:r>
      <w:r w:rsidRPr="00245509">
        <w:t xml:space="preserve">http://www.endhomelessness.org/pages/mckinneyvento_HAG </w:t>
      </w:r>
      <w:r>
        <w:t>(“</w:t>
      </w:r>
      <w:r w:rsidRPr="00245509">
        <w:t xml:space="preserve">McKinney-Vento Homeless Assistance Grants </w:t>
      </w:r>
      <w:r>
        <w:t>fund[ed]</w:t>
      </w:r>
      <w:r w:rsidRPr="00245509">
        <w:t xml:space="preserve"> </w:t>
      </w:r>
      <w:r>
        <w:t>. . .  through the CoC</w:t>
      </w:r>
      <w:r w:rsidRPr="00245509">
        <w:t>.</w:t>
      </w:r>
      <w:r>
        <w:t xml:space="preserve">”); </w:t>
      </w:r>
      <w:hyperlink r:id="rId44" w:history="1">
        <w:r w:rsidRPr="00942C05">
          <w:rPr>
            <w:rStyle w:val="Hyperlink"/>
          </w:rPr>
          <w:t>http://www2.ed.gov/policy/elsec/leg/esea02/pg116.html</w:t>
        </w:r>
      </w:hyperlink>
      <w:r>
        <w:t xml:space="preserve">.  </w:t>
      </w:r>
      <w:r>
        <w:rPr>
          <w:i/>
        </w:rPr>
        <w:t xml:space="preserve">See also </w:t>
      </w:r>
      <w:r>
        <w:t xml:space="preserve">HUD Exchange, </w:t>
      </w:r>
      <w:r>
        <w:rPr>
          <w:i/>
        </w:rPr>
        <w:t xml:space="preserve">Homeless Emergency Assistance and Rapid Transition to Housing (HEARTH):  CoC Program Interim Rule, </w:t>
      </w:r>
      <w:r w:rsidRPr="00245509">
        <w:t xml:space="preserve">July 2012, </w:t>
      </w:r>
      <w:hyperlink r:id="rId45" w:history="1">
        <w:r w:rsidRPr="00942C05">
          <w:rPr>
            <w:rStyle w:val="Hyperlink"/>
          </w:rPr>
          <w:t>https://www.hudexchange.info/resource/2033/hearth-coc-program-interim-rule/</w:t>
        </w:r>
      </w:hyperlink>
      <w:r>
        <w:t xml:space="preserve"> (Regulations for CoC’s).</w:t>
      </w:r>
    </w:p>
  </w:footnote>
  <w:footnote w:id="303">
    <w:p w:rsidR="0053578D" w:rsidRPr="00CE79D8" w:rsidRDefault="0053578D">
      <w:pPr>
        <w:pStyle w:val="FootnoteText"/>
      </w:pPr>
      <w:r>
        <w:rPr>
          <w:rStyle w:val="FootnoteReference"/>
        </w:rPr>
        <w:footnoteRef/>
      </w:r>
      <w:r>
        <w:t xml:space="preserve"> </w:t>
      </w:r>
      <w:r>
        <w:rPr>
          <w:i/>
        </w:rPr>
        <w:t>See</w:t>
      </w:r>
      <w:r>
        <w:t xml:space="preserve"> Matt Schmitz, </w:t>
      </w:r>
      <w:r>
        <w:rPr>
          <w:i/>
        </w:rPr>
        <w:t xml:space="preserve">Does Your City Have the Highest Insurance Costs? </w:t>
      </w:r>
      <w:r w:rsidRPr="003D5AC5">
        <w:rPr>
          <w:smallCaps/>
        </w:rPr>
        <w:t>usatoday.com</w:t>
      </w:r>
      <w:r>
        <w:t>, September 19, 2014,</w:t>
      </w:r>
      <w:r w:rsidRPr="00CE79D8">
        <w:t xml:space="preserve"> http://www.usatoday.com/story/money/cars/2014/09/19/cars-highest-premiums-insurance/15864797/</w:t>
      </w:r>
      <w:r>
        <w:t xml:space="preserve"> (“Motor City . . .  ha[s] the most expensive auto insurance in the nation.  Detroit-area drivers on average pay 165 percent more.”</w:t>
      </w:r>
    </w:p>
  </w:footnote>
  <w:footnote w:id="304">
    <w:p w:rsidR="0053578D" w:rsidRPr="00A145D3" w:rsidRDefault="0053578D" w:rsidP="00A145D3">
      <w:pPr>
        <w:pStyle w:val="FootnoteText"/>
      </w:pPr>
      <w:r>
        <w:rPr>
          <w:rStyle w:val="FootnoteReference"/>
        </w:rPr>
        <w:footnoteRef/>
      </w:r>
      <w:r>
        <w:t xml:space="preserve"> </w:t>
      </w:r>
      <w:r>
        <w:rPr>
          <w:i/>
        </w:rPr>
        <w:t xml:space="preserve">See Car Insurance in Michigan, </w:t>
      </w:r>
      <w:r>
        <w:rPr>
          <w:smallCaps/>
        </w:rPr>
        <w:t xml:space="preserve">DMV.org, </w:t>
      </w:r>
      <w:hyperlink r:id="rId46" w:history="1">
        <w:r w:rsidRPr="00A05955">
          <w:rPr>
            <w:rStyle w:val="Hyperlink"/>
          </w:rPr>
          <w:t>http://www.dmv.org/mi-michigan/car-insurance.php</w:t>
        </w:r>
      </w:hyperlink>
      <w:r w:rsidRPr="00A145D3">
        <w:t>:</w:t>
      </w:r>
      <w:r>
        <w:t xml:space="preserve"> Driving without insurance is a misdemeanor punishable by up to $500.00 fine and 1 year in jail); Michigan Insurance Code of 1956, Section 500.3102 (2), </w:t>
      </w:r>
      <w:r w:rsidRPr="00A145D3">
        <w:t>http://www.legislature.mi.gov/(S(bfbbgz555alusz55hbvwqf55))/mileg.aspx?page=getObject&amp;objectName=mcl-500-3102</w:t>
      </w:r>
      <w:r>
        <w:t>.</w:t>
      </w:r>
    </w:p>
  </w:footnote>
  <w:footnote w:id="305">
    <w:p w:rsidR="0053578D" w:rsidRDefault="0053578D">
      <w:pPr>
        <w:pStyle w:val="FootnoteText"/>
      </w:pPr>
      <w:r>
        <w:rPr>
          <w:rStyle w:val="FootnoteReference"/>
        </w:rPr>
        <w:footnoteRef/>
      </w:r>
      <w:r>
        <w:t xml:space="preserve"> Driver Responsibility Fees phased out October 2019, </w:t>
      </w:r>
      <w:hyperlink r:id="rId47" w:history="1">
        <w:r w:rsidRPr="00F7267A">
          <w:rPr>
            <w:rStyle w:val="Hyperlink"/>
          </w:rPr>
          <w:t>http://www.mi.gov/documents/driverresponsibility/DRFPhase-OutChart_470541_7.pdf</w:t>
        </w:r>
      </w:hyperlink>
      <w:r>
        <w:t xml:space="preserve">; </w:t>
      </w:r>
      <w:hyperlink r:id="rId48" w:history="1">
        <w:r w:rsidRPr="00F7267A">
          <w:rPr>
            <w:rStyle w:val="Hyperlink"/>
          </w:rPr>
          <w:t>http://www.mi.gov/driverresponsibility</w:t>
        </w:r>
      </w:hyperlink>
      <w:r>
        <w:t xml:space="preserve">.  </w:t>
      </w:r>
    </w:p>
  </w:footnote>
  <w:footnote w:id="306">
    <w:p w:rsidR="0053578D" w:rsidRPr="002864A6" w:rsidRDefault="0053578D">
      <w:pPr>
        <w:pStyle w:val="FootnoteText"/>
      </w:pPr>
      <w:r>
        <w:rPr>
          <w:rStyle w:val="FootnoteReference"/>
        </w:rPr>
        <w:footnoteRef/>
      </w:r>
      <w:r>
        <w:t xml:space="preserve"> </w:t>
      </w:r>
      <w:r>
        <w:rPr>
          <w:i/>
        </w:rPr>
        <w:t>See</w:t>
      </w:r>
      <w:r>
        <w:t xml:space="preserve"> National HCH Council, 2 </w:t>
      </w:r>
      <w:r>
        <w:rPr>
          <w:i/>
        </w:rPr>
        <w:t>In Focus: Incarceration &amp; Homelessness:  A Revolving Door of Risk</w:t>
      </w:r>
      <w:r>
        <w:t xml:space="preserve"> 1 (Nov. 2013), </w:t>
      </w:r>
      <w:hyperlink r:id="rId49" w:history="1">
        <w:r w:rsidRPr="00F7267A">
          <w:rPr>
            <w:rStyle w:val="Hyperlink"/>
          </w:rPr>
          <w:t>http://www.nhchc.org/wp-content/uploads/2011/09/infocus_incarceration_nov2013.pdf</w:t>
        </w:r>
      </w:hyperlink>
      <w:r>
        <w:t xml:space="preserve"> (“Incarceration and homelessness are mutual risk factors. . . .  25-50% of the homeless population has a history of incarceration.”).</w:t>
      </w:r>
    </w:p>
  </w:footnote>
  <w:footnote w:id="307">
    <w:p w:rsidR="0053578D" w:rsidRPr="00F00BFF" w:rsidRDefault="0053578D">
      <w:pPr>
        <w:pStyle w:val="FootnoteText"/>
      </w:pPr>
      <w:r>
        <w:rPr>
          <w:rStyle w:val="FootnoteReference"/>
        </w:rPr>
        <w:footnoteRef/>
      </w:r>
      <w:r>
        <w:rPr>
          <w:i/>
        </w:rPr>
        <w:t>See</w:t>
      </w:r>
      <w:r>
        <w:t xml:space="preserve"> Department of Human Services, </w:t>
      </w:r>
      <w:r>
        <w:rPr>
          <w:i/>
        </w:rPr>
        <w:t>Income Eligibility Chart</w:t>
      </w:r>
      <w:r>
        <w:t xml:space="preserve">, </w:t>
      </w:r>
      <w:r w:rsidRPr="00B87987">
        <w:t>http://www.michigan.gov/dhs/0,4562,7-124-5529_7143-20878--,00.html</w:t>
      </w:r>
      <w:r>
        <w:t xml:space="preserve"> (a family group size of 1-2 earns no DHS assistance if gross monthly income (GMI) is over $1607; a family group size of 3 earns 0 if GMI over $1900; the cap for 5 is $2367; for 6 Is $2746). </w:t>
      </w:r>
      <w:r>
        <w:rPr>
          <w:i/>
        </w:rPr>
        <w:t xml:space="preserve">See also </w:t>
      </w:r>
      <w:r>
        <w:t xml:space="preserve">Kathy arks Hoffman, </w:t>
      </w:r>
      <w:r>
        <w:rPr>
          <w:i/>
        </w:rPr>
        <w:t xml:space="preserve">Mich. Governor signs 48-month welfare limit, </w:t>
      </w:r>
      <w:r w:rsidRPr="00F00BFF">
        <w:rPr>
          <w:smallCaps/>
        </w:rPr>
        <w:t xml:space="preserve">Yahoo! News, </w:t>
      </w:r>
      <w:r w:rsidRPr="00F00BFF">
        <w:t xml:space="preserve">Sept. 6, 2011, http://news.yahoo.com/mich-governor-signs-48-month-welfare-limit-231915012.html </w:t>
      </w:r>
      <w:r>
        <w:t>(“</w:t>
      </w:r>
      <w:r w:rsidRPr="00F00BFF">
        <w:t>The change gives Michigan the Midwest's toughest welfare time limit</w:t>
      </w:r>
      <w:r>
        <w:t xml:space="preserve">. . . . </w:t>
      </w:r>
      <w:r w:rsidRPr="00F00BFF">
        <w:t>Gilda Jacobs of the Michigan Lea</w:t>
      </w:r>
      <w:r>
        <w:t xml:space="preserve">gue for Human Services . . . </w:t>
      </w:r>
      <w:r w:rsidRPr="00F00BFF">
        <w:t xml:space="preserve">expects about 41,000 people to lose their cash assistance payments </w:t>
      </w:r>
      <w:r>
        <w:t xml:space="preserve">. . . </w:t>
      </w:r>
      <w:r w:rsidRPr="00F00BFF">
        <w:t>. That includes 29,700 children, according to the Michigan Department of Human Services.</w:t>
      </w:r>
      <w:r>
        <w:t>”).</w:t>
      </w:r>
    </w:p>
  </w:footnote>
  <w:footnote w:id="308">
    <w:p w:rsidR="0053578D" w:rsidRPr="001705E0" w:rsidRDefault="0053578D">
      <w:pPr>
        <w:pStyle w:val="FootnoteText"/>
      </w:pPr>
      <w:r>
        <w:rPr>
          <w:rStyle w:val="FootnoteReference"/>
        </w:rPr>
        <w:footnoteRef/>
      </w:r>
      <w:r>
        <w:t xml:space="preserve"> </w:t>
      </w:r>
      <w:r>
        <w:rPr>
          <w:i/>
        </w:rPr>
        <w:t>Cf.</w:t>
      </w:r>
      <w:r>
        <w:t xml:space="preserve"> Andre Damon, </w:t>
      </w:r>
      <w:r>
        <w:rPr>
          <w:i/>
        </w:rPr>
        <w:t xml:space="preserve">Tenants of Detroit apartment building living without utilities, </w:t>
      </w:r>
      <w:r w:rsidRPr="001705E0">
        <w:rPr>
          <w:smallCaps/>
        </w:rPr>
        <w:t>World Socialist Web Site</w:t>
      </w:r>
      <w:r w:rsidRPr="001705E0">
        <w:t>, Jan. 21, 2010</w:t>
      </w:r>
      <w:r>
        <w:t xml:space="preserve">, </w:t>
      </w:r>
      <w:hyperlink r:id="rId50" w:history="1">
        <w:r w:rsidRPr="00942C05">
          <w:rPr>
            <w:rStyle w:val="Hyperlink"/>
          </w:rPr>
          <w:t>http://www.wsws.org/en/articles/2010/01/detr-j21.html</w:t>
        </w:r>
      </w:hyperlink>
      <w:r>
        <w:t xml:space="preserve"> (“</w:t>
      </w:r>
      <w:r w:rsidRPr="001705E0">
        <w:t xml:space="preserve">Nearly 100 tenants at the Casamira Apartments in Detroit have been without electricity since Thursday, after their landlord refused to repair the electrical system after a power failure. </w:t>
      </w:r>
      <w:r>
        <w:t xml:space="preserve">. . . . </w:t>
      </w:r>
      <w:r w:rsidRPr="001705E0">
        <w:t xml:space="preserve">Tenants </w:t>
      </w:r>
      <w:r>
        <w:t xml:space="preserve">. . . </w:t>
      </w:r>
      <w:r w:rsidRPr="001705E0">
        <w:t>had no heat, no hot water, and the hallways were pitch dark.</w:t>
      </w:r>
      <w:r>
        <w:t>”).</w:t>
      </w:r>
    </w:p>
  </w:footnote>
  <w:footnote w:id="309">
    <w:p w:rsidR="0053578D" w:rsidRPr="006A327E" w:rsidRDefault="0053578D">
      <w:pPr>
        <w:pStyle w:val="FootnoteText"/>
        <w:rPr>
          <w:smallCaps/>
        </w:rPr>
      </w:pPr>
      <w:r>
        <w:rPr>
          <w:rStyle w:val="FootnoteReference"/>
        </w:rPr>
        <w:footnoteRef/>
      </w:r>
      <w:r>
        <w:t xml:space="preserve"> On Numbeo.com, I compared Detroit and L.A. food prices.  Detroit came in 14.9% higher.  </w:t>
      </w:r>
      <w:r>
        <w:rPr>
          <w:i/>
        </w:rPr>
        <w:t>See</w:t>
      </w:r>
      <w:r>
        <w:t xml:space="preserve"> </w:t>
      </w:r>
      <w:r>
        <w:rPr>
          <w:i/>
        </w:rPr>
        <w:t>Cost of Living Comparison Between Los Angeles, Ca and Detroit, MI</w:t>
      </w:r>
      <w:r>
        <w:t xml:space="preserve">, </w:t>
      </w:r>
      <w:r>
        <w:rPr>
          <w:smallCaps/>
        </w:rPr>
        <w:t>numbeo.com</w:t>
      </w:r>
      <w:r>
        <w:rPr>
          <w:i/>
          <w:smallCaps/>
        </w:rPr>
        <w:t xml:space="preserve">, </w:t>
      </w:r>
      <w:hyperlink r:id="rId51" w:history="1">
        <w:r w:rsidRPr="00942C05">
          <w:rPr>
            <w:rStyle w:val="Hyperlink"/>
            <w:smallCaps/>
          </w:rPr>
          <w:t>http://www.numbeo.com/cost-of-living/compare_cities.jsp?country1=United+States&amp;country2=United+States&amp;city1=Los+Angeles%2C+CA&amp;city2=Detroit%2C+MI</w:t>
        </w:r>
      </w:hyperlink>
      <w:r>
        <w:rPr>
          <w:smallCaps/>
        </w:rPr>
        <w:t>.</w:t>
      </w:r>
    </w:p>
  </w:footnote>
  <w:footnote w:id="310">
    <w:p w:rsidR="0053578D" w:rsidRPr="00B647D4" w:rsidRDefault="0053578D">
      <w:pPr>
        <w:pStyle w:val="FootnoteText"/>
        <w:rPr>
          <w:i/>
        </w:rPr>
      </w:pPr>
      <w:r>
        <w:rPr>
          <w:rStyle w:val="FootnoteReference"/>
        </w:rPr>
        <w:footnoteRef/>
      </w:r>
      <w:r>
        <w:t xml:space="preserve"> </w:t>
      </w:r>
      <w:r>
        <w:rPr>
          <w:i/>
        </w:rPr>
        <w:t>See</w:t>
      </w:r>
      <w:r>
        <w:t xml:space="preserve"> section II(B), </w:t>
      </w:r>
      <w:r>
        <w:rPr>
          <w:i/>
        </w:rPr>
        <w:t>supra.</w:t>
      </w:r>
    </w:p>
  </w:footnote>
  <w:footnote w:id="311">
    <w:p w:rsidR="0053578D" w:rsidRPr="004E552F" w:rsidRDefault="0053578D">
      <w:pPr>
        <w:pStyle w:val="FootnoteText"/>
      </w:pPr>
      <w:r>
        <w:rPr>
          <w:rStyle w:val="FootnoteReference"/>
        </w:rPr>
        <w:footnoteRef/>
      </w:r>
      <w:r>
        <w:t xml:space="preserve"> </w:t>
      </w:r>
      <w:r>
        <w:rPr>
          <w:i/>
        </w:rPr>
        <w:t>See Peering</w:t>
      </w:r>
      <w:r>
        <w:t xml:space="preserve"> at Section IV.</w:t>
      </w:r>
    </w:p>
  </w:footnote>
  <w:footnote w:id="312">
    <w:p w:rsidR="0053578D" w:rsidRPr="004E552F" w:rsidRDefault="0053578D">
      <w:pPr>
        <w:pStyle w:val="FootnoteText"/>
        <w:rPr>
          <w:i/>
        </w:rPr>
      </w:pPr>
      <w:r>
        <w:rPr>
          <w:rStyle w:val="FootnoteReference"/>
        </w:rPr>
        <w:footnoteRef/>
      </w:r>
      <w:r>
        <w:t xml:space="preserve"> </w:t>
      </w:r>
      <w:r>
        <w:rPr>
          <w:i/>
        </w:rPr>
        <w:t>Id.</w:t>
      </w:r>
    </w:p>
  </w:footnote>
  <w:footnote w:id="313">
    <w:p w:rsidR="0053578D" w:rsidRPr="00FE3BF8" w:rsidRDefault="0053578D">
      <w:pPr>
        <w:pStyle w:val="FootnoteText"/>
      </w:pPr>
      <w:r>
        <w:rPr>
          <w:rStyle w:val="FootnoteReference"/>
        </w:rPr>
        <w:footnoteRef/>
      </w:r>
      <w:r>
        <w:t xml:space="preserve"> </w:t>
      </w:r>
      <w:r>
        <w:rPr>
          <w:i/>
        </w:rPr>
        <w:t>See</w:t>
      </w:r>
      <w:r>
        <w:t xml:space="preserve"> </w:t>
      </w:r>
      <w:r>
        <w:rPr>
          <w:i/>
        </w:rPr>
        <w:t>Message from the Chairs</w:t>
      </w:r>
      <w:r>
        <w:t xml:space="preserve">, </w:t>
      </w:r>
      <w:r>
        <w:rPr>
          <w:i/>
        </w:rPr>
        <w:t xml:space="preserve">supra note </w:t>
      </w:r>
      <w:r>
        <w:t>254, describing the “once thriving world class city of Detroit.”</w:t>
      </w:r>
    </w:p>
  </w:footnote>
  <w:footnote w:id="314">
    <w:p w:rsidR="0053578D" w:rsidRPr="00FE3BF8" w:rsidRDefault="0053578D">
      <w:pPr>
        <w:pStyle w:val="FootnoteText"/>
      </w:pPr>
      <w:r>
        <w:rPr>
          <w:rStyle w:val="FootnoteReference"/>
        </w:rPr>
        <w:footnoteRef/>
      </w:r>
      <w:r>
        <w:t xml:space="preserve"> </w:t>
      </w:r>
      <w:r>
        <w:rPr>
          <w:i/>
        </w:rPr>
        <w:t>Id.</w:t>
      </w:r>
    </w:p>
  </w:footnote>
  <w:footnote w:id="315">
    <w:p w:rsidR="0053578D" w:rsidRDefault="0053578D">
      <w:pPr>
        <w:pStyle w:val="FootnoteText"/>
      </w:pPr>
      <w:r>
        <w:rPr>
          <w:rStyle w:val="FootnoteReference"/>
        </w:rPr>
        <w:footnoteRef/>
      </w:r>
      <w:r>
        <w:t xml:space="preserve"> See video supra note 262, beginning around 1:11:33.</w:t>
      </w:r>
    </w:p>
  </w:footnote>
  <w:footnote w:id="316">
    <w:p w:rsidR="0053578D" w:rsidRPr="000C2F80" w:rsidRDefault="0053578D">
      <w:pPr>
        <w:pStyle w:val="FootnoteText"/>
      </w:pPr>
      <w:r>
        <w:rPr>
          <w:rStyle w:val="FootnoteReference"/>
        </w:rPr>
        <w:footnoteRef/>
      </w:r>
      <w:r>
        <w:t xml:space="preserve"> Ben Austen, </w:t>
      </w:r>
      <w:r>
        <w:rPr>
          <w:i/>
        </w:rPr>
        <w:t>The Post-Post-Apocalyptic Detroit</w:t>
      </w:r>
      <w:r>
        <w:t xml:space="preserve">, N.Y.T, July 11, 2014, Magazine, </w:t>
      </w:r>
      <w:r w:rsidRPr="004E552F">
        <w:t>http://www.nytimes.com/2014/07/13/magazine/the-post-post-apocalyptic-detroit.html?_r=0</w:t>
      </w:r>
      <w:r>
        <w:t>.</w:t>
      </w:r>
    </w:p>
  </w:footnote>
  <w:footnote w:id="317">
    <w:p w:rsidR="0053578D" w:rsidRPr="00D16308" w:rsidRDefault="0053578D">
      <w:pPr>
        <w:pStyle w:val="FootnoteText"/>
        <w:rPr>
          <w:i/>
        </w:rPr>
      </w:pPr>
      <w:r>
        <w:rPr>
          <w:rStyle w:val="FootnoteReference"/>
        </w:rPr>
        <w:footnoteRef/>
      </w:r>
      <w:r>
        <w:t xml:space="preserve"> </w:t>
      </w:r>
      <w:r>
        <w:rPr>
          <w:i/>
        </w:rPr>
        <w:t>See</w:t>
      </w:r>
      <w:r>
        <w:t xml:space="preserve"> text accompanying note 230, </w:t>
      </w:r>
      <w:r>
        <w:rPr>
          <w:i/>
        </w:rPr>
        <w:t>supra.</w:t>
      </w:r>
    </w:p>
  </w:footnote>
  <w:footnote w:id="318">
    <w:p w:rsidR="0053578D" w:rsidRPr="000C2F80" w:rsidRDefault="0053578D">
      <w:pPr>
        <w:pStyle w:val="FootnoteText"/>
        <w:rPr>
          <w:i/>
        </w:rPr>
      </w:pPr>
      <w:r>
        <w:rPr>
          <w:rStyle w:val="FootnoteReference"/>
        </w:rPr>
        <w:footnoteRef/>
      </w:r>
      <w:r>
        <w:t xml:space="preserve"> </w:t>
      </w:r>
      <w:r>
        <w:rPr>
          <w:i/>
        </w:rPr>
        <w:t>Id.</w:t>
      </w:r>
    </w:p>
  </w:footnote>
  <w:footnote w:id="319">
    <w:p w:rsidR="0053578D" w:rsidRPr="00244F2E" w:rsidRDefault="0053578D">
      <w:pPr>
        <w:pStyle w:val="FootnoteText"/>
        <w:rPr>
          <w:i/>
        </w:rPr>
      </w:pPr>
      <w:r>
        <w:rPr>
          <w:rStyle w:val="FootnoteReference"/>
        </w:rPr>
        <w:footnoteRef/>
      </w:r>
      <w:r>
        <w:t xml:space="preserve"> </w:t>
      </w:r>
      <w:r>
        <w:rPr>
          <w:i/>
        </w:rPr>
        <w:t>See</w:t>
      </w:r>
      <w:r>
        <w:t xml:space="preserve"> note 236, </w:t>
      </w:r>
      <w:r>
        <w:rPr>
          <w:i/>
        </w:rPr>
        <w:t>supra.</w:t>
      </w:r>
    </w:p>
  </w:footnote>
  <w:footnote w:id="320">
    <w:p w:rsidR="0053578D" w:rsidRPr="00EA5573" w:rsidRDefault="0053578D">
      <w:pPr>
        <w:pStyle w:val="FootnoteText"/>
      </w:pPr>
      <w:r>
        <w:rPr>
          <w:rStyle w:val="FootnoteReference"/>
        </w:rPr>
        <w:footnoteRef/>
      </w:r>
      <w:r>
        <w:t xml:space="preserve"> </w:t>
      </w:r>
      <w:r w:rsidRPr="00720B8D">
        <w:t xml:space="preserve">Tom Walsh, </w:t>
      </w:r>
      <w:r w:rsidRPr="00720B8D">
        <w:rPr>
          <w:i/>
        </w:rPr>
        <w:t xml:space="preserve">Gilbert Says Detroit blight can be purged in 30 to 6 years, </w:t>
      </w:r>
      <w:r w:rsidRPr="00EA5573">
        <w:rPr>
          <w:smallCaps/>
        </w:rPr>
        <w:t>Detroit Free Press,</w:t>
      </w:r>
      <w:r w:rsidRPr="00EA5573">
        <w:t xml:space="preserve"> May 22, 2014, http://www.freep.com/article/20140522/COL06/305220263/Tom-Walsh-Techweek-Detroit-Dan-Gilbert-Beth-Niblock%20-.</w:t>
      </w:r>
    </w:p>
  </w:footnote>
  <w:footnote w:id="321">
    <w:p w:rsidR="0053578D" w:rsidRPr="00720B8D" w:rsidRDefault="0053578D">
      <w:pPr>
        <w:pStyle w:val="FootnoteText"/>
        <w:rPr>
          <w:i/>
        </w:rPr>
      </w:pPr>
      <w:r>
        <w:rPr>
          <w:rStyle w:val="FootnoteReference"/>
        </w:rPr>
        <w:footnoteRef/>
      </w:r>
      <w:r>
        <w:t xml:space="preserve"> </w:t>
      </w:r>
      <w:r>
        <w:rPr>
          <w:i/>
        </w:rPr>
        <w:t>See</w:t>
      </w:r>
      <w:r>
        <w:t xml:space="preserve"> text accompanying notes 232-233, </w:t>
      </w:r>
      <w:r>
        <w:rPr>
          <w:i/>
        </w:rPr>
        <w:t>supra.</w:t>
      </w:r>
    </w:p>
  </w:footnote>
  <w:footnote w:id="322">
    <w:p w:rsidR="0053578D" w:rsidRPr="00666975" w:rsidRDefault="0053578D">
      <w:pPr>
        <w:pStyle w:val="FootnoteText"/>
        <w:rPr>
          <w:i/>
        </w:rPr>
      </w:pPr>
      <w:r>
        <w:rPr>
          <w:rStyle w:val="FootnoteReference"/>
        </w:rPr>
        <w:footnoteRef/>
      </w:r>
      <w:r>
        <w:t xml:space="preserve"> Tom Walsh, </w:t>
      </w:r>
      <w:r w:rsidRPr="002B1B3E">
        <w:t>supra</w:t>
      </w:r>
      <w:r>
        <w:rPr>
          <w:i/>
        </w:rPr>
        <w:t xml:space="preserve"> </w:t>
      </w:r>
      <w:r>
        <w:t xml:space="preserve">note 6.  </w:t>
      </w:r>
    </w:p>
  </w:footnote>
  <w:footnote w:id="323">
    <w:p w:rsidR="0053578D" w:rsidRDefault="0053578D">
      <w:pPr>
        <w:pStyle w:val="FootnoteText"/>
      </w:pPr>
      <w:r>
        <w:rPr>
          <w:rStyle w:val="FootnoteReference"/>
        </w:rPr>
        <w:footnoteRef/>
      </w:r>
      <w:r>
        <w:t xml:space="preserve"> </w:t>
      </w:r>
      <w:r>
        <w:rPr>
          <w:i/>
        </w:rPr>
        <w:t>See</w:t>
      </w:r>
      <w:r>
        <w:t xml:space="preserve"> text accompanying notes 333-335, </w:t>
      </w:r>
      <w:r>
        <w:rPr>
          <w:i/>
        </w:rPr>
        <w:t>infra.</w:t>
      </w:r>
      <w:r>
        <w:t xml:space="preserve"> </w:t>
      </w:r>
    </w:p>
  </w:footnote>
  <w:footnote w:id="324">
    <w:p w:rsidR="0053578D" w:rsidRDefault="0053578D">
      <w:pPr>
        <w:pStyle w:val="FootnoteText"/>
      </w:pPr>
      <w:r>
        <w:rPr>
          <w:rStyle w:val="FootnoteReference"/>
        </w:rPr>
        <w:footnoteRef/>
      </w:r>
      <w:r>
        <w:t xml:space="preserve"> </w:t>
      </w:r>
      <w:r w:rsidRPr="00842512">
        <w:t>http://detroitopportunityproject.com/abouttheproject</w:t>
      </w:r>
      <w:r>
        <w:t>.</w:t>
      </w:r>
    </w:p>
  </w:footnote>
  <w:footnote w:id="325">
    <w:p w:rsidR="0053578D" w:rsidRDefault="0053578D" w:rsidP="00720B8D">
      <w:pPr>
        <w:pStyle w:val="FootnoteText"/>
      </w:pPr>
      <w:r>
        <w:rPr>
          <w:rStyle w:val="FootnoteReference"/>
        </w:rPr>
        <w:footnoteRef/>
      </w:r>
      <w:r>
        <w:t xml:space="preserve"> </w:t>
      </w:r>
      <w:r w:rsidRPr="00842512">
        <w:t>http://detroitopportunityproject.com/TheMillennialFrontier</w:t>
      </w:r>
      <w:r>
        <w:t>.</w:t>
      </w:r>
    </w:p>
  </w:footnote>
  <w:footnote w:id="326">
    <w:p w:rsidR="0053578D" w:rsidRDefault="0053578D">
      <w:pPr>
        <w:pStyle w:val="FootnoteText"/>
      </w:pPr>
      <w:r>
        <w:rPr>
          <w:rStyle w:val="FootnoteReference"/>
        </w:rPr>
        <w:footnoteRef/>
      </w:r>
      <w:r>
        <w:t xml:space="preserve"> </w:t>
      </w:r>
      <w:r w:rsidRPr="00842512">
        <w:t>http://detroitopportunityproject.com/TheMillennialFrontier</w:t>
      </w:r>
      <w:r>
        <w:t>.</w:t>
      </w:r>
    </w:p>
  </w:footnote>
  <w:footnote w:id="327">
    <w:p w:rsidR="0053578D" w:rsidRPr="000F046A" w:rsidRDefault="0053578D">
      <w:pPr>
        <w:pStyle w:val="FootnoteText"/>
      </w:pPr>
      <w:r>
        <w:rPr>
          <w:rStyle w:val="FootnoteReference"/>
        </w:rPr>
        <w:footnoteRef/>
      </w:r>
      <w:r>
        <w:t xml:space="preserve"> Aaron M. Renn, </w:t>
      </w:r>
      <w:r>
        <w:rPr>
          <w:i/>
        </w:rPr>
        <w:t>Detroit: Urban Laboratory and the New American Frontier</w:t>
      </w:r>
      <w:r>
        <w:t xml:space="preserve">, </w:t>
      </w:r>
      <w:r>
        <w:rPr>
          <w:smallCaps/>
        </w:rPr>
        <w:t>new geography</w:t>
      </w:r>
      <w:r>
        <w:t xml:space="preserve"> 11/04/2009,  </w:t>
      </w:r>
      <w:r w:rsidRPr="000F046A">
        <w:t>http://www.newgeography.com/content/001171-detroit-urban-laboratory-and-new-american-frontier</w:t>
      </w:r>
      <w:r>
        <w:t>.</w:t>
      </w:r>
    </w:p>
  </w:footnote>
  <w:footnote w:id="328">
    <w:p w:rsidR="0053578D" w:rsidRPr="000F046A" w:rsidRDefault="0053578D" w:rsidP="00F27FFC">
      <w:pPr>
        <w:pStyle w:val="FootnoteText"/>
        <w:rPr>
          <w:i/>
        </w:rPr>
      </w:pPr>
      <w:r>
        <w:rPr>
          <w:rStyle w:val="FootnoteReference"/>
        </w:rPr>
        <w:footnoteRef/>
      </w:r>
      <w:r>
        <w:t xml:space="preserve"> </w:t>
      </w:r>
      <w:r>
        <w:rPr>
          <w:i/>
        </w:rPr>
        <w:t>Id.</w:t>
      </w:r>
    </w:p>
  </w:footnote>
  <w:footnote w:id="329">
    <w:p w:rsidR="0053578D" w:rsidRDefault="0053578D" w:rsidP="000F046A">
      <w:pPr>
        <w:pStyle w:val="FootnoteText"/>
      </w:pPr>
      <w:r>
        <w:rPr>
          <w:rStyle w:val="FootnoteReference"/>
        </w:rPr>
        <w:footnoteRef/>
      </w:r>
      <w:r>
        <w:t xml:space="preserve"> </w:t>
      </w:r>
      <w:r>
        <w:rPr>
          <w:i/>
        </w:rPr>
        <w:t>Id (quoting</w:t>
      </w:r>
      <w:r>
        <w:t xml:space="preserve"> Mark Dowie, </w:t>
      </w:r>
      <w:r>
        <w:rPr>
          <w:i/>
        </w:rPr>
        <w:t>Food Among the Ruins</w:t>
      </w:r>
      <w:r>
        <w:t xml:space="preserve">, </w:t>
      </w:r>
      <w:r>
        <w:rPr>
          <w:smallCaps/>
        </w:rPr>
        <w:t>Guernica</w:t>
      </w:r>
      <w:r>
        <w:t xml:space="preserve"> Aug. 1, 2009, </w:t>
      </w:r>
      <w:r w:rsidRPr="000F046A">
        <w:t>http://www.guernicamag.com/features/food_among_the_ruins/</w:t>
      </w:r>
      <w:r>
        <w:rPr>
          <w:i/>
        </w:rPr>
        <w:t>:</w:t>
      </w:r>
      <w:r>
        <w:t xml:space="preserve">  “There is such a dire shortage of protein in the city that Glemie Dean Beasley, a seventy-year-old retired truck driver, is able to augment his Social Security by selling raccoon carcasses (twelve dollars a piece, serves a family of four) from animals he has . . . . Pelts are ten dollars each. Pheasants are also abundant in the city and are occasionally harvested for dinner.’).</w:t>
      </w:r>
    </w:p>
    <w:p w:rsidR="0053578D" w:rsidRDefault="0053578D" w:rsidP="000F046A">
      <w:pPr>
        <w:pStyle w:val="FootnoteText"/>
      </w:pPr>
      <w:r>
        <w:t xml:space="preserve"> </w:t>
      </w:r>
    </w:p>
    <w:p w:rsidR="0053578D" w:rsidRPr="00720B8D" w:rsidRDefault="0053578D" w:rsidP="000F046A">
      <w:pPr>
        <w:pStyle w:val="FootnoteText"/>
        <w:rPr>
          <w:i/>
        </w:rPr>
      </w:pPr>
      <w:r>
        <w:t xml:space="preserve">Recall Noah Stephens created </w:t>
      </w:r>
      <w:r w:rsidRPr="002B1B3E">
        <w:rPr>
          <w:smallCaps/>
        </w:rPr>
        <w:t>The People of Detroit</w:t>
      </w:r>
      <w:r>
        <w:t xml:space="preserve"> in response to the “raccoon eating” narrative.  </w:t>
      </w:r>
      <w:r>
        <w:rPr>
          <w:i/>
        </w:rPr>
        <w:t>See</w:t>
      </w:r>
      <w:r>
        <w:t xml:space="preserve"> note 89, </w:t>
      </w:r>
      <w:r>
        <w:rPr>
          <w:i/>
        </w:rPr>
        <w:t>supra.</w:t>
      </w:r>
    </w:p>
  </w:footnote>
  <w:footnote w:id="330">
    <w:p w:rsidR="0053578D" w:rsidRPr="000F046A" w:rsidRDefault="0053578D">
      <w:pPr>
        <w:pStyle w:val="FootnoteText"/>
      </w:pPr>
      <w:r>
        <w:rPr>
          <w:rStyle w:val="FootnoteReference"/>
        </w:rPr>
        <w:footnoteRef/>
      </w:r>
      <w:r>
        <w:t xml:space="preserve"> Quoted in Nicole Goodkind, </w:t>
      </w:r>
      <w:r>
        <w:rPr>
          <w:i/>
        </w:rPr>
        <w:t>Are Millennials a “Lost Generation”?</w:t>
      </w:r>
      <w:r>
        <w:t xml:space="preserve">, </w:t>
      </w:r>
      <w:r>
        <w:rPr>
          <w:smallCaps/>
        </w:rPr>
        <w:t>Yahoo! Finance</w:t>
      </w:r>
      <w:r>
        <w:t xml:space="preserve"> Daily Ticker, Feb. 27, 2013, </w:t>
      </w:r>
      <w:r w:rsidRPr="00F86736">
        <w:t>http://finance.yahoo.com/blogs/daily-ticker/millenials-lost-generation-130643180.html</w:t>
      </w:r>
      <w:r>
        <w:t>.</w:t>
      </w:r>
    </w:p>
  </w:footnote>
  <w:footnote w:id="331">
    <w:p w:rsidR="0053578D" w:rsidRPr="008A4A8D" w:rsidRDefault="0053578D">
      <w:pPr>
        <w:pStyle w:val="FootnoteText"/>
      </w:pPr>
      <w:r>
        <w:rPr>
          <w:rStyle w:val="FootnoteReference"/>
        </w:rPr>
        <w:footnoteRef/>
      </w:r>
      <w:r>
        <w:t xml:space="preserve"> MHPN, </w:t>
      </w:r>
      <w:r>
        <w:rPr>
          <w:i/>
        </w:rPr>
        <w:t xml:space="preserve">Detroit: Vacant Not Blighted, </w:t>
      </w:r>
      <w:r w:rsidRPr="008A4A8D">
        <w:t>http://vimeo.com/96926735</w:t>
      </w:r>
      <w:r>
        <w:t>.</w:t>
      </w:r>
    </w:p>
  </w:footnote>
  <w:footnote w:id="332">
    <w:p w:rsidR="0053578D" w:rsidRPr="00E60872" w:rsidRDefault="0053578D">
      <w:pPr>
        <w:pStyle w:val="FootnoteText"/>
        <w:rPr>
          <w:i/>
        </w:rPr>
      </w:pPr>
      <w:r>
        <w:rPr>
          <w:rStyle w:val="FootnoteReference"/>
        </w:rPr>
        <w:footnoteRef/>
      </w:r>
      <w:r>
        <w:t xml:space="preserve"> </w:t>
      </w:r>
      <w:r>
        <w:rPr>
          <w:i/>
        </w:rPr>
        <w:t>See</w:t>
      </w:r>
      <w:r>
        <w:t xml:space="preserve"> note 228, </w:t>
      </w:r>
      <w:r>
        <w:rPr>
          <w:i/>
        </w:rPr>
        <w:t>supra.</w:t>
      </w:r>
    </w:p>
  </w:footnote>
  <w:footnote w:id="333">
    <w:p w:rsidR="0053578D" w:rsidRPr="000C0B1A" w:rsidRDefault="0053578D" w:rsidP="00B91535">
      <w:pPr>
        <w:pStyle w:val="FootnoteText"/>
      </w:pPr>
      <w:r>
        <w:rPr>
          <w:rStyle w:val="FootnoteReference"/>
        </w:rPr>
        <w:footnoteRef/>
      </w:r>
      <w:r>
        <w:t xml:space="preserve"> Online Etymological Dictionary, </w:t>
      </w:r>
      <w:r>
        <w:rPr>
          <w:i/>
        </w:rPr>
        <w:t>pioneer</w:t>
      </w:r>
      <w:r>
        <w:t xml:space="preserve">, </w:t>
      </w:r>
      <w:r w:rsidRPr="000C0B1A">
        <w:t>http://www.etymonline.com/index.php?term=pioneer</w:t>
      </w:r>
      <w:r>
        <w:t>.</w:t>
      </w:r>
    </w:p>
  </w:footnote>
  <w:footnote w:id="334">
    <w:p w:rsidR="0053578D" w:rsidRPr="000C0B1A" w:rsidRDefault="0053578D">
      <w:pPr>
        <w:pStyle w:val="FootnoteText"/>
      </w:pPr>
      <w:r>
        <w:rPr>
          <w:rStyle w:val="FootnoteReference"/>
        </w:rPr>
        <w:footnoteRef/>
      </w:r>
      <w:r>
        <w:t xml:space="preserve"> </w:t>
      </w:r>
      <w:r>
        <w:rPr>
          <w:i/>
        </w:rPr>
        <w:t>Id.</w:t>
      </w:r>
    </w:p>
  </w:footnote>
  <w:footnote w:id="335">
    <w:p w:rsidR="0053578D" w:rsidRPr="008F3E37" w:rsidRDefault="0053578D">
      <w:pPr>
        <w:pStyle w:val="FootnoteText"/>
      </w:pPr>
      <w:r>
        <w:rPr>
          <w:rStyle w:val="FootnoteReference"/>
        </w:rPr>
        <w:footnoteRef/>
      </w:r>
      <w:r>
        <w:t xml:space="preserve"> Frederick Jackson Turner, </w:t>
      </w:r>
      <w:r>
        <w:rPr>
          <w:smallCaps/>
        </w:rPr>
        <w:t>The Frontier in American History</w:t>
      </w:r>
      <w:r>
        <w:t xml:space="preserve"> 2-3 (1920).</w:t>
      </w:r>
    </w:p>
  </w:footnote>
  <w:footnote w:id="336">
    <w:p w:rsidR="0053578D" w:rsidRPr="00173944" w:rsidRDefault="0053578D">
      <w:pPr>
        <w:pStyle w:val="FootnoteText"/>
      </w:pPr>
      <w:r>
        <w:rPr>
          <w:rStyle w:val="FootnoteReference"/>
        </w:rPr>
        <w:footnoteRef/>
      </w:r>
      <w:r>
        <w:t xml:space="preserve"> Bradford Frost, </w:t>
      </w:r>
      <w:r>
        <w:rPr>
          <w:i/>
        </w:rPr>
        <w:t xml:space="preserve">The Millennial Frontier, </w:t>
      </w:r>
      <w:r w:rsidRPr="00EA5573">
        <w:rPr>
          <w:smallCaps/>
        </w:rPr>
        <w:t>The Detroit Opportunity Project</w:t>
      </w:r>
      <w:r w:rsidRPr="00EA5573">
        <w:t>,</w:t>
      </w:r>
      <w:r>
        <w:rPr>
          <w:i/>
        </w:rPr>
        <w:t xml:space="preserve"> </w:t>
      </w:r>
      <w:r w:rsidRPr="00173944">
        <w:t>Spring 2011,</w:t>
      </w:r>
      <w:r>
        <w:rPr>
          <w:i/>
        </w:rPr>
        <w:t xml:space="preserve"> </w:t>
      </w:r>
      <w:r w:rsidRPr="00173944">
        <w:t>http://detroitopportunityproject.com/TheMillennialFrontier.</w:t>
      </w:r>
    </w:p>
  </w:footnote>
  <w:footnote w:id="337">
    <w:p w:rsidR="0053578D" w:rsidRDefault="0053578D" w:rsidP="00BB4EC2">
      <w:pPr>
        <w:pStyle w:val="FootnoteText"/>
      </w:pPr>
      <w:r>
        <w:rPr>
          <w:rStyle w:val="FootnoteReference"/>
        </w:rPr>
        <w:footnoteRef/>
      </w:r>
      <w:r>
        <w:t xml:space="preserve"> </w:t>
      </w:r>
      <w:r w:rsidRPr="00173944">
        <w:rPr>
          <w:i/>
        </w:rPr>
        <w:t>See</w:t>
      </w:r>
      <w:r>
        <w:t xml:space="preserve"> Chloe Taft, supra note 195 (Local Sheaf Howell calls blight removal effort a land grab for Whites).</w:t>
      </w:r>
    </w:p>
  </w:footnote>
  <w:footnote w:id="338">
    <w:p w:rsidR="0053578D" w:rsidRPr="0060400D" w:rsidRDefault="0053578D">
      <w:pPr>
        <w:pStyle w:val="FootnoteText"/>
        <w:rPr>
          <w:i/>
        </w:rPr>
      </w:pPr>
      <w:r>
        <w:rPr>
          <w:rStyle w:val="FootnoteReference"/>
        </w:rPr>
        <w:footnoteRef/>
      </w:r>
      <w:r>
        <w:t xml:space="preserve"> </w:t>
      </w:r>
      <w:r>
        <w:rPr>
          <w:i/>
        </w:rPr>
        <w:t>See</w:t>
      </w:r>
      <w:r>
        <w:t xml:space="preserve"> Section III(C), </w:t>
      </w:r>
      <w:r>
        <w:rPr>
          <w:i/>
        </w:rPr>
        <w:t>supra.</w:t>
      </w:r>
    </w:p>
  </w:footnote>
  <w:footnote w:id="339">
    <w:p w:rsidR="0053578D" w:rsidRPr="0060400D" w:rsidRDefault="0053578D">
      <w:pPr>
        <w:pStyle w:val="FootnoteText"/>
        <w:rPr>
          <w:i/>
        </w:rPr>
      </w:pPr>
      <w:r>
        <w:rPr>
          <w:rStyle w:val="FootnoteReference"/>
        </w:rPr>
        <w:footnoteRef/>
      </w:r>
      <w:r>
        <w:t xml:space="preserve"> </w:t>
      </w:r>
      <w:r>
        <w:rPr>
          <w:i/>
        </w:rPr>
        <w:t>See</w:t>
      </w:r>
      <w:r>
        <w:t xml:space="preserve"> note 199, </w:t>
      </w:r>
      <w:r>
        <w:rPr>
          <w:i/>
        </w:rPr>
        <w:t>supra.</w:t>
      </w:r>
    </w:p>
  </w:footnote>
  <w:footnote w:id="340">
    <w:p w:rsidR="0053578D" w:rsidRPr="00E32B61" w:rsidRDefault="0053578D" w:rsidP="00AB505F">
      <w:pPr>
        <w:pStyle w:val="FootnoteText"/>
      </w:pPr>
      <w:r>
        <w:rPr>
          <w:rStyle w:val="FootnoteReference"/>
        </w:rPr>
        <w:footnoteRef/>
      </w:r>
      <w:r>
        <w:t xml:space="preserve"> </w:t>
      </w:r>
      <w:hyperlink r:id="rId52" w:history="1">
        <w:r w:rsidRPr="00646367">
          <w:rPr>
            <w:rStyle w:val="Hyperlink"/>
            <w:bCs/>
            <w:color w:val="auto"/>
            <w:u w:val="none"/>
          </w:rPr>
          <w:t>Mich</w:t>
        </w:r>
        <w:r w:rsidRPr="00646367">
          <w:rPr>
            <w:rStyle w:val="Hyperlink"/>
            <w:color w:val="auto"/>
            <w:u w:val="none"/>
          </w:rPr>
          <w:t>. Const. of 1963, art. X, § 2 (</w:t>
        </w:r>
        <w:r w:rsidRPr="00646367">
          <w:rPr>
            <w:rStyle w:val="Hyperlink"/>
            <w:bCs/>
            <w:color w:val="auto"/>
            <w:u w:val="none"/>
          </w:rPr>
          <w:t>2006</w:t>
        </w:r>
        <w:r w:rsidRPr="00646367">
          <w:rPr>
            <w:rStyle w:val="Hyperlink"/>
            <w:color w:val="auto"/>
            <w:u w:val="none"/>
          </w:rPr>
          <w:t>)</w:t>
        </w:r>
      </w:hyperlink>
      <w:r w:rsidRPr="00646367">
        <w:t>.</w:t>
      </w:r>
    </w:p>
  </w:footnote>
  <w:footnote w:id="341">
    <w:p w:rsidR="0053578D" w:rsidRPr="00C81C66" w:rsidRDefault="0053578D" w:rsidP="002961A9">
      <w:pPr>
        <w:pStyle w:val="FootnoteText"/>
        <w:rPr>
          <w:i/>
        </w:rPr>
      </w:pPr>
      <w:r>
        <w:rPr>
          <w:rStyle w:val="FootnoteReference"/>
        </w:rPr>
        <w:footnoteRef/>
      </w:r>
      <w:r>
        <w:t xml:space="preserve"> </w:t>
      </w:r>
      <w:r>
        <w:rPr>
          <w:i/>
        </w:rPr>
        <w:t>See</w:t>
      </w:r>
      <w:r>
        <w:t xml:space="preserve"> text accompanying note 50, </w:t>
      </w:r>
      <w:r>
        <w:rPr>
          <w:i/>
        </w:rPr>
        <w:t>supra.</w:t>
      </w:r>
    </w:p>
  </w:footnote>
  <w:footnote w:id="342">
    <w:p w:rsidR="0053578D" w:rsidRDefault="0053578D" w:rsidP="002961A9">
      <w:pPr>
        <w:pStyle w:val="FootnoteText"/>
      </w:pPr>
      <w:r>
        <w:rPr>
          <w:rStyle w:val="FootnoteReference"/>
        </w:rPr>
        <w:footnoteRef/>
      </w:r>
      <w:r>
        <w:t xml:space="preserve"> </w:t>
      </w:r>
      <w:r>
        <w:rPr>
          <w:i/>
        </w:rPr>
        <w:t>See</w:t>
      </w:r>
      <w:r>
        <w:t xml:space="preserve"> </w:t>
      </w:r>
      <w:r>
        <w:rPr>
          <w:i/>
        </w:rPr>
        <w:t>Berman</w:t>
      </w:r>
      <w:r>
        <w:t xml:space="preserve"> quote at note 216, </w:t>
      </w:r>
      <w:r>
        <w:rPr>
          <w:i/>
        </w:rPr>
        <w:t>supra.</w:t>
      </w:r>
      <w:r>
        <w:t xml:space="preserve"> </w:t>
      </w:r>
    </w:p>
  </w:footnote>
  <w:footnote w:id="343">
    <w:p w:rsidR="0053578D" w:rsidRPr="00D979DF" w:rsidRDefault="0053578D" w:rsidP="002961A9">
      <w:pPr>
        <w:pStyle w:val="FootnoteText"/>
      </w:pPr>
      <w:r>
        <w:rPr>
          <w:rStyle w:val="FootnoteReference"/>
        </w:rPr>
        <w:footnoteRef/>
      </w:r>
      <w:r>
        <w:t xml:space="preserve"> </w:t>
      </w:r>
      <w:r w:rsidRPr="006478C4">
        <w:rPr>
          <w:i/>
        </w:rPr>
        <w:t>Promoting Urban Agriculture as an Alternative Land Use for Vacant Properties in the City of Detroit: Benefits, Problems and Proposals for a Regulatory Framework for Successful Land Use Integration,</w:t>
      </w:r>
      <w:r>
        <w:t xml:space="preserve"> 56 </w:t>
      </w:r>
      <w:r w:rsidRPr="006478C4">
        <w:rPr>
          <w:smallCaps/>
        </w:rPr>
        <w:t>Wayne L. Rev.</w:t>
      </w:r>
      <w:r>
        <w:t xml:space="preserve"> 1521, 1525 &amp; n. 12 (2010).  </w:t>
      </w:r>
      <w:r>
        <w:rPr>
          <w:i/>
        </w:rPr>
        <w:t xml:space="preserve">See also </w:t>
      </w:r>
      <w:r w:rsidRPr="00D979DF">
        <w:t>John E. Mogk,</w:t>
      </w:r>
      <w:r w:rsidRPr="00D979DF">
        <w:rPr>
          <w:i/>
        </w:rPr>
        <w:t xml:space="preserve"> Eminent Domain and the “Public Use”: Michigan Supreme Court Legislates an Unprecedented Overruling of Poletown in </w:t>
      </w:r>
      <w:r w:rsidRPr="00D979DF">
        <w:t>Cou</w:t>
      </w:r>
      <w:r>
        <w:t xml:space="preserve">nty of Wayne v. Hathcock, 51 </w:t>
      </w:r>
      <w:r w:rsidRPr="006478C4">
        <w:rPr>
          <w:smallCaps/>
        </w:rPr>
        <w:t>Wayne L. Rev.</w:t>
      </w:r>
      <w:r>
        <w:t xml:space="preserve"> 1331, 1332 (2005) (hating </w:t>
      </w:r>
      <w:r>
        <w:rPr>
          <w:i/>
        </w:rPr>
        <w:t xml:space="preserve">Hathcock </w:t>
      </w:r>
      <w:r>
        <w:t>as judicial activism).</w:t>
      </w:r>
    </w:p>
  </w:footnote>
  <w:footnote w:id="344">
    <w:p w:rsidR="0053578D" w:rsidRPr="00A1171A" w:rsidRDefault="0053578D" w:rsidP="002961A9">
      <w:pPr>
        <w:pStyle w:val="FootnoteText"/>
      </w:pPr>
      <w:r>
        <w:rPr>
          <w:rStyle w:val="FootnoteReference"/>
        </w:rPr>
        <w:footnoteRef/>
      </w:r>
      <w:r>
        <w:t xml:space="preserve"> Peter J. Domasa, </w:t>
      </w:r>
      <w:r>
        <w:rPr>
          <w:i/>
        </w:rPr>
        <w:t xml:space="preserve">Eminent Domain:  Detroit’s Struggle to Downsize, </w:t>
      </w:r>
      <w:r>
        <w:rPr>
          <w:smallCaps/>
        </w:rPr>
        <w:t xml:space="preserve">89 U. of Detroit Mercy Law Rev. </w:t>
      </w:r>
      <w:r w:rsidRPr="006478C4">
        <w:rPr>
          <w:smallCaps/>
        </w:rPr>
        <w:t>61, 70</w:t>
      </w:r>
      <w:r>
        <w:rPr>
          <w:i/>
        </w:rPr>
        <w:t xml:space="preserve"> </w:t>
      </w:r>
      <w:r>
        <w:t xml:space="preserve">(2011).   Other problems exist with the 125% valuation.  </w:t>
      </w:r>
      <w:r>
        <w:rPr>
          <w:i/>
        </w:rPr>
        <w:t>See</w:t>
      </w:r>
      <w:r>
        <w:t xml:space="preserve"> James E. Krier &amp; Christopher Serkin, </w:t>
      </w:r>
      <w:r>
        <w:rPr>
          <w:i/>
        </w:rPr>
        <w:t>Public Ruses,</w:t>
      </w:r>
      <w:r>
        <w:t xml:space="preserve"> </w:t>
      </w:r>
      <w:r w:rsidRPr="00A1171A">
        <w:rPr>
          <w:smallCaps/>
        </w:rPr>
        <w:t>2004 Mich. St. L. Rev</w:t>
      </w:r>
      <w:r>
        <w:t>. 859, 867 (2004) (“The list of concerns implicated by just compensation is long and heterogeneous.”).</w:t>
      </w:r>
    </w:p>
  </w:footnote>
  <w:footnote w:id="345">
    <w:p w:rsidR="0053578D" w:rsidRPr="006478C4" w:rsidRDefault="0053578D" w:rsidP="008636F9">
      <w:pPr>
        <w:pStyle w:val="FootnoteText"/>
      </w:pPr>
      <w:r>
        <w:rPr>
          <w:rStyle w:val="FootnoteReference"/>
        </w:rPr>
        <w:footnoteRef/>
      </w:r>
      <w:r>
        <w:t xml:space="preserve"> </w:t>
      </w:r>
      <w:r>
        <w:rPr>
          <w:i/>
        </w:rPr>
        <w:t>Peering</w:t>
      </w:r>
      <w:r>
        <w:t xml:space="preserve"> at III(A)(ii).</w:t>
      </w:r>
    </w:p>
  </w:footnote>
  <w:footnote w:id="346">
    <w:p w:rsidR="0053578D" w:rsidRPr="006478C4" w:rsidRDefault="0053578D" w:rsidP="008636F9">
      <w:pPr>
        <w:pStyle w:val="FootnoteText"/>
        <w:rPr>
          <w:i/>
        </w:rPr>
      </w:pPr>
      <w:r>
        <w:rPr>
          <w:rStyle w:val="FootnoteReference"/>
        </w:rPr>
        <w:footnoteRef/>
      </w:r>
      <w:r>
        <w:t xml:space="preserve"> </w:t>
      </w:r>
      <w:r>
        <w:rPr>
          <w:i/>
        </w:rPr>
        <w:t>See</w:t>
      </w:r>
      <w:r>
        <w:t xml:space="preserve"> text accompanying note 184, </w:t>
      </w:r>
      <w:r>
        <w:rPr>
          <w:i/>
        </w:rPr>
        <w:t>supra.</w:t>
      </w:r>
    </w:p>
  </w:footnote>
  <w:footnote w:id="347">
    <w:p w:rsidR="0053578D" w:rsidRPr="00B05077" w:rsidRDefault="0053578D" w:rsidP="008636F9">
      <w:pPr>
        <w:pStyle w:val="FootnoteText"/>
      </w:pPr>
      <w:r>
        <w:rPr>
          <w:rStyle w:val="FootnoteReference"/>
        </w:rPr>
        <w:footnoteRef/>
      </w:r>
      <w:r>
        <w:t xml:space="preserve"> </w:t>
      </w:r>
      <w:r>
        <w:rPr>
          <w:i/>
        </w:rPr>
        <w:t>See, e.g.,</w:t>
      </w:r>
      <w:r>
        <w:t xml:space="preserve"> Will Lovell, </w:t>
      </w:r>
      <w:r>
        <w:rPr>
          <w:i/>
        </w:rPr>
        <w:t xml:space="preserve">The Kelo Blowback:  How the Newly-enacted Eminent Domain Statutes and Past Blight Statutes are a Maginot Line-Defense Mechanism for all Non-Affluent and Minority Property Owners, </w:t>
      </w:r>
      <w:r w:rsidRPr="00B05077">
        <w:t>68 Ohio St. L. J. 609, 629 (2007)</w:t>
      </w:r>
      <w:r>
        <w:rPr>
          <w:i/>
        </w:rPr>
        <w:t xml:space="preserve"> </w:t>
      </w:r>
      <w:r>
        <w:t xml:space="preserve">(describing </w:t>
      </w:r>
      <w:r>
        <w:rPr>
          <w:i/>
        </w:rPr>
        <w:t>Berman</w:t>
      </w:r>
      <w:r>
        <w:t xml:space="preserve"> as “negro removal.”).</w:t>
      </w:r>
    </w:p>
  </w:footnote>
  <w:footnote w:id="348">
    <w:p w:rsidR="0053578D" w:rsidRPr="00005017" w:rsidRDefault="0053578D" w:rsidP="008636F9">
      <w:pPr>
        <w:pStyle w:val="FootnoteText"/>
      </w:pPr>
      <w:r>
        <w:rPr>
          <w:rStyle w:val="FootnoteReference"/>
        </w:rPr>
        <w:footnoteRef/>
      </w:r>
      <w:r>
        <w:t xml:space="preserve"> SB 693 (2)(a)-(c).  </w:t>
      </w:r>
      <w:hyperlink r:id="rId53" w:history="1">
        <w:r w:rsidRPr="00F6123E">
          <w:rPr>
            <w:rStyle w:val="Hyperlink"/>
          </w:rPr>
          <w:t>https://www.legislature.mi.gov/documents/2005-2006/publicact/htm/2006-PA-0368.htm</w:t>
        </w:r>
      </w:hyperlink>
      <w:r>
        <w:t xml:space="preserve">.  These provisions codified </w:t>
      </w:r>
      <w:r>
        <w:rPr>
          <w:i/>
        </w:rPr>
        <w:t>Hathcock</w:t>
      </w:r>
      <w:r>
        <w:t xml:space="preserve">.  See </w:t>
      </w:r>
      <w:r>
        <w:rPr>
          <w:i/>
        </w:rPr>
        <w:t>Hathcock</w:t>
      </w:r>
      <w:r w:rsidRPr="00005017">
        <w:t>, 684 N.W.2d at 783.</w:t>
      </w:r>
    </w:p>
  </w:footnote>
  <w:footnote w:id="349">
    <w:p w:rsidR="0053578D" w:rsidRPr="00E32B61" w:rsidRDefault="0053578D" w:rsidP="008636F9">
      <w:pPr>
        <w:pStyle w:val="FootnoteText"/>
        <w:rPr>
          <w:smallCaps/>
        </w:rPr>
      </w:pPr>
      <w:r>
        <w:rPr>
          <w:rStyle w:val="FootnoteReference"/>
        </w:rPr>
        <w:footnoteRef/>
      </w:r>
      <w:r>
        <w:t xml:space="preserve"> </w:t>
      </w:r>
      <w:hyperlink r:id="rId54" w:history="1">
        <w:r w:rsidRPr="00E32B61">
          <w:rPr>
            <w:rStyle w:val="Hyperlink"/>
            <w:bCs/>
            <w:smallCaps/>
            <w:color w:val="auto"/>
            <w:u w:val="none"/>
          </w:rPr>
          <w:t>Mich</w:t>
        </w:r>
        <w:r w:rsidRPr="00E32B61">
          <w:rPr>
            <w:rStyle w:val="Hyperlink"/>
            <w:smallCaps/>
            <w:color w:val="auto"/>
            <w:u w:val="none"/>
          </w:rPr>
          <w:t>. Const. of 1963, art. X, § 2</w:t>
        </w:r>
      </w:hyperlink>
      <w:r w:rsidRPr="00E32B61">
        <w:rPr>
          <w:smallCaps/>
        </w:rPr>
        <w:t>.</w:t>
      </w:r>
    </w:p>
  </w:footnote>
  <w:footnote w:id="350">
    <w:p w:rsidR="0053578D" w:rsidRDefault="0053578D" w:rsidP="008636F9">
      <w:pPr>
        <w:pStyle w:val="FootnoteText"/>
      </w:pPr>
      <w:r w:rsidRPr="00E32B61">
        <w:rPr>
          <w:rStyle w:val="FootnoteReference"/>
          <w:smallCaps/>
        </w:rPr>
        <w:footnoteRef/>
      </w:r>
      <w:r w:rsidRPr="00E32B61">
        <w:rPr>
          <w:smallCaps/>
        </w:rPr>
        <w:t xml:space="preserve"> </w:t>
      </w:r>
      <w:hyperlink r:id="rId55" w:history="1">
        <w:r w:rsidRPr="00E32B61">
          <w:rPr>
            <w:rStyle w:val="Hyperlink"/>
            <w:bCs/>
            <w:smallCaps/>
            <w:color w:val="auto"/>
            <w:u w:val="none"/>
          </w:rPr>
          <w:t>Mich</w:t>
        </w:r>
        <w:r w:rsidRPr="00E32B61">
          <w:rPr>
            <w:rStyle w:val="Hyperlink"/>
            <w:smallCaps/>
            <w:color w:val="auto"/>
            <w:u w:val="none"/>
          </w:rPr>
          <w:t>. Const. of 1963, art. X, § 2</w:t>
        </w:r>
      </w:hyperlink>
      <w:r w:rsidRPr="00B05077">
        <w:t>.</w:t>
      </w:r>
    </w:p>
  </w:footnote>
  <w:footnote w:id="351">
    <w:p w:rsidR="0053578D" w:rsidRDefault="0053578D">
      <w:pPr>
        <w:pStyle w:val="FootnoteText"/>
      </w:pPr>
      <w:r>
        <w:rPr>
          <w:rStyle w:val="FootnoteReference"/>
        </w:rPr>
        <w:footnoteRef/>
      </w:r>
      <w:r>
        <w:t xml:space="preserve"> </w:t>
      </w:r>
      <w:r>
        <w:rPr>
          <w:i/>
        </w:rPr>
        <w:t xml:space="preserve">See </w:t>
      </w:r>
      <w:r>
        <w:t xml:space="preserve">note 29, </w:t>
      </w:r>
      <w:r>
        <w:rPr>
          <w:i/>
        </w:rPr>
        <w:t>supra.</w:t>
      </w:r>
      <w:r>
        <w:t xml:space="preserve"> </w:t>
      </w:r>
    </w:p>
  </w:footnote>
  <w:footnote w:id="352">
    <w:p w:rsidR="0053578D" w:rsidRPr="00E563C7" w:rsidRDefault="0053578D">
      <w:pPr>
        <w:pStyle w:val="FootnoteText"/>
        <w:rPr>
          <w:i/>
        </w:rPr>
      </w:pPr>
      <w:r>
        <w:rPr>
          <w:rStyle w:val="FootnoteReference"/>
        </w:rPr>
        <w:footnoteRef/>
      </w:r>
      <w:r>
        <w:t xml:space="preserve"> </w:t>
      </w:r>
      <w:r>
        <w:rPr>
          <w:i/>
        </w:rPr>
        <w:t>Id.</w:t>
      </w:r>
    </w:p>
  </w:footnote>
  <w:footnote w:id="353">
    <w:p w:rsidR="0053578D" w:rsidRPr="00440C88" w:rsidRDefault="0053578D">
      <w:pPr>
        <w:pStyle w:val="FootnoteText"/>
      </w:pPr>
      <w:r>
        <w:rPr>
          <w:rStyle w:val="FootnoteReference"/>
        </w:rPr>
        <w:footnoteRef/>
      </w:r>
      <w:r>
        <w:t xml:space="preserve"> </w:t>
      </w:r>
      <w:r>
        <w:rPr>
          <w:i/>
        </w:rPr>
        <w:t xml:space="preserve">See, e.g., </w:t>
      </w:r>
      <w:r>
        <w:rPr>
          <w:smallCaps/>
        </w:rPr>
        <w:t xml:space="preserve">Paul A. Jargowsky, Poverty and Place:  Ghettos, Barrios, and the </w:t>
      </w:r>
      <w:r w:rsidR="00F33F4E">
        <w:rPr>
          <w:smallCaps/>
        </w:rPr>
        <w:t>American</w:t>
      </w:r>
      <w:r>
        <w:rPr>
          <w:smallCaps/>
        </w:rPr>
        <w:t xml:space="preserve"> City</w:t>
      </w:r>
      <w:r>
        <w:t xml:space="preserve"> 3 (1997) (“the physical areas of urban blight have expanded rapidly and a greater proportion of the population lives within their borders. Social conditions in high-poverty neighborhoods have deteriorated, fueling more abandonment in a cycle of decay that, with few exceptions, seems immune to policy intervention or private initiatives.”).</w:t>
      </w:r>
    </w:p>
  </w:footnote>
  <w:footnote w:id="354">
    <w:p w:rsidR="0053578D" w:rsidRPr="00063DE5" w:rsidRDefault="0053578D">
      <w:pPr>
        <w:pStyle w:val="FootnoteText"/>
        <w:rPr>
          <w:i/>
        </w:rPr>
      </w:pPr>
      <w:r>
        <w:rPr>
          <w:rStyle w:val="FootnoteReference"/>
        </w:rPr>
        <w:footnoteRef/>
      </w:r>
      <w:r>
        <w:t xml:space="preserve"> </w:t>
      </w:r>
      <w:r>
        <w:rPr>
          <w:i/>
        </w:rPr>
        <w:t xml:space="preserve">See </w:t>
      </w:r>
      <w:r>
        <w:t xml:space="preserve">(A), </w:t>
      </w:r>
      <w:r>
        <w:rPr>
          <w:i/>
        </w:rPr>
        <w:t>infra.</w:t>
      </w:r>
    </w:p>
  </w:footnote>
  <w:footnote w:id="355">
    <w:p w:rsidR="0053578D" w:rsidRPr="00063DE5" w:rsidRDefault="0053578D">
      <w:pPr>
        <w:pStyle w:val="FootnoteText"/>
        <w:rPr>
          <w:i/>
        </w:rPr>
      </w:pPr>
      <w:r>
        <w:rPr>
          <w:rStyle w:val="FootnoteReference"/>
        </w:rPr>
        <w:footnoteRef/>
      </w:r>
      <w:r>
        <w:t xml:space="preserve"> (B), </w:t>
      </w:r>
      <w:r>
        <w:rPr>
          <w:i/>
        </w:rPr>
        <w:t>infra.</w:t>
      </w:r>
    </w:p>
  </w:footnote>
  <w:footnote w:id="356">
    <w:p w:rsidR="0053578D" w:rsidRPr="00BC21EF" w:rsidRDefault="0053578D">
      <w:pPr>
        <w:pStyle w:val="FootnoteText"/>
      </w:pPr>
      <w:r>
        <w:rPr>
          <w:rStyle w:val="FootnoteReference"/>
        </w:rPr>
        <w:footnoteRef/>
      </w:r>
      <w:r>
        <w:t xml:space="preserve"> </w:t>
      </w:r>
      <w:r>
        <w:rPr>
          <w:i/>
        </w:rPr>
        <w:t>Peering</w:t>
      </w:r>
      <w:r>
        <w:t xml:space="preserve"> at 93-94.</w:t>
      </w:r>
    </w:p>
  </w:footnote>
  <w:footnote w:id="357">
    <w:p w:rsidR="0053578D" w:rsidRPr="00BC21EF" w:rsidRDefault="0053578D">
      <w:pPr>
        <w:pStyle w:val="FootnoteText"/>
      </w:pPr>
      <w:r>
        <w:rPr>
          <w:rStyle w:val="FootnoteReference"/>
        </w:rPr>
        <w:footnoteRef/>
      </w:r>
      <w:r>
        <w:t xml:space="preserve"> </w:t>
      </w:r>
      <w:r>
        <w:rPr>
          <w:i/>
        </w:rPr>
        <w:t xml:space="preserve">See </w:t>
      </w:r>
      <w:r>
        <w:t>Section VII(D)(i).</w:t>
      </w:r>
    </w:p>
  </w:footnote>
  <w:footnote w:id="358">
    <w:p w:rsidR="0053578D" w:rsidRPr="00BC21EF" w:rsidRDefault="0053578D">
      <w:pPr>
        <w:pStyle w:val="FootnoteText"/>
      </w:pPr>
      <w:r>
        <w:rPr>
          <w:rStyle w:val="FootnoteReference"/>
        </w:rPr>
        <w:footnoteRef/>
      </w:r>
      <w:r>
        <w:t xml:space="preserve"> </w:t>
      </w:r>
      <w:r>
        <w:rPr>
          <w:i/>
        </w:rPr>
        <w:t>See</w:t>
      </w:r>
      <w:r>
        <w:t xml:space="preserve"> Section VII(D)(ii).</w:t>
      </w:r>
    </w:p>
  </w:footnote>
  <w:footnote w:id="359">
    <w:p w:rsidR="0053578D" w:rsidRPr="00063DE5" w:rsidRDefault="0053578D">
      <w:pPr>
        <w:pStyle w:val="FootnoteText"/>
        <w:rPr>
          <w:i/>
        </w:rPr>
      </w:pPr>
      <w:r>
        <w:rPr>
          <w:rStyle w:val="FootnoteReference"/>
        </w:rPr>
        <w:footnoteRef/>
      </w:r>
      <w:r>
        <w:t xml:space="preserve"> </w:t>
      </w:r>
      <w:r>
        <w:rPr>
          <w:i/>
        </w:rPr>
        <w:t>Id.</w:t>
      </w:r>
    </w:p>
  </w:footnote>
  <w:footnote w:id="360">
    <w:p w:rsidR="0053578D" w:rsidRPr="004230B6" w:rsidRDefault="0053578D">
      <w:pPr>
        <w:pStyle w:val="FootnoteText"/>
      </w:pPr>
      <w:r>
        <w:rPr>
          <w:rStyle w:val="FootnoteReference"/>
        </w:rPr>
        <w:footnoteRef/>
      </w:r>
      <w:r>
        <w:t xml:space="preserve"> For the simultaneity of changes, </w:t>
      </w:r>
      <w:r>
        <w:rPr>
          <w:i/>
        </w:rPr>
        <w:t>see</w:t>
      </w:r>
      <w:r>
        <w:t xml:space="preserve"> Jerome P. Pesick &amp; Ronald E. Reynolds, </w:t>
      </w:r>
      <w:r>
        <w:rPr>
          <w:i/>
        </w:rPr>
        <w:t>Recent Changes in Eminent Domain Law</w:t>
      </w:r>
      <w:r>
        <w:t xml:space="preserve">, 86 </w:t>
      </w:r>
      <w:r>
        <w:rPr>
          <w:smallCaps/>
        </w:rPr>
        <w:t>Michigan Bar Journal</w:t>
      </w:r>
      <w:r>
        <w:t xml:space="preserve"> 22, 25 (Nov, 2007).</w:t>
      </w:r>
    </w:p>
  </w:footnote>
  <w:footnote w:id="361">
    <w:p w:rsidR="0053578D" w:rsidRPr="004230B6" w:rsidRDefault="0053578D">
      <w:pPr>
        <w:pStyle w:val="FootnoteText"/>
        <w:rPr>
          <w:i/>
        </w:rPr>
      </w:pPr>
      <w:r>
        <w:rPr>
          <w:rStyle w:val="FootnoteReference"/>
        </w:rPr>
        <w:footnoteRef/>
      </w:r>
      <w:r>
        <w:t xml:space="preserve"> </w:t>
      </w:r>
      <w:r w:rsidRPr="00332E17">
        <w:t xml:space="preserve">M.C.L.A. 213.66 </w:t>
      </w:r>
      <w:r>
        <w:t xml:space="preserve">(16)(7), </w:t>
      </w:r>
      <w:r w:rsidRPr="008C6512">
        <w:t>http://www.legislature.mi.gov/(S(0qpf4p45ucjmyyfaaxuxyg55))/mileg.aspx?page=getobject&amp;objectName=mcl-213-66</w:t>
      </w:r>
      <w:r>
        <w:t xml:space="preserve"> (until Dec. of 2007, indigents get attorneys’ and expert fees for unsuccessful takings challenges except for government transportation projects) </w:t>
      </w:r>
      <w:r>
        <w:rPr>
          <w:i/>
        </w:rPr>
        <w:t>See</w:t>
      </w:r>
      <w:r>
        <w:t xml:space="preserve"> </w:t>
      </w:r>
      <w:r w:rsidRPr="00BA6366">
        <w:rPr>
          <w:i/>
        </w:rPr>
        <w:t>also</w:t>
      </w:r>
      <w:r>
        <w:t xml:space="preserve"> Pesick &amp; Reynolds, </w:t>
      </w:r>
      <w:r>
        <w:rPr>
          <w:i/>
        </w:rPr>
        <w:t>id.</w:t>
      </w:r>
    </w:p>
  </w:footnote>
  <w:footnote w:id="362">
    <w:p w:rsidR="0053578D" w:rsidRDefault="0053578D" w:rsidP="00ED3FD7">
      <w:pPr>
        <w:pStyle w:val="FootnoteText"/>
      </w:pPr>
      <w:r>
        <w:rPr>
          <w:rStyle w:val="FootnoteReference"/>
        </w:rPr>
        <w:footnoteRef/>
      </w:r>
      <w:r>
        <w:t xml:space="preserve"> </w:t>
      </w:r>
      <w:r>
        <w:rPr>
          <w:i/>
        </w:rPr>
        <w:t>See</w:t>
      </w:r>
      <w:r>
        <w:t xml:space="preserve"> Kenneth H. Hemler, Note, </w:t>
      </w:r>
      <w:r>
        <w:rPr>
          <w:i/>
        </w:rPr>
        <w:t>Michigan’s Proposed Constitutional Amendment in Response to Kelo:  Adequate Protection Against Eminent Domain Abuse or False Hope to Private Property Owners?</w:t>
      </w:r>
      <w:r>
        <w:t xml:space="preserve">, 84 </w:t>
      </w:r>
      <w:r w:rsidRPr="00646367">
        <w:rPr>
          <w:smallCaps/>
        </w:rPr>
        <w:t>U. Det. Mercy L. Rev.</w:t>
      </w:r>
      <w:r>
        <w:t xml:space="preserve"> 187, </w:t>
      </w:r>
      <w:r>
        <w:rPr>
          <w:i/>
        </w:rPr>
        <w:t xml:space="preserve"> </w:t>
      </w:r>
      <w:r>
        <w:t>193 (2007) (“[T]</w:t>
      </w:r>
      <w:r w:rsidRPr="00ED3FD7">
        <w:t>he </w:t>
      </w:r>
      <w:r w:rsidRPr="00ED3FD7">
        <w:rPr>
          <w:bCs/>
        </w:rPr>
        <w:t>amendment</w:t>
      </w:r>
      <w:r w:rsidRPr="00ED3FD7">
        <w:t xml:space="preserve"> is an attempt to codify </w:t>
      </w:r>
      <w:r>
        <w:t>. . .</w:t>
      </w:r>
      <w:r w:rsidRPr="00ED3FD7">
        <w:t xml:space="preserve"> </w:t>
      </w:r>
      <w:r w:rsidRPr="00ED3FD7">
        <w:rPr>
          <w:i/>
        </w:rPr>
        <w:t>Hathcock</w:t>
      </w:r>
      <w:r>
        <w:t>.”).</w:t>
      </w:r>
    </w:p>
  </w:footnote>
  <w:footnote w:id="363">
    <w:p w:rsidR="0053578D" w:rsidRDefault="0053578D">
      <w:pPr>
        <w:pStyle w:val="FootnoteText"/>
      </w:pPr>
      <w:r>
        <w:rPr>
          <w:rStyle w:val="FootnoteReference"/>
        </w:rPr>
        <w:footnoteRef/>
      </w:r>
      <w:r>
        <w:t xml:space="preserve"> </w:t>
      </w:r>
      <w:r>
        <w:rPr>
          <w:i/>
        </w:rPr>
        <w:t>See Peering</w:t>
      </w:r>
      <w:r>
        <w:t xml:space="preserve"> at 34-35, discussing the Pinnacle Project at stake in </w:t>
      </w:r>
      <w:r>
        <w:rPr>
          <w:i/>
        </w:rPr>
        <w:t>Hathcock.</w:t>
      </w:r>
      <w:r>
        <w:t xml:space="preserve"> </w:t>
      </w:r>
    </w:p>
  </w:footnote>
  <w:footnote w:id="364">
    <w:p w:rsidR="0053578D" w:rsidRPr="00075FBD" w:rsidRDefault="0053578D">
      <w:pPr>
        <w:pStyle w:val="FootnoteText"/>
      </w:pPr>
      <w:r>
        <w:rPr>
          <w:rStyle w:val="FootnoteReference"/>
        </w:rPr>
        <w:footnoteRef/>
      </w:r>
      <w:r>
        <w:t xml:space="preserve"> </w:t>
      </w:r>
      <w:r>
        <w:rPr>
          <w:i/>
        </w:rPr>
        <w:t>Hathcock</w:t>
      </w:r>
      <w:r>
        <w:t xml:space="preserve"> at 451.</w:t>
      </w:r>
    </w:p>
  </w:footnote>
  <w:footnote w:id="365">
    <w:p w:rsidR="0053578D" w:rsidRPr="00FE2C4D" w:rsidRDefault="0053578D">
      <w:pPr>
        <w:pStyle w:val="FootnoteText"/>
      </w:pPr>
      <w:r>
        <w:rPr>
          <w:rStyle w:val="FootnoteReference"/>
        </w:rPr>
        <w:footnoteRef/>
      </w:r>
      <w:r>
        <w:t xml:space="preserve"> </w:t>
      </w:r>
      <w:r>
        <w:rPr>
          <w:i/>
        </w:rPr>
        <w:t>Id.</w:t>
      </w:r>
      <w:r>
        <w:t xml:space="preserve"> at 466.</w:t>
      </w:r>
    </w:p>
  </w:footnote>
  <w:footnote w:id="366">
    <w:p w:rsidR="0053578D" w:rsidRPr="005303BD" w:rsidRDefault="0053578D">
      <w:pPr>
        <w:pStyle w:val="FootnoteText"/>
      </w:pPr>
      <w:r>
        <w:rPr>
          <w:rStyle w:val="FootnoteReference"/>
        </w:rPr>
        <w:footnoteRef/>
      </w:r>
      <w:r>
        <w:t xml:space="preserve"> </w:t>
      </w:r>
      <w:r>
        <w:rPr>
          <w:i/>
        </w:rPr>
        <w:t xml:space="preserve">Peering </w:t>
      </w:r>
      <w:r>
        <w:t>at 34-35.</w:t>
      </w:r>
    </w:p>
  </w:footnote>
  <w:footnote w:id="367">
    <w:p w:rsidR="0053578D" w:rsidRDefault="0053578D">
      <w:pPr>
        <w:pStyle w:val="FootnoteText"/>
      </w:pPr>
      <w:r>
        <w:rPr>
          <w:rStyle w:val="FootnoteReference"/>
        </w:rPr>
        <w:footnoteRef/>
      </w:r>
      <w:r>
        <w:t xml:space="preserve">  </w:t>
      </w:r>
      <w:r>
        <w:rPr>
          <w:i/>
        </w:rPr>
        <w:t>Hathcock</w:t>
      </w:r>
      <w:r>
        <w:t xml:space="preserve"> at 477:  “[T]he</w:t>
      </w:r>
      <w:r w:rsidRPr="00FE2C4D">
        <w:t xml:space="preserve"> Pinnacle Project is not subject to public oversight</w:t>
      </w:r>
      <w:r>
        <w:t>.” </w:t>
      </w:r>
    </w:p>
  </w:footnote>
  <w:footnote w:id="368">
    <w:p w:rsidR="0053578D" w:rsidRPr="00DC74D7" w:rsidRDefault="0053578D">
      <w:pPr>
        <w:pStyle w:val="FootnoteText"/>
      </w:pPr>
      <w:r>
        <w:rPr>
          <w:rStyle w:val="FootnoteReference"/>
        </w:rPr>
        <w:footnoteRef/>
      </w:r>
      <w:r>
        <w:t xml:space="preserve"> </w:t>
      </w:r>
      <w:r>
        <w:rPr>
          <w:i/>
        </w:rPr>
        <w:t>Hathcock</w:t>
      </w:r>
      <w:r>
        <w:t xml:space="preserve"> at 476:  “[C]</w:t>
      </w:r>
      <w:r w:rsidRPr="00DC74D7">
        <w:t>ondemnation</w:t>
      </w:r>
      <w:r>
        <w:t xml:space="preserve"> </w:t>
      </w:r>
      <w:r w:rsidRPr="00DC74D7">
        <w:rPr>
          <w:i/>
          <w:iCs/>
        </w:rPr>
        <w:t>itself,</w:t>
      </w:r>
      <w:r w:rsidRPr="00DC74D7">
        <w:t> rather than the use to which the condemned land eventually would be put, was a public use.</w:t>
      </w:r>
      <w:r>
        <w:t xml:space="preserve">”(citing </w:t>
      </w:r>
      <w:hyperlink r:id="rId56" w:history="1">
        <w:r w:rsidRPr="00875870">
          <w:rPr>
            <w:rStyle w:val="Hyperlink"/>
            <w:iCs/>
            <w:color w:val="auto"/>
            <w:u w:val="none"/>
          </w:rPr>
          <w:t>In re Slum Clearance,</w:t>
        </w:r>
        <w:r w:rsidRPr="00875870">
          <w:rPr>
            <w:rStyle w:val="Hyperlink"/>
            <w:color w:val="auto"/>
            <w:u w:val="none"/>
          </w:rPr>
          <w:t> 331 Mich. 714, 720 (1951)</w:t>
        </w:r>
      </w:hyperlink>
      <w:r>
        <w:t xml:space="preserve">.  </w:t>
      </w:r>
      <w:r>
        <w:rPr>
          <w:i/>
        </w:rPr>
        <w:t xml:space="preserve">See also </w:t>
      </w:r>
      <w:r>
        <w:t xml:space="preserve">Slum Clearance at 724:  [Condemnation] </w:t>
      </w:r>
      <w:r w:rsidRPr="00DC74D7">
        <w:t xml:space="preserve">was to remove slums for reasons of the health, morals, safety and </w:t>
      </w:r>
      <w:r>
        <w:t>welfare of the whole community.” (internal citations omitted).</w:t>
      </w:r>
    </w:p>
  </w:footnote>
  <w:footnote w:id="369">
    <w:p w:rsidR="0053578D" w:rsidRPr="005303BD" w:rsidRDefault="0053578D">
      <w:pPr>
        <w:pStyle w:val="FootnoteText"/>
      </w:pPr>
      <w:r>
        <w:rPr>
          <w:rStyle w:val="FootnoteReference"/>
        </w:rPr>
        <w:footnoteRef/>
      </w:r>
      <w:r>
        <w:t xml:space="preserve"> </w:t>
      </w:r>
      <w:r>
        <w:rPr>
          <w:i/>
        </w:rPr>
        <w:t>See Peering</w:t>
      </w:r>
      <w:r>
        <w:t xml:space="preserve"> at 34-35.</w:t>
      </w:r>
    </w:p>
  </w:footnote>
  <w:footnote w:id="370">
    <w:p w:rsidR="0053578D" w:rsidRPr="00543754" w:rsidRDefault="0053578D" w:rsidP="00DE424C">
      <w:pPr>
        <w:pStyle w:val="FootnoteText"/>
      </w:pPr>
      <w:r>
        <w:rPr>
          <w:rStyle w:val="FootnoteReference"/>
        </w:rPr>
        <w:footnoteRef/>
      </w:r>
      <w:r>
        <w:t xml:space="preserve"> Indeed, for centuries.  </w:t>
      </w:r>
      <w:r>
        <w:rPr>
          <w:i/>
        </w:rPr>
        <w:t xml:space="preserve">See </w:t>
      </w:r>
      <w:r>
        <w:rPr>
          <w:smallCaps/>
        </w:rPr>
        <w:t>Why Nations Fail: The Origins of Power, Prosperity, and Poverty</w:t>
      </w:r>
      <w:r>
        <w:t xml:space="preserve"> 108 (2012) (modern divergences between Eastern and Western Europe rooted in extractive vs. inclusive institutions from the fourteenth century.).</w:t>
      </w:r>
    </w:p>
  </w:footnote>
  <w:footnote w:id="371">
    <w:p w:rsidR="0053578D" w:rsidRPr="009D5799" w:rsidRDefault="0053578D" w:rsidP="00DE424C">
      <w:pPr>
        <w:pStyle w:val="FootnoteText"/>
      </w:pPr>
      <w:r>
        <w:rPr>
          <w:rStyle w:val="FootnoteReference"/>
        </w:rPr>
        <w:footnoteRef/>
      </w:r>
      <w:r>
        <w:t xml:space="preserve"> </w:t>
      </w:r>
      <w:r>
        <w:rPr>
          <w:i/>
        </w:rPr>
        <w:t>Id.</w:t>
      </w:r>
      <w:r>
        <w:t xml:space="preserve"> at 75 (describing, for example, extractive practices in 17</w:t>
      </w:r>
      <w:r w:rsidRPr="00EA3E51">
        <w:rPr>
          <w:vertAlign w:val="superscript"/>
        </w:rPr>
        <w:t>th</w:t>
      </w:r>
      <w:r>
        <w:t xml:space="preserve"> century Barbados and its long term effects).</w:t>
      </w:r>
    </w:p>
  </w:footnote>
  <w:footnote w:id="372">
    <w:p w:rsidR="0053578D" w:rsidRDefault="0053578D">
      <w:pPr>
        <w:pStyle w:val="FootnoteText"/>
      </w:pPr>
      <w:r>
        <w:rPr>
          <w:rStyle w:val="FootnoteReference"/>
        </w:rPr>
        <w:footnoteRef/>
      </w:r>
      <w:r>
        <w:t xml:space="preserve"> </w:t>
      </w:r>
      <w:r w:rsidRPr="005303BD">
        <w:rPr>
          <w:smallCaps/>
        </w:rPr>
        <w:t>The Origins of the Urban Crisis: Race and Inequality in Postwar Detroit</w:t>
      </w:r>
      <w:r w:rsidRPr="00066BBB">
        <w:t xml:space="preserve"> (1995)</w:t>
      </w:r>
      <w:r>
        <w:t>.</w:t>
      </w:r>
    </w:p>
  </w:footnote>
  <w:footnote w:id="373">
    <w:p w:rsidR="0053578D" w:rsidRPr="00066BBB" w:rsidRDefault="0053578D">
      <w:pPr>
        <w:pStyle w:val="FootnoteText"/>
      </w:pPr>
      <w:r>
        <w:rPr>
          <w:rStyle w:val="FootnoteReference"/>
        </w:rPr>
        <w:footnoteRef/>
      </w:r>
      <w:r>
        <w:t xml:space="preserve"> </w:t>
      </w:r>
      <w:r>
        <w:rPr>
          <w:i/>
        </w:rPr>
        <w:t>Id.</w:t>
      </w:r>
      <w:r>
        <w:t xml:space="preserve"> at 36 (“</w:t>
      </w:r>
      <w:r w:rsidRPr="00066BBB">
        <w:t xml:space="preserve">City officials, looking at the poor housing stock in black neighborhoods condemned many areas as blighted, and destroyed much extant housing to build highways, hospitals, housing projects, and a civic center complex, further limiting the housing options of blacks.  Moreover the decaying neighborhoods </w:t>
      </w:r>
      <w:r>
        <w:t xml:space="preserve">[justified banker disinvestment].”).  </w:t>
      </w:r>
      <w:r>
        <w:rPr>
          <w:i/>
        </w:rPr>
        <w:t>See also id.</w:t>
      </w:r>
      <w:r>
        <w:t>at 48-49:  “</w:t>
      </w:r>
      <w:r w:rsidRPr="00066BBB">
        <w:t xml:space="preserve">City officials expected that the eradication of ‘blight’ would </w:t>
      </w:r>
      <w:r>
        <w:t xml:space="preserve">. . </w:t>
      </w:r>
      <w:r w:rsidRPr="00066BBB">
        <w:t>revitalize the decaying urban core</w:t>
      </w:r>
      <w:r>
        <w:t xml:space="preserve"> </w:t>
      </w:r>
      <w:r w:rsidRPr="00066BBB">
        <w:t>. . . . [all of this was premised] on the destruction of some of the most densely populated black neighborhoods in the city.  Plans to relocate blacks displaced by the projects utterly failed.</w:t>
      </w:r>
      <w:r>
        <w:t>”</w:t>
      </w:r>
      <w:r w:rsidRPr="00066BBB">
        <w:t xml:space="preserve">  </w:t>
      </w:r>
    </w:p>
  </w:footnote>
  <w:footnote w:id="374">
    <w:p w:rsidR="0053578D" w:rsidRDefault="0053578D">
      <w:pPr>
        <w:pStyle w:val="FootnoteText"/>
      </w:pPr>
      <w:r>
        <w:rPr>
          <w:rStyle w:val="FootnoteReference"/>
        </w:rPr>
        <w:footnoteRef/>
      </w:r>
      <w:r>
        <w:t xml:space="preserve"> </w:t>
      </w:r>
      <w:r w:rsidRPr="00066BBB">
        <w:t>http://detroit.areaconnect.com/statistics.htm</w:t>
      </w:r>
      <w:r>
        <w:t>.</w:t>
      </w:r>
    </w:p>
  </w:footnote>
  <w:footnote w:id="375">
    <w:p w:rsidR="0053578D" w:rsidRPr="003C0AEC" w:rsidRDefault="0053578D" w:rsidP="00DE424C">
      <w:pPr>
        <w:pStyle w:val="FootnoteText"/>
      </w:pPr>
      <w:r>
        <w:rPr>
          <w:rStyle w:val="FootnoteReference"/>
        </w:rPr>
        <w:footnoteRef/>
      </w:r>
      <w:r>
        <w:t xml:space="preserve"> Bill Vlasic, </w:t>
      </w:r>
      <w:r>
        <w:rPr>
          <w:i/>
        </w:rPr>
        <w:t xml:space="preserve">When Auto Plants Close, Only White Elephants Remain, N.Y.T., Jul. 30, 2009, </w:t>
      </w:r>
      <w:hyperlink r:id="rId57" w:history="1">
        <w:r w:rsidRPr="00BF0562">
          <w:rPr>
            <w:rStyle w:val="Hyperlink"/>
            <w:i/>
          </w:rPr>
          <w:t>http://www.nytimes.com/2009/07/31/business/31factories.html?pagewanted=all</w:t>
        </w:r>
      </w:hyperlink>
      <w:r>
        <w:rPr>
          <w:i/>
        </w:rPr>
        <w:t xml:space="preserve"> </w:t>
      </w:r>
      <w:r>
        <w:t>(“[W]hen a plant closes . . . [t]ax revenue evaporates and related businesses vanish.”).</w:t>
      </w:r>
    </w:p>
  </w:footnote>
  <w:footnote w:id="376">
    <w:p w:rsidR="0053578D" w:rsidRPr="003C0AEC" w:rsidRDefault="0053578D" w:rsidP="00DE424C">
      <w:pPr>
        <w:pStyle w:val="FootnoteText"/>
      </w:pPr>
      <w:r>
        <w:rPr>
          <w:rStyle w:val="FootnoteReference"/>
        </w:rPr>
        <w:footnoteRef/>
      </w:r>
      <w:r>
        <w:t xml:space="preserve"> “When we put people in situations of scarcity in experiments, they get into poverty traps,” said Eldar Shafir, a professor of psychology and public affairs at Princeton.  “They borrow at high interest rates that hurt them.”). Benedict Carey, </w:t>
      </w:r>
      <w:r>
        <w:rPr>
          <w:i/>
        </w:rPr>
        <w:t xml:space="preserve">Life in the Red, N.Y.T., an. 14, 2013, </w:t>
      </w:r>
      <w:hyperlink r:id="rId58" w:history="1">
        <w:r w:rsidRPr="00BF0562">
          <w:rPr>
            <w:rStyle w:val="Hyperlink"/>
            <w:i/>
          </w:rPr>
          <w:t>http://www.nytimes.com/2013/01/15/science/in-debt-and-digging-deeper-to-find-relief.html?pagewanted=all&amp;_r=0</w:t>
        </w:r>
      </w:hyperlink>
      <w:r>
        <w:rPr>
          <w:i/>
        </w:rPr>
        <w:t xml:space="preserve"> </w:t>
      </w:r>
      <w:r>
        <w:t>(focusing on Detroiters).</w:t>
      </w:r>
    </w:p>
  </w:footnote>
  <w:footnote w:id="377">
    <w:p w:rsidR="0053578D" w:rsidRPr="00E51E8F" w:rsidRDefault="0053578D" w:rsidP="00DE424C">
      <w:pPr>
        <w:pStyle w:val="FootnoteText"/>
      </w:pPr>
      <w:r>
        <w:rPr>
          <w:rStyle w:val="FootnoteReference"/>
        </w:rPr>
        <w:footnoteRef/>
      </w:r>
      <w:r>
        <w:t xml:space="preserve"> Thomas J. Sugrue, </w:t>
      </w:r>
      <w:r>
        <w:rPr>
          <w:smallCaps/>
        </w:rPr>
        <w:t>The Origins of the Urban Crisis: Race and inequality in Detroit</w:t>
      </w:r>
      <w:r>
        <w:t xml:space="preserve"> xvii (1996).</w:t>
      </w:r>
    </w:p>
  </w:footnote>
  <w:footnote w:id="378">
    <w:p w:rsidR="0053578D" w:rsidRPr="00E51E8F" w:rsidRDefault="0053578D" w:rsidP="00DE424C">
      <w:pPr>
        <w:pStyle w:val="FootnoteText"/>
        <w:rPr>
          <w:i/>
        </w:rPr>
      </w:pPr>
      <w:r>
        <w:rPr>
          <w:rStyle w:val="FootnoteReference"/>
        </w:rPr>
        <w:footnoteRef/>
      </w:r>
      <w:r>
        <w:t xml:space="preserve"> </w:t>
      </w:r>
      <w:r>
        <w:rPr>
          <w:i/>
        </w:rPr>
        <w:t>Id.</w:t>
      </w:r>
    </w:p>
  </w:footnote>
  <w:footnote w:id="379">
    <w:p w:rsidR="0053578D" w:rsidRDefault="0053578D" w:rsidP="00DE424C">
      <w:pPr>
        <w:pStyle w:val="FootnoteText"/>
      </w:pPr>
      <w:r>
        <w:rPr>
          <w:rStyle w:val="FootnoteReference"/>
        </w:rPr>
        <w:footnoteRef/>
      </w:r>
      <w:r>
        <w:t xml:space="preserve"> </w:t>
      </w:r>
      <w:r w:rsidRPr="005303BD">
        <w:rPr>
          <w:i/>
        </w:rPr>
        <w:t>Peering</w:t>
      </w:r>
      <w:r>
        <w:t xml:space="preserve"> at 68-69, interviews with Alicia Barksdale and Hilary Saunders.  </w:t>
      </w:r>
    </w:p>
  </w:footnote>
  <w:footnote w:id="380">
    <w:p w:rsidR="0053578D" w:rsidRPr="00374FEB" w:rsidRDefault="0053578D" w:rsidP="00DE424C">
      <w:pPr>
        <w:pStyle w:val="FootnoteText"/>
        <w:rPr>
          <w:i/>
        </w:rPr>
      </w:pPr>
      <w:r>
        <w:rPr>
          <w:rStyle w:val="FootnoteReference"/>
        </w:rPr>
        <w:footnoteRef/>
      </w:r>
      <w:r>
        <w:t xml:space="preserve"> John Gallagher, </w:t>
      </w:r>
      <w:r>
        <w:rPr>
          <w:i/>
        </w:rPr>
        <w:t xml:space="preserve">Ruling lets couple keep land, to Wayne County, Mich’s dismay, Detroit Free Press, Aug. 3, 2004, </w:t>
      </w:r>
      <w:hyperlink r:id="rId59" w:history="1">
        <w:r w:rsidRPr="00BF0562">
          <w:rPr>
            <w:rStyle w:val="Hyperlink"/>
            <w:i/>
          </w:rPr>
          <w:t>http://www.highbeam.com/doc/1G1-120084596.html</w:t>
        </w:r>
      </w:hyperlink>
      <w:r>
        <w:rPr>
          <w:i/>
        </w:rPr>
        <w:t xml:space="preserve">; </w:t>
      </w:r>
    </w:p>
  </w:footnote>
  <w:footnote w:id="381">
    <w:p w:rsidR="0053578D" w:rsidRPr="00544F1E" w:rsidRDefault="0053578D">
      <w:pPr>
        <w:pStyle w:val="FootnoteText"/>
      </w:pPr>
      <w:r>
        <w:rPr>
          <w:rStyle w:val="FootnoteReference"/>
        </w:rPr>
        <w:footnoteRef/>
      </w:r>
      <w:r>
        <w:t xml:space="preserve"> </w:t>
      </w:r>
      <w:r>
        <w:rPr>
          <w:i/>
        </w:rPr>
        <w:t xml:space="preserve">See </w:t>
      </w:r>
      <w:r>
        <w:t xml:space="preserve">James A. Martone, </w:t>
      </w:r>
      <w:r>
        <w:rPr>
          <w:i/>
        </w:rPr>
        <w:t>Rethinking Eminent Domain in Michigan</w:t>
      </w:r>
      <w:r>
        <w:t xml:space="preserve"> 58 Wayne L. Rev. 537, 546 (2012) (“</w:t>
      </w:r>
      <w:r w:rsidRPr="00544F1E">
        <w:t>the court rel</w:t>
      </w:r>
      <w:r>
        <w:t>ied on Justice Ryan's dissent[].</w:t>
      </w:r>
      <w:r w:rsidRPr="00544F1E">
        <w:t>”</w:t>
      </w:r>
      <w:r>
        <w:t>).</w:t>
      </w:r>
    </w:p>
  </w:footnote>
  <w:footnote w:id="382">
    <w:p w:rsidR="0053578D" w:rsidRPr="005303BD" w:rsidRDefault="0053578D">
      <w:pPr>
        <w:pStyle w:val="FootnoteText"/>
        <w:rPr>
          <w:i/>
        </w:rPr>
      </w:pPr>
      <w:r>
        <w:rPr>
          <w:rStyle w:val="FootnoteReference"/>
        </w:rPr>
        <w:footnoteRef/>
      </w:r>
      <w:r>
        <w:t xml:space="preserve"> </w:t>
      </w:r>
      <w:r>
        <w:rPr>
          <w:i/>
        </w:rPr>
        <w:t>See</w:t>
      </w:r>
      <w:r>
        <w:t xml:space="preserve"> text accompanying note 222, </w:t>
      </w:r>
      <w:r>
        <w:rPr>
          <w:i/>
        </w:rPr>
        <w:t>infra.</w:t>
      </w:r>
    </w:p>
  </w:footnote>
  <w:footnote w:id="383">
    <w:p w:rsidR="0053578D" w:rsidRDefault="0053578D">
      <w:pPr>
        <w:pStyle w:val="FootnoteText"/>
      </w:pPr>
      <w:r>
        <w:rPr>
          <w:rStyle w:val="FootnoteReference"/>
        </w:rPr>
        <w:footnoteRef/>
      </w:r>
      <w:r>
        <w:t xml:space="preserve"> </w:t>
      </w:r>
      <w:r w:rsidRPr="00430C6C">
        <w:rPr>
          <w:i/>
          <w:iCs/>
        </w:rPr>
        <w:t xml:space="preserve">Poletown </w:t>
      </w:r>
      <w:r w:rsidRPr="00430C6C">
        <w:t>at 658 (Ryan, J., dissenting).</w:t>
      </w:r>
    </w:p>
  </w:footnote>
  <w:footnote w:id="384">
    <w:p w:rsidR="0053578D" w:rsidRDefault="0053578D">
      <w:pPr>
        <w:pStyle w:val="FootnoteText"/>
      </w:pPr>
      <w:r>
        <w:rPr>
          <w:rStyle w:val="FootnoteReference"/>
        </w:rPr>
        <w:footnoteRef/>
      </w:r>
      <w:r>
        <w:t xml:space="preserve"> </w:t>
      </w:r>
      <w:r w:rsidRPr="005303BD">
        <w:rPr>
          <w:i/>
        </w:rPr>
        <w:t>Peering</w:t>
      </w:r>
      <w:r>
        <w:t xml:space="preserve"> at 35.</w:t>
      </w:r>
    </w:p>
  </w:footnote>
  <w:footnote w:id="385">
    <w:p w:rsidR="0053578D" w:rsidRPr="00875E06" w:rsidRDefault="0053578D">
      <w:pPr>
        <w:pStyle w:val="FootnoteText"/>
        <w:rPr>
          <w:i/>
        </w:rPr>
      </w:pPr>
      <w:r>
        <w:rPr>
          <w:rStyle w:val="FootnoteReference"/>
        </w:rPr>
        <w:footnoteRef/>
      </w:r>
      <w:r>
        <w:t xml:space="preserve"> </w:t>
      </w:r>
      <w:r>
        <w:rPr>
          <w:i/>
        </w:rPr>
        <w:t>See</w:t>
      </w:r>
      <w:r>
        <w:t xml:space="preserve"> text accompanying notes 60-61, </w:t>
      </w:r>
      <w:r>
        <w:rPr>
          <w:i/>
        </w:rPr>
        <w:t>supra.</w:t>
      </w:r>
    </w:p>
  </w:footnote>
  <w:footnote w:id="386">
    <w:p w:rsidR="0053578D" w:rsidRDefault="0053578D">
      <w:pPr>
        <w:pStyle w:val="FootnoteText"/>
      </w:pPr>
      <w:r>
        <w:rPr>
          <w:rStyle w:val="FootnoteReference"/>
        </w:rPr>
        <w:footnoteRef/>
      </w:r>
      <w:r>
        <w:t xml:space="preserve"> </w:t>
      </w:r>
      <w:r w:rsidRPr="00443393">
        <w:t>467 U.S. 229.</w:t>
      </w:r>
    </w:p>
  </w:footnote>
  <w:footnote w:id="387">
    <w:p w:rsidR="0053578D" w:rsidRDefault="0053578D">
      <w:pPr>
        <w:pStyle w:val="FootnoteText"/>
      </w:pPr>
      <w:r>
        <w:rPr>
          <w:rStyle w:val="FootnoteReference"/>
        </w:rPr>
        <w:footnoteRef/>
      </w:r>
      <w:r>
        <w:t xml:space="preserve"> </w:t>
      </w:r>
      <w:r w:rsidRPr="00443393">
        <w:rPr>
          <w:i/>
          <w:iCs/>
        </w:rPr>
        <w:t xml:space="preserve">Id. </w:t>
      </w:r>
      <w:r w:rsidRPr="00443393">
        <w:t>at 235.</w:t>
      </w:r>
    </w:p>
  </w:footnote>
  <w:footnote w:id="388">
    <w:p w:rsidR="0053578D" w:rsidRPr="00443393" w:rsidRDefault="0053578D" w:rsidP="00443393">
      <w:pPr>
        <w:pStyle w:val="FootnoteText"/>
      </w:pPr>
      <w:r>
        <w:rPr>
          <w:rStyle w:val="FootnoteReference"/>
        </w:rPr>
        <w:footnoteRef/>
      </w:r>
      <w:r>
        <w:t xml:space="preserve"> </w:t>
      </w:r>
      <w:r w:rsidRPr="00443393">
        <w:rPr>
          <w:i/>
          <w:iCs/>
        </w:rPr>
        <w:t xml:space="preserve">Id. </w:t>
      </w:r>
      <w:r w:rsidRPr="00443393">
        <w:t>at 232 (“Beginning in the early 1800's, Hawaiian leaders and American settlers repeatedly attempted to</w:t>
      </w:r>
    </w:p>
    <w:p w:rsidR="0053578D" w:rsidRDefault="0053578D" w:rsidP="00443393">
      <w:pPr>
        <w:pStyle w:val="FootnoteText"/>
      </w:pPr>
      <w:r w:rsidRPr="00443393">
        <w:t>divide the lands of the kingdom among the crown, the chiefs, and the common people.”)</w:t>
      </w:r>
    </w:p>
  </w:footnote>
  <w:footnote w:id="389">
    <w:p w:rsidR="0053578D" w:rsidRDefault="0053578D">
      <w:pPr>
        <w:pStyle w:val="FootnoteText"/>
      </w:pPr>
      <w:r>
        <w:rPr>
          <w:rStyle w:val="FootnoteReference"/>
        </w:rPr>
        <w:footnoteRef/>
      </w:r>
      <w:r>
        <w:t xml:space="preserve"> </w:t>
      </w:r>
      <w:r w:rsidRPr="00443393">
        <w:rPr>
          <w:i/>
          <w:iCs/>
        </w:rPr>
        <w:t xml:space="preserve">Id. </w:t>
      </w:r>
      <w:r w:rsidRPr="00443393">
        <w:t>at 241‐242.</w:t>
      </w:r>
    </w:p>
  </w:footnote>
  <w:footnote w:id="390">
    <w:p w:rsidR="0053578D" w:rsidRPr="000F10CC" w:rsidRDefault="0053578D">
      <w:pPr>
        <w:pStyle w:val="FootnoteText"/>
        <w:rPr>
          <w:i/>
        </w:rPr>
      </w:pPr>
      <w:r>
        <w:rPr>
          <w:rStyle w:val="FootnoteReference"/>
        </w:rPr>
        <w:footnoteRef/>
      </w:r>
      <w:r>
        <w:t xml:space="preserve"> </w:t>
      </w:r>
      <w:r>
        <w:rPr>
          <w:i/>
        </w:rPr>
        <w:t>See Peering</w:t>
      </w:r>
      <w:r>
        <w:t xml:space="preserve"> at section IV(b) and pps 40-41 for discussions of </w:t>
      </w:r>
      <w:r>
        <w:rPr>
          <w:i/>
        </w:rPr>
        <w:t>Hathcock</w:t>
      </w:r>
      <w:r>
        <w:t xml:space="preserve"> and </w:t>
      </w:r>
      <w:r>
        <w:rPr>
          <w:i/>
        </w:rPr>
        <w:t>Midkiff.</w:t>
      </w:r>
    </w:p>
  </w:footnote>
  <w:footnote w:id="391">
    <w:p w:rsidR="0053578D" w:rsidRPr="005104AF" w:rsidRDefault="0053578D">
      <w:pPr>
        <w:pStyle w:val="FootnoteText"/>
      </w:pPr>
      <w:r>
        <w:rPr>
          <w:rStyle w:val="FootnoteReference"/>
        </w:rPr>
        <w:footnoteRef/>
      </w:r>
      <w:r>
        <w:t xml:space="preserve"> Hockett cites </w:t>
      </w:r>
      <w:r>
        <w:rPr>
          <w:i/>
        </w:rPr>
        <w:t>Midkiff</w:t>
      </w:r>
      <w:r>
        <w:t xml:space="preserve"> in support of his argument that governments should use eminent domain to secure underwater mortgages.  See</w:t>
      </w:r>
      <w:r>
        <w:rPr>
          <w:i/>
        </w:rPr>
        <w:t xml:space="preserve"> </w:t>
      </w:r>
      <w:r>
        <w:t>note 245 at 169.</w:t>
      </w:r>
    </w:p>
  </w:footnote>
  <w:footnote w:id="392">
    <w:p w:rsidR="0053578D" w:rsidRPr="002137F5" w:rsidRDefault="0053578D">
      <w:pPr>
        <w:pStyle w:val="FootnoteText"/>
      </w:pPr>
      <w:r>
        <w:rPr>
          <w:rStyle w:val="FootnoteReference"/>
        </w:rPr>
        <w:footnoteRef/>
      </w:r>
      <w:r>
        <w:t xml:space="preserve"> </w:t>
      </w:r>
      <w:r>
        <w:rPr>
          <w:i/>
        </w:rPr>
        <w:t>Id.</w:t>
      </w:r>
      <w:r>
        <w:t xml:space="preserve"> at 121.</w:t>
      </w:r>
    </w:p>
  </w:footnote>
  <w:footnote w:id="393">
    <w:p w:rsidR="0053578D" w:rsidRPr="002137F5" w:rsidRDefault="0053578D">
      <w:pPr>
        <w:pStyle w:val="FootnoteText"/>
        <w:rPr>
          <w:i/>
        </w:rPr>
      </w:pPr>
      <w:r>
        <w:rPr>
          <w:rStyle w:val="FootnoteReference"/>
        </w:rPr>
        <w:footnoteRef/>
      </w:r>
      <w:r>
        <w:t xml:space="preserve"> </w:t>
      </w:r>
      <w:r>
        <w:rPr>
          <w:i/>
        </w:rPr>
        <w:t>See</w:t>
      </w:r>
      <w:r>
        <w:t xml:space="preserve"> note 388, </w:t>
      </w:r>
      <w:r>
        <w:rPr>
          <w:i/>
        </w:rPr>
        <w:t>supra.</w:t>
      </w:r>
    </w:p>
  </w:footnote>
  <w:footnote w:id="394">
    <w:p w:rsidR="0053578D" w:rsidRPr="004479F4" w:rsidRDefault="0053578D">
      <w:pPr>
        <w:pStyle w:val="FootnoteText"/>
        <w:rPr>
          <w:i/>
        </w:rPr>
      </w:pPr>
      <w:r>
        <w:rPr>
          <w:rStyle w:val="FootnoteReference"/>
        </w:rPr>
        <w:footnoteRef/>
      </w:r>
      <w:r>
        <w:t xml:space="preserve"> </w:t>
      </w:r>
      <w:r>
        <w:rPr>
          <w:i/>
        </w:rPr>
        <w:t>See</w:t>
      </w:r>
      <w:r>
        <w:t xml:space="preserve"> note 250, </w:t>
      </w:r>
      <w:r>
        <w:rPr>
          <w:i/>
        </w:rPr>
        <w:t>supra.</w:t>
      </w:r>
    </w:p>
  </w:footnote>
  <w:footnote w:id="395">
    <w:p w:rsidR="0053578D" w:rsidRPr="004479F4" w:rsidRDefault="0053578D">
      <w:pPr>
        <w:pStyle w:val="FootnoteText"/>
        <w:rPr>
          <w:i/>
        </w:rPr>
      </w:pPr>
      <w:r>
        <w:rPr>
          <w:rStyle w:val="FootnoteReference"/>
        </w:rPr>
        <w:footnoteRef/>
      </w:r>
      <w:r>
        <w:t xml:space="preserve"> On resource hoarding, </w:t>
      </w:r>
      <w:r>
        <w:rPr>
          <w:i/>
        </w:rPr>
        <w:t>see</w:t>
      </w:r>
      <w:r>
        <w:t xml:space="preserve"> note 430, </w:t>
      </w:r>
      <w:r>
        <w:rPr>
          <w:i/>
        </w:rPr>
        <w:t>infra.</w:t>
      </w:r>
    </w:p>
  </w:footnote>
  <w:footnote w:id="396">
    <w:p w:rsidR="0053578D" w:rsidRPr="00D10F56" w:rsidRDefault="0053578D">
      <w:pPr>
        <w:pStyle w:val="FootnoteText"/>
        <w:rPr>
          <w:i/>
        </w:rPr>
      </w:pPr>
      <w:r>
        <w:rPr>
          <w:rStyle w:val="FootnoteReference"/>
        </w:rPr>
        <w:footnoteRef/>
      </w:r>
      <w:r>
        <w:t xml:space="preserve"> </w:t>
      </w:r>
      <w:r>
        <w:rPr>
          <w:i/>
        </w:rPr>
        <w:t>See</w:t>
      </w:r>
      <w:r>
        <w:t xml:space="preserve"> </w:t>
      </w:r>
      <w:r>
        <w:rPr>
          <w:i/>
        </w:rPr>
        <w:t xml:space="preserve">public (adj.), </w:t>
      </w:r>
      <w:r w:rsidRPr="00282999">
        <w:rPr>
          <w:smallCaps/>
        </w:rPr>
        <w:t>Online Etymological Dictionary</w:t>
      </w:r>
      <w:r w:rsidRPr="00282999">
        <w:t xml:space="preserve">, describing “public” as stemming directly from the Latin Publicus, which means “of the people,” </w:t>
      </w:r>
      <w:r>
        <w:t>as well as “common, general, public; ordinary, vulgar.”</w:t>
      </w:r>
    </w:p>
  </w:footnote>
  <w:footnote w:id="397">
    <w:p w:rsidR="0053578D" w:rsidRPr="00666975" w:rsidRDefault="0053578D" w:rsidP="00B77782">
      <w:pPr>
        <w:pStyle w:val="FootnoteText"/>
        <w:rPr>
          <w:i/>
        </w:rPr>
      </w:pPr>
      <w:r>
        <w:rPr>
          <w:rStyle w:val="FootnoteReference"/>
        </w:rPr>
        <w:footnoteRef/>
      </w:r>
      <w:r>
        <w:t xml:space="preserve"> Tom Walsh, </w:t>
      </w:r>
      <w:r>
        <w:rPr>
          <w:i/>
        </w:rPr>
        <w:t xml:space="preserve">Gilbert Says Detroit blight can be purged in 30 to 6 years, </w:t>
      </w:r>
      <w:r w:rsidRPr="00DC74D7">
        <w:rPr>
          <w:smallCaps/>
        </w:rPr>
        <w:t>Detroit</w:t>
      </w:r>
      <w:r>
        <w:rPr>
          <w:i/>
          <w:smallCaps/>
        </w:rPr>
        <w:t xml:space="preserve"> Free Press</w:t>
      </w:r>
      <w:r>
        <w:rPr>
          <w:i/>
        </w:rPr>
        <w:t>, May 22, 2014,</w:t>
      </w:r>
      <w:r w:rsidRPr="00666975">
        <w:t xml:space="preserve"> </w:t>
      </w:r>
      <w:r w:rsidRPr="00666975">
        <w:rPr>
          <w:i/>
        </w:rPr>
        <w:t>http://www.freep.com/article/20140522/COL06/305220263/Tom-Walsh-Techweek-Detroit-Dan-Gilbert-Beth-Niblock%20-</w:t>
      </w:r>
      <w:r>
        <w:rPr>
          <w:i/>
        </w:rPr>
        <w:t xml:space="preserve">. </w:t>
      </w:r>
    </w:p>
  </w:footnote>
  <w:footnote w:id="398">
    <w:p w:rsidR="0053578D" w:rsidRPr="003D5953" w:rsidRDefault="0053578D" w:rsidP="00B77782">
      <w:pPr>
        <w:pStyle w:val="FootnoteText"/>
        <w:rPr>
          <w:i/>
        </w:rPr>
      </w:pPr>
      <w:r>
        <w:rPr>
          <w:rStyle w:val="FootnoteReference"/>
        </w:rPr>
        <w:footnoteRef/>
      </w:r>
      <w:r>
        <w:t xml:space="preserve"> </w:t>
      </w:r>
      <w:r>
        <w:rPr>
          <w:i/>
        </w:rPr>
        <w:t>See</w:t>
      </w:r>
      <w:r>
        <w:t xml:space="preserve"> text accompanying note 231-232, </w:t>
      </w:r>
      <w:r>
        <w:rPr>
          <w:i/>
        </w:rPr>
        <w:t>supra.</w:t>
      </w:r>
    </w:p>
  </w:footnote>
  <w:footnote w:id="399">
    <w:p w:rsidR="0053578D" w:rsidRPr="003D5953" w:rsidRDefault="0053578D" w:rsidP="00B77782">
      <w:pPr>
        <w:pStyle w:val="FootnoteText"/>
      </w:pPr>
      <w:r>
        <w:rPr>
          <w:rStyle w:val="FootnoteReference"/>
        </w:rPr>
        <w:footnoteRef/>
      </w:r>
      <w:r>
        <w:t xml:space="preserve"> </w:t>
      </w:r>
      <w:r>
        <w:rPr>
          <w:i/>
        </w:rPr>
        <w:t>See, e.g., Peering</w:t>
      </w:r>
      <w:r>
        <w:t xml:space="preserve"> at 35 (the aspirational gaze supports economic development takings).</w:t>
      </w:r>
    </w:p>
  </w:footnote>
  <w:footnote w:id="400">
    <w:p w:rsidR="0053578D" w:rsidRDefault="0053578D" w:rsidP="00B77782">
      <w:pPr>
        <w:pStyle w:val="FootnoteText"/>
      </w:pPr>
      <w:r>
        <w:rPr>
          <w:rStyle w:val="FootnoteReference"/>
        </w:rPr>
        <w:footnoteRef/>
      </w:r>
      <w:r>
        <w:t xml:space="preserve"> The 2009 version can be found here:  </w:t>
      </w:r>
      <w:r w:rsidRPr="00E73BBE">
        <w:t>http://www.detroitmi.gov/Portals/0/docs/planning/planning/MPlan/MPlan_%202009/Master%20Plan%20Text.pdf</w:t>
      </w:r>
    </w:p>
  </w:footnote>
  <w:footnote w:id="401">
    <w:p w:rsidR="0053578D" w:rsidRDefault="0053578D" w:rsidP="00B77782">
      <w:pPr>
        <w:pStyle w:val="FootnoteText"/>
      </w:pPr>
      <w:r>
        <w:rPr>
          <w:rStyle w:val="FootnoteReference"/>
        </w:rPr>
        <w:footnoteRef/>
      </w:r>
      <w:r>
        <w:t xml:space="preserve">Michigan Planning Enabling Act 33 of 2008, </w:t>
      </w:r>
      <w:r w:rsidRPr="00E73BBE">
        <w:t>http://www.legislature.mi.gov/(S(xj3g1jal1er4tq45ve4x5vuz))/documents/mcl/pdf/mcl-act-33-of-2008.pdf</w:t>
      </w:r>
      <w:r>
        <w:t>.</w:t>
      </w:r>
    </w:p>
  </w:footnote>
  <w:footnote w:id="402">
    <w:p w:rsidR="0053578D" w:rsidRPr="00023ADA" w:rsidRDefault="0053578D" w:rsidP="00B77782">
      <w:pPr>
        <w:pStyle w:val="FootnoteText"/>
      </w:pPr>
      <w:r>
        <w:rPr>
          <w:rStyle w:val="FootnoteReference"/>
        </w:rPr>
        <w:footnoteRef/>
      </w:r>
      <w:r>
        <w:t xml:space="preserve"> Detroit Future City, </w:t>
      </w:r>
      <w:r>
        <w:rPr>
          <w:smallCaps/>
        </w:rPr>
        <w:t>Detroit Strategic Framework Plan</w:t>
      </w:r>
      <w:r>
        <w:t xml:space="preserve"> 16 (2012) (“The public sector can incorporate the [SFP]. into the . . .  Master Plan of Policies.”).  </w:t>
      </w:r>
      <w:r>
        <w:rPr>
          <w:i/>
        </w:rPr>
        <w:t>See also</w:t>
      </w:r>
      <w:r>
        <w:t xml:space="preserve"> Detroit Future City, </w:t>
      </w:r>
      <w:r>
        <w:rPr>
          <w:smallCaps/>
        </w:rPr>
        <w:t>Master Plan Update Process</w:t>
      </w:r>
      <w:r>
        <w:t xml:space="preserve">, Feb. 25, 2104, </w:t>
      </w:r>
      <w:r w:rsidRPr="00023ADA">
        <w:t>http://detroitfuturecity.com/wp-content/uploads/2014/03/dfc-master-plan-update-20140228.pdf</w:t>
      </w:r>
      <w:r>
        <w:t xml:space="preserve"> (The Plan can be used to “update the Mater Plan of Policies.”); John Gallagher, </w:t>
      </w:r>
      <w:r>
        <w:rPr>
          <w:i/>
        </w:rPr>
        <w:t xml:space="preserve">Detroit Future City to Unveil its 2014 Priorities for Remaking City, </w:t>
      </w:r>
      <w:r>
        <w:rPr>
          <w:smallCaps/>
        </w:rPr>
        <w:t>Detroit Free Press</w:t>
      </w:r>
      <w:r>
        <w:t>, Feb. 19, 2014 (DFC initiatives will “help[] rewrite the city’s master plan”).</w:t>
      </w:r>
    </w:p>
  </w:footnote>
  <w:footnote w:id="403">
    <w:p w:rsidR="0053578D" w:rsidRPr="00D432A0" w:rsidRDefault="0053578D">
      <w:pPr>
        <w:pStyle w:val="FootnoteText"/>
      </w:pPr>
      <w:r>
        <w:rPr>
          <w:rStyle w:val="FootnoteReference"/>
        </w:rPr>
        <w:footnoteRef/>
      </w:r>
      <w:r>
        <w:t xml:space="preserve"> </w:t>
      </w:r>
      <w:r>
        <w:rPr>
          <w:i/>
        </w:rPr>
        <w:t xml:space="preserve">See, </w:t>
      </w:r>
      <w:r>
        <w:t xml:space="preserve">Detroit Future City, </w:t>
      </w:r>
      <w:r>
        <w:rPr>
          <w:i/>
        </w:rPr>
        <w:t>About,</w:t>
      </w:r>
      <w:r>
        <w:t xml:space="preserve"> </w:t>
      </w:r>
      <w:r w:rsidRPr="00D432A0">
        <w:t>http://detroitfuturecity.com/about/</w:t>
      </w:r>
      <w:r>
        <w:t>.</w:t>
      </w:r>
    </w:p>
  </w:footnote>
  <w:footnote w:id="404">
    <w:p w:rsidR="0053578D" w:rsidRPr="00BD65E5" w:rsidRDefault="0053578D" w:rsidP="00B77782">
      <w:pPr>
        <w:pStyle w:val="FootnoteText"/>
      </w:pPr>
      <w:r>
        <w:rPr>
          <w:rStyle w:val="FootnoteReference"/>
        </w:rPr>
        <w:footnoteRef/>
      </w:r>
      <w:r>
        <w:t xml:space="preserve"> </w:t>
      </w:r>
      <w:r>
        <w:rPr>
          <w:i/>
        </w:rPr>
        <w:t>Id.</w:t>
      </w:r>
      <w:r>
        <w:t xml:space="preserve"> at 3.</w:t>
      </w:r>
    </w:p>
  </w:footnote>
  <w:footnote w:id="405">
    <w:p w:rsidR="0053578D" w:rsidRPr="00A832A0" w:rsidRDefault="0053578D" w:rsidP="00B77782">
      <w:pPr>
        <w:pStyle w:val="FootnoteText"/>
      </w:pPr>
      <w:r>
        <w:rPr>
          <w:rStyle w:val="FootnoteReference"/>
        </w:rPr>
        <w:footnoteRef/>
      </w:r>
      <w:r>
        <w:t xml:space="preserve"> </w:t>
      </w:r>
      <w:r>
        <w:rPr>
          <w:i/>
        </w:rPr>
        <w:t>Id.</w:t>
      </w:r>
      <w:r>
        <w:t xml:space="preserve"> at 11 (“forecasts for the city predict that the population will fall . . .  to 610,000 by 2030.”).</w:t>
      </w:r>
    </w:p>
  </w:footnote>
  <w:footnote w:id="406">
    <w:p w:rsidR="0053578D" w:rsidRPr="00A832A0" w:rsidRDefault="0053578D" w:rsidP="004245C6">
      <w:pPr>
        <w:pStyle w:val="FootnoteText"/>
      </w:pPr>
      <w:r>
        <w:rPr>
          <w:rStyle w:val="FootnoteReference"/>
        </w:rPr>
        <w:footnoteRef/>
      </w:r>
      <w:r>
        <w:t xml:space="preserve"> </w:t>
      </w:r>
      <w:r>
        <w:rPr>
          <w:i/>
        </w:rPr>
        <w:t>See</w:t>
      </w:r>
      <w:r>
        <w:t xml:space="preserve"> </w:t>
      </w:r>
      <w:r>
        <w:rPr>
          <w:smallCaps/>
        </w:rPr>
        <w:t>Strategic Framework Plan</w:t>
      </w:r>
      <w:r>
        <w:t>, id., at the section starting at 33 (“The Economic Growth Element”).</w:t>
      </w:r>
    </w:p>
  </w:footnote>
  <w:footnote w:id="407">
    <w:p w:rsidR="0053578D" w:rsidRPr="00A832A0" w:rsidRDefault="0053578D" w:rsidP="004245C6">
      <w:pPr>
        <w:pStyle w:val="FootnoteText"/>
      </w:pPr>
      <w:r>
        <w:rPr>
          <w:rStyle w:val="FootnoteReference"/>
        </w:rPr>
        <w:footnoteRef/>
      </w:r>
      <w:r>
        <w:t xml:space="preserve"> </w:t>
      </w:r>
      <w:r>
        <w:rPr>
          <w:i/>
        </w:rPr>
        <w:t>Id.</w:t>
      </w:r>
      <w:r>
        <w:t xml:space="preserve"> at 91.</w:t>
      </w:r>
    </w:p>
  </w:footnote>
  <w:footnote w:id="408">
    <w:p w:rsidR="0053578D" w:rsidRPr="00A832A0" w:rsidRDefault="0053578D" w:rsidP="004245C6">
      <w:pPr>
        <w:pStyle w:val="FootnoteText"/>
      </w:pPr>
      <w:r>
        <w:rPr>
          <w:rStyle w:val="FootnoteReference"/>
        </w:rPr>
        <w:footnoteRef/>
      </w:r>
      <w:r>
        <w:t xml:space="preserve"> </w:t>
      </w:r>
      <w:r>
        <w:rPr>
          <w:i/>
        </w:rPr>
        <w:t>Id.</w:t>
      </w:r>
      <w:r>
        <w:t xml:space="preserve"> at 155.</w:t>
      </w:r>
    </w:p>
  </w:footnote>
  <w:footnote w:id="409">
    <w:p w:rsidR="0053578D" w:rsidRPr="00A832A0" w:rsidRDefault="0053578D" w:rsidP="004245C6">
      <w:pPr>
        <w:pStyle w:val="FootnoteText"/>
      </w:pPr>
      <w:r>
        <w:rPr>
          <w:rStyle w:val="FootnoteReference"/>
        </w:rPr>
        <w:footnoteRef/>
      </w:r>
      <w:r>
        <w:t xml:space="preserve"> </w:t>
      </w:r>
      <w:r>
        <w:rPr>
          <w:i/>
        </w:rPr>
        <w:t>Id.</w:t>
      </w:r>
      <w:r>
        <w:t xml:space="preserve"> at 203.</w:t>
      </w:r>
    </w:p>
  </w:footnote>
  <w:footnote w:id="410">
    <w:p w:rsidR="0053578D" w:rsidRPr="00A832A0" w:rsidRDefault="0053578D" w:rsidP="004245C6">
      <w:pPr>
        <w:pStyle w:val="FootnoteText"/>
      </w:pPr>
      <w:r>
        <w:rPr>
          <w:rStyle w:val="FootnoteReference"/>
        </w:rPr>
        <w:footnoteRef/>
      </w:r>
      <w:r>
        <w:t xml:space="preserve"> </w:t>
      </w:r>
      <w:r>
        <w:rPr>
          <w:i/>
        </w:rPr>
        <w:t>Id.</w:t>
      </w:r>
      <w:r>
        <w:t xml:space="preserve"> at 265.</w:t>
      </w:r>
    </w:p>
  </w:footnote>
  <w:footnote w:id="411">
    <w:p w:rsidR="0053578D" w:rsidRPr="00F55594" w:rsidRDefault="0053578D" w:rsidP="00B77782">
      <w:pPr>
        <w:pStyle w:val="FootnoteText"/>
      </w:pPr>
      <w:r>
        <w:rPr>
          <w:rStyle w:val="FootnoteReference"/>
        </w:rPr>
        <w:footnoteRef/>
      </w:r>
      <w:r>
        <w:t xml:space="preserve"> </w:t>
      </w:r>
      <w:r>
        <w:rPr>
          <w:i/>
        </w:rPr>
        <w:t>Id.</w:t>
      </w:r>
      <w:r>
        <w:t xml:space="preserve"> at 10 (“Poverty increased 40% over the last decade, now affecting 36% of households.”).</w:t>
      </w:r>
    </w:p>
  </w:footnote>
  <w:footnote w:id="412">
    <w:p w:rsidR="0053578D" w:rsidRPr="00F55594" w:rsidRDefault="0053578D" w:rsidP="00B77782">
      <w:pPr>
        <w:pStyle w:val="FootnoteText"/>
      </w:pPr>
      <w:r>
        <w:rPr>
          <w:rStyle w:val="FootnoteReference"/>
        </w:rPr>
        <w:footnoteRef/>
      </w:r>
      <w:r>
        <w:t xml:space="preserve"> </w:t>
      </w:r>
      <w:r>
        <w:rPr>
          <w:i/>
        </w:rPr>
        <w:t>Id.</w:t>
      </w:r>
      <w:r>
        <w:t xml:space="preserve">  </w:t>
      </w:r>
      <w:r>
        <w:rPr>
          <w:i/>
        </w:rPr>
        <w:t>See also</w:t>
      </w:r>
      <w:r>
        <w:t xml:space="preserve"> </w:t>
      </w:r>
      <w:r>
        <w:rPr>
          <w:i/>
        </w:rPr>
        <w:t>id.</w:t>
      </w:r>
      <w:r>
        <w:t xml:space="preserve"> at 41 (“Nationwide, high school graduation reduces the chance of living in poverty by 56%, and going on to earn a two-year degree reduces poverty by an additional 51%. Yet in Detroit, the corresponding reductions are much smaller (39% and 33%).”).</w:t>
      </w:r>
    </w:p>
  </w:footnote>
  <w:footnote w:id="413">
    <w:p w:rsidR="0053578D" w:rsidRPr="0027292F" w:rsidRDefault="0053578D" w:rsidP="00B77782">
      <w:pPr>
        <w:pStyle w:val="FootnoteText"/>
      </w:pPr>
      <w:r>
        <w:rPr>
          <w:rStyle w:val="FootnoteReference"/>
        </w:rPr>
        <w:footnoteRef/>
      </w:r>
      <w:r>
        <w:t xml:space="preserve"> </w:t>
      </w:r>
      <w:r>
        <w:rPr>
          <w:i/>
        </w:rPr>
        <w:t>Id.</w:t>
      </w:r>
      <w:r>
        <w:t xml:space="preserve"> at 41 (few of the city’s MBE’s hire employees); </w:t>
      </w:r>
      <w:r>
        <w:rPr>
          <w:i/>
        </w:rPr>
        <w:t>id.</w:t>
      </w:r>
      <w:r>
        <w:t xml:space="preserve"> at 21 (encouraging minority business participation.).</w:t>
      </w:r>
    </w:p>
  </w:footnote>
  <w:footnote w:id="414">
    <w:p w:rsidR="0053578D" w:rsidRPr="009502AD" w:rsidRDefault="0053578D" w:rsidP="00B77782">
      <w:pPr>
        <w:pStyle w:val="FootnoteText"/>
      </w:pPr>
      <w:r>
        <w:rPr>
          <w:rStyle w:val="FootnoteReference"/>
        </w:rPr>
        <w:footnoteRef/>
      </w:r>
      <w:r>
        <w:t xml:space="preserve"> </w:t>
      </w:r>
      <w:r>
        <w:rPr>
          <w:i/>
        </w:rPr>
        <w:t>Id.</w:t>
      </w:r>
      <w:r>
        <w:t xml:space="preserve"> at 63.</w:t>
      </w:r>
    </w:p>
  </w:footnote>
  <w:footnote w:id="415">
    <w:p w:rsidR="0053578D" w:rsidRPr="009502AD" w:rsidRDefault="0053578D" w:rsidP="00B77782">
      <w:pPr>
        <w:pStyle w:val="FootnoteText"/>
      </w:pPr>
      <w:r>
        <w:rPr>
          <w:rStyle w:val="FootnoteReference"/>
        </w:rPr>
        <w:footnoteRef/>
      </w:r>
      <w:r>
        <w:t xml:space="preserve"> </w:t>
      </w:r>
      <w:r>
        <w:rPr>
          <w:i/>
        </w:rPr>
        <w:t>Id.</w:t>
      </w:r>
      <w:r>
        <w:t xml:space="preserve"> at 65.</w:t>
      </w:r>
    </w:p>
  </w:footnote>
  <w:footnote w:id="416">
    <w:p w:rsidR="0053578D" w:rsidRPr="009502AD" w:rsidRDefault="0053578D" w:rsidP="00B77782">
      <w:pPr>
        <w:pStyle w:val="FootnoteText"/>
      </w:pPr>
      <w:r>
        <w:rPr>
          <w:rStyle w:val="FootnoteReference"/>
        </w:rPr>
        <w:footnoteRef/>
      </w:r>
      <w:r>
        <w:t xml:space="preserve"> </w:t>
      </w:r>
      <w:r>
        <w:rPr>
          <w:i/>
        </w:rPr>
        <w:t>Id.</w:t>
      </w:r>
      <w:r>
        <w:t xml:space="preserve"> at 67.</w:t>
      </w:r>
    </w:p>
  </w:footnote>
  <w:footnote w:id="417">
    <w:p w:rsidR="0053578D" w:rsidRPr="009502AD" w:rsidRDefault="0053578D" w:rsidP="00B77782">
      <w:pPr>
        <w:pStyle w:val="FootnoteText"/>
      </w:pPr>
      <w:r>
        <w:rPr>
          <w:rStyle w:val="FootnoteReference"/>
        </w:rPr>
        <w:footnoteRef/>
      </w:r>
      <w:r>
        <w:t xml:space="preserve"> </w:t>
      </w:r>
      <w:r>
        <w:rPr>
          <w:i/>
        </w:rPr>
        <w:t>Id.</w:t>
      </w:r>
      <w:r>
        <w:t xml:space="preserve"> at 69.</w:t>
      </w:r>
    </w:p>
  </w:footnote>
  <w:footnote w:id="418">
    <w:p w:rsidR="0053578D" w:rsidRPr="009502AD" w:rsidRDefault="0053578D" w:rsidP="00B77782">
      <w:pPr>
        <w:pStyle w:val="FootnoteText"/>
      </w:pPr>
      <w:r>
        <w:rPr>
          <w:rStyle w:val="FootnoteReference"/>
        </w:rPr>
        <w:footnoteRef/>
      </w:r>
      <w:r>
        <w:t xml:space="preserve"> </w:t>
      </w:r>
      <w:r>
        <w:rPr>
          <w:i/>
        </w:rPr>
        <w:t>Id.</w:t>
      </w:r>
      <w:r>
        <w:t xml:space="preserve"> at 71.</w:t>
      </w:r>
    </w:p>
  </w:footnote>
  <w:footnote w:id="419">
    <w:p w:rsidR="0053578D" w:rsidRPr="009502AD" w:rsidRDefault="0053578D" w:rsidP="00B77782">
      <w:pPr>
        <w:pStyle w:val="FootnoteText"/>
      </w:pPr>
      <w:r>
        <w:rPr>
          <w:rStyle w:val="FootnoteReference"/>
        </w:rPr>
        <w:footnoteRef/>
      </w:r>
      <w:r>
        <w:t xml:space="preserve"> </w:t>
      </w:r>
      <w:r>
        <w:rPr>
          <w:i/>
        </w:rPr>
        <w:t>Id.</w:t>
      </w:r>
      <w:r>
        <w:t xml:space="preserve"> at 73.</w:t>
      </w:r>
    </w:p>
  </w:footnote>
  <w:footnote w:id="420">
    <w:p w:rsidR="0053578D" w:rsidRPr="007A04B9" w:rsidRDefault="0053578D" w:rsidP="00B77782">
      <w:pPr>
        <w:pStyle w:val="FootnoteText"/>
      </w:pPr>
      <w:r>
        <w:rPr>
          <w:rStyle w:val="FootnoteReference"/>
        </w:rPr>
        <w:footnoteRef/>
      </w:r>
      <w:r>
        <w:t xml:space="preserve"> </w:t>
      </w:r>
      <w:r>
        <w:rPr>
          <w:i/>
        </w:rPr>
        <w:t>Id.</w:t>
      </w:r>
      <w:r>
        <w:t xml:space="preserve"> at 222.</w:t>
      </w:r>
    </w:p>
  </w:footnote>
  <w:footnote w:id="421">
    <w:p w:rsidR="0053578D" w:rsidRPr="005B43A1" w:rsidRDefault="0053578D" w:rsidP="00B77782">
      <w:pPr>
        <w:pStyle w:val="FootnoteText"/>
      </w:pPr>
      <w:r>
        <w:rPr>
          <w:rStyle w:val="FootnoteReference"/>
        </w:rPr>
        <w:footnoteRef/>
      </w:r>
      <w:r>
        <w:t xml:space="preserve"> </w:t>
      </w:r>
      <w:r>
        <w:rPr>
          <w:i/>
        </w:rPr>
        <w:t>Id.</w:t>
      </w:r>
      <w:r>
        <w:t xml:space="preserve"> at 11.</w:t>
      </w:r>
    </w:p>
  </w:footnote>
  <w:footnote w:id="422">
    <w:p w:rsidR="0053578D" w:rsidRPr="00842583" w:rsidRDefault="0053578D">
      <w:pPr>
        <w:pStyle w:val="FootnoteText"/>
        <w:rPr>
          <w:i/>
        </w:rPr>
      </w:pPr>
      <w:r>
        <w:rPr>
          <w:rStyle w:val="FootnoteReference"/>
        </w:rPr>
        <w:footnoteRef/>
      </w:r>
      <w:r>
        <w:t xml:space="preserve"> </w:t>
      </w:r>
      <w:r>
        <w:rPr>
          <w:i/>
        </w:rPr>
        <w:t>See</w:t>
      </w:r>
      <w:r>
        <w:t xml:space="preserve"> note 188, </w:t>
      </w:r>
      <w:r>
        <w:rPr>
          <w:i/>
        </w:rPr>
        <w:t>supra.</w:t>
      </w:r>
    </w:p>
  </w:footnote>
  <w:footnote w:id="423">
    <w:p w:rsidR="0053578D" w:rsidRPr="005B43A1" w:rsidRDefault="0053578D" w:rsidP="00B77782">
      <w:pPr>
        <w:pStyle w:val="FootnoteText"/>
      </w:pPr>
      <w:r>
        <w:rPr>
          <w:rStyle w:val="FootnoteReference"/>
        </w:rPr>
        <w:footnoteRef/>
      </w:r>
      <w:r>
        <w:t xml:space="preserve"> Julian Leff &amp; Richard Warner, </w:t>
      </w:r>
      <w:r>
        <w:rPr>
          <w:smallCaps/>
        </w:rPr>
        <w:t>Social Inclusion of People with Mental Illness</w:t>
      </w:r>
      <w:r>
        <w:t xml:space="preserve"> 6 (2006) (employers won’t hire those with mental health or addiction problems); e.g., </w:t>
      </w:r>
      <w:r>
        <w:rPr>
          <w:smallCaps/>
        </w:rPr>
        <w:t>Deborah R. Connolly, Homeless Mothers:  Face to Face with Women and Poverty</w:t>
      </w:r>
      <w:r>
        <w:t>, chp. 3 (2000) (telling story of “Michelle,” whose addiction created intense poverty.).</w:t>
      </w:r>
    </w:p>
  </w:footnote>
  <w:footnote w:id="424">
    <w:p w:rsidR="0053578D" w:rsidRPr="00A336F1" w:rsidRDefault="0053578D">
      <w:pPr>
        <w:pStyle w:val="FootnoteText"/>
        <w:rPr>
          <w:i/>
        </w:rPr>
      </w:pPr>
      <w:r>
        <w:rPr>
          <w:rStyle w:val="FootnoteReference"/>
        </w:rPr>
        <w:footnoteRef/>
      </w:r>
      <w:r>
        <w:t xml:space="preserve"> </w:t>
      </w:r>
      <w:r>
        <w:rPr>
          <w:i/>
        </w:rPr>
        <w:t>See</w:t>
      </w:r>
      <w:r>
        <w:t xml:space="preserve"> note 420, </w:t>
      </w:r>
      <w:r>
        <w:rPr>
          <w:i/>
        </w:rPr>
        <w:t>supra.</w:t>
      </w:r>
    </w:p>
  </w:footnote>
  <w:footnote w:id="425">
    <w:p w:rsidR="0053578D" w:rsidRPr="006E647B" w:rsidRDefault="0053578D" w:rsidP="00B77782">
      <w:pPr>
        <w:pStyle w:val="FootnoteText"/>
      </w:pPr>
      <w:r>
        <w:rPr>
          <w:rStyle w:val="FootnoteReference"/>
        </w:rPr>
        <w:footnoteRef/>
      </w:r>
      <w:r>
        <w:t xml:space="preserve"> </w:t>
      </w:r>
      <w:r>
        <w:rPr>
          <w:i/>
        </w:rPr>
        <w:t xml:space="preserve">Cf., </w:t>
      </w:r>
      <w:r>
        <w:t xml:space="preserve">FoxNews, </w:t>
      </w:r>
      <w:r>
        <w:rPr>
          <w:i/>
        </w:rPr>
        <w:t>Detroit traffic cops learning stop and frisk tactics</w:t>
      </w:r>
      <w:r>
        <w:t xml:space="preserve">, Fonews.com, Aug. 20, 2013, </w:t>
      </w:r>
      <w:hyperlink r:id="rId60" w:history="1">
        <w:r w:rsidRPr="003A2CF8">
          <w:rPr>
            <w:rStyle w:val="Hyperlink"/>
          </w:rPr>
          <w:t>http://www.foxnews.com/us/2013/08/20/detroit-police-consider-stop-and-frisk-policy/</w:t>
        </w:r>
      </w:hyperlink>
      <w:r>
        <w:t xml:space="preserve"> (“Erik Ewing, an assistant police chief in Detroit, said stop and frisk operates in Detroit but is not racist).</w:t>
      </w:r>
    </w:p>
  </w:footnote>
  <w:footnote w:id="426">
    <w:p w:rsidR="0053578D" w:rsidRPr="00F3415B" w:rsidRDefault="0053578D" w:rsidP="00B77782">
      <w:pPr>
        <w:pStyle w:val="FootnoteText"/>
      </w:pPr>
      <w:r>
        <w:rPr>
          <w:rStyle w:val="FootnoteReference"/>
        </w:rPr>
        <w:footnoteRef/>
      </w:r>
      <w:r>
        <w:t xml:space="preserve"> </w:t>
      </w:r>
      <w:r>
        <w:rPr>
          <w:i/>
        </w:rPr>
        <w:t>Id.</w:t>
      </w:r>
      <w:r>
        <w:t>at 10 (calling for more police on the street).</w:t>
      </w:r>
    </w:p>
  </w:footnote>
  <w:footnote w:id="427">
    <w:p w:rsidR="0053578D" w:rsidRPr="00F3415B" w:rsidRDefault="0053578D" w:rsidP="00B77782">
      <w:pPr>
        <w:pStyle w:val="FootnoteText"/>
      </w:pPr>
      <w:r>
        <w:rPr>
          <w:rStyle w:val="FootnoteReference"/>
        </w:rPr>
        <w:footnoteRef/>
      </w:r>
      <w:r>
        <w:t xml:space="preserve"> Cloee Cooper, </w:t>
      </w:r>
      <w:r>
        <w:rPr>
          <w:i/>
        </w:rPr>
        <w:t>Detroit Riots Tell of America’s History of Racism</w:t>
      </w:r>
      <w:r>
        <w:t xml:space="preserve">, Imagine 2050, June 22, 2010 (“A predominantly black city, Detroit has a long history of police brutality, housing inequality and struggle.”), </w:t>
      </w:r>
      <w:r w:rsidRPr="00F3415B">
        <w:t>http://imagine2050.newcomm.org/2010/06/22/detroit-riots-tell-of-america%E2%80%99s-history-of-racism/</w:t>
      </w:r>
      <w:r>
        <w:t>.</w:t>
      </w:r>
    </w:p>
  </w:footnote>
  <w:footnote w:id="428">
    <w:p w:rsidR="0053578D" w:rsidRDefault="0053578D" w:rsidP="003D5953">
      <w:pPr>
        <w:pStyle w:val="FootnoteText"/>
      </w:pPr>
      <w:r>
        <w:rPr>
          <w:rStyle w:val="FootnoteReference"/>
        </w:rPr>
        <w:footnoteRef/>
      </w:r>
      <w:r>
        <w:t xml:space="preserve"> </w:t>
      </w:r>
      <w:r>
        <w:rPr>
          <w:smallCaps/>
        </w:rPr>
        <w:t>Strategic Framework Plan</w:t>
      </w:r>
      <w:r>
        <w:t xml:space="preserve"> at 10 (“service delivery mechanisms must be realigned to </w:t>
      </w:r>
    </w:p>
    <w:p w:rsidR="0053578D" w:rsidRDefault="0053578D" w:rsidP="003D5953">
      <w:pPr>
        <w:pStyle w:val="FootnoteText"/>
      </w:pPr>
      <w:r>
        <w:t xml:space="preserve">achieve a better quality of life.”). </w:t>
      </w:r>
    </w:p>
  </w:footnote>
  <w:footnote w:id="429">
    <w:p w:rsidR="0053578D" w:rsidRPr="003C26B9" w:rsidRDefault="0053578D" w:rsidP="00B77782">
      <w:pPr>
        <w:pStyle w:val="FootnoteText"/>
        <w:rPr>
          <w:i/>
          <w:smallCaps/>
        </w:rPr>
      </w:pPr>
      <w:r>
        <w:rPr>
          <w:rStyle w:val="FootnoteReference"/>
        </w:rPr>
        <w:footnoteRef/>
      </w:r>
      <w:r>
        <w:t xml:space="preserve"> Bill Mitchell, </w:t>
      </w:r>
      <w:r>
        <w:rPr>
          <w:i/>
        </w:rPr>
        <w:t xml:space="preserve">In Detroit, Water Crisis Symbolizes Decline, and Hope, </w:t>
      </w:r>
      <w:r>
        <w:rPr>
          <w:i/>
          <w:smallCaps/>
        </w:rPr>
        <w:t xml:space="preserve">National Geographic, Aug. 22, 2014, </w:t>
      </w:r>
      <w:r w:rsidRPr="003C26B9">
        <w:rPr>
          <w:i/>
          <w:smallCaps/>
        </w:rPr>
        <w:t>http://news.nationalgeographic.com/news/special-features/2014/08/140822-detroit-michigan-water-shutoffs-great-lakes/</w:t>
      </w:r>
      <w:r>
        <w:rPr>
          <w:i/>
          <w:smallCaps/>
        </w:rPr>
        <w:t>.</w:t>
      </w:r>
    </w:p>
  </w:footnote>
  <w:footnote w:id="430">
    <w:p w:rsidR="0053578D" w:rsidRPr="00761197" w:rsidRDefault="0053578D" w:rsidP="00B77782">
      <w:pPr>
        <w:pStyle w:val="FootnoteText"/>
      </w:pPr>
      <w:r>
        <w:rPr>
          <w:rStyle w:val="FootnoteReference"/>
        </w:rPr>
        <w:footnoteRef/>
      </w:r>
      <w:r>
        <w:t xml:space="preserve"> </w:t>
      </w:r>
      <w:r>
        <w:rPr>
          <w:i/>
        </w:rPr>
        <w:t>See, e.g,</w:t>
      </w:r>
      <w:r>
        <w:t xml:space="preserve"> Thomas J. Sugrue, </w:t>
      </w:r>
      <w:r>
        <w:rPr>
          <w:smallCaps/>
        </w:rPr>
        <w:t>The Origins of the Urban Crisis:  Race and Inequality in Postwar Detroit</w:t>
      </w:r>
      <w:r>
        <w:t xml:space="preserve"> xxxvi (1996) (describing White “resource hoarding”). </w:t>
      </w:r>
    </w:p>
  </w:footnote>
  <w:footnote w:id="431">
    <w:p w:rsidR="0053578D" w:rsidRPr="0043217B" w:rsidRDefault="0053578D" w:rsidP="00B77782">
      <w:pPr>
        <w:pStyle w:val="FootnoteText"/>
        <w:rPr>
          <w:i/>
        </w:rPr>
      </w:pPr>
      <w:r>
        <w:rPr>
          <w:rStyle w:val="FootnoteReference"/>
        </w:rPr>
        <w:footnoteRef/>
      </w:r>
      <w:r>
        <w:t xml:space="preserve"> See, e.g., </w:t>
      </w:r>
      <w:r>
        <w:rPr>
          <w:smallCaps/>
        </w:rPr>
        <w:t xml:space="preserve">Daron Acemoglu &amp; </w:t>
      </w:r>
      <w:r w:rsidRPr="003D5953">
        <w:rPr>
          <w:smallCaps/>
        </w:rPr>
        <w:t>James Robinson,</w:t>
      </w:r>
      <w:r>
        <w:t xml:space="preserve"> </w:t>
      </w:r>
      <w:r>
        <w:rPr>
          <w:smallCaps/>
        </w:rPr>
        <w:t>Why Nations Fail: The Origins of Power, Prosperity, and Poverty</w:t>
      </w:r>
      <w:r>
        <w:t xml:space="preserve">  358 (2012). </w:t>
      </w:r>
    </w:p>
  </w:footnote>
  <w:footnote w:id="432">
    <w:p w:rsidR="0053578D" w:rsidRPr="002054E9" w:rsidRDefault="0053578D" w:rsidP="00B77782">
      <w:pPr>
        <w:pStyle w:val="FootnoteText"/>
      </w:pPr>
      <w:r>
        <w:rPr>
          <w:rStyle w:val="FootnoteReference"/>
        </w:rPr>
        <w:footnoteRef/>
      </w:r>
      <w:r>
        <w:t xml:space="preserve"> </w:t>
      </w:r>
      <w:r>
        <w:rPr>
          <w:i/>
        </w:rPr>
        <w:t>See, e.g.,</w:t>
      </w:r>
      <w:r>
        <w:t xml:space="preserve"> </w:t>
      </w:r>
      <w:r>
        <w:rPr>
          <w:smallCaps/>
        </w:rPr>
        <w:t>Paul Collier, The Bottom Billion: Why the Poorest Countries are Failing and What Can be Done About it</w:t>
      </w:r>
      <w:r>
        <w:t xml:space="preserve"> 5 (2008) (“[A] society can gradually climb out of poverty, unless it gets trapped.”); </w:t>
      </w:r>
      <w:r w:rsidRPr="003D5953">
        <w:rPr>
          <w:i/>
        </w:rPr>
        <w:t>id</w:t>
      </w:r>
      <w:r>
        <w:rPr>
          <w:i/>
        </w:rPr>
        <w:t xml:space="preserve">:  </w:t>
      </w:r>
      <w:r>
        <w:t>(</w:t>
      </w:r>
      <w:r w:rsidRPr="002054E9">
        <w:t>Discussing, in the context of foreign rel</w:t>
      </w:r>
      <w:r>
        <w:t>ations, the poverty traps of co</w:t>
      </w:r>
      <w:r w:rsidRPr="002054E9">
        <w:t>nflict, natural resources, landlocked</w:t>
      </w:r>
      <w:r>
        <w:t xml:space="preserve"> status,  </w:t>
      </w:r>
      <w:r w:rsidRPr="002054E9">
        <w:t>and bad governance.</w:t>
      </w:r>
      <w:r>
        <w:t xml:space="preserve">); S.R. Osmani, </w:t>
      </w:r>
      <w:r>
        <w:rPr>
          <w:i/>
        </w:rPr>
        <w:t>When Endowments and Opportunities Don’t Match:  Understanding Chronic Poverty</w:t>
      </w:r>
      <w:r>
        <w:rPr>
          <w:i/>
          <w:smallCaps/>
        </w:rPr>
        <w:t xml:space="preserve">, </w:t>
      </w:r>
      <w:r w:rsidRPr="003D5953">
        <w:t xml:space="preserve">in </w:t>
      </w:r>
      <w:r w:rsidRPr="003D5953">
        <w:rPr>
          <w:smallCaps/>
        </w:rPr>
        <w:t>Poverty Dynamics: Interdisciplinary Perspectives</w:t>
      </w:r>
      <w:r>
        <w:rPr>
          <w:i/>
          <w:smallCaps/>
        </w:rPr>
        <w:t xml:space="preserve"> </w:t>
      </w:r>
      <w:r>
        <w:rPr>
          <w:smallCaps/>
        </w:rPr>
        <w:t xml:space="preserve"> (2009) (“A </w:t>
      </w:r>
      <w:r>
        <w:t xml:space="preserve">person is . . .  in a poverty trap when . . .  her economic system . . .  does not offer any escape route out of poverty.”); </w:t>
      </w:r>
      <w:r w:rsidRPr="00C0534F">
        <w:rPr>
          <w:i/>
        </w:rPr>
        <w:t>cf. id.</w:t>
      </w:r>
      <w:r>
        <w:t xml:space="preserve"> (poverty can exist without traps).</w:t>
      </w:r>
    </w:p>
  </w:footnote>
  <w:footnote w:id="433">
    <w:p w:rsidR="0053578D" w:rsidRPr="005C081F" w:rsidRDefault="0053578D" w:rsidP="00B77782">
      <w:pPr>
        <w:pStyle w:val="FootnoteText"/>
      </w:pPr>
      <w:r>
        <w:rPr>
          <w:rStyle w:val="FootnoteReference"/>
        </w:rPr>
        <w:footnoteRef/>
      </w:r>
      <w:r>
        <w:t xml:space="preserve"> Regarding Collier, </w:t>
      </w:r>
      <w:r>
        <w:rPr>
          <w:i/>
        </w:rPr>
        <w:t xml:space="preserve">see </w:t>
      </w:r>
      <w:r w:rsidRPr="00C0534F">
        <w:rPr>
          <w:i/>
        </w:rPr>
        <w:t>id</w:t>
      </w:r>
      <w:r>
        <w:t xml:space="preserve">. at 5.  Regarding Acemoglu and Robinson, </w:t>
      </w:r>
      <w:r>
        <w:rPr>
          <w:i/>
        </w:rPr>
        <w:t>see</w:t>
      </w:r>
      <w:r>
        <w:t xml:space="preserve"> </w:t>
      </w:r>
      <w:r>
        <w:rPr>
          <w:smallCaps/>
        </w:rPr>
        <w:t>Why Nations Fail</w:t>
      </w:r>
      <w:r>
        <w:t xml:space="preserve">, </w:t>
      </w:r>
      <w:r w:rsidRPr="00BE0BD7">
        <w:rPr>
          <w:i/>
        </w:rPr>
        <w:t>id</w:t>
      </w:r>
      <w:r>
        <w:t>.</w:t>
      </w:r>
      <w:r w:rsidRPr="005A0887">
        <w:rPr>
          <w:smallCaps/>
        </w:rPr>
        <w:t xml:space="preserve">, </w:t>
      </w:r>
      <w:r w:rsidRPr="005C081F">
        <w:t>which uses history to study vicious and virtuous circles and to examine how certain nations were able, via democratic innovations, to break the “iron law of oligarchy.”</w:t>
      </w:r>
    </w:p>
  </w:footnote>
  <w:footnote w:id="434">
    <w:p w:rsidR="0053578D" w:rsidRPr="005C081F" w:rsidRDefault="0053578D" w:rsidP="00ED18C3">
      <w:pPr>
        <w:pStyle w:val="FootnoteText"/>
      </w:pPr>
      <w:r>
        <w:rPr>
          <w:rStyle w:val="FootnoteReference"/>
        </w:rPr>
        <w:footnoteRef/>
      </w:r>
      <w:r>
        <w:t xml:space="preserve"> </w:t>
      </w:r>
      <w:r>
        <w:rPr>
          <w:i/>
        </w:rPr>
        <w:t>See</w:t>
      </w:r>
      <w:r>
        <w:t xml:space="preserve"> Khalil AlHajal, </w:t>
      </w:r>
      <w:r>
        <w:rPr>
          <w:i/>
        </w:rPr>
        <w:t xml:space="preserve">Wayne State professor calls Detroit Future City plan ‘deathblow,’ </w:t>
      </w:r>
      <w:r>
        <w:t>M</w:t>
      </w:r>
      <w:r>
        <w:rPr>
          <w:smallCaps/>
        </w:rPr>
        <w:t xml:space="preserve">Live.com, </w:t>
      </w:r>
      <w:r>
        <w:t xml:space="preserve">Feb. 15, 2014, </w:t>
      </w:r>
      <w:r w:rsidRPr="005C081F">
        <w:t>http://www.mlive.com/news/detroit/index.ssf/2014/02/wayne_state_professor_calls_de.html</w:t>
      </w:r>
      <w:r>
        <w:t>.</w:t>
      </w:r>
    </w:p>
  </w:footnote>
  <w:footnote w:id="435">
    <w:p w:rsidR="0053578D" w:rsidRDefault="0053578D" w:rsidP="00B77782">
      <w:pPr>
        <w:pStyle w:val="FootnoteText"/>
      </w:pPr>
      <w:r>
        <w:rPr>
          <w:rStyle w:val="FootnoteReference"/>
        </w:rPr>
        <w:footnoteRef/>
      </w:r>
      <w:r>
        <w:t xml:space="preserve"> </w:t>
      </w:r>
      <w:r>
        <w:rPr>
          <w:i/>
        </w:rPr>
        <w:t xml:space="preserve">See </w:t>
      </w:r>
      <w:r>
        <w:t xml:space="preserve">Video (hereinafter Hammer Video):  </w:t>
      </w:r>
      <w:r w:rsidRPr="00C0534F">
        <w:rPr>
          <w:smallCaps/>
        </w:rPr>
        <w:t>WSU Professor Peter Hammer on Detroit Future City Plan, Detroit People’s Platform:  Detroit is not a Blank Slate</w:t>
      </w:r>
      <w:r>
        <w:t xml:space="preserve">, </w:t>
      </w:r>
      <w:r w:rsidRPr="00935E17">
        <w:t>http://www.unitingdetroiters.org/wsu-professor-peter-hammer-on-detroit-future-city/</w:t>
      </w:r>
      <w:r>
        <w:t>.</w:t>
      </w:r>
      <w:r w:rsidRPr="00935E17">
        <w:t xml:space="preserve"> </w:t>
      </w:r>
      <w:r>
        <w:t>At 6:09.</w:t>
      </w:r>
    </w:p>
  </w:footnote>
  <w:footnote w:id="436">
    <w:p w:rsidR="0053578D" w:rsidRDefault="0053578D" w:rsidP="00B77782">
      <w:pPr>
        <w:pStyle w:val="FootnoteText"/>
      </w:pPr>
      <w:r>
        <w:rPr>
          <w:rStyle w:val="FootnoteReference"/>
        </w:rPr>
        <w:footnoteRef/>
      </w:r>
      <w:r>
        <w:t xml:space="preserve"> Id. at 9:50.</w:t>
      </w:r>
    </w:p>
  </w:footnote>
  <w:footnote w:id="437">
    <w:p w:rsidR="0053578D" w:rsidRDefault="0053578D" w:rsidP="00B77782">
      <w:pPr>
        <w:pStyle w:val="FootnoteText"/>
      </w:pPr>
      <w:r>
        <w:rPr>
          <w:rStyle w:val="FootnoteReference"/>
        </w:rPr>
        <w:footnoteRef/>
      </w:r>
      <w:r>
        <w:t xml:space="preserve"> 21:00.</w:t>
      </w:r>
    </w:p>
  </w:footnote>
  <w:footnote w:id="438">
    <w:p w:rsidR="0053578D" w:rsidRDefault="0053578D" w:rsidP="00B77782">
      <w:pPr>
        <w:pStyle w:val="FootnoteText"/>
      </w:pPr>
      <w:r>
        <w:rPr>
          <w:rStyle w:val="FootnoteReference"/>
        </w:rPr>
        <w:footnoteRef/>
      </w:r>
      <w:r>
        <w:t xml:space="preserve"> 22:55.</w:t>
      </w:r>
    </w:p>
  </w:footnote>
  <w:footnote w:id="439">
    <w:p w:rsidR="0053578D" w:rsidRDefault="0053578D" w:rsidP="00B77782">
      <w:pPr>
        <w:pStyle w:val="FootnoteText"/>
      </w:pPr>
      <w:r>
        <w:rPr>
          <w:rStyle w:val="FootnoteReference"/>
        </w:rPr>
        <w:footnoteRef/>
      </w:r>
      <w:r>
        <w:t xml:space="preserve"> </w:t>
      </w:r>
      <w:r w:rsidRPr="00C0534F">
        <w:rPr>
          <w:i/>
        </w:rPr>
        <w:t>Id</w:t>
      </w:r>
      <w:r>
        <w:t>. around 35:00.</w:t>
      </w:r>
    </w:p>
  </w:footnote>
  <w:footnote w:id="440">
    <w:p w:rsidR="0053578D" w:rsidRPr="00C0534F" w:rsidRDefault="0053578D" w:rsidP="00C0534F">
      <w:pPr>
        <w:pStyle w:val="FootnoteText"/>
      </w:pPr>
      <w:r>
        <w:rPr>
          <w:rStyle w:val="FootnoteReference"/>
        </w:rPr>
        <w:footnoteRef/>
      </w:r>
      <w:r>
        <w:t xml:space="preserve"> </w:t>
      </w:r>
      <w:r w:rsidRPr="00C0534F">
        <w:t xml:space="preserve">Lee Devito, </w:t>
      </w:r>
      <w:r w:rsidRPr="00C0534F">
        <w:rPr>
          <w:i/>
        </w:rPr>
        <w:t>Peter Hammer debates Detroit Future City</w:t>
      </w:r>
      <w:r w:rsidRPr="00C0534F">
        <w:t>, Metro Times, Mar. 3, 2014, http://www.metrotimes.com/detroit/peter-hammer-debates-detroit-future-city/Content?oid=2144158.</w:t>
      </w:r>
    </w:p>
    <w:p w:rsidR="0053578D" w:rsidRDefault="0053578D" w:rsidP="00B77782">
      <w:pPr>
        <w:pStyle w:val="FootnoteText"/>
      </w:pPr>
      <w:r>
        <w:t xml:space="preserve"> (“</w:t>
      </w:r>
      <w:r w:rsidRPr="00935E17">
        <w:t>I think grassroots groups in the community feel like they were not consulted, and I don’t necessarily feel that their views are reflected in the final report.</w:t>
      </w:r>
      <w:r>
        <w:t>”).</w:t>
      </w:r>
    </w:p>
  </w:footnote>
  <w:footnote w:id="441">
    <w:p w:rsidR="0053578D" w:rsidRPr="00935E17" w:rsidRDefault="0053578D" w:rsidP="00B77782">
      <w:pPr>
        <w:pStyle w:val="FootnoteText"/>
      </w:pPr>
      <w:r>
        <w:rPr>
          <w:rStyle w:val="FootnoteReference"/>
        </w:rPr>
        <w:footnoteRef/>
      </w:r>
      <w:r>
        <w:t xml:space="preserve"> Lee Devito, </w:t>
      </w:r>
      <w:r>
        <w:rPr>
          <w:i/>
        </w:rPr>
        <w:t>Peter Hammer debates Detroit Future City</w:t>
      </w:r>
      <w:r>
        <w:t xml:space="preserve">, </w:t>
      </w:r>
      <w:r>
        <w:rPr>
          <w:smallCaps/>
        </w:rPr>
        <w:t>Metro Times</w:t>
      </w:r>
      <w:r>
        <w:t xml:space="preserve">, Mar. 3, 2014, </w:t>
      </w:r>
      <w:r w:rsidRPr="00935E17">
        <w:t>http://www.metrotimes.com/detroit/peter-hammer-debates-detroit-future-city/Content?oid=2144158</w:t>
      </w:r>
      <w:r>
        <w:t>.</w:t>
      </w:r>
    </w:p>
  </w:footnote>
  <w:footnote w:id="442">
    <w:p w:rsidR="0053578D" w:rsidRDefault="0053578D" w:rsidP="00B77782">
      <w:pPr>
        <w:pStyle w:val="FootnoteText"/>
      </w:pPr>
      <w:r>
        <w:rPr>
          <w:rStyle w:val="FootnoteReference"/>
        </w:rPr>
        <w:footnoteRef/>
      </w:r>
      <w:r>
        <w:t xml:space="preserve"> Hammer Video at 37:10.</w:t>
      </w:r>
    </w:p>
  </w:footnote>
  <w:footnote w:id="443">
    <w:p w:rsidR="0053578D" w:rsidRPr="003F55DE" w:rsidRDefault="0053578D">
      <w:pPr>
        <w:pStyle w:val="FootnoteText"/>
        <w:rPr>
          <w:i/>
        </w:rPr>
      </w:pPr>
      <w:r>
        <w:rPr>
          <w:rStyle w:val="FootnoteReference"/>
        </w:rPr>
        <w:footnoteRef/>
      </w:r>
      <w:r>
        <w:t xml:space="preserve"> </w:t>
      </w:r>
      <w:r>
        <w:rPr>
          <w:i/>
        </w:rPr>
        <w:t>See</w:t>
      </w:r>
      <w:r>
        <w:t xml:space="preserve"> note 370-71, </w:t>
      </w:r>
      <w:r>
        <w:rPr>
          <w:i/>
        </w:rPr>
        <w:t>supra.</w:t>
      </w:r>
    </w:p>
  </w:footnote>
  <w:footnote w:id="444">
    <w:p w:rsidR="0053578D" w:rsidRPr="003F55DE" w:rsidRDefault="0053578D">
      <w:pPr>
        <w:pStyle w:val="FootnoteText"/>
        <w:rPr>
          <w:i/>
        </w:rPr>
      </w:pPr>
      <w:r>
        <w:rPr>
          <w:rStyle w:val="FootnoteReference"/>
        </w:rPr>
        <w:footnoteRef/>
      </w:r>
      <w:r>
        <w:t xml:space="preserve"> </w:t>
      </w:r>
      <w:r>
        <w:rPr>
          <w:i/>
        </w:rPr>
        <w:t>Id.</w:t>
      </w:r>
    </w:p>
  </w:footnote>
  <w:footnote w:id="445">
    <w:p w:rsidR="0053578D" w:rsidRPr="003F55DE" w:rsidRDefault="0053578D">
      <w:pPr>
        <w:pStyle w:val="FootnoteText"/>
        <w:rPr>
          <w:i/>
        </w:rPr>
      </w:pPr>
      <w:r>
        <w:rPr>
          <w:rStyle w:val="FootnoteReference"/>
        </w:rPr>
        <w:footnoteRef/>
      </w:r>
      <w:r>
        <w:t xml:space="preserve"> </w:t>
      </w:r>
      <w:r>
        <w:rPr>
          <w:i/>
        </w:rPr>
        <w:t>See</w:t>
      </w:r>
      <w:r>
        <w:t xml:space="preserve"> note 372, </w:t>
      </w:r>
      <w:r>
        <w:rPr>
          <w:i/>
        </w:rPr>
        <w:t>supra.</w:t>
      </w:r>
    </w:p>
  </w:footnote>
  <w:footnote w:id="446">
    <w:p w:rsidR="0053578D" w:rsidRPr="00107D94" w:rsidRDefault="0053578D" w:rsidP="002D341D">
      <w:pPr>
        <w:pStyle w:val="FootnoteText"/>
      </w:pPr>
      <w:r>
        <w:rPr>
          <w:rStyle w:val="FootnoteReference"/>
        </w:rPr>
        <w:footnoteRef/>
      </w:r>
      <w:r>
        <w:t xml:space="preserve"> See their </w:t>
      </w:r>
      <w:r>
        <w:rPr>
          <w:i/>
        </w:rPr>
        <w:t xml:space="preserve">Growth in the Time of Debt, </w:t>
      </w:r>
      <w:r>
        <w:t xml:space="preserve">Working Paper 15639, </w:t>
      </w:r>
      <w:hyperlink r:id="rId61" w:history="1">
        <w:r w:rsidRPr="00942C05">
          <w:rPr>
            <w:rStyle w:val="Hyperlink"/>
          </w:rPr>
          <w:t>http://www.nber.org/papers/w15639</w:t>
        </w:r>
      </w:hyperlink>
      <w:r>
        <w:t xml:space="preserve">, Jan. 2010, at p. 2 (“median growth rates for countries with public debt over 90 percent of GDP are roughly one percent lower than otherwise; average (mean) growth rates are several percent lower.”).  See also their 2009 </w:t>
      </w:r>
      <w:r w:rsidRPr="00107D94">
        <w:rPr>
          <w:smallCaps/>
        </w:rPr>
        <w:t>This Time it’s Different</w:t>
      </w:r>
      <w:r>
        <w:rPr>
          <w:i/>
        </w:rPr>
        <w:t xml:space="preserve">, </w:t>
      </w:r>
      <w:r>
        <w:t xml:space="preserve">attacked as premised on faulty data.  </w:t>
      </w:r>
      <w:r>
        <w:rPr>
          <w:i/>
        </w:rPr>
        <w:t>See, e.g.,</w:t>
      </w:r>
      <w:r>
        <w:t xml:space="preserve"> John Cassidy, </w:t>
      </w:r>
      <w:r>
        <w:rPr>
          <w:i/>
        </w:rPr>
        <w:t>The Reinhart and Rogoff Controversy:  A Summing Up</w:t>
      </w:r>
      <w:r>
        <w:t xml:space="preserve">, </w:t>
      </w:r>
      <w:r>
        <w:rPr>
          <w:smallCaps/>
        </w:rPr>
        <w:t>The New Yorker</w:t>
      </w:r>
      <w:r>
        <w:t xml:space="preserve">, Apr. 26, 2013, </w:t>
      </w:r>
      <w:hyperlink r:id="rId62" w:history="1">
        <w:r w:rsidRPr="00942C05">
          <w:rPr>
            <w:rStyle w:val="Hyperlink"/>
          </w:rPr>
          <w:t>http://www.newyorker.com/news/john-cassidy/the-reinhart-and-rogoff-controversy-a-summing-up</w:t>
        </w:r>
      </w:hyperlink>
      <w:r>
        <w:t xml:space="preserve">.  </w:t>
      </w:r>
    </w:p>
  </w:footnote>
  <w:footnote w:id="447">
    <w:p w:rsidR="0053578D" w:rsidRPr="00C130BA" w:rsidRDefault="0053578D" w:rsidP="002D341D">
      <w:pPr>
        <w:pStyle w:val="FootnoteText"/>
      </w:pPr>
      <w:r>
        <w:rPr>
          <w:rStyle w:val="FootnoteReference"/>
        </w:rPr>
        <w:footnoteRef/>
      </w:r>
      <w:r>
        <w:t xml:space="preserve"> </w:t>
      </w:r>
      <w:r>
        <w:rPr>
          <w:i/>
        </w:rPr>
        <w:t>See</w:t>
      </w:r>
      <w:r>
        <w:t xml:space="preserve"> Charlemagne, </w:t>
      </w:r>
      <w:r>
        <w:rPr>
          <w:i/>
        </w:rPr>
        <w:t>The Emerald Shines Again</w:t>
      </w:r>
      <w:r>
        <w:t xml:space="preserve">, </w:t>
      </w:r>
      <w:r>
        <w:rPr>
          <w:smallCaps/>
        </w:rPr>
        <w:t>The Economist</w:t>
      </w:r>
      <w:r>
        <w:t xml:space="preserve">, Nov. 8, 2014, </w:t>
      </w:r>
      <w:r w:rsidRPr="00C130BA">
        <w:t>http://www.economist.com/news/europe/21631127-ireland-good-news-story-not-quite-way-eu-would-emerald-shines-again</w:t>
      </w:r>
    </w:p>
  </w:footnote>
  <w:footnote w:id="448">
    <w:p w:rsidR="0053578D" w:rsidRPr="00C130BA" w:rsidRDefault="0053578D" w:rsidP="002D341D">
      <w:pPr>
        <w:pStyle w:val="FootnoteText"/>
      </w:pPr>
      <w:r>
        <w:rPr>
          <w:rStyle w:val="FootnoteReference"/>
        </w:rPr>
        <w:footnoteRef/>
      </w:r>
      <w:r>
        <w:t xml:space="preserve"> </w:t>
      </w:r>
      <w:r>
        <w:rPr>
          <w:i/>
        </w:rPr>
        <w:t>See</w:t>
      </w:r>
      <w:r>
        <w:t xml:space="preserve"> Alexander Eichler, </w:t>
      </w:r>
      <w:r>
        <w:rPr>
          <w:i/>
        </w:rPr>
        <w:t>Scranton City Workers Set to  be Paid more than Minimum Wage Again</w:t>
      </w:r>
      <w:r>
        <w:t xml:space="preserve">, Huffington Post, July 31, 2012, </w:t>
      </w:r>
      <w:r w:rsidRPr="00C130BA">
        <w:t>http://www.huffingtonpost.com/2012/07/31/scranton-minimum-wage_n_1723401.html</w:t>
      </w:r>
      <w:r>
        <w:t>.</w:t>
      </w:r>
    </w:p>
  </w:footnote>
  <w:footnote w:id="449">
    <w:p w:rsidR="0053578D" w:rsidRPr="00A368E8" w:rsidRDefault="0053578D" w:rsidP="002D341D">
      <w:pPr>
        <w:pStyle w:val="FootnoteText"/>
      </w:pPr>
      <w:r>
        <w:rPr>
          <w:rStyle w:val="FootnoteReference"/>
        </w:rPr>
        <w:footnoteRef/>
      </w:r>
      <w:r>
        <w:t xml:space="preserve"> </w:t>
      </w:r>
      <w:r>
        <w:rPr>
          <w:i/>
        </w:rPr>
        <w:t xml:space="preserve">See, e.g., </w:t>
      </w:r>
      <w:r>
        <w:t xml:space="preserve">Andy Robinson, </w:t>
      </w:r>
      <w:r>
        <w:rPr>
          <w:i/>
        </w:rPr>
        <w:t xml:space="preserve">Even the IMF Agrees with Europe’s Anti-Austerity Protests, </w:t>
      </w:r>
      <w:r>
        <w:t xml:space="preserve">Nov. 20, </w:t>
      </w:r>
      <w:r w:rsidRPr="00A368E8">
        <w:t xml:space="preserve">2012, </w:t>
      </w:r>
      <w:hyperlink r:id="rId63" w:history="1">
        <w:r w:rsidRPr="00942C05">
          <w:rPr>
            <w:rStyle w:val="Hyperlink"/>
          </w:rPr>
          <w:t>http://www.thenation.com/article/171401/even-imf-agrees-europes-anti-austerity-protests#</w:t>
        </w:r>
      </w:hyperlink>
      <w:r>
        <w:t xml:space="preserve"> (“[T]he IMF announced that the austerity packages . . .  have been counterproductive.”); Paul Krugman, </w:t>
      </w:r>
      <w:r>
        <w:rPr>
          <w:i/>
        </w:rPr>
        <w:t xml:space="preserve">The Austerity Agenda, </w:t>
      </w:r>
      <w:r>
        <w:t xml:space="preserve">The N.Y. Times, MTY 31, 2012, </w:t>
      </w:r>
      <w:r w:rsidRPr="00A368E8">
        <w:t>http://www.nytimes.com/2012/06/01/opinion/krugman-the-austerity-agenda.html (“slash</w:t>
      </w:r>
      <w:r>
        <w:t xml:space="preserve">ing spending . . . </w:t>
      </w:r>
      <w:r w:rsidRPr="00A368E8">
        <w:t xml:space="preserve"> just deepens the depression.”).</w:t>
      </w:r>
    </w:p>
  </w:footnote>
  <w:footnote w:id="450">
    <w:p w:rsidR="0053578D" w:rsidRDefault="0053578D">
      <w:pPr>
        <w:pStyle w:val="FootnoteText"/>
      </w:pPr>
      <w:r>
        <w:rPr>
          <w:rStyle w:val="FootnoteReference"/>
        </w:rPr>
        <w:footnoteRef/>
      </w:r>
      <w:r>
        <w:t xml:space="preserve"> </w:t>
      </w:r>
      <w:r>
        <w:rPr>
          <w:i/>
        </w:rPr>
        <w:t>See</w:t>
      </w:r>
      <w:r>
        <w:t xml:space="preserve"> text accompanying note 82, </w:t>
      </w:r>
      <w:r>
        <w:rPr>
          <w:i/>
        </w:rPr>
        <w:t>supra.</w:t>
      </w:r>
      <w:r>
        <w:t xml:space="preserve"> </w:t>
      </w:r>
    </w:p>
  </w:footnote>
  <w:footnote w:id="451">
    <w:p w:rsidR="0053578D" w:rsidRPr="006A17EC" w:rsidRDefault="0053578D" w:rsidP="002D341D">
      <w:pPr>
        <w:pStyle w:val="FootnoteText"/>
      </w:pPr>
      <w:r>
        <w:rPr>
          <w:rStyle w:val="FootnoteReference"/>
        </w:rPr>
        <w:footnoteRef/>
      </w:r>
      <w:r>
        <w:t xml:space="preserve"> </w:t>
      </w:r>
      <w:r>
        <w:rPr>
          <w:i/>
        </w:rPr>
        <w:t>See, e.g.,</w:t>
      </w:r>
      <w:r>
        <w:t xml:space="preserve"> David Dollar and Art Kraay, </w:t>
      </w:r>
      <w:r>
        <w:rPr>
          <w:i/>
        </w:rPr>
        <w:t>Growth is Good for the Poor</w:t>
      </w:r>
      <w:r>
        <w:t xml:space="preserve">, The World Bank (1991), </w:t>
      </w:r>
      <w:hyperlink r:id="rId64" w:history="1">
        <w:r w:rsidRPr="00F922C8">
          <w:rPr>
            <w:rStyle w:val="Hyperlink"/>
          </w:rPr>
          <w:t>http://elibrary.worldbank.org/doi/pdf/10.1596/1813-9450-2587</w:t>
        </w:r>
      </w:hyperlink>
      <w:r>
        <w:t xml:space="preserve">; David Dollar, Tajana Kleinberg, &amp; Art Kraay, </w:t>
      </w:r>
      <w:r>
        <w:rPr>
          <w:i/>
        </w:rPr>
        <w:t xml:space="preserve">Growth is Still Good for the Poor, The World Bank </w:t>
      </w:r>
      <w:r>
        <w:t xml:space="preserve">(2013), </w:t>
      </w:r>
      <w:r w:rsidRPr="006A17EC">
        <w:t>http://www-wds.worldbank.org/external/default/WDSContentServer/IW3P/IB/2013/08/13/000158349_20130813100137/Rendered/PDF/WPS6568.pdf%20</w:t>
      </w:r>
      <w:r>
        <w:t>.</w:t>
      </w:r>
    </w:p>
  </w:footnote>
  <w:footnote w:id="452">
    <w:p w:rsidR="0053578D" w:rsidRPr="006A17EC" w:rsidRDefault="0053578D" w:rsidP="002D341D">
      <w:pPr>
        <w:pStyle w:val="FootnoteText"/>
      </w:pPr>
      <w:r>
        <w:rPr>
          <w:rStyle w:val="FootnoteReference"/>
        </w:rPr>
        <w:footnoteRef/>
      </w:r>
      <w:r>
        <w:t xml:space="preserve"> Paul Krugman, </w:t>
      </w:r>
      <w:r>
        <w:rPr>
          <w:i/>
        </w:rPr>
        <w:t>Inequality and Economic Performance</w:t>
      </w:r>
      <w:r>
        <w:t xml:space="preserve">, N.Y.T., Dec. 2, 2014, </w:t>
      </w:r>
      <w:hyperlink r:id="rId65" w:history="1">
        <w:r w:rsidRPr="00F922C8">
          <w:rPr>
            <w:rStyle w:val="Hyperlink"/>
          </w:rPr>
          <w:t>http://krugman.blogs.nytimes.com/2014/12/02/inequality-and-economic-performance/</w:t>
        </w:r>
      </w:hyperlink>
      <w:r>
        <w:t xml:space="preserve"> (“”I’m actually a skeptic on the inequality-is-bad-for-performance proposition.”).</w:t>
      </w:r>
    </w:p>
  </w:footnote>
  <w:footnote w:id="453">
    <w:p w:rsidR="0053578D" w:rsidRDefault="0053578D" w:rsidP="002D341D">
      <w:pPr>
        <w:pStyle w:val="FootnoteText"/>
      </w:pPr>
      <w:r>
        <w:rPr>
          <w:rStyle w:val="FootnoteReference"/>
        </w:rPr>
        <w:footnoteRef/>
      </w:r>
      <w:r>
        <w:t xml:space="preserve"> Tyranny of the Experts.  Yxta, find this. Green street analysis toward conclusion.</w:t>
      </w:r>
    </w:p>
  </w:footnote>
  <w:footnote w:id="454">
    <w:p w:rsidR="0053578D" w:rsidRDefault="0053578D" w:rsidP="002D341D">
      <w:pPr>
        <w:pStyle w:val="FootnoteText"/>
      </w:pPr>
      <w:r>
        <w:rPr>
          <w:rStyle w:val="FootnoteReference"/>
        </w:rPr>
        <w:footnoteRef/>
      </w:r>
      <w:r>
        <w:t xml:space="preserve"> Paul Collier describe the people </w:t>
      </w:r>
      <w:r w:rsidRPr="006A17EC">
        <w:t xml:space="preserve">left behind by </w:t>
      </w:r>
      <w:r>
        <w:t xml:space="preserve">global </w:t>
      </w:r>
      <w:r w:rsidRPr="006A17EC">
        <w:t xml:space="preserve">development </w:t>
      </w:r>
      <w:r>
        <w:t>as</w:t>
      </w:r>
      <w:r w:rsidRPr="00C0534F">
        <w:rPr>
          <w:smallCaps/>
        </w:rPr>
        <w:t xml:space="preserve"> The Bottom Billion:  Why the Poorest Countries are Failing and What Can be Done About it</w:t>
      </w:r>
      <w:r>
        <w:t xml:space="preserve"> (2007).</w:t>
      </w:r>
    </w:p>
  </w:footnote>
  <w:footnote w:id="455">
    <w:p w:rsidR="0053578D" w:rsidRPr="00C0534F" w:rsidRDefault="0053578D" w:rsidP="002D341D">
      <w:pPr>
        <w:pStyle w:val="FootnoteText"/>
      </w:pPr>
      <w:r>
        <w:rPr>
          <w:rStyle w:val="FootnoteReference"/>
        </w:rPr>
        <w:footnoteRef/>
      </w:r>
      <w:r>
        <w:t xml:space="preserve"> </w:t>
      </w:r>
      <w:r>
        <w:rPr>
          <w:i/>
        </w:rPr>
        <w:t xml:space="preserve">See </w:t>
      </w:r>
      <w:r>
        <w:t xml:space="preserve">text accompanying note 36, </w:t>
      </w:r>
      <w:r>
        <w:rPr>
          <w:i/>
        </w:rPr>
        <w:t xml:space="preserve">supra </w:t>
      </w:r>
      <w:r>
        <w:t>(red wings).</w:t>
      </w:r>
    </w:p>
  </w:footnote>
  <w:footnote w:id="456">
    <w:p w:rsidR="0053578D" w:rsidRPr="006A17EC" w:rsidRDefault="0053578D" w:rsidP="00272205">
      <w:pPr>
        <w:pStyle w:val="FootnoteText"/>
      </w:pPr>
      <w:r>
        <w:rPr>
          <w:rStyle w:val="FootnoteReference"/>
        </w:rPr>
        <w:footnoteRef/>
      </w:r>
      <w:r>
        <w:t xml:space="preserve"> </w:t>
      </w:r>
      <w:r w:rsidRPr="006F0546">
        <w:rPr>
          <w:smallCaps/>
        </w:rPr>
        <w:t>Michael Tanner</w:t>
      </w:r>
      <w:r>
        <w:t xml:space="preserve">, </w:t>
      </w:r>
      <w:r>
        <w:rPr>
          <w:smallCaps/>
        </w:rPr>
        <w:t>The End of Welfare:  Fighting Poverty in the Civil Society</w:t>
      </w:r>
      <w:r>
        <w:t xml:space="preserve">  57 (1996) (“Welfare spending grew steadily as a result of the Great Depression and the New Deal, speaking in 1939 at $46 billion (1993 dollars.”); </w:t>
      </w:r>
      <w:r w:rsidRPr="006F0546">
        <w:rPr>
          <w:smallCaps/>
        </w:rPr>
        <w:t>Jason Scott Smith</w:t>
      </w:r>
      <w:r>
        <w:t xml:space="preserve">, </w:t>
      </w:r>
      <w:r>
        <w:rPr>
          <w:smallCaps/>
        </w:rPr>
        <w:t>A Concise History of the New Deal</w:t>
      </w:r>
      <w:r>
        <w:t xml:space="preserve"> 177 (2014) (“The New Deal’s spending spurred dramatic advances in economic productivity, at improving the nation’s transportation networks . . . expanding domestic military bases and facilities, and drawing up the blueprints for a national highway system.”).</w:t>
      </w:r>
    </w:p>
  </w:footnote>
  <w:footnote w:id="457">
    <w:p w:rsidR="0053578D" w:rsidRPr="006A17EC" w:rsidRDefault="0053578D" w:rsidP="00272205">
      <w:pPr>
        <w:pStyle w:val="FootnoteText"/>
      </w:pPr>
      <w:r>
        <w:rPr>
          <w:rStyle w:val="FootnoteReference"/>
        </w:rPr>
        <w:footnoteRef/>
      </w:r>
      <w:r>
        <w:t xml:space="preserve"> </w:t>
      </w:r>
      <w:r>
        <w:rPr>
          <w:smallCaps/>
        </w:rPr>
        <w:t>tony Fitzpatrick, Welfare Theory: An Introduction to the Theoretical Debates in Social Policy</w:t>
      </w:r>
      <w:r>
        <w:t xml:space="preserve"> [no page number on google books, yxta, will have to look up; book can be found here </w:t>
      </w:r>
      <w:hyperlink r:id="rId66" w:anchor="v=onepage&amp;q=keynes%20mixed%20welfare&amp;f=false" w:history="1">
        <w:r w:rsidRPr="00F922C8">
          <w:rPr>
            <w:rStyle w:val="Hyperlink"/>
          </w:rPr>
          <w:t>http://books.google.com/books?id=B_f7AwAAQBAJ&amp;pg=PT80&amp;dq=keynes+mixed+welfare&amp;hl=en&amp;sa=X&amp;ei=y4l_VMS-O4SzogT574DQAw&amp;ved=0CCoQ6AEwATgK#v=onepage&amp;q=keynes%20mixed%20welfare&amp;f=false</w:t>
        </w:r>
      </w:hyperlink>
      <w:r>
        <w:t xml:space="preserve"> (“After WW2, the Keynesian approach implied a mixed economy (the public ownership of major industries and utilities to shield them from market forces) and the state management of demand. This implied lowering taxes, printing money or creating jobs through public works programmes, in the expectation that the beneficial effects of doing so will reinvigorate an ailing economy. . . . Keynes articulates what became a central economic justification for the post-war welfare state:  Ito save capitalism from itself.”).</w:t>
      </w:r>
    </w:p>
  </w:footnote>
  <w:footnote w:id="458">
    <w:p w:rsidR="0053578D" w:rsidRPr="002D45DA" w:rsidRDefault="0053578D" w:rsidP="00272205">
      <w:pPr>
        <w:pStyle w:val="FootnoteText"/>
      </w:pPr>
      <w:r>
        <w:rPr>
          <w:rStyle w:val="FootnoteReference"/>
        </w:rPr>
        <w:footnoteRef/>
      </w:r>
      <w:r>
        <w:t xml:space="preserve"> </w:t>
      </w:r>
      <w:r>
        <w:rPr>
          <w:i/>
        </w:rPr>
        <w:t>See, e.g.,</w:t>
      </w:r>
      <w:r>
        <w:t xml:space="preserve"> Brigid Bergin, </w:t>
      </w:r>
      <w:r>
        <w:rPr>
          <w:i/>
        </w:rPr>
        <w:t>Next on De Blasio’s Progressive To-Do List:  Jobs</w:t>
      </w:r>
      <w:r>
        <w:t>, wnyc.org, Feb. 3, 2014,</w:t>
      </w:r>
      <w:r w:rsidRPr="002D45DA">
        <w:t xml:space="preserve"> http://www.wnyc.org/story/de-blasio-nyc-should-set-new-standard/</w:t>
      </w:r>
      <w:r>
        <w:t xml:space="preserve"> (“‘We have to reconstruct the kind of middle class we used to have,’ de Blasio said Monday . . . . ‘It will require very substantial government investments and actions.’”).</w:t>
      </w:r>
    </w:p>
  </w:footnote>
  <w:footnote w:id="459">
    <w:p w:rsidR="0053578D" w:rsidRPr="005D5EE2" w:rsidRDefault="0053578D">
      <w:pPr>
        <w:pStyle w:val="FootnoteText"/>
      </w:pPr>
      <w:r>
        <w:rPr>
          <w:rStyle w:val="FootnoteReference"/>
        </w:rPr>
        <w:footnoteRef/>
      </w:r>
      <w:r>
        <w:t xml:space="preserve"> Such was the case, for example, in </w:t>
      </w:r>
      <w:r>
        <w:rPr>
          <w:i/>
        </w:rPr>
        <w:t>Kelo</w:t>
      </w:r>
      <w:r>
        <w:t xml:space="preserve"> and </w:t>
      </w:r>
      <w:r>
        <w:rPr>
          <w:i/>
        </w:rPr>
        <w:t>Kaur</w:t>
      </w:r>
      <w:r>
        <w:t xml:space="preserve">, see </w:t>
      </w:r>
      <w:r>
        <w:rPr>
          <w:i/>
        </w:rPr>
        <w:t>Peering</w:t>
      </w:r>
      <w:r>
        <w:t xml:space="preserve"> at pps 25 and 52.</w:t>
      </w:r>
    </w:p>
  </w:footnote>
  <w:footnote w:id="460">
    <w:p w:rsidR="0053578D" w:rsidRPr="002F359A" w:rsidRDefault="0053578D">
      <w:pPr>
        <w:pStyle w:val="FootnoteText"/>
        <w:rPr>
          <w:i/>
        </w:rPr>
      </w:pPr>
      <w:r>
        <w:rPr>
          <w:rStyle w:val="FootnoteReference"/>
        </w:rPr>
        <w:footnoteRef/>
      </w:r>
      <w:r>
        <w:t xml:space="preserve"> </w:t>
      </w:r>
      <w:r>
        <w:rPr>
          <w:i/>
        </w:rPr>
        <w:t>See</w:t>
      </w:r>
      <w:r>
        <w:t xml:space="preserve"> text accompanying note 301, </w:t>
      </w:r>
      <w:r>
        <w:rPr>
          <w:i/>
        </w:rPr>
        <w:t>supra.</w:t>
      </w:r>
    </w:p>
  </w:footnote>
  <w:footnote w:id="461">
    <w:p w:rsidR="0053578D" w:rsidRDefault="0053578D">
      <w:pPr>
        <w:pStyle w:val="FootnoteText"/>
      </w:pPr>
      <w:r>
        <w:rPr>
          <w:rStyle w:val="FootnoteReference"/>
        </w:rPr>
        <w:footnoteRef/>
      </w:r>
      <w:r>
        <w:t xml:space="preserve"> Phone interview with Shel Kimen, Monday, October 20, at 11 a.m. PST (hereinafter Kimen interview).</w:t>
      </w:r>
    </w:p>
  </w:footnote>
  <w:footnote w:id="462">
    <w:p w:rsidR="0053578D" w:rsidRPr="00403757" w:rsidRDefault="0053578D" w:rsidP="00403757">
      <w:pPr>
        <w:pStyle w:val="FootnoteText"/>
      </w:pPr>
      <w:r>
        <w:rPr>
          <w:rStyle w:val="FootnoteReference"/>
        </w:rPr>
        <w:footnoteRef/>
      </w:r>
      <w:r>
        <w:t xml:space="preserve"> </w:t>
      </w:r>
      <w:r>
        <w:rPr>
          <w:i/>
        </w:rPr>
        <w:t>Will Eastern Market Get New Boutique hotel – Made of Shipping Containers?</w:t>
      </w:r>
      <w:r>
        <w:t xml:space="preserve"> </w:t>
      </w:r>
      <w:r>
        <w:rPr>
          <w:smallCaps/>
        </w:rPr>
        <w:t>DeadlineDetroit.com</w:t>
      </w:r>
      <w:r>
        <w:t xml:space="preserve">, Sept. 4, 20120, </w:t>
      </w:r>
      <w:hyperlink r:id="rId67" w:history="1">
        <w:r w:rsidRPr="00F62EE8">
          <w:rPr>
            <w:rStyle w:val="Hyperlink"/>
          </w:rPr>
          <w:t>http://www.deadlinedetroit.com/articles/1769/will_eastern_market_get_new_boutique_hotel_--_made_of_shipping_containers</w:t>
        </w:r>
      </w:hyperlink>
      <w:r>
        <w:t xml:space="preserve">.  </w:t>
      </w:r>
      <w:r>
        <w:rPr>
          <w:i/>
        </w:rPr>
        <w:t>See also</w:t>
      </w:r>
      <w:r>
        <w:t xml:space="preserve"> </w:t>
      </w:r>
      <w:r w:rsidRPr="00403757">
        <w:t xml:space="preserve">David Sands, </w:t>
      </w:r>
      <w:r w:rsidRPr="00403757">
        <w:rPr>
          <w:i/>
        </w:rPr>
        <w:t xml:space="preserve">Shipping Container Hotel Collision Works, Planned by Shel Kimen, Seeks Funding for Detroit Prototype [UPDATE], </w:t>
      </w:r>
      <w:r w:rsidRPr="00EA5573">
        <w:rPr>
          <w:smallCaps/>
        </w:rPr>
        <w:t xml:space="preserve">huffingtonpost.com, </w:t>
      </w:r>
      <w:r w:rsidRPr="00403757">
        <w:t>6/17/2013, http://www.huffingtonpost.com/2013/06/17/shipping-container-hotel-detroit-shel-kimen_n_3093286.html.</w:t>
      </w:r>
    </w:p>
    <w:p w:rsidR="0053578D" w:rsidRPr="00403757" w:rsidRDefault="0053578D">
      <w:pPr>
        <w:pStyle w:val="FootnoteText"/>
      </w:pPr>
      <w:r>
        <w:t>(“</w:t>
      </w:r>
      <w:r w:rsidRPr="00403757">
        <w:t>travelers and locals can gather to share art and stories.</w:t>
      </w:r>
      <w:r>
        <w:t>”).</w:t>
      </w:r>
    </w:p>
  </w:footnote>
  <w:footnote w:id="463">
    <w:p w:rsidR="0053578D" w:rsidRPr="00403757" w:rsidRDefault="0053578D">
      <w:pPr>
        <w:pStyle w:val="FootnoteText"/>
      </w:pPr>
      <w:r>
        <w:rPr>
          <w:rStyle w:val="FootnoteReference"/>
        </w:rPr>
        <w:footnoteRef/>
      </w:r>
      <w:r>
        <w:t xml:space="preserve"> David Sands, </w:t>
      </w:r>
      <w:r>
        <w:rPr>
          <w:i/>
        </w:rPr>
        <w:t xml:space="preserve">Shipping Container Hotel Collision Works, Planned by Shel Kimen, Seeks Funding for Detroit Prototype [UPDATE], </w:t>
      </w:r>
      <w:r w:rsidRPr="00EA5573">
        <w:rPr>
          <w:smallCaps/>
        </w:rPr>
        <w:t>huffingtonpost.com,</w:t>
      </w:r>
      <w:r>
        <w:rPr>
          <w:i/>
          <w:smallCaps/>
        </w:rPr>
        <w:t xml:space="preserve"> </w:t>
      </w:r>
      <w:r>
        <w:t xml:space="preserve">6/17/2013, </w:t>
      </w:r>
      <w:r w:rsidRPr="00403757">
        <w:t>http://www.huffingtonpost.com/2013/06/17/shipping-container-hotel-detroit-shel-kimen_n_3093286.html</w:t>
      </w:r>
      <w:r>
        <w:t>.</w:t>
      </w:r>
    </w:p>
  </w:footnote>
  <w:footnote w:id="464">
    <w:p w:rsidR="0053578D" w:rsidRPr="00403757" w:rsidRDefault="0053578D">
      <w:pPr>
        <w:pStyle w:val="FootnoteText"/>
      </w:pPr>
      <w:r>
        <w:rPr>
          <w:rStyle w:val="FootnoteReference"/>
        </w:rPr>
        <w:footnoteRef/>
      </w:r>
      <w:r>
        <w:t xml:space="preserve"> Kimen interview.</w:t>
      </w:r>
    </w:p>
  </w:footnote>
  <w:footnote w:id="465">
    <w:p w:rsidR="0053578D" w:rsidRPr="00B44E77" w:rsidRDefault="0053578D">
      <w:pPr>
        <w:pStyle w:val="FootnoteText"/>
      </w:pPr>
      <w:r>
        <w:rPr>
          <w:rStyle w:val="FootnoteReference"/>
        </w:rPr>
        <w:footnoteRef/>
      </w:r>
      <w:r>
        <w:t xml:space="preserve"> </w:t>
      </w:r>
      <w:r>
        <w:rPr>
          <w:i/>
        </w:rPr>
        <w:t>See</w:t>
      </w:r>
      <w:r>
        <w:t xml:space="preserve"> Detroit Eastern Market, </w:t>
      </w:r>
      <w:r w:rsidRPr="00EA5573">
        <w:rPr>
          <w:i/>
        </w:rPr>
        <w:t>About</w:t>
      </w:r>
      <w:r>
        <w:t xml:space="preserve">, </w:t>
      </w:r>
      <w:r w:rsidRPr="00B44E77">
        <w:t>http://www.detroiteasternmarket.com/</w:t>
      </w:r>
      <w:r>
        <w:t>.</w:t>
      </w:r>
    </w:p>
  </w:footnote>
  <w:footnote w:id="466">
    <w:p w:rsidR="0053578D" w:rsidRPr="00A7738F" w:rsidRDefault="0053578D">
      <w:pPr>
        <w:pStyle w:val="FootnoteText"/>
      </w:pPr>
      <w:r>
        <w:rPr>
          <w:rStyle w:val="FootnoteReference"/>
        </w:rPr>
        <w:footnoteRef/>
      </w:r>
      <w:r>
        <w:t xml:space="preserve"> Images at </w:t>
      </w:r>
      <w:r>
        <w:rPr>
          <w:i/>
        </w:rPr>
        <w:t xml:space="preserve">First Container Eastern Market, </w:t>
      </w:r>
      <w:r>
        <w:rPr>
          <w:smallCaps/>
        </w:rPr>
        <w:t xml:space="preserve">Style-Detroit.com, </w:t>
      </w:r>
      <w:r>
        <w:t xml:space="preserve">Aug. 13, 2013, </w:t>
      </w:r>
      <w:r w:rsidRPr="00A7738F">
        <w:t>http://www.style-detroit.com/2013/08/first-container-eastern-market.html</w:t>
      </w:r>
      <w:r>
        <w:t>.</w:t>
      </w:r>
    </w:p>
  </w:footnote>
  <w:footnote w:id="467">
    <w:p w:rsidR="0053578D" w:rsidRPr="00872482" w:rsidRDefault="0053578D">
      <w:pPr>
        <w:pStyle w:val="FootnoteText"/>
      </w:pPr>
      <w:r>
        <w:rPr>
          <w:rStyle w:val="FootnoteReference"/>
        </w:rPr>
        <w:footnoteRef/>
      </w:r>
      <w:r>
        <w:t xml:space="preserve"> Images of Campus Martius/tiki bar </w:t>
      </w:r>
      <w:r w:rsidRPr="00BE0BD7">
        <w:t>at</w:t>
      </w:r>
      <w:r>
        <w:rPr>
          <w:i/>
        </w:rPr>
        <w:t xml:space="preserve"> The “Beach” at Campus Martius Park, </w:t>
      </w:r>
      <w:r>
        <w:rPr>
          <w:smallCaps/>
        </w:rPr>
        <w:t>Emerald Sky Photography</w:t>
      </w:r>
      <w:r>
        <w:t xml:space="preserve">, July 7, 2013, </w:t>
      </w:r>
      <w:hyperlink r:id="rId68" w:history="1">
        <w:r w:rsidRPr="00942C05">
          <w:rPr>
            <w:rStyle w:val="Hyperlink"/>
          </w:rPr>
          <w:t>http://emeraldskyphotography.wordpress.com/2013/07/07/the-beach-at-campus-martius-park/</w:t>
        </w:r>
      </w:hyperlink>
      <w:r>
        <w:t xml:space="preserve">.  </w:t>
      </w:r>
      <w:r>
        <w:rPr>
          <w:i/>
        </w:rPr>
        <w:t xml:space="preserve">See also </w:t>
      </w:r>
      <w:r>
        <w:t xml:space="preserve">section I, </w:t>
      </w:r>
      <w:r>
        <w:rPr>
          <w:i/>
        </w:rPr>
        <w:t>supra</w:t>
      </w:r>
      <w:r>
        <w:t xml:space="preserve"> (I looked at Campus Martius while talking to Noah).</w:t>
      </w:r>
    </w:p>
  </w:footnote>
  <w:footnote w:id="468">
    <w:p w:rsidR="0053578D" w:rsidRPr="00A33C29" w:rsidRDefault="0053578D">
      <w:pPr>
        <w:pStyle w:val="FootnoteText"/>
      </w:pPr>
      <w:r>
        <w:rPr>
          <w:rStyle w:val="FootnoteReference"/>
        </w:rPr>
        <w:footnoteRef/>
      </w:r>
      <w:r>
        <w:t xml:space="preserve"> This clinic is Team Mental Health on Russell Street. </w:t>
      </w:r>
      <w:r>
        <w:rPr>
          <w:i/>
        </w:rPr>
        <w:t>See</w:t>
      </w:r>
      <w:r>
        <w:t xml:space="preserve"> Team Mental Health Services, </w:t>
      </w:r>
      <w:r>
        <w:rPr>
          <w:i/>
        </w:rPr>
        <w:t xml:space="preserve">Team Mental Health Services Locations, </w:t>
      </w:r>
      <w:hyperlink r:id="rId69" w:history="1">
        <w:r w:rsidRPr="00F62EE8">
          <w:rPr>
            <w:rStyle w:val="Hyperlink"/>
          </w:rPr>
          <w:t>https://t-mhs.com/home/locations/</w:t>
        </w:r>
      </w:hyperlink>
      <w:r>
        <w:t xml:space="preserve">.  Team Mental Health aids low-income people. </w:t>
      </w:r>
      <w:r>
        <w:rPr>
          <w:i/>
        </w:rPr>
        <w:t>See, e.g.,</w:t>
      </w:r>
      <w:r>
        <w:t xml:space="preserve"> Team Mental Health Services, </w:t>
      </w:r>
      <w:r>
        <w:rPr>
          <w:i/>
        </w:rPr>
        <w:t>Testimonials,</w:t>
      </w:r>
      <w:r>
        <w:t xml:space="preserve"> </w:t>
      </w:r>
      <w:hyperlink r:id="rId70" w:history="1">
        <w:r w:rsidRPr="00F62EE8">
          <w:rPr>
            <w:rStyle w:val="Hyperlink"/>
          </w:rPr>
          <w:t>https://t-mhs.com/home/about/testimonial/</w:t>
        </w:r>
      </w:hyperlink>
      <w:r>
        <w:t xml:space="preserve"> (describing Team’s  paying for low-income housing for people.).</w:t>
      </w:r>
    </w:p>
  </w:footnote>
  <w:footnote w:id="469">
    <w:p w:rsidR="0053578D" w:rsidRPr="00157CC1" w:rsidRDefault="0053578D">
      <w:pPr>
        <w:pStyle w:val="FootnoteText"/>
        <w:rPr>
          <w:smallCaps/>
        </w:rPr>
      </w:pPr>
      <w:r>
        <w:rPr>
          <w:rStyle w:val="FootnoteReference"/>
        </w:rPr>
        <w:footnoteRef/>
      </w:r>
      <w:r>
        <w:t xml:space="preserve"> The summertime 1967 Rebellion sparked when police raided an unlicensed club.  3,800 people were arrested, 2,700 buildings were looted and there were more than $500 million in damages.  “[A]ctual participation was disproportionately clustered among the more deprived segments of the black working class</w:t>
      </w:r>
      <w:r w:rsidRPr="00BE0BD7">
        <w:rPr>
          <w:smallCaps/>
        </w:rPr>
        <w:t>.”  Steve Jeffreys,</w:t>
      </w:r>
      <w:r>
        <w:t xml:space="preserve"> </w:t>
      </w:r>
      <w:r>
        <w:rPr>
          <w:smallCaps/>
        </w:rPr>
        <w:t>Management and Managed: Fifty Years of Crisis at Chrysler 169 (1986).</w:t>
      </w:r>
    </w:p>
  </w:footnote>
  <w:footnote w:id="470">
    <w:p w:rsidR="0053578D" w:rsidRPr="00D628BE" w:rsidRDefault="0053578D">
      <w:pPr>
        <w:pStyle w:val="FootnoteText"/>
      </w:pPr>
      <w:r>
        <w:rPr>
          <w:rStyle w:val="FootnoteReference"/>
        </w:rPr>
        <w:footnoteRef/>
      </w:r>
      <w:r>
        <w:t xml:space="preserve"> </w:t>
      </w:r>
      <w:r>
        <w:rPr>
          <w:i/>
        </w:rPr>
        <w:t>See Peering</w:t>
      </w:r>
      <w:r>
        <w:t xml:space="preserve"> at 49-55.</w:t>
      </w:r>
    </w:p>
  </w:footnote>
  <w:footnote w:id="471">
    <w:p w:rsidR="0053578D" w:rsidRPr="00D628BE" w:rsidRDefault="0053578D">
      <w:pPr>
        <w:pStyle w:val="FootnoteText"/>
        <w:rPr>
          <w:i/>
        </w:rPr>
      </w:pPr>
      <w:r>
        <w:rPr>
          <w:rStyle w:val="FootnoteReference"/>
        </w:rPr>
        <w:footnoteRef/>
      </w:r>
      <w:r>
        <w:t xml:space="preserve"> </w:t>
      </w:r>
      <w:r>
        <w:rPr>
          <w:i/>
        </w:rPr>
        <w:t>Id.</w:t>
      </w:r>
    </w:p>
  </w:footnote>
  <w:footnote w:id="472">
    <w:p w:rsidR="0053578D" w:rsidRPr="00D628BE" w:rsidRDefault="0053578D">
      <w:pPr>
        <w:pStyle w:val="FootnoteText"/>
        <w:rPr>
          <w:i/>
        </w:rPr>
      </w:pPr>
      <w:r>
        <w:rPr>
          <w:rStyle w:val="FootnoteReference"/>
        </w:rPr>
        <w:footnoteRef/>
      </w:r>
      <w:r>
        <w:t xml:space="preserve"> </w:t>
      </w:r>
      <w:r>
        <w:rPr>
          <w:i/>
        </w:rPr>
        <w:t>Id.</w:t>
      </w:r>
    </w:p>
  </w:footnote>
  <w:footnote w:id="473">
    <w:p w:rsidR="0053578D" w:rsidRPr="006F0546" w:rsidRDefault="0053578D">
      <w:pPr>
        <w:pStyle w:val="FootnoteText"/>
      </w:pPr>
      <w:r>
        <w:rPr>
          <w:rStyle w:val="FootnoteReference"/>
        </w:rPr>
        <w:footnoteRef/>
      </w:r>
      <w:r>
        <w:t xml:space="preserve"> </w:t>
      </w:r>
      <w:r>
        <w:rPr>
          <w:i/>
        </w:rPr>
        <w:t>Peering</w:t>
      </w:r>
      <w:r>
        <w:t xml:space="preserve"> at section VII.</w:t>
      </w:r>
    </w:p>
  </w:footnote>
  <w:footnote w:id="474">
    <w:p w:rsidR="0053578D" w:rsidRPr="006F0546" w:rsidRDefault="0053578D">
      <w:pPr>
        <w:pStyle w:val="FootnoteText"/>
      </w:pPr>
      <w:r>
        <w:rPr>
          <w:rStyle w:val="FootnoteReference"/>
        </w:rPr>
        <w:footnoteRef/>
      </w:r>
      <w:r>
        <w:t xml:space="preserve"> </w:t>
      </w:r>
      <w:r>
        <w:rPr>
          <w:i/>
        </w:rPr>
        <w:t>Peering</w:t>
      </w:r>
      <w:r>
        <w:t xml:space="preserve"> at section V(b).</w:t>
      </w:r>
    </w:p>
  </w:footnote>
  <w:footnote w:id="475">
    <w:p w:rsidR="0053578D" w:rsidRPr="006F0546" w:rsidRDefault="0053578D">
      <w:pPr>
        <w:pStyle w:val="FootnoteText"/>
      </w:pPr>
      <w:r>
        <w:rPr>
          <w:rStyle w:val="FootnoteReference"/>
        </w:rPr>
        <w:footnoteRef/>
      </w:r>
      <w:r>
        <w:t xml:space="preserve"> </w:t>
      </w:r>
      <w:r>
        <w:rPr>
          <w:i/>
        </w:rPr>
        <w:t>Id.</w:t>
      </w:r>
      <w:r>
        <w:t xml:space="preserve"> at 75.</w:t>
      </w:r>
    </w:p>
  </w:footnote>
  <w:footnote w:id="476">
    <w:p w:rsidR="0053578D" w:rsidRPr="002F359A" w:rsidRDefault="0053578D">
      <w:pPr>
        <w:pStyle w:val="FootnoteText"/>
      </w:pPr>
      <w:r>
        <w:rPr>
          <w:rStyle w:val="FootnoteReference"/>
        </w:rPr>
        <w:footnoteRef/>
      </w:r>
      <w:r>
        <w:t xml:space="preserve"> </w:t>
      </w:r>
      <w:r>
        <w:rPr>
          <w:i/>
        </w:rPr>
        <w:t>Id.</w:t>
      </w:r>
      <w:r>
        <w:t xml:space="preserve"> at 90.</w:t>
      </w:r>
    </w:p>
  </w:footnote>
  <w:footnote w:id="477">
    <w:p w:rsidR="0053578D" w:rsidRDefault="0053578D">
      <w:pPr>
        <w:pStyle w:val="FootnoteText"/>
      </w:pPr>
      <w:r>
        <w:rPr>
          <w:rStyle w:val="FootnoteReference"/>
        </w:rPr>
        <w:footnoteRef/>
      </w:r>
      <w:r>
        <w:t xml:space="preserve"> Interview with Noah Stephens, at section I.</w:t>
      </w:r>
    </w:p>
  </w:footnote>
  <w:footnote w:id="478">
    <w:p w:rsidR="0053578D" w:rsidRDefault="0053578D">
      <w:pPr>
        <w:pStyle w:val="FootnoteText"/>
      </w:pPr>
      <w:r>
        <w:rPr>
          <w:rStyle w:val="FootnoteReference"/>
        </w:rPr>
        <w:footnoteRef/>
      </w:r>
      <w:r>
        <w:t xml:space="preserve"> </w:t>
      </w:r>
      <w:r>
        <w:rPr>
          <w:i/>
        </w:rPr>
        <w:t>Peering</w:t>
      </w:r>
      <w:r>
        <w:t xml:space="preserve"> at section VII. </w:t>
      </w:r>
    </w:p>
  </w:footnote>
  <w:footnote w:id="479">
    <w:p w:rsidR="0053578D" w:rsidRPr="002F6458" w:rsidRDefault="0053578D">
      <w:pPr>
        <w:pStyle w:val="FootnoteText"/>
      </w:pPr>
      <w:r>
        <w:rPr>
          <w:rStyle w:val="FootnoteReference"/>
        </w:rPr>
        <w:footnoteRef/>
      </w:r>
      <w:r>
        <w:t xml:space="preserve"> Regarding problems created by just compensation, </w:t>
      </w:r>
      <w:r>
        <w:rPr>
          <w:i/>
        </w:rPr>
        <w:t>see</w:t>
      </w:r>
      <w:r>
        <w:t xml:space="preserve"> Christopher Serkin, </w:t>
      </w:r>
      <w:r>
        <w:rPr>
          <w:i/>
        </w:rPr>
        <w:t xml:space="preserve">Big Differences for Small Governments:  Local Governments and the Takings Clause, </w:t>
      </w:r>
      <w:r w:rsidRPr="002F6458">
        <w:t xml:space="preserve">81 </w:t>
      </w:r>
      <w:r w:rsidRPr="002F6458">
        <w:rPr>
          <w:smallCaps/>
        </w:rPr>
        <w:t>NY. U. Law Rev.</w:t>
      </w:r>
      <w:r w:rsidRPr="002F6458">
        <w:t xml:space="preserve"> 1626, 1633 (2006) (“</w:t>
      </w:r>
      <w:r>
        <w:t>the more the government has to pay for its actions, the less willing it will be to act.”)</w:t>
      </w:r>
    </w:p>
  </w:footnote>
  <w:footnote w:id="480">
    <w:p w:rsidR="0053578D" w:rsidRPr="00631D4F" w:rsidRDefault="0053578D">
      <w:pPr>
        <w:pStyle w:val="FootnoteText"/>
      </w:pPr>
      <w:r>
        <w:rPr>
          <w:rStyle w:val="FootnoteReference"/>
        </w:rPr>
        <w:footnoteRef/>
      </w:r>
      <w:r>
        <w:t xml:space="preserve"> I first practiced this while working at a food bank, which I detail in </w:t>
      </w:r>
      <w:r w:rsidRPr="00631D4F">
        <w:rPr>
          <w:i/>
        </w:rPr>
        <w:t>Law</w:t>
      </w:r>
      <w:r>
        <w:rPr>
          <w:i/>
        </w:rPr>
        <w:t xml:space="preserve"> and the Possibilities of Peace,</w:t>
      </w:r>
      <w:r>
        <w:t xml:space="preserve"> at 25-26.  </w:t>
      </w:r>
    </w:p>
  </w:footnote>
  <w:footnote w:id="481">
    <w:p w:rsidR="0053578D" w:rsidRDefault="0053578D" w:rsidP="00713DE5">
      <w:pPr>
        <w:pStyle w:val="FootnoteText"/>
        <w:jc w:val="both"/>
      </w:pPr>
      <w:r>
        <w:rPr>
          <w:rStyle w:val="FootnoteReference"/>
        </w:rPr>
        <w:footnoteRef/>
      </w:r>
      <w:r>
        <w:t xml:space="preserve"> Angela P. Harris, </w:t>
      </w:r>
      <w:r w:rsidRPr="0040702D">
        <w:rPr>
          <w:i/>
        </w:rPr>
        <w:t>Race and Essentialism in Feminist Legal Theory,</w:t>
      </w:r>
      <w:r>
        <w:t xml:space="preserve"> 42</w:t>
      </w:r>
      <w:r>
        <w:tab/>
      </w:r>
      <w:r w:rsidRPr="00713DE5">
        <w:rPr>
          <w:smallCaps/>
        </w:rPr>
        <w:t>Stan. L. Rev</w:t>
      </w:r>
      <w:r>
        <w:t>. 616 (1990).</w:t>
      </w:r>
    </w:p>
  </w:footnote>
  <w:footnote w:id="482">
    <w:p w:rsidR="0053578D" w:rsidRPr="0040702D" w:rsidRDefault="0053578D" w:rsidP="00CC709F">
      <w:pPr>
        <w:pStyle w:val="FootnoteText"/>
        <w:rPr>
          <w:i/>
        </w:rPr>
      </w:pPr>
      <w:r>
        <w:rPr>
          <w:rStyle w:val="FootnoteReference"/>
        </w:rPr>
        <w:footnoteRef/>
      </w:r>
      <w:r>
        <w:t xml:space="preserve"> </w:t>
      </w:r>
      <w:r>
        <w:rPr>
          <w:i/>
        </w:rPr>
        <w:t>See</w:t>
      </w:r>
      <w:r>
        <w:t xml:space="preserve"> Yxta Maya Murray, </w:t>
      </w:r>
      <w:r>
        <w:rPr>
          <w:i/>
        </w:rPr>
        <w:t>A Jurisprudence of Nonviolence,</w:t>
      </w:r>
      <w:r>
        <w:t xml:space="preserve"> </w:t>
      </w:r>
      <w:r w:rsidRPr="00713DE5">
        <w:rPr>
          <w:smallCaps/>
        </w:rPr>
        <w:t>9 Conn. Pub. Int. L.J.</w:t>
      </w:r>
      <w:r w:rsidRPr="00CC709F">
        <w:t xml:space="preserve"> 65</w:t>
      </w:r>
      <w:r>
        <w:t xml:space="preserve">, 99 (2009) (quoting Keith Aoki, </w:t>
      </w:r>
      <w:r w:rsidRPr="0040702D">
        <w:rPr>
          <w:i/>
        </w:rPr>
        <w:t xml:space="preserve">"Foreign-ness" &amp; Asian American Identities: Yellowface, World War II Propaganda, and </w:t>
      </w:r>
    </w:p>
    <w:p w:rsidR="0053578D" w:rsidRPr="00646367" w:rsidRDefault="0053578D" w:rsidP="00CC709F">
      <w:pPr>
        <w:pStyle w:val="FootnoteText"/>
        <w:rPr>
          <w:u w:val="single"/>
        </w:rPr>
      </w:pPr>
      <w:r w:rsidRPr="0040702D">
        <w:rPr>
          <w:i/>
        </w:rPr>
        <w:t>Bifurcated Racial Stereotypes</w:t>
      </w:r>
      <w:r>
        <w:t xml:space="preserve">, 4 </w:t>
      </w:r>
      <w:r w:rsidRPr="0040702D">
        <w:rPr>
          <w:smallCaps/>
        </w:rPr>
        <w:t>Asian Pac. Am. L.J</w:t>
      </w:r>
      <w:r>
        <w:t xml:space="preserve">. 1, 48 (1996).).  </w:t>
      </w:r>
      <w:r>
        <w:rPr>
          <w:i/>
        </w:rPr>
        <w:t>See also</w:t>
      </w:r>
      <w:r>
        <w:t xml:space="preserve"> </w:t>
      </w:r>
      <w:r>
        <w:rPr>
          <w:i/>
        </w:rPr>
        <w:t>id.</w:t>
      </w:r>
      <w:r>
        <w:t xml:space="preserve"> at 108, citing Queer and LatCrit theorist Frank Valdes’s ideas of common ground (citing </w:t>
      </w:r>
      <w:r w:rsidRPr="0040702D">
        <w:rPr>
          <w:i/>
        </w:rPr>
        <w:t xml:space="preserve">Queers, Sissies, Dykes, and Tomboys: Deconstructing the Conflation of “Sex,” “Gender,” and “Sexual Orientation” in Euro-American Law and Society, </w:t>
      </w:r>
      <w:r w:rsidRPr="00CC709F">
        <w:t xml:space="preserve">83 </w:t>
      </w:r>
      <w:r w:rsidRPr="0040702D">
        <w:rPr>
          <w:smallCaps/>
        </w:rPr>
        <w:t>Cal. L. Rev.</w:t>
      </w:r>
      <w:r w:rsidRPr="00CC709F">
        <w:t xml:space="preserve"> 3</w:t>
      </w:r>
      <w:r>
        <w:t>, 372</w:t>
      </w:r>
      <w:r w:rsidRPr="00CC709F">
        <w:t xml:space="preserve"> (1995)</w:t>
      </w:r>
      <w:r>
        <w:t>, and Aya Gruber, urging activists to help different people</w:t>
      </w:r>
      <w:r w:rsidRPr="00646367">
        <w:t xml:space="preserve">, </w:t>
      </w:r>
      <w:hyperlink r:id="rId71" w:anchor="co_pp_sp_1234_1207" w:history="1">
        <w:r w:rsidRPr="00646367">
          <w:rPr>
            <w:rStyle w:val="Hyperlink"/>
            <w:i/>
            <w:color w:val="auto"/>
            <w:u w:val="none"/>
          </w:rPr>
          <w:t>Navigating Diverse Identities: Building Coalitions Through Redistribution of Academic Capital-An Exercise in Praxis</w:t>
        </w:r>
        <w:r w:rsidRPr="00646367">
          <w:rPr>
            <w:rStyle w:val="Hyperlink"/>
            <w:color w:val="auto"/>
            <w:u w:val="none"/>
          </w:rPr>
          <w:t xml:space="preserve">, 35 </w:t>
        </w:r>
        <w:r w:rsidRPr="00646367">
          <w:rPr>
            <w:rStyle w:val="Hyperlink"/>
            <w:smallCaps/>
            <w:color w:val="auto"/>
            <w:u w:val="none"/>
          </w:rPr>
          <w:t>Seton Hall L. Rev.</w:t>
        </w:r>
        <w:r w:rsidRPr="00646367">
          <w:rPr>
            <w:rStyle w:val="Hyperlink"/>
            <w:color w:val="auto"/>
            <w:u w:val="none"/>
          </w:rPr>
          <w:t xml:space="preserve"> 1201, 1207 (2005)</w:t>
        </w:r>
      </w:hyperlink>
      <w:r w:rsidRPr="00646367">
        <w:rPr>
          <w:u w:val="single"/>
        </w:rPr>
        <w:t>.</w:t>
      </w:r>
    </w:p>
  </w:footnote>
  <w:footnote w:id="483">
    <w:p w:rsidR="0053578D" w:rsidRPr="005C4A68" w:rsidRDefault="0053578D">
      <w:pPr>
        <w:pStyle w:val="FootnoteText"/>
      </w:pPr>
      <w:r>
        <w:rPr>
          <w:rStyle w:val="FootnoteReference"/>
        </w:rPr>
        <w:footnoteRef/>
      </w:r>
      <w:r>
        <w:t xml:space="preserve"> </w:t>
      </w:r>
      <w:r>
        <w:rPr>
          <w:i/>
        </w:rPr>
        <w:t>See</w:t>
      </w:r>
      <w:r>
        <w:t xml:space="preserve"> Timothy M. Mulvaney, </w:t>
      </w:r>
      <w:r>
        <w:rPr>
          <w:i/>
        </w:rPr>
        <w:t xml:space="preserve">Progressive Property Moving Forward, </w:t>
      </w:r>
      <w:r w:rsidRPr="005C4A68">
        <w:t xml:space="preserve">5 </w:t>
      </w:r>
      <w:r w:rsidRPr="0040702D">
        <w:rPr>
          <w:smallCaps/>
        </w:rPr>
        <w:t>Cal. L. Rev. Circuit</w:t>
      </w:r>
      <w:r w:rsidRPr="005C4A68">
        <w:t xml:space="preserve"> 349</w:t>
      </w:r>
      <w:r>
        <w:t>, 358-370 (2014).</w:t>
      </w:r>
    </w:p>
  </w:footnote>
  <w:footnote w:id="484">
    <w:p w:rsidR="0053578D" w:rsidRPr="00C75561" w:rsidRDefault="0053578D">
      <w:pPr>
        <w:pStyle w:val="FootnoteText"/>
      </w:pPr>
      <w:r>
        <w:rPr>
          <w:rStyle w:val="FootnoteReference"/>
        </w:rPr>
        <w:footnoteRef/>
      </w:r>
      <w:r>
        <w:t xml:space="preserve"> Laura Underkuffler, </w:t>
      </w:r>
      <w:r>
        <w:rPr>
          <w:i/>
        </w:rPr>
        <w:t xml:space="preserve">Property and Change:  The Constitutional Conundrum, </w:t>
      </w:r>
      <w:r>
        <w:t xml:space="preserve">91 </w:t>
      </w:r>
      <w:r>
        <w:rPr>
          <w:smallCaps/>
        </w:rPr>
        <w:t>Tex. L. Rev.</w:t>
      </w:r>
      <w:r>
        <w:t xml:space="preserve"> 2015, 2036 (2015).</w:t>
      </w:r>
    </w:p>
  </w:footnote>
  <w:footnote w:id="485">
    <w:p w:rsidR="0053578D" w:rsidRPr="009D290F" w:rsidRDefault="0053578D">
      <w:pPr>
        <w:pStyle w:val="FootnoteText"/>
        <w:rPr>
          <w:i/>
        </w:rPr>
      </w:pPr>
      <w:r>
        <w:rPr>
          <w:rStyle w:val="FootnoteReference"/>
        </w:rPr>
        <w:footnoteRef/>
      </w:r>
      <w:r>
        <w:t xml:space="preserve"> Easterly’s disquisitions on planners vs. searchers found in Chapter 1, which begins on page 3 of that book.  Easterly’s attack on technocrats was furthered in his 2014 </w:t>
      </w:r>
      <w:r>
        <w:rPr>
          <w:smallCaps/>
        </w:rPr>
        <w:t xml:space="preserve">Tyranny of Experts.  </w:t>
      </w:r>
    </w:p>
  </w:footnote>
  <w:footnote w:id="486">
    <w:p w:rsidR="0053578D" w:rsidRPr="009D290F" w:rsidRDefault="0053578D">
      <w:pPr>
        <w:pStyle w:val="FootnoteText"/>
      </w:pPr>
      <w:r>
        <w:rPr>
          <w:rStyle w:val="FootnoteReference"/>
        </w:rPr>
        <w:footnoteRef/>
      </w:r>
      <w:r>
        <w:t xml:space="preserve"> </w:t>
      </w:r>
      <w:r>
        <w:rPr>
          <w:i/>
        </w:rPr>
        <w:t xml:space="preserve">See, </w:t>
      </w:r>
      <w:r>
        <w:rPr>
          <w:smallCaps/>
        </w:rPr>
        <w:t>Tyranny of Experts</w:t>
      </w:r>
      <w:r>
        <w:t xml:space="preserve">, </w:t>
      </w:r>
      <w:r w:rsidRPr="00840D5B">
        <w:rPr>
          <w:i/>
        </w:rPr>
        <w:t>id</w:t>
      </w:r>
      <w:r>
        <w:t>., at 28 (early critiques of technocrats and blank slate thinking).</w:t>
      </w:r>
    </w:p>
  </w:footnote>
  <w:footnote w:id="487">
    <w:p w:rsidR="0053578D" w:rsidRPr="0040702D" w:rsidRDefault="0053578D">
      <w:pPr>
        <w:pStyle w:val="FootnoteText"/>
        <w:rPr>
          <w:i/>
        </w:rPr>
      </w:pPr>
      <w:r>
        <w:rPr>
          <w:rStyle w:val="FootnoteReference"/>
        </w:rPr>
        <w:footnoteRef/>
      </w:r>
      <w:r>
        <w:t xml:space="preserve"> </w:t>
      </w:r>
      <w:r>
        <w:rPr>
          <w:i/>
        </w:rPr>
        <w:t>See</w:t>
      </w:r>
      <w:r>
        <w:t xml:space="preserve"> text accompanying note 481, </w:t>
      </w:r>
      <w:r>
        <w:rPr>
          <w:i/>
        </w:rPr>
        <w:t>supra.</w:t>
      </w:r>
    </w:p>
  </w:footnote>
  <w:footnote w:id="488">
    <w:p w:rsidR="0053578D" w:rsidRPr="0040702D" w:rsidRDefault="0053578D">
      <w:pPr>
        <w:pStyle w:val="FootnoteText"/>
        <w:rPr>
          <w:i/>
        </w:rPr>
      </w:pPr>
      <w:r>
        <w:rPr>
          <w:rStyle w:val="FootnoteReference"/>
        </w:rPr>
        <w:footnoteRef/>
      </w:r>
      <w:r>
        <w:t xml:space="preserve"> </w:t>
      </w:r>
      <w:r>
        <w:rPr>
          <w:i/>
        </w:rPr>
        <w:t xml:space="preserve">See </w:t>
      </w:r>
      <w:r>
        <w:t xml:space="preserve">text accompanying note 482, </w:t>
      </w:r>
      <w:r>
        <w:rPr>
          <w:i/>
        </w:rPr>
        <w:t>supra.</w:t>
      </w:r>
    </w:p>
  </w:footnote>
  <w:footnote w:id="489">
    <w:p w:rsidR="0053578D" w:rsidRPr="0040702D" w:rsidRDefault="0053578D">
      <w:pPr>
        <w:pStyle w:val="FootnoteText"/>
        <w:rPr>
          <w:i/>
        </w:rPr>
      </w:pPr>
      <w:r>
        <w:rPr>
          <w:rStyle w:val="FootnoteReference"/>
        </w:rPr>
        <w:footnoteRef/>
      </w:r>
      <w:r>
        <w:t xml:space="preserve"> </w:t>
      </w:r>
      <w:r>
        <w:rPr>
          <w:i/>
        </w:rPr>
        <w:t>See</w:t>
      </w:r>
      <w:r>
        <w:t xml:space="preserve"> text accompanying note 483, </w:t>
      </w:r>
      <w:r>
        <w:rPr>
          <w:i/>
        </w:rPr>
        <w:t>supra.</w:t>
      </w:r>
    </w:p>
  </w:footnote>
  <w:footnote w:id="490">
    <w:p w:rsidR="0053578D" w:rsidRPr="0040702D" w:rsidRDefault="0053578D">
      <w:pPr>
        <w:pStyle w:val="FootnoteText"/>
        <w:rPr>
          <w:i/>
        </w:rPr>
      </w:pPr>
      <w:r>
        <w:rPr>
          <w:rStyle w:val="FootnoteReference"/>
        </w:rPr>
        <w:footnoteRef/>
      </w:r>
      <w:r>
        <w:t xml:space="preserve"> </w:t>
      </w:r>
      <w:r>
        <w:rPr>
          <w:i/>
        </w:rPr>
        <w:t>See</w:t>
      </w:r>
      <w:r>
        <w:t xml:space="preserve"> text accompanying note 484, </w:t>
      </w:r>
      <w:r>
        <w:rPr>
          <w:i/>
        </w:rPr>
        <w:t>supra.</w:t>
      </w:r>
    </w:p>
  </w:footnote>
  <w:footnote w:id="491">
    <w:p w:rsidR="0053578D" w:rsidRPr="0040702D" w:rsidRDefault="0053578D">
      <w:pPr>
        <w:pStyle w:val="FootnoteText"/>
        <w:rPr>
          <w:i/>
        </w:rPr>
      </w:pPr>
      <w:r>
        <w:rPr>
          <w:rStyle w:val="FootnoteReference"/>
        </w:rPr>
        <w:footnoteRef/>
      </w:r>
      <w:r>
        <w:t xml:space="preserve"> </w:t>
      </w:r>
      <w:r>
        <w:rPr>
          <w:i/>
        </w:rPr>
        <w:t>See</w:t>
      </w:r>
      <w:r>
        <w:t xml:space="preserve"> text accompanying note 485, </w:t>
      </w:r>
      <w:r>
        <w:rPr>
          <w:i/>
        </w:rPr>
        <w:t>supra.</w:t>
      </w:r>
    </w:p>
  </w:footnote>
  <w:footnote w:id="492">
    <w:p w:rsidR="0053578D" w:rsidRDefault="0053578D">
      <w:pPr>
        <w:pStyle w:val="FootnoteText"/>
      </w:pPr>
      <w:r>
        <w:rPr>
          <w:rStyle w:val="FootnoteReference"/>
        </w:rPr>
        <w:footnoteRef/>
      </w:r>
      <w:r>
        <w:t xml:space="preserve"> Matthew, 7:12.</w:t>
      </w:r>
    </w:p>
  </w:footnote>
  <w:footnote w:id="493">
    <w:p w:rsidR="0053578D" w:rsidRPr="00697287" w:rsidRDefault="0053578D">
      <w:pPr>
        <w:pStyle w:val="FootnoteText"/>
      </w:pPr>
      <w:r>
        <w:rPr>
          <w:rStyle w:val="FootnoteReference"/>
        </w:rPr>
        <w:footnoteRef/>
      </w:r>
      <w:r>
        <w:t xml:space="preserve"> </w:t>
      </w:r>
      <w:r>
        <w:rPr>
          <w:i/>
        </w:rPr>
        <w:t>Peering</w:t>
      </w:r>
      <w:r>
        <w:t xml:space="preserve"> at 19-20.</w:t>
      </w:r>
    </w:p>
  </w:footnote>
  <w:footnote w:id="494">
    <w:p w:rsidR="0053578D" w:rsidRPr="00A1025E" w:rsidRDefault="0053578D">
      <w:pPr>
        <w:pStyle w:val="FootnoteText"/>
        <w:rPr>
          <w:i/>
        </w:rPr>
      </w:pPr>
      <w:r>
        <w:rPr>
          <w:rStyle w:val="FootnoteReference"/>
        </w:rPr>
        <w:footnoteRef/>
      </w:r>
      <w:r>
        <w:t xml:space="preserve"> </w:t>
      </w:r>
      <w:r>
        <w:rPr>
          <w:i/>
        </w:rPr>
        <w:t>Id.</w:t>
      </w:r>
      <w:r>
        <w:t xml:space="preserve">  </w:t>
      </w:r>
      <w:r>
        <w:rPr>
          <w:i/>
        </w:rPr>
        <w:t>See also</w:t>
      </w:r>
      <w:r>
        <w:t xml:space="preserve"> section I.</w:t>
      </w:r>
    </w:p>
  </w:footnote>
  <w:footnote w:id="495">
    <w:p w:rsidR="0053578D" w:rsidRPr="00A1025E" w:rsidRDefault="0053578D">
      <w:pPr>
        <w:pStyle w:val="FootnoteText"/>
      </w:pPr>
      <w:r>
        <w:rPr>
          <w:rStyle w:val="FootnoteReference"/>
        </w:rPr>
        <w:footnoteRef/>
      </w:r>
      <w:r>
        <w:t xml:space="preserve"> </w:t>
      </w:r>
      <w:r>
        <w:rPr>
          <w:i/>
        </w:rPr>
        <w:t>See</w:t>
      </w:r>
      <w:r>
        <w:t xml:space="preserve"> </w:t>
      </w:r>
      <w:r>
        <w:rPr>
          <w:smallCaps/>
        </w:rPr>
        <w:t>Sugrue,</w:t>
      </w:r>
      <w:r>
        <w:t xml:space="preserve"> supra note 372, at 59-60 (quoting historian Robert Fairlands.).</w:t>
      </w:r>
    </w:p>
  </w:footnote>
  <w:footnote w:id="496">
    <w:p w:rsidR="0053578D" w:rsidRPr="0031297F" w:rsidRDefault="0053578D">
      <w:pPr>
        <w:pStyle w:val="FootnoteText"/>
        <w:rPr>
          <w:i/>
        </w:rPr>
      </w:pPr>
      <w:r>
        <w:rPr>
          <w:rStyle w:val="FootnoteReference"/>
        </w:rPr>
        <w:footnoteRef/>
      </w:r>
      <w:r>
        <w:t xml:space="preserve"> </w:t>
      </w:r>
      <w:r>
        <w:rPr>
          <w:i/>
        </w:rPr>
        <w:t>See</w:t>
      </w:r>
      <w:r>
        <w:t xml:space="preserve"> note 29, </w:t>
      </w:r>
      <w:r>
        <w:rPr>
          <w:i/>
        </w:rPr>
        <w:t>supra.</w:t>
      </w:r>
    </w:p>
  </w:footnote>
  <w:footnote w:id="497">
    <w:p w:rsidR="0053578D" w:rsidRPr="00CD58C2" w:rsidRDefault="0053578D">
      <w:pPr>
        <w:pStyle w:val="FootnoteText"/>
      </w:pPr>
      <w:r>
        <w:rPr>
          <w:rStyle w:val="FootnoteReference"/>
        </w:rPr>
        <w:footnoteRef/>
      </w:r>
      <w:r>
        <w:t xml:space="preserve"> </w:t>
      </w:r>
      <w:r>
        <w:rPr>
          <w:i/>
        </w:rPr>
        <w:t>See</w:t>
      </w:r>
      <w:r>
        <w:t xml:space="preserve"> Francisca Antman &amp; David J. McKenzie, </w:t>
      </w:r>
      <w:r>
        <w:rPr>
          <w:i/>
        </w:rPr>
        <w:t xml:space="preserve">Poverty Traps and Nonlinear income Dynamics with Measurement Error and Individual Heterogeneity, </w:t>
      </w:r>
      <w:r w:rsidRPr="00CD58C2">
        <w:t>World Bank Policy Research Working Paper 3764, Nov. 2005</w:t>
      </w:r>
      <w:r>
        <w:rPr>
          <w:i/>
        </w:rPr>
        <w:t xml:space="preserve">, </w:t>
      </w:r>
      <w:r>
        <w:t xml:space="preserve">9-10, </w:t>
      </w:r>
      <w:r w:rsidRPr="00CD58C2">
        <w:t xml:space="preserve">https://books.google.com/books?id=7fDZ8nwPVhMC&amp;pg=PA3&amp;dq=poverty+traps&amp;hl=en&amp;sa=X&amp;ei=xfvYVJydDo62oQTI3oHoBw&amp;ved=0CCQQ6AEwAQ#v=snippet&amp;q=cohort%20pseudo&amp;f=false </w:t>
      </w:r>
      <w:r>
        <w:t>(“A pseudo-panel tracks cohorts of individual over repeated cross-sectional surveys.”).</w:t>
      </w:r>
    </w:p>
  </w:footnote>
  <w:footnote w:id="498">
    <w:p w:rsidR="0053578D" w:rsidRPr="00C904D4" w:rsidRDefault="0053578D">
      <w:pPr>
        <w:pStyle w:val="FootnoteText"/>
      </w:pPr>
      <w:r>
        <w:rPr>
          <w:rStyle w:val="FootnoteReference"/>
        </w:rPr>
        <w:footnoteRef/>
      </w:r>
      <w:r>
        <w:t xml:space="preserve"> </w:t>
      </w:r>
      <w:r>
        <w:rPr>
          <w:i/>
        </w:rPr>
        <w:t xml:space="preserve">See </w:t>
      </w:r>
      <w:r>
        <w:t xml:space="preserve">Deborah Weissman, </w:t>
      </w:r>
      <w:r>
        <w:rPr>
          <w:i/>
        </w:rPr>
        <w:t>Law, Social Movements, and the Political Economy of Domestic Violence</w:t>
      </w:r>
      <w:r>
        <w:t xml:space="preserve">, 20 </w:t>
      </w:r>
      <w:r>
        <w:rPr>
          <w:smallCaps/>
        </w:rPr>
        <w:t>Duke J. of Gender Law &amp; Pol.</w:t>
      </w:r>
      <w:r>
        <w:t xml:space="preserve"> 221, 251 (2013) (“</w:t>
      </w:r>
      <w:r w:rsidRPr="00C904D4">
        <w:t>CBAs are private enforceable contracts negotiated between a prospective developer and community coalitions that include conditions relat</w:t>
      </w:r>
      <w:r>
        <w:t xml:space="preserve">ing to social justice issues.  </w:t>
      </w:r>
      <w:r w:rsidRPr="00C904D4">
        <w:t>These agreements also involve the relevant governmental entity that ultimately appro</w:t>
      </w:r>
      <w:r>
        <w:t>ves the development proposal.”).</w:t>
      </w:r>
    </w:p>
  </w:footnote>
  <w:footnote w:id="499">
    <w:p w:rsidR="0053578D" w:rsidRPr="0031297F" w:rsidRDefault="0053578D">
      <w:pPr>
        <w:pStyle w:val="FootnoteText"/>
        <w:rPr>
          <w:i/>
        </w:rPr>
      </w:pPr>
      <w:r>
        <w:rPr>
          <w:rStyle w:val="FootnoteReference"/>
        </w:rPr>
        <w:footnoteRef/>
      </w:r>
      <w:r>
        <w:t xml:space="preserve"> </w:t>
      </w:r>
      <w:r>
        <w:rPr>
          <w:i/>
        </w:rPr>
        <w:t>See</w:t>
      </w:r>
      <w:r>
        <w:t xml:space="preserve"> text accompanying note 485, </w:t>
      </w:r>
      <w:r>
        <w:rPr>
          <w:i/>
        </w:rPr>
        <w:t>supra.</w:t>
      </w:r>
    </w:p>
  </w:footnote>
  <w:footnote w:id="500">
    <w:p w:rsidR="0053578D" w:rsidRPr="00C4718B" w:rsidRDefault="0053578D">
      <w:pPr>
        <w:pStyle w:val="FootnoteText"/>
      </w:pPr>
      <w:r>
        <w:rPr>
          <w:rStyle w:val="FootnoteReference"/>
        </w:rPr>
        <w:footnoteRef/>
      </w:r>
      <w:r>
        <w:t xml:space="preserve"> </w:t>
      </w:r>
      <w:r>
        <w:rPr>
          <w:i/>
        </w:rPr>
        <w:t>See</w:t>
      </w:r>
      <w:r>
        <w:t xml:space="preserve"> </w:t>
      </w:r>
      <w:r>
        <w:rPr>
          <w:smallCaps/>
        </w:rPr>
        <w:t>Board on Population Health and Public Health Practice, Committee on Women’s Health Research, Institute of Medicine, Women’s Health Research:  Progress, Pitfalls, and Promise</w:t>
      </w:r>
      <w:r>
        <w:t xml:space="preserve"> 144 (2010), </w:t>
      </w:r>
      <w:r w:rsidRPr="00EA5573">
        <w:t>http://www.iom.edu/~/media/Files/Report%20Files/2010/Womens-Health-Research-Progress-Pitfalls-and-Promise/Womens%20Health%20Research%202010%20Report%20Brief.pdf</w:t>
      </w:r>
      <w:r>
        <w:t xml:space="preserve"> (“unintended pregnancy is substantially higher among poor women.”).</w:t>
      </w:r>
    </w:p>
  </w:footnote>
  <w:footnote w:id="501">
    <w:p w:rsidR="0053578D" w:rsidRPr="0031297F" w:rsidRDefault="0053578D" w:rsidP="00DE4086">
      <w:pPr>
        <w:pStyle w:val="FootnoteText"/>
        <w:rPr>
          <w:i/>
        </w:rPr>
      </w:pPr>
      <w:r>
        <w:rPr>
          <w:rStyle w:val="FootnoteReference"/>
        </w:rPr>
        <w:footnoteRef/>
      </w:r>
      <w:r>
        <w:t xml:space="preserve"> </w:t>
      </w:r>
      <w:r>
        <w:rPr>
          <w:i/>
        </w:rPr>
        <w:t>See</w:t>
      </w:r>
      <w:r>
        <w:t xml:space="preserve"> discussion of clinics at note 86, </w:t>
      </w:r>
      <w:r>
        <w:rPr>
          <w:i/>
        </w:rPr>
        <w:t>supra.</w:t>
      </w:r>
    </w:p>
  </w:footnote>
  <w:footnote w:id="502">
    <w:p w:rsidR="0053578D" w:rsidRPr="00F43C82" w:rsidRDefault="0053578D">
      <w:pPr>
        <w:pStyle w:val="FootnoteText"/>
        <w:rPr>
          <w:i/>
        </w:rPr>
      </w:pPr>
      <w:r>
        <w:rPr>
          <w:rStyle w:val="FootnoteReference"/>
        </w:rPr>
        <w:footnoteRef/>
      </w:r>
      <w:r>
        <w:t xml:space="preserve"> </w:t>
      </w:r>
      <w:r>
        <w:rPr>
          <w:i/>
        </w:rPr>
        <w:t>Id.</w:t>
      </w:r>
    </w:p>
  </w:footnote>
  <w:footnote w:id="503">
    <w:p w:rsidR="0053578D" w:rsidRPr="004C6F73" w:rsidRDefault="0053578D">
      <w:pPr>
        <w:pStyle w:val="FootnoteText"/>
        <w:rPr>
          <w:i/>
        </w:rPr>
      </w:pPr>
      <w:r>
        <w:rPr>
          <w:rStyle w:val="FootnoteReference"/>
        </w:rPr>
        <w:footnoteRef/>
      </w:r>
      <w:r>
        <w:t xml:space="preserve"> </w:t>
      </w:r>
      <w:r>
        <w:rPr>
          <w:i/>
        </w:rPr>
        <w:t>Id.</w:t>
      </w:r>
    </w:p>
  </w:footnote>
  <w:footnote w:id="504">
    <w:p w:rsidR="0053578D" w:rsidRPr="00943075" w:rsidRDefault="0053578D">
      <w:pPr>
        <w:pStyle w:val="FootnoteText"/>
        <w:rPr>
          <w:smallCaps/>
        </w:rPr>
      </w:pPr>
      <w:r>
        <w:rPr>
          <w:rStyle w:val="FootnoteReference"/>
        </w:rPr>
        <w:footnoteRef/>
      </w:r>
      <w:r>
        <w:t xml:space="preserve"> Single parents in the U.S. work more hours and suffer much higher poverty rates than in other countries.  </w:t>
      </w:r>
      <w:r>
        <w:rPr>
          <w:i/>
        </w:rPr>
        <w:t>See</w:t>
      </w:r>
      <w:r>
        <w:t xml:space="preserve"> Timothy Casey &amp; Laurie Maldonado, </w:t>
      </w:r>
      <w:r>
        <w:rPr>
          <w:i/>
        </w:rPr>
        <w:t xml:space="preserve">Worst Off – Single-Parent Families in the United States, </w:t>
      </w:r>
      <w:r>
        <w:rPr>
          <w:smallCaps/>
        </w:rPr>
        <w:t xml:space="preserve">Legal Momentum (2012), </w:t>
      </w:r>
      <w:r w:rsidRPr="00943075">
        <w:rPr>
          <w:smallCaps/>
        </w:rPr>
        <w:t>http://www.legalmomentum.org/sites/default/files/reports/worst-off-single-parent.pdf</w:t>
      </w:r>
    </w:p>
  </w:footnote>
  <w:footnote w:id="505">
    <w:p w:rsidR="0053578D" w:rsidRDefault="0053578D" w:rsidP="00DE4086">
      <w:pPr>
        <w:pStyle w:val="FootnoteText"/>
      </w:pPr>
      <w:r>
        <w:rPr>
          <w:rStyle w:val="FootnoteReference"/>
        </w:rPr>
        <w:footnoteRef/>
      </w:r>
      <w:r>
        <w:t xml:space="preserve"> </w:t>
      </w:r>
      <w:r>
        <w:rPr>
          <w:i/>
        </w:rPr>
        <w:t>See</w:t>
      </w:r>
      <w:r>
        <w:t xml:space="preserve"> Katherine Alaimo, </w:t>
      </w:r>
      <w:r>
        <w:rPr>
          <w:i/>
        </w:rPr>
        <w:t>Child Hunger in the United States:  An Overview</w:t>
      </w:r>
      <w:r>
        <w:t xml:space="preserve">, in </w:t>
      </w:r>
      <w:r>
        <w:rPr>
          <w:smallCaps/>
        </w:rPr>
        <w:t>Child Poverty in America Today: Health and medical care, Vol. 2</w:t>
      </w:r>
      <w:r>
        <w:t xml:space="preserve"> at 21-22 (2007). </w:t>
      </w:r>
    </w:p>
  </w:footnote>
  <w:footnote w:id="506">
    <w:p w:rsidR="0053578D" w:rsidRPr="00AE2D0E" w:rsidRDefault="0053578D" w:rsidP="00DE4086">
      <w:pPr>
        <w:pStyle w:val="FootnoteText"/>
      </w:pPr>
      <w:r>
        <w:rPr>
          <w:rStyle w:val="FootnoteReference"/>
        </w:rPr>
        <w:footnoteRef/>
      </w:r>
      <w:r>
        <w:t xml:space="preserve"> </w:t>
      </w:r>
      <w:r>
        <w:rPr>
          <w:i/>
        </w:rPr>
        <w:t>Id.</w:t>
      </w:r>
      <w:r>
        <w:t xml:space="preserve"> at 22 (the feeling of food insecurity can create depression.).</w:t>
      </w:r>
    </w:p>
  </w:footnote>
  <w:footnote w:id="507">
    <w:p w:rsidR="0053578D" w:rsidRPr="00AE2D0E" w:rsidRDefault="0053578D" w:rsidP="00DE4086">
      <w:pPr>
        <w:pStyle w:val="FootnoteText"/>
      </w:pPr>
      <w:r>
        <w:rPr>
          <w:rStyle w:val="FootnoteReference"/>
        </w:rPr>
        <w:footnoteRef/>
      </w:r>
      <w:r>
        <w:t xml:space="preserve"> </w:t>
      </w:r>
      <w:r>
        <w:rPr>
          <w:i/>
        </w:rPr>
        <w:t>See, e.g,</w:t>
      </w:r>
      <w:r>
        <w:t xml:space="preserve"> </w:t>
      </w:r>
      <w:r w:rsidRPr="00AE2D0E">
        <w:rPr>
          <w:smallCaps/>
        </w:rPr>
        <w:t>Martha Klett-Davies,</w:t>
      </w:r>
      <w:r>
        <w:t xml:space="preserve"> G</w:t>
      </w:r>
      <w:r>
        <w:rPr>
          <w:smallCaps/>
        </w:rPr>
        <w:t>oing it Alone?  Lone Motherhood in Late Modernity 103 (2008) (</w:t>
      </w:r>
      <w:r>
        <w:t>describing a single mother’s depression then poverty).</w:t>
      </w:r>
    </w:p>
  </w:footnote>
  <w:footnote w:id="508">
    <w:p w:rsidR="0053578D" w:rsidRDefault="0053578D" w:rsidP="00DE4086">
      <w:pPr>
        <w:pStyle w:val="FootnoteText"/>
      </w:pPr>
      <w:r>
        <w:rPr>
          <w:rStyle w:val="FootnoteReference"/>
        </w:rPr>
        <w:footnoteRef/>
      </w:r>
      <w:r>
        <w:rPr>
          <w:i/>
        </w:rPr>
        <w:t>See</w:t>
      </w:r>
      <w:r>
        <w:t xml:space="preserve"> Department of Human Services, </w:t>
      </w:r>
      <w:r>
        <w:rPr>
          <w:i/>
        </w:rPr>
        <w:t>Income Eligibility Chart</w:t>
      </w:r>
      <w:r>
        <w:t xml:space="preserve">, </w:t>
      </w:r>
      <w:r w:rsidRPr="00B87987">
        <w:t>http://www.michigan.gov/dhs/0,4562,7-124-5529_7143-20878--,00.html</w:t>
      </w:r>
      <w:r>
        <w:t xml:space="preserve"> (family size of 1-2 unentitled to DHS assistance if gross monthly income exceeds $1607; size of 3 unentitled if over $1900; cap for 5 is $2367; for 6 Is $2746). </w:t>
      </w:r>
      <w:r>
        <w:rPr>
          <w:i/>
        </w:rPr>
        <w:t xml:space="preserve">See also </w:t>
      </w:r>
      <w:r>
        <w:t xml:space="preserve">Kathy Marks Hoffman, </w:t>
      </w:r>
      <w:r>
        <w:rPr>
          <w:i/>
        </w:rPr>
        <w:t xml:space="preserve">Mich. Governor Signs 48-month Welfare Limit, </w:t>
      </w:r>
      <w:r w:rsidRPr="00F00BFF">
        <w:rPr>
          <w:smallCaps/>
        </w:rPr>
        <w:t xml:space="preserve">Yahoo! News, </w:t>
      </w:r>
      <w:r w:rsidRPr="00F00BFF">
        <w:t xml:space="preserve">Sept. 6, 2011, http://news.yahoo.com/mich-governor-signs-48-month-welfare-limit-231915012.html </w:t>
      </w:r>
      <w:r>
        <w:t>(“</w:t>
      </w:r>
      <w:r w:rsidRPr="00F00BFF">
        <w:t>The change gives Michigan the Midwest's toughest welfare time limit</w:t>
      </w:r>
      <w:r>
        <w:t>. . . .</w:t>
      </w:r>
      <w:r w:rsidRPr="00F00BFF">
        <w:t xml:space="preserve">Gilda Jacobs of the Michigan League for Human Services </w:t>
      </w:r>
      <w:r>
        <w:t xml:space="preserve">[expects] 41,000 to lose their cash assistance, including </w:t>
      </w:r>
      <w:r w:rsidRPr="00F00BFF">
        <w:t>29,700 children.</w:t>
      </w:r>
      <w:r>
        <w:t>”).</w:t>
      </w:r>
    </w:p>
    <w:p w:rsidR="0053578D" w:rsidRPr="000D561A" w:rsidRDefault="0053578D" w:rsidP="00DE4086">
      <w:pPr>
        <w:pStyle w:val="FootnoteText"/>
      </w:pPr>
      <w:r>
        <w:t xml:space="preserve">   The Michigan legislature also created a pilot program requiring welfare recipients suspected of drug use to submit to drug testing.  Kary Moss, the ACLU Michigan Executive Director said “these kinds of programs may . . . throw families who are already in extreme distress and poverty into even worse shape.”  Kate Abbey-Lambertz, </w:t>
      </w:r>
      <w:r>
        <w:rPr>
          <w:i/>
        </w:rPr>
        <w:t xml:space="preserve">Michigan’s Welfare Drug-Testing Program Will Ultimately Harm Kids, Critics Say, </w:t>
      </w:r>
      <w:r>
        <w:rPr>
          <w:i/>
          <w:smallCaps/>
        </w:rPr>
        <w:t xml:space="preserve">The Huffington Post, </w:t>
      </w:r>
      <w:r w:rsidRPr="000D561A">
        <w:t>December 29, 2014, http://www.huffingtonpost.com/2014/12/29/michigan-welfare-drug-testing_n_6391894.html</w:t>
      </w:r>
    </w:p>
  </w:footnote>
  <w:footnote w:id="509">
    <w:p w:rsidR="0053578D" w:rsidRPr="006A327E" w:rsidRDefault="0053578D" w:rsidP="00DE4086">
      <w:pPr>
        <w:pStyle w:val="FootnoteText"/>
        <w:rPr>
          <w:smallCaps/>
        </w:rPr>
      </w:pPr>
      <w:r>
        <w:rPr>
          <w:rStyle w:val="FootnoteReference"/>
        </w:rPr>
        <w:t>509</w:t>
      </w:r>
      <w:r>
        <w:rPr>
          <w:i/>
        </w:rPr>
        <w:t xml:space="preserve"> See </w:t>
      </w:r>
      <w:r>
        <w:t xml:space="preserve">note 309, </w:t>
      </w:r>
      <w:r>
        <w:rPr>
          <w:i/>
        </w:rPr>
        <w:t>supra</w:t>
      </w:r>
      <w:r>
        <w:rPr>
          <w:smallCaps/>
        </w:rPr>
        <w:t>.</w:t>
      </w:r>
    </w:p>
  </w:footnote>
  <w:footnote w:id="510">
    <w:p w:rsidR="0053578D" w:rsidRPr="009561C9" w:rsidRDefault="0053578D" w:rsidP="0031297F">
      <w:pPr>
        <w:pStyle w:val="FootnoteText"/>
        <w:rPr>
          <w:i/>
        </w:rPr>
      </w:pPr>
      <w:r>
        <w:rPr>
          <w:rStyle w:val="FootnoteReference"/>
        </w:rPr>
        <w:footnoteRef/>
      </w:r>
      <w:r>
        <w:t xml:space="preserve"> Intersectionality and multidimensionality address race, class, and other identity features. </w:t>
      </w:r>
      <w:r>
        <w:rPr>
          <w:i/>
        </w:rPr>
        <w:t xml:space="preserve">See, e.g., </w:t>
      </w:r>
      <w:r w:rsidRPr="0031297F">
        <w:t xml:space="preserve">Kimberle Crenshaw, </w:t>
      </w:r>
      <w:r>
        <w:rPr>
          <w:i/>
        </w:rPr>
        <w:t xml:space="preserve">Mapping the Margins: Intersectionality, Identity Politics, </w:t>
      </w:r>
      <w:r w:rsidRPr="0031297F">
        <w:rPr>
          <w:i/>
        </w:rPr>
        <w:t>and Violence Against Women of Color,</w:t>
      </w:r>
      <w:r w:rsidRPr="0031297F">
        <w:t xml:space="preserve"> 43 </w:t>
      </w:r>
      <w:r w:rsidRPr="0031297F">
        <w:rPr>
          <w:smallCaps/>
        </w:rPr>
        <w:t>Stan. L. Rev</w:t>
      </w:r>
      <w:r>
        <w:t xml:space="preserve">. 1241 </w:t>
      </w:r>
      <w:r w:rsidRPr="0031297F">
        <w:t>(1991);</w:t>
      </w:r>
      <w:r>
        <w:t xml:space="preserve"> Darren Lenard Hutchinson, </w:t>
      </w:r>
      <w:r w:rsidRPr="0031297F">
        <w:rPr>
          <w:i/>
        </w:rPr>
        <w:t>Critical Race Histories: In and Out,</w:t>
      </w:r>
      <w:r>
        <w:t xml:space="preserve"> 53 AM. U. L. REV. 1187, 1199 (2004)</w:t>
      </w:r>
      <w:r>
        <w:tab/>
        <w:t xml:space="preserve"> (“multidimensionality . . . [is] a natural progression of intersectionality.”)</w:t>
      </w:r>
    </w:p>
  </w:footnote>
  <w:footnote w:id="511">
    <w:p w:rsidR="0053578D" w:rsidRDefault="0053578D">
      <w:pPr>
        <w:pStyle w:val="FootnoteText"/>
      </w:pPr>
      <w:r>
        <w:rPr>
          <w:rStyle w:val="FootnoteReference"/>
        </w:rPr>
        <w:footnoteRef/>
      </w:r>
      <w:r>
        <w:t xml:space="preserve"> Nick Ray, </w:t>
      </w:r>
      <w:r w:rsidRPr="001376B8">
        <w:rPr>
          <w:i/>
        </w:rPr>
        <w:t>Lesbian, Gay</w:t>
      </w:r>
      <w:r>
        <w:rPr>
          <w:i/>
        </w:rPr>
        <w:t>, Bisexual and Transgender Youth</w:t>
      </w:r>
      <w:r w:rsidRPr="001376B8">
        <w:rPr>
          <w:i/>
        </w:rPr>
        <w:t xml:space="preserve"> An Epidemic of Homelessness,</w:t>
      </w:r>
      <w:r>
        <w:t xml:space="preserve"> In </w:t>
      </w:r>
      <w:r>
        <w:rPr>
          <w:smallCaps/>
        </w:rPr>
        <w:t>Kicked Out</w:t>
      </w:r>
      <w:r>
        <w:t xml:space="preserve"> 181 (2010) (“there is a consensus that LGBT youth represent a significant proportion of the homeless youth population.”). </w:t>
      </w:r>
      <w:r w:rsidRPr="00F821C8">
        <w:t>http://books.google.com/books?id=lfa08gAPqYQC&amp;pg=PA183&amp;dq=gay+teens+homeless&amp;hl=en&amp;sa=X&amp;ei=5wCCVMzMO4TfoAT4voC4AQ&amp;ved=0CC0Q6AEwAA#v=onepage&amp;q=gay%20teens%20homeless&amp;f=false</w:t>
      </w:r>
    </w:p>
  </w:footnote>
  <w:footnote w:id="512">
    <w:p w:rsidR="0053578D" w:rsidRPr="00997817" w:rsidRDefault="0053578D">
      <w:pPr>
        <w:pStyle w:val="FootnoteText"/>
        <w:rPr>
          <w:i/>
        </w:rPr>
      </w:pPr>
      <w:r>
        <w:rPr>
          <w:rStyle w:val="FootnoteReference"/>
        </w:rPr>
        <w:footnoteRef/>
      </w:r>
      <w:r>
        <w:t xml:space="preserve"> </w:t>
      </w:r>
      <w:r>
        <w:rPr>
          <w:i/>
        </w:rPr>
        <w:t>See</w:t>
      </w:r>
      <w:r>
        <w:t xml:space="preserve"> note 90, </w:t>
      </w:r>
      <w:r>
        <w:rPr>
          <w:i/>
        </w:rPr>
        <w:t>supra.</w:t>
      </w:r>
    </w:p>
  </w:footnote>
  <w:footnote w:id="513">
    <w:p w:rsidR="0053578D" w:rsidRDefault="0053578D">
      <w:pPr>
        <w:pStyle w:val="FootnoteText"/>
      </w:pPr>
      <w:r>
        <w:rPr>
          <w:rStyle w:val="FootnoteReference"/>
        </w:rPr>
        <w:footnoteRef/>
      </w:r>
      <w:r>
        <w:t xml:space="preserve"> </w:t>
      </w:r>
      <w:r>
        <w:rPr>
          <w:i/>
        </w:rPr>
        <w:t>See</w:t>
      </w:r>
      <w:r>
        <w:t xml:space="preserve"> text accompanying note 301, </w:t>
      </w:r>
      <w:r>
        <w:rPr>
          <w:i/>
        </w:rPr>
        <w:t>supra.</w:t>
      </w:r>
      <w:r>
        <w:t xml:space="preserve"> </w:t>
      </w:r>
    </w:p>
  </w:footnote>
  <w:footnote w:id="514">
    <w:p w:rsidR="0053578D" w:rsidRPr="00997817" w:rsidRDefault="0053578D">
      <w:pPr>
        <w:pStyle w:val="FootnoteText"/>
        <w:rPr>
          <w:i/>
        </w:rPr>
      </w:pPr>
      <w:r>
        <w:rPr>
          <w:rStyle w:val="FootnoteReference"/>
        </w:rPr>
        <w:footnoteRef/>
      </w:r>
      <w:r>
        <w:t xml:space="preserve"> </w:t>
      </w:r>
      <w:r>
        <w:rPr>
          <w:i/>
        </w:rPr>
        <w:t>See</w:t>
      </w:r>
      <w:r>
        <w:t xml:space="preserve"> text accompanying notes 115-121, </w:t>
      </w:r>
      <w:r>
        <w:rPr>
          <w:i/>
        </w:rPr>
        <w:t>supra.</w:t>
      </w:r>
    </w:p>
  </w:footnote>
  <w:footnote w:id="515">
    <w:p w:rsidR="0053578D" w:rsidRPr="00997817" w:rsidRDefault="0053578D">
      <w:pPr>
        <w:pStyle w:val="FootnoteText"/>
        <w:rPr>
          <w:i/>
        </w:rPr>
      </w:pPr>
      <w:r>
        <w:rPr>
          <w:rStyle w:val="FootnoteReference"/>
        </w:rPr>
        <w:footnoteRef/>
      </w:r>
      <w:r>
        <w:t xml:space="preserve"> </w:t>
      </w:r>
      <w:r>
        <w:rPr>
          <w:i/>
        </w:rPr>
        <w:t>See</w:t>
      </w:r>
      <w:r>
        <w:t xml:space="preserve"> text above note 302, </w:t>
      </w:r>
      <w:r>
        <w:rPr>
          <w:i/>
        </w:rPr>
        <w:t>supra.</w:t>
      </w:r>
    </w:p>
  </w:footnote>
  <w:footnote w:id="516">
    <w:p w:rsidR="0053578D" w:rsidRPr="00997817" w:rsidRDefault="0053578D">
      <w:pPr>
        <w:pStyle w:val="FootnoteText"/>
        <w:rPr>
          <w:i/>
        </w:rPr>
      </w:pPr>
      <w:r>
        <w:rPr>
          <w:rStyle w:val="FootnoteReference"/>
        </w:rPr>
        <w:footnoteRef/>
      </w:r>
      <w:r>
        <w:t xml:space="preserve"> </w:t>
      </w:r>
      <w:r>
        <w:rPr>
          <w:i/>
        </w:rPr>
        <w:t>See</w:t>
      </w:r>
      <w:r>
        <w:t xml:space="preserve"> text accompanying notes 303-305, </w:t>
      </w:r>
      <w:r>
        <w:rPr>
          <w:i/>
        </w:rPr>
        <w:t>supra.</w:t>
      </w:r>
    </w:p>
  </w:footnote>
  <w:footnote w:id="517">
    <w:p w:rsidR="0053578D" w:rsidRPr="001705E0" w:rsidRDefault="0053578D" w:rsidP="00F17D4F">
      <w:pPr>
        <w:pStyle w:val="FootnoteText"/>
      </w:pPr>
      <w:r>
        <w:rPr>
          <w:rStyle w:val="FootnoteReference"/>
        </w:rPr>
        <w:footnoteRef/>
      </w:r>
      <w:r>
        <w:t xml:space="preserve"> </w:t>
      </w:r>
      <w:r>
        <w:rPr>
          <w:i/>
        </w:rPr>
        <w:t>Cf.</w:t>
      </w:r>
      <w:r>
        <w:t xml:space="preserve"> Andre Damon, note 308, </w:t>
      </w:r>
      <w:r>
        <w:rPr>
          <w:i/>
        </w:rPr>
        <w:t xml:space="preserve">supra. </w:t>
      </w:r>
    </w:p>
  </w:footnote>
  <w:footnote w:id="518">
    <w:p w:rsidR="0053578D" w:rsidRPr="00997817" w:rsidRDefault="0053578D">
      <w:pPr>
        <w:pStyle w:val="FootnoteText"/>
        <w:rPr>
          <w:i/>
        </w:rPr>
      </w:pPr>
      <w:r>
        <w:rPr>
          <w:rStyle w:val="FootnoteReference"/>
        </w:rPr>
        <w:footnoteRef/>
      </w:r>
      <w:r>
        <w:t xml:space="preserve"> </w:t>
      </w:r>
      <w:r>
        <w:rPr>
          <w:i/>
        </w:rPr>
        <w:t>See</w:t>
      </w:r>
      <w:r>
        <w:t xml:space="preserve"> text accompanying note 41, </w:t>
      </w:r>
      <w:r>
        <w:rPr>
          <w:i/>
        </w:rPr>
        <w:t>supra.</w:t>
      </w:r>
    </w:p>
  </w:footnote>
  <w:footnote w:id="519">
    <w:p w:rsidR="0053578D" w:rsidRDefault="0053578D">
      <w:pPr>
        <w:pStyle w:val="FootnoteText"/>
      </w:pPr>
      <w:r>
        <w:rPr>
          <w:rStyle w:val="FootnoteReference"/>
        </w:rPr>
        <w:footnoteRef/>
      </w:r>
      <w:r>
        <w:t xml:space="preserve"> S</w:t>
      </w:r>
      <w:r>
        <w:rPr>
          <w:smallCaps/>
        </w:rPr>
        <w:t>trategic Framework Plan</w:t>
      </w:r>
      <w:r>
        <w:t xml:space="preserve"> at 10 (mentioning that Detroiters deserve food.)</w:t>
      </w:r>
    </w:p>
  </w:footnote>
  <w:footnote w:id="520">
    <w:p w:rsidR="0053578D" w:rsidRDefault="0053578D">
      <w:pPr>
        <w:pStyle w:val="FootnoteText"/>
      </w:pPr>
      <w:r>
        <w:rPr>
          <w:rStyle w:val="FootnoteReference"/>
        </w:rPr>
        <w:footnoteRef/>
      </w:r>
      <w:r>
        <w:t xml:space="preserve"> </w:t>
      </w:r>
      <w:r>
        <w:rPr>
          <w:i/>
        </w:rPr>
        <w:t>Id.</w:t>
      </w:r>
      <w:r>
        <w:t xml:space="preserve"> (Detroit needs better educated youths and adults).</w:t>
      </w:r>
    </w:p>
  </w:footnote>
  <w:footnote w:id="521">
    <w:p w:rsidR="0053578D" w:rsidRPr="00B65937" w:rsidRDefault="0053578D" w:rsidP="00876A4E">
      <w:pPr>
        <w:pStyle w:val="FootnoteText"/>
        <w:rPr>
          <w:i/>
        </w:rPr>
      </w:pPr>
      <w:r>
        <w:rPr>
          <w:rStyle w:val="FootnoteReference"/>
        </w:rPr>
        <w:footnoteRef/>
      </w:r>
      <w:r>
        <w:t xml:space="preserve"> </w:t>
      </w:r>
      <w:r>
        <w:rPr>
          <w:i/>
        </w:rPr>
        <w:t>See</w:t>
      </w:r>
      <w:r>
        <w:t xml:space="preserve"> beginning of Section VII, </w:t>
      </w:r>
      <w:r>
        <w:rPr>
          <w:i/>
        </w:rPr>
        <w:t>supra.</w:t>
      </w:r>
    </w:p>
  </w:footnote>
  <w:footnote w:id="522">
    <w:p w:rsidR="0053578D" w:rsidRPr="00B65937" w:rsidRDefault="0053578D">
      <w:pPr>
        <w:pStyle w:val="FootnoteText"/>
      </w:pPr>
      <w:r>
        <w:rPr>
          <w:rStyle w:val="FootnoteReference"/>
        </w:rPr>
        <w:footnoteRef/>
      </w:r>
      <w:r>
        <w:t xml:space="preserve"> </w:t>
      </w:r>
      <w:r>
        <w:rPr>
          <w:i/>
        </w:rPr>
        <w:t>See</w:t>
      </w:r>
      <w:r>
        <w:t xml:space="preserve"> text after note 300, </w:t>
      </w:r>
      <w:r>
        <w:rPr>
          <w:i/>
        </w:rPr>
        <w:t xml:space="preserve">supra </w:t>
      </w:r>
      <w:r>
        <w:t>(“come on”).</w:t>
      </w:r>
    </w:p>
  </w:footnote>
  <w:footnote w:id="523">
    <w:p w:rsidR="0053578D" w:rsidRPr="00774850" w:rsidRDefault="0053578D">
      <w:pPr>
        <w:pStyle w:val="FootnoteText"/>
        <w:rPr>
          <w:i/>
        </w:rPr>
      </w:pPr>
      <w:r>
        <w:rPr>
          <w:rStyle w:val="FootnoteReference"/>
        </w:rPr>
        <w:footnoteRef/>
      </w:r>
      <w:r>
        <w:t xml:space="preserve"> </w:t>
      </w:r>
      <w:r>
        <w:rPr>
          <w:i/>
        </w:rPr>
        <w:t xml:space="preserve">See </w:t>
      </w:r>
      <w:r>
        <w:t xml:space="preserve">text accompanying note 467, </w:t>
      </w:r>
      <w:r>
        <w:rPr>
          <w:i/>
        </w:rPr>
        <w:t>supra.</w:t>
      </w:r>
    </w:p>
  </w:footnote>
  <w:footnote w:id="524">
    <w:p w:rsidR="0053578D" w:rsidRPr="00CE77B1" w:rsidRDefault="0053578D">
      <w:pPr>
        <w:pStyle w:val="FootnoteText"/>
        <w:rPr>
          <w:i/>
        </w:rPr>
      </w:pPr>
      <w:r>
        <w:rPr>
          <w:rStyle w:val="FootnoteReference"/>
        </w:rPr>
        <w:footnoteRef/>
      </w:r>
      <w:r>
        <w:t xml:space="preserve"> </w:t>
      </w:r>
      <w:r>
        <w:rPr>
          <w:i/>
        </w:rPr>
        <w:t>See</w:t>
      </w:r>
      <w:r>
        <w:t xml:space="preserve"> text accompanying note 468, </w:t>
      </w:r>
      <w:r>
        <w:rPr>
          <w:i/>
        </w:rPr>
        <w:t>supra.</w:t>
      </w:r>
    </w:p>
  </w:footnote>
  <w:footnote w:id="525">
    <w:p w:rsidR="0053578D" w:rsidRPr="00F33CC7" w:rsidRDefault="0053578D">
      <w:pPr>
        <w:pStyle w:val="FootnoteText"/>
      </w:pPr>
      <w:r>
        <w:rPr>
          <w:rStyle w:val="FootnoteReference"/>
        </w:rPr>
        <w:footnoteRef/>
      </w:r>
      <w:r>
        <w:t xml:space="preserve"> Robert J. Sampson &amp; Jeffrey D. Morenoff, </w:t>
      </w:r>
      <w:r>
        <w:rPr>
          <w:i/>
        </w:rPr>
        <w:t xml:space="preserve">Durable Inequality:  Spatial Dynamics, Social Processes, and the Persistence of Poverty in Chicago Neighborhoods, </w:t>
      </w:r>
      <w:r w:rsidRPr="00F33CC7">
        <w:t xml:space="preserve">in </w:t>
      </w:r>
      <w:r w:rsidRPr="00F33CC7">
        <w:rPr>
          <w:smallCaps/>
        </w:rPr>
        <w:t>Poverty Traps</w:t>
      </w:r>
      <w:r w:rsidRPr="00F33CC7">
        <w:t xml:space="preserve"> [yxta page number] (</w:t>
      </w:r>
      <w:r>
        <w:t>2011</w:t>
      </w:r>
      <w:r w:rsidRPr="00F33CC7">
        <w:t>)</w:t>
      </w:r>
      <w:r>
        <w:rPr>
          <w:i/>
        </w:rPr>
        <w:t xml:space="preserve"> </w:t>
      </w:r>
      <w:r>
        <w:t>(</w:t>
      </w:r>
      <w:r w:rsidRPr="00F33CC7">
        <w:t xml:space="preserve">in Chicago “economic stratification by race and residence </w:t>
      </w:r>
      <w:r>
        <w:t>. . . [concentrates]</w:t>
      </w:r>
      <w:r w:rsidRPr="00F33CC7">
        <w:t xml:space="preserve"> disadvantage, intensifying the social isolation of low-income, minority, and single-parent residents from resources that could support collective social control.</w:t>
      </w:r>
      <w:r>
        <w:t>”</w:t>
      </w:r>
      <w:r w:rsidRPr="00F33CC7">
        <w:t>).</w:t>
      </w:r>
      <w:r>
        <w:t xml:space="preserve"> Book here:  </w:t>
      </w:r>
      <w:r w:rsidRPr="00F33CC7">
        <w:t>http://books.google.com/books?id=d3QU-hYo4GoC&amp;pg=PT2&amp;lpg=PT2&amp;dq=poverty+traps+2006+samuel&amp;source=bl&amp;ots=OgbQHMmrhE&amp;sig=Eams00G93qrzx8wRHBMRZ8NdJxs&amp;hl=en&amp;sa=X&amp;ei=W-mAVOclgrKiBM3HgcAB&amp;ved=0CEIQ6AEwBA#v=onepage&amp;q=isolation&amp;f=false</w:t>
      </w:r>
    </w:p>
  </w:footnote>
  <w:footnote w:id="526">
    <w:p w:rsidR="0053578D" w:rsidRPr="00CE77B1" w:rsidRDefault="0053578D">
      <w:pPr>
        <w:pStyle w:val="FootnoteText"/>
        <w:rPr>
          <w:i/>
        </w:rPr>
      </w:pPr>
      <w:r>
        <w:rPr>
          <w:rStyle w:val="FootnoteReference"/>
        </w:rPr>
        <w:footnoteRef/>
      </w:r>
      <w:r>
        <w:t xml:space="preserve"> </w:t>
      </w:r>
      <w:r>
        <w:rPr>
          <w:i/>
        </w:rPr>
        <w:t>See</w:t>
      </w:r>
      <w:r>
        <w:t xml:space="preserve"> text accompanying note 485, </w:t>
      </w:r>
      <w:r>
        <w:rPr>
          <w:i/>
        </w:rPr>
        <w:t>supra.</w:t>
      </w:r>
    </w:p>
  </w:footnote>
  <w:footnote w:id="527">
    <w:p w:rsidR="0053578D" w:rsidRPr="00D432A0" w:rsidRDefault="0053578D">
      <w:pPr>
        <w:pStyle w:val="FootnoteText"/>
      </w:pPr>
      <w:r>
        <w:rPr>
          <w:rStyle w:val="FootnoteReference"/>
        </w:rPr>
        <w:footnoteRef/>
      </w:r>
      <w:r>
        <w:t xml:space="preserve"> </w:t>
      </w:r>
      <w:r>
        <w:rPr>
          <w:i/>
        </w:rPr>
        <w:t>See</w:t>
      </w:r>
      <w:r>
        <w:t xml:space="preserve"> </w:t>
      </w:r>
      <w:r>
        <w:rPr>
          <w:i/>
        </w:rPr>
        <w:t xml:space="preserve">Detroit getting $50 million to fight blight, </w:t>
      </w:r>
      <w:r w:rsidRPr="00EA5573">
        <w:rPr>
          <w:smallCaps/>
        </w:rPr>
        <w:t>The Detroit News,</w:t>
      </w:r>
      <w:r>
        <w:t xml:space="preserve"> Dec. 16, 2014, </w:t>
      </w:r>
      <w:hyperlink r:id="rId72" w:history="1">
        <w:r w:rsidRPr="00F922C8">
          <w:rPr>
            <w:rStyle w:val="Hyperlink"/>
          </w:rPr>
          <w:t>http://www.detroitnews.com/story/news/local/michigan/2014/12/16/michigan-detroit-blight-funding/20479333/</w:t>
        </w:r>
      </w:hyperlink>
      <w:r>
        <w:t xml:space="preserve"> (not author?) (“The effort is being funded under the U.S. Department of Treasury’s Hardest Hit Fund program” initially designed for the foreclosure crisis.)</w:t>
      </w:r>
    </w:p>
  </w:footnote>
  <w:footnote w:id="528">
    <w:p w:rsidR="0053578D" w:rsidRDefault="0053578D">
      <w:pPr>
        <w:pStyle w:val="FootnoteText"/>
      </w:pPr>
      <w:r>
        <w:rPr>
          <w:rStyle w:val="FootnoteReference"/>
        </w:rPr>
        <w:footnoteRef/>
      </w:r>
      <w:r>
        <w:t xml:space="preserve"> John Eligon, </w:t>
      </w:r>
      <w:r>
        <w:rPr>
          <w:i/>
        </w:rPr>
        <w:t xml:space="preserve">Good Intentions of Detroit Residents Are Tested by </w:t>
      </w:r>
      <w:r w:rsidRPr="00D432A0">
        <w:t>Blight</w:t>
      </w:r>
      <w:r>
        <w:t>, NYT, Dec. 12, 2014,</w:t>
      </w:r>
      <w:r w:rsidRPr="00D432A0">
        <w:t xml:space="preserve"> http://www.nytimes.com/2014/12/13/us/good-intentions-of-detroit-residents-are-</w:t>
      </w:r>
      <w:r>
        <w:t>tested-by-blight.html?ribbon-ad</w:t>
      </w:r>
      <w:r w:rsidRPr="00D432A0">
        <w:t>idx=4&amp;rref=us&amp;module=Ribbon&amp;version=context&amp;region=Header&amp;action=click&amp;contentCollection=U.S.&amp;pgtype=article</w:t>
      </w:r>
      <w:r>
        <w:t xml:space="preserve"> (“</w:t>
      </w:r>
      <w:r w:rsidRPr="00D432A0">
        <w:t>The bankruptcy resolution set aside $440 million for removing blight in the coming years, yet a task force report said that cleaning up the city would cost as much as $850 million, and as much as $1 billion more to remedy industrial blight.</w:t>
      </w:r>
      <w:r>
        <w:t>”).</w:t>
      </w:r>
    </w:p>
  </w:footnote>
  <w:footnote w:id="529">
    <w:p w:rsidR="0053578D" w:rsidRPr="00D432A0" w:rsidRDefault="0053578D">
      <w:pPr>
        <w:pStyle w:val="FootnoteText"/>
        <w:rPr>
          <w:i/>
        </w:rPr>
      </w:pPr>
      <w:r>
        <w:rPr>
          <w:rStyle w:val="FootnoteReference"/>
        </w:rPr>
        <w:footnoteRef/>
      </w:r>
      <w:r>
        <w:t xml:space="preserve"> </w:t>
      </w:r>
      <w:r>
        <w:rPr>
          <w:i/>
        </w:rPr>
        <w:t>Id.</w:t>
      </w:r>
    </w:p>
  </w:footnote>
  <w:footnote w:id="530">
    <w:p w:rsidR="0053578D" w:rsidRPr="00A3610D" w:rsidRDefault="0053578D">
      <w:pPr>
        <w:pStyle w:val="FootnoteText"/>
      </w:pPr>
      <w:r>
        <w:rPr>
          <w:rStyle w:val="FootnoteReference"/>
        </w:rPr>
        <w:footnoteRef/>
      </w:r>
      <w:r>
        <w:t xml:space="preserve"> Regarding taxes, growth, and poverty alleviation, </w:t>
      </w:r>
      <w:r>
        <w:rPr>
          <w:i/>
        </w:rPr>
        <w:t xml:space="preserve">see, e.g, </w:t>
      </w:r>
      <w:r>
        <w:t xml:space="preserve">Eduardo Porter, </w:t>
      </w:r>
      <w:r>
        <w:rPr>
          <w:i/>
        </w:rPr>
        <w:t xml:space="preserve">Blessings of Low Taxes Remain Unproved, </w:t>
      </w:r>
      <w:r>
        <w:t>NYT, Mar. 12, 2013,</w:t>
      </w:r>
      <w:r w:rsidRPr="00A3610D">
        <w:t xml:space="preserve"> http://www.nytimes.com/2013/03/13/business/effectiveness-of-tax-cuts-on-lifting-the-economy-is-unproved.html?pagewanted=all</w:t>
      </w:r>
      <w:r>
        <w:t xml:space="preserve"> </w:t>
      </w:r>
      <w:r w:rsidRPr="00A3610D">
        <w:t>(“The proposition that low tax rates produce higher economic growth has been a central plank of the Republican platform.”)</w:t>
      </w:r>
      <w:r>
        <w:t xml:space="preserve">; Joseph E. Stiglitz, </w:t>
      </w:r>
      <w:r>
        <w:rPr>
          <w:i/>
        </w:rPr>
        <w:t xml:space="preserve"> Tax System Stacked Ageist the 99 Percent</w:t>
      </w:r>
      <w:r>
        <w:t>, NYT, Apr. 14, 2013,</w:t>
      </w:r>
      <w:r w:rsidRPr="00A3610D">
        <w:t xml:space="preserve"> http://opinionator.blogs.nytimes.com/2013/04/14/a-tax-system-stacked-against-the-99-percent/</w:t>
      </w:r>
      <w:r>
        <w:t xml:space="preserve"> (“</w:t>
      </w:r>
      <w:r w:rsidRPr="00A3610D">
        <w:t xml:space="preserve">The United States stands out </w:t>
      </w:r>
      <w:r>
        <w:t xml:space="preserve"> . . .</w:t>
      </w:r>
      <w:r w:rsidRPr="00A3610D">
        <w:t xml:space="preserve"> for its low top marginal income tax rate.</w:t>
      </w:r>
      <w:r>
        <w:t xml:space="preserve">”); Richard Posner, </w:t>
      </w:r>
      <w:r>
        <w:rPr>
          <w:i/>
        </w:rPr>
        <w:t xml:space="preserve">Does Redistributing Income from Rich to Poor Increase or Reduce Economic Growth or Welfare, </w:t>
      </w:r>
      <w:r w:rsidRPr="00A3610D">
        <w:t>The Becker-Posner Blog, Dec. 29, 2013, http://www.becker-posner-blog.com/2013/12/does-redistributing-income-from-rich-to-poor-increase-or-reduce-economic-growth-or-welfare-posner.html</w:t>
      </w:r>
      <w:r>
        <w:rPr>
          <w:i/>
        </w:rPr>
        <w:t xml:space="preserve"> </w:t>
      </w:r>
      <w:r>
        <w:t>(“</w:t>
      </w:r>
      <w:r w:rsidRPr="00A3610D">
        <w:t>The United States spends heavily on redistributing income by taxing the affluent</w:t>
      </w:r>
      <w:r>
        <w:t xml:space="preserve">. . . . </w:t>
      </w:r>
      <w:r w:rsidRPr="00A3610D">
        <w:t xml:space="preserve"> The aggregate annual amount of redistributive transfers is in the trillions of dollars.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973364"/>
      <w:docPartObj>
        <w:docPartGallery w:val="Page Numbers (Top of Page)"/>
        <w:docPartUnique/>
      </w:docPartObj>
    </w:sdtPr>
    <w:sdtEndPr>
      <w:rPr>
        <w:noProof/>
      </w:rPr>
    </w:sdtEndPr>
    <w:sdtContent>
      <w:p w:rsidR="0053578D" w:rsidRDefault="0053578D">
        <w:pPr>
          <w:pStyle w:val="Header"/>
          <w:jc w:val="right"/>
        </w:pPr>
        <w:r>
          <w:fldChar w:fldCharType="begin"/>
        </w:r>
        <w:r>
          <w:instrText xml:space="preserve"> PAGE   \* MERGEFORMAT </w:instrText>
        </w:r>
        <w:r>
          <w:fldChar w:fldCharType="separate"/>
        </w:r>
        <w:r w:rsidR="0011664C">
          <w:rPr>
            <w:noProof/>
          </w:rPr>
          <w:t>5</w:t>
        </w:r>
        <w:r>
          <w:rPr>
            <w:noProof/>
          </w:rPr>
          <w:fldChar w:fldCharType="end"/>
        </w:r>
      </w:p>
    </w:sdtContent>
  </w:sdt>
  <w:p w:rsidR="0053578D" w:rsidRDefault="00535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E08C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10407"/>
    <w:multiLevelType w:val="hybridMultilevel"/>
    <w:tmpl w:val="2132E8F6"/>
    <w:lvl w:ilvl="0" w:tplc="A53C66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875D2"/>
    <w:multiLevelType w:val="hybridMultilevel"/>
    <w:tmpl w:val="3D6CC130"/>
    <w:lvl w:ilvl="0" w:tplc="568246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3D10B4"/>
    <w:multiLevelType w:val="hybridMultilevel"/>
    <w:tmpl w:val="B57025A0"/>
    <w:lvl w:ilvl="0" w:tplc="879A81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10499"/>
    <w:multiLevelType w:val="hybridMultilevel"/>
    <w:tmpl w:val="824E6166"/>
    <w:lvl w:ilvl="0" w:tplc="1318F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D843FD"/>
    <w:multiLevelType w:val="hybridMultilevel"/>
    <w:tmpl w:val="052A5F48"/>
    <w:lvl w:ilvl="0" w:tplc="858E410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7766A"/>
    <w:multiLevelType w:val="hybridMultilevel"/>
    <w:tmpl w:val="8722A480"/>
    <w:lvl w:ilvl="0" w:tplc="4240E44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093751"/>
    <w:multiLevelType w:val="hybridMultilevel"/>
    <w:tmpl w:val="32D0C3C2"/>
    <w:lvl w:ilvl="0" w:tplc="0220D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B961E7"/>
    <w:multiLevelType w:val="hybridMultilevel"/>
    <w:tmpl w:val="045464B0"/>
    <w:lvl w:ilvl="0" w:tplc="A486430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924B5"/>
    <w:multiLevelType w:val="hybridMultilevel"/>
    <w:tmpl w:val="C512DB82"/>
    <w:lvl w:ilvl="0" w:tplc="564C10E4">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5C5C25"/>
    <w:multiLevelType w:val="hybridMultilevel"/>
    <w:tmpl w:val="45E2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143B7"/>
    <w:multiLevelType w:val="hybridMultilevel"/>
    <w:tmpl w:val="8BC6B754"/>
    <w:lvl w:ilvl="0" w:tplc="888CC6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F701E5"/>
    <w:multiLevelType w:val="hybridMultilevel"/>
    <w:tmpl w:val="35767F94"/>
    <w:lvl w:ilvl="0" w:tplc="D22A4E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2244D9"/>
    <w:multiLevelType w:val="hybridMultilevel"/>
    <w:tmpl w:val="A52E5C4C"/>
    <w:lvl w:ilvl="0" w:tplc="2A488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D35FCC"/>
    <w:multiLevelType w:val="hybridMultilevel"/>
    <w:tmpl w:val="AE325A68"/>
    <w:lvl w:ilvl="0" w:tplc="6E1821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61644E"/>
    <w:multiLevelType w:val="hybridMultilevel"/>
    <w:tmpl w:val="43E88A4A"/>
    <w:lvl w:ilvl="0" w:tplc="950A0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E47A01"/>
    <w:multiLevelType w:val="hybridMultilevel"/>
    <w:tmpl w:val="4894DDCE"/>
    <w:lvl w:ilvl="0" w:tplc="04406272">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BD0802"/>
    <w:multiLevelType w:val="hybridMultilevel"/>
    <w:tmpl w:val="1292E98C"/>
    <w:lvl w:ilvl="0" w:tplc="7DB88D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F3791A"/>
    <w:multiLevelType w:val="hybridMultilevel"/>
    <w:tmpl w:val="8DB6E98C"/>
    <w:lvl w:ilvl="0" w:tplc="23CE10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5C32ED"/>
    <w:multiLevelType w:val="hybridMultilevel"/>
    <w:tmpl w:val="E5522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35FBC"/>
    <w:multiLevelType w:val="hybridMultilevel"/>
    <w:tmpl w:val="7A767E5A"/>
    <w:lvl w:ilvl="0" w:tplc="A7FE621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E36F68"/>
    <w:multiLevelType w:val="hybridMultilevel"/>
    <w:tmpl w:val="3490F1AA"/>
    <w:lvl w:ilvl="0" w:tplc="E1785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8128EF"/>
    <w:multiLevelType w:val="hybridMultilevel"/>
    <w:tmpl w:val="44500E96"/>
    <w:lvl w:ilvl="0" w:tplc="6BF06C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ABE5761"/>
    <w:multiLevelType w:val="hybridMultilevel"/>
    <w:tmpl w:val="C4AEE3AE"/>
    <w:lvl w:ilvl="0" w:tplc="CDF0E6CC">
      <w:start w:val="3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82A33"/>
    <w:multiLevelType w:val="hybridMultilevel"/>
    <w:tmpl w:val="3948C676"/>
    <w:lvl w:ilvl="0" w:tplc="BA249A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A35D57"/>
    <w:multiLevelType w:val="hybridMultilevel"/>
    <w:tmpl w:val="D0D884F8"/>
    <w:lvl w:ilvl="0" w:tplc="30B61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4B0ACE"/>
    <w:multiLevelType w:val="hybridMultilevel"/>
    <w:tmpl w:val="AEF20EDC"/>
    <w:lvl w:ilvl="0" w:tplc="6ED8B6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23"/>
  </w:num>
  <w:num w:numId="4">
    <w:abstractNumId w:val="19"/>
  </w:num>
  <w:num w:numId="5">
    <w:abstractNumId w:val="2"/>
  </w:num>
  <w:num w:numId="6">
    <w:abstractNumId w:val="21"/>
  </w:num>
  <w:num w:numId="7">
    <w:abstractNumId w:val="0"/>
  </w:num>
  <w:num w:numId="8">
    <w:abstractNumId w:val="16"/>
  </w:num>
  <w:num w:numId="9">
    <w:abstractNumId w:val="8"/>
  </w:num>
  <w:num w:numId="10">
    <w:abstractNumId w:val="25"/>
  </w:num>
  <w:num w:numId="11">
    <w:abstractNumId w:val="17"/>
  </w:num>
  <w:num w:numId="12">
    <w:abstractNumId w:val="1"/>
  </w:num>
  <w:num w:numId="13">
    <w:abstractNumId w:val="14"/>
  </w:num>
  <w:num w:numId="14">
    <w:abstractNumId w:val="11"/>
  </w:num>
  <w:num w:numId="15">
    <w:abstractNumId w:val="18"/>
  </w:num>
  <w:num w:numId="16">
    <w:abstractNumId w:val="3"/>
  </w:num>
  <w:num w:numId="17">
    <w:abstractNumId w:val="22"/>
  </w:num>
  <w:num w:numId="18">
    <w:abstractNumId w:val="24"/>
  </w:num>
  <w:num w:numId="19">
    <w:abstractNumId w:val="9"/>
  </w:num>
  <w:num w:numId="20">
    <w:abstractNumId w:val="7"/>
  </w:num>
  <w:num w:numId="21">
    <w:abstractNumId w:val="20"/>
  </w:num>
  <w:num w:numId="22">
    <w:abstractNumId w:val="5"/>
  </w:num>
  <w:num w:numId="23">
    <w:abstractNumId w:val="26"/>
  </w:num>
  <w:num w:numId="24">
    <w:abstractNumId w:val="13"/>
  </w:num>
  <w:num w:numId="25">
    <w:abstractNumId w:val="4"/>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41"/>
    <w:rsid w:val="0000003F"/>
    <w:rsid w:val="00000052"/>
    <w:rsid w:val="00005017"/>
    <w:rsid w:val="00011C01"/>
    <w:rsid w:val="000158A4"/>
    <w:rsid w:val="00017D22"/>
    <w:rsid w:val="00021C52"/>
    <w:rsid w:val="00023ADA"/>
    <w:rsid w:val="0002688F"/>
    <w:rsid w:val="00027A90"/>
    <w:rsid w:val="000308FF"/>
    <w:rsid w:val="0003210D"/>
    <w:rsid w:val="00037141"/>
    <w:rsid w:val="000426E1"/>
    <w:rsid w:val="00042C78"/>
    <w:rsid w:val="0004335F"/>
    <w:rsid w:val="000454D6"/>
    <w:rsid w:val="000530D0"/>
    <w:rsid w:val="000536C4"/>
    <w:rsid w:val="000548D9"/>
    <w:rsid w:val="000557DE"/>
    <w:rsid w:val="000615D5"/>
    <w:rsid w:val="00063DE5"/>
    <w:rsid w:val="00063F7B"/>
    <w:rsid w:val="0006455D"/>
    <w:rsid w:val="00066BBB"/>
    <w:rsid w:val="00067782"/>
    <w:rsid w:val="00070DA2"/>
    <w:rsid w:val="00071458"/>
    <w:rsid w:val="00073469"/>
    <w:rsid w:val="0007457A"/>
    <w:rsid w:val="00074592"/>
    <w:rsid w:val="000747B2"/>
    <w:rsid w:val="00075301"/>
    <w:rsid w:val="00075FBD"/>
    <w:rsid w:val="000826E8"/>
    <w:rsid w:val="00082D22"/>
    <w:rsid w:val="00083EDB"/>
    <w:rsid w:val="00085251"/>
    <w:rsid w:val="000854AE"/>
    <w:rsid w:val="00087BD5"/>
    <w:rsid w:val="00091BC5"/>
    <w:rsid w:val="000947A7"/>
    <w:rsid w:val="000971A6"/>
    <w:rsid w:val="00097634"/>
    <w:rsid w:val="000A2584"/>
    <w:rsid w:val="000A2736"/>
    <w:rsid w:val="000A3430"/>
    <w:rsid w:val="000A432E"/>
    <w:rsid w:val="000B14E5"/>
    <w:rsid w:val="000B21C5"/>
    <w:rsid w:val="000B2F00"/>
    <w:rsid w:val="000B6290"/>
    <w:rsid w:val="000B6850"/>
    <w:rsid w:val="000B6DB4"/>
    <w:rsid w:val="000B7AD9"/>
    <w:rsid w:val="000C0B1A"/>
    <w:rsid w:val="000C0E4E"/>
    <w:rsid w:val="000C2F80"/>
    <w:rsid w:val="000C776A"/>
    <w:rsid w:val="000C77AA"/>
    <w:rsid w:val="000D08BD"/>
    <w:rsid w:val="000D09A8"/>
    <w:rsid w:val="000D2ABE"/>
    <w:rsid w:val="000D2C5B"/>
    <w:rsid w:val="000D2F2C"/>
    <w:rsid w:val="000D3AC6"/>
    <w:rsid w:val="000D561A"/>
    <w:rsid w:val="000D6FDB"/>
    <w:rsid w:val="000D7AE0"/>
    <w:rsid w:val="000E2223"/>
    <w:rsid w:val="000E2C33"/>
    <w:rsid w:val="000E3528"/>
    <w:rsid w:val="000E59E8"/>
    <w:rsid w:val="000F046A"/>
    <w:rsid w:val="000F10CC"/>
    <w:rsid w:val="000F1BBE"/>
    <w:rsid w:val="000F260F"/>
    <w:rsid w:val="000F3BB9"/>
    <w:rsid w:val="00101297"/>
    <w:rsid w:val="0010585C"/>
    <w:rsid w:val="001070F7"/>
    <w:rsid w:val="00107D94"/>
    <w:rsid w:val="001103FF"/>
    <w:rsid w:val="001111BA"/>
    <w:rsid w:val="00111BBF"/>
    <w:rsid w:val="001156ED"/>
    <w:rsid w:val="001161F8"/>
    <w:rsid w:val="0011664C"/>
    <w:rsid w:val="0011676E"/>
    <w:rsid w:val="00117578"/>
    <w:rsid w:val="00120081"/>
    <w:rsid w:val="0012030B"/>
    <w:rsid w:val="00120588"/>
    <w:rsid w:val="00121805"/>
    <w:rsid w:val="00122296"/>
    <w:rsid w:val="00124BD8"/>
    <w:rsid w:val="0012711F"/>
    <w:rsid w:val="00130A49"/>
    <w:rsid w:val="001324B8"/>
    <w:rsid w:val="00132A90"/>
    <w:rsid w:val="00132CAC"/>
    <w:rsid w:val="00133E4E"/>
    <w:rsid w:val="001376B8"/>
    <w:rsid w:val="001410EE"/>
    <w:rsid w:val="00143512"/>
    <w:rsid w:val="00143BBB"/>
    <w:rsid w:val="00144365"/>
    <w:rsid w:val="001450D3"/>
    <w:rsid w:val="00145AA5"/>
    <w:rsid w:val="00145E85"/>
    <w:rsid w:val="00151609"/>
    <w:rsid w:val="00154878"/>
    <w:rsid w:val="0015648F"/>
    <w:rsid w:val="0015708F"/>
    <w:rsid w:val="001575E4"/>
    <w:rsid w:val="00157CC1"/>
    <w:rsid w:val="00160057"/>
    <w:rsid w:val="00161025"/>
    <w:rsid w:val="0016391E"/>
    <w:rsid w:val="00163BB6"/>
    <w:rsid w:val="001655B8"/>
    <w:rsid w:val="00166778"/>
    <w:rsid w:val="001705E0"/>
    <w:rsid w:val="00173944"/>
    <w:rsid w:val="00175536"/>
    <w:rsid w:val="00176335"/>
    <w:rsid w:val="001764D8"/>
    <w:rsid w:val="00176AF5"/>
    <w:rsid w:val="00176D17"/>
    <w:rsid w:val="00177967"/>
    <w:rsid w:val="001810D7"/>
    <w:rsid w:val="00181989"/>
    <w:rsid w:val="00183D2B"/>
    <w:rsid w:val="00183E38"/>
    <w:rsid w:val="0018442F"/>
    <w:rsid w:val="0019119A"/>
    <w:rsid w:val="00191A93"/>
    <w:rsid w:val="0019436C"/>
    <w:rsid w:val="00195154"/>
    <w:rsid w:val="00195E1D"/>
    <w:rsid w:val="001978F6"/>
    <w:rsid w:val="001A1DDB"/>
    <w:rsid w:val="001A218F"/>
    <w:rsid w:val="001A299B"/>
    <w:rsid w:val="001A60F9"/>
    <w:rsid w:val="001A65A5"/>
    <w:rsid w:val="001A7C6A"/>
    <w:rsid w:val="001B195F"/>
    <w:rsid w:val="001B297B"/>
    <w:rsid w:val="001B5396"/>
    <w:rsid w:val="001B7EDC"/>
    <w:rsid w:val="001C084A"/>
    <w:rsid w:val="001C13DD"/>
    <w:rsid w:val="001C28D8"/>
    <w:rsid w:val="001C2FE8"/>
    <w:rsid w:val="001C33CC"/>
    <w:rsid w:val="001C3674"/>
    <w:rsid w:val="001C4C01"/>
    <w:rsid w:val="001D4E4C"/>
    <w:rsid w:val="001D57BC"/>
    <w:rsid w:val="001D7C91"/>
    <w:rsid w:val="001F0773"/>
    <w:rsid w:val="00203A09"/>
    <w:rsid w:val="00203E80"/>
    <w:rsid w:val="002054E9"/>
    <w:rsid w:val="002065D3"/>
    <w:rsid w:val="00210424"/>
    <w:rsid w:val="00210431"/>
    <w:rsid w:val="0021129C"/>
    <w:rsid w:val="002137F5"/>
    <w:rsid w:val="00213AC0"/>
    <w:rsid w:val="00217D95"/>
    <w:rsid w:val="0022029F"/>
    <w:rsid w:val="002211E5"/>
    <w:rsid w:val="002242E3"/>
    <w:rsid w:val="002245F8"/>
    <w:rsid w:val="00224D79"/>
    <w:rsid w:val="00226335"/>
    <w:rsid w:val="00226D97"/>
    <w:rsid w:val="002304A1"/>
    <w:rsid w:val="002308EF"/>
    <w:rsid w:val="00230EC2"/>
    <w:rsid w:val="00231903"/>
    <w:rsid w:val="00244F2E"/>
    <w:rsid w:val="00245509"/>
    <w:rsid w:val="00245636"/>
    <w:rsid w:val="00246D78"/>
    <w:rsid w:val="002474F1"/>
    <w:rsid w:val="00247AC2"/>
    <w:rsid w:val="002534DD"/>
    <w:rsid w:val="0025410D"/>
    <w:rsid w:val="00255953"/>
    <w:rsid w:val="00263BB2"/>
    <w:rsid w:val="00265A9B"/>
    <w:rsid w:val="00266177"/>
    <w:rsid w:val="00272205"/>
    <w:rsid w:val="0027292F"/>
    <w:rsid w:val="002745AF"/>
    <w:rsid w:val="00277EEF"/>
    <w:rsid w:val="00281EC4"/>
    <w:rsid w:val="00282999"/>
    <w:rsid w:val="00282E38"/>
    <w:rsid w:val="002858FD"/>
    <w:rsid w:val="002864A6"/>
    <w:rsid w:val="0028778C"/>
    <w:rsid w:val="00294AE3"/>
    <w:rsid w:val="002961A9"/>
    <w:rsid w:val="00297B08"/>
    <w:rsid w:val="002A0D30"/>
    <w:rsid w:val="002A7094"/>
    <w:rsid w:val="002A73B9"/>
    <w:rsid w:val="002A75E9"/>
    <w:rsid w:val="002A7614"/>
    <w:rsid w:val="002A7B58"/>
    <w:rsid w:val="002B1B3E"/>
    <w:rsid w:val="002B2D81"/>
    <w:rsid w:val="002B3057"/>
    <w:rsid w:val="002B36A7"/>
    <w:rsid w:val="002C04F0"/>
    <w:rsid w:val="002C153F"/>
    <w:rsid w:val="002C20BC"/>
    <w:rsid w:val="002C43E9"/>
    <w:rsid w:val="002C57F6"/>
    <w:rsid w:val="002C6048"/>
    <w:rsid w:val="002D0364"/>
    <w:rsid w:val="002D0D5E"/>
    <w:rsid w:val="002D2A40"/>
    <w:rsid w:val="002D341D"/>
    <w:rsid w:val="002D45DA"/>
    <w:rsid w:val="002D5F89"/>
    <w:rsid w:val="002D6033"/>
    <w:rsid w:val="002E405D"/>
    <w:rsid w:val="002E598C"/>
    <w:rsid w:val="002E6011"/>
    <w:rsid w:val="002E78E2"/>
    <w:rsid w:val="002F25CA"/>
    <w:rsid w:val="002F359A"/>
    <w:rsid w:val="002F58FC"/>
    <w:rsid w:val="002F6458"/>
    <w:rsid w:val="002F7850"/>
    <w:rsid w:val="00303E55"/>
    <w:rsid w:val="0030542F"/>
    <w:rsid w:val="003054FE"/>
    <w:rsid w:val="00305F5F"/>
    <w:rsid w:val="0030636F"/>
    <w:rsid w:val="00306E7F"/>
    <w:rsid w:val="00310E79"/>
    <w:rsid w:val="00311E4F"/>
    <w:rsid w:val="0031297F"/>
    <w:rsid w:val="0031323A"/>
    <w:rsid w:val="00320940"/>
    <w:rsid w:val="003250BE"/>
    <w:rsid w:val="00325B55"/>
    <w:rsid w:val="00326A2F"/>
    <w:rsid w:val="00331F83"/>
    <w:rsid w:val="00332E17"/>
    <w:rsid w:val="00336A41"/>
    <w:rsid w:val="003413C6"/>
    <w:rsid w:val="003420F6"/>
    <w:rsid w:val="003454C0"/>
    <w:rsid w:val="00353BF1"/>
    <w:rsid w:val="00355732"/>
    <w:rsid w:val="00355A34"/>
    <w:rsid w:val="00360CD6"/>
    <w:rsid w:val="00363AFA"/>
    <w:rsid w:val="00364385"/>
    <w:rsid w:val="0036794F"/>
    <w:rsid w:val="0037336A"/>
    <w:rsid w:val="0037454E"/>
    <w:rsid w:val="00374FEB"/>
    <w:rsid w:val="003754D4"/>
    <w:rsid w:val="00375B1B"/>
    <w:rsid w:val="0038063B"/>
    <w:rsid w:val="00384797"/>
    <w:rsid w:val="00387F4D"/>
    <w:rsid w:val="0039304B"/>
    <w:rsid w:val="003931AF"/>
    <w:rsid w:val="00394558"/>
    <w:rsid w:val="003A121C"/>
    <w:rsid w:val="003A1CF2"/>
    <w:rsid w:val="003A2964"/>
    <w:rsid w:val="003A4A52"/>
    <w:rsid w:val="003A4A67"/>
    <w:rsid w:val="003A622D"/>
    <w:rsid w:val="003A6FEE"/>
    <w:rsid w:val="003B2421"/>
    <w:rsid w:val="003B2462"/>
    <w:rsid w:val="003B4F68"/>
    <w:rsid w:val="003C0AEC"/>
    <w:rsid w:val="003C26B9"/>
    <w:rsid w:val="003C5072"/>
    <w:rsid w:val="003C5D49"/>
    <w:rsid w:val="003D09D5"/>
    <w:rsid w:val="003D165B"/>
    <w:rsid w:val="003D4571"/>
    <w:rsid w:val="003D4CE1"/>
    <w:rsid w:val="003D5953"/>
    <w:rsid w:val="003D5AC5"/>
    <w:rsid w:val="003D77F5"/>
    <w:rsid w:val="003E0634"/>
    <w:rsid w:val="003E1D5C"/>
    <w:rsid w:val="003E4757"/>
    <w:rsid w:val="003E54D9"/>
    <w:rsid w:val="003F0768"/>
    <w:rsid w:val="003F0A07"/>
    <w:rsid w:val="003F13A3"/>
    <w:rsid w:val="003F192D"/>
    <w:rsid w:val="003F2AFA"/>
    <w:rsid w:val="003F3D4C"/>
    <w:rsid w:val="003F55DE"/>
    <w:rsid w:val="003F76DF"/>
    <w:rsid w:val="00403757"/>
    <w:rsid w:val="004052AC"/>
    <w:rsid w:val="0040702D"/>
    <w:rsid w:val="004111CF"/>
    <w:rsid w:val="00416D74"/>
    <w:rsid w:val="004175DB"/>
    <w:rsid w:val="004230B6"/>
    <w:rsid w:val="00423793"/>
    <w:rsid w:val="004245A8"/>
    <w:rsid w:val="004245C6"/>
    <w:rsid w:val="00424916"/>
    <w:rsid w:val="00430C6C"/>
    <w:rsid w:val="0043217B"/>
    <w:rsid w:val="00433DAE"/>
    <w:rsid w:val="0043473F"/>
    <w:rsid w:val="00434A0E"/>
    <w:rsid w:val="00435E6E"/>
    <w:rsid w:val="004361E1"/>
    <w:rsid w:val="00440053"/>
    <w:rsid w:val="00440C88"/>
    <w:rsid w:val="00441B04"/>
    <w:rsid w:val="00442214"/>
    <w:rsid w:val="00442E07"/>
    <w:rsid w:val="00443393"/>
    <w:rsid w:val="0044467A"/>
    <w:rsid w:val="004458C1"/>
    <w:rsid w:val="004479F4"/>
    <w:rsid w:val="00451A62"/>
    <w:rsid w:val="00451CC9"/>
    <w:rsid w:val="004570DE"/>
    <w:rsid w:val="00457744"/>
    <w:rsid w:val="00457A61"/>
    <w:rsid w:val="00461CEB"/>
    <w:rsid w:val="00461F2B"/>
    <w:rsid w:val="004621C1"/>
    <w:rsid w:val="0046725D"/>
    <w:rsid w:val="00467934"/>
    <w:rsid w:val="004706CA"/>
    <w:rsid w:val="00474583"/>
    <w:rsid w:val="004751A8"/>
    <w:rsid w:val="00475308"/>
    <w:rsid w:val="004774E6"/>
    <w:rsid w:val="0048018E"/>
    <w:rsid w:val="004816E3"/>
    <w:rsid w:val="004826D2"/>
    <w:rsid w:val="00484833"/>
    <w:rsid w:val="0049043F"/>
    <w:rsid w:val="004904A6"/>
    <w:rsid w:val="004906D9"/>
    <w:rsid w:val="00491348"/>
    <w:rsid w:val="00491379"/>
    <w:rsid w:val="00491AE6"/>
    <w:rsid w:val="004928F5"/>
    <w:rsid w:val="00494873"/>
    <w:rsid w:val="00494A72"/>
    <w:rsid w:val="0049584E"/>
    <w:rsid w:val="004977D6"/>
    <w:rsid w:val="004A16C1"/>
    <w:rsid w:val="004A1790"/>
    <w:rsid w:val="004A1CCA"/>
    <w:rsid w:val="004A1DA4"/>
    <w:rsid w:val="004A39ED"/>
    <w:rsid w:val="004A4355"/>
    <w:rsid w:val="004A4F57"/>
    <w:rsid w:val="004A50B9"/>
    <w:rsid w:val="004A60E8"/>
    <w:rsid w:val="004A66C0"/>
    <w:rsid w:val="004B6047"/>
    <w:rsid w:val="004B66AD"/>
    <w:rsid w:val="004C0749"/>
    <w:rsid w:val="004C12A7"/>
    <w:rsid w:val="004C1344"/>
    <w:rsid w:val="004C2F8C"/>
    <w:rsid w:val="004C4D02"/>
    <w:rsid w:val="004C5160"/>
    <w:rsid w:val="004C6F73"/>
    <w:rsid w:val="004D088D"/>
    <w:rsid w:val="004D3046"/>
    <w:rsid w:val="004D3215"/>
    <w:rsid w:val="004D3CA1"/>
    <w:rsid w:val="004E0AA7"/>
    <w:rsid w:val="004E15DC"/>
    <w:rsid w:val="004E1B97"/>
    <w:rsid w:val="004E220E"/>
    <w:rsid w:val="004E2397"/>
    <w:rsid w:val="004E388E"/>
    <w:rsid w:val="004E552F"/>
    <w:rsid w:val="004E63C2"/>
    <w:rsid w:val="004E6E75"/>
    <w:rsid w:val="004E7484"/>
    <w:rsid w:val="004F18D6"/>
    <w:rsid w:val="004F1F16"/>
    <w:rsid w:val="005043B0"/>
    <w:rsid w:val="0050544B"/>
    <w:rsid w:val="00506F1B"/>
    <w:rsid w:val="00507AD0"/>
    <w:rsid w:val="005104AF"/>
    <w:rsid w:val="00511A00"/>
    <w:rsid w:val="00512023"/>
    <w:rsid w:val="00512313"/>
    <w:rsid w:val="0052318F"/>
    <w:rsid w:val="00523492"/>
    <w:rsid w:val="005250C8"/>
    <w:rsid w:val="0053005B"/>
    <w:rsid w:val="0053036C"/>
    <w:rsid w:val="005303BD"/>
    <w:rsid w:val="005326EB"/>
    <w:rsid w:val="00532870"/>
    <w:rsid w:val="00533079"/>
    <w:rsid w:val="0053578D"/>
    <w:rsid w:val="00536716"/>
    <w:rsid w:val="00536B52"/>
    <w:rsid w:val="00543522"/>
    <w:rsid w:val="00543754"/>
    <w:rsid w:val="00544F1E"/>
    <w:rsid w:val="00545745"/>
    <w:rsid w:val="005463A3"/>
    <w:rsid w:val="00550815"/>
    <w:rsid w:val="0055153B"/>
    <w:rsid w:val="005516ED"/>
    <w:rsid w:val="00553100"/>
    <w:rsid w:val="00553240"/>
    <w:rsid w:val="005557AC"/>
    <w:rsid w:val="005573A3"/>
    <w:rsid w:val="00560CE3"/>
    <w:rsid w:val="005618EC"/>
    <w:rsid w:val="005619E8"/>
    <w:rsid w:val="00562C9E"/>
    <w:rsid w:val="005647AA"/>
    <w:rsid w:val="0056572A"/>
    <w:rsid w:val="005730FA"/>
    <w:rsid w:val="00574754"/>
    <w:rsid w:val="00574C75"/>
    <w:rsid w:val="00575159"/>
    <w:rsid w:val="00577FC1"/>
    <w:rsid w:val="005808F8"/>
    <w:rsid w:val="005809FE"/>
    <w:rsid w:val="00582E2F"/>
    <w:rsid w:val="0058374F"/>
    <w:rsid w:val="0058575A"/>
    <w:rsid w:val="00585AF9"/>
    <w:rsid w:val="0058633F"/>
    <w:rsid w:val="00587680"/>
    <w:rsid w:val="00590E7F"/>
    <w:rsid w:val="005925F7"/>
    <w:rsid w:val="00594B9C"/>
    <w:rsid w:val="00596E31"/>
    <w:rsid w:val="00596E54"/>
    <w:rsid w:val="005976A7"/>
    <w:rsid w:val="005A0887"/>
    <w:rsid w:val="005A23EC"/>
    <w:rsid w:val="005A39AF"/>
    <w:rsid w:val="005A41C1"/>
    <w:rsid w:val="005A4218"/>
    <w:rsid w:val="005A6553"/>
    <w:rsid w:val="005A6EEC"/>
    <w:rsid w:val="005B06F4"/>
    <w:rsid w:val="005B4274"/>
    <w:rsid w:val="005B43A1"/>
    <w:rsid w:val="005C081F"/>
    <w:rsid w:val="005C1615"/>
    <w:rsid w:val="005C1C84"/>
    <w:rsid w:val="005C1FC4"/>
    <w:rsid w:val="005C3357"/>
    <w:rsid w:val="005C4A68"/>
    <w:rsid w:val="005D0C7B"/>
    <w:rsid w:val="005D1A74"/>
    <w:rsid w:val="005D3980"/>
    <w:rsid w:val="005D4B02"/>
    <w:rsid w:val="005D5EE2"/>
    <w:rsid w:val="005D6136"/>
    <w:rsid w:val="005E006E"/>
    <w:rsid w:val="005E1646"/>
    <w:rsid w:val="005E46A8"/>
    <w:rsid w:val="005E536A"/>
    <w:rsid w:val="005F3C98"/>
    <w:rsid w:val="005F3FB3"/>
    <w:rsid w:val="005F4F69"/>
    <w:rsid w:val="005F58BF"/>
    <w:rsid w:val="005F6BC1"/>
    <w:rsid w:val="005F73DB"/>
    <w:rsid w:val="0060368A"/>
    <w:rsid w:val="0060400D"/>
    <w:rsid w:val="00607C75"/>
    <w:rsid w:val="00610724"/>
    <w:rsid w:val="006161CF"/>
    <w:rsid w:val="00616B46"/>
    <w:rsid w:val="006200F8"/>
    <w:rsid w:val="006260AC"/>
    <w:rsid w:val="0062675C"/>
    <w:rsid w:val="00630109"/>
    <w:rsid w:val="00631D4F"/>
    <w:rsid w:val="00632E49"/>
    <w:rsid w:val="0063468F"/>
    <w:rsid w:val="006346AC"/>
    <w:rsid w:val="00646367"/>
    <w:rsid w:val="00646FDD"/>
    <w:rsid w:val="006478C4"/>
    <w:rsid w:val="006509B0"/>
    <w:rsid w:val="00651731"/>
    <w:rsid w:val="0065255B"/>
    <w:rsid w:val="0065420E"/>
    <w:rsid w:val="006546AE"/>
    <w:rsid w:val="006567AB"/>
    <w:rsid w:val="006574D3"/>
    <w:rsid w:val="0066050E"/>
    <w:rsid w:val="00662CE7"/>
    <w:rsid w:val="006656D0"/>
    <w:rsid w:val="00666975"/>
    <w:rsid w:val="00666E5B"/>
    <w:rsid w:val="00670073"/>
    <w:rsid w:val="006731A8"/>
    <w:rsid w:val="006733D9"/>
    <w:rsid w:val="00674BDB"/>
    <w:rsid w:val="006764DE"/>
    <w:rsid w:val="00677F40"/>
    <w:rsid w:val="00685254"/>
    <w:rsid w:val="00685805"/>
    <w:rsid w:val="00686594"/>
    <w:rsid w:val="006872F3"/>
    <w:rsid w:val="00690762"/>
    <w:rsid w:val="00690F7F"/>
    <w:rsid w:val="00693D5A"/>
    <w:rsid w:val="006941A9"/>
    <w:rsid w:val="00695149"/>
    <w:rsid w:val="00697287"/>
    <w:rsid w:val="006A17EC"/>
    <w:rsid w:val="006A327E"/>
    <w:rsid w:val="006A5331"/>
    <w:rsid w:val="006A6A9B"/>
    <w:rsid w:val="006B152F"/>
    <w:rsid w:val="006B609D"/>
    <w:rsid w:val="006B649B"/>
    <w:rsid w:val="006B7595"/>
    <w:rsid w:val="006B7AC9"/>
    <w:rsid w:val="006C1473"/>
    <w:rsid w:val="006C152E"/>
    <w:rsid w:val="006C1E23"/>
    <w:rsid w:val="006C2282"/>
    <w:rsid w:val="006C503F"/>
    <w:rsid w:val="006C61ED"/>
    <w:rsid w:val="006C77B0"/>
    <w:rsid w:val="006D17B3"/>
    <w:rsid w:val="006D20CA"/>
    <w:rsid w:val="006D440A"/>
    <w:rsid w:val="006D71E3"/>
    <w:rsid w:val="006E018F"/>
    <w:rsid w:val="006E09A5"/>
    <w:rsid w:val="006E4DAF"/>
    <w:rsid w:val="006E647B"/>
    <w:rsid w:val="006E7D55"/>
    <w:rsid w:val="006F0546"/>
    <w:rsid w:val="006F0F23"/>
    <w:rsid w:val="006F6421"/>
    <w:rsid w:val="006F78E5"/>
    <w:rsid w:val="00702511"/>
    <w:rsid w:val="00702BA7"/>
    <w:rsid w:val="00703B16"/>
    <w:rsid w:val="0070581E"/>
    <w:rsid w:val="007059A8"/>
    <w:rsid w:val="00706A83"/>
    <w:rsid w:val="007124CD"/>
    <w:rsid w:val="00713DE5"/>
    <w:rsid w:val="0071546C"/>
    <w:rsid w:val="00720B8D"/>
    <w:rsid w:val="00722FDA"/>
    <w:rsid w:val="00725B1E"/>
    <w:rsid w:val="007261B0"/>
    <w:rsid w:val="0072668E"/>
    <w:rsid w:val="007271BD"/>
    <w:rsid w:val="0072724B"/>
    <w:rsid w:val="00731650"/>
    <w:rsid w:val="007322CD"/>
    <w:rsid w:val="00732C99"/>
    <w:rsid w:val="007334F0"/>
    <w:rsid w:val="00733EC8"/>
    <w:rsid w:val="007363E3"/>
    <w:rsid w:val="007366FE"/>
    <w:rsid w:val="00740CB1"/>
    <w:rsid w:val="00740FBD"/>
    <w:rsid w:val="00741466"/>
    <w:rsid w:val="00741729"/>
    <w:rsid w:val="007422AF"/>
    <w:rsid w:val="0074267C"/>
    <w:rsid w:val="00744BBD"/>
    <w:rsid w:val="00744BFF"/>
    <w:rsid w:val="00744E56"/>
    <w:rsid w:val="00750448"/>
    <w:rsid w:val="0075403B"/>
    <w:rsid w:val="00756D12"/>
    <w:rsid w:val="00761197"/>
    <w:rsid w:val="00761D78"/>
    <w:rsid w:val="00766B19"/>
    <w:rsid w:val="007714C5"/>
    <w:rsid w:val="00773B08"/>
    <w:rsid w:val="00774850"/>
    <w:rsid w:val="00775430"/>
    <w:rsid w:val="0077558C"/>
    <w:rsid w:val="00775609"/>
    <w:rsid w:val="00775ECE"/>
    <w:rsid w:val="007812C3"/>
    <w:rsid w:val="00782BC2"/>
    <w:rsid w:val="007831E9"/>
    <w:rsid w:val="00784ED1"/>
    <w:rsid w:val="00785BF2"/>
    <w:rsid w:val="0078671F"/>
    <w:rsid w:val="0078710D"/>
    <w:rsid w:val="007871D1"/>
    <w:rsid w:val="00787F2C"/>
    <w:rsid w:val="0079183C"/>
    <w:rsid w:val="00792951"/>
    <w:rsid w:val="00796D5B"/>
    <w:rsid w:val="007978F3"/>
    <w:rsid w:val="007A04B9"/>
    <w:rsid w:val="007A47DA"/>
    <w:rsid w:val="007A4AD4"/>
    <w:rsid w:val="007A613B"/>
    <w:rsid w:val="007A69C8"/>
    <w:rsid w:val="007B01AF"/>
    <w:rsid w:val="007B11B9"/>
    <w:rsid w:val="007B1401"/>
    <w:rsid w:val="007B16BB"/>
    <w:rsid w:val="007B3F86"/>
    <w:rsid w:val="007B41A3"/>
    <w:rsid w:val="007B4DD4"/>
    <w:rsid w:val="007B4E8A"/>
    <w:rsid w:val="007B4FB1"/>
    <w:rsid w:val="007B63DC"/>
    <w:rsid w:val="007B6443"/>
    <w:rsid w:val="007B64FB"/>
    <w:rsid w:val="007C03B6"/>
    <w:rsid w:val="007C29BF"/>
    <w:rsid w:val="007C438F"/>
    <w:rsid w:val="007C5655"/>
    <w:rsid w:val="007C60CC"/>
    <w:rsid w:val="007C69C4"/>
    <w:rsid w:val="007C6C07"/>
    <w:rsid w:val="007D4553"/>
    <w:rsid w:val="007D52DE"/>
    <w:rsid w:val="007D711D"/>
    <w:rsid w:val="007E1397"/>
    <w:rsid w:val="007E481A"/>
    <w:rsid w:val="007F4184"/>
    <w:rsid w:val="007F44D6"/>
    <w:rsid w:val="007F6F61"/>
    <w:rsid w:val="007F7530"/>
    <w:rsid w:val="007F7831"/>
    <w:rsid w:val="007F7E8E"/>
    <w:rsid w:val="00800956"/>
    <w:rsid w:val="008015DF"/>
    <w:rsid w:val="00805270"/>
    <w:rsid w:val="00816996"/>
    <w:rsid w:val="00821756"/>
    <w:rsid w:val="0082243C"/>
    <w:rsid w:val="00822A43"/>
    <w:rsid w:val="00825052"/>
    <w:rsid w:val="008262DC"/>
    <w:rsid w:val="00826BFF"/>
    <w:rsid w:val="00830AAA"/>
    <w:rsid w:val="00831FC5"/>
    <w:rsid w:val="0083742D"/>
    <w:rsid w:val="0083774F"/>
    <w:rsid w:val="00840A73"/>
    <w:rsid w:val="00840D5B"/>
    <w:rsid w:val="00842512"/>
    <w:rsid w:val="00842583"/>
    <w:rsid w:val="0084462C"/>
    <w:rsid w:val="00845A63"/>
    <w:rsid w:val="0084639A"/>
    <w:rsid w:val="00852DFC"/>
    <w:rsid w:val="0085460E"/>
    <w:rsid w:val="00854C94"/>
    <w:rsid w:val="00860BCE"/>
    <w:rsid w:val="00861914"/>
    <w:rsid w:val="008636F9"/>
    <w:rsid w:val="00865640"/>
    <w:rsid w:val="008673F4"/>
    <w:rsid w:val="00871807"/>
    <w:rsid w:val="00872482"/>
    <w:rsid w:val="008725F6"/>
    <w:rsid w:val="00872D3D"/>
    <w:rsid w:val="008735B4"/>
    <w:rsid w:val="00873D3B"/>
    <w:rsid w:val="00874045"/>
    <w:rsid w:val="00874DE9"/>
    <w:rsid w:val="00875870"/>
    <w:rsid w:val="00875E06"/>
    <w:rsid w:val="00876A4E"/>
    <w:rsid w:val="00877257"/>
    <w:rsid w:val="00885B09"/>
    <w:rsid w:val="0088749E"/>
    <w:rsid w:val="00891355"/>
    <w:rsid w:val="008917AE"/>
    <w:rsid w:val="008920FA"/>
    <w:rsid w:val="0089274B"/>
    <w:rsid w:val="00892CB5"/>
    <w:rsid w:val="008939DD"/>
    <w:rsid w:val="008972C0"/>
    <w:rsid w:val="00897C5E"/>
    <w:rsid w:val="008A0E9A"/>
    <w:rsid w:val="008A4240"/>
    <w:rsid w:val="008A4576"/>
    <w:rsid w:val="008A4A8D"/>
    <w:rsid w:val="008B5C73"/>
    <w:rsid w:val="008B6341"/>
    <w:rsid w:val="008B66F1"/>
    <w:rsid w:val="008B7827"/>
    <w:rsid w:val="008C1087"/>
    <w:rsid w:val="008C160B"/>
    <w:rsid w:val="008C2E64"/>
    <w:rsid w:val="008C5FC7"/>
    <w:rsid w:val="008C6512"/>
    <w:rsid w:val="008D219D"/>
    <w:rsid w:val="008E0E3B"/>
    <w:rsid w:val="008E1485"/>
    <w:rsid w:val="008E186B"/>
    <w:rsid w:val="008E1C81"/>
    <w:rsid w:val="008E77D0"/>
    <w:rsid w:val="008E7843"/>
    <w:rsid w:val="008F0252"/>
    <w:rsid w:val="008F1B10"/>
    <w:rsid w:val="008F2FF5"/>
    <w:rsid w:val="008F3332"/>
    <w:rsid w:val="008F342C"/>
    <w:rsid w:val="008F3E37"/>
    <w:rsid w:val="008F5963"/>
    <w:rsid w:val="008F7CEA"/>
    <w:rsid w:val="00901396"/>
    <w:rsid w:val="009027D7"/>
    <w:rsid w:val="009031F4"/>
    <w:rsid w:val="00905660"/>
    <w:rsid w:val="00907824"/>
    <w:rsid w:val="00917D87"/>
    <w:rsid w:val="00922555"/>
    <w:rsid w:val="009228EC"/>
    <w:rsid w:val="0092368B"/>
    <w:rsid w:val="009241AA"/>
    <w:rsid w:val="009249AD"/>
    <w:rsid w:val="009257AD"/>
    <w:rsid w:val="00925985"/>
    <w:rsid w:val="00925FF1"/>
    <w:rsid w:val="00931387"/>
    <w:rsid w:val="0093194B"/>
    <w:rsid w:val="00932C2E"/>
    <w:rsid w:val="009338AA"/>
    <w:rsid w:val="00934D20"/>
    <w:rsid w:val="00934FD8"/>
    <w:rsid w:val="00935A50"/>
    <w:rsid w:val="00935E17"/>
    <w:rsid w:val="009370B6"/>
    <w:rsid w:val="0094212C"/>
    <w:rsid w:val="00942C05"/>
    <w:rsid w:val="00943075"/>
    <w:rsid w:val="0094399E"/>
    <w:rsid w:val="00945B03"/>
    <w:rsid w:val="009471CE"/>
    <w:rsid w:val="00947814"/>
    <w:rsid w:val="009502AD"/>
    <w:rsid w:val="009541E9"/>
    <w:rsid w:val="00954FF5"/>
    <w:rsid w:val="009561C9"/>
    <w:rsid w:val="0096057F"/>
    <w:rsid w:val="00960B6A"/>
    <w:rsid w:val="00963042"/>
    <w:rsid w:val="00965524"/>
    <w:rsid w:val="00967925"/>
    <w:rsid w:val="00967CBA"/>
    <w:rsid w:val="00970CAA"/>
    <w:rsid w:val="0097286F"/>
    <w:rsid w:val="009733D3"/>
    <w:rsid w:val="00974B2A"/>
    <w:rsid w:val="009757A5"/>
    <w:rsid w:val="009765EA"/>
    <w:rsid w:val="00980CDA"/>
    <w:rsid w:val="00980EE0"/>
    <w:rsid w:val="00980F36"/>
    <w:rsid w:val="00981FE8"/>
    <w:rsid w:val="009831CC"/>
    <w:rsid w:val="009832FD"/>
    <w:rsid w:val="00984B77"/>
    <w:rsid w:val="00984D43"/>
    <w:rsid w:val="0098585B"/>
    <w:rsid w:val="009874EB"/>
    <w:rsid w:val="00987B13"/>
    <w:rsid w:val="009903A7"/>
    <w:rsid w:val="009918ED"/>
    <w:rsid w:val="009938B4"/>
    <w:rsid w:val="00997817"/>
    <w:rsid w:val="009A262D"/>
    <w:rsid w:val="009A2FE5"/>
    <w:rsid w:val="009A4683"/>
    <w:rsid w:val="009A77F3"/>
    <w:rsid w:val="009A7D29"/>
    <w:rsid w:val="009B1933"/>
    <w:rsid w:val="009B3CF9"/>
    <w:rsid w:val="009B64B4"/>
    <w:rsid w:val="009B7767"/>
    <w:rsid w:val="009C3C44"/>
    <w:rsid w:val="009C4EEC"/>
    <w:rsid w:val="009C68C7"/>
    <w:rsid w:val="009C7C26"/>
    <w:rsid w:val="009D01D4"/>
    <w:rsid w:val="009D17AD"/>
    <w:rsid w:val="009D180E"/>
    <w:rsid w:val="009D204E"/>
    <w:rsid w:val="009D290F"/>
    <w:rsid w:val="009D5799"/>
    <w:rsid w:val="009D7438"/>
    <w:rsid w:val="009D7532"/>
    <w:rsid w:val="009D7D4A"/>
    <w:rsid w:val="009E088B"/>
    <w:rsid w:val="009E352D"/>
    <w:rsid w:val="009E3AF8"/>
    <w:rsid w:val="009E3B3D"/>
    <w:rsid w:val="009E436C"/>
    <w:rsid w:val="009E6B8D"/>
    <w:rsid w:val="009E6EAE"/>
    <w:rsid w:val="009E7B02"/>
    <w:rsid w:val="009F3E52"/>
    <w:rsid w:val="00A01A77"/>
    <w:rsid w:val="00A022F4"/>
    <w:rsid w:val="00A0236C"/>
    <w:rsid w:val="00A04F8C"/>
    <w:rsid w:val="00A0597E"/>
    <w:rsid w:val="00A05D1C"/>
    <w:rsid w:val="00A068C8"/>
    <w:rsid w:val="00A1025E"/>
    <w:rsid w:val="00A1171A"/>
    <w:rsid w:val="00A124C2"/>
    <w:rsid w:val="00A14052"/>
    <w:rsid w:val="00A14059"/>
    <w:rsid w:val="00A145D3"/>
    <w:rsid w:val="00A15957"/>
    <w:rsid w:val="00A17265"/>
    <w:rsid w:val="00A221D5"/>
    <w:rsid w:val="00A23AE4"/>
    <w:rsid w:val="00A24F36"/>
    <w:rsid w:val="00A257D4"/>
    <w:rsid w:val="00A269BC"/>
    <w:rsid w:val="00A2705C"/>
    <w:rsid w:val="00A30684"/>
    <w:rsid w:val="00A314FB"/>
    <w:rsid w:val="00A31904"/>
    <w:rsid w:val="00A31C72"/>
    <w:rsid w:val="00A336F1"/>
    <w:rsid w:val="00A33C29"/>
    <w:rsid w:val="00A3610D"/>
    <w:rsid w:val="00A368E8"/>
    <w:rsid w:val="00A442E8"/>
    <w:rsid w:val="00A478B3"/>
    <w:rsid w:val="00A50D74"/>
    <w:rsid w:val="00A50E67"/>
    <w:rsid w:val="00A530CA"/>
    <w:rsid w:val="00A539CD"/>
    <w:rsid w:val="00A54943"/>
    <w:rsid w:val="00A550CB"/>
    <w:rsid w:val="00A56BFA"/>
    <w:rsid w:val="00A60114"/>
    <w:rsid w:val="00A60D11"/>
    <w:rsid w:val="00A6604D"/>
    <w:rsid w:val="00A67974"/>
    <w:rsid w:val="00A71F1F"/>
    <w:rsid w:val="00A720EF"/>
    <w:rsid w:val="00A72D88"/>
    <w:rsid w:val="00A74416"/>
    <w:rsid w:val="00A74C84"/>
    <w:rsid w:val="00A768D8"/>
    <w:rsid w:val="00A76C71"/>
    <w:rsid w:val="00A7738F"/>
    <w:rsid w:val="00A77814"/>
    <w:rsid w:val="00A822A5"/>
    <w:rsid w:val="00A82813"/>
    <w:rsid w:val="00A828E9"/>
    <w:rsid w:val="00A830CB"/>
    <w:rsid w:val="00A832A0"/>
    <w:rsid w:val="00A84662"/>
    <w:rsid w:val="00A8544A"/>
    <w:rsid w:val="00A91DB1"/>
    <w:rsid w:val="00A941C4"/>
    <w:rsid w:val="00A94C49"/>
    <w:rsid w:val="00AA520C"/>
    <w:rsid w:val="00AA56F1"/>
    <w:rsid w:val="00AA79CD"/>
    <w:rsid w:val="00AB1CFF"/>
    <w:rsid w:val="00AB1FE5"/>
    <w:rsid w:val="00AB3855"/>
    <w:rsid w:val="00AB4CE8"/>
    <w:rsid w:val="00AB505F"/>
    <w:rsid w:val="00AB57E4"/>
    <w:rsid w:val="00AB5D99"/>
    <w:rsid w:val="00AC03F6"/>
    <w:rsid w:val="00AC043A"/>
    <w:rsid w:val="00AC2971"/>
    <w:rsid w:val="00AC70EF"/>
    <w:rsid w:val="00AC7F95"/>
    <w:rsid w:val="00AD0D60"/>
    <w:rsid w:val="00AD1288"/>
    <w:rsid w:val="00AD2884"/>
    <w:rsid w:val="00AD3A5F"/>
    <w:rsid w:val="00AD419B"/>
    <w:rsid w:val="00AD4F9D"/>
    <w:rsid w:val="00AD5072"/>
    <w:rsid w:val="00AD57F8"/>
    <w:rsid w:val="00AD5826"/>
    <w:rsid w:val="00AE23EB"/>
    <w:rsid w:val="00AE2817"/>
    <w:rsid w:val="00AE2D0E"/>
    <w:rsid w:val="00AE5A1B"/>
    <w:rsid w:val="00AE6546"/>
    <w:rsid w:val="00B01024"/>
    <w:rsid w:val="00B02381"/>
    <w:rsid w:val="00B024FC"/>
    <w:rsid w:val="00B04C2C"/>
    <w:rsid w:val="00B05077"/>
    <w:rsid w:val="00B07F06"/>
    <w:rsid w:val="00B103DE"/>
    <w:rsid w:val="00B105FE"/>
    <w:rsid w:val="00B117B3"/>
    <w:rsid w:val="00B122AC"/>
    <w:rsid w:val="00B133C6"/>
    <w:rsid w:val="00B16495"/>
    <w:rsid w:val="00B172AB"/>
    <w:rsid w:val="00B17344"/>
    <w:rsid w:val="00B21E3D"/>
    <w:rsid w:val="00B31AC5"/>
    <w:rsid w:val="00B34AF2"/>
    <w:rsid w:val="00B357B5"/>
    <w:rsid w:val="00B3625E"/>
    <w:rsid w:val="00B36DD2"/>
    <w:rsid w:val="00B40F98"/>
    <w:rsid w:val="00B42301"/>
    <w:rsid w:val="00B44E77"/>
    <w:rsid w:val="00B46ADC"/>
    <w:rsid w:val="00B52372"/>
    <w:rsid w:val="00B53BCC"/>
    <w:rsid w:val="00B53E09"/>
    <w:rsid w:val="00B558CD"/>
    <w:rsid w:val="00B5785E"/>
    <w:rsid w:val="00B614BE"/>
    <w:rsid w:val="00B61A7B"/>
    <w:rsid w:val="00B62B5B"/>
    <w:rsid w:val="00B63F59"/>
    <w:rsid w:val="00B647D4"/>
    <w:rsid w:val="00B64B11"/>
    <w:rsid w:val="00B65937"/>
    <w:rsid w:val="00B71E0D"/>
    <w:rsid w:val="00B76F16"/>
    <w:rsid w:val="00B77782"/>
    <w:rsid w:val="00B81B65"/>
    <w:rsid w:val="00B82672"/>
    <w:rsid w:val="00B82E8F"/>
    <w:rsid w:val="00B87987"/>
    <w:rsid w:val="00B91292"/>
    <w:rsid w:val="00B91535"/>
    <w:rsid w:val="00B91540"/>
    <w:rsid w:val="00B937DE"/>
    <w:rsid w:val="00B95829"/>
    <w:rsid w:val="00B9594C"/>
    <w:rsid w:val="00B966F1"/>
    <w:rsid w:val="00BA0B4E"/>
    <w:rsid w:val="00BA28AD"/>
    <w:rsid w:val="00BA2FB1"/>
    <w:rsid w:val="00BA6366"/>
    <w:rsid w:val="00BA73F8"/>
    <w:rsid w:val="00BB0907"/>
    <w:rsid w:val="00BB4EC2"/>
    <w:rsid w:val="00BC093A"/>
    <w:rsid w:val="00BC1932"/>
    <w:rsid w:val="00BC21EF"/>
    <w:rsid w:val="00BC4767"/>
    <w:rsid w:val="00BC5BC9"/>
    <w:rsid w:val="00BD1909"/>
    <w:rsid w:val="00BD1BD8"/>
    <w:rsid w:val="00BD3D61"/>
    <w:rsid w:val="00BD57E2"/>
    <w:rsid w:val="00BD5C84"/>
    <w:rsid w:val="00BD65E5"/>
    <w:rsid w:val="00BD7B16"/>
    <w:rsid w:val="00BE0BD7"/>
    <w:rsid w:val="00BE22F6"/>
    <w:rsid w:val="00BE324B"/>
    <w:rsid w:val="00BE327D"/>
    <w:rsid w:val="00BE343A"/>
    <w:rsid w:val="00BE3E10"/>
    <w:rsid w:val="00BF1C80"/>
    <w:rsid w:val="00BF448C"/>
    <w:rsid w:val="00BF68FB"/>
    <w:rsid w:val="00BF705A"/>
    <w:rsid w:val="00BF7225"/>
    <w:rsid w:val="00BF7FF8"/>
    <w:rsid w:val="00C00255"/>
    <w:rsid w:val="00C0456D"/>
    <w:rsid w:val="00C0534F"/>
    <w:rsid w:val="00C05F75"/>
    <w:rsid w:val="00C05FF3"/>
    <w:rsid w:val="00C130BA"/>
    <w:rsid w:val="00C173B3"/>
    <w:rsid w:val="00C17556"/>
    <w:rsid w:val="00C2240C"/>
    <w:rsid w:val="00C2302B"/>
    <w:rsid w:val="00C24CED"/>
    <w:rsid w:val="00C3070D"/>
    <w:rsid w:val="00C315CB"/>
    <w:rsid w:val="00C339E1"/>
    <w:rsid w:val="00C357CD"/>
    <w:rsid w:val="00C35ABB"/>
    <w:rsid w:val="00C35F95"/>
    <w:rsid w:val="00C362CC"/>
    <w:rsid w:val="00C36335"/>
    <w:rsid w:val="00C365A8"/>
    <w:rsid w:val="00C3763D"/>
    <w:rsid w:val="00C4325E"/>
    <w:rsid w:val="00C43F7C"/>
    <w:rsid w:val="00C4718B"/>
    <w:rsid w:val="00C504F5"/>
    <w:rsid w:val="00C515DE"/>
    <w:rsid w:val="00C5748B"/>
    <w:rsid w:val="00C62B56"/>
    <w:rsid w:val="00C63ACD"/>
    <w:rsid w:val="00C63ADE"/>
    <w:rsid w:val="00C64EF3"/>
    <w:rsid w:val="00C655E6"/>
    <w:rsid w:val="00C656A0"/>
    <w:rsid w:val="00C75561"/>
    <w:rsid w:val="00C81C66"/>
    <w:rsid w:val="00C821F3"/>
    <w:rsid w:val="00C82A41"/>
    <w:rsid w:val="00C82D05"/>
    <w:rsid w:val="00C83386"/>
    <w:rsid w:val="00C841B1"/>
    <w:rsid w:val="00C84FFB"/>
    <w:rsid w:val="00C85D1E"/>
    <w:rsid w:val="00C904D4"/>
    <w:rsid w:val="00C9797C"/>
    <w:rsid w:val="00CA0328"/>
    <w:rsid w:val="00CA0424"/>
    <w:rsid w:val="00CA0CA8"/>
    <w:rsid w:val="00CA1ED6"/>
    <w:rsid w:val="00CB51C4"/>
    <w:rsid w:val="00CB577D"/>
    <w:rsid w:val="00CB5A47"/>
    <w:rsid w:val="00CB7266"/>
    <w:rsid w:val="00CC0E51"/>
    <w:rsid w:val="00CC1548"/>
    <w:rsid w:val="00CC38D0"/>
    <w:rsid w:val="00CC5C16"/>
    <w:rsid w:val="00CC628D"/>
    <w:rsid w:val="00CC696C"/>
    <w:rsid w:val="00CC6FD5"/>
    <w:rsid w:val="00CC709F"/>
    <w:rsid w:val="00CC7856"/>
    <w:rsid w:val="00CD0EE1"/>
    <w:rsid w:val="00CD0FD5"/>
    <w:rsid w:val="00CD2B5C"/>
    <w:rsid w:val="00CD2E9C"/>
    <w:rsid w:val="00CD5166"/>
    <w:rsid w:val="00CD58C2"/>
    <w:rsid w:val="00CD73AD"/>
    <w:rsid w:val="00CE6521"/>
    <w:rsid w:val="00CE77B1"/>
    <w:rsid w:val="00CE79D8"/>
    <w:rsid w:val="00CF0E55"/>
    <w:rsid w:val="00CF2A67"/>
    <w:rsid w:val="00D002B8"/>
    <w:rsid w:val="00D0106A"/>
    <w:rsid w:val="00D02AFD"/>
    <w:rsid w:val="00D03983"/>
    <w:rsid w:val="00D03A29"/>
    <w:rsid w:val="00D04079"/>
    <w:rsid w:val="00D06131"/>
    <w:rsid w:val="00D066E7"/>
    <w:rsid w:val="00D10459"/>
    <w:rsid w:val="00D10F56"/>
    <w:rsid w:val="00D16308"/>
    <w:rsid w:val="00D20889"/>
    <w:rsid w:val="00D2203A"/>
    <w:rsid w:val="00D23C16"/>
    <w:rsid w:val="00D24B67"/>
    <w:rsid w:val="00D32A1D"/>
    <w:rsid w:val="00D33614"/>
    <w:rsid w:val="00D34F5B"/>
    <w:rsid w:val="00D364CB"/>
    <w:rsid w:val="00D36803"/>
    <w:rsid w:val="00D36A0D"/>
    <w:rsid w:val="00D413DD"/>
    <w:rsid w:val="00D42A51"/>
    <w:rsid w:val="00D42CBF"/>
    <w:rsid w:val="00D432A0"/>
    <w:rsid w:val="00D44859"/>
    <w:rsid w:val="00D4496C"/>
    <w:rsid w:val="00D44A55"/>
    <w:rsid w:val="00D4582F"/>
    <w:rsid w:val="00D4599C"/>
    <w:rsid w:val="00D45CEA"/>
    <w:rsid w:val="00D46390"/>
    <w:rsid w:val="00D46425"/>
    <w:rsid w:val="00D47261"/>
    <w:rsid w:val="00D51539"/>
    <w:rsid w:val="00D53C29"/>
    <w:rsid w:val="00D53DA9"/>
    <w:rsid w:val="00D5512F"/>
    <w:rsid w:val="00D55AF9"/>
    <w:rsid w:val="00D562B5"/>
    <w:rsid w:val="00D57535"/>
    <w:rsid w:val="00D604F3"/>
    <w:rsid w:val="00D628BE"/>
    <w:rsid w:val="00D64DD1"/>
    <w:rsid w:val="00D6526F"/>
    <w:rsid w:val="00D66791"/>
    <w:rsid w:val="00D745E8"/>
    <w:rsid w:val="00D746D2"/>
    <w:rsid w:val="00D74A6B"/>
    <w:rsid w:val="00D7537A"/>
    <w:rsid w:val="00D8717E"/>
    <w:rsid w:val="00D87CF1"/>
    <w:rsid w:val="00D90E0B"/>
    <w:rsid w:val="00D9593D"/>
    <w:rsid w:val="00D9658F"/>
    <w:rsid w:val="00D979DF"/>
    <w:rsid w:val="00DA3A3F"/>
    <w:rsid w:val="00DA611D"/>
    <w:rsid w:val="00DA6626"/>
    <w:rsid w:val="00DA7A86"/>
    <w:rsid w:val="00DB65B2"/>
    <w:rsid w:val="00DB7395"/>
    <w:rsid w:val="00DB75B9"/>
    <w:rsid w:val="00DC1DCF"/>
    <w:rsid w:val="00DC4800"/>
    <w:rsid w:val="00DC6071"/>
    <w:rsid w:val="00DC6966"/>
    <w:rsid w:val="00DC6D2A"/>
    <w:rsid w:val="00DC747C"/>
    <w:rsid w:val="00DC74D7"/>
    <w:rsid w:val="00DD1341"/>
    <w:rsid w:val="00DD2A4B"/>
    <w:rsid w:val="00DD3746"/>
    <w:rsid w:val="00DD5597"/>
    <w:rsid w:val="00DD5A64"/>
    <w:rsid w:val="00DD70DA"/>
    <w:rsid w:val="00DE0F36"/>
    <w:rsid w:val="00DE4086"/>
    <w:rsid w:val="00DE424C"/>
    <w:rsid w:val="00DE49F6"/>
    <w:rsid w:val="00DE4A1B"/>
    <w:rsid w:val="00DE5DFB"/>
    <w:rsid w:val="00DE665F"/>
    <w:rsid w:val="00DE6744"/>
    <w:rsid w:val="00DE7099"/>
    <w:rsid w:val="00DE78C7"/>
    <w:rsid w:val="00DF5D4C"/>
    <w:rsid w:val="00DF6395"/>
    <w:rsid w:val="00DF75B3"/>
    <w:rsid w:val="00E00CC2"/>
    <w:rsid w:val="00E0388B"/>
    <w:rsid w:val="00E0531B"/>
    <w:rsid w:val="00E079CE"/>
    <w:rsid w:val="00E108AF"/>
    <w:rsid w:val="00E135AF"/>
    <w:rsid w:val="00E20A90"/>
    <w:rsid w:val="00E214A0"/>
    <w:rsid w:val="00E2232A"/>
    <w:rsid w:val="00E26AD3"/>
    <w:rsid w:val="00E328B6"/>
    <w:rsid w:val="00E32B61"/>
    <w:rsid w:val="00E33386"/>
    <w:rsid w:val="00E34EB9"/>
    <w:rsid w:val="00E3668F"/>
    <w:rsid w:val="00E3741D"/>
    <w:rsid w:val="00E40FC1"/>
    <w:rsid w:val="00E42317"/>
    <w:rsid w:val="00E4688E"/>
    <w:rsid w:val="00E471EC"/>
    <w:rsid w:val="00E51E8F"/>
    <w:rsid w:val="00E52EFE"/>
    <w:rsid w:val="00E53EC3"/>
    <w:rsid w:val="00E5445C"/>
    <w:rsid w:val="00E563C7"/>
    <w:rsid w:val="00E56EDF"/>
    <w:rsid w:val="00E60872"/>
    <w:rsid w:val="00E62ED9"/>
    <w:rsid w:val="00E634C0"/>
    <w:rsid w:val="00E641A0"/>
    <w:rsid w:val="00E66F46"/>
    <w:rsid w:val="00E66F7B"/>
    <w:rsid w:val="00E70663"/>
    <w:rsid w:val="00E707AF"/>
    <w:rsid w:val="00E70DCF"/>
    <w:rsid w:val="00E7162D"/>
    <w:rsid w:val="00E71E0D"/>
    <w:rsid w:val="00E72F3F"/>
    <w:rsid w:val="00E73BBE"/>
    <w:rsid w:val="00E75325"/>
    <w:rsid w:val="00E8150A"/>
    <w:rsid w:val="00E815C5"/>
    <w:rsid w:val="00E82084"/>
    <w:rsid w:val="00E83C47"/>
    <w:rsid w:val="00E84AAF"/>
    <w:rsid w:val="00E84F09"/>
    <w:rsid w:val="00E865C1"/>
    <w:rsid w:val="00E924CD"/>
    <w:rsid w:val="00E93BBA"/>
    <w:rsid w:val="00E947D6"/>
    <w:rsid w:val="00EA1015"/>
    <w:rsid w:val="00EA23C7"/>
    <w:rsid w:val="00EA3B3F"/>
    <w:rsid w:val="00EA3E51"/>
    <w:rsid w:val="00EA5573"/>
    <w:rsid w:val="00EA5805"/>
    <w:rsid w:val="00EA738D"/>
    <w:rsid w:val="00EA7D6B"/>
    <w:rsid w:val="00EB039A"/>
    <w:rsid w:val="00EB144D"/>
    <w:rsid w:val="00EB182A"/>
    <w:rsid w:val="00EB3EDC"/>
    <w:rsid w:val="00EB4BF7"/>
    <w:rsid w:val="00EB5AD4"/>
    <w:rsid w:val="00EB6C57"/>
    <w:rsid w:val="00EB7AE5"/>
    <w:rsid w:val="00EB7D77"/>
    <w:rsid w:val="00EB7E3B"/>
    <w:rsid w:val="00EC0305"/>
    <w:rsid w:val="00EC0E9F"/>
    <w:rsid w:val="00EC2C79"/>
    <w:rsid w:val="00EC606B"/>
    <w:rsid w:val="00EC7954"/>
    <w:rsid w:val="00ED1291"/>
    <w:rsid w:val="00ED17D0"/>
    <w:rsid w:val="00ED18C3"/>
    <w:rsid w:val="00ED2548"/>
    <w:rsid w:val="00ED2BE2"/>
    <w:rsid w:val="00ED3F0C"/>
    <w:rsid w:val="00ED3FD7"/>
    <w:rsid w:val="00ED71E0"/>
    <w:rsid w:val="00EE28A9"/>
    <w:rsid w:val="00EE3E6B"/>
    <w:rsid w:val="00EE3FE9"/>
    <w:rsid w:val="00EE4807"/>
    <w:rsid w:val="00EE4CC5"/>
    <w:rsid w:val="00EF145A"/>
    <w:rsid w:val="00EF347C"/>
    <w:rsid w:val="00EF595E"/>
    <w:rsid w:val="00EF66ED"/>
    <w:rsid w:val="00EF72D9"/>
    <w:rsid w:val="00F00A38"/>
    <w:rsid w:val="00F00BFF"/>
    <w:rsid w:val="00F0101E"/>
    <w:rsid w:val="00F0374D"/>
    <w:rsid w:val="00F058C8"/>
    <w:rsid w:val="00F07C43"/>
    <w:rsid w:val="00F12571"/>
    <w:rsid w:val="00F12BD9"/>
    <w:rsid w:val="00F160F5"/>
    <w:rsid w:val="00F162C0"/>
    <w:rsid w:val="00F166AB"/>
    <w:rsid w:val="00F17D4F"/>
    <w:rsid w:val="00F21716"/>
    <w:rsid w:val="00F26280"/>
    <w:rsid w:val="00F27D18"/>
    <w:rsid w:val="00F27FFC"/>
    <w:rsid w:val="00F300DC"/>
    <w:rsid w:val="00F33CC7"/>
    <w:rsid w:val="00F33F4E"/>
    <w:rsid w:val="00F3415B"/>
    <w:rsid w:val="00F3525C"/>
    <w:rsid w:val="00F40082"/>
    <w:rsid w:val="00F4132A"/>
    <w:rsid w:val="00F430CB"/>
    <w:rsid w:val="00F4349E"/>
    <w:rsid w:val="00F43C82"/>
    <w:rsid w:val="00F45B10"/>
    <w:rsid w:val="00F460B6"/>
    <w:rsid w:val="00F466EE"/>
    <w:rsid w:val="00F47817"/>
    <w:rsid w:val="00F53779"/>
    <w:rsid w:val="00F53F11"/>
    <w:rsid w:val="00F55594"/>
    <w:rsid w:val="00F56193"/>
    <w:rsid w:val="00F5794F"/>
    <w:rsid w:val="00F579FA"/>
    <w:rsid w:val="00F6130B"/>
    <w:rsid w:val="00F66547"/>
    <w:rsid w:val="00F668C9"/>
    <w:rsid w:val="00F66C32"/>
    <w:rsid w:val="00F7058F"/>
    <w:rsid w:val="00F749E4"/>
    <w:rsid w:val="00F821C8"/>
    <w:rsid w:val="00F83413"/>
    <w:rsid w:val="00F83E3E"/>
    <w:rsid w:val="00F86736"/>
    <w:rsid w:val="00F87474"/>
    <w:rsid w:val="00F93193"/>
    <w:rsid w:val="00F948F3"/>
    <w:rsid w:val="00F95593"/>
    <w:rsid w:val="00FA04F3"/>
    <w:rsid w:val="00FA1549"/>
    <w:rsid w:val="00FA159A"/>
    <w:rsid w:val="00FA2F4A"/>
    <w:rsid w:val="00FA3FD0"/>
    <w:rsid w:val="00FA6B0E"/>
    <w:rsid w:val="00FA78F2"/>
    <w:rsid w:val="00FB170E"/>
    <w:rsid w:val="00FB2C26"/>
    <w:rsid w:val="00FB7732"/>
    <w:rsid w:val="00FC2F6F"/>
    <w:rsid w:val="00FC460C"/>
    <w:rsid w:val="00FC50F1"/>
    <w:rsid w:val="00FC7067"/>
    <w:rsid w:val="00FC7975"/>
    <w:rsid w:val="00FD03DE"/>
    <w:rsid w:val="00FD2B0C"/>
    <w:rsid w:val="00FD44CC"/>
    <w:rsid w:val="00FD4EE5"/>
    <w:rsid w:val="00FD571C"/>
    <w:rsid w:val="00FD5B5A"/>
    <w:rsid w:val="00FD5B9B"/>
    <w:rsid w:val="00FD67A7"/>
    <w:rsid w:val="00FD6C3E"/>
    <w:rsid w:val="00FD7049"/>
    <w:rsid w:val="00FE0077"/>
    <w:rsid w:val="00FE052D"/>
    <w:rsid w:val="00FE2197"/>
    <w:rsid w:val="00FE2C4D"/>
    <w:rsid w:val="00FE3BF8"/>
    <w:rsid w:val="00FE5335"/>
    <w:rsid w:val="00FE56FE"/>
    <w:rsid w:val="00FE5979"/>
    <w:rsid w:val="00FE5E31"/>
    <w:rsid w:val="00FE73B6"/>
    <w:rsid w:val="00FF0332"/>
    <w:rsid w:val="00FF15E2"/>
    <w:rsid w:val="00FF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35A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5FC7"/>
    <w:pPr>
      <w:spacing w:after="0" w:line="240" w:lineRule="auto"/>
    </w:pPr>
    <w:rPr>
      <w:sz w:val="20"/>
      <w:szCs w:val="20"/>
    </w:rPr>
  </w:style>
  <w:style w:type="character" w:customStyle="1" w:styleId="FootnoteTextChar">
    <w:name w:val="Footnote Text Char"/>
    <w:basedOn w:val="DefaultParagraphFont"/>
    <w:link w:val="FootnoteText"/>
    <w:uiPriority w:val="99"/>
    <w:rsid w:val="008C5FC7"/>
    <w:rPr>
      <w:sz w:val="20"/>
      <w:szCs w:val="20"/>
    </w:rPr>
  </w:style>
  <w:style w:type="character" w:styleId="FootnoteReference">
    <w:name w:val="footnote reference"/>
    <w:basedOn w:val="DefaultParagraphFont"/>
    <w:uiPriority w:val="99"/>
    <w:semiHidden/>
    <w:unhideWhenUsed/>
    <w:rsid w:val="008C5FC7"/>
    <w:rPr>
      <w:vertAlign w:val="superscript"/>
    </w:rPr>
  </w:style>
  <w:style w:type="character" w:styleId="Hyperlink">
    <w:name w:val="Hyperlink"/>
    <w:basedOn w:val="DefaultParagraphFont"/>
    <w:uiPriority w:val="99"/>
    <w:unhideWhenUsed/>
    <w:rsid w:val="001111BA"/>
    <w:rPr>
      <w:color w:val="0000FF" w:themeColor="hyperlink"/>
      <w:u w:val="single"/>
    </w:rPr>
  </w:style>
  <w:style w:type="paragraph" w:styleId="BalloonText">
    <w:name w:val="Balloon Text"/>
    <w:basedOn w:val="Normal"/>
    <w:link w:val="BalloonTextChar"/>
    <w:uiPriority w:val="99"/>
    <w:semiHidden/>
    <w:unhideWhenUsed/>
    <w:rsid w:val="0049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873"/>
    <w:rPr>
      <w:rFonts w:ascii="Tahoma" w:hAnsi="Tahoma" w:cs="Tahoma"/>
      <w:sz w:val="16"/>
      <w:szCs w:val="16"/>
    </w:rPr>
  </w:style>
  <w:style w:type="character" w:styleId="FollowedHyperlink">
    <w:name w:val="FollowedHyperlink"/>
    <w:basedOn w:val="DefaultParagraphFont"/>
    <w:uiPriority w:val="99"/>
    <w:semiHidden/>
    <w:unhideWhenUsed/>
    <w:rsid w:val="00494873"/>
    <w:rPr>
      <w:color w:val="800080" w:themeColor="followedHyperlink"/>
      <w:u w:val="single"/>
    </w:rPr>
  </w:style>
  <w:style w:type="paragraph" w:styleId="ListParagraph">
    <w:name w:val="List Paragraph"/>
    <w:basedOn w:val="Normal"/>
    <w:uiPriority w:val="34"/>
    <w:qFormat/>
    <w:rsid w:val="004E6E75"/>
    <w:pPr>
      <w:ind w:left="720"/>
      <w:contextualSpacing/>
    </w:pPr>
  </w:style>
  <w:style w:type="paragraph" w:styleId="NormalWeb">
    <w:name w:val="Normal (Web)"/>
    <w:basedOn w:val="Normal"/>
    <w:uiPriority w:val="99"/>
    <w:semiHidden/>
    <w:unhideWhenUsed/>
    <w:rsid w:val="0037336A"/>
    <w:rPr>
      <w:rFonts w:ascii="Times New Roman" w:hAnsi="Times New Roman" w:cs="Times New Roman"/>
      <w:sz w:val="24"/>
      <w:szCs w:val="24"/>
    </w:rPr>
  </w:style>
  <w:style w:type="paragraph" w:styleId="ListBullet">
    <w:name w:val="List Bullet"/>
    <w:basedOn w:val="Normal"/>
    <w:uiPriority w:val="99"/>
    <w:unhideWhenUsed/>
    <w:rsid w:val="00160057"/>
    <w:pPr>
      <w:numPr>
        <w:numId w:val="7"/>
      </w:numPr>
      <w:contextualSpacing/>
    </w:pPr>
  </w:style>
  <w:style w:type="paragraph" w:styleId="Header">
    <w:name w:val="header"/>
    <w:basedOn w:val="Normal"/>
    <w:link w:val="HeaderChar"/>
    <w:uiPriority w:val="99"/>
    <w:unhideWhenUsed/>
    <w:rsid w:val="00247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AC2"/>
  </w:style>
  <w:style w:type="paragraph" w:styleId="Footer">
    <w:name w:val="footer"/>
    <w:basedOn w:val="Normal"/>
    <w:link w:val="FooterChar"/>
    <w:uiPriority w:val="99"/>
    <w:unhideWhenUsed/>
    <w:rsid w:val="0024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AC2"/>
  </w:style>
  <w:style w:type="character" w:customStyle="1" w:styleId="Heading3Char">
    <w:name w:val="Heading 3 Char"/>
    <w:basedOn w:val="DefaultParagraphFont"/>
    <w:link w:val="Heading3"/>
    <w:uiPriority w:val="9"/>
    <w:semiHidden/>
    <w:rsid w:val="00935A5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35A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5FC7"/>
    <w:pPr>
      <w:spacing w:after="0" w:line="240" w:lineRule="auto"/>
    </w:pPr>
    <w:rPr>
      <w:sz w:val="20"/>
      <w:szCs w:val="20"/>
    </w:rPr>
  </w:style>
  <w:style w:type="character" w:customStyle="1" w:styleId="FootnoteTextChar">
    <w:name w:val="Footnote Text Char"/>
    <w:basedOn w:val="DefaultParagraphFont"/>
    <w:link w:val="FootnoteText"/>
    <w:uiPriority w:val="99"/>
    <w:rsid w:val="008C5FC7"/>
    <w:rPr>
      <w:sz w:val="20"/>
      <w:szCs w:val="20"/>
    </w:rPr>
  </w:style>
  <w:style w:type="character" w:styleId="FootnoteReference">
    <w:name w:val="footnote reference"/>
    <w:basedOn w:val="DefaultParagraphFont"/>
    <w:uiPriority w:val="99"/>
    <w:semiHidden/>
    <w:unhideWhenUsed/>
    <w:rsid w:val="008C5FC7"/>
    <w:rPr>
      <w:vertAlign w:val="superscript"/>
    </w:rPr>
  </w:style>
  <w:style w:type="character" w:styleId="Hyperlink">
    <w:name w:val="Hyperlink"/>
    <w:basedOn w:val="DefaultParagraphFont"/>
    <w:uiPriority w:val="99"/>
    <w:unhideWhenUsed/>
    <w:rsid w:val="001111BA"/>
    <w:rPr>
      <w:color w:val="0000FF" w:themeColor="hyperlink"/>
      <w:u w:val="single"/>
    </w:rPr>
  </w:style>
  <w:style w:type="paragraph" w:styleId="BalloonText">
    <w:name w:val="Balloon Text"/>
    <w:basedOn w:val="Normal"/>
    <w:link w:val="BalloonTextChar"/>
    <w:uiPriority w:val="99"/>
    <w:semiHidden/>
    <w:unhideWhenUsed/>
    <w:rsid w:val="0049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873"/>
    <w:rPr>
      <w:rFonts w:ascii="Tahoma" w:hAnsi="Tahoma" w:cs="Tahoma"/>
      <w:sz w:val="16"/>
      <w:szCs w:val="16"/>
    </w:rPr>
  </w:style>
  <w:style w:type="character" w:styleId="FollowedHyperlink">
    <w:name w:val="FollowedHyperlink"/>
    <w:basedOn w:val="DefaultParagraphFont"/>
    <w:uiPriority w:val="99"/>
    <w:semiHidden/>
    <w:unhideWhenUsed/>
    <w:rsid w:val="00494873"/>
    <w:rPr>
      <w:color w:val="800080" w:themeColor="followedHyperlink"/>
      <w:u w:val="single"/>
    </w:rPr>
  </w:style>
  <w:style w:type="paragraph" w:styleId="ListParagraph">
    <w:name w:val="List Paragraph"/>
    <w:basedOn w:val="Normal"/>
    <w:uiPriority w:val="34"/>
    <w:qFormat/>
    <w:rsid w:val="004E6E75"/>
    <w:pPr>
      <w:ind w:left="720"/>
      <w:contextualSpacing/>
    </w:pPr>
  </w:style>
  <w:style w:type="paragraph" w:styleId="NormalWeb">
    <w:name w:val="Normal (Web)"/>
    <w:basedOn w:val="Normal"/>
    <w:uiPriority w:val="99"/>
    <w:semiHidden/>
    <w:unhideWhenUsed/>
    <w:rsid w:val="0037336A"/>
    <w:rPr>
      <w:rFonts w:ascii="Times New Roman" w:hAnsi="Times New Roman" w:cs="Times New Roman"/>
      <w:sz w:val="24"/>
      <w:szCs w:val="24"/>
    </w:rPr>
  </w:style>
  <w:style w:type="paragraph" w:styleId="ListBullet">
    <w:name w:val="List Bullet"/>
    <w:basedOn w:val="Normal"/>
    <w:uiPriority w:val="99"/>
    <w:unhideWhenUsed/>
    <w:rsid w:val="00160057"/>
    <w:pPr>
      <w:numPr>
        <w:numId w:val="7"/>
      </w:numPr>
      <w:contextualSpacing/>
    </w:pPr>
  </w:style>
  <w:style w:type="paragraph" w:styleId="Header">
    <w:name w:val="header"/>
    <w:basedOn w:val="Normal"/>
    <w:link w:val="HeaderChar"/>
    <w:uiPriority w:val="99"/>
    <w:unhideWhenUsed/>
    <w:rsid w:val="00247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AC2"/>
  </w:style>
  <w:style w:type="paragraph" w:styleId="Footer">
    <w:name w:val="footer"/>
    <w:basedOn w:val="Normal"/>
    <w:link w:val="FooterChar"/>
    <w:uiPriority w:val="99"/>
    <w:unhideWhenUsed/>
    <w:rsid w:val="0024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AC2"/>
  </w:style>
  <w:style w:type="character" w:customStyle="1" w:styleId="Heading3Char">
    <w:name w:val="Heading 3 Char"/>
    <w:basedOn w:val="DefaultParagraphFont"/>
    <w:link w:val="Heading3"/>
    <w:uiPriority w:val="9"/>
    <w:semiHidden/>
    <w:rsid w:val="00935A5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7984">
      <w:bodyDiv w:val="1"/>
      <w:marLeft w:val="0"/>
      <w:marRight w:val="0"/>
      <w:marTop w:val="0"/>
      <w:marBottom w:val="0"/>
      <w:divBdr>
        <w:top w:val="none" w:sz="0" w:space="0" w:color="auto"/>
        <w:left w:val="none" w:sz="0" w:space="0" w:color="auto"/>
        <w:bottom w:val="none" w:sz="0" w:space="0" w:color="auto"/>
        <w:right w:val="none" w:sz="0" w:space="0" w:color="auto"/>
      </w:divBdr>
    </w:div>
    <w:div w:id="75439856">
      <w:bodyDiv w:val="1"/>
      <w:marLeft w:val="0"/>
      <w:marRight w:val="0"/>
      <w:marTop w:val="0"/>
      <w:marBottom w:val="0"/>
      <w:divBdr>
        <w:top w:val="none" w:sz="0" w:space="0" w:color="auto"/>
        <w:left w:val="none" w:sz="0" w:space="0" w:color="auto"/>
        <w:bottom w:val="none" w:sz="0" w:space="0" w:color="auto"/>
        <w:right w:val="none" w:sz="0" w:space="0" w:color="auto"/>
      </w:divBdr>
    </w:div>
    <w:div w:id="399671121">
      <w:bodyDiv w:val="1"/>
      <w:marLeft w:val="0"/>
      <w:marRight w:val="0"/>
      <w:marTop w:val="0"/>
      <w:marBottom w:val="0"/>
      <w:divBdr>
        <w:top w:val="none" w:sz="0" w:space="0" w:color="auto"/>
        <w:left w:val="none" w:sz="0" w:space="0" w:color="auto"/>
        <w:bottom w:val="none" w:sz="0" w:space="0" w:color="auto"/>
        <w:right w:val="none" w:sz="0" w:space="0" w:color="auto"/>
      </w:divBdr>
    </w:div>
    <w:div w:id="471562338">
      <w:bodyDiv w:val="1"/>
      <w:marLeft w:val="0"/>
      <w:marRight w:val="0"/>
      <w:marTop w:val="0"/>
      <w:marBottom w:val="0"/>
      <w:divBdr>
        <w:top w:val="none" w:sz="0" w:space="0" w:color="auto"/>
        <w:left w:val="none" w:sz="0" w:space="0" w:color="auto"/>
        <w:bottom w:val="none" w:sz="0" w:space="0" w:color="auto"/>
        <w:right w:val="none" w:sz="0" w:space="0" w:color="auto"/>
      </w:divBdr>
      <w:divsChild>
        <w:div w:id="1363245335">
          <w:marLeft w:val="0"/>
          <w:marRight w:val="0"/>
          <w:marTop w:val="240"/>
          <w:marBottom w:val="0"/>
          <w:divBdr>
            <w:top w:val="none" w:sz="0" w:space="0" w:color="auto"/>
            <w:left w:val="none" w:sz="0" w:space="0" w:color="auto"/>
            <w:bottom w:val="none" w:sz="0" w:space="0" w:color="auto"/>
            <w:right w:val="none" w:sz="0" w:space="0" w:color="auto"/>
          </w:divBdr>
          <w:divsChild>
            <w:div w:id="956639987">
              <w:marLeft w:val="0"/>
              <w:marRight w:val="0"/>
              <w:marTop w:val="0"/>
              <w:marBottom w:val="0"/>
              <w:divBdr>
                <w:top w:val="none" w:sz="0" w:space="0" w:color="auto"/>
                <w:left w:val="none" w:sz="0" w:space="0" w:color="auto"/>
                <w:bottom w:val="none" w:sz="0" w:space="0" w:color="auto"/>
                <w:right w:val="none" w:sz="0" w:space="0" w:color="auto"/>
              </w:divBdr>
            </w:div>
          </w:divsChild>
        </w:div>
        <w:div w:id="1488325657">
          <w:marLeft w:val="0"/>
          <w:marRight w:val="0"/>
          <w:marTop w:val="240"/>
          <w:marBottom w:val="0"/>
          <w:divBdr>
            <w:top w:val="none" w:sz="0" w:space="0" w:color="auto"/>
            <w:left w:val="none" w:sz="0" w:space="0" w:color="auto"/>
            <w:bottom w:val="none" w:sz="0" w:space="0" w:color="auto"/>
            <w:right w:val="none" w:sz="0" w:space="0" w:color="auto"/>
          </w:divBdr>
          <w:divsChild>
            <w:div w:id="14908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2109">
      <w:bodyDiv w:val="1"/>
      <w:marLeft w:val="0"/>
      <w:marRight w:val="0"/>
      <w:marTop w:val="0"/>
      <w:marBottom w:val="0"/>
      <w:divBdr>
        <w:top w:val="none" w:sz="0" w:space="0" w:color="auto"/>
        <w:left w:val="none" w:sz="0" w:space="0" w:color="auto"/>
        <w:bottom w:val="none" w:sz="0" w:space="0" w:color="auto"/>
        <w:right w:val="none" w:sz="0" w:space="0" w:color="auto"/>
      </w:divBdr>
    </w:div>
    <w:div w:id="894389072">
      <w:bodyDiv w:val="1"/>
      <w:marLeft w:val="0"/>
      <w:marRight w:val="0"/>
      <w:marTop w:val="0"/>
      <w:marBottom w:val="0"/>
      <w:divBdr>
        <w:top w:val="none" w:sz="0" w:space="0" w:color="auto"/>
        <w:left w:val="none" w:sz="0" w:space="0" w:color="auto"/>
        <w:bottom w:val="none" w:sz="0" w:space="0" w:color="auto"/>
        <w:right w:val="none" w:sz="0" w:space="0" w:color="auto"/>
      </w:divBdr>
    </w:div>
    <w:div w:id="897321777">
      <w:bodyDiv w:val="1"/>
      <w:marLeft w:val="0"/>
      <w:marRight w:val="0"/>
      <w:marTop w:val="0"/>
      <w:marBottom w:val="0"/>
      <w:divBdr>
        <w:top w:val="none" w:sz="0" w:space="0" w:color="auto"/>
        <w:left w:val="none" w:sz="0" w:space="0" w:color="auto"/>
        <w:bottom w:val="none" w:sz="0" w:space="0" w:color="auto"/>
        <w:right w:val="none" w:sz="0" w:space="0" w:color="auto"/>
      </w:divBdr>
      <w:divsChild>
        <w:div w:id="72435424">
          <w:marLeft w:val="0"/>
          <w:marRight w:val="0"/>
          <w:marTop w:val="0"/>
          <w:marBottom w:val="0"/>
          <w:divBdr>
            <w:top w:val="none" w:sz="0" w:space="0" w:color="auto"/>
            <w:left w:val="none" w:sz="0" w:space="0" w:color="auto"/>
            <w:bottom w:val="none" w:sz="0" w:space="0" w:color="auto"/>
            <w:right w:val="none" w:sz="0" w:space="0" w:color="auto"/>
          </w:divBdr>
        </w:div>
        <w:div w:id="439684029">
          <w:marLeft w:val="0"/>
          <w:marRight w:val="0"/>
          <w:marTop w:val="0"/>
          <w:marBottom w:val="0"/>
          <w:divBdr>
            <w:top w:val="none" w:sz="0" w:space="0" w:color="auto"/>
            <w:left w:val="none" w:sz="0" w:space="0" w:color="auto"/>
            <w:bottom w:val="none" w:sz="0" w:space="0" w:color="auto"/>
            <w:right w:val="none" w:sz="0" w:space="0" w:color="auto"/>
          </w:divBdr>
        </w:div>
        <w:div w:id="453986391">
          <w:marLeft w:val="0"/>
          <w:marRight w:val="0"/>
          <w:marTop w:val="0"/>
          <w:marBottom w:val="0"/>
          <w:divBdr>
            <w:top w:val="none" w:sz="0" w:space="0" w:color="auto"/>
            <w:left w:val="none" w:sz="0" w:space="0" w:color="auto"/>
            <w:bottom w:val="none" w:sz="0" w:space="0" w:color="auto"/>
            <w:right w:val="none" w:sz="0" w:space="0" w:color="auto"/>
          </w:divBdr>
        </w:div>
        <w:div w:id="476921542">
          <w:marLeft w:val="0"/>
          <w:marRight w:val="0"/>
          <w:marTop w:val="0"/>
          <w:marBottom w:val="0"/>
          <w:divBdr>
            <w:top w:val="none" w:sz="0" w:space="0" w:color="auto"/>
            <w:left w:val="none" w:sz="0" w:space="0" w:color="auto"/>
            <w:bottom w:val="none" w:sz="0" w:space="0" w:color="auto"/>
            <w:right w:val="none" w:sz="0" w:space="0" w:color="auto"/>
          </w:divBdr>
        </w:div>
        <w:div w:id="503591439">
          <w:marLeft w:val="0"/>
          <w:marRight w:val="0"/>
          <w:marTop w:val="0"/>
          <w:marBottom w:val="0"/>
          <w:divBdr>
            <w:top w:val="none" w:sz="0" w:space="0" w:color="auto"/>
            <w:left w:val="none" w:sz="0" w:space="0" w:color="auto"/>
            <w:bottom w:val="none" w:sz="0" w:space="0" w:color="auto"/>
            <w:right w:val="none" w:sz="0" w:space="0" w:color="auto"/>
          </w:divBdr>
        </w:div>
        <w:div w:id="562253254">
          <w:marLeft w:val="0"/>
          <w:marRight w:val="0"/>
          <w:marTop w:val="0"/>
          <w:marBottom w:val="0"/>
          <w:divBdr>
            <w:top w:val="none" w:sz="0" w:space="0" w:color="auto"/>
            <w:left w:val="none" w:sz="0" w:space="0" w:color="auto"/>
            <w:bottom w:val="none" w:sz="0" w:space="0" w:color="auto"/>
            <w:right w:val="none" w:sz="0" w:space="0" w:color="auto"/>
          </w:divBdr>
        </w:div>
        <w:div w:id="704603755">
          <w:marLeft w:val="0"/>
          <w:marRight w:val="0"/>
          <w:marTop w:val="0"/>
          <w:marBottom w:val="0"/>
          <w:divBdr>
            <w:top w:val="none" w:sz="0" w:space="0" w:color="auto"/>
            <w:left w:val="none" w:sz="0" w:space="0" w:color="auto"/>
            <w:bottom w:val="none" w:sz="0" w:space="0" w:color="auto"/>
            <w:right w:val="none" w:sz="0" w:space="0" w:color="auto"/>
          </w:divBdr>
        </w:div>
        <w:div w:id="790779457">
          <w:marLeft w:val="0"/>
          <w:marRight w:val="0"/>
          <w:marTop w:val="0"/>
          <w:marBottom w:val="0"/>
          <w:divBdr>
            <w:top w:val="none" w:sz="0" w:space="0" w:color="auto"/>
            <w:left w:val="none" w:sz="0" w:space="0" w:color="auto"/>
            <w:bottom w:val="none" w:sz="0" w:space="0" w:color="auto"/>
            <w:right w:val="none" w:sz="0" w:space="0" w:color="auto"/>
          </w:divBdr>
        </w:div>
        <w:div w:id="923344400">
          <w:marLeft w:val="0"/>
          <w:marRight w:val="0"/>
          <w:marTop w:val="0"/>
          <w:marBottom w:val="0"/>
          <w:divBdr>
            <w:top w:val="none" w:sz="0" w:space="0" w:color="auto"/>
            <w:left w:val="none" w:sz="0" w:space="0" w:color="auto"/>
            <w:bottom w:val="none" w:sz="0" w:space="0" w:color="auto"/>
            <w:right w:val="none" w:sz="0" w:space="0" w:color="auto"/>
          </w:divBdr>
        </w:div>
        <w:div w:id="963315580">
          <w:marLeft w:val="0"/>
          <w:marRight w:val="0"/>
          <w:marTop w:val="0"/>
          <w:marBottom w:val="0"/>
          <w:divBdr>
            <w:top w:val="none" w:sz="0" w:space="0" w:color="auto"/>
            <w:left w:val="none" w:sz="0" w:space="0" w:color="auto"/>
            <w:bottom w:val="none" w:sz="0" w:space="0" w:color="auto"/>
            <w:right w:val="none" w:sz="0" w:space="0" w:color="auto"/>
          </w:divBdr>
        </w:div>
        <w:div w:id="1070150520">
          <w:marLeft w:val="0"/>
          <w:marRight w:val="0"/>
          <w:marTop w:val="0"/>
          <w:marBottom w:val="0"/>
          <w:divBdr>
            <w:top w:val="none" w:sz="0" w:space="0" w:color="auto"/>
            <w:left w:val="none" w:sz="0" w:space="0" w:color="auto"/>
            <w:bottom w:val="none" w:sz="0" w:space="0" w:color="auto"/>
            <w:right w:val="none" w:sz="0" w:space="0" w:color="auto"/>
          </w:divBdr>
        </w:div>
        <w:div w:id="1159468108">
          <w:marLeft w:val="0"/>
          <w:marRight w:val="0"/>
          <w:marTop w:val="0"/>
          <w:marBottom w:val="0"/>
          <w:divBdr>
            <w:top w:val="none" w:sz="0" w:space="0" w:color="auto"/>
            <w:left w:val="none" w:sz="0" w:space="0" w:color="auto"/>
            <w:bottom w:val="none" w:sz="0" w:space="0" w:color="auto"/>
            <w:right w:val="none" w:sz="0" w:space="0" w:color="auto"/>
          </w:divBdr>
        </w:div>
        <w:div w:id="1261336544">
          <w:marLeft w:val="0"/>
          <w:marRight w:val="0"/>
          <w:marTop w:val="0"/>
          <w:marBottom w:val="0"/>
          <w:divBdr>
            <w:top w:val="none" w:sz="0" w:space="0" w:color="auto"/>
            <w:left w:val="none" w:sz="0" w:space="0" w:color="auto"/>
            <w:bottom w:val="none" w:sz="0" w:space="0" w:color="auto"/>
            <w:right w:val="none" w:sz="0" w:space="0" w:color="auto"/>
          </w:divBdr>
        </w:div>
        <w:div w:id="1281491522">
          <w:marLeft w:val="0"/>
          <w:marRight w:val="0"/>
          <w:marTop w:val="0"/>
          <w:marBottom w:val="0"/>
          <w:divBdr>
            <w:top w:val="none" w:sz="0" w:space="0" w:color="auto"/>
            <w:left w:val="none" w:sz="0" w:space="0" w:color="auto"/>
            <w:bottom w:val="none" w:sz="0" w:space="0" w:color="auto"/>
            <w:right w:val="none" w:sz="0" w:space="0" w:color="auto"/>
          </w:divBdr>
        </w:div>
        <w:div w:id="1335841450">
          <w:marLeft w:val="0"/>
          <w:marRight w:val="0"/>
          <w:marTop w:val="0"/>
          <w:marBottom w:val="0"/>
          <w:divBdr>
            <w:top w:val="none" w:sz="0" w:space="0" w:color="auto"/>
            <w:left w:val="none" w:sz="0" w:space="0" w:color="auto"/>
            <w:bottom w:val="none" w:sz="0" w:space="0" w:color="auto"/>
            <w:right w:val="none" w:sz="0" w:space="0" w:color="auto"/>
          </w:divBdr>
        </w:div>
        <w:div w:id="1395003005">
          <w:marLeft w:val="0"/>
          <w:marRight w:val="0"/>
          <w:marTop w:val="0"/>
          <w:marBottom w:val="0"/>
          <w:divBdr>
            <w:top w:val="none" w:sz="0" w:space="0" w:color="auto"/>
            <w:left w:val="none" w:sz="0" w:space="0" w:color="auto"/>
            <w:bottom w:val="none" w:sz="0" w:space="0" w:color="auto"/>
            <w:right w:val="none" w:sz="0" w:space="0" w:color="auto"/>
          </w:divBdr>
        </w:div>
        <w:div w:id="1524589294">
          <w:marLeft w:val="0"/>
          <w:marRight w:val="0"/>
          <w:marTop w:val="0"/>
          <w:marBottom w:val="0"/>
          <w:divBdr>
            <w:top w:val="none" w:sz="0" w:space="0" w:color="auto"/>
            <w:left w:val="none" w:sz="0" w:space="0" w:color="auto"/>
            <w:bottom w:val="none" w:sz="0" w:space="0" w:color="auto"/>
            <w:right w:val="none" w:sz="0" w:space="0" w:color="auto"/>
          </w:divBdr>
        </w:div>
        <w:div w:id="1607732739">
          <w:marLeft w:val="0"/>
          <w:marRight w:val="0"/>
          <w:marTop w:val="0"/>
          <w:marBottom w:val="0"/>
          <w:divBdr>
            <w:top w:val="none" w:sz="0" w:space="0" w:color="auto"/>
            <w:left w:val="none" w:sz="0" w:space="0" w:color="auto"/>
            <w:bottom w:val="none" w:sz="0" w:space="0" w:color="auto"/>
            <w:right w:val="none" w:sz="0" w:space="0" w:color="auto"/>
          </w:divBdr>
        </w:div>
        <w:div w:id="1736972506">
          <w:marLeft w:val="0"/>
          <w:marRight w:val="0"/>
          <w:marTop w:val="0"/>
          <w:marBottom w:val="0"/>
          <w:divBdr>
            <w:top w:val="none" w:sz="0" w:space="0" w:color="auto"/>
            <w:left w:val="none" w:sz="0" w:space="0" w:color="auto"/>
            <w:bottom w:val="none" w:sz="0" w:space="0" w:color="auto"/>
            <w:right w:val="none" w:sz="0" w:space="0" w:color="auto"/>
          </w:divBdr>
        </w:div>
        <w:div w:id="1755204147">
          <w:marLeft w:val="0"/>
          <w:marRight w:val="0"/>
          <w:marTop w:val="0"/>
          <w:marBottom w:val="0"/>
          <w:divBdr>
            <w:top w:val="none" w:sz="0" w:space="0" w:color="auto"/>
            <w:left w:val="none" w:sz="0" w:space="0" w:color="auto"/>
            <w:bottom w:val="none" w:sz="0" w:space="0" w:color="auto"/>
            <w:right w:val="none" w:sz="0" w:space="0" w:color="auto"/>
          </w:divBdr>
        </w:div>
        <w:div w:id="1954939379">
          <w:marLeft w:val="0"/>
          <w:marRight w:val="0"/>
          <w:marTop w:val="0"/>
          <w:marBottom w:val="0"/>
          <w:divBdr>
            <w:top w:val="none" w:sz="0" w:space="0" w:color="auto"/>
            <w:left w:val="none" w:sz="0" w:space="0" w:color="auto"/>
            <w:bottom w:val="none" w:sz="0" w:space="0" w:color="auto"/>
            <w:right w:val="none" w:sz="0" w:space="0" w:color="auto"/>
          </w:divBdr>
        </w:div>
        <w:div w:id="1991515770">
          <w:marLeft w:val="0"/>
          <w:marRight w:val="0"/>
          <w:marTop w:val="0"/>
          <w:marBottom w:val="0"/>
          <w:divBdr>
            <w:top w:val="none" w:sz="0" w:space="0" w:color="auto"/>
            <w:left w:val="none" w:sz="0" w:space="0" w:color="auto"/>
            <w:bottom w:val="none" w:sz="0" w:space="0" w:color="auto"/>
            <w:right w:val="none" w:sz="0" w:space="0" w:color="auto"/>
          </w:divBdr>
        </w:div>
        <w:div w:id="2034572262">
          <w:marLeft w:val="0"/>
          <w:marRight w:val="0"/>
          <w:marTop w:val="0"/>
          <w:marBottom w:val="0"/>
          <w:divBdr>
            <w:top w:val="none" w:sz="0" w:space="0" w:color="auto"/>
            <w:left w:val="none" w:sz="0" w:space="0" w:color="auto"/>
            <w:bottom w:val="none" w:sz="0" w:space="0" w:color="auto"/>
            <w:right w:val="none" w:sz="0" w:space="0" w:color="auto"/>
          </w:divBdr>
        </w:div>
      </w:divsChild>
    </w:div>
    <w:div w:id="1052776497">
      <w:bodyDiv w:val="1"/>
      <w:marLeft w:val="0"/>
      <w:marRight w:val="0"/>
      <w:marTop w:val="0"/>
      <w:marBottom w:val="0"/>
      <w:divBdr>
        <w:top w:val="none" w:sz="0" w:space="0" w:color="auto"/>
        <w:left w:val="none" w:sz="0" w:space="0" w:color="auto"/>
        <w:bottom w:val="none" w:sz="0" w:space="0" w:color="auto"/>
        <w:right w:val="none" w:sz="0" w:space="0" w:color="auto"/>
      </w:divBdr>
    </w:div>
    <w:div w:id="1212766612">
      <w:bodyDiv w:val="1"/>
      <w:marLeft w:val="0"/>
      <w:marRight w:val="0"/>
      <w:marTop w:val="0"/>
      <w:marBottom w:val="0"/>
      <w:divBdr>
        <w:top w:val="none" w:sz="0" w:space="0" w:color="auto"/>
        <w:left w:val="none" w:sz="0" w:space="0" w:color="auto"/>
        <w:bottom w:val="none" w:sz="0" w:space="0" w:color="auto"/>
        <w:right w:val="none" w:sz="0" w:space="0" w:color="auto"/>
      </w:divBdr>
    </w:div>
    <w:div w:id="1246767763">
      <w:bodyDiv w:val="1"/>
      <w:marLeft w:val="0"/>
      <w:marRight w:val="0"/>
      <w:marTop w:val="0"/>
      <w:marBottom w:val="0"/>
      <w:divBdr>
        <w:top w:val="none" w:sz="0" w:space="0" w:color="auto"/>
        <w:left w:val="none" w:sz="0" w:space="0" w:color="auto"/>
        <w:bottom w:val="none" w:sz="0" w:space="0" w:color="auto"/>
        <w:right w:val="none" w:sz="0" w:space="0" w:color="auto"/>
      </w:divBdr>
    </w:div>
    <w:div w:id="1453286477">
      <w:bodyDiv w:val="1"/>
      <w:marLeft w:val="0"/>
      <w:marRight w:val="0"/>
      <w:marTop w:val="0"/>
      <w:marBottom w:val="0"/>
      <w:divBdr>
        <w:top w:val="none" w:sz="0" w:space="0" w:color="auto"/>
        <w:left w:val="none" w:sz="0" w:space="0" w:color="auto"/>
        <w:bottom w:val="none" w:sz="0" w:space="0" w:color="auto"/>
        <w:right w:val="none" w:sz="0" w:space="0" w:color="auto"/>
      </w:divBdr>
    </w:div>
    <w:div w:id="20733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a.next.westlaw.com/Link/Document/FullText?findType=Y&amp;serNum=1987029487&amp;pubNum=708&amp;originatingDoc=I8c1b154b9c1e11ddbc7bf97f340af743&amp;refType=RP&amp;originationContext=document&amp;transitionType=DocumentItem&amp;contextData=(sc.History*oc.Search)"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3" Type="http://schemas.openxmlformats.org/officeDocument/2006/relationships/hyperlink" Target="https://a.next.westlaw.com/Link/Document/FullText?findType=Y&amp;serNum=1926122385&amp;pubNum=708&amp;originatingDoc=I38ffeb069c4611d991d0cc6b54f12d4d&amp;refType=RP&amp;originationContext=document&amp;transitionType=DocumentItem&amp;contextData=(sc.DocLink)" TargetMode="External"/><Relationship Id="rId18" Type="http://schemas.openxmlformats.org/officeDocument/2006/relationships/hyperlink" Target="http://www.prochoiceamerica.org/government-and-you/state-governments/state-profiles/michigan.html" TargetMode="External"/><Relationship Id="rId26" Type="http://schemas.openxmlformats.org/officeDocument/2006/relationships/hyperlink" Target="https://www.municode.com/library/mi/detroit/codes/code_of_ordinances?searchRequest=%7B%22searchText%22:%22nuisance%20abatement%22,%22pageNum%22:1,%22resultsPerPage%22:25,%22booleanSearch%22:false,%22stemming%22:true,%22fuzzy%22:false,%22synonym%22:false,%22contentTypes%22:%5B%22CODES%22%5D,%22productIds%22:%5B%5D%7D&amp;nodeId=DECO_CH37NU_ARTIIVABU_S37-2-2DE" TargetMode="External"/><Relationship Id="rId39" Type="http://schemas.openxmlformats.org/officeDocument/2006/relationships/hyperlink" Target="http://www.deadlinedetroit.com/articles/9428/task_force_finds_84_641_blighted_parcels_in_detroit" TargetMode="External"/><Relationship Id="rId21" Type="http://schemas.openxmlformats.org/officeDocument/2006/relationships/hyperlink" Target="http://www.thepeopleofdetroit.com/p/about-me.html" TargetMode="External"/><Relationship Id="rId34" Type="http://schemas.openxmlformats.org/officeDocument/2006/relationships/hyperlink" Target="http://detroit.cbslocal.com/2015/01/29/squatters-in-abandonminiums-slow-detroits-plan-to-bulldoze-way-to-prosperity/" TargetMode="External"/><Relationship Id="rId42" Type="http://schemas.openxmlformats.org/officeDocument/2006/relationships/hyperlink" Target="http://d3.d3.opendata.arcgis.com/datasets/7351af38856742e4a842076f2eea05b3_0" TargetMode="External"/><Relationship Id="rId47" Type="http://schemas.openxmlformats.org/officeDocument/2006/relationships/hyperlink" Target="http://www.mi.gov/documents/driverresponsibility/DRFPhase-OutChart_470541_7.pdf" TargetMode="External"/><Relationship Id="rId50" Type="http://schemas.openxmlformats.org/officeDocument/2006/relationships/hyperlink" Target="http://www.wsws.org/en/articles/2010/01/detr-j21.html" TargetMode="External"/><Relationship Id="rId55" Type="http://schemas.openxmlformats.org/officeDocument/2006/relationships/hyperlink" Target="https://a.next.westlaw.com/Link/Document/FullText?findType=L&amp;pubNum=1000043&amp;cite=MICOART10S2&amp;originatingDoc=I6d51e5e89e0e11e18b05fdf15589d8e8&amp;refType=LQ&amp;originationContext=document&amp;transitionType=DocumentItem&amp;contextData=(sc.Search)" TargetMode="External"/><Relationship Id="rId63" Type="http://schemas.openxmlformats.org/officeDocument/2006/relationships/hyperlink" Target="http://www.thenation.com/article/171401/even-imf-agrees-europes-anti-austerity-protests" TargetMode="External"/><Relationship Id="rId68" Type="http://schemas.openxmlformats.org/officeDocument/2006/relationships/hyperlink" Target="http://emeraldskyphotography.wordpress.com/2013/07/07/the-beach-at-campus-martius-park/" TargetMode="External"/><Relationship Id="rId7" Type="http://schemas.openxmlformats.org/officeDocument/2006/relationships/hyperlink" Target="http://detroit.cbslocal.com/2013/02/13/detroit-praised-for-65-percent-graduation-rate-increase-echoed-across-the-state/" TargetMode="External"/><Relationship Id="rId71" Type="http://schemas.openxmlformats.org/officeDocument/2006/relationships/hyperlink" Target="https://a.next.westlaw.com/Link/Document/FullText?findType=Y&amp;serNum=0308708756&amp;pubNum=1234&amp;fi=co_pp_sp_1234_1207&amp;originationContext=document&amp;transitionType=DocumentItem&amp;contextData=(sc.Search)" TargetMode="External"/><Relationship Id="rId2" Type="http://schemas.openxmlformats.org/officeDocument/2006/relationships/hyperlink" Target="http://www.freep.com/article/20131024/COL06/310240208/Tom-Walsh-Glenda-Price-Dan-Gilbert-blight" TargetMode="External"/><Relationship Id="rId16" Type="http://schemas.openxmlformats.org/officeDocument/2006/relationships/hyperlink" Target="http://www.plannedparenthood.org/health-center/michigan/detroit/48201/detroit-health-center-2890-90630/abortion" TargetMode="External"/><Relationship Id="rId29" Type="http://schemas.openxmlformats.org/officeDocument/2006/relationships/hyperlink" Target="http://www.legislature.mi.gov/(S(g1a1y255kbm1hm45apnzf4r0))/mileg.aspx?page=getObject&amp;objectName=mcl-124-754" TargetMode="External"/><Relationship Id="rId1" Type="http://schemas.openxmlformats.org/officeDocument/2006/relationships/hyperlink" Target="http://www.freep.com/article/20140522/COL06/305220263/Tom-Walsh-Techweek-Detroit-Dan-Gilbert-Beth-Niblock" TargetMode="External"/><Relationship Id="rId6" Type="http://schemas.openxmlformats.org/officeDocument/2006/relationships/hyperlink" Target="http://www.mlive.com/news/detroit/index.ssf/2014/06/photos_65_million_brewster-dou.html" TargetMode="External"/><Relationship Id="rId11" Type="http://schemas.openxmlformats.org/officeDocument/2006/relationships/hyperlink" Target="https://a.next.westlaw.com/Link/Document/FullText?findType=Y&amp;serNum=1887180294&amp;pubNum=780&amp;originatingDoc=If167395136eb11db8382aef8d8e33c97&amp;refType=RP&amp;originationContext=document&amp;transitionType=DocumentItem&amp;contextData=(sc.Search)" TargetMode="External"/><Relationship Id="rId24" Type="http://schemas.openxmlformats.org/officeDocument/2006/relationships/hyperlink" Target="http://www.timetoendblight.com/" TargetMode="External"/><Relationship Id="rId32" Type="http://schemas.openxmlformats.org/officeDocument/2006/relationships/hyperlink" Target="https://a.next.westlaw.com/Link/Document/FullText?findType=Y&amp;serNum=1986129869&amp;pubNum=595&amp;originatingDoc=I7c9b56abff4d11d9bf60c1d57ebc853e&amp;refType=RP&amp;originationContext=document&amp;transitionType=DocumentItem&amp;contextData=(sc.Search)" TargetMode="External"/><Relationship Id="rId37" Type="http://schemas.openxmlformats.org/officeDocument/2006/relationships/hyperlink" Target="http://www.timetoendblight.com/about/" TargetMode="External"/><Relationship Id="rId40" Type="http://schemas.openxmlformats.org/officeDocument/2006/relationships/hyperlink" Target="http://www.huffingtonpost.com/chloe-taft/detroits-new-task-force-r_b_5411942.html" TargetMode="External"/><Relationship Id="rId45" Type="http://schemas.openxmlformats.org/officeDocument/2006/relationships/hyperlink" Target="https://www.hudexchange.info/resource/2033/hearth-coc-program-interim-rule/" TargetMode="External"/><Relationship Id="rId53" Type="http://schemas.openxmlformats.org/officeDocument/2006/relationships/hyperlink" Target="https://www.legislature.mi.gov/documents/2005-2006/publicact/htm/2006-PA-0368.htm" TargetMode="External"/><Relationship Id="rId58" Type="http://schemas.openxmlformats.org/officeDocument/2006/relationships/hyperlink" Target="http://www.nytimes.com/2013/01/15/science/in-debt-and-digging-deeper-to-find-relief.html?pagewanted=all&amp;_r=0" TargetMode="External"/><Relationship Id="rId66" Type="http://schemas.openxmlformats.org/officeDocument/2006/relationships/hyperlink" Target="http://books.google.com/books?id=B_f7AwAAQBAJ&amp;pg=PT80&amp;dq=keynes+mixed+welfare&amp;hl=en&amp;sa=X&amp;ei=y4l_VMS-O4SzogT574DQAw&amp;ved=0CCoQ6AEwATgK" TargetMode="External"/><Relationship Id="rId5" Type="http://schemas.openxmlformats.org/officeDocument/2006/relationships/hyperlink" Target="http://www.usatoday.com/story/news/nation/2013/05/01/detroit-race-wall/2127165/" TargetMode="External"/><Relationship Id="rId15" Type="http://schemas.openxmlformats.org/officeDocument/2006/relationships/hyperlink" Target="http://www.eastlandwomensclinic.com/" TargetMode="External"/><Relationship Id="rId23" Type="http://schemas.openxmlformats.org/officeDocument/2006/relationships/hyperlink" Target="http://www.nytimes.com/2014/05/28/us/detroit-task-force-says-blight-cleanup-will-cost-850-million.html?_r=0" TargetMode="External"/><Relationship Id="rId28" Type="http://schemas.openxmlformats.org/officeDocument/2006/relationships/hyperlink" Target="http://archive.freep.com/article/20140716/NEWS01/307160151/Margrove-homes-nuisance" TargetMode="External"/><Relationship Id="rId36" Type="http://schemas.openxmlformats.org/officeDocument/2006/relationships/hyperlink" Target="http://www.wsws.org/en/articles/2015/01/07/detr-j07.html" TargetMode="External"/><Relationship Id="rId49" Type="http://schemas.openxmlformats.org/officeDocument/2006/relationships/hyperlink" Target="http://www.nhchc.org/wp-content/uploads/2011/09/infocus_incarceration_nov2013.pdf" TargetMode="External"/><Relationship Id="rId57" Type="http://schemas.openxmlformats.org/officeDocument/2006/relationships/hyperlink" Target="http://www.nytimes.com/2009/07/31/business/31factories.html?pagewanted=all" TargetMode="External"/><Relationship Id="rId61" Type="http://schemas.openxmlformats.org/officeDocument/2006/relationships/hyperlink" Target="http://www.nber.org/papers/w15639" TargetMode="External"/><Relationship Id="rId10" Type="http://schemas.openxmlformats.org/officeDocument/2006/relationships/hyperlink" Target="https://a.next.westlaw.com/Link/Document/FullText?findType=Y&amp;serNum=1987029487&amp;pubNum=708&amp;originatingDoc=I8c1b154b9c1e11ddbc7bf97f340af743&amp;refType=RP&amp;originationContext=document&amp;transitionType=DocumentItem&amp;contextData=(sc.History*oc.Search)" TargetMode="External"/><Relationship Id="rId19" Type="http://schemas.openxmlformats.org/officeDocument/2006/relationships/hyperlink" Target="http://www.prochoiceamerica.org/government-and-you/state-governments/state-profiles/michigan.html?templateName=template-161602701&amp;issueID=5&amp;ssumID=2657" TargetMode="External"/><Relationship Id="rId31" Type="http://schemas.openxmlformats.org/officeDocument/2006/relationships/hyperlink" Target="https://a.next.westlaw.com/Link/Document/FullText?findType=L&amp;pubNum=1000517&amp;cite=COSTS16-13-303&amp;originatingDoc=I4f591371f3dd11d99439b076ef9ec4de&amp;refType=LQ&amp;originationContext=document&amp;transitionType=DocumentItem&amp;contextData=(sc.DocLink)" TargetMode="External"/><Relationship Id="rId44" Type="http://schemas.openxmlformats.org/officeDocument/2006/relationships/hyperlink" Target="http://www2.ed.gov/policy/elsec/leg/esea02/pg116.html" TargetMode="External"/><Relationship Id="rId52" Type="http://schemas.openxmlformats.org/officeDocument/2006/relationships/hyperlink" Target="https://a.next.westlaw.com/Link/Document/FullText?findType=L&amp;pubNum=1000043&amp;cite=MICOART10S2&amp;originatingDoc=Ib65743dd082411dd86d5f687b7443f19&amp;refType=LQ&amp;originationContext=document&amp;transitionType=DocumentItem&amp;contextData=(sc.Search)" TargetMode="External"/><Relationship Id="rId60" Type="http://schemas.openxmlformats.org/officeDocument/2006/relationships/hyperlink" Target="http://www.foxnews.com/us/2013/08/20/detroit-police-consider-stop-and-frisk-policy/" TargetMode="External"/><Relationship Id="rId65" Type="http://schemas.openxmlformats.org/officeDocument/2006/relationships/hyperlink" Target="http://krugman.blogs.nytimes.com/2014/12/02/inequality-and-economic-performance/" TargetMode="External"/><Relationship Id="rId4" Type="http://schemas.openxmlformats.org/officeDocument/2006/relationships/hyperlink" Target="http://detroit.curbed.com/archives/2013/08/finally-a-complete-attempt-at-mapping-detroits-neighborhoods.php" TargetMode="External"/><Relationship Id="rId9" Type="http://schemas.openxmlformats.org/officeDocument/2006/relationships/hyperlink" Target="https://a.next.westlaw.com/Link/Document/FullText?findType=Y&amp;serNum=1987029487&amp;pubNum=708&amp;originatingDoc=I8c1b154b9c1e11ddbc7bf97f340af743&amp;refType=RP&amp;originationContext=document&amp;transitionType=DocumentItem&amp;contextData=(sc.History*oc.Search)" TargetMode="External"/><Relationship Id="rId14" Type="http://schemas.openxmlformats.org/officeDocument/2006/relationships/hyperlink" Target="http://www.summitcenters.com/michigan/detroit-mi.html" TargetMode="External"/><Relationship Id="rId22" Type="http://schemas.openxmlformats.org/officeDocument/2006/relationships/hyperlink" Target="http://www.freep.com/article/20131024/COL06/310240208/Tom-Walsh-Glenda-Price-Dan-Gilbert-blight" TargetMode="External"/><Relationship Id="rId27" Type="http://schemas.openxmlformats.org/officeDocument/2006/relationships/hyperlink" Target="https://a.next.westlaw.com/Link/Document/FullText?findType=L&amp;pubNum=1000043&amp;cite=MIST600.2932&amp;originatingDoc=I5ed22649ff1f11d983e7e9deff98dc6f&amp;refType=LQ&amp;originationContext=document&amp;transitionType=DocumentItem&amp;contextData=(sc.Default)" TargetMode="External"/><Relationship Id="rId30" Type="http://schemas.openxmlformats.org/officeDocument/2006/relationships/hyperlink" Target="https://a.next.westlaw.com/Link/Document/FullText?findType=L&amp;pubNum=1000043&amp;cite=MIST600.3801&amp;originatingDoc=Ib5b061dd9a1011d9bdd1cfdd544ca3a4&amp;refType=LQ&amp;originationContext=document&amp;transitionType=DocumentItem&amp;contextData=(sc.Search)" TargetMode="External"/><Relationship Id="rId35" Type="http://schemas.openxmlformats.org/officeDocument/2006/relationships/hyperlink" Target="http://www.huffingtonpost.com/chloe-taft/detroits-new-task-force-r_b_5411942.html" TargetMode="External"/><Relationship Id="rId43" Type="http://schemas.openxmlformats.org/officeDocument/2006/relationships/hyperlink" Target="http://www.cotsdetroit.org/" TargetMode="External"/><Relationship Id="rId48" Type="http://schemas.openxmlformats.org/officeDocument/2006/relationships/hyperlink" Target="http://www.mi.gov/driverresponsibility" TargetMode="External"/><Relationship Id="rId56" Type="http://schemas.openxmlformats.org/officeDocument/2006/relationships/hyperlink" Target="https://a.next.westlaw.com/Link/Document/FullText?findType=Y&amp;serNum=1952105262&amp;pubNum=595&amp;originationContext=document&amp;transitionType=DocumentItem&amp;contextData=(sc.History*oc.DocLink)" TargetMode="External"/><Relationship Id="rId64" Type="http://schemas.openxmlformats.org/officeDocument/2006/relationships/hyperlink" Target="http://elibrary.worldbank.org/doi/pdf/10.1596/1813-9450-2587" TargetMode="External"/><Relationship Id="rId69" Type="http://schemas.openxmlformats.org/officeDocument/2006/relationships/hyperlink" Target="https://t-mhs.com/home/locations/" TargetMode="External"/><Relationship Id="rId8" Type="http://schemas.openxmlformats.org/officeDocument/2006/relationships/hyperlink" Target="https://www.legislature.mi.gov/documents/2005-2006/publicact/htm/2006-PA-0368.htm" TargetMode="External"/><Relationship Id="rId51" Type="http://schemas.openxmlformats.org/officeDocument/2006/relationships/hyperlink" Target="http://www.numbeo.com/cost-of-living/compare_cities.jsp?country1=United+States&amp;country2=United+States&amp;city1=Los+Angeles%2C+CA&amp;city2=Detroit%2C+MI" TargetMode="External"/><Relationship Id="rId72" Type="http://schemas.openxmlformats.org/officeDocument/2006/relationships/hyperlink" Target="http://www.detroitnews.com/story/news/local/michigan/2014/12/16/michigan-detroit-blight-funding/20479333/" TargetMode="External"/><Relationship Id="rId3" Type="http://schemas.openxmlformats.org/officeDocument/2006/relationships/hyperlink" Target="http://www.huffingtonpost.com/2014/09/04/detroit-poverty-alice-report_n_5760602.html" TargetMode="External"/><Relationship Id="rId12" Type="http://schemas.openxmlformats.org/officeDocument/2006/relationships/hyperlink" Target="https://a.next.westlaw.com/Link/Document/FullText?findType=Y&amp;serNum=1800105705&amp;pubNum=780&amp;originatingDoc=I38ffeb069c4611d991d0cc6b54f12d4d&amp;refType=RP&amp;originationContext=document&amp;transitionType=DocumentItem&amp;contextData=(sc.DocLink)" TargetMode="External"/><Relationship Id="rId17" Type="http://schemas.openxmlformats.org/officeDocument/2006/relationships/hyperlink" Target="http://www.detroitabortioncenter.com/" TargetMode="External"/><Relationship Id="rId25" Type="http://schemas.openxmlformats.org/officeDocument/2006/relationships/hyperlink" Target="http://www.deadlinedetroit.com/articles/6587/dan_gilbert_is_planning_to_demolish_every_last_abandoned_building_in_detroit" TargetMode="External"/><Relationship Id="rId33" Type="http://schemas.openxmlformats.org/officeDocument/2006/relationships/hyperlink" Target="https://a.next.westlaw.com/Link/Document/FullText?findType=Y&amp;serNum=1996027057&amp;pubNum=578&amp;originatingDoc=I7c9b56abff4d11d9bf60c1d57ebc853e&amp;refType=RP&amp;originationContext=document&amp;transitionType=DocumentItem&amp;contextData=(sc.Search)" TargetMode="External"/><Relationship Id="rId38" Type="http://schemas.openxmlformats.org/officeDocument/2006/relationships/hyperlink" Target="http://www.focushope.edu/page.aspx?content_id=1&amp;content_type=level1" TargetMode="External"/><Relationship Id="rId46" Type="http://schemas.openxmlformats.org/officeDocument/2006/relationships/hyperlink" Target="http://www.dmv.org/mi-michigan/car-insurance.php" TargetMode="External"/><Relationship Id="rId59" Type="http://schemas.openxmlformats.org/officeDocument/2006/relationships/hyperlink" Target="http://www.highbeam.com/doc/1G1-120084596.html" TargetMode="External"/><Relationship Id="rId67" Type="http://schemas.openxmlformats.org/officeDocument/2006/relationships/hyperlink" Target="http://www.deadlinedetroit.com/articles/1769/will_eastern_market_get_new_boutique_hotel_--_made_of_shipping_containers" TargetMode="External"/><Relationship Id="rId20" Type="http://schemas.openxmlformats.org/officeDocument/2006/relationships/hyperlink" Target="http://archive.freep.com/article/20140312/NEWS06/303120050/Abortion-insurance-law-taking-effect-in-Michigan" TargetMode="External"/><Relationship Id="rId41" Type="http://schemas.openxmlformats.org/officeDocument/2006/relationships/hyperlink" Target="http://jacksonville.com/opinion/editorials/2014-06-12/story/looking-next-stage-citys-war-blight" TargetMode="External"/><Relationship Id="rId54" Type="http://schemas.openxmlformats.org/officeDocument/2006/relationships/hyperlink" Target="https://a.next.westlaw.com/Link/Document/FullText?findType=L&amp;pubNum=1000043&amp;cite=MICOART10S2&amp;originatingDoc=I6d51e5e89e0e11e18b05fdf15589d8e8&amp;refType=LQ&amp;originationContext=document&amp;transitionType=DocumentItem&amp;contextData=(sc.Search)" TargetMode="External"/><Relationship Id="rId62" Type="http://schemas.openxmlformats.org/officeDocument/2006/relationships/hyperlink" Target="http://www.newyorker.com/news/john-cassidy/the-reinhart-and-rogoff-controversy-a-summing-up" TargetMode="External"/><Relationship Id="rId70" Type="http://schemas.openxmlformats.org/officeDocument/2006/relationships/hyperlink" Target="https://t-mhs.com/home/about/testimon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469A-77C6-479A-8BD8-B79B0C1A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19678</Words>
  <Characters>112171</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131586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Yxta Murray</dc:creator>
  <cp:lastModifiedBy>Rosann GREENSPAN, PhD</cp:lastModifiedBy>
  <cp:revision>2</cp:revision>
  <dcterms:created xsi:type="dcterms:W3CDTF">2015-03-04T22:53:00Z</dcterms:created>
  <dcterms:modified xsi:type="dcterms:W3CDTF">2015-03-04T22:53:00Z</dcterms:modified>
</cp:coreProperties>
</file>