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1" w:rsidRDefault="000D48B1"/>
    <w:p w:rsidR="000D48B1" w:rsidRDefault="000D48B1"/>
    <w:p w:rsidR="000D48B1" w:rsidRDefault="000D48B1">
      <w:pPr>
        <w:pStyle w:val="Heading1"/>
      </w:pPr>
      <w:r>
        <w:t>Patent Law</w:t>
      </w:r>
    </w:p>
    <w:p w:rsidR="000D48B1" w:rsidRDefault="000D48B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Professor Merges</w:t>
      </w:r>
    </w:p>
    <w:p w:rsidR="000D48B1" w:rsidRDefault="000D48B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Fall 2010</w:t>
      </w:r>
    </w:p>
    <w:p w:rsidR="000D48B1" w:rsidRDefault="000D48B1">
      <w:pPr>
        <w:pStyle w:val="Heading1"/>
      </w:pPr>
      <w:r>
        <w:t>Syllabus</w:t>
      </w:r>
    </w:p>
    <w:p w:rsidR="000D48B1" w:rsidRDefault="000D48B1"/>
    <w:p w:rsidR="000D48B1" w:rsidRDefault="000D48B1"/>
    <w:p w:rsidR="000D48B1" w:rsidRDefault="000D48B1">
      <w:r>
        <w:tab/>
        <w:t>Our casebook is Merges &amp; Duffy, Patent Law and Policy (4th ed. 2007 – referred to as “M&amp;D” in the following syllabus). A supplement to the casebook (referred to as “Book Supp.”) will also be used; I will email this to you near the beginning of the semester. It will also b</w:t>
      </w:r>
      <w:r w:rsidR="00B82764">
        <w:t xml:space="preserve">e posted on the course web page </w:t>
      </w:r>
      <w:r>
        <w:t>(</w:t>
      </w:r>
      <w:r w:rsidR="00B82764" w:rsidRPr="00B82764">
        <w:t>http://www.law.berkeley.edu/9460.htm</w:t>
      </w:r>
      <w:r>
        <w:t>). I also require that you use a statutory supplement, such as Merges et al., IP in the New Technological Age, Case and Statutory Supplement (2010) (referred to as “Stat. Supp.”).</w:t>
      </w:r>
    </w:p>
    <w:p w:rsidR="000D48B1" w:rsidRDefault="000D48B1"/>
    <w:p w:rsidR="000D48B1" w:rsidRDefault="000D48B1">
      <w:r>
        <w:tab/>
        <w:t xml:space="preserve">We meet Tuesday and Thursday, 11:20-12:35 in room 170.  I will have regular office hours, Tuesdays 1:30-2:40, or you can arrange an appointment. My office is in room 438, North Addition; phone 643-6199; email </w:t>
      </w:r>
      <w:hyperlink r:id="rId6" w:history="1">
        <w:r w:rsidRPr="00065819">
          <w:rPr>
            <w:rStyle w:val="Hyperlink"/>
            <w:b/>
          </w:rPr>
          <w:t>rmerges@law.berkeley.edu</w:t>
        </w:r>
      </w:hyperlink>
      <w:r>
        <w:t>. Email is by far the best way to contact me.</w:t>
      </w:r>
    </w:p>
    <w:p w:rsidR="000D48B1" w:rsidRDefault="000D48B1"/>
    <w:p w:rsidR="000D48B1" w:rsidRDefault="000D48B1"/>
    <w:p w:rsidR="000D48B1" w:rsidRDefault="000D48B1">
      <w:pPr>
        <w:pStyle w:val="Heading2"/>
      </w:pPr>
      <w:r>
        <w:t>Date &amp; Assignment</w:t>
      </w:r>
    </w:p>
    <w:p w:rsidR="000D48B1" w:rsidRDefault="000D48B1"/>
    <w:p w:rsidR="000D48B1" w:rsidRDefault="000D48B1">
      <w:pPr>
        <w:rPr>
          <w:b/>
          <w:bCs/>
          <w:u w:val="single"/>
        </w:rPr>
      </w:pPr>
      <w:r>
        <w:rPr>
          <w:b/>
          <w:bCs/>
          <w:u w:val="single"/>
        </w:rPr>
        <w:t>8/17</w:t>
      </w:r>
    </w:p>
    <w:p w:rsidR="000D48B1" w:rsidRDefault="000D48B1"/>
    <w:p w:rsidR="000D48B1" w:rsidRDefault="000D48B1">
      <w:r>
        <w:t xml:space="preserve">Historical Introduction M&amp;D 1-13; </w:t>
      </w:r>
      <w:r w:rsidRPr="00DD6BEC">
        <w:t>Introduction to the patent document, pp. 13-26</w:t>
      </w:r>
      <w:r>
        <w:t>; Introduction to Claims &amp; Patent System: M&amp;D 26-66.</w:t>
      </w:r>
    </w:p>
    <w:p w:rsidR="000D48B1" w:rsidRDefault="000D48B1"/>
    <w:p w:rsidR="000D48B1" w:rsidRDefault="000D48B1">
      <w:pPr>
        <w:rPr>
          <w:b/>
          <w:bCs/>
          <w:u w:val="single"/>
        </w:rPr>
      </w:pPr>
      <w:r>
        <w:rPr>
          <w:b/>
          <w:bCs/>
          <w:u w:val="single"/>
        </w:rPr>
        <w:t>8/19</w:t>
      </w:r>
    </w:p>
    <w:p w:rsidR="000D48B1" w:rsidRDefault="000D48B1"/>
    <w:p w:rsidR="000D48B1" w:rsidRDefault="000D48B1">
      <w:r>
        <w:t xml:space="preserve">Patentable Subject Matter: </w:t>
      </w:r>
      <w:r w:rsidRPr="004E2BC7">
        <w:t>Stat. Supp. 35 USC § 101</w:t>
      </w:r>
      <w:r>
        <w:t>; In re Bilski, Book Supp.</w:t>
      </w:r>
    </w:p>
    <w:p w:rsidR="000D48B1" w:rsidRDefault="000D48B1" w:rsidP="000D48B1"/>
    <w:p w:rsidR="000D48B1" w:rsidRDefault="000D48B1" w:rsidP="000D48B1">
      <w:r>
        <w:rPr>
          <w:b/>
          <w:u w:val="single"/>
        </w:rPr>
        <w:t>8/24</w:t>
      </w:r>
    </w:p>
    <w:p w:rsidR="000D48B1" w:rsidRDefault="000D48B1" w:rsidP="000D48B1"/>
    <w:p w:rsidR="000D48B1" w:rsidRPr="0036236C" w:rsidRDefault="000D48B1" w:rsidP="000D48B1">
      <w:r>
        <w:t>101 (cont’d): Chakrabarty, Laws of Nature, etc.: M&amp;D 67-78; Natural Substances, M&amp;D 106-110; Association for Molecular Genetics (Myriad), &amp; Notes, Book Supp.</w:t>
      </w:r>
    </w:p>
    <w:p w:rsidR="000D48B1" w:rsidRPr="00FD6FE7" w:rsidRDefault="000D48B1" w:rsidP="000D48B1">
      <w:pPr>
        <w:rPr>
          <w:b/>
        </w:rPr>
      </w:pPr>
    </w:p>
    <w:p w:rsidR="000D48B1" w:rsidRPr="00E13518" w:rsidRDefault="000D48B1" w:rsidP="000D48B1">
      <w:pPr>
        <w:rPr>
          <w:b/>
          <w:bCs/>
          <w:u w:val="single"/>
        </w:rPr>
      </w:pPr>
      <w:r>
        <w:rPr>
          <w:b/>
          <w:bCs/>
          <w:u w:val="single"/>
        </w:rPr>
        <w:t>8/26</w:t>
      </w:r>
    </w:p>
    <w:p w:rsidR="000D48B1" w:rsidRDefault="000D48B1" w:rsidP="000D48B1"/>
    <w:p w:rsidR="000D48B1" w:rsidRDefault="000D48B1" w:rsidP="000D48B1">
      <w:r>
        <w:t xml:space="preserve">Utility: </w:t>
      </w:r>
      <w:r>
        <w:rPr>
          <w:u w:val="single"/>
        </w:rPr>
        <w:t>Brana</w:t>
      </w:r>
      <w:r>
        <w:t xml:space="preserve">, M&amp;D 230-240; </w:t>
      </w:r>
      <w:r w:rsidRPr="00B020E1">
        <w:t>Ex parte Fisher</w:t>
      </w:r>
      <w:r>
        <w:t>, M&amp;D 240-256.</w:t>
      </w:r>
    </w:p>
    <w:p w:rsidR="000D48B1" w:rsidRDefault="000D48B1" w:rsidP="000D48B1"/>
    <w:p w:rsidR="000D48B1" w:rsidRDefault="000D48B1" w:rsidP="000D48B1"/>
    <w:p w:rsidR="000D48B1" w:rsidRDefault="000D48B1" w:rsidP="000D48B1">
      <w:r>
        <w:rPr>
          <w:b/>
          <w:u w:val="single"/>
        </w:rPr>
        <w:t>8/31</w:t>
      </w:r>
    </w:p>
    <w:p w:rsidR="000D48B1" w:rsidRDefault="000D48B1" w:rsidP="000D48B1"/>
    <w:p w:rsidR="000D48B1" w:rsidRDefault="000D48B1" w:rsidP="000D48B1">
      <w:r>
        <w:lastRenderedPageBreak/>
        <w:t xml:space="preserve">Enablement and Written Description: Intro and </w:t>
      </w:r>
      <w:r>
        <w:rPr>
          <w:u w:val="single"/>
        </w:rPr>
        <w:t>Incandescent Lamp</w:t>
      </w:r>
      <w:r>
        <w:t>, M&amp;D 261-272; Janssen v. Teva, Book Supp.; Stat Supp. 35 USC § 112.</w:t>
      </w:r>
    </w:p>
    <w:p w:rsidR="000D48B1" w:rsidRPr="0036236C" w:rsidRDefault="000D48B1" w:rsidP="000D48B1"/>
    <w:p w:rsidR="000D48B1" w:rsidRDefault="000D48B1"/>
    <w:p w:rsidR="000D48B1" w:rsidRDefault="000D48B1">
      <w:r>
        <w:rPr>
          <w:b/>
          <w:u w:val="single"/>
        </w:rPr>
        <w:t>9/2</w:t>
      </w:r>
    </w:p>
    <w:p w:rsidR="000D48B1" w:rsidRDefault="000D48B1" w:rsidP="000D48B1"/>
    <w:p w:rsidR="000D48B1" w:rsidRDefault="000D48B1" w:rsidP="000D48B1">
      <w:r>
        <w:rPr>
          <w:u w:val="single"/>
        </w:rPr>
        <w:t>Gentry Gallery</w:t>
      </w:r>
      <w:r>
        <w:t>, M&amp;D 299-309; Additional Notes on Written Description; Ariad v. Eli Lilly, Book Supp.</w:t>
      </w:r>
    </w:p>
    <w:p w:rsidR="000D48B1" w:rsidRDefault="000D48B1">
      <w:pPr>
        <w:rPr>
          <w:b/>
          <w:bCs/>
          <w:u w:val="single"/>
        </w:rPr>
      </w:pPr>
    </w:p>
    <w:p w:rsidR="000D48B1" w:rsidRDefault="000D48B1" w:rsidP="000D48B1"/>
    <w:p w:rsidR="000D48B1" w:rsidRPr="00FD6FE7" w:rsidRDefault="000D48B1" w:rsidP="000D48B1">
      <w:r>
        <w:rPr>
          <w:b/>
          <w:u w:val="single"/>
        </w:rPr>
        <w:t>9/7</w:t>
      </w:r>
    </w:p>
    <w:p w:rsidR="000D48B1" w:rsidRDefault="000D48B1" w:rsidP="000D48B1"/>
    <w:p w:rsidR="000D48B1" w:rsidRDefault="000D48B1" w:rsidP="000D48B1">
      <w:r>
        <w:t xml:space="preserve">Written Description II: </w:t>
      </w:r>
      <w:r w:rsidRPr="00433B69">
        <w:rPr>
          <w:u w:val="single"/>
        </w:rPr>
        <w:t>Rochester v. Searle</w:t>
      </w:r>
      <w:r>
        <w:t xml:space="preserve">, 314-320; </w:t>
      </w:r>
      <w:r>
        <w:rPr>
          <w:u w:val="single"/>
        </w:rPr>
        <w:t>LizardTech v. Earth Resource Mapping, Inc.</w:t>
      </w:r>
      <w:r>
        <w:t>, 321-327</w:t>
      </w:r>
    </w:p>
    <w:p w:rsidR="000D48B1" w:rsidRDefault="000D48B1"/>
    <w:p w:rsidR="000D48B1" w:rsidRDefault="000D48B1"/>
    <w:p w:rsidR="000D48B1" w:rsidRDefault="000D48B1">
      <w:pPr>
        <w:rPr>
          <w:b/>
          <w:bCs/>
          <w:i/>
          <w:u w:val="single"/>
        </w:rPr>
      </w:pPr>
      <w:r>
        <w:rPr>
          <w:b/>
          <w:bCs/>
          <w:u w:val="single"/>
        </w:rPr>
        <w:t>9/9</w:t>
      </w:r>
    </w:p>
    <w:p w:rsidR="000D48B1" w:rsidRDefault="000D48B1"/>
    <w:p w:rsidR="000D48B1" w:rsidRDefault="000D48B1" w:rsidP="000D48B1">
      <w:r>
        <w:t xml:space="preserve">Definiteness and Best Mode: </w:t>
      </w:r>
      <w:r>
        <w:rPr>
          <w:u w:val="single"/>
        </w:rPr>
        <w:t>Orthokinetics</w:t>
      </w:r>
      <w:r>
        <w:t xml:space="preserve">, M&amp;D 327-332; Note on </w:t>
      </w:r>
      <w:r>
        <w:rPr>
          <w:u w:val="single"/>
        </w:rPr>
        <w:t>Standard Oil</w:t>
      </w:r>
      <w:r>
        <w:t xml:space="preserve">, 332-337; Note on Functional Language, 337-340; </w:t>
      </w:r>
      <w:r>
        <w:rPr>
          <w:u w:val="single"/>
        </w:rPr>
        <w:t>Chemcast</w:t>
      </w:r>
      <w:r>
        <w:t>, 348-356.</w:t>
      </w:r>
    </w:p>
    <w:p w:rsidR="000D48B1" w:rsidRDefault="000D48B1"/>
    <w:p w:rsidR="000D48B1" w:rsidRDefault="000D48B1">
      <w:pPr>
        <w:rPr>
          <w:b/>
          <w:bCs/>
          <w:u w:val="single"/>
        </w:rPr>
      </w:pPr>
    </w:p>
    <w:p w:rsidR="000D48B1" w:rsidRDefault="000D48B1" w:rsidP="000D48B1">
      <w:pPr>
        <w:rPr>
          <w:b/>
          <w:u w:val="single"/>
        </w:rPr>
      </w:pPr>
      <w:r>
        <w:rPr>
          <w:b/>
          <w:u w:val="single"/>
        </w:rPr>
        <w:t>9/14</w:t>
      </w:r>
    </w:p>
    <w:p w:rsidR="000D48B1" w:rsidRPr="00DA3F99" w:rsidRDefault="000D48B1" w:rsidP="000D48B1"/>
    <w:p w:rsidR="000D48B1" w:rsidRPr="00A73BFB" w:rsidRDefault="000D48B1" w:rsidP="000D48B1">
      <w:r>
        <w:t xml:space="preserve">Introduction to Novelty: Intro and </w:t>
      </w:r>
      <w:r>
        <w:rPr>
          <w:u w:val="single"/>
        </w:rPr>
        <w:t>Robertson</w:t>
      </w:r>
      <w:r>
        <w:t xml:space="preserve">, M&amp;D 357-370; Stat. Supp. 35 USC § 102; </w:t>
      </w:r>
      <w:r>
        <w:rPr>
          <w:u w:val="single"/>
        </w:rPr>
        <w:t>In re Hafner</w:t>
      </w:r>
      <w:r>
        <w:t xml:space="preserve"> and Notes, 380-387; Intro, 393; </w:t>
      </w:r>
      <w:r>
        <w:rPr>
          <w:u w:val="single"/>
        </w:rPr>
        <w:t>In re Klopfenstein</w:t>
      </w:r>
      <w:r>
        <w:t>, 405-413.</w:t>
      </w:r>
    </w:p>
    <w:p w:rsidR="000D48B1" w:rsidRDefault="000D48B1" w:rsidP="000D48B1"/>
    <w:p w:rsidR="000D48B1" w:rsidRDefault="000D48B1" w:rsidP="000D48B1"/>
    <w:p w:rsidR="000D48B1" w:rsidRDefault="000D48B1" w:rsidP="000D48B1">
      <w:r>
        <w:rPr>
          <w:b/>
          <w:u w:val="single"/>
        </w:rPr>
        <w:t>9/16</w:t>
      </w:r>
    </w:p>
    <w:p w:rsidR="000D48B1" w:rsidRDefault="000D48B1" w:rsidP="000D48B1"/>
    <w:p w:rsidR="000D48B1" w:rsidRPr="00A73BFB" w:rsidRDefault="000D48B1" w:rsidP="000D48B1">
      <w:r>
        <w:t xml:space="preserve">Novelty II, 102(e) and (f): Note on Novelty and the Economics of Search, M&amp;D 417-421; </w:t>
      </w:r>
      <w:r w:rsidRPr="00A73BFB">
        <w:t xml:space="preserve">§102(e): </w:t>
      </w:r>
      <w:r w:rsidRPr="00A73BFB">
        <w:rPr>
          <w:u w:val="single"/>
        </w:rPr>
        <w:t>Alexander Milburn</w:t>
      </w:r>
      <w:r>
        <w:t xml:space="preserve">, 421-431; </w:t>
      </w:r>
      <w:r w:rsidRPr="00A73BFB">
        <w:t xml:space="preserve">§102(f): </w:t>
      </w:r>
      <w:r w:rsidRPr="00A73BFB">
        <w:rPr>
          <w:u w:val="single"/>
        </w:rPr>
        <w:t>Campbell</w:t>
      </w:r>
      <w:r>
        <w:t>, M&amp;D 431-438</w:t>
      </w:r>
      <w:r w:rsidRPr="00A73BFB">
        <w:t>.</w:t>
      </w:r>
    </w:p>
    <w:p w:rsidR="000D48B1" w:rsidRPr="000D440F" w:rsidRDefault="000D48B1" w:rsidP="000D48B1"/>
    <w:p w:rsidR="000D48B1" w:rsidRDefault="000D48B1"/>
    <w:p w:rsidR="000D48B1" w:rsidRPr="00FD6FE7" w:rsidRDefault="000D48B1" w:rsidP="000D48B1">
      <w:pPr>
        <w:rPr>
          <w:b/>
          <w:bCs/>
          <w:u w:val="single"/>
        </w:rPr>
      </w:pPr>
      <w:r>
        <w:rPr>
          <w:b/>
          <w:bCs/>
          <w:u w:val="single"/>
        </w:rPr>
        <w:t>9/20 – 9/24</w:t>
      </w:r>
    </w:p>
    <w:p w:rsidR="000D48B1" w:rsidRPr="00FD6FE7" w:rsidRDefault="000D48B1" w:rsidP="000D48B1">
      <w:pPr>
        <w:rPr>
          <w:b/>
          <w:bCs/>
          <w:u w:val="single"/>
        </w:rPr>
      </w:pPr>
    </w:p>
    <w:p w:rsidR="000D48B1" w:rsidRPr="00FD6FE7" w:rsidRDefault="000D48B1" w:rsidP="000D48B1">
      <w:pPr>
        <w:rPr>
          <w:b/>
          <w:bCs/>
        </w:rPr>
      </w:pPr>
      <w:r w:rsidRPr="00FD6FE7">
        <w:rPr>
          <w:b/>
          <w:bCs/>
        </w:rPr>
        <w:t>*** No Class – Fall Break ***</w:t>
      </w:r>
    </w:p>
    <w:p w:rsidR="000D48B1" w:rsidRDefault="000D48B1"/>
    <w:p w:rsidR="000D48B1" w:rsidRDefault="000D48B1"/>
    <w:p w:rsidR="000D48B1" w:rsidRDefault="000D48B1">
      <w:r>
        <w:rPr>
          <w:b/>
          <w:bCs/>
          <w:u w:val="single"/>
        </w:rPr>
        <w:t>9/28</w:t>
      </w:r>
    </w:p>
    <w:p w:rsidR="000D48B1" w:rsidRDefault="000D48B1" w:rsidP="000D48B1"/>
    <w:p w:rsidR="000D48B1" w:rsidRPr="000541BB" w:rsidRDefault="000D48B1" w:rsidP="000D48B1">
      <w:r w:rsidRPr="000541BB">
        <w:t>Priority, §102(g)(1)</w:t>
      </w:r>
      <w:r>
        <w:t xml:space="preserve"> &amp; (2)</w:t>
      </w:r>
      <w:r w:rsidRPr="000541BB">
        <w:t xml:space="preserve">: Intro., </w:t>
      </w:r>
      <w:r>
        <w:rPr>
          <w:u w:val="single"/>
        </w:rPr>
        <w:t>Brown v. Barbacid</w:t>
      </w:r>
      <w:r>
        <w:t>, M&amp;D 438-456</w:t>
      </w:r>
      <w:r w:rsidRPr="000541BB">
        <w:t xml:space="preserve">; </w:t>
      </w:r>
      <w:r w:rsidRPr="000541BB">
        <w:rPr>
          <w:u w:val="single"/>
        </w:rPr>
        <w:t>Peeler</w:t>
      </w:r>
      <w:r>
        <w:t>, M&amp;D 456-464</w:t>
      </w:r>
      <w:r w:rsidRPr="000541BB">
        <w:t xml:space="preserve">; </w:t>
      </w:r>
      <w:r>
        <w:rPr>
          <w:u w:val="single"/>
        </w:rPr>
        <w:t>Dow</w:t>
      </w:r>
      <w:r>
        <w:t xml:space="preserve">, 468-478; Note on Rule 131, 481-483; </w:t>
      </w:r>
      <w:r w:rsidRPr="000541BB">
        <w:t>Stat. Supp. § 102(g).</w:t>
      </w:r>
    </w:p>
    <w:p w:rsidR="000D48B1" w:rsidRDefault="000D48B1"/>
    <w:p w:rsidR="000D48B1" w:rsidRDefault="000D48B1"/>
    <w:p w:rsidR="000D48B1" w:rsidRDefault="000D48B1">
      <w:pPr>
        <w:rPr>
          <w:b/>
          <w:bCs/>
          <w:u w:val="single"/>
        </w:rPr>
      </w:pPr>
      <w:r>
        <w:rPr>
          <w:b/>
          <w:bCs/>
          <w:u w:val="single"/>
        </w:rPr>
        <w:t>9/30</w:t>
      </w:r>
    </w:p>
    <w:p w:rsidR="000D48B1" w:rsidRDefault="000D48B1" w:rsidP="000D48B1"/>
    <w:p w:rsidR="000D48B1" w:rsidRDefault="000D48B1">
      <w:r>
        <w:t xml:space="preserve">Statutory Bars I: Intro and </w:t>
      </w:r>
      <w:r>
        <w:rPr>
          <w:u w:val="single"/>
        </w:rPr>
        <w:t>Pennock</w:t>
      </w:r>
      <w:r>
        <w:t xml:space="preserve">, </w:t>
      </w:r>
      <w:r>
        <w:rPr>
          <w:u w:val="single"/>
        </w:rPr>
        <w:t>Egbert</w:t>
      </w:r>
      <w:r>
        <w:t xml:space="preserve">, </w:t>
      </w:r>
      <w:r>
        <w:rPr>
          <w:u w:val="single"/>
        </w:rPr>
        <w:t>Moleculon</w:t>
      </w:r>
      <w:r>
        <w:t xml:space="preserve">, </w:t>
      </w:r>
      <w:r>
        <w:rPr>
          <w:u w:val="single"/>
        </w:rPr>
        <w:t>Metallizing Engineering</w:t>
      </w:r>
      <w:r>
        <w:t>, M&amp;D 509-536.</w:t>
      </w:r>
    </w:p>
    <w:p w:rsidR="000D48B1" w:rsidRDefault="000D48B1"/>
    <w:p w:rsidR="000D48B1" w:rsidRDefault="000D48B1">
      <w:pPr>
        <w:rPr>
          <w:b/>
          <w:bCs/>
          <w:u w:val="single"/>
        </w:rPr>
      </w:pPr>
      <w:r>
        <w:rPr>
          <w:b/>
          <w:bCs/>
          <w:u w:val="single"/>
        </w:rPr>
        <w:t>10/5</w:t>
      </w:r>
    </w:p>
    <w:p w:rsidR="000D48B1" w:rsidRDefault="000D48B1" w:rsidP="000D48B1"/>
    <w:p w:rsidR="000D48B1" w:rsidRPr="00314B86" w:rsidRDefault="000D48B1" w:rsidP="000D48B1">
      <w:r w:rsidRPr="00314B86">
        <w:t xml:space="preserve">On Sale Bar and Experimental Use: </w:t>
      </w:r>
      <w:r w:rsidRPr="00314B86">
        <w:rPr>
          <w:u w:val="single"/>
        </w:rPr>
        <w:t>Pfaff</w:t>
      </w:r>
      <w:r w:rsidRPr="00314B86">
        <w:t xml:space="preserve">, </w:t>
      </w:r>
      <w:r>
        <w:t>536-550</w:t>
      </w:r>
      <w:r w:rsidRPr="00314B86">
        <w:t xml:space="preserve">; </w:t>
      </w:r>
      <w:r w:rsidRPr="00314B86">
        <w:rPr>
          <w:u w:val="single"/>
        </w:rPr>
        <w:t>City of Elizabeth</w:t>
      </w:r>
      <w:r>
        <w:t xml:space="preserve">, M&amp;D 555-562; </w:t>
      </w:r>
      <w:r>
        <w:rPr>
          <w:u w:val="single"/>
        </w:rPr>
        <w:t>Lough</w:t>
      </w:r>
      <w:r>
        <w:t>, 562-570.</w:t>
      </w:r>
    </w:p>
    <w:p w:rsidR="000D48B1" w:rsidRDefault="000D48B1"/>
    <w:p w:rsidR="000D48B1" w:rsidRDefault="000D48B1"/>
    <w:p w:rsidR="000D48B1" w:rsidRPr="004F589D" w:rsidRDefault="000D48B1">
      <w:pPr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10/7</w:t>
      </w:r>
    </w:p>
    <w:p w:rsidR="000D48B1" w:rsidRDefault="000D48B1"/>
    <w:p w:rsidR="000D48B1" w:rsidRDefault="000D48B1">
      <w:r w:rsidRPr="004139E9">
        <w:t xml:space="preserve">Third Party Activity: </w:t>
      </w:r>
      <w:r w:rsidRPr="004139E9">
        <w:rPr>
          <w:u w:val="single"/>
        </w:rPr>
        <w:t>Baxter</w:t>
      </w:r>
      <w:r w:rsidRPr="004139E9">
        <w:t xml:space="preserve">, </w:t>
      </w:r>
      <w:r w:rsidRPr="004139E9">
        <w:rPr>
          <w:u w:val="single"/>
        </w:rPr>
        <w:t>WL Gore</w:t>
      </w:r>
      <w:r>
        <w:t>, M&amp;D 570-584; International Considerations, 586-589; Summary &amp; Problems, 589-593.</w:t>
      </w:r>
    </w:p>
    <w:p w:rsidR="000D48B1" w:rsidRDefault="000D48B1"/>
    <w:p w:rsidR="000D48B1" w:rsidRDefault="000D48B1" w:rsidP="000D48B1">
      <w:pPr>
        <w:rPr>
          <w:b/>
          <w:bCs/>
          <w:u w:val="single"/>
        </w:rPr>
      </w:pPr>
      <w:r>
        <w:rPr>
          <w:b/>
          <w:bCs/>
          <w:u w:val="single"/>
        </w:rPr>
        <w:t>10/12</w:t>
      </w:r>
    </w:p>
    <w:p w:rsidR="000D48B1" w:rsidRDefault="000D48B1"/>
    <w:p w:rsidR="000D48B1" w:rsidRPr="00E96587" w:rsidRDefault="000D48B1" w:rsidP="000D48B1">
      <w:r>
        <w:t xml:space="preserve">Nonobviousness: Intro, </w:t>
      </w:r>
      <w:r>
        <w:rPr>
          <w:u w:val="single"/>
        </w:rPr>
        <w:t>Hotchkiss</w:t>
      </w:r>
      <w:r>
        <w:t xml:space="preserve">, Historical Note, </w:t>
      </w:r>
      <w:r w:rsidRPr="00E96587">
        <w:rPr>
          <w:u w:val="single"/>
        </w:rPr>
        <w:t>Graham</w:t>
      </w:r>
      <w:r w:rsidRPr="00E96587">
        <w:t xml:space="preserve">, M&amp;D </w:t>
      </w:r>
      <w:r>
        <w:t>611-645</w:t>
      </w:r>
      <w:r w:rsidRPr="00E96587">
        <w:t xml:space="preserve"> [stop reading </w:t>
      </w:r>
      <w:r>
        <w:rPr>
          <w:u w:val="single"/>
        </w:rPr>
        <w:t>Graham</w:t>
      </w:r>
      <w:r>
        <w:t xml:space="preserve"> </w:t>
      </w:r>
      <w:r w:rsidRPr="00E96587">
        <w:t xml:space="preserve">opinion before discussion of </w:t>
      </w:r>
      <w:r w:rsidRPr="00E96587">
        <w:rPr>
          <w:i/>
          <w:iCs/>
        </w:rPr>
        <w:t>Cook</w:t>
      </w:r>
      <w:r>
        <w:t xml:space="preserve"> case]; </w:t>
      </w:r>
      <w:r>
        <w:rPr>
          <w:u w:val="single"/>
        </w:rPr>
        <w:t>US v. Adams</w:t>
      </w:r>
      <w:r>
        <w:t>, 653-662.</w:t>
      </w:r>
    </w:p>
    <w:p w:rsidR="000D48B1" w:rsidRDefault="000D48B1"/>
    <w:p w:rsidR="000D48B1" w:rsidRDefault="000D48B1"/>
    <w:p w:rsidR="000D48B1" w:rsidRPr="00231204" w:rsidRDefault="000D48B1">
      <w:pPr>
        <w:rPr>
          <w:b/>
          <w:u w:val="single"/>
        </w:rPr>
      </w:pPr>
      <w:r>
        <w:rPr>
          <w:b/>
          <w:u w:val="single"/>
        </w:rPr>
        <w:t>10/14</w:t>
      </w:r>
    </w:p>
    <w:p w:rsidR="000D48B1" w:rsidRDefault="000D48B1"/>
    <w:p w:rsidR="000D48B1" w:rsidRDefault="000D48B1">
      <w:r w:rsidRPr="00E96587">
        <w:t xml:space="preserve">Suggestion Test: </w:t>
      </w:r>
      <w:r>
        <w:t xml:space="preserve">Intro (“Subtests”) and  </w:t>
      </w:r>
      <w:r w:rsidRPr="00E96587">
        <w:rPr>
          <w:u w:val="single"/>
        </w:rPr>
        <w:t>KSR v. Teleflex</w:t>
      </w:r>
      <w:r>
        <w:t xml:space="preserve">, 665-685; Obviousness after KSR &amp; </w:t>
      </w:r>
      <w:r>
        <w:rPr>
          <w:u w:val="single"/>
        </w:rPr>
        <w:t>In re Kubin</w:t>
      </w:r>
      <w:r>
        <w:t>, Book Supp.</w:t>
      </w:r>
    </w:p>
    <w:p w:rsidR="000D48B1" w:rsidRDefault="000D48B1"/>
    <w:p w:rsidR="000D48B1" w:rsidRPr="00231204" w:rsidRDefault="000D48B1">
      <w:r>
        <w:rPr>
          <w:b/>
          <w:u w:val="single"/>
        </w:rPr>
        <w:t>10/19</w:t>
      </w:r>
    </w:p>
    <w:p w:rsidR="000D48B1" w:rsidRDefault="000D48B1" w:rsidP="000D48B1"/>
    <w:p w:rsidR="000D48B1" w:rsidRDefault="000D48B1" w:rsidP="000D48B1">
      <w:r w:rsidRPr="00725D78">
        <w:t xml:space="preserve">§102/103 Prior Art and Analogous Arts: </w:t>
      </w:r>
      <w:r>
        <w:t xml:space="preserve">Intro and </w:t>
      </w:r>
      <w:r>
        <w:rPr>
          <w:u w:val="single"/>
        </w:rPr>
        <w:t>Hazeltine</w:t>
      </w:r>
      <w:r>
        <w:t xml:space="preserve">, 730-734; Note, Economic Rationale, 743-744; </w:t>
      </w:r>
      <w:r w:rsidRPr="00725D78">
        <w:rPr>
          <w:u w:val="single"/>
        </w:rPr>
        <w:t>Oddzon</w:t>
      </w:r>
      <w:r>
        <w:t>, M&amp;D 745-750</w:t>
      </w:r>
      <w:r w:rsidRPr="00725D78">
        <w:t xml:space="preserve">; Intro &amp; </w:t>
      </w:r>
      <w:r w:rsidRPr="00725D78">
        <w:rPr>
          <w:u w:val="single"/>
        </w:rPr>
        <w:t>Clay</w:t>
      </w:r>
      <w:r>
        <w:t xml:space="preserve"> M&amp;D 764-773.</w:t>
      </w:r>
    </w:p>
    <w:p w:rsidR="000D48B1" w:rsidRDefault="000D48B1"/>
    <w:p w:rsidR="000D48B1" w:rsidRDefault="000D48B1"/>
    <w:p w:rsidR="000D48B1" w:rsidRPr="00347C15" w:rsidRDefault="000D48B1">
      <w:r>
        <w:rPr>
          <w:b/>
          <w:u w:val="single"/>
        </w:rPr>
        <w:t>10/21</w:t>
      </w:r>
    </w:p>
    <w:p w:rsidR="000D48B1" w:rsidRDefault="000D48B1" w:rsidP="000D48B1"/>
    <w:p w:rsidR="000D48B1" w:rsidRPr="005315FA" w:rsidRDefault="000D48B1" w:rsidP="000D48B1">
      <w:r>
        <w:t xml:space="preserve">Claims I: Intro and </w:t>
      </w:r>
      <w:r>
        <w:rPr>
          <w:u w:val="single"/>
        </w:rPr>
        <w:t>Merrill</w:t>
      </w:r>
      <w:r>
        <w:t xml:space="preserve">, 781-787; Intro and </w:t>
      </w:r>
      <w:r>
        <w:rPr>
          <w:u w:val="single"/>
        </w:rPr>
        <w:t>Phillips</w:t>
      </w:r>
      <w:r>
        <w:t>, 787-804; Note on Canons, 804-812.</w:t>
      </w:r>
    </w:p>
    <w:p w:rsidR="000D48B1" w:rsidRDefault="000D48B1" w:rsidP="000D48B1"/>
    <w:p w:rsidR="000D48B1" w:rsidRDefault="000D48B1" w:rsidP="000D48B1"/>
    <w:p w:rsidR="000D48B1" w:rsidRDefault="000D48B1">
      <w:pPr>
        <w:rPr>
          <w:b/>
          <w:bCs/>
          <w:u w:val="single"/>
        </w:rPr>
      </w:pPr>
      <w:r>
        <w:rPr>
          <w:b/>
          <w:bCs/>
          <w:u w:val="single"/>
        </w:rPr>
        <w:t>10/26</w:t>
      </w:r>
    </w:p>
    <w:p w:rsidR="000D48B1" w:rsidRDefault="000D48B1" w:rsidP="000D48B1"/>
    <w:p w:rsidR="000D48B1" w:rsidRPr="00ED706F" w:rsidRDefault="000D48B1" w:rsidP="000D48B1">
      <w:r>
        <w:t xml:space="preserve">Claims II: Intro and </w:t>
      </w:r>
      <w:r>
        <w:rPr>
          <w:u w:val="single"/>
        </w:rPr>
        <w:t>Wright Co. v. Paulhan</w:t>
      </w:r>
      <w:r>
        <w:t xml:space="preserve">, M&amp;D 820-826; Note on Purposive Claim Construction, 826-829; Intro and </w:t>
      </w:r>
      <w:r>
        <w:rPr>
          <w:u w:val="single"/>
        </w:rPr>
        <w:t>Markman</w:t>
      </w:r>
      <w:r>
        <w:t xml:space="preserve">, 829-839; </w:t>
      </w:r>
      <w:r>
        <w:rPr>
          <w:u w:val="single"/>
        </w:rPr>
        <w:t>Phillips</w:t>
      </w:r>
      <w:r>
        <w:t xml:space="preserve"> (Part II), 845-849.</w:t>
      </w:r>
    </w:p>
    <w:p w:rsidR="000D48B1" w:rsidRDefault="000D48B1"/>
    <w:p w:rsidR="000D48B1" w:rsidRDefault="000D48B1"/>
    <w:p w:rsidR="000D48B1" w:rsidRDefault="000D48B1">
      <w:pPr>
        <w:rPr>
          <w:b/>
          <w:u w:val="single"/>
        </w:rPr>
      </w:pPr>
      <w:r>
        <w:rPr>
          <w:b/>
          <w:u w:val="single"/>
        </w:rPr>
        <w:t>10/28</w:t>
      </w:r>
    </w:p>
    <w:p w:rsidR="000D48B1" w:rsidRDefault="000D48B1"/>
    <w:p w:rsidR="000D48B1" w:rsidRPr="003570FB" w:rsidRDefault="000D48B1" w:rsidP="000D48B1">
      <w:r w:rsidRPr="003570FB">
        <w:lastRenderedPageBreak/>
        <w:t xml:space="preserve">Claims III: Doctrine of Equivalents: </w:t>
      </w:r>
      <w:r w:rsidRPr="003570FB">
        <w:rPr>
          <w:u w:val="single"/>
        </w:rPr>
        <w:t>Warner-Jenkinson</w:t>
      </w:r>
      <w:r>
        <w:t xml:space="preserve">, M&amp;D 856-867; </w:t>
      </w:r>
      <w:r w:rsidRPr="003570FB">
        <w:t xml:space="preserve">Prosecution History Estoppel: </w:t>
      </w:r>
      <w:r w:rsidRPr="003570FB">
        <w:rPr>
          <w:u w:val="single"/>
        </w:rPr>
        <w:t>Festo</w:t>
      </w:r>
      <w:r>
        <w:t>, 867-88.</w:t>
      </w:r>
    </w:p>
    <w:p w:rsidR="000D48B1" w:rsidRDefault="000D48B1" w:rsidP="000D48B1"/>
    <w:p w:rsidR="000D48B1" w:rsidRDefault="000D48B1" w:rsidP="000D48B1"/>
    <w:p w:rsidR="000D48B1" w:rsidRPr="00E45B7E" w:rsidRDefault="000D48B1" w:rsidP="000D48B1">
      <w:pPr>
        <w:rPr>
          <w:b/>
          <w:u w:val="single"/>
        </w:rPr>
      </w:pPr>
      <w:r>
        <w:rPr>
          <w:b/>
          <w:u w:val="single"/>
        </w:rPr>
        <w:t>11/2</w:t>
      </w:r>
    </w:p>
    <w:p w:rsidR="000D48B1" w:rsidRDefault="000D48B1" w:rsidP="000D48B1"/>
    <w:p w:rsidR="000D48B1" w:rsidRPr="003570FB" w:rsidRDefault="000D48B1" w:rsidP="000D48B1">
      <w:r>
        <w:t>Joint and Divided Infringement, BMC Resources v. Paymentech &amp; Notes, Book Supp.; other recent infringement/claim construction case (look for email update).</w:t>
      </w:r>
    </w:p>
    <w:p w:rsidR="000D48B1" w:rsidRDefault="000D48B1" w:rsidP="000D48B1"/>
    <w:p w:rsidR="000D48B1" w:rsidRDefault="000D48B1" w:rsidP="000D48B1"/>
    <w:p w:rsidR="000D48B1" w:rsidRPr="003570FB" w:rsidRDefault="000D48B1" w:rsidP="000D48B1">
      <w:pPr>
        <w:rPr>
          <w:b/>
          <w:u w:val="single"/>
        </w:rPr>
      </w:pPr>
      <w:r>
        <w:rPr>
          <w:b/>
          <w:u w:val="single"/>
        </w:rPr>
        <w:t xml:space="preserve"> 11/4</w:t>
      </w:r>
    </w:p>
    <w:p w:rsidR="000D48B1" w:rsidRPr="003570FB" w:rsidRDefault="000D48B1" w:rsidP="000D48B1"/>
    <w:p w:rsidR="000D48B1" w:rsidRDefault="000D48B1" w:rsidP="000D48B1">
      <w:r w:rsidRPr="003570FB">
        <w:t xml:space="preserve">Indirect Infringement and Foreign Activity: Intro and </w:t>
      </w:r>
      <w:r w:rsidRPr="003570FB">
        <w:rPr>
          <w:u w:val="single"/>
        </w:rPr>
        <w:t>Aro</w:t>
      </w:r>
      <w:r w:rsidRPr="003570FB">
        <w:t xml:space="preserve">, </w:t>
      </w:r>
      <w:r w:rsidRPr="003570FB">
        <w:rPr>
          <w:u w:val="single"/>
        </w:rPr>
        <w:t>CR Bard</w:t>
      </w:r>
      <w:r w:rsidRPr="003570FB">
        <w:t xml:space="preserve">, M&amp;D 908-923; Intro, </w:t>
      </w:r>
      <w:r w:rsidRPr="003570FB">
        <w:rPr>
          <w:u w:val="single"/>
        </w:rPr>
        <w:t>Brown</w:t>
      </w:r>
      <w:r w:rsidRPr="003570FB">
        <w:t xml:space="preserve">, and </w:t>
      </w:r>
      <w:r w:rsidRPr="003570FB">
        <w:rPr>
          <w:u w:val="single"/>
        </w:rPr>
        <w:t>Microsoft v. AT&amp;T</w:t>
      </w:r>
      <w:r>
        <w:t>, 923-931.</w:t>
      </w:r>
    </w:p>
    <w:p w:rsidR="000D48B1" w:rsidRPr="003570FB" w:rsidRDefault="000D48B1" w:rsidP="000D48B1"/>
    <w:p w:rsidR="000D48B1" w:rsidRPr="003570FB" w:rsidRDefault="000D48B1" w:rsidP="000D48B1">
      <w:pPr>
        <w:rPr>
          <w:b/>
          <w:u w:val="single"/>
        </w:rPr>
      </w:pPr>
      <w:r>
        <w:rPr>
          <w:b/>
          <w:u w:val="single"/>
        </w:rPr>
        <w:t>11/9</w:t>
      </w:r>
    </w:p>
    <w:p w:rsidR="000D48B1" w:rsidRDefault="000D48B1" w:rsidP="000D48B1"/>
    <w:p w:rsidR="000D48B1" w:rsidRPr="003570FB" w:rsidRDefault="000D48B1" w:rsidP="000D48B1">
      <w:r w:rsidRPr="003570FB">
        <w:t xml:space="preserve">Injunctions: Intro, </w:t>
      </w:r>
      <w:r w:rsidRPr="003570FB">
        <w:rPr>
          <w:u w:val="single"/>
        </w:rPr>
        <w:t>eBay</w:t>
      </w:r>
      <w:r w:rsidRPr="003570FB">
        <w:t xml:space="preserve">, Notes, </w:t>
      </w:r>
      <w:r w:rsidRPr="003570FB">
        <w:rPr>
          <w:u w:val="single"/>
        </w:rPr>
        <w:t>z4</w:t>
      </w:r>
      <w:r w:rsidRPr="003570FB">
        <w:t xml:space="preserve">, Additional Notes, M&amp;D, 933-956; </w:t>
      </w:r>
      <w:r w:rsidRPr="003570FB">
        <w:rPr>
          <w:u w:val="single"/>
        </w:rPr>
        <w:t>Amazon.com</w:t>
      </w:r>
      <w:r w:rsidRPr="003570FB">
        <w:t>, 956-967.</w:t>
      </w:r>
    </w:p>
    <w:p w:rsidR="000D48B1" w:rsidRPr="003570FB" w:rsidRDefault="000D48B1" w:rsidP="000D48B1"/>
    <w:p w:rsidR="000D48B1" w:rsidRDefault="000D48B1" w:rsidP="000D48B1">
      <w:pPr>
        <w:rPr>
          <w:b/>
          <w:u w:val="single"/>
        </w:rPr>
      </w:pPr>
      <w:r>
        <w:rPr>
          <w:b/>
          <w:u w:val="single"/>
        </w:rPr>
        <w:t>11/11</w:t>
      </w:r>
    </w:p>
    <w:p w:rsidR="000D48B1" w:rsidRDefault="000D48B1" w:rsidP="000D48B1">
      <w:pPr>
        <w:rPr>
          <w:b/>
          <w:u w:val="single"/>
        </w:rPr>
      </w:pPr>
    </w:p>
    <w:p w:rsidR="000D48B1" w:rsidRPr="004B1220" w:rsidRDefault="000D48B1" w:rsidP="000D48B1">
      <w:r w:rsidRPr="004B1220">
        <w:rPr>
          <w:b/>
        </w:rPr>
        <w:t>**No Class – Veteran’s Day**</w:t>
      </w:r>
    </w:p>
    <w:p w:rsidR="000D48B1" w:rsidRPr="003570FB" w:rsidRDefault="000D48B1" w:rsidP="000D48B1">
      <w:pPr>
        <w:rPr>
          <w:b/>
          <w:u w:val="single"/>
        </w:rPr>
      </w:pPr>
    </w:p>
    <w:p w:rsidR="000D48B1" w:rsidRPr="003570FB" w:rsidRDefault="000D48B1" w:rsidP="000D48B1"/>
    <w:p w:rsidR="000D48B1" w:rsidRPr="003570FB" w:rsidRDefault="000D48B1" w:rsidP="000D48B1">
      <w:pPr>
        <w:rPr>
          <w:b/>
          <w:u w:val="single"/>
        </w:rPr>
      </w:pPr>
      <w:r>
        <w:rPr>
          <w:b/>
          <w:u w:val="single"/>
        </w:rPr>
        <w:t>11/16</w:t>
      </w:r>
    </w:p>
    <w:p w:rsidR="000D48B1" w:rsidRDefault="000D48B1" w:rsidP="000D48B1"/>
    <w:p w:rsidR="000D48B1" w:rsidRPr="003570FB" w:rsidRDefault="000D48B1" w:rsidP="000D48B1">
      <w:r w:rsidRPr="003570FB">
        <w:t xml:space="preserve">Damages: </w:t>
      </w:r>
      <w:r w:rsidRPr="003570FB">
        <w:rPr>
          <w:u w:val="single"/>
        </w:rPr>
        <w:t>Panduit</w:t>
      </w:r>
      <w:r w:rsidRPr="003570FB">
        <w:t xml:space="preserve">, M&amp;D 969-985; </w:t>
      </w:r>
      <w:r w:rsidRPr="003570FB">
        <w:rPr>
          <w:u w:val="single"/>
        </w:rPr>
        <w:t>Grain Processing</w:t>
      </w:r>
      <w:r w:rsidRPr="003570FB">
        <w:t xml:space="preserve">, and Note M&amp;D 1000-1019; Note, Entire Market Value Rule, 1025-1029; </w:t>
      </w:r>
      <w:r>
        <w:t>Lucent v. Gateway &amp; Notes, Book Supp.</w:t>
      </w:r>
    </w:p>
    <w:p w:rsidR="000D48B1" w:rsidRDefault="000D48B1" w:rsidP="000D48B1"/>
    <w:p w:rsidR="000D48B1" w:rsidRPr="003570FB" w:rsidRDefault="000D48B1" w:rsidP="000D48B1"/>
    <w:p w:rsidR="000D48B1" w:rsidRDefault="000D48B1" w:rsidP="000D48B1">
      <w:pPr>
        <w:rPr>
          <w:b/>
          <w:u w:val="single"/>
        </w:rPr>
      </w:pPr>
      <w:r>
        <w:rPr>
          <w:b/>
          <w:u w:val="single"/>
        </w:rPr>
        <w:t>11/18</w:t>
      </w:r>
    </w:p>
    <w:p w:rsidR="000D48B1" w:rsidRDefault="000D48B1" w:rsidP="000D48B1">
      <w:pPr>
        <w:rPr>
          <w:b/>
          <w:u w:val="single"/>
        </w:rPr>
      </w:pPr>
    </w:p>
    <w:p w:rsidR="000D48B1" w:rsidRPr="003570FB" w:rsidRDefault="000D48B1" w:rsidP="000D48B1">
      <w:r w:rsidRPr="003570FB">
        <w:t xml:space="preserve">Willful Infringement, Reissue and Reexamination: </w:t>
      </w:r>
      <w:r w:rsidRPr="003570FB">
        <w:rPr>
          <w:u w:val="single"/>
        </w:rPr>
        <w:t>In re Seagate Technology</w:t>
      </w:r>
      <w:r w:rsidRPr="003570FB">
        <w:t xml:space="preserve">, </w:t>
      </w:r>
      <w:r>
        <w:t xml:space="preserve">Book Supp.; </w:t>
      </w:r>
      <w:r w:rsidRPr="003570FB">
        <w:t xml:space="preserve">Intro to Reissues, M&amp;D 1073; Intro to Reexamination and </w:t>
      </w:r>
      <w:r w:rsidRPr="003570FB">
        <w:rPr>
          <w:u w:val="single"/>
        </w:rPr>
        <w:t>Rodime</w:t>
      </w:r>
      <w:r w:rsidRPr="003570FB">
        <w:t xml:space="preserve"> and Notes, Note on Inter Partes Reexamination, M&amp;D 1092.</w:t>
      </w:r>
    </w:p>
    <w:p w:rsidR="000D48B1" w:rsidRDefault="000D48B1" w:rsidP="000D48B1"/>
    <w:p w:rsidR="000D48B1" w:rsidRPr="00E005BA" w:rsidRDefault="000D48B1" w:rsidP="000D48B1"/>
    <w:p w:rsidR="000D48B1" w:rsidRPr="003570FB" w:rsidRDefault="000D48B1" w:rsidP="000D48B1">
      <w:pPr>
        <w:rPr>
          <w:b/>
          <w:bCs/>
          <w:u w:val="single"/>
        </w:rPr>
      </w:pPr>
      <w:r w:rsidRPr="003570FB">
        <w:rPr>
          <w:b/>
          <w:bCs/>
          <w:u w:val="single"/>
        </w:rPr>
        <w:t>11/</w:t>
      </w:r>
      <w:r>
        <w:rPr>
          <w:b/>
          <w:bCs/>
          <w:u w:val="single"/>
        </w:rPr>
        <w:t>23</w:t>
      </w:r>
    </w:p>
    <w:p w:rsidR="000D48B1" w:rsidRPr="003570FB" w:rsidRDefault="000D48B1" w:rsidP="000D48B1"/>
    <w:p w:rsidR="000D48B1" w:rsidRPr="003570FB" w:rsidRDefault="000D48B1" w:rsidP="000D48B1">
      <w:r w:rsidRPr="003570FB">
        <w:t>Defenses: Prosecution D</w:t>
      </w:r>
      <w:r>
        <w:t>elay Laches and Inequitable Conduct</w:t>
      </w:r>
      <w:r w:rsidRPr="003570FB">
        <w:t xml:space="preserve">: </w:t>
      </w:r>
      <w:r w:rsidRPr="003570FB">
        <w:rPr>
          <w:u w:val="single"/>
        </w:rPr>
        <w:t>Symbol Technologies</w:t>
      </w:r>
      <w:r w:rsidRPr="003570FB">
        <w:t xml:space="preserve">, M&amp;D 1130-1140 ; </w:t>
      </w:r>
      <w:r>
        <w:t>Briefs in Therasense v. Becton-Dickinson (pending Federal Circuit en banc case – look for email updates).</w:t>
      </w:r>
    </w:p>
    <w:p w:rsidR="000D48B1" w:rsidRPr="003570FB" w:rsidRDefault="000D48B1" w:rsidP="000D48B1"/>
    <w:p w:rsidR="000D48B1" w:rsidRDefault="000D48B1" w:rsidP="000D48B1">
      <w:pPr>
        <w:rPr>
          <w:b/>
          <w:bCs/>
          <w:u w:val="single"/>
        </w:rPr>
      </w:pPr>
      <w:r>
        <w:rPr>
          <w:b/>
          <w:bCs/>
          <w:u w:val="single"/>
        </w:rPr>
        <w:t>11/25</w:t>
      </w:r>
    </w:p>
    <w:p w:rsidR="000D48B1" w:rsidRDefault="000D48B1" w:rsidP="000D48B1">
      <w:pPr>
        <w:rPr>
          <w:b/>
          <w:bCs/>
          <w:u w:val="single"/>
        </w:rPr>
      </w:pPr>
    </w:p>
    <w:p w:rsidR="000D48B1" w:rsidRPr="000D440F" w:rsidRDefault="000D48B1" w:rsidP="000D48B1">
      <w:pPr>
        <w:rPr>
          <w:b/>
          <w:bCs/>
        </w:rPr>
      </w:pPr>
      <w:r>
        <w:rPr>
          <w:b/>
          <w:bCs/>
        </w:rPr>
        <w:lastRenderedPageBreak/>
        <w:t>** No Class – Happy Thanksgiving **</w:t>
      </w:r>
    </w:p>
    <w:p w:rsidR="000D48B1" w:rsidRPr="003570FB" w:rsidRDefault="000D48B1" w:rsidP="000D48B1"/>
    <w:p w:rsidR="000D48B1" w:rsidRPr="003570FB" w:rsidRDefault="000D48B1" w:rsidP="000D48B1"/>
    <w:p w:rsidR="000D48B1" w:rsidRPr="003570FB" w:rsidRDefault="000D48B1" w:rsidP="000D48B1">
      <w:pPr>
        <w:rPr>
          <w:b/>
          <w:bCs/>
          <w:u w:val="single"/>
        </w:rPr>
      </w:pPr>
      <w:r>
        <w:rPr>
          <w:b/>
          <w:bCs/>
          <w:u w:val="single"/>
        </w:rPr>
        <w:t>11/30</w:t>
      </w:r>
    </w:p>
    <w:p w:rsidR="000D48B1" w:rsidRPr="003570FB" w:rsidRDefault="000D48B1" w:rsidP="000D48B1"/>
    <w:p w:rsidR="000D48B1" w:rsidRPr="003570FB" w:rsidRDefault="000D48B1" w:rsidP="000D48B1">
      <w:r w:rsidRPr="003570FB">
        <w:t xml:space="preserve">Coinvention and Ownership: </w:t>
      </w:r>
      <w:r w:rsidRPr="003570FB">
        <w:rPr>
          <w:u w:val="single"/>
        </w:rPr>
        <w:t>Burroughs-Wellcome</w:t>
      </w:r>
      <w:r w:rsidRPr="003570FB">
        <w:t xml:space="preserve">; </w:t>
      </w:r>
      <w:r w:rsidRPr="003570FB">
        <w:rPr>
          <w:u w:val="single"/>
        </w:rPr>
        <w:t>Stark</w:t>
      </w:r>
      <w:r w:rsidRPr="003570FB">
        <w:t xml:space="preserve">, </w:t>
      </w:r>
      <w:r w:rsidRPr="003570FB">
        <w:rPr>
          <w:u w:val="single"/>
        </w:rPr>
        <w:t>Eli Lilly</w:t>
      </w:r>
      <w:r w:rsidRPr="003570FB">
        <w:t xml:space="preserve">, </w:t>
      </w:r>
      <w:r w:rsidRPr="003570FB">
        <w:rPr>
          <w:u w:val="single"/>
        </w:rPr>
        <w:t>Ethicon</w:t>
      </w:r>
      <w:r w:rsidRPr="003570FB">
        <w:t>, M&amp;D 1142-1180.</w:t>
      </w:r>
    </w:p>
    <w:p w:rsidR="000D48B1" w:rsidRPr="003570FB" w:rsidRDefault="000D48B1" w:rsidP="000D48B1"/>
    <w:p w:rsidR="000D48B1" w:rsidRPr="003570FB" w:rsidRDefault="000D48B1" w:rsidP="000D48B1">
      <w:r>
        <w:rPr>
          <w:b/>
          <w:u w:val="single"/>
        </w:rPr>
        <w:t>Makeup - TBA</w:t>
      </w:r>
    </w:p>
    <w:p w:rsidR="000D48B1" w:rsidRPr="003570FB" w:rsidRDefault="000D48B1" w:rsidP="000D48B1"/>
    <w:p w:rsidR="000D48B1" w:rsidRPr="003570FB" w:rsidRDefault="000D48B1" w:rsidP="000D48B1">
      <w:r w:rsidRPr="003570FB">
        <w:t>Exhaustion and First Sale: Quanta v. LG Electronics, Book Supp.</w:t>
      </w:r>
    </w:p>
    <w:p w:rsidR="000D48B1" w:rsidRPr="003570FB" w:rsidRDefault="000D48B1" w:rsidP="000D48B1"/>
    <w:p w:rsidR="000D48B1" w:rsidRPr="003570FB" w:rsidRDefault="000D48B1" w:rsidP="000D48B1">
      <w:r>
        <w:rPr>
          <w:b/>
          <w:u w:val="single"/>
        </w:rPr>
        <w:t>Date TBA</w:t>
      </w:r>
    </w:p>
    <w:p w:rsidR="000D48B1" w:rsidRPr="003570FB" w:rsidRDefault="000D48B1" w:rsidP="000D48B1"/>
    <w:p w:rsidR="000D48B1" w:rsidRDefault="000D48B1">
      <w:r w:rsidRPr="003570FB">
        <w:t>Review Session</w:t>
      </w:r>
    </w:p>
    <w:sectPr w:rsidR="000D48B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4D" w:rsidRDefault="00F9384D">
      <w:r>
        <w:separator/>
      </w:r>
    </w:p>
  </w:endnote>
  <w:endnote w:type="continuationSeparator" w:id="0">
    <w:p w:rsidR="00F9384D" w:rsidRDefault="00F9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B1" w:rsidRDefault="000D48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8B1" w:rsidRDefault="000D48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B1" w:rsidRDefault="000D48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764">
      <w:rPr>
        <w:rStyle w:val="PageNumber"/>
        <w:noProof/>
      </w:rPr>
      <w:t>1</w:t>
    </w:r>
    <w:r>
      <w:rPr>
        <w:rStyle w:val="PageNumber"/>
      </w:rPr>
      <w:fldChar w:fldCharType="end"/>
    </w:r>
  </w:p>
  <w:p w:rsidR="000D48B1" w:rsidRDefault="000D48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4D" w:rsidRDefault="00F9384D">
      <w:r>
        <w:separator/>
      </w:r>
    </w:p>
  </w:footnote>
  <w:footnote w:type="continuationSeparator" w:id="0">
    <w:p w:rsidR="00F9384D" w:rsidRDefault="00F93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0E1"/>
    <w:rsid w:val="000D48B1"/>
    <w:rsid w:val="0099543C"/>
    <w:rsid w:val="00B82764"/>
    <w:rsid w:val="00F9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6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24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erges@law.berkeley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 Law</vt:lpstr>
    </vt:vector>
  </TitlesOfParts>
  <Company>UC Davis</Company>
  <LinksUpToDate>false</LinksUpToDate>
  <CharactersWithSpaces>4863</CharactersWithSpaces>
  <SharedDoc>false</SharedDoc>
  <HLinks>
    <vt:vector size="6" baseType="variant">
      <vt:variant>
        <vt:i4>2097217</vt:i4>
      </vt:variant>
      <vt:variant>
        <vt:i4>0</vt:i4>
      </vt:variant>
      <vt:variant>
        <vt:i4>0</vt:i4>
      </vt:variant>
      <vt:variant>
        <vt:i4>5</vt:i4>
      </vt:variant>
      <vt:variant>
        <vt:lpwstr>mailto:rmerges@law.berkeley.edu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 Law</dc:title>
  <dc:subject/>
  <dc:creator>robertm</dc:creator>
  <cp:keywords/>
  <cp:lastModifiedBy>!law-rdozier</cp:lastModifiedBy>
  <cp:revision>2</cp:revision>
  <cp:lastPrinted>2004-01-06T19:59:00Z</cp:lastPrinted>
  <dcterms:created xsi:type="dcterms:W3CDTF">2010-09-28T01:23:00Z</dcterms:created>
  <dcterms:modified xsi:type="dcterms:W3CDTF">2010-09-28T01:23:00Z</dcterms:modified>
</cp:coreProperties>
</file>